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5EB3B" w14:textId="16E1D5B4" w:rsidR="000E3283" w:rsidRPr="008D031E" w:rsidRDefault="002B213F" w:rsidP="001F1E46">
      <w:pPr>
        <w:widowControl w:val="0"/>
        <w:jc w:val="center"/>
        <w:rPr>
          <w:rFonts w:ascii="Times New Roman" w:hAnsi="Times New Roman" w:cs="Times New Roman"/>
          <w:noProof/>
        </w:rPr>
      </w:pPr>
      <w:r>
        <w:rPr>
          <w:rFonts w:ascii="Times New Roman" w:hAnsi="Times New Roman"/>
          <w:noProof/>
        </w:rPr>
        <w:drawing>
          <wp:inline distT="0" distB="0" distL="0" distR="0" wp14:anchorId="70D01847" wp14:editId="7A405D57">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3A99B4F2" w14:textId="0B821C5C" w:rsidR="002B213F" w:rsidRPr="008D031E" w:rsidRDefault="001046F0" w:rsidP="001F1E46">
      <w:pPr>
        <w:widowControl w:val="0"/>
        <w:jc w:val="center"/>
        <w:rPr>
          <w:rFonts w:ascii="Times New Roman" w:hAnsi="Times New Roman" w:cs="Times New Roman"/>
          <w:noProof/>
        </w:rPr>
      </w:pPr>
      <w:r>
        <w:rPr>
          <w:rFonts w:ascii="Times New Roman" w:hAnsi="Times New Roman"/>
        </w:rPr>
        <w:t>EIROPAS CILVĒKTIESĪBU TIESA</w:t>
      </w:r>
    </w:p>
    <w:p w14:paraId="0C0C30C7" w14:textId="77777777" w:rsidR="001046F0" w:rsidRDefault="001046F0" w:rsidP="001F1E46">
      <w:pPr>
        <w:pStyle w:val="DecHTitle"/>
        <w:keepNext w:val="0"/>
        <w:keepLines w:val="0"/>
        <w:widowControl w:val="0"/>
        <w:spacing w:after="0"/>
        <w:outlineLvl w:val="9"/>
        <w:rPr>
          <w:rFonts w:ascii="Times New Roman" w:hAnsi="Times New Roman"/>
          <w:noProof/>
          <w:sz w:val="24"/>
          <w:lang w:val="en-US"/>
        </w:rPr>
      </w:pPr>
    </w:p>
    <w:p w14:paraId="13CE0B2E" w14:textId="43396609" w:rsidR="000E3283" w:rsidRPr="004E6142" w:rsidRDefault="000E3283" w:rsidP="001F1E46">
      <w:pPr>
        <w:pStyle w:val="DecHTitle"/>
        <w:keepNext w:val="0"/>
        <w:keepLines w:val="0"/>
        <w:widowControl w:val="0"/>
        <w:spacing w:after="0"/>
        <w:outlineLvl w:val="9"/>
        <w:rPr>
          <w:rFonts w:ascii="Times New Roman" w:hAnsi="Times New Roman"/>
          <w:noProof/>
          <w:szCs w:val="28"/>
        </w:rPr>
      </w:pPr>
      <w:r w:rsidRPr="004E6142">
        <w:rPr>
          <w:rFonts w:ascii="Times New Roman" w:hAnsi="Times New Roman"/>
          <w:szCs w:val="28"/>
        </w:rPr>
        <w:t>LIELĀ PALĀTA</w:t>
      </w:r>
    </w:p>
    <w:p w14:paraId="628FA7E5" w14:textId="77777777" w:rsidR="000E3283" w:rsidRPr="008D031E" w:rsidRDefault="000E3283" w:rsidP="001F1E46">
      <w:pPr>
        <w:widowControl w:val="0"/>
        <w:jc w:val="center"/>
        <w:rPr>
          <w:rFonts w:ascii="Times New Roman" w:hAnsi="Times New Roman" w:cs="Times New Roman"/>
          <w:noProof/>
          <w:lang w:val="en-US"/>
        </w:rPr>
      </w:pPr>
    </w:p>
    <w:p w14:paraId="3C28E145" w14:textId="77777777" w:rsidR="000E3283" w:rsidRPr="008D031E" w:rsidRDefault="000E3283" w:rsidP="001F1E46">
      <w:pPr>
        <w:widowControl w:val="0"/>
        <w:jc w:val="center"/>
        <w:rPr>
          <w:rFonts w:ascii="Times New Roman" w:hAnsi="Times New Roman" w:cs="Times New Roman"/>
          <w:noProof/>
          <w:lang w:val="en-US"/>
        </w:rPr>
      </w:pPr>
    </w:p>
    <w:p w14:paraId="0756EF2F" w14:textId="77777777" w:rsidR="000E3283" w:rsidRPr="008D031E" w:rsidRDefault="000E3283" w:rsidP="001F1E46">
      <w:pPr>
        <w:widowControl w:val="0"/>
        <w:jc w:val="center"/>
        <w:rPr>
          <w:rFonts w:ascii="Times New Roman" w:hAnsi="Times New Roman" w:cs="Times New Roman"/>
          <w:noProof/>
          <w:lang w:val="en-US"/>
        </w:rPr>
      </w:pPr>
    </w:p>
    <w:p w14:paraId="2D228CC2" w14:textId="77777777" w:rsidR="000E3283" w:rsidRPr="00B22F74" w:rsidRDefault="000E3283" w:rsidP="001F1E46">
      <w:pPr>
        <w:widowControl w:val="0"/>
        <w:jc w:val="center"/>
        <w:rPr>
          <w:rFonts w:ascii="Times New Roman" w:hAnsi="Times New Roman" w:cs="Times New Roman"/>
          <w:b/>
          <w:noProof/>
        </w:rPr>
      </w:pPr>
      <w:bookmarkStart w:id="0" w:name="To"/>
      <w:r w:rsidRPr="00B22F74">
        <w:rPr>
          <w:rFonts w:ascii="Times New Roman" w:hAnsi="Times New Roman"/>
          <w:b/>
        </w:rPr>
        <w:t xml:space="preserve">LIETA </w:t>
      </w:r>
      <w:bookmarkEnd w:id="0"/>
      <w:r w:rsidRPr="00B22F74">
        <w:rPr>
          <w:rFonts w:ascii="Times New Roman" w:hAnsi="Times New Roman"/>
          <w:b/>
        </w:rPr>
        <w:t>““</w:t>
      </w:r>
      <w:proofErr w:type="spellStart"/>
      <w:r w:rsidRPr="00B22F74">
        <w:rPr>
          <w:rFonts w:ascii="Times New Roman" w:hAnsi="Times New Roman"/>
          <w:b/>
        </w:rPr>
        <w:t>BIG</w:t>
      </w:r>
      <w:proofErr w:type="spellEnd"/>
      <w:r w:rsidRPr="00B22F74">
        <w:rPr>
          <w:rFonts w:ascii="Times New Roman" w:hAnsi="Times New Roman"/>
          <w:b/>
        </w:rPr>
        <w:t xml:space="preserve"> </w:t>
      </w:r>
      <w:proofErr w:type="spellStart"/>
      <w:r w:rsidRPr="00B22F74">
        <w:rPr>
          <w:rFonts w:ascii="Times New Roman" w:hAnsi="Times New Roman"/>
          <w:b/>
        </w:rPr>
        <w:t>BROTHER</w:t>
      </w:r>
      <w:proofErr w:type="spellEnd"/>
      <w:r w:rsidRPr="00B22F74">
        <w:rPr>
          <w:rFonts w:ascii="Times New Roman" w:hAnsi="Times New Roman"/>
          <w:b/>
        </w:rPr>
        <w:t xml:space="preserve"> </w:t>
      </w:r>
      <w:proofErr w:type="spellStart"/>
      <w:r w:rsidRPr="00B22F74">
        <w:rPr>
          <w:rFonts w:ascii="Times New Roman" w:hAnsi="Times New Roman"/>
          <w:b/>
        </w:rPr>
        <w:t>WATCH</w:t>
      </w:r>
      <w:proofErr w:type="spellEnd"/>
      <w:r w:rsidRPr="00B22F74">
        <w:rPr>
          <w:rFonts w:ascii="Times New Roman" w:hAnsi="Times New Roman"/>
          <w:b/>
        </w:rPr>
        <w:t>” UN CITI</w:t>
      </w:r>
    </w:p>
    <w:p w14:paraId="217EA82C" w14:textId="77777777" w:rsidR="000E3283" w:rsidRPr="00B22F74" w:rsidRDefault="000E3283" w:rsidP="001F1E46">
      <w:pPr>
        <w:widowControl w:val="0"/>
        <w:jc w:val="center"/>
        <w:rPr>
          <w:rFonts w:ascii="Times New Roman" w:hAnsi="Times New Roman" w:cs="Times New Roman"/>
          <w:b/>
          <w:noProof/>
        </w:rPr>
      </w:pPr>
      <w:r w:rsidRPr="00B22F74">
        <w:rPr>
          <w:rFonts w:ascii="Times New Roman" w:hAnsi="Times New Roman"/>
          <w:b/>
        </w:rPr>
        <w:t>pret APVIENOTO KARALISTI”</w:t>
      </w:r>
    </w:p>
    <w:p w14:paraId="13067495" w14:textId="77777777" w:rsidR="000E3283" w:rsidRPr="008D031E" w:rsidRDefault="000E3283" w:rsidP="001F1E46">
      <w:pPr>
        <w:widowControl w:val="0"/>
        <w:jc w:val="center"/>
        <w:rPr>
          <w:rFonts w:ascii="Times New Roman" w:hAnsi="Times New Roman" w:cs="Times New Roman"/>
          <w:noProof/>
          <w:lang w:val="en-US"/>
        </w:rPr>
      </w:pPr>
    </w:p>
    <w:p w14:paraId="79B32E60" w14:textId="77777777" w:rsidR="000E3283" w:rsidRPr="008D031E" w:rsidRDefault="000E3283" w:rsidP="001F1E46">
      <w:pPr>
        <w:widowControl w:val="0"/>
        <w:jc w:val="center"/>
        <w:rPr>
          <w:rFonts w:ascii="Times New Roman" w:hAnsi="Times New Roman"/>
          <w:i/>
          <w:noProof/>
        </w:rPr>
      </w:pPr>
      <w:r>
        <w:rPr>
          <w:rFonts w:ascii="Times New Roman" w:hAnsi="Times New Roman"/>
          <w:i/>
        </w:rPr>
        <w:t>(Pieteikumi Nr. 58170/13, 62322/14 un 24960/15)</w:t>
      </w:r>
    </w:p>
    <w:p w14:paraId="6A070631" w14:textId="77777777" w:rsidR="000E3283" w:rsidRPr="008D031E" w:rsidRDefault="000E3283" w:rsidP="001F1E46">
      <w:pPr>
        <w:widowControl w:val="0"/>
        <w:jc w:val="center"/>
        <w:rPr>
          <w:rFonts w:ascii="Times New Roman" w:hAnsi="Times New Roman" w:cs="Times New Roman"/>
          <w:noProof/>
          <w:lang w:val="en-US"/>
        </w:rPr>
      </w:pPr>
    </w:p>
    <w:p w14:paraId="2A85869B" w14:textId="77777777" w:rsidR="000E3283" w:rsidRPr="008D031E" w:rsidRDefault="000E3283" w:rsidP="001F1E46">
      <w:pPr>
        <w:widowControl w:val="0"/>
        <w:jc w:val="center"/>
        <w:rPr>
          <w:rFonts w:ascii="Times New Roman" w:hAnsi="Times New Roman" w:cs="Times New Roman"/>
          <w:noProof/>
          <w:lang w:val="en-US"/>
        </w:rPr>
      </w:pPr>
    </w:p>
    <w:p w14:paraId="5F89A500" w14:textId="77777777" w:rsidR="000E3283" w:rsidRPr="008D031E" w:rsidRDefault="000E3283" w:rsidP="001F1E46">
      <w:pPr>
        <w:widowControl w:val="0"/>
        <w:jc w:val="center"/>
        <w:rPr>
          <w:rFonts w:ascii="Times New Roman" w:hAnsi="Times New Roman" w:cs="Times New Roman"/>
          <w:noProof/>
          <w:lang w:val="en-US"/>
        </w:rPr>
      </w:pPr>
    </w:p>
    <w:p w14:paraId="3E8BCFC9" w14:textId="77777777" w:rsidR="000E3283" w:rsidRPr="008D031E" w:rsidRDefault="000E3283" w:rsidP="001F1E46">
      <w:pPr>
        <w:widowControl w:val="0"/>
        <w:jc w:val="center"/>
        <w:rPr>
          <w:rFonts w:ascii="Times New Roman" w:hAnsi="Times New Roman" w:cs="Times New Roman"/>
          <w:noProof/>
        </w:rPr>
      </w:pPr>
      <w:r>
        <w:rPr>
          <w:rFonts w:ascii="Times New Roman" w:hAnsi="Times New Roman"/>
        </w:rPr>
        <w:t>SPRIEDUMS</w:t>
      </w:r>
    </w:p>
    <w:p w14:paraId="14AF233F" w14:textId="77777777" w:rsidR="000E3283" w:rsidRPr="008D031E" w:rsidRDefault="000E3283" w:rsidP="001F1E46">
      <w:pPr>
        <w:widowControl w:val="0"/>
        <w:jc w:val="center"/>
        <w:rPr>
          <w:rFonts w:ascii="Times New Roman" w:hAnsi="Times New Roman" w:cstheme="majorHAnsi"/>
          <w:i/>
          <w:noProof/>
          <w:lang w:val="en-US"/>
        </w:rPr>
      </w:pPr>
    </w:p>
    <w:p w14:paraId="1DE7D778" w14:textId="77777777" w:rsidR="000E3283" w:rsidRPr="008D031E" w:rsidRDefault="000E3283" w:rsidP="001F1E46">
      <w:pPr>
        <w:widowControl w:val="0"/>
        <w:pBdr>
          <w:top w:val="single" w:sz="4" w:space="1" w:color="auto"/>
          <w:left w:val="single" w:sz="4" w:space="4" w:color="auto"/>
          <w:bottom w:val="single" w:sz="4" w:space="1" w:color="auto"/>
          <w:right w:val="single" w:sz="4" w:space="4" w:color="auto"/>
        </w:pBdr>
        <w:jc w:val="both"/>
        <w:rPr>
          <w:rFonts w:ascii="Times New Roman" w:hAnsi="Times New Roman"/>
          <w:noProof/>
          <w:szCs w:val="22"/>
        </w:rPr>
      </w:pPr>
      <w:r>
        <w:rPr>
          <w:rFonts w:ascii="Times New Roman" w:hAnsi="Times New Roman"/>
        </w:rPr>
        <w:t xml:space="preserve">8. pants • Privātā dzīve • Slepenas uzraudzības režīma, tostarp masveida sakaru pārtveršanas un </w:t>
      </w:r>
      <w:proofErr w:type="spellStart"/>
      <w:r>
        <w:rPr>
          <w:rFonts w:ascii="Times New Roman" w:hAnsi="Times New Roman"/>
        </w:rPr>
        <w:t>izlūkdatu</w:t>
      </w:r>
      <w:proofErr w:type="spellEnd"/>
      <w:r>
        <w:rPr>
          <w:rFonts w:ascii="Times New Roman" w:hAnsi="Times New Roman"/>
        </w:rPr>
        <w:t xml:space="preserve"> apmaiņas, atbilstība konvencijai • Nepieciešamība izstrādāt judikatūru, ņemot vērā būtiskās atšķirības starp mērķētu pārtveršanu un masveida pārtveršanu • Pielāgots tests masveida pārtveršanas režīmu pārbaudei, veicot visaptverošu novērtēšanu • Koncentrēšanās uz ““no gala līdz galam” drošības pasākumiem”, lai ņemtu vērā aizvien lielāko iejaukšanos tiesībās uz privātās dzīves neaizskaramību dažādos masveida pārtveršanas procesa posmos • Būtiskas nepilnības masveida pārtveršanas režīmā, kam par pamatu ir atsevišķas atļaujas </w:t>
      </w:r>
      <w:proofErr w:type="spellStart"/>
      <w:r>
        <w:rPr>
          <w:rFonts w:ascii="Times New Roman" w:hAnsi="Times New Roman"/>
        </w:rPr>
        <w:t>neesība</w:t>
      </w:r>
      <w:proofErr w:type="spellEnd"/>
      <w:r>
        <w:rPr>
          <w:rFonts w:ascii="Times New Roman" w:hAnsi="Times New Roman"/>
        </w:rPr>
        <w:t xml:space="preserve">, selektoru kategoriju neiekļaušana pieprasījumā ordera saņemšanai un sākotnējās iekšējās atļaujas nesaņemšana attiecībā uz selektoriem, kas saistīti ar personu • Pietiekama </w:t>
      </w:r>
      <w:proofErr w:type="spellStart"/>
      <w:r>
        <w:rPr>
          <w:rFonts w:ascii="Times New Roman" w:hAnsi="Times New Roman"/>
        </w:rPr>
        <w:t>paredzamība</w:t>
      </w:r>
      <w:proofErr w:type="spellEnd"/>
      <w:r>
        <w:rPr>
          <w:rFonts w:ascii="Times New Roman" w:hAnsi="Times New Roman"/>
        </w:rPr>
        <w:t xml:space="preserve"> un drošības pasākumi režīmā, lai saņemtu no ārvalstu izlūkdienestiem </w:t>
      </w:r>
      <w:proofErr w:type="spellStart"/>
      <w:r>
        <w:rPr>
          <w:rFonts w:ascii="Times New Roman" w:hAnsi="Times New Roman"/>
        </w:rPr>
        <w:t>izlūkdatus</w:t>
      </w:r>
      <w:proofErr w:type="spellEnd"/>
      <w:r>
        <w:rPr>
          <w:rFonts w:ascii="Times New Roman" w:hAnsi="Times New Roman"/>
        </w:rPr>
        <w:t xml:space="preserve"> • Režīms sakaru datu iegūšanai no sakaru pakalpojumu sniedzējiem, kas “neatbilst likumam”</w:t>
      </w:r>
    </w:p>
    <w:p w14:paraId="6241D72E" w14:textId="77777777" w:rsidR="000E3283" w:rsidRPr="008D031E" w:rsidRDefault="000E3283" w:rsidP="001F1E46">
      <w:pPr>
        <w:widowControl w:val="0"/>
        <w:pBdr>
          <w:top w:val="single" w:sz="4" w:space="1" w:color="auto"/>
          <w:left w:val="single" w:sz="4" w:space="4" w:color="auto"/>
          <w:bottom w:val="single" w:sz="4" w:space="1" w:color="auto"/>
          <w:right w:val="single" w:sz="4" w:space="4" w:color="auto"/>
        </w:pBdr>
        <w:jc w:val="both"/>
        <w:rPr>
          <w:rFonts w:ascii="Times New Roman" w:hAnsi="Times New Roman"/>
          <w:noProof/>
          <w:szCs w:val="22"/>
        </w:rPr>
      </w:pPr>
      <w:r>
        <w:rPr>
          <w:rFonts w:ascii="Times New Roman" w:hAnsi="Times New Roman"/>
        </w:rPr>
        <w:t>10. pants • Vārda brīvība • Nepietiekama konfidenciālu žurnālistikas materiālu aizsardzība elektroniskās uzraudzības sistēmu ietvaros</w:t>
      </w:r>
    </w:p>
    <w:p w14:paraId="12E8EF95" w14:textId="77777777" w:rsidR="000E3283" w:rsidRPr="008D031E" w:rsidRDefault="000E3283" w:rsidP="001F1E46">
      <w:pPr>
        <w:widowControl w:val="0"/>
        <w:jc w:val="center"/>
        <w:rPr>
          <w:rFonts w:ascii="Times New Roman" w:hAnsi="Times New Roman" w:cs="Times New Roman"/>
          <w:noProof/>
          <w:lang w:val="en-US"/>
        </w:rPr>
      </w:pPr>
    </w:p>
    <w:p w14:paraId="0D3BE1E0" w14:textId="77777777" w:rsidR="000E3283" w:rsidRPr="008D031E" w:rsidRDefault="000E3283" w:rsidP="001F1E46">
      <w:pPr>
        <w:widowControl w:val="0"/>
        <w:jc w:val="center"/>
        <w:rPr>
          <w:rFonts w:ascii="Times New Roman" w:hAnsi="Times New Roman" w:cs="Times New Roman"/>
          <w:noProof/>
        </w:rPr>
      </w:pPr>
      <w:r>
        <w:rPr>
          <w:rFonts w:ascii="Times New Roman" w:hAnsi="Times New Roman"/>
        </w:rPr>
        <w:t>STRASBŪRA</w:t>
      </w:r>
    </w:p>
    <w:p w14:paraId="4D55116F" w14:textId="77777777" w:rsidR="000E3283" w:rsidRPr="008D031E" w:rsidRDefault="000E3283" w:rsidP="001F1E46">
      <w:pPr>
        <w:widowControl w:val="0"/>
        <w:jc w:val="center"/>
        <w:rPr>
          <w:rFonts w:ascii="Times New Roman" w:hAnsi="Times New Roman" w:cs="Times New Roman"/>
          <w:noProof/>
          <w:lang w:val="en-US"/>
        </w:rPr>
      </w:pPr>
    </w:p>
    <w:p w14:paraId="538ABEF7" w14:textId="77777777" w:rsidR="000E3283" w:rsidRPr="008D031E" w:rsidRDefault="000E3283" w:rsidP="001F1E46">
      <w:pPr>
        <w:widowControl w:val="0"/>
        <w:jc w:val="center"/>
        <w:rPr>
          <w:rFonts w:ascii="Times New Roman" w:hAnsi="Times New Roman" w:cs="Times New Roman"/>
          <w:noProof/>
        </w:rPr>
      </w:pPr>
      <w:r>
        <w:rPr>
          <w:rFonts w:ascii="Times New Roman" w:hAnsi="Times New Roman"/>
        </w:rPr>
        <w:t>2021. gada 25. maijs</w:t>
      </w:r>
    </w:p>
    <w:p w14:paraId="0CCCFC4D" w14:textId="77777777" w:rsidR="000E3283" w:rsidRPr="008D031E" w:rsidRDefault="000E3283" w:rsidP="001F1E46">
      <w:pPr>
        <w:widowControl w:val="0"/>
        <w:jc w:val="center"/>
        <w:rPr>
          <w:rFonts w:ascii="Times New Roman" w:hAnsi="Times New Roman" w:cs="Times New Roman"/>
          <w:noProof/>
          <w:lang w:val="en-US"/>
        </w:rPr>
      </w:pPr>
    </w:p>
    <w:p w14:paraId="2EF7BF09" w14:textId="77777777" w:rsidR="000E3283" w:rsidRPr="008D031E" w:rsidRDefault="000E3283" w:rsidP="001F1E46">
      <w:pPr>
        <w:widowControl w:val="0"/>
        <w:jc w:val="center"/>
        <w:rPr>
          <w:rFonts w:ascii="Times New Roman" w:hAnsi="Times New Roman" w:cs="Times New Roman"/>
          <w:noProof/>
          <w:lang w:val="en-US"/>
        </w:rPr>
      </w:pPr>
    </w:p>
    <w:p w14:paraId="7168846C" w14:textId="77777777" w:rsidR="000E3283" w:rsidRPr="008D031E" w:rsidRDefault="000E3283" w:rsidP="001F1E46">
      <w:pPr>
        <w:widowControl w:val="0"/>
        <w:jc w:val="center"/>
        <w:rPr>
          <w:rFonts w:ascii="Times New Roman" w:hAnsi="Times New Roman" w:cs="Times New Roman"/>
          <w:i/>
          <w:noProof/>
        </w:rPr>
      </w:pPr>
      <w:r>
        <w:rPr>
          <w:rFonts w:ascii="Times New Roman" w:hAnsi="Times New Roman"/>
          <w:i/>
        </w:rPr>
        <w:t>Spriedums ir galīgs, bet tajā var tikt veikti redakcionāli labojumi.</w:t>
      </w:r>
    </w:p>
    <w:p w14:paraId="0120BF9C" w14:textId="77777777" w:rsidR="000E3283" w:rsidRDefault="000E3283" w:rsidP="001F1E46">
      <w:pPr>
        <w:widowControl w:val="0"/>
        <w:jc w:val="both"/>
        <w:rPr>
          <w:rFonts w:ascii="Times New Roman" w:hAnsi="Times New Roman" w:cs="Times New Roman"/>
          <w:noProof/>
          <w:lang w:val="en-US"/>
        </w:rPr>
      </w:pPr>
    </w:p>
    <w:p w14:paraId="10EB0791" w14:textId="77777777" w:rsidR="00DF1667" w:rsidRDefault="00DF1667" w:rsidP="001F1E46">
      <w:pPr>
        <w:widowControl w:val="0"/>
        <w:jc w:val="both"/>
        <w:rPr>
          <w:rFonts w:ascii="Times New Roman" w:hAnsi="Times New Roman" w:cs="Times New Roman"/>
          <w:noProof/>
          <w:lang w:val="en-US"/>
        </w:rPr>
      </w:pPr>
    </w:p>
    <w:p w14:paraId="1B3700D7" w14:textId="77777777" w:rsidR="00DF1667" w:rsidRDefault="00DF1667" w:rsidP="001F1E46">
      <w:pPr>
        <w:widowControl w:val="0"/>
        <w:jc w:val="both"/>
        <w:rPr>
          <w:rFonts w:ascii="Times New Roman" w:hAnsi="Times New Roman" w:cs="Times New Roman"/>
          <w:noProof/>
          <w:lang w:val="en-US"/>
        </w:rPr>
      </w:pPr>
    </w:p>
    <w:p w14:paraId="1EE74068" w14:textId="77777777" w:rsidR="00DF1667" w:rsidRPr="008D031E" w:rsidRDefault="00DF1667" w:rsidP="001F1E46">
      <w:pPr>
        <w:widowControl w:val="0"/>
        <w:jc w:val="both"/>
        <w:rPr>
          <w:rFonts w:ascii="Times New Roman" w:hAnsi="Times New Roman" w:cs="Times New Roman"/>
          <w:noProof/>
          <w:lang w:val="en-US"/>
        </w:rPr>
      </w:pPr>
    </w:p>
    <w:p w14:paraId="63AAD54B" w14:textId="233EFFB7" w:rsidR="00810246" w:rsidRPr="00DF1667" w:rsidRDefault="001046F0" w:rsidP="001F1E46">
      <w:pPr>
        <w:widowControl w:val="0"/>
        <w:jc w:val="center"/>
        <w:rPr>
          <w:rFonts w:ascii="Times New Roman" w:hAnsi="Times New Roman" w:cs="Times New Roman"/>
          <w:noProof/>
          <w:sz w:val="14"/>
          <w:szCs w:val="14"/>
        </w:rPr>
      </w:pPr>
      <w:r w:rsidRPr="00DF1667">
        <w:rPr>
          <w:rFonts w:ascii="Times New Roman" w:hAnsi="Times New Roman"/>
          <w:sz w:val="14"/>
          <w:szCs w:val="14"/>
        </w:rPr>
        <w:t>EIROPAS PADOME</w:t>
      </w:r>
    </w:p>
    <w:p w14:paraId="691431E0" w14:textId="77777777" w:rsidR="002A4735" w:rsidRPr="008D031E" w:rsidRDefault="00810246" w:rsidP="001F1E46">
      <w:pPr>
        <w:widowControl w:val="0"/>
        <w:jc w:val="center"/>
        <w:rPr>
          <w:rFonts w:ascii="Times New Roman" w:hAnsi="Times New Roman" w:cs="Times New Roman"/>
          <w:noProof/>
        </w:rPr>
      </w:pPr>
      <w:r>
        <w:rPr>
          <w:rFonts w:ascii="Times New Roman" w:hAnsi="Times New Roman"/>
          <w:noProof/>
        </w:rPr>
        <w:drawing>
          <wp:inline distT="0" distB="0" distL="0" distR="0" wp14:anchorId="556849F3" wp14:editId="32B58977">
            <wp:extent cx="771525" cy="529071"/>
            <wp:effectExtent l="0" t="0" r="0" b="4445"/>
            <wp:docPr id="113" name="Picture 11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rotWithShape="1">
                    <a:blip r:embed="rId12">
                      <a:extLst>
                        <a:ext uri="{28A0092B-C50C-407E-A947-70E740481C1C}">
                          <a14:useLocalDpi xmlns:a14="http://schemas.microsoft.com/office/drawing/2010/main" val="0"/>
                        </a:ext>
                      </a:extLst>
                    </a:blip>
                    <a:srcRect t="14546"/>
                    <a:stretch/>
                  </pic:blipFill>
                  <pic:spPr bwMode="auto">
                    <a:xfrm>
                      <a:off x="0" y="0"/>
                      <a:ext cx="771525" cy="529071"/>
                    </a:xfrm>
                    <a:prstGeom prst="rect">
                      <a:avLst/>
                    </a:prstGeom>
                    <a:noFill/>
                    <a:ln>
                      <a:noFill/>
                    </a:ln>
                    <a:extLst>
                      <a:ext uri="{53640926-AAD7-44D8-BBD7-CCE9431645EC}">
                        <a14:shadowObscured xmlns:a14="http://schemas.microsoft.com/office/drawing/2010/main"/>
                      </a:ext>
                    </a:extLst>
                  </pic:spPr>
                </pic:pic>
              </a:graphicData>
            </a:graphic>
          </wp:inline>
        </w:drawing>
      </w:r>
    </w:p>
    <w:p w14:paraId="176897BD" w14:textId="77777777" w:rsidR="001046F0" w:rsidRDefault="001046F0" w:rsidP="001F1E46">
      <w:pPr>
        <w:widowControl w:val="0"/>
        <w:rPr>
          <w:rFonts w:ascii="Times New Roman" w:hAnsi="Times New Roman"/>
          <w:b/>
          <w:noProof/>
        </w:rPr>
      </w:pPr>
      <w:r>
        <w:br w:type="page"/>
      </w:r>
    </w:p>
    <w:p w14:paraId="79BF76CF" w14:textId="28EC96F9" w:rsidR="000E3283" w:rsidRPr="008D031E" w:rsidRDefault="000E3283" w:rsidP="00CB7A9B">
      <w:pPr>
        <w:pStyle w:val="JuCase"/>
        <w:widowControl w:val="0"/>
        <w:ind w:firstLine="142"/>
        <w:jc w:val="both"/>
        <w:rPr>
          <w:rFonts w:ascii="Times New Roman" w:hAnsi="Times New Roman"/>
          <w:noProof/>
        </w:rPr>
      </w:pPr>
      <w:r>
        <w:rPr>
          <w:rFonts w:ascii="Times New Roman" w:hAnsi="Times New Roman"/>
        </w:rPr>
        <w:lastRenderedPageBreak/>
        <w:t>Lietā ““</w:t>
      </w:r>
      <w:proofErr w:type="spellStart"/>
      <w:r>
        <w:rPr>
          <w:rFonts w:ascii="Times New Roman" w:hAnsi="Times New Roman"/>
        </w:rPr>
        <w:t>Big</w:t>
      </w:r>
      <w:proofErr w:type="spellEnd"/>
      <w:r>
        <w:rPr>
          <w:rFonts w:ascii="Times New Roman" w:hAnsi="Times New Roman"/>
        </w:rPr>
        <w:t xml:space="preserve"> </w:t>
      </w:r>
      <w:proofErr w:type="spellStart"/>
      <w:r>
        <w:rPr>
          <w:rFonts w:ascii="Times New Roman" w:hAnsi="Times New Roman"/>
        </w:rPr>
        <w:t>Brother</w:t>
      </w:r>
      <w:proofErr w:type="spellEnd"/>
      <w:r>
        <w:rPr>
          <w:rFonts w:ascii="Times New Roman" w:hAnsi="Times New Roman"/>
        </w:rPr>
        <w:t xml:space="preserve"> </w:t>
      </w:r>
      <w:proofErr w:type="spellStart"/>
      <w:r>
        <w:rPr>
          <w:rFonts w:ascii="Times New Roman" w:hAnsi="Times New Roman"/>
        </w:rPr>
        <w:t>Watch</w:t>
      </w:r>
      <w:proofErr w:type="spellEnd"/>
      <w:r>
        <w:rPr>
          <w:rFonts w:ascii="Times New Roman" w:hAnsi="Times New Roman"/>
        </w:rPr>
        <w:t>” un citi pret Apvienoto Karalisti”</w:t>
      </w:r>
    </w:p>
    <w:p w14:paraId="413DDA09" w14:textId="77777777" w:rsidR="000E3283" w:rsidRPr="008D031E" w:rsidRDefault="000E3283" w:rsidP="00CB7A9B">
      <w:pPr>
        <w:pStyle w:val="JuPara"/>
        <w:widowControl w:val="0"/>
        <w:ind w:firstLine="142"/>
        <w:rPr>
          <w:rFonts w:ascii="Times New Roman" w:hAnsi="Times New Roman"/>
          <w:noProof/>
        </w:rPr>
      </w:pPr>
      <w:r>
        <w:rPr>
          <w:rFonts w:ascii="Times New Roman" w:hAnsi="Times New Roman"/>
        </w:rPr>
        <w:t>Eiropas Cilvēktiesību tiesa, sanākusi kā Lielā palāta šādā sastāvā:</w:t>
      </w:r>
    </w:p>
    <w:p w14:paraId="3909B7AF" w14:textId="77777777" w:rsidR="008D031E" w:rsidRPr="008D031E" w:rsidRDefault="000E3283" w:rsidP="00CB7A9B">
      <w:pPr>
        <w:pStyle w:val="ECHRDecisionBody"/>
        <w:widowControl w:val="0"/>
        <w:spacing w:line="240" w:lineRule="auto"/>
        <w:ind w:firstLine="142"/>
        <w:jc w:val="both"/>
        <w:rPr>
          <w:rFonts w:ascii="Times New Roman" w:hAnsi="Times New Roman"/>
          <w:i/>
          <w:noProof/>
        </w:rPr>
      </w:pPr>
      <w:r>
        <w:rPr>
          <w:rFonts w:ascii="Times New Roman" w:hAnsi="Times New Roman"/>
        </w:rPr>
        <w:tab/>
        <w:t xml:space="preserve">Roberts </w:t>
      </w:r>
      <w:proofErr w:type="spellStart"/>
      <w:r>
        <w:rPr>
          <w:rFonts w:ascii="Times New Roman" w:hAnsi="Times New Roman"/>
        </w:rPr>
        <w:t>Spano</w:t>
      </w:r>
      <w:proofErr w:type="spellEnd"/>
      <w:r>
        <w:rPr>
          <w:rFonts w:ascii="Times New Roman" w:hAnsi="Times New Roman"/>
        </w:rPr>
        <w:t xml:space="preserve"> [</w:t>
      </w:r>
      <w:r>
        <w:rPr>
          <w:rFonts w:ascii="Times New Roman" w:hAnsi="Times New Roman"/>
          <w:i/>
          <w:iCs/>
        </w:rPr>
        <w:t xml:space="preserve">Robert </w:t>
      </w:r>
      <w:proofErr w:type="spellStart"/>
      <w:r>
        <w:rPr>
          <w:rFonts w:ascii="Times New Roman" w:hAnsi="Times New Roman"/>
          <w:i/>
          <w:iCs/>
        </w:rPr>
        <w:t>Spano</w:t>
      </w:r>
      <w:proofErr w:type="spellEnd"/>
      <w:r>
        <w:rPr>
          <w:rFonts w:ascii="Times New Roman" w:hAnsi="Times New Roman"/>
        </w:rPr>
        <w:t xml:space="preserve">], </w:t>
      </w:r>
      <w:r>
        <w:rPr>
          <w:rFonts w:ascii="Times New Roman" w:hAnsi="Times New Roman"/>
          <w:i/>
        </w:rPr>
        <w:t>priekšsēdētājs,</w:t>
      </w:r>
    </w:p>
    <w:p w14:paraId="41D6B5F3" w14:textId="77777777" w:rsidR="008D031E" w:rsidRPr="008D031E" w:rsidRDefault="000E3283" w:rsidP="00CB7A9B">
      <w:pPr>
        <w:pStyle w:val="ECHRDecisionBody"/>
        <w:widowControl w:val="0"/>
        <w:spacing w:line="240" w:lineRule="auto"/>
        <w:ind w:firstLine="142"/>
        <w:jc w:val="both"/>
        <w:rPr>
          <w:rFonts w:ascii="Times New Roman" w:hAnsi="Times New Roman"/>
          <w:i/>
          <w:noProof/>
        </w:rPr>
      </w:pPr>
      <w:r>
        <w:rPr>
          <w:rFonts w:ascii="Times New Roman" w:hAnsi="Times New Roman"/>
        </w:rPr>
        <w:tab/>
        <w:t xml:space="preserve">Jons </w:t>
      </w:r>
      <w:proofErr w:type="spellStart"/>
      <w:r>
        <w:rPr>
          <w:rFonts w:ascii="Times New Roman" w:hAnsi="Times New Roman"/>
        </w:rPr>
        <w:t>Fridriks</w:t>
      </w:r>
      <w:proofErr w:type="spellEnd"/>
      <w:r>
        <w:rPr>
          <w:rFonts w:ascii="Times New Roman" w:hAnsi="Times New Roman"/>
        </w:rPr>
        <w:t xml:space="preserve"> </w:t>
      </w:r>
      <w:proofErr w:type="spellStart"/>
      <w:r>
        <w:rPr>
          <w:rFonts w:ascii="Times New Roman" w:hAnsi="Times New Roman"/>
        </w:rPr>
        <w:t>Kjelbro</w:t>
      </w:r>
      <w:proofErr w:type="spellEnd"/>
      <w:r>
        <w:rPr>
          <w:rFonts w:ascii="Times New Roman" w:hAnsi="Times New Roman"/>
        </w:rPr>
        <w:t xml:space="preserve"> [</w:t>
      </w:r>
      <w:r>
        <w:rPr>
          <w:rFonts w:ascii="Times New Roman" w:hAnsi="Times New Roman"/>
          <w:i/>
          <w:iCs/>
        </w:rPr>
        <w:t xml:space="preserve">Jon </w:t>
      </w:r>
      <w:proofErr w:type="spellStart"/>
      <w:r>
        <w:rPr>
          <w:rFonts w:ascii="Times New Roman" w:hAnsi="Times New Roman"/>
          <w:i/>
          <w:iCs/>
        </w:rPr>
        <w:t>Fridrik</w:t>
      </w:r>
      <w:proofErr w:type="spellEnd"/>
      <w:r>
        <w:rPr>
          <w:rFonts w:ascii="Times New Roman" w:hAnsi="Times New Roman"/>
          <w:i/>
          <w:iCs/>
        </w:rPr>
        <w:t xml:space="preserve"> </w:t>
      </w:r>
      <w:proofErr w:type="spellStart"/>
      <w:r>
        <w:rPr>
          <w:rFonts w:ascii="Times New Roman" w:hAnsi="Times New Roman"/>
          <w:i/>
          <w:iCs/>
        </w:rPr>
        <w:t>Kjølbro</w:t>
      </w:r>
      <w:proofErr w:type="spellEnd"/>
      <w:r>
        <w:rPr>
          <w:rFonts w:ascii="Times New Roman" w:hAnsi="Times New Roman"/>
        </w:rPr>
        <w:t>],</w:t>
      </w:r>
    </w:p>
    <w:p w14:paraId="0AE85139" w14:textId="77777777" w:rsidR="008D031E" w:rsidRPr="008D031E" w:rsidRDefault="000E3283" w:rsidP="00CB7A9B">
      <w:pPr>
        <w:pStyle w:val="ECHRDecisionBody"/>
        <w:widowControl w:val="0"/>
        <w:spacing w:line="240" w:lineRule="auto"/>
        <w:ind w:firstLine="142"/>
        <w:jc w:val="both"/>
        <w:rPr>
          <w:rFonts w:ascii="Times New Roman" w:hAnsi="Times New Roman"/>
          <w:i/>
          <w:noProof/>
        </w:rPr>
      </w:pPr>
      <w:r>
        <w:rPr>
          <w:rFonts w:ascii="Times New Roman" w:hAnsi="Times New Roman"/>
        </w:rPr>
        <w:tab/>
        <w:t xml:space="preserve">Angelika </w:t>
      </w:r>
      <w:proofErr w:type="spellStart"/>
      <w:r>
        <w:rPr>
          <w:rFonts w:ascii="Times New Roman" w:hAnsi="Times New Roman"/>
        </w:rPr>
        <w:t>Nusbergere</w:t>
      </w:r>
      <w:proofErr w:type="spellEnd"/>
      <w:r>
        <w:rPr>
          <w:rFonts w:ascii="Times New Roman" w:hAnsi="Times New Roman"/>
        </w:rPr>
        <w:t xml:space="preserve"> [</w:t>
      </w:r>
      <w:r>
        <w:rPr>
          <w:rFonts w:ascii="Times New Roman" w:hAnsi="Times New Roman"/>
          <w:i/>
          <w:iCs/>
        </w:rPr>
        <w:t xml:space="preserve">Angelika </w:t>
      </w:r>
      <w:proofErr w:type="spellStart"/>
      <w:r>
        <w:rPr>
          <w:rFonts w:ascii="Times New Roman" w:hAnsi="Times New Roman"/>
          <w:i/>
          <w:iCs/>
        </w:rPr>
        <w:t>Nußberger</w:t>
      </w:r>
      <w:proofErr w:type="spellEnd"/>
      <w:r>
        <w:rPr>
          <w:rFonts w:ascii="Times New Roman" w:hAnsi="Times New Roman"/>
        </w:rPr>
        <w:t>],</w:t>
      </w:r>
    </w:p>
    <w:p w14:paraId="1C1FDCA7" w14:textId="77777777" w:rsidR="008D031E" w:rsidRPr="008D031E" w:rsidRDefault="000E3283" w:rsidP="00CB7A9B">
      <w:pPr>
        <w:pStyle w:val="ECHRDecisionBody"/>
        <w:widowControl w:val="0"/>
        <w:spacing w:line="240" w:lineRule="auto"/>
        <w:ind w:firstLine="142"/>
        <w:jc w:val="both"/>
        <w:rPr>
          <w:rFonts w:ascii="Times New Roman" w:hAnsi="Times New Roman"/>
          <w:i/>
          <w:noProof/>
        </w:rPr>
      </w:pPr>
      <w:r>
        <w:rPr>
          <w:rFonts w:ascii="Times New Roman" w:hAnsi="Times New Roman"/>
        </w:rPr>
        <w:tab/>
        <w:t xml:space="preserve">Pauls </w:t>
      </w:r>
      <w:proofErr w:type="spellStart"/>
      <w:r>
        <w:rPr>
          <w:rFonts w:ascii="Times New Roman" w:hAnsi="Times New Roman"/>
        </w:rPr>
        <w:t>Lemenss</w:t>
      </w:r>
      <w:proofErr w:type="spellEnd"/>
      <w:r>
        <w:rPr>
          <w:rFonts w:ascii="Times New Roman" w:hAnsi="Times New Roman"/>
        </w:rPr>
        <w:t xml:space="preserve"> [</w:t>
      </w:r>
      <w:r>
        <w:rPr>
          <w:rFonts w:ascii="Times New Roman" w:hAnsi="Times New Roman"/>
          <w:i/>
          <w:iCs/>
        </w:rPr>
        <w:t xml:space="preserve">Paul </w:t>
      </w:r>
      <w:proofErr w:type="spellStart"/>
      <w:r>
        <w:rPr>
          <w:rFonts w:ascii="Times New Roman" w:hAnsi="Times New Roman"/>
          <w:i/>
          <w:iCs/>
        </w:rPr>
        <w:t>Lemmens</w:t>
      </w:r>
      <w:proofErr w:type="spellEnd"/>
      <w:r>
        <w:rPr>
          <w:rFonts w:ascii="Times New Roman" w:hAnsi="Times New Roman"/>
        </w:rPr>
        <w:t>],</w:t>
      </w:r>
    </w:p>
    <w:p w14:paraId="54141A19" w14:textId="77777777" w:rsidR="008D031E" w:rsidRPr="008D031E" w:rsidRDefault="000E3283" w:rsidP="00CB7A9B">
      <w:pPr>
        <w:pStyle w:val="ECHRDecisionBody"/>
        <w:widowControl w:val="0"/>
        <w:spacing w:line="240" w:lineRule="auto"/>
        <w:ind w:firstLine="142"/>
        <w:jc w:val="both"/>
        <w:rPr>
          <w:rFonts w:ascii="Times New Roman" w:hAnsi="Times New Roman"/>
          <w:i/>
          <w:noProof/>
        </w:rPr>
      </w:pPr>
      <w:r>
        <w:rPr>
          <w:rFonts w:ascii="Times New Roman" w:hAnsi="Times New Roman"/>
        </w:rPr>
        <w:tab/>
      </w:r>
      <w:proofErr w:type="spellStart"/>
      <w:r>
        <w:rPr>
          <w:rFonts w:ascii="Times New Roman" w:hAnsi="Times New Roman"/>
        </w:rPr>
        <w:t>Jonko</w:t>
      </w:r>
      <w:proofErr w:type="spellEnd"/>
      <w:r>
        <w:rPr>
          <w:rFonts w:ascii="Times New Roman" w:hAnsi="Times New Roman"/>
        </w:rPr>
        <w:t xml:space="preserve"> </w:t>
      </w:r>
      <w:proofErr w:type="spellStart"/>
      <w:r>
        <w:rPr>
          <w:rFonts w:ascii="Times New Roman" w:hAnsi="Times New Roman"/>
        </w:rPr>
        <w:t>Grozevs</w:t>
      </w:r>
      <w:proofErr w:type="spellEnd"/>
      <w:r>
        <w:rPr>
          <w:rFonts w:ascii="Times New Roman" w:hAnsi="Times New Roman"/>
        </w:rPr>
        <w:t xml:space="preserve"> [</w:t>
      </w:r>
      <w:proofErr w:type="spellStart"/>
      <w:r>
        <w:rPr>
          <w:rFonts w:ascii="Times New Roman" w:hAnsi="Times New Roman"/>
          <w:i/>
          <w:iCs/>
        </w:rPr>
        <w:t>Yonko</w:t>
      </w:r>
      <w:proofErr w:type="spellEnd"/>
      <w:r>
        <w:rPr>
          <w:rFonts w:ascii="Times New Roman" w:hAnsi="Times New Roman"/>
          <w:i/>
          <w:iCs/>
        </w:rPr>
        <w:t xml:space="preserve"> </w:t>
      </w:r>
      <w:proofErr w:type="spellStart"/>
      <w:r>
        <w:rPr>
          <w:rFonts w:ascii="Times New Roman" w:hAnsi="Times New Roman"/>
          <w:i/>
          <w:iCs/>
        </w:rPr>
        <w:t>Grozev</w:t>
      </w:r>
      <w:proofErr w:type="spellEnd"/>
      <w:r>
        <w:rPr>
          <w:rFonts w:ascii="Times New Roman" w:hAnsi="Times New Roman"/>
        </w:rPr>
        <w:t>],</w:t>
      </w:r>
    </w:p>
    <w:p w14:paraId="29571F2C" w14:textId="77777777" w:rsidR="008D031E" w:rsidRPr="008D031E" w:rsidRDefault="000E3283" w:rsidP="00CB7A9B">
      <w:pPr>
        <w:pStyle w:val="ECHRDecisionBody"/>
        <w:widowControl w:val="0"/>
        <w:spacing w:line="240" w:lineRule="auto"/>
        <w:ind w:firstLine="142"/>
        <w:jc w:val="both"/>
        <w:rPr>
          <w:rFonts w:ascii="Times New Roman" w:hAnsi="Times New Roman"/>
          <w:i/>
          <w:noProof/>
        </w:rPr>
      </w:pPr>
      <w:r>
        <w:rPr>
          <w:rFonts w:ascii="Times New Roman" w:hAnsi="Times New Roman"/>
        </w:rPr>
        <w:tab/>
        <w:t>Vincents A. </w:t>
      </w:r>
      <w:proofErr w:type="spellStart"/>
      <w:r>
        <w:rPr>
          <w:rFonts w:ascii="Times New Roman" w:hAnsi="Times New Roman"/>
        </w:rPr>
        <w:t>De</w:t>
      </w:r>
      <w:proofErr w:type="spellEnd"/>
      <w:r>
        <w:rPr>
          <w:rFonts w:ascii="Times New Roman" w:hAnsi="Times New Roman"/>
        </w:rPr>
        <w:t xml:space="preserve"> </w:t>
      </w:r>
      <w:proofErr w:type="spellStart"/>
      <w:r>
        <w:rPr>
          <w:rFonts w:ascii="Times New Roman" w:hAnsi="Times New Roman"/>
        </w:rPr>
        <w:t>Gaetano</w:t>
      </w:r>
      <w:proofErr w:type="spellEnd"/>
      <w:r>
        <w:rPr>
          <w:rFonts w:ascii="Times New Roman" w:hAnsi="Times New Roman"/>
        </w:rPr>
        <w:t xml:space="preserve"> [</w:t>
      </w:r>
      <w:r>
        <w:rPr>
          <w:rFonts w:ascii="Times New Roman" w:hAnsi="Times New Roman"/>
          <w:i/>
          <w:iCs/>
        </w:rPr>
        <w:t xml:space="preserve">Vincent A. </w:t>
      </w:r>
      <w:proofErr w:type="spellStart"/>
      <w:r>
        <w:rPr>
          <w:rFonts w:ascii="Times New Roman" w:hAnsi="Times New Roman"/>
          <w:i/>
          <w:iCs/>
        </w:rPr>
        <w:t>De</w:t>
      </w:r>
      <w:proofErr w:type="spellEnd"/>
      <w:r>
        <w:rPr>
          <w:rFonts w:ascii="Times New Roman" w:hAnsi="Times New Roman"/>
          <w:i/>
          <w:iCs/>
        </w:rPr>
        <w:t xml:space="preserve"> </w:t>
      </w:r>
      <w:proofErr w:type="spellStart"/>
      <w:r>
        <w:rPr>
          <w:rFonts w:ascii="Times New Roman" w:hAnsi="Times New Roman"/>
          <w:i/>
          <w:iCs/>
        </w:rPr>
        <w:t>Gaetano</w:t>
      </w:r>
      <w:proofErr w:type="spellEnd"/>
      <w:r>
        <w:rPr>
          <w:rFonts w:ascii="Times New Roman" w:hAnsi="Times New Roman"/>
        </w:rPr>
        <w:t>],</w:t>
      </w:r>
    </w:p>
    <w:p w14:paraId="3B63FECD" w14:textId="77777777" w:rsidR="008D031E" w:rsidRPr="008D031E" w:rsidRDefault="000E3283" w:rsidP="00CB7A9B">
      <w:pPr>
        <w:pStyle w:val="ECHRDecisionBody"/>
        <w:widowControl w:val="0"/>
        <w:spacing w:line="240" w:lineRule="auto"/>
        <w:ind w:firstLine="142"/>
        <w:jc w:val="both"/>
        <w:rPr>
          <w:rFonts w:ascii="Times New Roman" w:hAnsi="Times New Roman"/>
          <w:i/>
          <w:noProof/>
        </w:rPr>
      </w:pPr>
      <w:r>
        <w:rPr>
          <w:rFonts w:ascii="Times New Roman" w:hAnsi="Times New Roman"/>
        </w:rPr>
        <w:tab/>
      </w:r>
      <w:proofErr w:type="spellStart"/>
      <w:r>
        <w:rPr>
          <w:rFonts w:ascii="Times New Roman" w:hAnsi="Times New Roman"/>
        </w:rPr>
        <w:t>Paulo</w:t>
      </w:r>
      <w:proofErr w:type="spellEnd"/>
      <w:r>
        <w:rPr>
          <w:rFonts w:ascii="Times New Roman" w:hAnsi="Times New Roman"/>
        </w:rPr>
        <w:t xml:space="preserve"> </w:t>
      </w:r>
      <w:proofErr w:type="spellStart"/>
      <w:r>
        <w:rPr>
          <w:rFonts w:ascii="Times New Roman" w:hAnsi="Times New Roman"/>
        </w:rPr>
        <w:t>Pinto</w:t>
      </w:r>
      <w:proofErr w:type="spellEnd"/>
      <w:r>
        <w:rPr>
          <w:rFonts w:ascii="Times New Roman" w:hAnsi="Times New Roman"/>
        </w:rPr>
        <w:t xml:space="preserve"> </w:t>
      </w:r>
      <w:proofErr w:type="spellStart"/>
      <w:r>
        <w:rPr>
          <w:rFonts w:ascii="Times New Roman" w:hAnsi="Times New Roman"/>
        </w:rPr>
        <w:t>de</w:t>
      </w:r>
      <w:proofErr w:type="spellEnd"/>
      <w:r>
        <w:rPr>
          <w:rFonts w:ascii="Times New Roman" w:hAnsi="Times New Roman"/>
        </w:rPr>
        <w:t xml:space="preserve"> Albukerke [</w:t>
      </w:r>
      <w:proofErr w:type="spellStart"/>
      <w:r>
        <w:rPr>
          <w:rFonts w:ascii="Times New Roman" w:hAnsi="Times New Roman"/>
          <w:i/>
          <w:iCs/>
        </w:rPr>
        <w:t>Paulo</w:t>
      </w:r>
      <w:proofErr w:type="spellEnd"/>
      <w:r>
        <w:rPr>
          <w:rFonts w:ascii="Times New Roman" w:hAnsi="Times New Roman"/>
          <w:i/>
          <w:iCs/>
        </w:rPr>
        <w:t xml:space="preserve"> </w:t>
      </w:r>
      <w:proofErr w:type="spellStart"/>
      <w:r>
        <w:rPr>
          <w:rFonts w:ascii="Times New Roman" w:hAnsi="Times New Roman"/>
          <w:i/>
          <w:iCs/>
        </w:rPr>
        <w:t>Pinto</w:t>
      </w:r>
      <w:proofErr w:type="spellEnd"/>
      <w:r>
        <w:rPr>
          <w:rFonts w:ascii="Times New Roman" w:hAnsi="Times New Roman"/>
          <w:i/>
          <w:iCs/>
        </w:rPr>
        <w:t xml:space="preserve"> </w:t>
      </w:r>
      <w:proofErr w:type="spellStart"/>
      <w:r>
        <w:rPr>
          <w:rFonts w:ascii="Times New Roman" w:hAnsi="Times New Roman"/>
          <w:i/>
          <w:iCs/>
        </w:rPr>
        <w:t>de</w:t>
      </w:r>
      <w:proofErr w:type="spellEnd"/>
      <w:r>
        <w:rPr>
          <w:rFonts w:ascii="Times New Roman" w:hAnsi="Times New Roman"/>
          <w:i/>
          <w:iCs/>
        </w:rPr>
        <w:t xml:space="preserve"> </w:t>
      </w:r>
      <w:proofErr w:type="spellStart"/>
      <w:r>
        <w:rPr>
          <w:rFonts w:ascii="Times New Roman" w:hAnsi="Times New Roman"/>
          <w:i/>
          <w:iCs/>
        </w:rPr>
        <w:t>Albuquerque</w:t>
      </w:r>
      <w:proofErr w:type="spellEnd"/>
      <w:r>
        <w:rPr>
          <w:rFonts w:ascii="Times New Roman" w:hAnsi="Times New Roman"/>
        </w:rPr>
        <w:t>],</w:t>
      </w:r>
    </w:p>
    <w:p w14:paraId="65D83B4C" w14:textId="77777777" w:rsidR="008D031E" w:rsidRPr="008D031E" w:rsidRDefault="000E3283" w:rsidP="00CB7A9B">
      <w:pPr>
        <w:pStyle w:val="ECHRDecisionBody"/>
        <w:widowControl w:val="0"/>
        <w:spacing w:line="240" w:lineRule="auto"/>
        <w:ind w:firstLine="142"/>
        <w:jc w:val="both"/>
        <w:rPr>
          <w:rFonts w:ascii="Times New Roman" w:hAnsi="Times New Roman"/>
          <w:i/>
          <w:noProof/>
        </w:rPr>
      </w:pPr>
      <w:r>
        <w:rPr>
          <w:rFonts w:ascii="Times New Roman" w:hAnsi="Times New Roman"/>
        </w:rPr>
        <w:tab/>
      </w:r>
      <w:proofErr w:type="spellStart"/>
      <w:r>
        <w:rPr>
          <w:rFonts w:ascii="Times New Roman" w:hAnsi="Times New Roman"/>
        </w:rPr>
        <w:t>Fariss</w:t>
      </w:r>
      <w:proofErr w:type="spellEnd"/>
      <w:r>
        <w:rPr>
          <w:rFonts w:ascii="Times New Roman" w:hAnsi="Times New Roman"/>
        </w:rPr>
        <w:t xml:space="preserve"> </w:t>
      </w:r>
      <w:proofErr w:type="spellStart"/>
      <w:r>
        <w:rPr>
          <w:rFonts w:ascii="Times New Roman" w:hAnsi="Times New Roman"/>
        </w:rPr>
        <w:t>Vehabovičs</w:t>
      </w:r>
      <w:proofErr w:type="spellEnd"/>
      <w:r>
        <w:rPr>
          <w:rFonts w:ascii="Times New Roman" w:hAnsi="Times New Roman"/>
        </w:rPr>
        <w:t xml:space="preserve"> [</w:t>
      </w:r>
      <w:proofErr w:type="spellStart"/>
      <w:r>
        <w:rPr>
          <w:rFonts w:ascii="Times New Roman" w:hAnsi="Times New Roman"/>
          <w:i/>
          <w:iCs/>
        </w:rPr>
        <w:t>Faris</w:t>
      </w:r>
      <w:proofErr w:type="spellEnd"/>
      <w:r>
        <w:rPr>
          <w:rFonts w:ascii="Times New Roman" w:hAnsi="Times New Roman"/>
          <w:i/>
          <w:iCs/>
        </w:rPr>
        <w:t xml:space="preserve"> </w:t>
      </w:r>
      <w:proofErr w:type="spellStart"/>
      <w:r>
        <w:rPr>
          <w:rFonts w:ascii="Times New Roman" w:hAnsi="Times New Roman"/>
          <w:i/>
          <w:iCs/>
        </w:rPr>
        <w:t>Vehabović</w:t>
      </w:r>
      <w:proofErr w:type="spellEnd"/>
      <w:r>
        <w:rPr>
          <w:rFonts w:ascii="Times New Roman" w:hAnsi="Times New Roman"/>
        </w:rPr>
        <w:t>],</w:t>
      </w:r>
    </w:p>
    <w:p w14:paraId="2BB424ED" w14:textId="77777777" w:rsidR="008D031E" w:rsidRPr="008D031E" w:rsidRDefault="000E3283" w:rsidP="00CB7A9B">
      <w:pPr>
        <w:pStyle w:val="ECHRDecisionBody"/>
        <w:widowControl w:val="0"/>
        <w:spacing w:line="240" w:lineRule="auto"/>
        <w:ind w:firstLine="142"/>
        <w:jc w:val="both"/>
        <w:rPr>
          <w:rFonts w:ascii="Times New Roman" w:hAnsi="Times New Roman"/>
          <w:i/>
          <w:noProof/>
        </w:rPr>
      </w:pPr>
      <w:r>
        <w:rPr>
          <w:rFonts w:ascii="Times New Roman" w:hAnsi="Times New Roman"/>
        </w:rPr>
        <w:tab/>
        <w:t xml:space="preserve">Jūlija </w:t>
      </w:r>
      <w:proofErr w:type="spellStart"/>
      <w:r>
        <w:rPr>
          <w:rFonts w:ascii="Times New Roman" w:hAnsi="Times New Roman"/>
        </w:rPr>
        <w:t>Antoanella</w:t>
      </w:r>
      <w:proofErr w:type="spellEnd"/>
      <w:r>
        <w:rPr>
          <w:rFonts w:ascii="Times New Roman" w:hAnsi="Times New Roman"/>
        </w:rPr>
        <w:t xml:space="preserve"> </w:t>
      </w:r>
      <w:proofErr w:type="spellStart"/>
      <w:r>
        <w:rPr>
          <w:rFonts w:ascii="Times New Roman" w:hAnsi="Times New Roman"/>
        </w:rPr>
        <w:t>Motoka</w:t>
      </w:r>
      <w:proofErr w:type="spellEnd"/>
      <w:r>
        <w:rPr>
          <w:rFonts w:ascii="Times New Roman" w:hAnsi="Times New Roman"/>
        </w:rPr>
        <w:t xml:space="preserve"> [</w:t>
      </w:r>
      <w:proofErr w:type="spellStart"/>
      <w:r>
        <w:rPr>
          <w:rFonts w:ascii="Times New Roman" w:hAnsi="Times New Roman"/>
          <w:i/>
          <w:iCs/>
        </w:rPr>
        <w:t>Iulia</w:t>
      </w:r>
      <w:proofErr w:type="spellEnd"/>
      <w:r>
        <w:rPr>
          <w:rFonts w:ascii="Times New Roman" w:hAnsi="Times New Roman"/>
          <w:i/>
          <w:iCs/>
        </w:rPr>
        <w:t xml:space="preserve"> </w:t>
      </w:r>
      <w:proofErr w:type="spellStart"/>
      <w:r>
        <w:rPr>
          <w:rFonts w:ascii="Times New Roman" w:hAnsi="Times New Roman"/>
          <w:i/>
          <w:iCs/>
        </w:rPr>
        <w:t>Antoanella</w:t>
      </w:r>
      <w:proofErr w:type="spellEnd"/>
      <w:r>
        <w:rPr>
          <w:rFonts w:ascii="Times New Roman" w:hAnsi="Times New Roman"/>
          <w:i/>
          <w:iCs/>
        </w:rPr>
        <w:t xml:space="preserve"> </w:t>
      </w:r>
      <w:proofErr w:type="spellStart"/>
      <w:r>
        <w:rPr>
          <w:rFonts w:ascii="Times New Roman" w:hAnsi="Times New Roman"/>
          <w:i/>
          <w:iCs/>
        </w:rPr>
        <w:t>Motoc</w:t>
      </w:r>
      <w:proofErr w:type="spellEnd"/>
      <w:r>
        <w:rPr>
          <w:rFonts w:ascii="Times New Roman" w:hAnsi="Times New Roman"/>
        </w:rPr>
        <w:t>],</w:t>
      </w:r>
    </w:p>
    <w:p w14:paraId="502568F1" w14:textId="77777777" w:rsidR="008D031E" w:rsidRPr="008D031E" w:rsidRDefault="000E3283" w:rsidP="00CB7A9B">
      <w:pPr>
        <w:pStyle w:val="ECHRDecisionBody"/>
        <w:widowControl w:val="0"/>
        <w:spacing w:line="240" w:lineRule="auto"/>
        <w:ind w:firstLine="142"/>
        <w:jc w:val="both"/>
        <w:rPr>
          <w:rFonts w:ascii="Times New Roman" w:hAnsi="Times New Roman"/>
          <w:i/>
          <w:noProof/>
        </w:rPr>
      </w:pPr>
      <w:r>
        <w:rPr>
          <w:rFonts w:ascii="Times New Roman" w:hAnsi="Times New Roman"/>
        </w:rPr>
        <w:tab/>
        <w:t xml:space="preserve">Karlo </w:t>
      </w:r>
      <w:proofErr w:type="spellStart"/>
      <w:r>
        <w:rPr>
          <w:rFonts w:ascii="Times New Roman" w:hAnsi="Times New Roman"/>
        </w:rPr>
        <w:t>Ranconi</w:t>
      </w:r>
      <w:proofErr w:type="spellEnd"/>
      <w:r>
        <w:rPr>
          <w:rFonts w:ascii="Times New Roman" w:hAnsi="Times New Roman"/>
        </w:rPr>
        <w:t xml:space="preserve"> [</w:t>
      </w:r>
      <w:proofErr w:type="spellStart"/>
      <w:r>
        <w:rPr>
          <w:rFonts w:ascii="Times New Roman" w:hAnsi="Times New Roman"/>
          <w:i/>
          <w:iCs/>
        </w:rPr>
        <w:t>Carlo</w:t>
      </w:r>
      <w:proofErr w:type="spellEnd"/>
      <w:r>
        <w:rPr>
          <w:rFonts w:ascii="Times New Roman" w:hAnsi="Times New Roman"/>
          <w:i/>
          <w:iCs/>
        </w:rPr>
        <w:t xml:space="preserve"> </w:t>
      </w:r>
      <w:proofErr w:type="spellStart"/>
      <w:r>
        <w:rPr>
          <w:rFonts w:ascii="Times New Roman" w:hAnsi="Times New Roman"/>
          <w:i/>
          <w:iCs/>
        </w:rPr>
        <w:t>Ranzoni</w:t>
      </w:r>
      <w:proofErr w:type="spellEnd"/>
      <w:r>
        <w:rPr>
          <w:rFonts w:ascii="Times New Roman" w:hAnsi="Times New Roman"/>
        </w:rPr>
        <w:t>],</w:t>
      </w:r>
    </w:p>
    <w:p w14:paraId="66203531" w14:textId="77777777" w:rsidR="008D031E" w:rsidRPr="008D031E" w:rsidRDefault="000E3283" w:rsidP="00CB7A9B">
      <w:pPr>
        <w:pStyle w:val="ECHRDecisionBody"/>
        <w:widowControl w:val="0"/>
        <w:spacing w:line="240" w:lineRule="auto"/>
        <w:ind w:firstLine="142"/>
        <w:jc w:val="both"/>
        <w:rPr>
          <w:rFonts w:ascii="Times New Roman" w:hAnsi="Times New Roman"/>
          <w:i/>
          <w:noProof/>
        </w:rPr>
      </w:pPr>
      <w:r>
        <w:rPr>
          <w:rFonts w:ascii="Times New Roman" w:hAnsi="Times New Roman"/>
        </w:rPr>
        <w:tab/>
        <w:t xml:space="preserve">Mārtiņš </w:t>
      </w:r>
      <w:proofErr w:type="spellStart"/>
      <w:r>
        <w:rPr>
          <w:rFonts w:ascii="Times New Roman" w:hAnsi="Times New Roman"/>
        </w:rPr>
        <w:t>Mits</w:t>
      </w:r>
      <w:proofErr w:type="spellEnd"/>
      <w:r>
        <w:rPr>
          <w:rFonts w:ascii="Times New Roman" w:hAnsi="Times New Roman"/>
        </w:rPr>
        <w:t>,</w:t>
      </w:r>
    </w:p>
    <w:p w14:paraId="774D7425" w14:textId="77777777" w:rsidR="008D031E" w:rsidRPr="008D031E" w:rsidRDefault="000E3283" w:rsidP="00CB7A9B">
      <w:pPr>
        <w:pStyle w:val="ECHRDecisionBody"/>
        <w:widowControl w:val="0"/>
        <w:spacing w:line="240" w:lineRule="auto"/>
        <w:ind w:firstLine="142"/>
        <w:jc w:val="both"/>
        <w:rPr>
          <w:rFonts w:ascii="Times New Roman" w:hAnsi="Times New Roman"/>
          <w:i/>
          <w:noProof/>
        </w:rPr>
      </w:pPr>
      <w:r>
        <w:rPr>
          <w:rFonts w:ascii="Times New Roman" w:hAnsi="Times New Roman"/>
        </w:rPr>
        <w:tab/>
      </w:r>
      <w:proofErr w:type="spellStart"/>
      <w:r>
        <w:rPr>
          <w:rFonts w:ascii="Times New Roman" w:hAnsi="Times New Roman"/>
        </w:rPr>
        <w:t>Gabriele</w:t>
      </w:r>
      <w:proofErr w:type="spellEnd"/>
      <w:r>
        <w:rPr>
          <w:rFonts w:ascii="Times New Roman" w:hAnsi="Times New Roman"/>
        </w:rPr>
        <w:t xml:space="preserve"> </w:t>
      </w:r>
      <w:proofErr w:type="spellStart"/>
      <w:r>
        <w:rPr>
          <w:rFonts w:ascii="Times New Roman" w:hAnsi="Times New Roman"/>
        </w:rPr>
        <w:t>Kucsko-Štadlmeijere</w:t>
      </w:r>
      <w:proofErr w:type="spellEnd"/>
      <w:r>
        <w:rPr>
          <w:rFonts w:ascii="Times New Roman" w:hAnsi="Times New Roman"/>
        </w:rPr>
        <w:t xml:space="preserve"> [</w:t>
      </w:r>
      <w:proofErr w:type="spellStart"/>
      <w:r>
        <w:rPr>
          <w:rFonts w:ascii="Times New Roman" w:hAnsi="Times New Roman"/>
          <w:i/>
          <w:iCs/>
        </w:rPr>
        <w:t>Gabriele</w:t>
      </w:r>
      <w:proofErr w:type="spellEnd"/>
      <w:r>
        <w:rPr>
          <w:rFonts w:ascii="Times New Roman" w:hAnsi="Times New Roman"/>
          <w:i/>
          <w:iCs/>
        </w:rPr>
        <w:t xml:space="preserve"> </w:t>
      </w:r>
      <w:proofErr w:type="spellStart"/>
      <w:r>
        <w:rPr>
          <w:rFonts w:ascii="Times New Roman" w:hAnsi="Times New Roman"/>
          <w:i/>
          <w:iCs/>
        </w:rPr>
        <w:t>Kucsko-Stadlmayer</w:t>
      </w:r>
      <w:proofErr w:type="spellEnd"/>
      <w:r>
        <w:rPr>
          <w:rFonts w:ascii="Times New Roman" w:hAnsi="Times New Roman"/>
        </w:rPr>
        <w:t>],</w:t>
      </w:r>
    </w:p>
    <w:p w14:paraId="1762A56A" w14:textId="77777777" w:rsidR="008D031E" w:rsidRPr="008D031E" w:rsidRDefault="000E3283" w:rsidP="00CB7A9B">
      <w:pPr>
        <w:pStyle w:val="ECHRDecisionBody"/>
        <w:widowControl w:val="0"/>
        <w:spacing w:line="240" w:lineRule="auto"/>
        <w:ind w:firstLine="142"/>
        <w:jc w:val="both"/>
        <w:rPr>
          <w:rFonts w:ascii="Times New Roman" w:hAnsi="Times New Roman"/>
          <w:i/>
          <w:noProof/>
        </w:rPr>
      </w:pPr>
      <w:r>
        <w:rPr>
          <w:rFonts w:ascii="Times New Roman" w:hAnsi="Times New Roman"/>
        </w:rPr>
        <w:tab/>
      </w:r>
      <w:proofErr w:type="spellStart"/>
      <w:r>
        <w:rPr>
          <w:rFonts w:ascii="Times New Roman" w:hAnsi="Times New Roman"/>
        </w:rPr>
        <w:t>Marko</w:t>
      </w:r>
      <w:proofErr w:type="spellEnd"/>
      <w:r>
        <w:rPr>
          <w:rFonts w:ascii="Times New Roman" w:hAnsi="Times New Roman"/>
        </w:rPr>
        <w:t xml:space="preserve"> </w:t>
      </w:r>
      <w:proofErr w:type="spellStart"/>
      <w:r>
        <w:rPr>
          <w:rFonts w:ascii="Times New Roman" w:hAnsi="Times New Roman"/>
        </w:rPr>
        <w:t>Bošņaks</w:t>
      </w:r>
      <w:proofErr w:type="spellEnd"/>
      <w:r>
        <w:rPr>
          <w:rFonts w:ascii="Times New Roman" w:hAnsi="Times New Roman"/>
        </w:rPr>
        <w:t xml:space="preserve"> [</w:t>
      </w:r>
      <w:proofErr w:type="spellStart"/>
      <w:r>
        <w:rPr>
          <w:rFonts w:ascii="Times New Roman" w:hAnsi="Times New Roman"/>
          <w:i/>
          <w:iCs/>
        </w:rPr>
        <w:t>Marko</w:t>
      </w:r>
      <w:proofErr w:type="spellEnd"/>
      <w:r>
        <w:rPr>
          <w:rFonts w:ascii="Times New Roman" w:hAnsi="Times New Roman"/>
          <w:i/>
          <w:iCs/>
        </w:rPr>
        <w:t xml:space="preserve"> </w:t>
      </w:r>
      <w:proofErr w:type="spellStart"/>
      <w:r>
        <w:rPr>
          <w:rFonts w:ascii="Times New Roman" w:hAnsi="Times New Roman"/>
          <w:i/>
          <w:iCs/>
        </w:rPr>
        <w:t>Bošnjak</w:t>
      </w:r>
      <w:proofErr w:type="spellEnd"/>
      <w:r>
        <w:rPr>
          <w:rFonts w:ascii="Times New Roman" w:hAnsi="Times New Roman"/>
        </w:rPr>
        <w:t>],</w:t>
      </w:r>
    </w:p>
    <w:p w14:paraId="0252910B" w14:textId="77777777" w:rsidR="008D031E" w:rsidRPr="008D031E" w:rsidRDefault="000E3283" w:rsidP="00CB7A9B">
      <w:pPr>
        <w:pStyle w:val="ECHRDecisionBody"/>
        <w:widowControl w:val="0"/>
        <w:spacing w:line="240" w:lineRule="auto"/>
        <w:ind w:firstLine="142"/>
        <w:jc w:val="both"/>
        <w:rPr>
          <w:rFonts w:ascii="Times New Roman" w:hAnsi="Times New Roman"/>
          <w:i/>
          <w:noProof/>
        </w:rPr>
      </w:pPr>
      <w:r>
        <w:rPr>
          <w:rFonts w:ascii="Times New Roman" w:hAnsi="Times New Roman"/>
        </w:rPr>
        <w:tab/>
        <w:t xml:space="preserve">Tims </w:t>
      </w:r>
      <w:proofErr w:type="spellStart"/>
      <w:r>
        <w:rPr>
          <w:rFonts w:ascii="Times New Roman" w:hAnsi="Times New Roman"/>
        </w:rPr>
        <w:t>Eike</w:t>
      </w:r>
      <w:proofErr w:type="spellEnd"/>
      <w:r>
        <w:rPr>
          <w:rFonts w:ascii="Times New Roman" w:hAnsi="Times New Roman"/>
        </w:rPr>
        <w:t xml:space="preserve"> [</w:t>
      </w:r>
      <w:r>
        <w:rPr>
          <w:rFonts w:ascii="Times New Roman" w:hAnsi="Times New Roman"/>
          <w:i/>
          <w:iCs/>
        </w:rPr>
        <w:t xml:space="preserve">Tim </w:t>
      </w:r>
      <w:proofErr w:type="spellStart"/>
      <w:r>
        <w:rPr>
          <w:rFonts w:ascii="Times New Roman" w:hAnsi="Times New Roman"/>
          <w:i/>
          <w:iCs/>
        </w:rPr>
        <w:t>Eicke</w:t>
      </w:r>
      <w:proofErr w:type="spellEnd"/>
      <w:r>
        <w:rPr>
          <w:rFonts w:ascii="Times New Roman" w:hAnsi="Times New Roman"/>
        </w:rPr>
        <w:t>],</w:t>
      </w:r>
    </w:p>
    <w:p w14:paraId="09324D34" w14:textId="77777777" w:rsidR="008D031E" w:rsidRPr="008D031E" w:rsidRDefault="000E3283" w:rsidP="00CB7A9B">
      <w:pPr>
        <w:pStyle w:val="ECHRDecisionBody"/>
        <w:widowControl w:val="0"/>
        <w:spacing w:line="240" w:lineRule="auto"/>
        <w:ind w:firstLine="142"/>
        <w:jc w:val="both"/>
        <w:rPr>
          <w:rFonts w:ascii="Times New Roman" w:hAnsi="Times New Roman"/>
          <w:i/>
          <w:noProof/>
        </w:rPr>
      </w:pPr>
      <w:r>
        <w:rPr>
          <w:rFonts w:ascii="Times New Roman" w:hAnsi="Times New Roman"/>
        </w:rPr>
        <w:tab/>
      </w:r>
      <w:proofErr w:type="spellStart"/>
      <w:r>
        <w:rPr>
          <w:rFonts w:ascii="Times New Roman" w:hAnsi="Times New Roman"/>
        </w:rPr>
        <w:t>Darians</w:t>
      </w:r>
      <w:proofErr w:type="spellEnd"/>
      <w:r>
        <w:rPr>
          <w:rFonts w:ascii="Times New Roman" w:hAnsi="Times New Roman"/>
        </w:rPr>
        <w:t xml:space="preserve"> </w:t>
      </w:r>
      <w:proofErr w:type="spellStart"/>
      <w:r>
        <w:rPr>
          <w:rFonts w:ascii="Times New Roman" w:hAnsi="Times New Roman"/>
        </w:rPr>
        <w:t>Pavli</w:t>
      </w:r>
      <w:proofErr w:type="spellEnd"/>
      <w:r>
        <w:rPr>
          <w:rFonts w:ascii="Times New Roman" w:hAnsi="Times New Roman"/>
        </w:rPr>
        <w:t xml:space="preserve"> [</w:t>
      </w:r>
      <w:proofErr w:type="spellStart"/>
      <w:r>
        <w:rPr>
          <w:rFonts w:ascii="Times New Roman" w:hAnsi="Times New Roman"/>
          <w:i/>
          <w:iCs/>
        </w:rPr>
        <w:t>Darian</w:t>
      </w:r>
      <w:proofErr w:type="spellEnd"/>
      <w:r>
        <w:rPr>
          <w:rFonts w:ascii="Times New Roman" w:hAnsi="Times New Roman"/>
          <w:i/>
          <w:iCs/>
        </w:rPr>
        <w:t xml:space="preserve"> </w:t>
      </w:r>
      <w:proofErr w:type="spellStart"/>
      <w:r>
        <w:rPr>
          <w:rFonts w:ascii="Times New Roman" w:hAnsi="Times New Roman"/>
          <w:i/>
          <w:iCs/>
        </w:rPr>
        <w:t>Pavli</w:t>
      </w:r>
      <w:proofErr w:type="spellEnd"/>
      <w:r>
        <w:rPr>
          <w:rFonts w:ascii="Times New Roman" w:hAnsi="Times New Roman"/>
        </w:rPr>
        <w:t>],</w:t>
      </w:r>
    </w:p>
    <w:p w14:paraId="4861DC4C" w14:textId="77777777" w:rsidR="008D031E" w:rsidRPr="008D031E" w:rsidRDefault="000E3283" w:rsidP="00CB7A9B">
      <w:pPr>
        <w:pStyle w:val="ECHRDecisionBody"/>
        <w:widowControl w:val="0"/>
        <w:spacing w:line="240" w:lineRule="auto"/>
        <w:ind w:firstLine="142"/>
        <w:jc w:val="both"/>
        <w:rPr>
          <w:rFonts w:ascii="Times New Roman" w:hAnsi="Times New Roman"/>
          <w:i/>
          <w:noProof/>
        </w:rPr>
      </w:pPr>
      <w:r>
        <w:rPr>
          <w:rFonts w:ascii="Times New Roman" w:hAnsi="Times New Roman"/>
        </w:rPr>
        <w:tab/>
        <w:t xml:space="preserve">Ēriks </w:t>
      </w:r>
      <w:proofErr w:type="spellStart"/>
      <w:r>
        <w:rPr>
          <w:rFonts w:ascii="Times New Roman" w:hAnsi="Times New Roman"/>
        </w:rPr>
        <w:t>Venerstrēms</w:t>
      </w:r>
      <w:proofErr w:type="spellEnd"/>
      <w:r>
        <w:rPr>
          <w:rFonts w:ascii="Times New Roman" w:hAnsi="Times New Roman"/>
        </w:rPr>
        <w:t xml:space="preserve"> [</w:t>
      </w:r>
      <w:r>
        <w:rPr>
          <w:rFonts w:ascii="Times New Roman" w:hAnsi="Times New Roman"/>
          <w:i/>
          <w:iCs/>
        </w:rPr>
        <w:t xml:space="preserve">Erik </w:t>
      </w:r>
      <w:proofErr w:type="spellStart"/>
      <w:r>
        <w:rPr>
          <w:rFonts w:ascii="Times New Roman" w:hAnsi="Times New Roman"/>
          <w:i/>
          <w:iCs/>
        </w:rPr>
        <w:t>Wennerström</w:t>
      </w:r>
      <w:proofErr w:type="spellEnd"/>
      <w:r>
        <w:rPr>
          <w:rFonts w:ascii="Times New Roman" w:hAnsi="Times New Roman"/>
        </w:rPr>
        <w:t>],</w:t>
      </w:r>
    </w:p>
    <w:p w14:paraId="4519487E" w14:textId="77777777" w:rsidR="008D031E" w:rsidRPr="008D031E" w:rsidRDefault="000E3283" w:rsidP="00CB7A9B">
      <w:pPr>
        <w:pStyle w:val="ECHRDecisionBody"/>
        <w:widowControl w:val="0"/>
        <w:spacing w:line="240" w:lineRule="auto"/>
        <w:ind w:firstLine="142"/>
        <w:jc w:val="both"/>
        <w:rPr>
          <w:rFonts w:ascii="Times New Roman" w:hAnsi="Times New Roman"/>
          <w:i/>
          <w:noProof/>
        </w:rPr>
      </w:pPr>
      <w:r>
        <w:rPr>
          <w:rFonts w:ascii="Times New Roman" w:hAnsi="Times New Roman"/>
        </w:rPr>
        <w:tab/>
      </w:r>
      <w:proofErr w:type="spellStart"/>
      <w:r>
        <w:rPr>
          <w:rFonts w:ascii="Times New Roman" w:hAnsi="Times New Roman"/>
        </w:rPr>
        <w:t>Sādeta</w:t>
      </w:r>
      <w:proofErr w:type="spellEnd"/>
      <w:r>
        <w:rPr>
          <w:rFonts w:ascii="Times New Roman" w:hAnsi="Times New Roman"/>
        </w:rPr>
        <w:t xml:space="preserve"> </w:t>
      </w:r>
      <w:proofErr w:type="spellStart"/>
      <w:r>
        <w:rPr>
          <w:rFonts w:ascii="Times New Roman" w:hAnsi="Times New Roman"/>
        </w:rPr>
        <w:t>Juksela</w:t>
      </w:r>
      <w:proofErr w:type="spellEnd"/>
      <w:r>
        <w:rPr>
          <w:rFonts w:ascii="Times New Roman" w:hAnsi="Times New Roman"/>
        </w:rPr>
        <w:t xml:space="preserve"> [</w:t>
      </w:r>
      <w:proofErr w:type="spellStart"/>
      <w:r>
        <w:rPr>
          <w:rFonts w:ascii="Times New Roman" w:hAnsi="Times New Roman"/>
          <w:i/>
          <w:iCs/>
        </w:rPr>
        <w:t>Saadet</w:t>
      </w:r>
      <w:proofErr w:type="spellEnd"/>
      <w:r>
        <w:rPr>
          <w:rFonts w:ascii="Times New Roman" w:hAnsi="Times New Roman"/>
          <w:i/>
          <w:iCs/>
        </w:rPr>
        <w:t xml:space="preserve"> </w:t>
      </w:r>
      <w:proofErr w:type="spellStart"/>
      <w:r>
        <w:rPr>
          <w:rFonts w:ascii="Times New Roman" w:hAnsi="Times New Roman"/>
          <w:i/>
          <w:iCs/>
        </w:rPr>
        <w:t>Yüksel</w:t>
      </w:r>
      <w:proofErr w:type="spellEnd"/>
      <w:r>
        <w:rPr>
          <w:rFonts w:ascii="Times New Roman" w:hAnsi="Times New Roman"/>
        </w:rPr>
        <w:t xml:space="preserve">], </w:t>
      </w:r>
      <w:r>
        <w:rPr>
          <w:rFonts w:ascii="Times New Roman" w:hAnsi="Times New Roman"/>
          <w:i/>
          <w:iCs/>
        </w:rPr>
        <w:t>tiesneši,</w:t>
      </w:r>
    </w:p>
    <w:p w14:paraId="7CE26867" w14:textId="6D4D2F37" w:rsidR="000E3283" w:rsidRPr="008D031E" w:rsidRDefault="000E3283" w:rsidP="00CB7A9B">
      <w:pPr>
        <w:pStyle w:val="ECHRDecisionBody"/>
        <w:widowControl w:val="0"/>
        <w:spacing w:line="240" w:lineRule="auto"/>
        <w:ind w:firstLine="142"/>
        <w:jc w:val="both"/>
        <w:rPr>
          <w:rFonts w:ascii="Times New Roman" w:hAnsi="Times New Roman"/>
          <w:noProof/>
        </w:rPr>
      </w:pPr>
      <w:r>
        <w:rPr>
          <w:rFonts w:ascii="Times New Roman" w:hAnsi="Times New Roman"/>
        </w:rPr>
        <w:t xml:space="preserve">un </w:t>
      </w:r>
      <w:proofErr w:type="spellStart"/>
      <w:r>
        <w:rPr>
          <w:rFonts w:ascii="Times New Roman" w:hAnsi="Times New Roman"/>
        </w:rPr>
        <w:t>Sorens</w:t>
      </w:r>
      <w:proofErr w:type="spellEnd"/>
      <w:r>
        <w:rPr>
          <w:rFonts w:ascii="Times New Roman" w:hAnsi="Times New Roman"/>
        </w:rPr>
        <w:t xml:space="preserve"> </w:t>
      </w:r>
      <w:proofErr w:type="spellStart"/>
      <w:r>
        <w:rPr>
          <w:rFonts w:ascii="Times New Roman" w:hAnsi="Times New Roman"/>
        </w:rPr>
        <w:t>Prebensens</w:t>
      </w:r>
      <w:proofErr w:type="spellEnd"/>
      <w:r>
        <w:rPr>
          <w:rFonts w:ascii="Times New Roman" w:hAnsi="Times New Roman"/>
        </w:rPr>
        <w:t xml:space="preserve"> [</w:t>
      </w:r>
      <w:proofErr w:type="spellStart"/>
      <w:r>
        <w:rPr>
          <w:rFonts w:ascii="Times New Roman" w:hAnsi="Times New Roman"/>
          <w:i/>
          <w:iCs/>
        </w:rPr>
        <w:t>Søren</w:t>
      </w:r>
      <w:proofErr w:type="spellEnd"/>
      <w:r>
        <w:rPr>
          <w:rFonts w:ascii="Times New Roman" w:hAnsi="Times New Roman"/>
          <w:i/>
          <w:iCs/>
        </w:rPr>
        <w:t xml:space="preserve"> </w:t>
      </w:r>
      <w:proofErr w:type="spellStart"/>
      <w:r>
        <w:rPr>
          <w:rFonts w:ascii="Times New Roman" w:hAnsi="Times New Roman"/>
          <w:i/>
          <w:iCs/>
        </w:rPr>
        <w:t>Prebensen</w:t>
      </w:r>
      <w:proofErr w:type="spellEnd"/>
      <w:r>
        <w:rPr>
          <w:rFonts w:ascii="Times New Roman" w:hAnsi="Times New Roman"/>
        </w:rPr>
        <w:t xml:space="preserve">], </w:t>
      </w:r>
      <w:r>
        <w:rPr>
          <w:rFonts w:ascii="Times New Roman" w:hAnsi="Times New Roman"/>
          <w:i/>
          <w:iCs/>
        </w:rPr>
        <w:t>Lielās palātas sekretāra palīgs</w:t>
      </w:r>
      <w:r>
        <w:rPr>
          <w:rFonts w:ascii="Times New Roman" w:hAnsi="Times New Roman"/>
        </w:rPr>
        <w:t>,</w:t>
      </w:r>
    </w:p>
    <w:p w14:paraId="14CC2F28" w14:textId="77777777" w:rsidR="000E3283" w:rsidRPr="008D031E" w:rsidRDefault="000E3283" w:rsidP="00CB7A9B">
      <w:pPr>
        <w:pStyle w:val="JuPara"/>
        <w:widowControl w:val="0"/>
        <w:ind w:firstLine="142"/>
        <w:rPr>
          <w:rFonts w:ascii="Times New Roman" w:hAnsi="Times New Roman"/>
          <w:noProof/>
        </w:rPr>
      </w:pPr>
      <w:r>
        <w:rPr>
          <w:rFonts w:ascii="Times New Roman" w:hAnsi="Times New Roman"/>
        </w:rPr>
        <w:t>pēc apspriešanās slēgtās tiesas sēdēs 2019. gada 11. jūlijā, 2019. gada 4. un 6. septembrī un 2021. gada 17. februārī</w:t>
      </w:r>
    </w:p>
    <w:p w14:paraId="7839CF32" w14:textId="77777777" w:rsidR="000E3283" w:rsidRDefault="000E3283" w:rsidP="00CB7A9B">
      <w:pPr>
        <w:pStyle w:val="JuPara"/>
        <w:widowControl w:val="0"/>
        <w:ind w:firstLine="142"/>
        <w:rPr>
          <w:rFonts w:ascii="Times New Roman" w:hAnsi="Times New Roman"/>
          <w:noProof/>
        </w:rPr>
      </w:pPr>
      <w:r>
        <w:rPr>
          <w:rFonts w:ascii="Times New Roman" w:hAnsi="Times New Roman"/>
        </w:rPr>
        <w:t>pasludina šo spriedumu, kas pieņemts pēdējā no minētajiem datumiem.</w:t>
      </w:r>
    </w:p>
    <w:p w14:paraId="0F732BB2" w14:textId="77777777" w:rsidR="001046F0" w:rsidRPr="008D031E" w:rsidRDefault="001046F0" w:rsidP="001F1E46">
      <w:pPr>
        <w:pStyle w:val="JuPara"/>
        <w:widowControl w:val="0"/>
        <w:ind w:firstLine="0"/>
        <w:rPr>
          <w:rFonts w:ascii="Times New Roman" w:hAnsi="Times New Roman"/>
          <w:noProof/>
          <w:lang w:val="en-US"/>
        </w:rPr>
      </w:pPr>
    </w:p>
    <w:p w14:paraId="5CCE9DCF" w14:textId="77777777" w:rsidR="000E3283" w:rsidRPr="002405D9" w:rsidRDefault="000E3283" w:rsidP="001F1E46">
      <w:pPr>
        <w:pStyle w:val="JuHHead"/>
        <w:keepNext w:val="0"/>
        <w:keepLines w:val="0"/>
        <w:widowControl w:val="0"/>
        <w:spacing w:before="0" w:beforeAutospacing="0" w:after="0"/>
        <w:outlineLvl w:val="9"/>
        <w:rPr>
          <w:rFonts w:ascii="Times New Roman" w:hAnsi="Times New Roman"/>
          <w:noProof/>
          <w:szCs w:val="32"/>
        </w:rPr>
      </w:pPr>
      <w:r w:rsidRPr="002405D9">
        <w:rPr>
          <w:rFonts w:ascii="Times New Roman" w:hAnsi="Times New Roman"/>
          <w:szCs w:val="32"/>
        </w:rPr>
        <w:t>TIESVEDĪBA</w:t>
      </w:r>
    </w:p>
    <w:p w14:paraId="1110541F" w14:textId="77777777" w:rsidR="001046F0" w:rsidRPr="001046F0" w:rsidRDefault="001046F0" w:rsidP="001F1E46">
      <w:pPr>
        <w:pStyle w:val="JuPara"/>
        <w:widowControl w:val="0"/>
        <w:rPr>
          <w:lang w:val="en-US"/>
        </w:rPr>
      </w:pPr>
    </w:p>
    <w:p w14:paraId="7D88F6B9" w14:textId="7BAB7F94" w:rsidR="000E3283" w:rsidRPr="008D031E" w:rsidRDefault="000E3283" w:rsidP="001F1E46">
      <w:pPr>
        <w:pStyle w:val="JuPara"/>
        <w:widowControl w:val="0"/>
        <w:ind w:firstLine="142"/>
        <w:rPr>
          <w:rFonts w:ascii="Times New Roman" w:hAnsi="Times New Roman"/>
          <w:noProof/>
        </w:rPr>
      </w:pPr>
      <w:r>
        <w:rPr>
          <w:rFonts w:ascii="Times New Roman" w:hAnsi="Times New Roman"/>
        </w:rPr>
        <w:t>1. Lieta ierosināta, ņemot vērā trīs pieteikumus (Nr. 58170/13, 62322/14 un 24960/15) pret Lielbritānijas un Ziemeļīrijas Apvienoto Karalisti, ko saskaņā ar Eiropas Cilvēktiesību un pamatbrīvību aizsardzības konvencijas (turpmāk tekstā – “Konvencija”) 34. pantu attiecīgi 2013. gada 4. septembrī, 2014. gada 11. septembrī un 2015. gada 20. maijā Tiesai iesniedza pielikumā minētās sabiedrības, labdarības organizācijas, organizācijas un personas (turpmāk tekstā – “pieteikuma iesniedzēji”).</w:t>
      </w:r>
    </w:p>
    <w:p w14:paraId="0A6DFFF6" w14:textId="6BC850F2" w:rsidR="000E3283" w:rsidRPr="008D031E" w:rsidRDefault="000E3283" w:rsidP="001F1E46">
      <w:pPr>
        <w:pStyle w:val="JuPara"/>
        <w:widowControl w:val="0"/>
        <w:ind w:firstLine="142"/>
        <w:rPr>
          <w:rFonts w:ascii="Times New Roman" w:hAnsi="Times New Roman"/>
          <w:noProof/>
        </w:rPr>
      </w:pPr>
      <w:r>
        <w:rPr>
          <w:rFonts w:ascii="Times New Roman" w:hAnsi="Times New Roman"/>
        </w:rPr>
        <w:t>2. Pieteikuma iesniedzējus pārstāvēja D. Kerijs [</w:t>
      </w:r>
      <w:r>
        <w:rPr>
          <w:rFonts w:ascii="Times New Roman" w:hAnsi="Times New Roman"/>
          <w:i/>
          <w:iCs/>
        </w:rPr>
        <w:t>D. </w:t>
      </w:r>
      <w:proofErr w:type="spellStart"/>
      <w:r>
        <w:rPr>
          <w:rFonts w:ascii="Times New Roman" w:hAnsi="Times New Roman"/>
          <w:i/>
          <w:iCs/>
        </w:rPr>
        <w:t>Carey</w:t>
      </w:r>
      <w:proofErr w:type="spellEnd"/>
      <w:r>
        <w:rPr>
          <w:rFonts w:ascii="Times New Roman" w:hAnsi="Times New Roman"/>
        </w:rPr>
        <w:t>] no “</w:t>
      </w:r>
      <w:proofErr w:type="spellStart"/>
      <w:r>
        <w:rPr>
          <w:rFonts w:ascii="Times New Roman" w:hAnsi="Times New Roman"/>
        </w:rPr>
        <w:t>Deighton</w:t>
      </w:r>
      <w:proofErr w:type="spellEnd"/>
      <w:r>
        <w:rPr>
          <w:rFonts w:ascii="Times New Roman" w:hAnsi="Times New Roman"/>
        </w:rPr>
        <w:t xml:space="preserve"> </w:t>
      </w:r>
      <w:proofErr w:type="spellStart"/>
      <w:r>
        <w:rPr>
          <w:rFonts w:ascii="Times New Roman" w:hAnsi="Times New Roman"/>
        </w:rPr>
        <w:t>Pierce</w:t>
      </w:r>
      <w:proofErr w:type="spellEnd"/>
      <w:r>
        <w:rPr>
          <w:rFonts w:ascii="Times New Roman" w:hAnsi="Times New Roman"/>
        </w:rPr>
        <w:t xml:space="preserve"> </w:t>
      </w:r>
      <w:proofErr w:type="spellStart"/>
      <w:r>
        <w:rPr>
          <w:rFonts w:ascii="Times New Roman" w:hAnsi="Times New Roman"/>
        </w:rPr>
        <w:t>Glynn</w:t>
      </w:r>
      <w:proofErr w:type="spellEnd"/>
      <w:r>
        <w:rPr>
          <w:rFonts w:ascii="Times New Roman" w:hAnsi="Times New Roman"/>
        </w:rPr>
        <w:t xml:space="preserve"> </w:t>
      </w:r>
      <w:proofErr w:type="spellStart"/>
      <w:r>
        <w:rPr>
          <w:rFonts w:ascii="Times New Roman" w:hAnsi="Times New Roman"/>
        </w:rPr>
        <w:t>Solicitors</w:t>
      </w:r>
      <w:proofErr w:type="spellEnd"/>
      <w:r>
        <w:rPr>
          <w:rFonts w:ascii="Times New Roman" w:hAnsi="Times New Roman"/>
        </w:rPr>
        <w:t>”, R. </w:t>
      </w:r>
      <w:proofErr w:type="spellStart"/>
      <w:r>
        <w:rPr>
          <w:rFonts w:ascii="Times New Roman" w:hAnsi="Times New Roman"/>
        </w:rPr>
        <w:t>Kērlinga</w:t>
      </w:r>
      <w:proofErr w:type="spellEnd"/>
      <w:r>
        <w:rPr>
          <w:rFonts w:ascii="Times New Roman" w:hAnsi="Times New Roman"/>
        </w:rPr>
        <w:t xml:space="preserve"> [</w:t>
      </w:r>
      <w:r>
        <w:rPr>
          <w:rFonts w:ascii="Times New Roman" w:hAnsi="Times New Roman"/>
          <w:i/>
          <w:iCs/>
        </w:rPr>
        <w:t>R. </w:t>
      </w:r>
      <w:proofErr w:type="spellStart"/>
      <w:r>
        <w:rPr>
          <w:rFonts w:ascii="Times New Roman" w:hAnsi="Times New Roman"/>
          <w:i/>
          <w:iCs/>
        </w:rPr>
        <w:t>Curling</w:t>
      </w:r>
      <w:proofErr w:type="spellEnd"/>
      <w:r>
        <w:rPr>
          <w:rFonts w:ascii="Times New Roman" w:hAnsi="Times New Roman"/>
        </w:rPr>
        <w:t>] no “</w:t>
      </w:r>
      <w:proofErr w:type="spellStart"/>
      <w:r>
        <w:rPr>
          <w:rFonts w:ascii="Times New Roman" w:hAnsi="Times New Roman"/>
        </w:rPr>
        <w:t>Leigh</w:t>
      </w:r>
      <w:proofErr w:type="spellEnd"/>
      <w:r>
        <w:rPr>
          <w:rFonts w:ascii="Times New Roman" w:hAnsi="Times New Roman"/>
        </w:rPr>
        <w:t xml:space="preserve"> </w:t>
      </w:r>
      <w:proofErr w:type="spellStart"/>
      <w:r>
        <w:rPr>
          <w:rFonts w:ascii="Times New Roman" w:hAnsi="Times New Roman"/>
        </w:rPr>
        <w:t>Day</w:t>
      </w:r>
      <w:proofErr w:type="spellEnd"/>
      <w:r>
        <w:rPr>
          <w:rFonts w:ascii="Times New Roman" w:hAnsi="Times New Roman"/>
        </w:rPr>
        <w:t xml:space="preserve"> </w:t>
      </w:r>
      <w:proofErr w:type="spellStart"/>
      <w:r>
        <w:rPr>
          <w:rFonts w:ascii="Times New Roman" w:hAnsi="Times New Roman"/>
        </w:rPr>
        <w:t>and</w:t>
      </w:r>
      <w:proofErr w:type="spellEnd"/>
      <w:r>
        <w:rPr>
          <w:rFonts w:ascii="Times New Roman" w:hAnsi="Times New Roman"/>
        </w:rPr>
        <w:t xml:space="preserve"> </w:t>
      </w:r>
      <w:proofErr w:type="spellStart"/>
      <w:r>
        <w:rPr>
          <w:rFonts w:ascii="Times New Roman" w:hAnsi="Times New Roman"/>
        </w:rPr>
        <w:t>Co</w:t>
      </w:r>
      <w:proofErr w:type="spellEnd"/>
      <w:r>
        <w:rPr>
          <w:rFonts w:ascii="Times New Roman" w:hAnsi="Times New Roman"/>
        </w:rPr>
        <w:t xml:space="preserve">. </w:t>
      </w:r>
      <w:proofErr w:type="spellStart"/>
      <w:r>
        <w:rPr>
          <w:rFonts w:ascii="Times New Roman" w:hAnsi="Times New Roman"/>
        </w:rPr>
        <w:t>Solicitors</w:t>
      </w:r>
      <w:proofErr w:type="spellEnd"/>
      <w:r>
        <w:rPr>
          <w:rFonts w:ascii="Times New Roman" w:hAnsi="Times New Roman"/>
        </w:rPr>
        <w:t>” un E. </w:t>
      </w:r>
      <w:proofErr w:type="spellStart"/>
      <w:r>
        <w:rPr>
          <w:rFonts w:ascii="Times New Roman" w:hAnsi="Times New Roman"/>
        </w:rPr>
        <w:t>Nortone</w:t>
      </w:r>
      <w:proofErr w:type="spellEnd"/>
      <w:r>
        <w:rPr>
          <w:rFonts w:ascii="Times New Roman" w:hAnsi="Times New Roman"/>
        </w:rPr>
        <w:t xml:space="preserve"> [</w:t>
      </w:r>
      <w:r>
        <w:rPr>
          <w:rFonts w:ascii="Times New Roman" w:hAnsi="Times New Roman"/>
          <w:i/>
          <w:iCs/>
        </w:rPr>
        <w:t>E. </w:t>
      </w:r>
      <w:proofErr w:type="spellStart"/>
      <w:r>
        <w:rPr>
          <w:rFonts w:ascii="Times New Roman" w:hAnsi="Times New Roman"/>
          <w:i/>
          <w:iCs/>
        </w:rPr>
        <w:t>Norton</w:t>
      </w:r>
      <w:proofErr w:type="spellEnd"/>
      <w:r>
        <w:rPr>
          <w:rFonts w:ascii="Times New Roman" w:hAnsi="Times New Roman"/>
        </w:rPr>
        <w:t>] no “</w:t>
      </w:r>
      <w:proofErr w:type="spellStart"/>
      <w:r>
        <w:rPr>
          <w:rFonts w:ascii="Times New Roman" w:hAnsi="Times New Roman"/>
        </w:rPr>
        <w:t>Liberty</w:t>
      </w:r>
      <w:proofErr w:type="spellEnd"/>
      <w:r>
        <w:rPr>
          <w:rFonts w:ascii="Times New Roman" w:hAnsi="Times New Roman"/>
        </w:rPr>
        <w:t>”. Apvienotās Karalistes valdību (turpmāk tekstā – “Valdība”) pārstāvēja tās pārstāvis Č. </w:t>
      </w:r>
      <w:proofErr w:type="spellStart"/>
      <w:r>
        <w:rPr>
          <w:rFonts w:ascii="Times New Roman" w:hAnsi="Times New Roman"/>
        </w:rPr>
        <w:t>Vikremasinghs</w:t>
      </w:r>
      <w:proofErr w:type="spellEnd"/>
      <w:r>
        <w:rPr>
          <w:rFonts w:ascii="Times New Roman" w:hAnsi="Times New Roman"/>
        </w:rPr>
        <w:t xml:space="preserve"> [</w:t>
      </w:r>
      <w:r>
        <w:rPr>
          <w:rFonts w:ascii="Times New Roman" w:hAnsi="Times New Roman"/>
          <w:i/>
          <w:iCs/>
        </w:rPr>
        <w:t>C. </w:t>
      </w:r>
      <w:proofErr w:type="spellStart"/>
      <w:r>
        <w:rPr>
          <w:rFonts w:ascii="Times New Roman" w:hAnsi="Times New Roman"/>
          <w:i/>
          <w:iCs/>
        </w:rPr>
        <w:t>Wickremasinghe</w:t>
      </w:r>
      <w:proofErr w:type="spellEnd"/>
      <w:r>
        <w:rPr>
          <w:rFonts w:ascii="Times New Roman" w:hAnsi="Times New Roman"/>
        </w:rPr>
        <w:t>] no Ārlietu un sadraudzības lietu biroja.</w:t>
      </w:r>
    </w:p>
    <w:p w14:paraId="39013172" w14:textId="3A4B474F" w:rsidR="000E3283" w:rsidRPr="008D031E" w:rsidRDefault="000E3283" w:rsidP="001F1E46">
      <w:pPr>
        <w:pStyle w:val="JuPara"/>
        <w:widowControl w:val="0"/>
        <w:ind w:firstLine="142"/>
        <w:rPr>
          <w:rFonts w:ascii="Times New Roman" w:hAnsi="Times New Roman"/>
          <w:noProof/>
        </w:rPr>
      </w:pPr>
      <w:r>
        <w:rPr>
          <w:rFonts w:ascii="Times New Roman" w:hAnsi="Times New Roman"/>
        </w:rPr>
        <w:t>3. Pieteikuma iesniedzēji sūdzējās par Apvienotās Karalistes Valdības izmantoto elektroniskās uzraudzības programmu darbības jomu un apmēru.</w:t>
      </w:r>
    </w:p>
    <w:p w14:paraId="7DD2BB47" w14:textId="2D7BA9A9" w:rsidR="000E3283" w:rsidRPr="008D031E" w:rsidRDefault="000E3283" w:rsidP="001F1E46">
      <w:pPr>
        <w:pStyle w:val="JuPara"/>
        <w:widowControl w:val="0"/>
        <w:ind w:firstLine="142"/>
        <w:rPr>
          <w:rFonts w:ascii="Times New Roman" w:hAnsi="Times New Roman"/>
          <w:noProof/>
        </w:rPr>
      </w:pPr>
      <w:r>
        <w:rPr>
          <w:rFonts w:ascii="Times New Roman" w:hAnsi="Times New Roman"/>
        </w:rPr>
        <w:t>4. Valdībai tika paziņots par pieteikumiem 2014. gada 7. janvārī, 2015. gada 5. janvārī un 2015. gada 24. novembrī. Pirmajā lietā atļauja iejaukties tika piešķirta “</w:t>
      </w:r>
      <w:proofErr w:type="spellStart"/>
      <w:r>
        <w:rPr>
          <w:rFonts w:ascii="Times New Roman" w:hAnsi="Times New Roman"/>
        </w:rPr>
        <w:t>Human</w:t>
      </w:r>
      <w:proofErr w:type="spellEnd"/>
      <w:r>
        <w:rPr>
          <w:rFonts w:ascii="Times New Roman" w:hAnsi="Times New Roman"/>
        </w:rPr>
        <w:t xml:space="preserve"> </w:t>
      </w:r>
      <w:proofErr w:type="spellStart"/>
      <w:r>
        <w:rPr>
          <w:rFonts w:ascii="Times New Roman" w:hAnsi="Times New Roman"/>
        </w:rPr>
        <w:t>Rights</w:t>
      </w:r>
      <w:proofErr w:type="spellEnd"/>
      <w:r>
        <w:rPr>
          <w:rFonts w:ascii="Times New Roman" w:hAnsi="Times New Roman"/>
        </w:rPr>
        <w:t xml:space="preserve"> </w:t>
      </w:r>
      <w:proofErr w:type="spellStart"/>
      <w:r>
        <w:rPr>
          <w:rFonts w:ascii="Times New Roman" w:hAnsi="Times New Roman"/>
        </w:rPr>
        <w:t>Watch</w:t>
      </w:r>
      <w:proofErr w:type="spellEnd"/>
      <w:r>
        <w:rPr>
          <w:rFonts w:ascii="Times New Roman" w:hAnsi="Times New Roman"/>
        </w:rPr>
        <w:t xml:space="preserve">”, “Access </w:t>
      </w:r>
      <w:proofErr w:type="spellStart"/>
      <w:r>
        <w:rPr>
          <w:rFonts w:ascii="Times New Roman" w:hAnsi="Times New Roman"/>
        </w:rPr>
        <w:t>Now</w:t>
      </w:r>
      <w:proofErr w:type="spellEnd"/>
      <w:r>
        <w:rPr>
          <w:rFonts w:ascii="Times New Roman" w:hAnsi="Times New Roman"/>
        </w:rPr>
        <w:t xml:space="preserve">”, </w:t>
      </w:r>
      <w:bookmarkStart w:id="1" w:name="_Hlk70329352"/>
      <w:r>
        <w:rPr>
          <w:rFonts w:ascii="Times New Roman" w:hAnsi="Times New Roman"/>
        </w:rPr>
        <w:t xml:space="preserve">“Dutch </w:t>
      </w:r>
      <w:proofErr w:type="spellStart"/>
      <w:r>
        <w:rPr>
          <w:rFonts w:ascii="Times New Roman" w:hAnsi="Times New Roman"/>
        </w:rPr>
        <w:t>Against</w:t>
      </w:r>
      <w:proofErr w:type="spellEnd"/>
      <w:r>
        <w:rPr>
          <w:rFonts w:ascii="Times New Roman" w:hAnsi="Times New Roman"/>
        </w:rPr>
        <w:t xml:space="preserve"> </w:t>
      </w:r>
      <w:proofErr w:type="spellStart"/>
      <w:r>
        <w:rPr>
          <w:rFonts w:ascii="Times New Roman" w:hAnsi="Times New Roman"/>
        </w:rPr>
        <w:t>Plasterk</w:t>
      </w:r>
      <w:proofErr w:type="spellEnd"/>
      <w:r>
        <w:rPr>
          <w:rFonts w:ascii="Times New Roman" w:hAnsi="Times New Roman"/>
        </w:rPr>
        <w:t>”</w:t>
      </w:r>
      <w:bookmarkEnd w:id="1"/>
      <w:r>
        <w:t>,</w:t>
      </w:r>
      <w:r>
        <w:rPr>
          <w:rFonts w:ascii="Times New Roman" w:hAnsi="Times New Roman"/>
        </w:rPr>
        <w:t xml:space="preserve"> “</w:t>
      </w:r>
      <w:proofErr w:type="spellStart"/>
      <w:r>
        <w:rPr>
          <w:rFonts w:ascii="Times New Roman" w:hAnsi="Times New Roman"/>
        </w:rPr>
        <w:t>Center</w:t>
      </w:r>
      <w:proofErr w:type="spellEnd"/>
      <w:r>
        <w:rPr>
          <w:rFonts w:ascii="Times New Roman" w:hAnsi="Times New Roman"/>
        </w:rPr>
        <w:t xml:space="preserve"> </w:t>
      </w:r>
      <w:proofErr w:type="spellStart"/>
      <w:r>
        <w:rPr>
          <w:rFonts w:ascii="Times New Roman" w:hAnsi="Times New Roman"/>
        </w:rPr>
        <w:t>For</w:t>
      </w:r>
      <w:proofErr w:type="spellEnd"/>
      <w:r>
        <w:rPr>
          <w:rFonts w:ascii="Times New Roman" w:hAnsi="Times New Roman"/>
        </w:rPr>
        <w:t xml:space="preserve"> </w:t>
      </w:r>
      <w:proofErr w:type="spellStart"/>
      <w:r>
        <w:rPr>
          <w:rFonts w:ascii="Times New Roman" w:hAnsi="Times New Roman"/>
        </w:rPr>
        <w:t>Democracy</w:t>
      </w:r>
      <w:proofErr w:type="spellEnd"/>
      <w:r>
        <w:rPr>
          <w:rFonts w:ascii="Times New Roman" w:hAnsi="Times New Roman"/>
        </w:rPr>
        <w:t xml:space="preserve"> &amp; </w:t>
      </w:r>
      <w:proofErr w:type="spellStart"/>
      <w:r>
        <w:rPr>
          <w:rFonts w:ascii="Times New Roman" w:hAnsi="Times New Roman"/>
        </w:rPr>
        <w:t>Technology</w:t>
      </w:r>
      <w:proofErr w:type="spellEnd"/>
      <w:r>
        <w:rPr>
          <w:rFonts w:ascii="Times New Roman" w:hAnsi="Times New Roman"/>
        </w:rPr>
        <w:t>”, Eiropas Nacionālo cilvēktiesību institūciju tīklam un Līdztiesības un cilvēktiesību komisijai, Helsinku Cilvēktiesību fondam, Starptautiskajai Juristu komisijai, “</w:t>
      </w:r>
      <w:proofErr w:type="spellStart"/>
      <w:r>
        <w:rPr>
          <w:rFonts w:ascii="Times New Roman" w:hAnsi="Times New Roman"/>
        </w:rPr>
        <w:t>Open</w:t>
      </w:r>
      <w:proofErr w:type="spellEnd"/>
      <w:r>
        <w:rPr>
          <w:rFonts w:ascii="Times New Roman" w:hAnsi="Times New Roman"/>
        </w:rPr>
        <w:t xml:space="preserve"> </w:t>
      </w:r>
      <w:proofErr w:type="spellStart"/>
      <w:r>
        <w:rPr>
          <w:rFonts w:ascii="Times New Roman" w:hAnsi="Times New Roman"/>
        </w:rPr>
        <w:t>Society</w:t>
      </w:r>
      <w:proofErr w:type="spellEnd"/>
      <w:r>
        <w:rPr>
          <w:rFonts w:ascii="Times New Roman" w:hAnsi="Times New Roman"/>
        </w:rPr>
        <w:t xml:space="preserve"> </w:t>
      </w:r>
      <w:proofErr w:type="spellStart"/>
      <w:r>
        <w:rPr>
          <w:rFonts w:ascii="Times New Roman" w:hAnsi="Times New Roman"/>
        </w:rPr>
        <w:t>Justice</w:t>
      </w:r>
      <w:proofErr w:type="spellEnd"/>
      <w:r>
        <w:rPr>
          <w:rFonts w:ascii="Times New Roman" w:hAnsi="Times New Roman"/>
        </w:rPr>
        <w:t xml:space="preserve"> </w:t>
      </w:r>
      <w:proofErr w:type="spellStart"/>
      <w:r>
        <w:rPr>
          <w:rFonts w:ascii="Times New Roman" w:hAnsi="Times New Roman"/>
        </w:rPr>
        <w:t>Initiative</w:t>
      </w:r>
      <w:proofErr w:type="spellEnd"/>
      <w:r>
        <w:rPr>
          <w:rFonts w:ascii="Times New Roman" w:hAnsi="Times New Roman"/>
        </w:rPr>
        <w:t xml:space="preserve">”, Anglijas un Velsas Juridiskajai biedrībai un “Project </w:t>
      </w:r>
      <w:proofErr w:type="spellStart"/>
      <w:r>
        <w:rPr>
          <w:rFonts w:ascii="Times New Roman" w:hAnsi="Times New Roman"/>
        </w:rPr>
        <w:t>Moore</w:t>
      </w:r>
      <w:proofErr w:type="spellEnd"/>
      <w:r>
        <w:rPr>
          <w:rFonts w:ascii="Times New Roman" w:hAnsi="Times New Roman"/>
        </w:rPr>
        <w:t>”. Otrajā lietā atļauja iejaukties tika piešķirta “</w:t>
      </w:r>
      <w:proofErr w:type="spellStart"/>
      <w:r>
        <w:rPr>
          <w:rFonts w:ascii="Times New Roman" w:hAnsi="Times New Roman"/>
        </w:rPr>
        <w:t>Center</w:t>
      </w:r>
      <w:proofErr w:type="spellEnd"/>
      <w:r>
        <w:rPr>
          <w:rFonts w:ascii="Times New Roman" w:hAnsi="Times New Roman"/>
        </w:rPr>
        <w:t xml:space="preserve"> </w:t>
      </w:r>
      <w:proofErr w:type="spellStart"/>
      <w:r>
        <w:rPr>
          <w:rFonts w:ascii="Times New Roman" w:hAnsi="Times New Roman"/>
        </w:rPr>
        <w:t>For</w:t>
      </w:r>
      <w:proofErr w:type="spellEnd"/>
      <w:r>
        <w:rPr>
          <w:rFonts w:ascii="Times New Roman" w:hAnsi="Times New Roman"/>
        </w:rPr>
        <w:t xml:space="preserve"> </w:t>
      </w:r>
      <w:proofErr w:type="spellStart"/>
      <w:r>
        <w:rPr>
          <w:rFonts w:ascii="Times New Roman" w:hAnsi="Times New Roman"/>
        </w:rPr>
        <w:t>Democracy</w:t>
      </w:r>
      <w:proofErr w:type="spellEnd"/>
      <w:r>
        <w:rPr>
          <w:rFonts w:ascii="Times New Roman" w:hAnsi="Times New Roman"/>
        </w:rPr>
        <w:t xml:space="preserve"> &amp; </w:t>
      </w:r>
      <w:proofErr w:type="spellStart"/>
      <w:r>
        <w:rPr>
          <w:rFonts w:ascii="Times New Roman" w:hAnsi="Times New Roman"/>
        </w:rPr>
        <w:t>Technology</w:t>
      </w:r>
      <w:proofErr w:type="spellEnd"/>
      <w:r>
        <w:rPr>
          <w:rFonts w:ascii="Times New Roman" w:hAnsi="Times New Roman"/>
        </w:rPr>
        <w:t>”, Helsinku Cilvēktiesību fondam, Starptautiskajai Juristu komisijai, Nacionālajai Žurnālistu biedrībai un Plašsaziņas līdzekļu juristu asociācijai. Trešajā lietā atļauja iejaukties tika piešķirta “</w:t>
      </w:r>
      <w:proofErr w:type="spellStart"/>
      <w:r>
        <w:rPr>
          <w:rFonts w:ascii="Times New Roman" w:hAnsi="Times New Roman"/>
        </w:rPr>
        <w:t>Article</w:t>
      </w:r>
      <w:proofErr w:type="spellEnd"/>
      <w:r>
        <w:rPr>
          <w:rFonts w:ascii="Times New Roman" w:hAnsi="Times New Roman"/>
        </w:rPr>
        <w:t> 19”, Elektroniskās privātuma informācijas centram un Līdztiesības un cilvēktiesību komisijai.</w:t>
      </w:r>
    </w:p>
    <w:p w14:paraId="18677CF8" w14:textId="3A9A6D2C" w:rsidR="000E3283" w:rsidRPr="008D031E" w:rsidRDefault="000E3283" w:rsidP="002405D9">
      <w:pPr>
        <w:pStyle w:val="JuPara"/>
        <w:keepNext/>
        <w:keepLines/>
        <w:widowControl w:val="0"/>
        <w:ind w:firstLine="142"/>
        <w:rPr>
          <w:rFonts w:ascii="Times New Roman" w:hAnsi="Times New Roman"/>
          <w:noProof/>
        </w:rPr>
      </w:pPr>
      <w:r>
        <w:rPr>
          <w:rFonts w:ascii="Times New Roman" w:hAnsi="Times New Roman"/>
        </w:rPr>
        <w:lastRenderedPageBreak/>
        <w:t>5. 2017. gada 4. jūlijā Pirmās nodaļas palāta nolēma apvienot pieteikumus un rīkot mutisku paskaidrojumu uzklausīšanu. Šī uzklausīšana notika atklāti Cilvēktiesību ēkā, Strasbūrā, 2017. gada 7. novembrī. 2018. gada 13. septembrī šīs nodaļas palāta, ko veidoja tiesneši Lins</w:t>
      </w:r>
      <w:r>
        <w:rPr>
          <w:rFonts w:ascii="Times New Roman" w:hAnsi="Times New Roman"/>
          <w:vertAlign w:val="superscript"/>
        </w:rPr>
        <w:noBreakHyphen/>
      </w:r>
      <w:r>
        <w:rPr>
          <w:rFonts w:ascii="Times New Roman" w:hAnsi="Times New Roman"/>
        </w:rPr>
        <w:t xml:space="preserve">Aleksandrs </w:t>
      </w:r>
      <w:proofErr w:type="spellStart"/>
      <w:r>
        <w:rPr>
          <w:rFonts w:ascii="Times New Roman" w:hAnsi="Times New Roman"/>
        </w:rPr>
        <w:t>Sikiljans</w:t>
      </w:r>
      <w:proofErr w:type="spellEnd"/>
      <w:r>
        <w:rPr>
          <w:rFonts w:ascii="Times New Roman" w:hAnsi="Times New Roman"/>
        </w:rPr>
        <w:t xml:space="preserve"> [</w:t>
      </w:r>
      <w:r>
        <w:rPr>
          <w:rFonts w:ascii="Times New Roman" w:hAnsi="Times New Roman"/>
          <w:i/>
          <w:iCs/>
        </w:rPr>
        <w:t>Linos-</w:t>
      </w:r>
      <w:proofErr w:type="spellStart"/>
      <w:r>
        <w:rPr>
          <w:rFonts w:ascii="Times New Roman" w:hAnsi="Times New Roman"/>
          <w:i/>
          <w:iCs/>
        </w:rPr>
        <w:t>Alexandre</w:t>
      </w:r>
      <w:proofErr w:type="spellEnd"/>
      <w:r>
        <w:rPr>
          <w:rFonts w:ascii="Times New Roman" w:hAnsi="Times New Roman"/>
          <w:i/>
          <w:iCs/>
        </w:rPr>
        <w:t xml:space="preserve"> </w:t>
      </w:r>
      <w:proofErr w:type="spellStart"/>
      <w:r>
        <w:rPr>
          <w:rFonts w:ascii="Times New Roman" w:hAnsi="Times New Roman"/>
          <w:i/>
          <w:iCs/>
        </w:rPr>
        <w:t>Sicilianos</w:t>
      </w:r>
      <w:proofErr w:type="spellEnd"/>
      <w:r>
        <w:rPr>
          <w:rFonts w:ascii="Times New Roman" w:hAnsi="Times New Roman"/>
        </w:rPr>
        <w:t xml:space="preserve">], Kristīna </w:t>
      </w:r>
      <w:proofErr w:type="spellStart"/>
      <w:r>
        <w:rPr>
          <w:rFonts w:ascii="Times New Roman" w:hAnsi="Times New Roman"/>
        </w:rPr>
        <w:t>Pardalosa</w:t>
      </w:r>
      <w:proofErr w:type="spellEnd"/>
      <w:r>
        <w:rPr>
          <w:rFonts w:ascii="Times New Roman" w:hAnsi="Times New Roman"/>
        </w:rPr>
        <w:t xml:space="preserve"> [</w:t>
      </w:r>
      <w:r>
        <w:rPr>
          <w:rFonts w:ascii="Times New Roman" w:hAnsi="Times New Roman"/>
          <w:i/>
          <w:iCs/>
        </w:rPr>
        <w:t xml:space="preserve">Kristina </w:t>
      </w:r>
      <w:proofErr w:type="spellStart"/>
      <w:r>
        <w:rPr>
          <w:rFonts w:ascii="Times New Roman" w:hAnsi="Times New Roman"/>
          <w:i/>
          <w:iCs/>
        </w:rPr>
        <w:t>Pardalos</w:t>
      </w:r>
      <w:proofErr w:type="spellEnd"/>
      <w:r>
        <w:rPr>
          <w:rFonts w:ascii="Times New Roman" w:hAnsi="Times New Roman"/>
        </w:rPr>
        <w:t xml:space="preserve">], </w:t>
      </w:r>
      <w:proofErr w:type="spellStart"/>
      <w:r>
        <w:rPr>
          <w:rFonts w:ascii="Times New Roman" w:hAnsi="Times New Roman"/>
        </w:rPr>
        <w:t>Alešs</w:t>
      </w:r>
      <w:proofErr w:type="spellEnd"/>
      <w:r>
        <w:rPr>
          <w:rFonts w:ascii="Times New Roman" w:hAnsi="Times New Roman"/>
        </w:rPr>
        <w:t xml:space="preserve"> </w:t>
      </w:r>
      <w:proofErr w:type="spellStart"/>
      <w:r>
        <w:rPr>
          <w:rFonts w:ascii="Times New Roman" w:hAnsi="Times New Roman"/>
        </w:rPr>
        <w:t>Pejhals</w:t>
      </w:r>
      <w:proofErr w:type="spellEnd"/>
      <w:r>
        <w:rPr>
          <w:rFonts w:ascii="Times New Roman" w:hAnsi="Times New Roman"/>
        </w:rPr>
        <w:t xml:space="preserve"> [</w:t>
      </w:r>
      <w:proofErr w:type="spellStart"/>
      <w:r>
        <w:rPr>
          <w:rFonts w:ascii="Times New Roman" w:hAnsi="Times New Roman"/>
          <w:i/>
          <w:iCs/>
        </w:rPr>
        <w:t>Aleš</w:t>
      </w:r>
      <w:proofErr w:type="spellEnd"/>
      <w:r>
        <w:rPr>
          <w:rFonts w:ascii="Times New Roman" w:hAnsi="Times New Roman"/>
          <w:i/>
          <w:iCs/>
        </w:rPr>
        <w:t xml:space="preserve"> </w:t>
      </w:r>
      <w:proofErr w:type="spellStart"/>
      <w:r>
        <w:rPr>
          <w:rFonts w:ascii="Times New Roman" w:hAnsi="Times New Roman"/>
          <w:i/>
          <w:iCs/>
        </w:rPr>
        <w:t>Pejchal</w:t>
      </w:r>
      <w:proofErr w:type="spellEnd"/>
      <w:r>
        <w:rPr>
          <w:rFonts w:ascii="Times New Roman" w:hAnsi="Times New Roman"/>
        </w:rPr>
        <w:t xml:space="preserve">], Ksenija </w:t>
      </w:r>
      <w:proofErr w:type="spellStart"/>
      <w:r>
        <w:rPr>
          <w:rFonts w:ascii="Times New Roman" w:hAnsi="Times New Roman"/>
        </w:rPr>
        <w:t>Turkoviča</w:t>
      </w:r>
      <w:proofErr w:type="spellEnd"/>
      <w:r>
        <w:rPr>
          <w:rFonts w:ascii="Times New Roman" w:hAnsi="Times New Roman"/>
        </w:rPr>
        <w:t xml:space="preserve"> [</w:t>
      </w:r>
      <w:r>
        <w:rPr>
          <w:rFonts w:ascii="Times New Roman" w:hAnsi="Times New Roman"/>
          <w:i/>
          <w:iCs/>
        </w:rPr>
        <w:t xml:space="preserve">Ksenija </w:t>
      </w:r>
      <w:proofErr w:type="spellStart"/>
      <w:r>
        <w:rPr>
          <w:rFonts w:ascii="Times New Roman" w:hAnsi="Times New Roman"/>
          <w:i/>
          <w:iCs/>
        </w:rPr>
        <w:t>Turković</w:t>
      </w:r>
      <w:proofErr w:type="spellEnd"/>
      <w:r>
        <w:rPr>
          <w:rFonts w:ascii="Times New Roman" w:hAnsi="Times New Roman"/>
        </w:rPr>
        <w:t xml:space="preserve">], </w:t>
      </w:r>
      <w:proofErr w:type="spellStart"/>
      <w:r>
        <w:rPr>
          <w:rFonts w:ascii="Times New Roman" w:hAnsi="Times New Roman"/>
        </w:rPr>
        <w:t>Armens</w:t>
      </w:r>
      <w:proofErr w:type="spellEnd"/>
      <w:r>
        <w:rPr>
          <w:rFonts w:ascii="Times New Roman" w:hAnsi="Times New Roman"/>
        </w:rPr>
        <w:t xml:space="preserve"> </w:t>
      </w:r>
      <w:proofErr w:type="spellStart"/>
      <w:r>
        <w:rPr>
          <w:rFonts w:ascii="Times New Roman" w:hAnsi="Times New Roman"/>
        </w:rPr>
        <w:t>Harutjunjans</w:t>
      </w:r>
      <w:proofErr w:type="spellEnd"/>
      <w:r>
        <w:rPr>
          <w:rFonts w:ascii="Times New Roman" w:hAnsi="Times New Roman"/>
        </w:rPr>
        <w:t xml:space="preserve"> [</w:t>
      </w:r>
      <w:proofErr w:type="spellStart"/>
      <w:r>
        <w:rPr>
          <w:rFonts w:ascii="Times New Roman" w:hAnsi="Times New Roman"/>
          <w:i/>
          <w:iCs/>
        </w:rPr>
        <w:t>Armen</w:t>
      </w:r>
      <w:proofErr w:type="spellEnd"/>
      <w:r>
        <w:rPr>
          <w:rFonts w:ascii="Times New Roman" w:hAnsi="Times New Roman"/>
          <w:i/>
          <w:iCs/>
        </w:rPr>
        <w:t> </w:t>
      </w:r>
      <w:proofErr w:type="spellStart"/>
      <w:r>
        <w:rPr>
          <w:rFonts w:ascii="Times New Roman" w:hAnsi="Times New Roman"/>
          <w:i/>
          <w:iCs/>
        </w:rPr>
        <w:t>Harutyunyan</w:t>
      </w:r>
      <w:proofErr w:type="spellEnd"/>
      <w:r>
        <w:rPr>
          <w:rFonts w:ascii="Times New Roman" w:hAnsi="Times New Roman"/>
        </w:rPr>
        <w:t xml:space="preserve">], Paulīne </w:t>
      </w:r>
      <w:proofErr w:type="spellStart"/>
      <w:r>
        <w:rPr>
          <w:rFonts w:ascii="Times New Roman" w:hAnsi="Times New Roman"/>
        </w:rPr>
        <w:t>Koskelo</w:t>
      </w:r>
      <w:proofErr w:type="spellEnd"/>
      <w:r>
        <w:rPr>
          <w:rFonts w:ascii="Times New Roman" w:hAnsi="Times New Roman"/>
        </w:rPr>
        <w:t xml:space="preserve"> [</w:t>
      </w:r>
      <w:proofErr w:type="spellStart"/>
      <w:r>
        <w:rPr>
          <w:rFonts w:ascii="Times New Roman" w:hAnsi="Times New Roman"/>
          <w:i/>
          <w:iCs/>
        </w:rPr>
        <w:t>Pauliine</w:t>
      </w:r>
      <w:proofErr w:type="spellEnd"/>
      <w:r>
        <w:rPr>
          <w:rFonts w:ascii="Times New Roman" w:hAnsi="Times New Roman"/>
          <w:i/>
          <w:iCs/>
        </w:rPr>
        <w:t xml:space="preserve"> </w:t>
      </w:r>
      <w:proofErr w:type="spellStart"/>
      <w:r>
        <w:rPr>
          <w:rFonts w:ascii="Times New Roman" w:hAnsi="Times New Roman"/>
          <w:i/>
          <w:iCs/>
        </w:rPr>
        <w:t>Koskelo</w:t>
      </w:r>
      <w:proofErr w:type="spellEnd"/>
      <w:r>
        <w:rPr>
          <w:rFonts w:ascii="Times New Roman" w:hAnsi="Times New Roman"/>
        </w:rPr>
        <w:t xml:space="preserve">] un Tims </w:t>
      </w:r>
      <w:proofErr w:type="spellStart"/>
      <w:r>
        <w:rPr>
          <w:rFonts w:ascii="Times New Roman" w:hAnsi="Times New Roman"/>
        </w:rPr>
        <w:t>Eike</w:t>
      </w:r>
      <w:proofErr w:type="spellEnd"/>
      <w:r>
        <w:rPr>
          <w:rFonts w:ascii="Times New Roman" w:hAnsi="Times New Roman"/>
        </w:rPr>
        <w:t xml:space="preserve"> un nodaļas sekretārs Abels </w:t>
      </w:r>
      <w:proofErr w:type="spellStart"/>
      <w:r>
        <w:rPr>
          <w:rFonts w:ascii="Times New Roman" w:hAnsi="Times New Roman"/>
        </w:rPr>
        <w:t>Kamposs</w:t>
      </w:r>
      <w:proofErr w:type="spellEnd"/>
      <w:r>
        <w:rPr>
          <w:rFonts w:ascii="Times New Roman" w:hAnsi="Times New Roman"/>
        </w:rPr>
        <w:t xml:space="preserve"> [</w:t>
      </w:r>
      <w:r>
        <w:rPr>
          <w:rFonts w:ascii="Times New Roman" w:hAnsi="Times New Roman"/>
          <w:i/>
          <w:iCs/>
        </w:rPr>
        <w:t>Abel </w:t>
      </w:r>
      <w:proofErr w:type="spellStart"/>
      <w:r>
        <w:rPr>
          <w:rFonts w:ascii="Times New Roman" w:hAnsi="Times New Roman"/>
          <w:i/>
          <w:iCs/>
        </w:rPr>
        <w:t>Campos</w:t>
      </w:r>
      <w:proofErr w:type="spellEnd"/>
      <w:r>
        <w:rPr>
          <w:rFonts w:ascii="Times New Roman" w:hAnsi="Times New Roman"/>
        </w:rPr>
        <w:t xml:space="preserve">], pasludināja spriedumu. Palāta vienbalsīgi atzina par nepieņemamām pieteikuma iesniedzēju sūdzības trešajā no apvienotajām lietām par 6. un 10. pantu, ciktāl pieteikuma iesniedzēji atsaucās uz savu statusu kā NVO, un par 14. pantu un atzina par pieņemamām pārējās šo pieteikuma iesniedzēju sūdzības. Tā ar balsu vairākumu atzina par pieņemamām pieteikuma iesniedzēju sūdzības pirmajā un otrajā no apvienotajām lietām. Palāta ar balsu vairākumu arī nolēma, ka ir noticis Konvencijas 8. un 10. panta pārkāpums gan attiecībā uz 8. panta 4. punktā noteikto režīmu, gan uz II nodaļā noteikto režīmu, un nosprieda, ka nav noticis Konvencijas 8. panta pārkāpums saistībā ar </w:t>
      </w:r>
      <w:proofErr w:type="spellStart"/>
      <w:r>
        <w:rPr>
          <w:rFonts w:ascii="Times New Roman" w:hAnsi="Times New Roman"/>
        </w:rPr>
        <w:t>izlūkdatu</w:t>
      </w:r>
      <w:proofErr w:type="spellEnd"/>
      <w:r>
        <w:rPr>
          <w:rFonts w:ascii="Times New Roman" w:hAnsi="Times New Roman"/>
        </w:rPr>
        <w:t xml:space="preserve"> apmaiņas režīmu. Spriedumam tika pievienots tiesneses </w:t>
      </w:r>
      <w:proofErr w:type="spellStart"/>
      <w:r>
        <w:rPr>
          <w:rFonts w:ascii="Times New Roman" w:hAnsi="Times New Roman"/>
        </w:rPr>
        <w:t>Koskelo</w:t>
      </w:r>
      <w:proofErr w:type="spellEnd"/>
      <w:r>
        <w:rPr>
          <w:rFonts w:ascii="Times New Roman" w:hAnsi="Times New Roman"/>
        </w:rPr>
        <w:t xml:space="preserve"> daļēji piekrītošais un daļēji atšķirīgais viedoklis, kam pievienojās tiesnese </w:t>
      </w:r>
      <w:proofErr w:type="spellStart"/>
      <w:r>
        <w:rPr>
          <w:rFonts w:ascii="Times New Roman" w:hAnsi="Times New Roman"/>
        </w:rPr>
        <w:t>Turkoviča</w:t>
      </w:r>
      <w:proofErr w:type="spellEnd"/>
      <w:r>
        <w:rPr>
          <w:rFonts w:ascii="Times New Roman" w:hAnsi="Times New Roman"/>
        </w:rPr>
        <w:t xml:space="preserve">, kā arī tiesnešu </w:t>
      </w:r>
      <w:proofErr w:type="spellStart"/>
      <w:r>
        <w:rPr>
          <w:rFonts w:ascii="Times New Roman" w:hAnsi="Times New Roman"/>
        </w:rPr>
        <w:t>Pardalosas</w:t>
      </w:r>
      <w:proofErr w:type="spellEnd"/>
      <w:r>
        <w:rPr>
          <w:rFonts w:ascii="Times New Roman" w:hAnsi="Times New Roman"/>
        </w:rPr>
        <w:t xml:space="preserve"> un </w:t>
      </w:r>
      <w:proofErr w:type="spellStart"/>
      <w:r>
        <w:rPr>
          <w:rFonts w:ascii="Times New Roman" w:hAnsi="Times New Roman"/>
        </w:rPr>
        <w:t>Eikes</w:t>
      </w:r>
      <w:proofErr w:type="spellEnd"/>
      <w:r>
        <w:rPr>
          <w:rFonts w:ascii="Times New Roman" w:hAnsi="Times New Roman"/>
        </w:rPr>
        <w:t xml:space="preserve"> kopīgais daļēji atšķirīgais un daļēji piekrītošais viedoklis.</w:t>
      </w:r>
    </w:p>
    <w:p w14:paraId="5531F868" w14:textId="0E59C075" w:rsidR="000E3283" w:rsidRPr="008D031E" w:rsidRDefault="000E3283" w:rsidP="001F1E46">
      <w:pPr>
        <w:pStyle w:val="JuPara"/>
        <w:widowControl w:val="0"/>
        <w:ind w:firstLine="142"/>
        <w:rPr>
          <w:rFonts w:ascii="Times New Roman" w:hAnsi="Times New Roman"/>
          <w:noProof/>
        </w:rPr>
      </w:pPr>
      <w:r>
        <w:rPr>
          <w:rFonts w:ascii="Times New Roman" w:hAnsi="Times New Roman"/>
        </w:rPr>
        <w:t>6. Attiecīgi 2018. gada 12. decembrī un 2018. gada 11. decembrī pieteikuma iesniedzēji pirmajā un trešajā no apvienotajām lietām lūdza nodot lietu izskatīšanai Lielajā palātā saskaņā ar Konvencijas 43. pantu. 2019. gada 4. februārī Lielās palātas tiesnešu kolēģija apmierināja šo lūgumu.</w:t>
      </w:r>
    </w:p>
    <w:p w14:paraId="79137E1A" w14:textId="59FAC01F" w:rsidR="000E3283" w:rsidRPr="008D031E" w:rsidRDefault="000E3283" w:rsidP="001F1E46">
      <w:pPr>
        <w:pStyle w:val="JuPara"/>
        <w:widowControl w:val="0"/>
        <w:ind w:firstLine="142"/>
        <w:rPr>
          <w:rFonts w:ascii="Times New Roman" w:hAnsi="Times New Roman"/>
          <w:noProof/>
        </w:rPr>
      </w:pPr>
      <w:r>
        <w:rPr>
          <w:rFonts w:ascii="Times New Roman" w:hAnsi="Times New Roman"/>
        </w:rPr>
        <w:t>7. Lielās palātas sastāvs tika noteikts saskaņā ar Konvencijas 26. panta 4. un 5. punktu un Tiesas reglamenta 24. pantu.</w:t>
      </w:r>
    </w:p>
    <w:p w14:paraId="7BD9A0DB" w14:textId="73EADFBB" w:rsidR="000E3283" w:rsidRPr="008D031E" w:rsidRDefault="000E3283" w:rsidP="001F1E46">
      <w:pPr>
        <w:pStyle w:val="JuPara"/>
        <w:widowControl w:val="0"/>
        <w:ind w:firstLine="142"/>
        <w:rPr>
          <w:rFonts w:ascii="Times New Roman" w:hAnsi="Times New Roman"/>
          <w:noProof/>
        </w:rPr>
      </w:pPr>
      <w:r>
        <w:rPr>
          <w:rFonts w:ascii="Times New Roman" w:hAnsi="Times New Roman"/>
        </w:rPr>
        <w:t xml:space="preserve">8. Pieteikuma iesniedzēji un Valdība iesniedza apsvērumus (59. panta 1. punkts) par lietas </w:t>
      </w:r>
      <w:proofErr w:type="spellStart"/>
      <w:r>
        <w:rPr>
          <w:rFonts w:ascii="Times New Roman" w:hAnsi="Times New Roman"/>
        </w:rPr>
        <w:t>pieņemamību</w:t>
      </w:r>
      <w:proofErr w:type="spellEnd"/>
      <w:r>
        <w:rPr>
          <w:rFonts w:ascii="Times New Roman" w:hAnsi="Times New Roman"/>
        </w:rPr>
        <w:t xml:space="preserve"> un būtību.</w:t>
      </w:r>
    </w:p>
    <w:p w14:paraId="66FCE3AC" w14:textId="1747C33E" w:rsidR="000E3283" w:rsidRPr="008D031E" w:rsidRDefault="000E3283" w:rsidP="001F1E46">
      <w:pPr>
        <w:pStyle w:val="JuPara"/>
        <w:widowControl w:val="0"/>
        <w:ind w:firstLine="142"/>
        <w:rPr>
          <w:rFonts w:ascii="Times New Roman" w:hAnsi="Times New Roman"/>
          <w:noProof/>
        </w:rPr>
      </w:pPr>
      <w:r>
        <w:rPr>
          <w:rFonts w:ascii="Times New Roman" w:hAnsi="Times New Roman"/>
        </w:rPr>
        <w:t xml:space="preserve">9. Lielās palātas priekšsēdētājs rakstveida procesā saskaņā ar Konvencijas 36. panta 2. punktu un Tiesas reglamenta 44. panta 3. punktu piešķīra atļauju iejaukties Francijas, Norvēģijas un Nīderlandes valdībai, kā arī </w:t>
      </w:r>
      <w:bookmarkStart w:id="2" w:name="_Hlk50130459"/>
      <w:r>
        <w:rPr>
          <w:rFonts w:ascii="Times New Roman" w:hAnsi="Times New Roman"/>
        </w:rPr>
        <w:t>Apvienoto Nāciju Īpašajam ziņotājam vārda brīvības jautājumos</w:t>
      </w:r>
      <w:bookmarkEnd w:id="2"/>
      <w:r>
        <w:rPr>
          <w:rFonts w:ascii="Times New Roman" w:hAnsi="Times New Roman"/>
        </w:rPr>
        <w:t>.</w:t>
      </w:r>
    </w:p>
    <w:p w14:paraId="0EB72FE7" w14:textId="77DA53F6" w:rsidR="000E3283" w:rsidRPr="008D031E" w:rsidRDefault="000E3283" w:rsidP="001F1E46">
      <w:pPr>
        <w:pStyle w:val="JuPara"/>
        <w:widowControl w:val="0"/>
        <w:ind w:firstLine="142"/>
        <w:rPr>
          <w:rFonts w:ascii="Times New Roman" w:hAnsi="Times New Roman"/>
          <w:noProof/>
        </w:rPr>
      </w:pPr>
      <w:r>
        <w:rPr>
          <w:rFonts w:ascii="Times New Roman" w:hAnsi="Times New Roman"/>
        </w:rPr>
        <w:t>10. Uzklausīšana notika atklāti Cilvēktiesību ēkā, Strasbūrā, 2019. gada 10. jūlijā.</w:t>
      </w:r>
    </w:p>
    <w:p w14:paraId="24B57268" w14:textId="77777777" w:rsidR="000E3283" w:rsidRDefault="000E3283" w:rsidP="001F1E46">
      <w:pPr>
        <w:pStyle w:val="JuPara"/>
        <w:widowControl w:val="0"/>
        <w:ind w:firstLine="0"/>
        <w:rPr>
          <w:rFonts w:ascii="Times New Roman" w:hAnsi="Times New Roman"/>
          <w:noProof/>
        </w:rPr>
      </w:pPr>
      <w:r>
        <w:rPr>
          <w:rFonts w:ascii="Times New Roman" w:hAnsi="Times New Roman"/>
        </w:rPr>
        <w:t>Tiesas sēdē piedalījās:</w:t>
      </w:r>
    </w:p>
    <w:p w14:paraId="4CA73AF1" w14:textId="77777777" w:rsidR="00AE5560" w:rsidRPr="008D031E" w:rsidRDefault="00AE5560" w:rsidP="001F1E46">
      <w:pPr>
        <w:pStyle w:val="JuPara"/>
        <w:widowControl w:val="0"/>
        <w:ind w:firstLine="0"/>
        <w:rPr>
          <w:rFonts w:ascii="Times New Roman" w:hAnsi="Times New Roman"/>
          <w:noProof/>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937"/>
        <w:gridCol w:w="3021"/>
      </w:tblGrid>
      <w:tr w:rsidR="00007D10" w14:paraId="4E6FEB3E" w14:textId="77777777" w:rsidTr="00F94AC8">
        <w:tc>
          <w:tcPr>
            <w:tcW w:w="5103" w:type="dxa"/>
          </w:tcPr>
          <w:p w14:paraId="24C7E304" w14:textId="2D4D0C9D" w:rsidR="00007D10" w:rsidRDefault="00007D10" w:rsidP="001F1E46">
            <w:pPr>
              <w:pStyle w:val="JuCourt"/>
              <w:widowControl w:val="0"/>
              <w:spacing w:before="0"/>
              <w:ind w:left="0" w:firstLine="0"/>
              <w:jc w:val="both"/>
              <w:rPr>
                <w:rFonts w:ascii="Times New Roman" w:hAnsi="Times New Roman"/>
                <w:noProof/>
              </w:rPr>
            </w:pPr>
            <w:r>
              <w:rPr>
                <w:rFonts w:ascii="Times New Roman" w:hAnsi="Times New Roman"/>
              </w:rPr>
              <w:t xml:space="preserve">a) </w:t>
            </w:r>
            <w:r>
              <w:rPr>
                <w:rFonts w:ascii="Times New Roman" w:hAnsi="Times New Roman"/>
                <w:i/>
                <w:iCs/>
              </w:rPr>
              <w:t>Valdības pārstāvji</w:t>
            </w:r>
          </w:p>
        </w:tc>
        <w:tc>
          <w:tcPr>
            <w:tcW w:w="937" w:type="dxa"/>
          </w:tcPr>
          <w:p w14:paraId="235CE739" w14:textId="77777777" w:rsidR="00007D10" w:rsidRDefault="00007D10" w:rsidP="001F1E46">
            <w:pPr>
              <w:pStyle w:val="JuCourt"/>
              <w:widowControl w:val="0"/>
              <w:spacing w:before="0"/>
              <w:ind w:left="0" w:firstLine="0"/>
              <w:jc w:val="both"/>
              <w:rPr>
                <w:rFonts w:ascii="Times New Roman" w:hAnsi="Times New Roman"/>
                <w:noProof/>
                <w:lang w:val="en-US"/>
              </w:rPr>
            </w:pPr>
          </w:p>
        </w:tc>
        <w:tc>
          <w:tcPr>
            <w:tcW w:w="3021" w:type="dxa"/>
          </w:tcPr>
          <w:p w14:paraId="3E1F3639" w14:textId="77777777" w:rsidR="00007D10" w:rsidRDefault="00007D10" w:rsidP="001F1E46">
            <w:pPr>
              <w:pStyle w:val="JuCourt"/>
              <w:widowControl w:val="0"/>
              <w:spacing w:before="0"/>
              <w:ind w:left="0" w:firstLine="0"/>
              <w:jc w:val="both"/>
              <w:rPr>
                <w:rFonts w:ascii="Times New Roman" w:hAnsi="Times New Roman"/>
                <w:noProof/>
                <w:lang w:val="en-US"/>
              </w:rPr>
            </w:pPr>
          </w:p>
        </w:tc>
      </w:tr>
      <w:tr w:rsidR="00007D10" w14:paraId="64E7133C" w14:textId="77777777" w:rsidTr="00F94AC8">
        <w:tc>
          <w:tcPr>
            <w:tcW w:w="5103" w:type="dxa"/>
          </w:tcPr>
          <w:p w14:paraId="36A08EC1" w14:textId="7EE956A3" w:rsidR="00007D10" w:rsidRDefault="00755DB4" w:rsidP="001F1E46">
            <w:pPr>
              <w:pStyle w:val="JuCourt"/>
              <w:widowControl w:val="0"/>
              <w:spacing w:before="0"/>
              <w:ind w:left="317" w:firstLine="0"/>
              <w:jc w:val="both"/>
              <w:rPr>
                <w:rFonts w:ascii="Times New Roman" w:hAnsi="Times New Roman"/>
                <w:noProof/>
              </w:rPr>
            </w:pPr>
            <w:r>
              <w:rPr>
                <w:rFonts w:ascii="Times New Roman" w:hAnsi="Times New Roman"/>
              </w:rPr>
              <w:t>Č. </w:t>
            </w:r>
            <w:proofErr w:type="spellStart"/>
            <w:r w:rsidRPr="009A3980">
              <w:rPr>
                <w:rFonts w:ascii="Times New Roman" w:hAnsi="Times New Roman"/>
                <w:smallCaps/>
              </w:rPr>
              <w:t>Vikremasinghs</w:t>
            </w:r>
            <w:proofErr w:type="spellEnd"/>
            <w:r>
              <w:rPr>
                <w:rFonts w:ascii="Times New Roman" w:hAnsi="Times New Roman"/>
              </w:rPr>
              <w:t>,</w:t>
            </w:r>
          </w:p>
        </w:tc>
        <w:tc>
          <w:tcPr>
            <w:tcW w:w="937" w:type="dxa"/>
          </w:tcPr>
          <w:p w14:paraId="489144CD" w14:textId="77777777" w:rsidR="00007D10" w:rsidRDefault="00007D10" w:rsidP="001F1E46">
            <w:pPr>
              <w:pStyle w:val="JuCourt"/>
              <w:widowControl w:val="0"/>
              <w:spacing w:before="0"/>
              <w:ind w:left="0" w:firstLine="0"/>
              <w:jc w:val="both"/>
              <w:rPr>
                <w:rFonts w:ascii="Times New Roman" w:hAnsi="Times New Roman"/>
                <w:noProof/>
                <w:lang w:val="en-US"/>
              </w:rPr>
            </w:pPr>
          </w:p>
        </w:tc>
        <w:tc>
          <w:tcPr>
            <w:tcW w:w="3021" w:type="dxa"/>
          </w:tcPr>
          <w:p w14:paraId="08093947" w14:textId="6432227F" w:rsidR="00007D10" w:rsidRDefault="00755DB4" w:rsidP="001F1E46">
            <w:pPr>
              <w:pStyle w:val="JuCourt"/>
              <w:widowControl w:val="0"/>
              <w:spacing w:before="0"/>
              <w:ind w:left="0" w:firstLine="0"/>
              <w:jc w:val="both"/>
              <w:rPr>
                <w:rFonts w:ascii="Times New Roman" w:hAnsi="Times New Roman"/>
                <w:noProof/>
              </w:rPr>
            </w:pPr>
            <w:r>
              <w:rPr>
                <w:rFonts w:ascii="Times New Roman" w:hAnsi="Times New Roman"/>
                <w:i/>
                <w:iCs/>
              </w:rPr>
              <w:t>pārstāvis</w:t>
            </w:r>
            <w:r>
              <w:rPr>
                <w:rFonts w:ascii="Times New Roman" w:hAnsi="Times New Roman"/>
              </w:rPr>
              <w:t>,</w:t>
            </w:r>
          </w:p>
        </w:tc>
      </w:tr>
      <w:tr w:rsidR="00007D10" w14:paraId="0273535A" w14:textId="77777777" w:rsidTr="00F94AC8">
        <w:tc>
          <w:tcPr>
            <w:tcW w:w="5103" w:type="dxa"/>
          </w:tcPr>
          <w:p w14:paraId="0FD9D8B7" w14:textId="2A6F4A71" w:rsidR="00007D10" w:rsidRDefault="00755DB4" w:rsidP="001F1E46">
            <w:pPr>
              <w:pStyle w:val="JuCourt"/>
              <w:widowControl w:val="0"/>
              <w:spacing w:before="0"/>
              <w:ind w:left="317" w:firstLine="0"/>
              <w:jc w:val="both"/>
              <w:rPr>
                <w:rFonts w:ascii="Times New Roman" w:hAnsi="Times New Roman"/>
                <w:noProof/>
              </w:rPr>
            </w:pPr>
            <w:proofErr w:type="spellStart"/>
            <w:r>
              <w:rPr>
                <w:rFonts w:ascii="Times New Roman" w:hAnsi="Times New Roman"/>
              </w:rPr>
              <w:t>Dž</w:t>
            </w:r>
            <w:proofErr w:type="spellEnd"/>
            <w:r>
              <w:rPr>
                <w:rFonts w:ascii="Times New Roman" w:hAnsi="Times New Roman"/>
              </w:rPr>
              <w:t>. </w:t>
            </w:r>
            <w:proofErr w:type="spellStart"/>
            <w:r w:rsidRPr="009A3980">
              <w:rPr>
                <w:rFonts w:ascii="Times New Roman" w:hAnsi="Times New Roman"/>
                <w:smallCaps/>
              </w:rPr>
              <w:t>Īdijs</w:t>
            </w:r>
            <w:proofErr w:type="spellEnd"/>
            <w:r>
              <w:rPr>
                <w:rFonts w:ascii="Times New Roman" w:hAnsi="Times New Roman"/>
              </w:rPr>
              <w:t xml:space="preserve"> [</w:t>
            </w:r>
            <w:r>
              <w:rPr>
                <w:rFonts w:ascii="Times New Roman" w:hAnsi="Times New Roman"/>
                <w:i/>
                <w:iCs/>
              </w:rPr>
              <w:t>J. </w:t>
            </w:r>
            <w:proofErr w:type="spellStart"/>
            <w:r>
              <w:rPr>
                <w:rFonts w:ascii="Times New Roman" w:hAnsi="Times New Roman"/>
                <w:i/>
                <w:iCs/>
              </w:rPr>
              <w:t>Eadie</w:t>
            </w:r>
            <w:proofErr w:type="spellEnd"/>
            <w:r>
              <w:rPr>
                <w:rFonts w:ascii="Times New Roman" w:hAnsi="Times New Roman"/>
              </w:rPr>
              <w:t>] Q. C. un</w:t>
            </w:r>
          </w:p>
        </w:tc>
        <w:tc>
          <w:tcPr>
            <w:tcW w:w="937" w:type="dxa"/>
          </w:tcPr>
          <w:p w14:paraId="335B97E2" w14:textId="56AE3426" w:rsidR="00007D10" w:rsidRPr="00755DB4" w:rsidRDefault="00007D10" w:rsidP="001F1E46">
            <w:pPr>
              <w:pStyle w:val="JuCourt"/>
              <w:widowControl w:val="0"/>
              <w:spacing w:before="0"/>
              <w:ind w:left="0" w:firstLine="0"/>
              <w:jc w:val="both"/>
              <w:rPr>
                <w:rFonts w:ascii="Times New Roman" w:hAnsi="Times New Roman"/>
                <w:smallCaps/>
                <w:noProof/>
                <w:lang w:val="en-US"/>
              </w:rPr>
            </w:pPr>
          </w:p>
        </w:tc>
        <w:tc>
          <w:tcPr>
            <w:tcW w:w="3021" w:type="dxa"/>
          </w:tcPr>
          <w:p w14:paraId="5BDE83CE" w14:textId="77777777" w:rsidR="00007D10" w:rsidRDefault="00007D10" w:rsidP="001F1E46">
            <w:pPr>
              <w:pStyle w:val="JuCourt"/>
              <w:widowControl w:val="0"/>
              <w:spacing w:before="0"/>
              <w:ind w:left="0" w:firstLine="0"/>
              <w:jc w:val="both"/>
              <w:rPr>
                <w:rFonts w:ascii="Times New Roman" w:hAnsi="Times New Roman"/>
                <w:noProof/>
                <w:lang w:val="en-US"/>
              </w:rPr>
            </w:pPr>
          </w:p>
        </w:tc>
      </w:tr>
      <w:tr w:rsidR="00007D10" w14:paraId="51E2A750" w14:textId="77777777" w:rsidTr="00F94AC8">
        <w:tc>
          <w:tcPr>
            <w:tcW w:w="5103" w:type="dxa"/>
          </w:tcPr>
          <w:p w14:paraId="1D514B2F" w14:textId="010F6CB3" w:rsidR="00007D10" w:rsidRDefault="00755DB4" w:rsidP="001F1E46">
            <w:pPr>
              <w:pStyle w:val="JuCourt"/>
              <w:widowControl w:val="0"/>
              <w:spacing w:before="0"/>
              <w:ind w:left="317" w:firstLine="0"/>
              <w:jc w:val="both"/>
              <w:rPr>
                <w:rFonts w:ascii="Times New Roman" w:hAnsi="Times New Roman"/>
                <w:noProof/>
              </w:rPr>
            </w:pPr>
            <w:proofErr w:type="spellStart"/>
            <w:r>
              <w:rPr>
                <w:rFonts w:ascii="Times New Roman" w:hAnsi="Times New Roman"/>
              </w:rPr>
              <w:t>Dž</w:t>
            </w:r>
            <w:proofErr w:type="spellEnd"/>
            <w:r>
              <w:rPr>
                <w:rFonts w:ascii="Times New Roman" w:hAnsi="Times New Roman"/>
              </w:rPr>
              <w:t>. </w:t>
            </w:r>
            <w:proofErr w:type="spellStart"/>
            <w:r w:rsidRPr="009A3980">
              <w:rPr>
                <w:rFonts w:ascii="Times New Roman" w:hAnsi="Times New Roman"/>
                <w:smallCaps/>
              </w:rPr>
              <w:t>Mitfords</w:t>
            </w:r>
            <w:proofErr w:type="spellEnd"/>
            <w:r>
              <w:rPr>
                <w:rFonts w:ascii="Times New Roman" w:hAnsi="Times New Roman"/>
              </w:rPr>
              <w:t xml:space="preserve"> [</w:t>
            </w:r>
            <w:r>
              <w:rPr>
                <w:rFonts w:ascii="Times New Roman" w:hAnsi="Times New Roman"/>
                <w:i/>
                <w:iCs/>
              </w:rPr>
              <w:t>J. </w:t>
            </w:r>
            <w:proofErr w:type="spellStart"/>
            <w:r>
              <w:rPr>
                <w:rFonts w:ascii="Times New Roman" w:hAnsi="Times New Roman"/>
                <w:i/>
                <w:iCs/>
              </w:rPr>
              <w:t>Mitford</w:t>
            </w:r>
            <w:proofErr w:type="spellEnd"/>
            <w:r>
              <w:rPr>
                <w:rFonts w:ascii="Times New Roman" w:hAnsi="Times New Roman"/>
              </w:rPr>
              <w:t>],</w:t>
            </w:r>
          </w:p>
        </w:tc>
        <w:tc>
          <w:tcPr>
            <w:tcW w:w="937" w:type="dxa"/>
          </w:tcPr>
          <w:p w14:paraId="52BE195A" w14:textId="77777777" w:rsidR="00007D10" w:rsidRDefault="00007D10" w:rsidP="001F1E46">
            <w:pPr>
              <w:pStyle w:val="JuCourt"/>
              <w:widowControl w:val="0"/>
              <w:spacing w:before="0"/>
              <w:ind w:left="0" w:firstLine="0"/>
              <w:jc w:val="both"/>
              <w:rPr>
                <w:rFonts w:ascii="Times New Roman" w:hAnsi="Times New Roman"/>
                <w:noProof/>
                <w:lang w:val="en-US"/>
              </w:rPr>
            </w:pPr>
          </w:p>
        </w:tc>
        <w:tc>
          <w:tcPr>
            <w:tcW w:w="3021" w:type="dxa"/>
          </w:tcPr>
          <w:p w14:paraId="61DF62EA" w14:textId="51FA8A39" w:rsidR="00007D10" w:rsidRDefault="00755DB4" w:rsidP="001F1E46">
            <w:pPr>
              <w:pStyle w:val="JuCourt"/>
              <w:widowControl w:val="0"/>
              <w:spacing w:before="0"/>
              <w:ind w:left="0" w:firstLine="0"/>
              <w:jc w:val="both"/>
              <w:rPr>
                <w:rFonts w:ascii="Times New Roman" w:hAnsi="Times New Roman"/>
                <w:noProof/>
              </w:rPr>
            </w:pPr>
            <w:r>
              <w:rPr>
                <w:rFonts w:ascii="Times New Roman" w:hAnsi="Times New Roman"/>
                <w:i/>
                <w:iCs/>
              </w:rPr>
              <w:t>padomnieks</w:t>
            </w:r>
            <w:r>
              <w:rPr>
                <w:rFonts w:ascii="Times New Roman" w:hAnsi="Times New Roman"/>
              </w:rPr>
              <w:t>,</w:t>
            </w:r>
          </w:p>
        </w:tc>
      </w:tr>
      <w:tr w:rsidR="00007D10" w14:paraId="665BF077" w14:textId="77777777" w:rsidTr="00F94AC8">
        <w:tc>
          <w:tcPr>
            <w:tcW w:w="5103" w:type="dxa"/>
          </w:tcPr>
          <w:p w14:paraId="7F398F03" w14:textId="2622688E" w:rsidR="00007D10" w:rsidRDefault="00755DB4" w:rsidP="001F1E46">
            <w:pPr>
              <w:pStyle w:val="JuCourt"/>
              <w:widowControl w:val="0"/>
              <w:spacing w:before="0"/>
              <w:ind w:left="317" w:firstLine="0"/>
              <w:jc w:val="both"/>
              <w:rPr>
                <w:rFonts w:ascii="Times New Roman" w:hAnsi="Times New Roman"/>
                <w:noProof/>
              </w:rPr>
            </w:pPr>
            <w:r>
              <w:rPr>
                <w:rFonts w:ascii="Times New Roman" w:hAnsi="Times New Roman"/>
              </w:rPr>
              <w:t>R. </w:t>
            </w:r>
            <w:proofErr w:type="spellStart"/>
            <w:r w:rsidRPr="009A3980">
              <w:rPr>
                <w:rFonts w:ascii="Times New Roman" w:hAnsi="Times New Roman"/>
                <w:smallCaps/>
              </w:rPr>
              <w:t>Jārdlijs</w:t>
            </w:r>
            <w:proofErr w:type="spellEnd"/>
            <w:r>
              <w:rPr>
                <w:rFonts w:ascii="Times New Roman" w:hAnsi="Times New Roman"/>
              </w:rPr>
              <w:t xml:space="preserve"> [</w:t>
            </w:r>
            <w:r>
              <w:rPr>
                <w:rFonts w:ascii="Times New Roman" w:hAnsi="Times New Roman"/>
                <w:i/>
                <w:iCs/>
              </w:rPr>
              <w:t>R. </w:t>
            </w:r>
            <w:proofErr w:type="spellStart"/>
            <w:r>
              <w:rPr>
                <w:rFonts w:ascii="Times New Roman" w:hAnsi="Times New Roman"/>
                <w:i/>
                <w:iCs/>
              </w:rPr>
              <w:t>Yardley</w:t>
            </w:r>
            <w:proofErr w:type="spellEnd"/>
            <w:r>
              <w:rPr>
                <w:rFonts w:ascii="Times New Roman" w:hAnsi="Times New Roman"/>
              </w:rPr>
              <w:t>],</w:t>
            </w:r>
          </w:p>
        </w:tc>
        <w:tc>
          <w:tcPr>
            <w:tcW w:w="937" w:type="dxa"/>
          </w:tcPr>
          <w:p w14:paraId="5E3055F5" w14:textId="77777777" w:rsidR="00007D10" w:rsidRDefault="00007D10" w:rsidP="001F1E46">
            <w:pPr>
              <w:pStyle w:val="JuCourt"/>
              <w:widowControl w:val="0"/>
              <w:spacing w:before="0"/>
              <w:ind w:left="0" w:firstLine="0"/>
              <w:jc w:val="both"/>
              <w:rPr>
                <w:rFonts w:ascii="Times New Roman" w:hAnsi="Times New Roman"/>
                <w:noProof/>
                <w:lang w:val="en-US"/>
              </w:rPr>
            </w:pPr>
          </w:p>
        </w:tc>
        <w:tc>
          <w:tcPr>
            <w:tcW w:w="3021" w:type="dxa"/>
          </w:tcPr>
          <w:p w14:paraId="7F5E792F" w14:textId="77777777" w:rsidR="00007D10" w:rsidRDefault="00007D10" w:rsidP="001F1E46">
            <w:pPr>
              <w:pStyle w:val="JuCourt"/>
              <w:widowControl w:val="0"/>
              <w:spacing w:before="0"/>
              <w:ind w:left="0" w:firstLine="0"/>
              <w:jc w:val="both"/>
              <w:rPr>
                <w:rFonts w:ascii="Times New Roman" w:hAnsi="Times New Roman"/>
                <w:noProof/>
                <w:lang w:val="en-US"/>
              </w:rPr>
            </w:pPr>
          </w:p>
        </w:tc>
      </w:tr>
      <w:tr w:rsidR="00007D10" w14:paraId="1361568D" w14:textId="77777777" w:rsidTr="00F94AC8">
        <w:tc>
          <w:tcPr>
            <w:tcW w:w="5103" w:type="dxa"/>
          </w:tcPr>
          <w:p w14:paraId="7024F0C0" w14:textId="45876457" w:rsidR="00007D10" w:rsidRDefault="00755DB4" w:rsidP="001F1E46">
            <w:pPr>
              <w:pStyle w:val="JuCourt"/>
              <w:widowControl w:val="0"/>
              <w:spacing w:before="0"/>
              <w:ind w:left="317" w:firstLine="0"/>
              <w:jc w:val="both"/>
              <w:rPr>
                <w:rFonts w:ascii="Times New Roman" w:hAnsi="Times New Roman"/>
                <w:noProof/>
              </w:rPr>
            </w:pPr>
            <w:r>
              <w:rPr>
                <w:rFonts w:ascii="Times New Roman" w:hAnsi="Times New Roman"/>
              </w:rPr>
              <w:t>L. </w:t>
            </w:r>
            <w:r w:rsidRPr="009A3980">
              <w:rPr>
                <w:rFonts w:ascii="Times New Roman" w:hAnsi="Times New Roman"/>
                <w:smallCaps/>
              </w:rPr>
              <w:t>Morgana</w:t>
            </w:r>
            <w:r>
              <w:rPr>
                <w:rFonts w:ascii="Times New Roman" w:hAnsi="Times New Roman"/>
              </w:rPr>
              <w:t xml:space="preserve"> [</w:t>
            </w:r>
            <w:r>
              <w:rPr>
                <w:rFonts w:ascii="Times New Roman" w:hAnsi="Times New Roman"/>
                <w:i/>
                <w:iCs/>
              </w:rPr>
              <w:t>L. Morgan</w:t>
            </w:r>
            <w:r>
              <w:rPr>
                <w:rFonts w:ascii="Times New Roman" w:hAnsi="Times New Roman"/>
              </w:rPr>
              <w:t>],</w:t>
            </w:r>
          </w:p>
        </w:tc>
        <w:tc>
          <w:tcPr>
            <w:tcW w:w="937" w:type="dxa"/>
          </w:tcPr>
          <w:p w14:paraId="5434E8B0" w14:textId="77777777" w:rsidR="00007D10" w:rsidRDefault="00007D10" w:rsidP="001F1E46">
            <w:pPr>
              <w:pStyle w:val="JuCourt"/>
              <w:widowControl w:val="0"/>
              <w:spacing w:before="0"/>
              <w:ind w:left="0" w:firstLine="0"/>
              <w:jc w:val="both"/>
              <w:rPr>
                <w:rFonts w:ascii="Times New Roman" w:hAnsi="Times New Roman"/>
                <w:noProof/>
                <w:lang w:val="en-US"/>
              </w:rPr>
            </w:pPr>
          </w:p>
        </w:tc>
        <w:tc>
          <w:tcPr>
            <w:tcW w:w="3021" w:type="dxa"/>
          </w:tcPr>
          <w:p w14:paraId="0CCF9A5B" w14:textId="77777777" w:rsidR="00007D10" w:rsidRDefault="00007D10" w:rsidP="001F1E46">
            <w:pPr>
              <w:pStyle w:val="JuCourt"/>
              <w:widowControl w:val="0"/>
              <w:spacing w:before="0"/>
              <w:ind w:left="0" w:firstLine="0"/>
              <w:jc w:val="both"/>
              <w:rPr>
                <w:rFonts w:ascii="Times New Roman" w:hAnsi="Times New Roman"/>
                <w:noProof/>
                <w:lang w:val="en-US"/>
              </w:rPr>
            </w:pPr>
          </w:p>
        </w:tc>
      </w:tr>
      <w:tr w:rsidR="00007D10" w14:paraId="1C0CF78D" w14:textId="77777777" w:rsidTr="00F94AC8">
        <w:tc>
          <w:tcPr>
            <w:tcW w:w="5103" w:type="dxa"/>
          </w:tcPr>
          <w:p w14:paraId="18420943" w14:textId="663AC914" w:rsidR="00007D10" w:rsidRDefault="00755DB4" w:rsidP="001F1E46">
            <w:pPr>
              <w:pStyle w:val="JuCourt"/>
              <w:widowControl w:val="0"/>
              <w:spacing w:before="0"/>
              <w:ind w:left="317" w:firstLine="0"/>
              <w:jc w:val="both"/>
              <w:rPr>
                <w:rFonts w:ascii="Times New Roman" w:hAnsi="Times New Roman"/>
                <w:noProof/>
              </w:rPr>
            </w:pPr>
            <w:r>
              <w:rPr>
                <w:rFonts w:ascii="Times New Roman" w:hAnsi="Times New Roman"/>
              </w:rPr>
              <w:t>H. </w:t>
            </w:r>
            <w:proofErr w:type="spellStart"/>
            <w:r w:rsidRPr="009A3980">
              <w:rPr>
                <w:rFonts w:ascii="Times New Roman" w:hAnsi="Times New Roman"/>
                <w:smallCaps/>
              </w:rPr>
              <w:t>Mobijs</w:t>
            </w:r>
            <w:proofErr w:type="spellEnd"/>
            <w:r>
              <w:rPr>
                <w:rFonts w:ascii="Times New Roman" w:hAnsi="Times New Roman"/>
              </w:rPr>
              <w:t xml:space="preserve"> [</w:t>
            </w:r>
            <w:r>
              <w:rPr>
                <w:rFonts w:ascii="Times New Roman" w:hAnsi="Times New Roman"/>
                <w:i/>
                <w:iCs/>
              </w:rPr>
              <w:t>H. </w:t>
            </w:r>
            <w:proofErr w:type="spellStart"/>
            <w:r>
              <w:rPr>
                <w:rFonts w:ascii="Times New Roman" w:hAnsi="Times New Roman"/>
                <w:i/>
                <w:iCs/>
              </w:rPr>
              <w:t>Mawby</w:t>
            </w:r>
            <w:proofErr w:type="spellEnd"/>
            <w:r>
              <w:rPr>
                <w:rFonts w:ascii="Times New Roman" w:hAnsi="Times New Roman"/>
              </w:rPr>
              <w:t>],</w:t>
            </w:r>
          </w:p>
        </w:tc>
        <w:tc>
          <w:tcPr>
            <w:tcW w:w="937" w:type="dxa"/>
          </w:tcPr>
          <w:p w14:paraId="3869FEFF" w14:textId="77777777" w:rsidR="00007D10" w:rsidRDefault="00007D10" w:rsidP="001F1E46">
            <w:pPr>
              <w:pStyle w:val="JuCourt"/>
              <w:widowControl w:val="0"/>
              <w:spacing w:before="0"/>
              <w:ind w:left="0" w:firstLine="0"/>
              <w:jc w:val="both"/>
              <w:rPr>
                <w:rFonts w:ascii="Times New Roman" w:hAnsi="Times New Roman"/>
                <w:noProof/>
                <w:lang w:val="en-US"/>
              </w:rPr>
            </w:pPr>
          </w:p>
        </w:tc>
        <w:tc>
          <w:tcPr>
            <w:tcW w:w="3021" w:type="dxa"/>
          </w:tcPr>
          <w:p w14:paraId="55684431" w14:textId="77777777" w:rsidR="00007D10" w:rsidRDefault="00007D10" w:rsidP="001F1E46">
            <w:pPr>
              <w:pStyle w:val="JuCourt"/>
              <w:widowControl w:val="0"/>
              <w:spacing w:before="0"/>
              <w:ind w:left="0" w:firstLine="0"/>
              <w:jc w:val="both"/>
              <w:rPr>
                <w:rFonts w:ascii="Times New Roman" w:hAnsi="Times New Roman"/>
                <w:noProof/>
                <w:lang w:val="en-US"/>
              </w:rPr>
            </w:pPr>
          </w:p>
        </w:tc>
      </w:tr>
      <w:tr w:rsidR="00007D10" w14:paraId="4DE9D6C7" w14:textId="77777777" w:rsidTr="00F94AC8">
        <w:tc>
          <w:tcPr>
            <w:tcW w:w="5103" w:type="dxa"/>
          </w:tcPr>
          <w:p w14:paraId="38819758" w14:textId="2411FF3E" w:rsidR="00007D10" w:rsidRDefault="00755DB4" w:rsidP="001F1E46">
            <w:pPr>
              <w:pStyle w:val="JuCourt"/>
              <w:widowControl w:val="0"/>
              <w:spacing w:before="0"/>
              <w:ind w:left="317" w:firstLine="0"/>
              <w:jc w:val="both"/>
              <w:rPr>
                <w:rFonts w:ascii="Times New Roman" w:hAnsi="Times New Roman"/>
                <w:noProof/>
              </w:rPr>
            </w:pPr>
            <w:r>
              <w:rPr>
                <w:rFonts w:ascii="Times New Roman" w:hAnsi="Times New Roman"/>
              </w:rPr>
              <w:t>T. </w:t>
            </w:r>
            <w:proofErr w:type="spellStart"/>
            <w:r w:rsidRPr="009A3980">
              <w:rPr>
                <w:rFonts w:ascii="Times New Roman" w:hAnsi="Times New Roman"/>
                <w:smallCaps/>
              </w:rPr>
              <w:t>Raterfords</w:t>
            </w:r>
            <w:proofErr w:type="spellEnd"/>
            <w:r>
              <w:rPr>
                <w:rFonts w:ascii="Times New Roman" w:hAnsi="Times New Roman"/>
              </w:rPr>
              <w:t xml:space="preserve"> [</w:t>
            </w:r>
            <w:r>
              <w:rPr>
                <w:rFonts w:ascii="Times New Roman" w:hAnsi="Times New Roman"/>
                <w:i/>
                <w:iCs/>
              </w:rPr>
              <w:t>T. </w:t>
            </w:r>
            <w:proofErr w:type="spellStart"/>
            <w:r>
              <w:rPr>
                <w:rFonts w:ascii="Times New Roman" w:hAnsi="Times New Roman"/>
                <w:i/>
                <w:iCs/>
              </w:rPr>
              <w:t>Rutherford</w:t>
            </w:r>
            <w:proofErr w:type="spellEnd"/>
            <w:r>
              <w:rPr>
                <w:rFonts w:ascii="Times New Roman" w:hAnsi="Times New Roman"/>
              </w:rPr>
              <w:t xml:space="preserve">] </w:t>
            </w:r>
            <w:r w:rsidRPr="009A3980">
              <w:rPr>
                <w:rFonts w:ascii="Times New Roman" w:hAnsi="Times New Roman"/>
                <w:smallCaps/>
              </w:rPr>
              <w:t>un</w:t>
            </w:r>
          </w:p>
        </w:tc>
        <w:tc>
          <w:tcPr>
            <w:tcW w:w="937" w:type="dxa"/>
          </w:tcPr>
          <w:p w14:paraId="5E97CA82" w14:textId="77777777" w:rsidR="00007D10" w:rsidRDefault="00007D10" w:rsidP="001F1E46">
            <w:pPr>
              <w:pStyle w:val="JuCourt"/>
              <w:widowControl w:val="0"/>
              <w:spacing w:before="0"/>
              <w:ind w:left="0" w:firstLine="0"/>
              <w:jc w:val="both"/>
              <w:rPr>
                <w:rFonts w:ascii="Times New Roman" w:hAnsi="Times New Roman"/>
                <w:noProof/>
                <w:lang w:val="en-US"/>
              </w:rPr>
            </w:pPr>
          </w:p>
        </w:tc>
        <w:tc>
          <w:tcPr>
            <w:tcW w:w="3021" w:type="dxa"/>
          </w:tcPr>
          <w:p w14:paraId="0040B845" w14:textId="77777777" w:rsidR="00007D10" w:rsidRDefault="00007D10" w:rsidP="001F1E46">
            <w:pPr>
              <w:pStyle w:val="JuCourt"/>
              <w:widowControl w:val="0"/>
              <w:spacing w:before="0"/>
              <w:ind w:left="0" w:firstLine="0"/>
              <w:jc w:val="both"/>
              <w:rPr>
                <w:rFonts w:ascii="Times New Roman" w:hAnsi="Times New Roman"/>
                <w:noProof/>
                <w:lang w:val="en-US"/>
              </w:rPr>
            </w:pPr>
          </w:p>
        </w:tc>
      </w:tr>
      <w:tr w:rsidR="00755DB4" w14:paraId="30059087" w14:textId="77777777" w:rsidTr="00F94AC8">
        <w:tc>
          <w:tcPr>
            <w:tcW w:w="5103" w:type="dxa"/>
          </w:tcPr>
          <w:p w14:paraId="2772D441" w14:textId="5731063B" w:rsidR="00755DB4" w:rsidRPr="008D031E" w:rsidRDefault="00755DB4" w:rsidP="001F1E46">
            <w:pPr>
              <w:pStyle w:val="JuCourt"/>
              <w:widowControl w:val="0"/>
              <w:spacing w:before="0"/>
              <w:ind w:left="317" w:firstLine="0"/>
              <w:jc w:val="both"/>
              <w:rPr>
                <w:rFonts w:ascii="Times New Roman" w:hAnsi="Times New Roman"/>
                <w:noProof/>
              </w:rPr>
            </w:pPr>
            <w:proofErr w:type="spellStart"/>
            <w:r>
              <w:rPr>
                <w:rFonts w:ascii="Times New Roman" w:hAnsi="Times New Roman"/>
              </w:rPr>
              <w:t>Dž</w:t>
            </w:r>
            <w:proofErr w:type="spellEnd"/>
            <w:r>
              <w:rPr>
                <w:rFonts w:ascii="Times New Roman" w:hAnsi="Times New Roman"/>
              </w:rPr>
              <w:t>. </w:t>
            </w:r>
            <w:proofErr w:type="spellStart"/>
            <w:r w:rsidRPr="009A3980">
              <w:rPr>
                <w:rFonts w:ascii="Times New Roman" w:hAnsi="Times New Roman"/>
                <w:smallCaps/>
              </w:rPr>
              <w:t>Kījs-Braits</w:t>
            </w:r>
            <w:proofErr w:type="spellEnd"/>
            <w:r>
              <w:rPr>
                <w:rFonts w:ascii="Times New Roman" w:hAnsi="Times New Roman"/>
              </w:rPr>
              <w:t xml:space="preserve"> [</w:t>
            </w:r>
            <w:r>
              <w:rPr>
                <w:rFonts w:ascii="Times New Roman" w:hAnsi="Times New Roman"/>
                <w:i/>
                <w:iCs/>
              </w:rPr>
              <w:t>J. </w:t>
            </w:r>
            <w:proofErr w:type="spellStart"/>
            <w:r>
              <w:rPr>
                <w:rFonts w:ascii="Times New Roman" w:hAnsi="Times New Roman"/>
                <w:i/>
                <w:iCs/>
              </w:rPr>
              <w:t>Keay-Bright</w:t>
            </w:r>
            <w:proofErr w:type="spellEnd"/>
            <w:r>
              <w:rPr>
                <w:rFonts w:ascii="Times New Roman" w:hAnsi="Times New Roman"/>
              </w:rPr>
              <w:t>],</w:t>
            </w:r>
          </w:p>
        </w:tc>
        <w:tc>
          <w:tcPr>
            <w:tcW w:w="937" w:type="dxa"/>
          </w:tcPr>
          <w:p w14:paraId="7B4576BC" w14:textId="77777777" w:rsidR="00755DB4" w:rsidRDefault="00755DB4" w:rsidP="001F1E46">
            <w:pPr>
              <w:pStyle w:val="JuCourt"/>
              <w:widowControl w:val="0"/>
              <w:spacing w:before="0"/>
              <w:ind w:left="0" w:firstLine="0"/>
              <w:jc w:val="both"/>
              <w:rPr>
                <w:rFonts w:ascii="Times New Roman" w:hAnsi="Times New Roman"/>
                <w:noProof/>
                <w:lang w:val="en-US"/>
              </w:rPr>
            </w:pPr>
          </w:p>
        </w:tc>
        <w:tc>
          <w:tcPr>
            <w:tcW w:w="3021" w:type="dxa"/>
          </w:tcPr>
          <w:p w14:paraId="32E9022F" w14:textId="3641AB3D" w:rsidR="00755DB4" w:rsidRDefault="00755DB4" w:rsidP="001F1E46">
            <w:pPr>
              <w:pStyle w:val="JuCourt"/>
              <w:widowControl w:val="0"/>
              <w:spacing w:before="0"/>
              <w:ind w:left="0" w:firstLine="0"/>
              <w:jc w:val="both"/>
              <w:rPr>
                <w:rFonts w:ascii="Times New Roman" w:hAnsi="Times New Roman"/>
                <w:noProof/>
              </w:rPr>
            </w:pPr>
            <w:r>
              <w:rPr>
                <w:rFonts w:ascii="Times New Roman" w:hAnsi="Times New Roman"/>
                <w:i/>
                <w:iCs/>
              </w:rPr>
              <w:t>konsultanti</w:t>
            </w:r>
            <w:r>
              <w:rPr>
                <w:rFonts w:ascii="Times New Roman" w:hAnsi="Times New Roman"/>
              </w:rPr>
              <w:t>;</w:t>
            </w:r>
          </w:p>
        </w:tc>
      </w:tr>
    </w:tbl>
    <w:p w14:paraId="2BF30CF5" w14:textId="77777777" w:rsidR="00755DB4" w:rsidRDefault="00755DB4" w:rsidP="001F1E46">
      <w:pPr>
        <w:pStyle w:val="JuCourt"/>
        <w:widowControl w:val="0"/>
        <w:spacing w:before="0"/>
        <w:ind w:left="0" w:firstLine="0"/>
        <w:jc w:val="both"/>
        <w:rPr>
          <w:rFonts w:ascii="Times New Roman" w:hAnsi="Times New Roman"/>
          <w:noProof/>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937"/>
        <w:gridCol w:w="3021"/>
      </w:tblGrid>
      <w:tr w:rsidR="00755DB4" w14:paraId="0EFF804C" w14:textId="77777777" w:rsidTr="00F94AC8">
        <w:tc>
          <w:tcPr>
            <w:tcW w:w="5103" w:type="dxa"/>
          </w:tcPr>
          <w:p w14:paraId="67CF7861" w14:textId="528007BE" w:rsidR="00755DB4" w:rsidRDefault="009F7BB2" w:rsidP="001F1E46">
            <w:pPr>
              <w:pStyle w:val="JuCourt"/>
              <w:widowControl w:val="0"/>
              <w:spacing w:before="0"/>
              <w:ind w:left="0" w:firstLine="0"/>
              <w:jc w:val="both"/>
              <w:rPr>
                <w:rFonts w:ascii="Times New Roman" w:hAnsi="Times New Roman"/>
                <w:noProof/>
              </w:rPr>
            </w:pPr>
            <w:r>
              <w:rPr>
                <w:rFonts w:ascii="Times New Roman" w:hAnsi="Times New Roman"/>
              </w:rPr>
              <w:t>b) pieteikuma iesniedzēju pārstāvji</w:t>
            </w:r>
          </w:p>
        </w:tc>
        <w:tc>
          <w:tcPr>
            <w:tcW w:w="937" w:type="dxa"/>
          </w:tcPr>
          <w:p w14:paraId="1D4A14A1" w14:textId="77777777" w:rsidR="00755DB4" w:rsidRDefault="00755DB4" w:rsidP="001F1E46">
            <w:pPr>
              <w:pStyle w:val="JuCourt"/>
              <w:widowControl w:val="0"/>
              <w:spacing w:before="0"/>
              <w:ind w:left="0" w:firstLine="0"/>
              <w:jc w:val="both"/>
              <w:rPr>
                <w:rFonts w:ascii="Times New Roman" w:hAnsi="Times New Roman"/>
                <w:noProof/>
                <w:lang w:val="en-US"/>
              </w:rPr>
            </w:pPr>
          </w:p>
        </w:tc>
        <w:tc>
          <w:tcPr>
            <w:tcW w:w="3021" w:type="dxa"/>
          </w:tcPr>
          <w:p w14:paraId="3E0633D6" w14:textId="77777777" w:rsidR="00755DB4" w:rsidRDefault="00755DB4" w:rsidP="001F1E46">
            <w:pPr>
              <w:pStyle w:val="JuCourt"/>
              <w:widowControl w:val="0"/>
              <w:spacing w:before="0"/>
              <w:ind w:left="0" w:firstLine="0"/>
              <w:jc w:val="both"/>
              <w:rPr>
                <w:rFonts w:ascii="Times New Roman" w:hAnsi="Times New Roman"/>
                <w:noProof/>
                <w:lang w:val="en-US"/>
              </w:rPr>
            </w:pPr>
          </w:p>
        </w:tc>
      </w:tr>
      <w:tr w:rsidR="00755DB4" w14:paraId="7814C1F1" w14:textId="77777777" w:rsidTr="00F94AC8">
        <w:tc>
          <w:tcPr>
            <w:tcW w:w="5103" w:type="dxa"/>
          </w:tcPr>
          <w:p w14:paraId="7AE99821" w14:textId="7D93592E" w:rsidR="00755DB4" w:rsidRDefault="009F7BB2" w:rsidP="001F1E46">
            <w:pPr>
              <w:pStyle w:val="JuCourt"/>
              <w:widowControl w:val="0"/>
              <w:spacing w:before="0"/>
              <w:ind w:left="317" w:firstLine="0"/>
              <w:jc w:val="both"/>
              <w:rPr>
                <w:rFonts w:ascii="Times New Roman" w:hAnsi="Times New Roman"/>
                <w:noProof/>
              </w:rPr>
            </w:pPr>
            <w:r>
              <w:rPr>
                <w:rFonts w:ascii="Times New Roman" w:hAnsi="Times New Roman"/>
              </w:rPr>
              <w:t>B. </w:t>
            </w:r>
            <w:proofErr w:type="spellStart"/>
            <w:r w:rsidRPr="009A3980">
              <w:rPr>
                <w:rFonts w:ascii="Times New Roman" w:hAnsi="Times New Roman"/>
                <w:smallCaps/>
              </w:rPr>
              <w:t>Džafijs</w:t>
            </w:r>
            <w:proofErr w:type="spellEnd"/>
            <w:r>
              <w:rPr>
                <w:rFonts w:ascii="Times New Roman" w:hAnsi="Times New Roman"/>
              </w:rPr>
              <w:t xml:space="preserve"> [</w:t>
            </w:r>
            <w:r>
              <w:rPr>
                <w:rFonts w:ascii="Times New Roman" w:hAnsi="Times New Roman"/>
                <w:i/>
                <w:iCs/>
              </w:rPr>
              <w:t>B. </w:t>
            </w:r>
            <w:proofErr w:type="spellStart"/>
            <w:r>
              <w:rPr>
                <w:rFonts w:ascii="Times New Roman" w:hAnsi="Times New Roman"/>
                <w:i/>
                <w:iCs/>
              </w:rPr>
              <w:t>Jaffey</w:t>
            </w:r>
            <w:proofErr w:type="spellEnd"/>
            <w:r>
              <w:rPr>
                <w:rFonts w:ascii="Times New Roman" w:hAnsi="Times New Roman"/>
              </w:rPr>
              <w:t>], Q. C.,</w:t>
            </w:r>
          </w:p>
        </w:tc>
        <w:tc>
          <w:tcPr>
            <w:tcW w:w="937" w:type="dxa"/>
          </w:tcPr>
          <w:p w14:paraId="6E7E36DA" w14:textId="77777777" w:rsidR="00755DB4" w:rsidRDefault="00755DB4" w:rsidP="001F1E46">
            <w:pPr>
              <w:pStyle w:val="JuCourt"/>
              <w:widowControl w:val="0"/>
              <w:spacing w:before="0"/>
              <w:ind w:left="0" w:firstLine="0"/>
              <w:jc w:val="both"/>
              <w:rPr>
                <w:rFonts w:ascii="Times New Roman" w:hAnsi="Times New Roman"/>
                <w:noProof/>
                <w:lang w:val="en-US"/>
              </w:rPr>
            </w:pPr>
          </w:p>
        </w:tc>
        <w:tc>
          <w:tcPr>
            <w:tcW w:w="3021" w:type="dxa"/>
          </w:tcPr>
          <w:p w14:paraId="7B0B359D" w14:textId="77777777" w:rsidR="00755DB4" w:rsidRDefault="00755DB4" w:rsidP="001F1E46">
            <w:pPr>
              <w:pStyle w:val="JuCourt"/>
              <w:widowControl w:val="0"/>
              <w:spacing w:before="0"/>
              <w:ind w:left="0" w:firstLine="0"/>
              <w:jc w:val="both"/>
              <w:rPr>
                <w:rFonts w:ascii="Times New Roman" w:hAnsi="Times New Roman"/>
                <w:noProof/>
                <w:lang w:val="en-US"/>
              </w:rPr>
            </w:pPr>
          </w:p>
        </w:tc>
      </w:tr>
      <w:tr w:rsidR="00755DB4" w14:paraId="28C86299" w14:textId="77777777" w:rsidTr="00F94AC8">
        <w:tc>
          <w:tcPr>
            <w:tcW w:w="5103" w:type="dxa"/>
          </w:tcPr>
          <w:p w14:paraId="4F6128C5" w14:textId="632C4DBD" w:rsidR="00755DB4" w:rsidRDefault="009F7BB2" w:rsidP="001F1E46">
            <w:pPr>
              <w:pStyle w:val="JuCourt"/>
              <w:widowControl w:val="0"/>
              <w:spacing w:before="0"/>
              <w:ind w:left="317" w:firstLine="0"/>
              <w:jc w:val="both"/>
              <w:rPr>
                <w:rFonts w:ascii="Times New Roman" w:hAnsi="Times New Roman"/>
                <w:noProof/>
              </w:rPr>
            </w:pPr>
            <w:r>
              <w:rPr>
                <w:rFonts w:ascii="Times New Roman" w:hAnsi="Times New Roman"/>
              </w:rPr>
              <w:t>H. </w:t>
            </w:r>
            <w:proofErr w:type="spellStart"/>
            <w:r w:rsidRPr="009A3980">
              <w:rPr>
                <w:rFonts w:ascii="Times New Roman" w:hAnsi="Times New Roman"/>
                <w:smallCaps/>
              </w:rPr>
              <w:t>Mauntfīlda</w:t>
            </w:r>
            <w:proofErr w:type="spellEnd"/>
            <w:r>
              <w:rPr>
                <w:rFonts w:ascii="Times New Roman" w:hAnsi="Times New Roman"/>
              </w:rPr>
              <w:t xml:space="preserve"> [H. </w:t>
            </w:r>
            <w:proofErr w:type="spellStart"/>
            <w:r>
              <w:rPr>
                <w:rFonts w:ascii="Times New Roman" w:hAnsi="Times New Roman"/>
              </w:rPr>
              <w:t>Mountfield</w:t>
            </w:r>
            <w:proofErr w:type="spellEnd"/>
            <w:r>
              <w:rPr>
                <w:rFonts w:ascii="Times New Roman" w:hAnsi="Times New Roman"/>
              </w:rPr>
              <w:t>], Q. C</w:t>
            </w:r>
            <w:r>
              <w:rPr>
                <w:rStyle w:val="JuNames0"/>
                <w:rFonts w:ascii="Times New Roman" w:hAnsi="Times New Roman"/>
              </w:rPr>
              <w:t>.</w:t>
            </w:r>
            <w:r>
              <w:rPr>
                <w:rFonts w:ascii="Times New Roman" w:hAnsi="Times New Roman"/>
              </w:rPr>
              <w:t>,</w:t>
            </w:r>
          </w:p>
        </w:tc>
        <w:tc>
          <w:tcPr>
            <w:tcW w:w="937" w:type="dxa"/>
          </w:tcPr>
          <w:p w14:paraId="5D65EEE6" w14:textId="77777777" w:rsidR="00755DB4" w:rsidRDefault="00755DB4" w:rsidP="001F1E46">
            <w:pPr>
              <w:pStyle w:val="JuCourt"/>
              <w:widowControl w:val="0"/>
              <w:spacing w:before="0"/>
              <w:ind w:left="0" w:firstLine="0"/>
              <w:jc w:val="both"/>
              <w:rPr>
                <w:rFonts w:ascii="Times New Roman" w:hAnsi="Times New Roman"/>
                <w:noProof/>
                <w:lang w:val="en-US"/>
              </w:rPr>
            </w:pPr>
          </w:p>
        </w:tc>
        <w:tc>
          <w:tcPr>
            <w:tcW w:w="3021" w:type="dxa"/>
          </w:tcPr>
          <w:p w14:paraId="2A8AC586" w14:textId="77777777" w:rsidR="00755DB4" w:rsidRDefault="00755DB4" w:rsidP="001F1E46">
            <w:pPr>
              <w:pStyle w:val="JuCourt"/>
              <w:widowControl w:val="0"/>
              <w:spacing w:before="0"/>
              <w:ind w:left="0" w:firstLine="0"/>
              <w:jc w:val="both"/>
              <w:rPr>
                <w:rFonts w:ascii="Times New Roman" w:hAnsi="Times New Roman"/>
                <w:noProof/>
                <w:lang w:val="en-US"/>
              </w:rPr>
            </w:pPr>
          </w:p>
        </w:tc>
      </w:tr>
      <w:tr w:rsidR="00755DB4" w14:paraId="43EE30D9" w14:textId="77777777" w:rsidTr="00F94AC8">
        <w:tc>
          <w:tcPr>
            <w:tcW w:w="5103" w:type="dxa"/>
          </w:tcPr>
          <w:p w14:paraId="2A7B54E9" w14:textId="130ED073" w:rsidR="00755DB4" w:rsidRDefault="009F7BB2" w:rsidP="001F1E46">
            <w:pPr>
              <w:pStyle w:val="JuCourt"/>
              <w:widowControl w:val="0"/>
              <w:spacing w:before="0"/>
              <w:ind w:left="317" w:firstLine="0"/>
              <w:jc w:val="both"/>
              <w:rPr>
                <w:rFonts w:ascii="Times New Roman" w:hAnsi="Times New Roman"/>
                <w:noProof/>
              </w:rPr>
            </w:pPr>
            <w:r>
              <w:rPr>
                <w:rFonts w:ascii="Times New Roman" w:hAnsi="Times New Roman"/>
              </w:rPr>
              <w:t>K. </w:t>
            </w:r>
            <w:proofErr w:type="spellStart"/>
            <w:r w:rsidRPr="009A3980">
              <w:rPr>
                <w:rFonts w:ascii="Times New Roman" w:hAnsi="Times New Roman"/>
                <w:smallCaps/>
              </w:rPr>
              <w:t>Makartijs</w:t>
            </w:r>
            <w:proofErr w:type="spellEnd"/>
            <w:r>
              <w:rPr>
                <w:rFonts w:ascii="Times New Roman" w:hAnsi="Times New Roman"/>
              </w:rPr>
              <w:t xml:space="preserve"> [</w:t>
            </w:r>
            <w:r>
              <w:rPr>
                <w:rFonts w:ascii="Times New Roman" w:hAnsi="Times New Roman"/>
                <w:i/>
                <w:iCs/>
              </w:rPr>
              <w:t>C. </w:t>
            </w:r>
            <w:proofErr w:type="spellStart"/>
            <w:r>
              <w:rPr>
                <w:rFonts w:ascii="Times New Roman" w:hAnsi="Times New Roman"/>
                <w:i/>
                <w:iCs/>
              </w:rPr>
              <w:t>McCarthy</w:t>
            </w:r>
            <w:proofErr w:type="spellEnd"/>
            <w:r>
              <w:rPr>
                <w:rFonts w:ascii="Times New Roman" w:hAnsi="Times New Roman"/>
              </w:rPr>
              <w:t>],</w:t>
            </w:r>
          </w:p>
        </w:tc>
        <w:tc>
          <w:tcPr>
            <w:tcW w:w="937" w:type="dxa"/>
          </w:tcPr>
          <w:p w14:paraId="58753381" w14:textId="77777777" w:rsidR="00755DB4" w:rsidRDefault="00755DB4" w:rsidP="001F1E46">
            <w:pPr>
              <w:pStyle w:val="JuCourt"/>
              <w:widowControl w:val="0"/>
              <w:spacing w:before="0"/>
              <w:ind w:left="0" w:firstLine="0"/>
              <w:jc w:val="both"/>
              <w:rPr>
                <w:rFonts w:ascii="Times New Roman" w:hAnsi="Times New Roman"/>
                <w:noProof/>
                <w:lang w:val="en-US"/>
              </w:rPr>
            </w:pPr>
          </w:p>
        </w:tc>
        <w:tc>
          <w:tcPr>
            <w:tcW w:w="3021" w:type="dxa"/>
          </w:tcPr>
          <w:p w14:paraId="2345B2EF" w14:textId="77777777" w:rsidR="00755DB4" w:rsidRDefault="00755DB4" w:rsidP="001F1E46">
            <w:pPr>
              <w:pStyle w:val="JuCourt"/>
              <w:widowControl w:val="0"/>
              <w:spacing w:before="0"/>
              <w:ind w:left="0" w:firstLine="0"/>
              <w:jc w:val="both"/>
              <w:rPr>
                <w:rFonts w:ascii="Times New Roman" w:hAnsi="Times New Roman"/>
                <w:noProof/>
                <w:lang w:val="en-US"/>
              </w:rPr>
            </w:pPr>
          </w:p>
        </w:tc>
      </w:tr>
      <w:tr w:rsidR="00755DB4" w14:paraId="73E5B11B" w14:textId="77777777" w:rsidTr="00F94AC8">
        <w:tc>
          <w:tcPr>
            <w:tcW w:w="5103" w:type="dxa"/>
          </w:tcPr>
          <w:p w14:paraId="23D4CD40" w14:textId="57A274DC" w:rsidR="00755DB4" w:rsidRDefault="009F7BB2" w:rsidP="001F1E46">
            <w:pPr>
              <w:pStyle w:val="JuCourt"/>
              <w:widowControl w:val="0"/>
              <w:spacing w:before="0"/>
              <w:ind w:left="317" w:firstLine="0"/>
              <w:jc w:val="both"/>
              <w:rPr>
                <w:rFonts w:ascii="Times New Roman" w:hAnsi="Times New Roman"/>
                <w:noProof/>
              </w:rPr>
            </w:pPr>
            <w:r>
              <w:rPr>
                <w:rFonts w:ascii="Times New Roman" w:hAnsi="Times New Roman"/>
              </w:rPr>
              <w:t>R. </w:t>
            </w:r>
            <w:proofErr w:type="spellStart"/>
            <w:r w:rsidRPr="009A3980">
              <w:rPr>
                <w:rFonts w:ascii="Times New Roman" w:hAnsi="Times New Roman"/>
                <w:smallCaps/>
              </w:rPr>
              <w:t>Mehta</w:t>
            </w:r>
            <w:proofErr w:type="spellEnd"/>
            <w:r>
              <w:rPr>
                <w:rFonts w:ascii="Times New Roman" w:hAnsi="Times New Roman"/>
              </w:rPr>
              <w:t xml:space="preserve"> [</w:t>
            </w:r>
            <w:r>
              <w:rPr>
                <w:rFonts w:ascii="Times New Roman" w:hAnsi="Times New Roman"/>
                <w:i/>
                <w:iCs/>
              </w:rPr>
              <w:t>R. </w:t>
            </w:r>
            <w:proofErr w:type="spellStart"/>
            <w:r>
              <w:rPr>
                <w:rFonts w:ascii="Times New Roman" w:hAnsi="Times New Roman"/>
                <w:i/>
                <w:iCs/>
              </w:rPr>
              <w:t>Mehta</w:t>
            </w:r>
            <w:proofErr w:type="spellEnd"/>
            <w:r>
              <w:rPr>
                <w:rFonts w:ascii="Times New Roman" w:hAnsi="Times New Roman"/>
              </w:rPr>
              <w:t>],</w:t>
            </w:r>
          </w:p>
        </w:tc>
        <w:tc>
          <w:tcPr>
            <w:tcW w:w="937" w:type="dxa"/>
          </w:tcPr>
          <w:p w14:paraId="35D2D09D" w14:textId="77777777" w:rsidR="00755DB4" w:rsidRDefault="00755DB4" w:rsidP="001F1E46">
            <w:pPr>
              <w:pStyle w:val="JuCourt"/>
              <w:widowControl w:val="0"/>
              <w:spacing w:before="0"/>
              <w:ind w:left="0" w:firstLine="0"/>
              <w:jc w:val="both"/>
              <w:rPr>
                <w:rFonts w:ascii="Times New Roman" w:hAnsi="Times New Roman"/>
                <w:noProof/>
                <w:lang w:val="en-US"/>
              </w:rPr>
            </w:pPr>
          </w:p>
        </w:tc>
        <w:tc>
          <w:tcPr>
            <w:tcW w:w="3021" w:type="dxa"/>
          </w:tcPr>
          <w:p w14:paraId="7399F1FF" w14:textId="77777777" w:rsidR="00755DB4" w:rsidRDefault="00755DB4" w:rsidP="001F1E46">
            <w:pPr>
              <w:pStyle w:val="JuCourt"/>
              <w:widowControl w:val="0"/>
              <w:spacing w:before="0"/>
              <w:ind w:left="0" w:firstLine="0"/>
              <w:jc w:val="both"/>
              <w:rPr>
                <w:rFonts w:ascii="Times New Roman" w:hAnsi="Times New Roman"/>
                <w:noProof/>
                <w:lang w:val="en-US"/>
              </w:rPr>
            </w:pPr>
          </w:p>
        </w:tc>
      </w:tr>
      <w:tr w:rsidR="00755DB4" w14:paraId="37951A12" w14:textId="77777777" w:rsidTr="00F94AC8">
        <w:tc>
          <w:tcPr>
            <w:tcW w:w="5103" w:type="dxa"/>
          </w:tcPr>
          <w:p w14:paraId="4DC8412F" w14:textId="118FB3C1" w:rsidR="00755DB4" w:rsidRDefault="009F7BB2" w:rsidP="001F1E46">
            <w:pPr>
              <w:pStyle w:val="JuCourt"/>
              <w:widowControl w:val="0"/>
              <w:spacing w:before="0"/>
              <w:ind w:left="317" w:firstLine="0"/>
              <w:jc w:val="both"/>
              <w:rPr>
                <w:rFonts w:ascii="Times New Roman" w:hAnsi="Times New Roman"/>
                <w:noProof/>
              </w:rPr>
            </w:pPr>
            <w:r>
              <w:rPr>
                <w:rFonts w:ascii="Times New Roman" w:hAnsi="Times New Roman"/>
              </w:rPr>
              <w:t>G. </w:t>
            </w:r>
            <w:proofErr w:type="spellStart"/>
            <w:r w:rsidRPr="009A3980">
              <w:rPr>
                <w:rFonts w:ascii="Times New Roman" w:hAnsi="Times New Roman"/>
                <w:smallCaps/>
              </w:rPr>
              <w:t>Saratija</w:t>
            </w:r>
            <w:proofErr w:type="spellEnd"/>
            <w:r>
              <w:rPr>
                <w:rFonts w:ascii="Times New Roman" w:hAnsi="Times New Roman"/>
              </w:rPr>
              <w:t xml:space="preserve"> [</w:t>
            </w:r>
            <w:r>
              <w:rPr>
                <w:rFonts w:ascii="Times New Roman" w:hAnsi="Times New Roman"/>
                <w:i/>
                <w:iCs/>
              </w:rPr>
              <w:t>G. </w:t>
            </w:r>
            <w:proofErr w:type="spellStart"/>
            <w:r>
              <w:rPr>
                <w:rFonts w:ascii="Times New Roman" w:hAnsi="Times New Roman"/>
                <w:i/>
                <w:iCs/>
              </w:rPr>
              <w:t>Sarathy</w:t>
            </w:r>
            <w:proofErr w:type="spellEnd"/>
            <w:r>
              <w:rPr>
                <w:rFonts w:ascii="Times New Roman" w:hAnsi="Times New Roman"/>
              </w:rPr>
              <w:t xml:space="preserve">] </w:t>
            </w:r>
            <w:r w:rsidRPr="009A3980">
              <w:rPr>
                <w:rFonts w:ascii="Times New Roman" w:hAnsi="Times New Roman"/>
                <w:smallCaps/>
              </w:rPr>
              <w:t>un</w:t>
            </w:r>
          </w:p>
        </w:tc>
        <w:tc>
          <w:tcPr>
            <w:tcW w:w="937" w:type="dxa"/>
          </w:tcPr>
          <w:p w14:paraId="167982F7" w14:textId="77777777" w:rsidR="00755DB4" w:rsidRDefault="00755DB4" w:rsidP="001F1E46">
            <w:pPr>
              <w:pStyle w:val="JuCourt"/>
              <w:widowControl w:val="0"/>
              <w:spacing w:before="0"/>
              <w:ind w:left="0" w:firstLine="0"/>
              <w:jc w:val="both"/>
              <w:rPr>
                <w:rFonts w:ascii="Times New Roman" w:hAnsi="Times New Roman"/>
                <w:noProof/>
                <w:lang w:val="en-US"/>
              </w:rPr>
            </w:pPr>
          </w:p>
        </w:tc>
        <w:tc>
          <w:tcPr>
            <w:tcW w:w="3021" w:type="dxa"/>
          </w:tcPr>
          <w:p w14:paraId="4EA1FDDE" w14:textId="77777777" w:rsidR="00755DB4" w:rsidRDefault="00755DB4" w:rsidP="001F1E46">
            <w:pPr>
              <w:pStyle w:val="JuCourt"/>
              <w:widowControl w:val="0"/>
              <w:spacing w:before="0"/>
              <w:ind w:left="0" w:firstLine="0"/>
              <w:jc w:val="both"/>
              <w:rPr>
                <w:rFonts w:ascii="Times New Roman" w:hAnsi="Times New Roman"/>
                <w:noProof/>
                <w:lang w:val="en-US"/>
              </w:rPr>
            </w:pPr>
          </w:p>
        </w:tc>
      </w:tr>
      <w:tr w:rsidR="00755DB4" w14:paraId="48F63A21" w14:textId="77777777" w:rsidTr="00F94AC8">
        <w:tc>
          <w:tcPr>
            <w:tcW w:w="5103" w:type="dxa"/>
          </w:tcPr>
          <w:p w14:paraId="6E15F802" w14:textId="44B17B1D" w:rsidR="00755DB4" w:rsidRDefault="009F7BB2" w:rsidP="001F1E46">
            <w:pPr>
              <w:pStyle w:val="JuCourt"/>
              <w:widowControl w:val="0"/>
              <w:spacing w:before="0"/>
              <w:ind w:left="317" w:firstLine="0"/>
              <w:jc w:val="both"/>
              <w:rPr>
                <w:rFonts w:ascii="Times New Roman" w:hAnsi="Times New Roman"/>
                <w:noProof/>
              </w:rPr>
            </w:pPr>
            <w:r>
              <w:rPr>
                <w:rFonts w:ascii="Times New Roman" w:hAnsi="Times New Roman"/>
              </w:rPr>
              <w:t>D. </w:t>
            </w:r>
            <w:proofErr w:type="spellStart"/>
            <w:r w:rsidRPr="009A3980">
              <w:rPr>
                <w:rFonts w:ascii="Times New Roman" w:hAnsi="Times New Roman"/>
                <w:smallCaps/>
              </w:rPr>
              <w:t>Hītons</w:t>
            </w:r>
            <w:proofErr w:type="spellEnd"/>
            <w:r>
              <w:rPr>
                <w:rFonts w:ascii="Times New Roman" w:hAnsi="Times New Roman"/>
              </w:rPr>
              <w:t xml:space="preserve"> [</w:t>
            </w:r>
            <w:r>
              <w:rPr>
                <w:rFonts w:ascii="Times New Roman" w:hAnsi="Times New Roman"/>
                <w:i/>
                <w:iCs/>
              </w:rPr>
              <w:t>D. </w:t>
            </w:r>
            <w:proofErr w:type="spellStart"/>
            <w:r>
              <w:rPr>
                <w:rFonts w:ascii="Times New Roman" w:hAnsi="Times New Roman"/>
                <w:i/>
                <w:iCs/>
              </w:rPr>
              <w:t>Heaton</w:t>
            </w:r>
            <w:proofErr w:type="spellEnd"/>
            <w:r>
              <w:rPr>
                <w:rFonts w:ascii="Times New Roman" w:hAnsi="Times New Roman"/>
              </w:rPr>
              <w:t>],</w:t>
            </w:r>
          </w:p>
        </w:tc>
        <w:tc>
          <w:tcPr>
            <w:tcW w:w="937" w:type="dxa"/>
          </w:tcPr>
          <w:p w14:paraId="5BD84BE7" w14:textId="77777777" w:rsidR="00755DB4" w:rsidRDefault="00755DB4" w:rsidP="001F1E46">
            <w:pPr>
              <w:pStyle w:val="JuCourt"/>
              <w:widowControl w:val="0"/>
              <w:spacing w:before="0"/>
              <w:ind w:left="0" w:firstLine="0"/>
              <w:jc w:val="both"/>
              <w:rPr>
                <w:rFonts w:ascii="Times New Roman" w:hAnsi="Times New Roman"/>
                <w:noProof/>
                <w:lang w:val="en-US"/>
              </w:rPr>
            </w:pPr>
          </w:p>
        </w:tc>
        <w:tc>
          <w:tcPr>
            <w:tcW w:w="3021" w:type="dxa"/>
          </w:tcPr>
          <w:p w14:paraId="13E4BB68" w14:textId="13C1D71A" w:rsidR="00755DB4" w:rsidRDefault="009F7BB2" w:rsidP="001F1E46">
            <w:pPr>
              <w:pStyle w:val="JuCourt"/>
              <w:widowControl w:val="0"/>
              <w:spacing w:before="0"/>
              <w:ind w:left="0" w:firstLine="0"/>
              <w:jc w:val="both"/>
              <w:rPr>
                <w:rFonts w:ascii="Times New Roman" w:hAnsi="Times New Roman"/>
                <w:noProof/>
              </w:rPr>
            </w:pPr>
            <w:r>
              <w:rPr>
                <w:rFonts w:ascii="Times New Roman" w:hAnsi="Times New Roman"/>
                <w:i/>
                <w:iCs/>
              </w:rPr>
              <w:t>padomnieks</w:t>
            </w:r>
            <w:r>
              <w:rPr>
                <w:rFonts w:ascii="Times New Roman" w:hAnsi="Times New Roman"/>
              </w:rPr>
              <w:t>,</w:t>
            </w:r>
          </w:p>
        </w:tc>
      </w:tr>
      <w:tr w:rsidR="00755DB4" w14:paraId="40EFD2E1" w14:textId="77777777" w:rsidTr="00F94AC8">
        <w:tc>
          <w:tcPr>
            <w:tcW w:w="5103" w:type="dxa"/>
          </w:tcPr>
          <w:p w14:paraId="2920EA6B" w14:textId="4E5099B3" w:rsidR="00755DB4" w:rsidRDefault="009F7BB2" w:rsidP="001F1E46">
            <w:pPr>
              <w:pStyle w:val="JuCourt"/>
              <w:widowControl w:val="0"/>
              <w:spacing w:before="0"/>
              <w:ind w:left="317" w:firstLine="0"/>
              <w:jc w:val="both"/>
              <w:rPr>
                <w:rFonts w:ascii="Times New Roman" w:hAnsi="Times New Roman"/>
                <w:noProof/>
              </w:rPr>
            </w:pPr>
            <w:r>
              <w:rPr>
                <w:rFonts w:ascii="Times New Roman" w:hAnsi="Times New Roman"/>
              </w:rPr>
              <w:t>D. </w:t>
            </w:r>
            <w:r w:rsidRPr="009A3980">
              <w:rPr>
                <w:rFonts w:ascii="Times New Roman" w:hAnsi="Times New Roman"/>
                <w:smallCaps/>
              </w:rPr>
              <w:t>Kerijs</w:t>
            </w:r>
            <w:r>
              <w:rPr>
                <w:rFonts w:ascii="Times New Roman" w:hAnsi="Times New Roman"/>
              </w:rPr>
              <w:t xml:space="preserve"> [</w:t>
            </w:r>
            <w:r>
              <w:rPr>
                <w:rFonts w:ascii="Times New Roman" w:hAnsi="Times New Roman"/>
                <w:i/>
                <w:iCs/>
              </w:rPr>
              <w:t>D. </w:t>
            </w:r>
            <w:proofErr w:type="spellStart"/>
            <w:r>
              <w:rPr>
                <w:rFonts w:ascii="Times New Roman" w:hAnsi="Times New Roman"/>
                <w:i/>
                <w:iCs/>
              </w:rPr>
              <w:t>Carey</w:t>
            </w:r>
            <w:proofErr w:type="spellEnd"/>
            <w:r>
              <w:rPr>
                <w:rFonts w:ascii="Times New Roman" w:hAnsi="Times New Roman"/>
              </w:rPr>
              <w:t xml:space="preserve">] </w:t>
            </w:r>
            <w:r w:rsidRPr="009A3980">
              <w:rPr>
                <w:rFonts w:ascii="Times New Roman" w:hAnsi="Times New Roman"/>
                <w:smallCaps/>
              </w:rPr>
              <w:t>un</w:t>
            </w:r>
          </w:p>
        </w:tc>
        <w:tc>
          <w:tcPr>
            <w:tcW w:w="937" w:type="dxa"/>
          </w:tcPr>
          <w:p w14:paraId="6ECDC9F5" w14:textId="77777777" w:rsidR="00755DB4" w:rsidRDefault="00755DB4" w:rsidP="001F1E46">
            <w:pPr>
              <w:pStyle w:val="JuCourt"/>
              <w:widowControl w:val="0"/>
              <w:spacing w:before="0"/>
              <w:ind w:left="0" w:firstLine="0"/>
              <w:jc w:val="both"/>
              <w:rPr>
                <w:rFonts w:ascii="Times New Roman" w:hAnsi="Times New Roman"/>
                <w:noProof/>
                <w:lang w:val="en-US"/>
              </w:rPr>
            </w:pPr>
          </w:p>
        </w:tc>
        <w:tc>
          <w:tcPr>
            <w:tcW w:w="3021" w:type="dxa"/>
          </w:tcPr>
          <w:p w14:paraId="67C9B9F5" w14:textId="77777777" w:rsidR="00755DB4" w:rsidRDefault="00755DB4" w:rsidP="001F1E46">
            <w:pPr>
              <w:pStyle w:val="JuCourt"/>
              <w:widowControl w:val="0"/>
              <w:spacing w:before="0"/>
              <w:ind w:left="0" w:firstLine="0"/>
              <w:jc w:val="both"/>
              <w:rPr>
                <w:rFonts w:ascii="Times New Roman" w:hAnsi="Times New Roman"/>
                <w:noProof/>
                <w:lang w:val="en-US"/>
              </w:rPr>
            </w:pPr>
          </w:p>
        </w:tc>
      </w:tr>
      <w:tr w:rsidR="009F7BB2" w14:paraId="5B8C18C8" w14:textId="77777777" w:rsidTr="00F94AC8">
        <w:tc>
          <w:tcPr>
            <w:tcW w:w="5103" w:type="dxa"/>
          </w:tcPr>
          <w:p w14:paraId="2EC1261B" w14:textId="0FE92F11" w:rsidR="009F7BB2" w:rsidRPr="008D031E" w:rsidRDefault="009F7BB2" w:rsidP="001F1E46">
            <w:pPr>
              <w:pStyle w:val="JuCourt"/>
              <w:widowControl w:val="0"/>
              <w:spacing w:before="0"/>
              <w:ind w:left="317" w:firstLine="0"/>
              <w:jc w:val="both"/>
              <w:rPr>
                <w:rFonts w:ascii="Times New Roman" w:hAnsi="Times New Roman"/>
                <w:noProof/>
              </w:rPr>
            </w:pPr>
            <w:r>
              <w:rPr>
                <w:rFonts w:ascii="Times New Roman" w:hAnsi="Times New Roman"/>
              </w:rPr>
              <w:t>R. </w:t>
            </w:r>
            <w:proofErr w:type="spellStart"/>
            <w:r w:rsidRPr="009A3980">
              <w:rPr>
                <w:rFonts w:ascii="Times New Roman" w:hAnsi="Times New Roman"/>
                <w:smallCaps/>
              </w:rPr>
              <w:t>Kērlinga</w:t>
            </w:r>
            <w:proofErr w:type="spellEnd"/>
            <w:r>
              <w:rPr>
                <w:rFonts w:ascii="Times New Roman" w:hAnsi="Times New Roman"/>
              </w:rPr>
              <w:t>,</w:t>
            </w:r>
          </w:p>
        </w:tc>
        <w:tc>
          <w:tcPr>
            <w:tcW w:w="937" w:type="dxa"/>
          </w:tcPr>
          <w:p w14:paraId="42DFAC88" w14:textId="77777777" w:rsidR="009F7BB2" w:rsidRDefault="009F7BB2" w:rsidP="001F1E46">
            <w:pPr>
              <w:pStyle w:val="JuCourt"/>
              <w:widowControl w:val="0"/>
              <w:spacing w:before="0"/>
              <w:ind w:left="0" w:firstLine="0"/>
              <w:jc w:val="both"/>
              <w:rPr>
                <w:rFonts w:ascii="Times New Roman" w:hAnsi="Times New Roman"/>
                <w:noProof/>
                <w:lang w:val="en-US"/>
              </w:rPr>
            </w:pPr>
          </w:p>
        </w:tc>
        <w:tc>
          <w:tcPr>
            <w:tcW w:w="3021" w:type="dxa"/>
          </w:tcPr>
          <w:p w14:paraId="19EAB0C4" w14:textId="2CBE2BE1" w:rsidR="009F7BB2" w:rsidRDefault="009F7BB2" w:rsidP="001F1E46">
            <w:pPr>
              <w:pStyle w:val="JuCourt"/>
              <w:widowControl w:val="0"/>
              <w:spacing w:before="0"/>
              <w:ind w:left="0" w:firstLine="0"/>
              <w:jc w:val="both"/>
              <w:rPr>
                <w:rFonts w:ascii="Times New Roman" w:hAnsi="Times New Roman"/>
                <w:noProof/>
              </w:rPr>
            </w:pPr>
            <w:r>
              <w:rPr>
                <w:rFonts w:ascii="Times New Roman" w:hAnsi="Times New Roman"/>
                <w:i/>
                <w:iCs/>
              </w:rPr>
              <w:t>konsultanti.</w:t>
            </w:r>
          </w:p>
        </w:tc>
      </w:tr>
    </w:tbl>
    <w:p w14:paraId="2824AF7E" w14:textId="77777777" w:rsidR="000E3283" w:rsidRPr="008D031E" w:rsidRDefault="000E3283" w:rsidP="001F1E46">
      <w:pPr>
        <w:pStyle w:val="JuPara"/>
        <w:widowControl w:val="0"/>
        <w:ind w:firstLine="0"/>
        <w:rPr>
          <w:rFonts w:ascii="Times New Roman" w:hAnsi="Times New Roman"/>
          <w:noProof/>
          <w:lang w:val="en-US"/>
        </w:rPr>
      </w:pPr>
    </w:p>
    <w:p w14:paraId="226D3A29" w14:textId="505362D9" w:rsidR="000E3283" w:rsidRDefault="000E3283" w:rsidP="001F1E46">
      <w:pPr>
        <w:pStyle w:val="JuPara"/>
        <w:widowControl w:val="0"/>
        <w:ind w:firstLine="142"/>
        <w:rPr>
          <w:rFonts w:ascii="Times New Roman" w:hAnsi="Times New Roman"/>
          <w:noProof/>
        </w:rPr>
      </w:pPr>
      <w:r>
        <w:rPr>
          <w:rFonts w:ascii="Times New Roman" w:hAnsi="Times New Roman"/>
        </w:rPr>
        <w:t xml:space="preserve">11. Tiesa uzklausīja </w:t>
      </w:r>
      <w:proofErr w:type="spellStart"/>
      <w:r>
        <w:rPr>
          <w:rFonts w:ascii="Times New Roman" w:hAnsi="Times New Roman"/>
        </w:rPr>
        <w:t>Īdija</w:t>
      </w:r>
      <w:proofErr w:type="spellEnd"/>
      <w:r>
        <w:rPr>
          <w:rFonts w:ascii="Times New Roman" w:hAnsi="Times New Roman"/>
        </w:rPr>
        <w:t xml:space="preserve">, </w:t>
      </w:r>
      <w:proofErr w:type="spellStart"/>
      <w:r>
        <w:rPr>
          <w:rFonts w:ascii="Times New Roman" w:hAnsi="Times New Roman"/>
        </w:rPr>
        <w:t>Džafija</w:t>
      </w:r>
      <w:proofErr w:type="spellEnd"/>
      <w:r>
        <w:rPr>
          <w:rFonts w:ascii="Times New Roman" w:hAnsi="Times New Roman"/>
        </w:rPr>
        <w:t xml:space="preserve"> un </w:t>
      </w:r>
      <w:proofErr w:type="spellStart"/>
      <w:r>
        <w:rPr>
          <w:rFonts w:ascii="Times New Roman" w:hAnsi="Times New Roman"/>
        </w:rPr>
        <w:t>Mauntfīldas</w:t>
      </w:r>
      <w:proofErr w:type="spellEnd"/>
      <w:r>
        <w:rPr>
          <w:rFonts w:ascii="Times New Roman" w:hAnsi="Times New Roman"/>
        </w:rPr>
        <w:t xml:space="preserve"> uzrunas un viņu atbildes uz jautājumiem.</w:t>
      </w:r>
    </w:p>
    <w:p w14:paraId="2D52084A" w14:textId="77777777" w:rsidR="00AE5560" w:rsidRPr="008D031E" w:rsidRDefault="00AE5560" w:rsidP="001F1E46">
      <w:pPr>
        <w:pStyle w:val="JuPara"/>
        <w:widowControl w:val="0"/>
        <w:ind w:firstLine="0"/>
        <w:rPr>
          <w:rFonts w:ascii="Times New Roman" w:hAnsi="Times New Roman"/>
          <w:noProof/>
          <w:lang w:val="en-US"/>
        </w:rPr>
      </w:pPr>
    </w:p>
    <w:p w14:paraId="535CFD83" w14:textId="77777777" w:rsidR="000E3283" w:rsidRPr="00213AC2" w:rsidRDefault="000E3283" w:rsidP="001F1E46">
      <w:pPr>
        <w:pStyle w:val="JuHHead"/>
        <w:keepNext w:val="0"/>
        <w:keepLines w:val="0"/>
        <w:widowControl w:val="0"/>
        <w:spacing w:before="0" w:beforeAutospacing="0" w:after="0"/>
        <w:outlineLvl w:val="9"/>
        <w:rPr>
          <w:rFonts w:ascii="Times New Roman" w:hAnsi="Times New Roman"/>
          <w:noProof/>
          <w:szCs w:val="32"/>
        </w:rPr>
      </w:pPr>
      <w:r w:rsidRPr="00213AC2">
        <w:rPr>
          <w:rFonts w:ascii="Times New Roman" w:hAnsi="Times New Roman"/>
          <w:szCs w:val="32"/>
        </w:rPr>
        <w:t>FAKTU IZKLĀSTS</w:t>
      </w:r>
    </w:p>
    <w:p w14:paraId="426788F8" w14:textId="77777777" w:rsidR="00AE5560" w:rsidRPr="00AE5560" w:rsidRDefault="00AE5560" w:rsidP="001F1E46">
      <w:pPr>
        <w:pStyle w:val="JuPara"/>
        <w:widowControl w:val="0"/>
        <w:rPr>
          <w:lang w:val="en-US"/>
        </w:rPr>
      </w:pPr>
    </w:p>
    <w:p w14:paraId="31767F24" w14:textId="0021409A" w:rsidR="000E3283" w:rsidRDefault="00AE5560" w:rsidP="001F1E46">
      <w:pPr>
        <w:pStyle w:val="JuHIRoman"/>
        <w:keepNext w:val="0"/>
        <w:keepLines w:val="0"/>
        <w:widowControl w:val="0"/>
        <w:numPr>
          <w:ilvl w:val="0"/>
          <w:numId w:val="0"/>
        </w:numPr>
        <w:spacing w:before="0" w:beforeAutospacing="0" w:after="0"/>
        <w:outlineLvl w:val="9"/>
        <w:rPr>
          <w:rFonts w:ascii="Times New Roman" w:hAnsi="Times New Roman"/>
          <w:caps w:val="0"/>
          <w:noProof/>
        </w:rPr>
      </w:pPr>
      <w:bookmarkStart w:id="3" w:name="_Toc516820703"/>
      <w:r>
        <w:rPr>
          <w:rFonts w:ascii="Times New Roman" w:hAnsi="Times New Roman"/>
          <w:caps w:val="0"/>
        </w:rPr>
        <w:t>I. PRIEKŠVĒSTURE</w:t>
      </w:r>
      <w:bookmarkEnd w:id="3"/>
    </w:p>
    <w:p w14:paraId="72BC0A4A" w14:textId="77777777" w:rsidR="00AE5560" w:rsidRPr="00AE5560" w:rsidRDefault="00AE5560" w:rsidP="001F1E46">
      <w:pPr>
        <w:pStyle w:val="JuPara"/>
        <w:widowControl w:val="0"/>
        <w:rPr>
          <w:lang w:val="en-US"/>
        </w:rPr>
      </w:pPr>
    </w:p>
    <w:p w14:paraId="29F8637E" w14:textId="268BCBF7" w:rsidR="000E3283" w:rsidRPr="008D031E" w:rsidRDefault="000E3283" w:rsidP="001F1E46">
      <w:pPr>
        <w:pStyle w:val="JuPara"/>
        <w:widowControl w:val="0"/>
        <w:ind w:firstLine="142"/>
        <w:rPr>
          <w:rFonts w:ascii="Times New Roman" w:hAnsi="Times New Roman"/>
          <w:noProof/>
        </w:rPr>
      </w:pPr>
      <w:bookmarkStart w:id="4" w:name="zz"/>
      <w:bookmarkStart w:id="5" w:name="Snowden"/>
      <w:r>
        <w:rPr>
          <w:rFonts w:ascii="Times New Roman" w:hAnsi="Times New Roman"/>
        </w:rPr>
        <w:t>12</w:t>
      </w:r>
      <w:bookmarkEnd w:id="4"/>
      <w:bookmarkEnd w:id="5"/>
      <w:r>
        <w:rPr>
          <w:rFonts w:ascii="Times New Roman" w:hAnsi="Times New Roman"/>
        </w:rPr>
        <w:t xml:space="preserve">. Visi trīs pieteikumi tika iesniegti pēc tam, kad Edvards </w:t>
      </w:r>
      <w:proofErr w:type="spellStart"/>
      <w:r>
        <w:rPr>
          <w:rFonts w:ascii="Times New Roman" w:hAnsi="Times New Roman"/>
        </w:rPr>
        <w:t>Snoudens</w:t>
      </w:r>
      <w:proofErr w:type="spellEnd"/>
      <w:r>
        <w:rPr>
          <w:rFonts w:ascii="Times New Roman" w:hAnsi="Times New Roman"/>
        </w:rPr>
        <w:t xml:space="preserve"> [</w:t>
      </w:r>
      <w:proofErr w:type="spellStart"/>
      <w:r>
        <w:rPr>
          <w:rFonts w:ascii="Times New Roman" w:hAnsi="Times New Roman"/>
          <w:i/>
          <w:iCs/>
        </w:rPr>
        <w:t>Edward</w:t>
      </w:r>
      <w:proofErr w:type="spellEnd"/>
      <w:r>
        <w:rPr>
          <w:rFonts w:ascii="Times New Roman" w:hAnsi="Times New Roman"/>
          <w:i/>
          <w:iCs/>
        </w:rPr>
        <w:t xml:space="preserve"> </w:t>
      </w:r>
      <w:proofErr w:type="spellStart"/>
      <w:r>
        <w:rPr>
          <w:rFonts w:ascii="Times New Roman" w:hAnsi="Times New Roman"/>
          <w:i/>
          <w:iCs/>
        </w:rPr>
        <w:t>Snowden</w:t>
      </w:r>
      <w:proofErr w:type="spellEnd"/>
      <w:r>
        <w:rPr>
          <w:rFonts w:ascii="Times New Roman" w:hAnsi="Times New Roman"/>
        </w:rPr>
        <w:t>] bija atklājis informāciju par Amerikas Savienoto Valstu un Apvienotās Karalistes izlūkdienestu izmantotajām elektroniskās uzraudzības programmām.</w:t>
      </w:r>
    </w:p>
    <w:p w14:paraId="390DA354" w14:textId="15F0FDAF" w:rsidR="000E3283" w:rsidRDefault="000E3283" w:rsidP="001F1E46">
      <w:pPr>
        <w:pStyle w:val="JuPara"/>
        <w:widowControl w:val="0"/>
        <w:ind w:firstLine="142"/>
        <w:rPr>
          <w:rFonts w:ascii="Times New Roman" w:hAnsi="Times New Roman"/>
          <w:noProof/>
        </w:rPr>
      </w:pPr>
      <w:r>
        <w:rPr>
          <w:rFonts w:ascii="Times New Roman" w:hAnsi="Times New Roman"/>
        </w:rPr>
        <w:t>13. Visi pielikumā norādītie pieteikuma iesniedzēji uzskatīja, ka viņu darbībai raksturīgo iezīmju dēļ viņu elektroniskās saziņas saturu, iespējams, bija pārtvēruši Apvienotās Karalistes izlūkdienesti, ieguvuši Apvienotās Karalistes izlūkdienesti pēc tam, kad tās bija pārtvērušas citu valstu valdības, un/vai ieguvušas Apvienotās Karalistes iestādes no sakaru pakalpojumu sniedzējiem (turpmāk tekstā – “</w:t>
      </w:r>
      <w:proofErr w:type="spellStart"/>
      <w:r>
        <w:rPr>
          <w:rFonts w:ascii="Times New Roman" w:hAnsi="Times New Roman"/>
        </w:rPr>
        <w:t>SPS</w:t>
      </w:r>
      <w:proofErr w:type="spellEnd"/>
      <w:r>
        <w:rPr>
          <w:rFonts w:ascii="Times New Roman" w:hAnsi="Times New Roman"/>
        </w:rPr>
        <w:t>”).</w:t>
      </w:r>
    </w:p>
    <w:p w14:paraId="61C022B9" w14:textId="77777777" w:rsidR="00AE5560" w:rsidRPr="008D031E" w:rsidRDefault="00AE5560" w:rsidP="001F1E46">
      <w:pPr>
        <w:pStyle w:val="JuPara"/>
        <w:widowControl w:val="0"/>
        <w:ind w:firstLine="0"/>
        <w:rPr>
          <w:rFonts w:ascii="Times New Roman" w:hAnsi="Times New Roman"/>
          <w:noProof/>
          <w:lang w:val="en-US"/>
        </w:rPr>
      </w:pPr>
    </w:p>
    <w:p w14:paraId="5B3F9D17" w14:textId="0B77B075" w:rsidR="000E3283" w:rsidRDefault="00AE5560" w:rsidP="001F1E46">
      <w:pPr>
        <w:pStyle w:val="JuHIRoman"/>
        <w:keepNext w:val="0"/>
        <w:keepLines w:val="0"/>
        <w:widowControl w:val="0"/>
        <w:numPr>
          <w:ilvl w:val="0"/>
          <w:numId w:val="0"/>
        </w:numPr>
        <w:spacing w:before="0" w:beforeAutospacing="0" w:after="0"/>
        <w:outlineLvl w:val="9"/>
        <w:rPr>
          <w:rFonts w:ascii="Times New Roman" w:hAnsi="Times New Roman"/>
          <w:caps w:val="0"/>
          <w:noProof/>
        </w:rPr>
      </w:pPr>
      <w:bookmarkStart w:id="6" w:name="_Toc516820704"/>
      <w:r>
        <w:rPr>
          <w:rFonts w:ascii="Times New Roman" w:hAnsi="Times New Roman"/>
          <w:caps w:val="0"/>
        </w:rPr>
        <w:t>II. ATTIECĪGĀS INTERNETA SLEPENĀS UZRAUDZĪBAS SISTĒMAS</w:t>
      </w:r>
      <w:bookmarkEnd w:id="6"/>
    </w:p>
    <w:p w14:paraId="754ADA43" w14:textId="77777777" w:rsidR="00AE5560" w:rsidRPr="00AE5560" w:rsidRDefault="00AE5560" w:rsidP="001F1E46">
      <w:pPr>
        <w:pStyle w:val="JuPara"/>
        <w:widowControl w:val="0"/>
        <w:rPr>
          <w:lang w:val="en-US"/>
        </w:rPr>
      </w:pPr>
    </w:p>
    <w:p w14:paraId="327A5173" w14:textId="53DAFBC7" w:rsidR="000E3283" w:rsidRDefault="000E3283" w:rsidP="001F1E46">
      <w:pPr>
        <w:pStyle w:val="JuPara"/>
        <w:widowControl w:val="0"/>
        <w:ind w:firstLine="142"/>
        <w:rPr>
          <w:rFonts w:ascii="Times New Roman" w:hAnsi="Times New Roman"/>
          <w:noProof/>
        </w:rPr>
      </w:pPr>
      <w:r>
        <w:rPr>
          <w:rFonts w:ascii="Times New Roman" w:hAnsi="Times New Roman"/>
        </w:rPr>
        <w:t xml:space="preserve">14. Interneta sakari galvenokārt tiek pārraidīti pa </w:t>
      </w:r>
      <w:proofErr w:type="spellStart"/>
      <w:r>
        <w:rPr>
          <w:rFonts w:ascii="Times New Roman" w:hAnsi="Times New Roman"/>
        </w:rPr>
        <w:t>SPS</w:t>
      </w:r>
      <w:proofErr w:type="spellEnd"/>
      <w:r>
        <w:rPr>
          <w:rFonts w:ascii="Times New Roman" w:hAnsi="Times New Roman"/>
        </w:rPr>
        <w:t xml:space="preserve"> izmantotajiem starptautiskajiem zemūdens optiskās šķiedras kabeļiem. Katram kabelim var būt vairāki “nesēji”, un globālajā internetā ir aptuveni 100 000 šādu nesēju. Atsevišķi sakari internetā ir iedalīti “paketēs” (datu vienībās), ko iespējams pārraidīt atsevišķi starp dažādiem nesējiem. Šīs paketes tiek nosūtītas, izmantojot visātrāko un vienlaicīgi vislētāko risinājumu. Līdz ar to dažas vai visas jebkuru konkrēto sakaru paketes, ko viena persona </w:t>
      </w:r>
      <w:proofErr w:type="spellStart"/>
      <w:r>
        <w:rPr>
          <w:rFonts w:ascii="Times New Roman" w:hAnsi="Times New Roman"/>
        </w:rPr>
        <w:t>nosūta</w:t>
      </w:r>
      <w:proofErr w:type="spellEnd"/>
      <w:r>
        <w:rPr>
          <w:rFonts w:ascii="Times New Roman" w:hAnsi="Times New Roman"/>
        </w:rPr>
        <w:t xml:space="preserve"> otrai personai neatkarīgi no tā, vai tā atrodas Apvienotajā Karalistē vai ārpus tās, iespējams maršrutēt caur vienu vai vairākām citām valstīm, ja tas iesaistīto </w:t>
      </w:r>
      <w:proofErr w:type="spellStart"/>
      <w:r>
        <w:rPr>
          <w:rFonts w:ascii="Times New Roman" w:hAnsi="Times New Roman"/>
        </w:rPr>
        <w:t>SPS</w:t>
      </w:r>
      <w:proofErr w:type="spellEnd"/>
      <w:r>
        <w:rPr>
          <w:rFonts w:ascii="Times New Roman" w:hAnsi="Times New Roman"/>
        </w:rPr>
        <w:t xml:space="preserve"> ieskatā ir optimālais risinājums.</w:t>
      </w:r>
    </w:p>
    <w:p w14:paraId="1A15B59C" w14:textId="77777777" w:rsidR="00AE5560" w:rsidRPr="008D031E" w:rsidRDefault="00AE5560" w:rsidP="001F1E46">
      <w:pPr>
        <w:pStyle w:val="JuPara"/>
        <w:widowControl w:val="0"/>
        <w:ind w:firstLine="0"/>
        <w:rPr>
          <w:rFonts w:ascii="Times New Roman" w:hAnsi="Times New Roman"/>
          <w:noProof/>
          <w:lang w:val="en-US"/>
        </w:rPr>
      </w:pPr>
    </w:p>
    <w:p w14:paraId="1993774E" w14:textId="35BB8807" w:rsidR="000E3283" w:rsidRDefault="00AE5560" w:rsidP="001F1E46">
      <w:pPr>
        <w:pStyle w:val="JuHA"/>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A. Apvienotā Karaliste</w:t>
      </w:r>
    </w:p>
    <w:p w14:paraId="69096874" w14:textId="77777777" w:rsidR="00AE5560" w:rsidRPr="00AE5560" w:rsidRDefault="00AE5560" w:rsidP="001F1E46">
      <w:pPr>
        <w:pStyle w:val="JuPara"/>
        <w:widowControl w:val="0"/>
        <w:rPr>
          <w:lang w:val="en-US"/>
        </w:rPr>
      </w:pPr>
    </w:p>
    <w:p w14:paraId="4954AC99" w14:textId="1A190928" w:rsidR="000E3283" w:rsidRDefault="00AE5560" w:rsidP="001F1E46">
      <w:pPr>
        <w:pStyle w:val="JuH1"/>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1. Masveida pārtveršana</w:t>
      </w:r>
    </w:p>
    <w:p w14:paraId="795EA933" w14:textId="77777777" w:rsidR="00AE5560" w:rsidRPr="00AE5560" w:rsidRDefault="00AE5560" w:rsidP="001F1E46">
      <w:pPr>
        <w:pStyle w:val="JuPara"/>
        <w:widowControl w:val="0"/>
        <w:rPr>
          <w:lang w:val="en-US"/>
        </w:rPr>
      </w:pPr>
    </w:p>
    <w:p w14:paraId="506E4B70" w14:textId="2A042125" w:rsidR="000E3283" w:rsidRPr="008D031E" w:rsidRDefault="000E3283" w:rsidP="001F1E46">
      <w:pPr>
        <w:pStyle w:val="JuPara"/>
        <w:widowControl w:val="0"/>
        <w:ind w:firstLine="142"/>
        <w:rPr>
          <w:rFonts w:ascii="Times New Roman" w:hAnsi="Times New Roman"/>
          <w:noProof/>
        </w:rPr>
      </w:pPr>
      <w:r>
        <w:rPr>
          <w:rFonts w:ascii="Times New Roman" w:hAnsi="Times New Roman"/>
        </w:rPr>
        <w:t xml:space="preserve">15. </w:t>
      </w:r>
      <w:proofErr w:type="spellStart"/>
      <w:r>
        <w:rPr>
          <w:rFonts w:ascii="Times New Roman" w:hAnsi="Times New Roman"/>
        </w:rPr>
        <w:t>Edvarda</w:t>
      </w:r>
      <w:proofErr w:type="spellEnd"/>
      <w:r>
        <w:rPr>
          <w:rFonts w:ascii="Times New Roman" w:hAnsi="Times New Roman"/>
        </w:rPr>
        <w:t xml:space="preserve"> </w:t>
      </w:r>
      <w:proofErr w:type="spellStart"/>
      <w:r>
        <w:rPr>
          <w:rFonts w:ascii="Times New Roman" w:hAnsi="Times New Roman"/>
        </w:rPr>
        <w:t>Snoudena</w:t>
      </w:r>
      <w:proofErr w:type="spellEnd"/>
      <w:r>
        <w:rPr>
          <w:rFonts w:ascii="Times New Roman" w:hAnsi="Times New Roman"/>
        </w:rPr>
        <w:t xml:space="preserve"> 2013. gadā atklātā informācija liecināja, ka Valdības komunikāciju galvenā pārvalde (turpmāk tekstā – “</w:t>
      </w:r>
      <w:proofErr w:type="spellStart"/>
      <w:r>
        <w:rPr>
          <w:rFonts w:ascii="Times New Roman" w:hAnsi="Times New Roman"/>
          <w:i/>
          <w:iCs/>
        </w:rPr>
        <w:t>GCHQ</w:t>
      </w:r>
      <w:proofErr w:type="spellEnd"/>
      <w:r>
        <w:rPr>
          <w:rFonts w:ascii="Times New Roman" w:hAnsi="Times New Roman"/>
        </w:rPr>
        <w:t>”, viens no Apvienotās Karalistes izlūkdienestiem) īstenoja operāciju ar nosaukumu “</w:t>
      </w:r>
      <w:proofErr w:type="spellStart"/>
      <w:r>
        <w:rPr>
          <w:rFonts w:ascii="Times New Roman" w:hAnsi="Times New Roman"/>
        </w:rPr>
        <w:t>TEMPORA</w:t>
      </w:r>
      <w:proofErr w:type="spellEnd"/>
      <w:r>
        <w:rPr>
          <w:rFonts w:ascii="Times New Roman" w:hAnsi="Times New Roman"/>
        </w:rPr>
        <w:t>”, ļaujot piekļūt milzīga apjoma datiem, kuri iegūti no nesējiem, un tos uzglabāt. Apvienotās Karalistes iestādes ne apstiprināja, ne noliedza operācijas “</w:t>
      </w:r>
      <w:proofErr w:type="spellStart"/>
      <w:r>
        <w:rPr>
          <w:rFonts w:ascii="Times New Roman" w:hAnsi="Times New Roman"/>
        </w:rPr>
        <w:t>TEMPORA</w:t>
      </w:r>
      <w:proofErr w:type="spellEnd"/>
      <w:r>
        <w:rPr>
          <w:rFonts w:ascii="Times New Roman" w:hAnsi="Times New Roman"/>
        </w:rPr>
        <w:t>” esību.</w:t>
      </w:r>
    </w:p>
    <w:p w14:paraId="3250EA12" w14:textId="3B91EBF5" w:rsidR="000E3283" w:rsidRPr="008D031E" w:rsidRDefault="000E3283" w:rsidP="001F1E46">
      <w:pPr>
        <w:pStyle w:val="JuPara"/>
        <w:widowControl w:val="0"/>
        <w:ind w:firstLine="142"/>
        <w:rPr>
          <w:rFonts w:ascii="Times New Roman" w:hAnsi="Times New Roman"/>
          <w:noProof/>
        </w:rPr>
      </w:pPr>
      <w:bookmarkStart w:id="7" w:name="PandS"/>
      <w:r>
        <w:rPr>
          <w:rFonts w:ascii="Times New Roman" w:hAnsi="Times New Roman"/>
        </w:rPr>
        <w:t>16</w:t>
      </w:r>
      <w:bookmarkEnd w:id="7"/>
      <w:r>
        <w:rPr>
          <w:rFonts w:ascii="Times New Roman" w:hAnsi="Times New Roman"/>
        </w:rPr>
        <w:t>. Tomēr saskaņā ar Parlamenta Izlūkošanas un drošības komitejas 2015. gada marta ziņojumu (turpmāk tekstā – “</w:t>
      </w:r>
      <w:proofErr w:type="spellStart"/>
      <w:r>
        <w:rPr>
          <w:rFonts w:ascii="Times New Roman" w:hAnsi="Times New Roman"/>
          <w:i/>
          <w:iCs/>
        </w:rPr>
        <w:t>ISC</w:t>
      </w:r>
      <w:proofErr w:type="spellEnd"/>
      <w:r>
        <w:rPr>
          <w:rFonts w:ascii="Times New Roman" w:hAnsi="Times New Roman"/>
        </w:rPr>
        <w:t xml:space="preserve"> ziņojums”, skat. turpmāk 142.–149. punktu) </w:t>
      </w:r>
      <w:proofErr w:type="spellStart"/>
      <w:r>
        <w:rPr>
          <w:rFonts w:ascii="Times New Roman" w:hAnsi="Times New Roman"/>
          <w:i/>
          <w:iCs/>
        </w:rPr>
        <w:t>GCHQ</w:t>
      </w:r>
      <w:proofErr w:type="spellEnd"/>
      <w:r>
        <w:rPr>
          <w:rFonts w:ascii="Times New Roman" w:hAnsi="Times New Roman"/>
        </w:rPr>
        <w:t xml:space="preserve"> izmantoja divas vērienīgas apstrādes sistēmas masveida sakaru pārtveršanai.</w:t>
      </w:r>
    </w:p>
    <w:p w14:paraId="65307AF8" w14:textId="6C9E7E8C" w:rsidR="000E3283" w:rsidRPr="008D031E" w:rsidRDefault="000E3283" w:rsidP="001F1E46">
      <w:pPr>
        <w:pStyle w:val="JuPara"/>
        <w:widowControl w:val="0"/>
        <w:ind w:firstLine="142"/>
        <w:rPr>
          <w:rFonts w:ascii="Times New Roman" w:hAnsi="Times New Roman"/>
          <w:noProof/>
        </w:rPr>
      </w:pPr>
      <w:r>
        <w:rPr>
          <w:rFonts w:ascii="Times New Roman" w:hAnsi="Times New Roman"/>
        </w:rPr>
        <w:t xml:space="preserve">17. Pirmā no abām </w:t>
      </w:r>
      <w:proofErr w:type="spellStart"/>
      <w:r>
        <w:rPr>
          <w:rFonts w:ascii="Times New Roman" w:hAnsi="Times New Roman"/>
          <w:i/>
          <w:iCs/>
        </w:rPr>
        <w:t>ISC</w:t>
      </w:r>
      <w:proofErr w:type="spellEnd"/>
      <w:r>
        <w:rPr>
          <w:rFonts w:ascii="Times New Roman" w:hAnsi="Times New Roman"/>
        </w:rPr>
        <w:t xml:space="preserve"> ziņojumā minētajām apstrādes sistēmām attiecās uz ļoti nelielu nesēju daļu. Sakariem plūstot starp attiecīgajiem nesējiem, sistēma veica informācijas plūsmas salīdzināšanu ar “vienkāršiem selektoriem”, proti, konkrētiem identifikatoriem (piemēram, e-pasta adresēm), kas saistīti ar kādu zināmu adresātu. Sakari, kas atbilda šiem vienkāršajiem selektoriem, tika apkopoti, savukārt sakari, kas tiem neatbilda, automātiski tika atmesti. Pēc tam analītiķi veica apkopoto sakaru “šķirošanas procesu”, lai noteiktu saziņas aktu saturu ar vislielāko izlūkošanas vērtību, kas līdz ar to ir jāatver un jāizlasa. Analītiķi no visas šā procesa ietvaros apkopotās informācijas praktiski atvēra un izlasīja tikai ļoti nelielu informācijas daļu. Saskaņā ar </w:t>
      </w:r>
      <w:proofErr w:type="spellStart"/>
      <w:r>
        <w:rPr>
          <w:rFonts w:ascii="Times New Roman" w:hAnsi="Times New Roman"/>
          <w:i/>
          <w:iCs/>
        </w:rPr>
        <w:t>ISC</w:t>
      </w:r>
      <w:proofErr w:type="spellEnd"/>
      <w:r>
        <w:rPr>
          <w:rFonts w:ascii="Times New Roman" w:hAnsi="Times New Roman"/>
        </w:rPr>
        <w:t xml:space="preserve"> ziņojumu </w:t>
      </w:r>
      <w:proofErr w:type="spellStart"/>
      <w:r>
        <w:rPr>
          <w:rFonts w:ascii="Times New Roman" w:hAnsi="Times New Roman"/>
          <w:i/>
          <w:iCs/>
        </w:rPr>
        <w:t>GCHQ</w:t>
      </w:r>
      <w:proofErr w:type="spellEnd"/>
      <w:r>
        <w:rPr>
          <w:rFonts w:ascii="Times New Roman" w:hAnsi="Times New Roman"/>
        </w:rPr>
        <w:t xml:space="preserve"> nevarēja izlasīt visu saziņas aktu saturu.</w:t>
      </w:r>
    </w:p>
    <w:p w14:paraId="0FEA7269" w14:textId="7CE033C6" w:rsidR="000E3283" w:rsidRPr="008D031E" w:rsidRDefault="000E3283" w:rsidP="001F1E46">
      <w:pPr>
        <w:pStyle w:val="JuPara"/>
        <w:widowControl w:val="0"/>
        <w:ind w:firstLine="142"/>
        <w:rPr>
          <w:rFonts w:ascii="Times New Roman" w:hAnsi="Times New Roman"/>
          <w:noProof/>
        </w:rPr>
      </w:pPr>
      <w:bookmarkStart w:id="8" w:name="PandSagain"/>
      <w:r>
        <w:rPr>
          <w:rFonts w:ascii="Times New Roman" w:hAnsi="Times New Roman"/>
        </w:rPr>
        <w:t>18</w:t>
      </w:r>
      <w:bookmarkEnd w:id="8"/>
      <w:r>
        <w:rPr>
          <w:rFonts w:ascii="Times New Roman" w:hAnsi="Times New Roman"/>
        </w:rPr>
        <w:t xml:space="preserve">. Otrā apstrādes sistēma attiecās uz vēl mazāku nesēju skaitu (pakārtoti tiem nesējiem, kuriem tika piekļūts iepriekšējā punktā aprakstītā procesa ietvaros), kuri bija apzināti izraudzīti </w:t>
      </w:r>
      <w:r>
        <w:rPr>
          <w:rFonts w:ascii="Times New Roman" w:hAnsi="Times New Roman"/>
        </w:rPr>
        <w:lastRenderedPageBreak/>
        <w:t>kā tādi, kas, visticamāk, varētu pārraidīt izlūkošanas ziņā vērtīgu saziņas aktu saturu. Šī otrā sistēma ietvēra divus posmus: pirmkārt, sākotnēju tādu “apstrādes noteikumu” kopuma piemērošanu, kas bija izstrādāts, lai atmestu materiālu ar, visticamāk, vismazāko izlūkošanas vērtību, un, otrkārt, sarežģītu vaicājumu piemērošanu atlasītajam materiālam, lai iegūtu materiālu ar, visticamāk, vislielāko izlūkošanas vērtību. Balstoties uz šiem meklējumiem, tika iegūts konkrēts indekss, un analītiķi varēja pārbaudīt vienīgi informāciju ar šādu indeksu. Viss saziņas aktu saturs, kam nebija šāda indeksa, bija jāatmet.</w:t>
      </w:r>
    </w:p>
    <w:p w14:paraId="3033D25B" w14:textId="12AA05BE" w:rsidR="000E3283" w:rsidRDefault="000E3283" w:rsidP="001F1E46">
      <w:pPr>
        <w:pStyle w:val="JuPara"/>
        <w:widowControl w:val="0"/>
        <w:ind w:firstLine="142"/>
        <w:rPr>
          <w:rFonts w:ascii="Times New Roman" w:hAnsi="Times New Roman"/>
          <w:noProof/>
        </w:rPr>
      </w:pPr>
      <w:r>
        <w:rPr>
          <w:rFonts w:ascii="Times New Roman" w:hAnsi="Times New Roman"/>
        </w:rPr>
        <w:t>19. Tiesiskais regulējums par masveida pārtveršanu, kas bija spēkā attiecīgajā brīdī, ir detalizēti izklāstīts turpmāk iedaļā “Piemērojamie valsts tiesību akti”. Īsi sakot, 2000. gada Likuma par izmeklēšanas pilnvaru regulējumu [</w:t>
      </w:r>
      <w:proofErr w:type="spellStart"/>
      <w:r>
        <w:rPr>
          <w:rFonts w:ascii="Times New Roman" w:hAnsi="Times New Roman"/>
          <w:i/>
          <w:iCs/>
        </w:rPr>
        <w:t>Regulation</w:t>
      </w:r>
      <w:proofErr w:type="spellEnd"/>
      <w:r>
        <w:rPr>
          <w:rFonts w:ascii="Times New Roman" w:hAnsi="Times New Roman"/>
          <w:i/>
          <w:iCs/>
        </w:rPr>
        <w:t xml:space="preserve"> </w:t>
      </w:r>
      <w:proofErr w:type="spellStart"/>
      <w:r>
        <w:rPr>
          <w:rFonts w:ascii="Times New Roman" w:hAnsi="Times New Roman"/>
          <w:i/>
          <w:iCs/>
        </w:rPr>
        <w:t>of</w:t>
      </w:r>
      <w:proofErr w:type="spellEnd"/>
      <w:r>
        <w:rPr>
          <w:rFonts w:ascii="Times New Roman" w:hAnsi="Times New Roman"/>
          <w:i/>
          <w:iCs/>
        </w:rPr>
        <w:t xml:space="preserve"> </w:t>
      </w:r>
      <w:proofErr w:type="spellStart"/>
      <w:r>
        <w:rPr>
          <w:rFonts w:ascii="Times New Roman" w:hAnsi="Times New Roman"/>
          <w:i/>
          <w:iCs/>
        </w:rPr>
        <w:t>Investigatory</w:t>
      </w:r>
      <w:proofErr w:type="spellEnd"/>
      <w:r>
        <w:rPr>
          <w:rFonts w:ascii="Times New Roman" w:hAnsi="Times New Roman"/>
          <w:i/>
          <w:iCs/>
        </w:rPr>
        <w:t xml:space="preserve"> </w:t>
      </w:r>
      <w:proofErr w:type="spellStart"/>
      <w:r>
        <w:rPr>
          <w:rFonts w:ascii="Times New Roman" w:hAnsi="Times New Roman"/>
          <w:i/>
          <w:iCs/>
        </w:rPr>
        <w:t>Powers</w:t>
      </w:r>
      <w:proofErr w:type="spellEnd"/>
      <w:r>
        <w:rPr>
          <w:rFonts w:ascii="Times New Roman" w:hAnsi="Times New Roman"/>
          <w:i/>
          <w:iCs/>
        </w:rPr>
        <w:t xml:space="preserve"> </w:t>
      </w:r>
      <w:proofErr w:type="spellStart"/>
      <w:r>
        <w:rPr>
          <w:rFonts w:ascii="Times New Roman" w:hAnsi="Times New Roman"/>
          <w:i/>
          <w:iCs/>
        </w:rPr>
        <w:t>Act</w:t>
      </w:r>
      <w:proofErr w:type="spellEnd"/>
      <w:r>
        <w:rPr>
          <w:rFonts w:ascii="Times New Roman" w:hAnsi="Times New Roman"/>
          <w:i/>
          <w:iCs/>
        </w:rPr>
        <w:t xml:space="preserve"> 2000</w:t>
      </w:r>
      <w:r>
        <w:rPr>
          <w:rFonts w:ascii="Times New Roman" w:hAnsi="Times New Roman"/>
        </w:rPr>
        <w:t>] (turpmāk tekstā – “</w:t>
      </w:r>
      <w:r>
        <w:rPr>
          <w:rFonts w:ascii="Times New Roman" w:hAnsi="Times New Roman"/>
          <w:i/>
          <w:iCs/>
        </w:rPr>
        <w:t>RIPA</w:t>
      </w:r>
      <w:r>
        <w:rPr>
          <w:rFonts w:ascii="Times New Roman" w:hAnsi="Times New Roman"/>
        </w:rPr>
        <w:t xml:space="preserve">”, skat. turpmāk 72. punktu) 8. panta 4. punkts ļāva valsts sekretāram izdot orderus “ārējo sakaru pārtveršanai”, un saskaņā ar </w:t>
      </w:r>
      <w:r>
        <w:rPr>
          <w:rFonts w:ascii="Times New Roman" w:hAnsi="Times New Roman"/>
          <w:i/>
          <w:iCs/>
        </w:rPr>
        <w:t>RIPA</w:t>
      </w:r>
      <w:r>
        <w:rPr>
          <w:rFonts w:ascii="Times New Roman" w:hAnsi="Times New Roman"/>
        </w:rPr>
        <w:t xml:space="preserve"> 16. pantu (skat. turpmāk 84.–92. punktu) pārtverto materiālu nevarēja atlasīt, lai to lasītu, aplūkotu vai klausītos, “ņemot vērā faktoru, kas attiecināms uz personu, par kuru zināms, ka tā attiecīgajā brīdī atrodas Britu salās”.</w:t>
      </w:r>
    </w:p>
    <w:p w14:paraId="44D656C0" w14:textId="77777777" w:rsidR="00AE5560" w:rsidRPr="008D031E" w:rsidRDefault="00AE5560" w:rsidP="001F1E46">
      <w:pPr>
        <w:pStyle w:val="JuPara"/>
        <w:widowControl w:val="0"/>
        <w:ind w:firstLine="0"/>
        <w:rPr>
          <w:rFonts w:ascii="Times New Roman" w:hAnsi="Times New Roman"/>
          <w:noProof/>
          <w:lang w:val="en-US"/>
        </w:rPr>
      </w:pPr>
    </w:p>
    <w:p w14:paraId="4F19A6FA" w14:textId="3688FC2A" w:rsidR="000E3283" w:rsidRDefault="00AE5560" w:rsidP="001F1E46">
      <w:pPr>
        <w:pStyle w:val="JuH1"/>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 xml:space="preserve">2. </w:t>
      </w:r>
      <w:proofErr w:type="spellStart"/>
      <w:r>
        <w:rPr>
          <w:rFonts w:ascii="Times New Roman" w:hAnsi="Times New Roman"/>
        </w:rPr>
        <w:t>Izlūkdatu</w:t>
      </w:r>
      <w:proofErr w:type="spellEnd"/>
      <w:r>
        <w:rPr>
          <w:rFonts w:ascii="Times New Roman" w:hAnsi="Times New Roman"/>
        </w:rPr>
        <w:t xml:space="preserve"> apmaiņa</w:t>
      </w:r>
    </w:p>
    <w:p w14:paraId="1A505F48" w14:textId="77777777" w:rsidR="00AE5560" w:rsidRPr="00AE5560" w:rsidRDefault="00AE5560" w:rsidP="001F1E46">
      <w:pPr>
        <w:pStyle w:val="JuPara"/>
        <w:widowControl w:val="0"/>
        <w:rPr>
          <w:lang w:val="en-US"/>
        </w:rPr>
      </w:pPr>
    </w:p>
    <w:p w14:paraId="2627AE52" w14:textId="6A594D67" w:rsidR="000E3283" w:rsidRDefault="000E3283" w:rsidP="001F1E46">
      <w:pPr>
        <w:pStyle w:val="JuPara"/>
        <w:widowControl w:val="0"/>
        <w:ind w:firstLine="142"/>
        <w:rPr>
          <w:rFonts w:ascii="Times New Roman" w:hAnsi="Times New Roman"/>
          <w:noProof/>
        </w:rPr>
      </w:pPr>
      <w:r>
        <w:rPr>
          <w:rFonts w:ascii="Times New Roman" w:hAnsi="Times New Roman"/>
        </w:rPr>
        <w:t>20. Sakaru pārtveršanas prakses kodeksa [</w:t>
      </w:r>
      <w:proofErr w:type="spellStart"/>
      <w:r>
        <w:rPr>
          <w:rFonts w:ascii="Times New Roman" w:hAnsi="Times New Roman"/>
          <w:i/>
          <w:iCs/>
        </w:rPr>
        <w:t>Interception</w:t>
      </w:r>
      <w:proofErr w:type="spellEnd"/>
      <w:r>
        <w:rPr>
          <w:rFonts w:ascii="Times New Roman" w:hAnsi="Times New Roman"/>
          <w:i/>
          <w:iCs/>
        </w:rPr>
        <w:t xml:space="preserve"> </w:t>
      </w:r>
      <w:proofErr w:type="spellStart"/>
      <w:r>
        <w:rPr>
          <w:rFonts w:ascii="Times New Roman" w:hAnsi="Times New Roman"/>
          <w:i/>
          <w:iCs/>
        </w:rPr>
        <w:t>of</w:t>
      </w:r>
      <w:proofErr w:type="spellEnd"/>
      <w:r>
        <w:rPr>
          <w:rFonts w:ascii="Times New Roman" w:hAnsi="Times New Roman"/>
          <w:i/>
          <w:iCs/>
        </w:rPr>
        <w:t xml:space="preserve"> Communications Code </w:t>
      </w:r>
      <w:proofErr w:type="spellStart"/>
      <w:r>
        <w:rPr>
          <w:rFonts w:ascii="Times New Roman" w:hAnsi="Times New Roman"/>
          <w:i/>
          <w:iCs/>
        </w:rPr>
        <w:t>of</w:t>
      </w:r>
      <w:proofErr w:type="spellEnd"/>
      <w:r>
        <w:rPr>
          <w:rFonts w:ascii="Times New Roman" w:hAnsi="Times New Roman"/>
          <w:i/>
          <w:iCs/>
        </w:rPr>
        <w:t xml:space="preserve"> </w:t>
      </w:r>
      <w:proofErr w:type="spellStart"/>
      <w:r>
        <w:rPr>
          <w:rFonts w:ascii="Times New Roman" w:hAnsi="Times New Roman"/>
          <w:i/>
          <w:iCs/>
        </w:rPr>
        <w:t>Practice</w:t>
      </w:r>
      <w:proofErr w:type="spellEnd"/>
      <w:r>
        <w:rPr>
          <w:rFonts w:ascii="Times New Roman" w:hAnsi="Times New Roman"/>
        </w:rPr>
        <w:t>] (turpmāk tekstā – “</w:t>
      </w:r>
      <w:proofErr w:type="spellStart"/>
      <w:r>
        <w:rPr>
          <w:rFonts w:ascii="Times New Roman" w:hAnsi="Times New Roman"/>
          <w:i/>
          <w:iCs/>
        </w:rPr>
        <w:t>IC</w:t>
      </w:r>
      <w:proofErr w:type="spellEnd"/>
      <w:r>
        <w:rPr>
          <w:rFonts w:ascii="Times New Roman" w:hAnsi="Times New Roman"/>
        </w:rPr>
        <w:t xml:space="preserve"> kodekss”, skat. turpmāk 116. punktu) 12. nodaļā bija izklāstīti apstākļi, kādos Apvienotās Karalistes izlūkdienesti varēja pieprasīt </w:t>
      </w:r>
      <w:proofErr w:type="spellStart"/>
      <w:r>
        <w:rPr>
          <w:rFonts w:ascii="Times New Roman" w:hAnsi="Times New Roman"/>
        </w:rPr>
        <w:t>izlūkdatus</w:t>
      </w:r>
      <w:proofErr w:type="spellEnd"/>
      <w:r>
        <w:rPr>
          <w:rFonts w:ascii="Times New Roman" w:hAnsi="Times New Roman"/>
        </w:rPr>
        <w:t xml:space="preserve"> no ārvalsts izlūkdienestiem, kā arī šāda pieprasījuma iesniegšanas kārtība. 12. nodaļa </w:t>
      </w:r>
      <w:proofErr w:type="spellStart"/>
      <w:r>
        <w:rPr>
          <w:rFonts w:ascii="Times New Roman" w:hAnsi="Times New Roman"/>
          <w:i/>
          <w:iCs/>
        </w:rPr>
        <w:t>IC</w:t>
      </w:r>
      <w:proofErr w:type="spellEnd"/>
      <w:r>
        <w:rPr>
          <w:rFonts w:ascii="Times New Roman" w:hAnsi="Times New Roman"/>
        </w:rPr>
        <w:t xml:space="preserve"> kodeksam tika pievienota pēc tam, kad Izmeklēšanas pilnvaru tiesa (turpmāk tekstā – “</w:t>
      </w:r>
      <w:proofErr w:type="spellStart"/>
      <w:r>
        <w:rPr>
          <w:rFonts w:ascii="Times New Roman" w:hAnsi="Times New Roman"/>
          <w:i/>
          <w:iCs/>
        </w:rPr>
        <w:t>IPT</w:t>
      </w:r>
      <w:proofErr w:type="spellEnd"/>
      <w:r>
        <w:rPr>
          <w:rFonts w:ascii="Times New Roman" w:hAnsi="Times New Roman"/>
        </w:rPr>
        <w:t xml:space="preserve">”) bija uzdevusi izlūkdienestiem izpaust savus </w:t>
      </w:r>
      <w:proofErr w:type="spellStart"/>
      <w:r>
        <w:rPr>
          <w:rFonts w:ascii="Times New Roman" w:hAnsi="Times New Roman"/>
        </w:rPr>
        <w:t>izlūkdatu</w:t>
      </w:r>
      <w:proofErr w:type="spellEnd"/>
      <w:r>
        <w:rPr>
          <w:rFonts w:ascii="Times New Roman" w:hAnsi="Times New Roman"/>
        </w:rPr>
        <w:t xml:space="preserve"> apmaiņas pasākumus tiesvedībā, ko pieteikuma iesniedzēji bija ierosinājuši apvienotajās lietās (““</w:t>
      </w:r>
      <w:proofErr w:type="spellStart"/>
      <w:r>
        <w:rPr>
          <w:rFonts w:ascii="Times New Roman" w:hAnsi="Times New Roman"/>
        </w:rPr>
        <w:t>Liberty</w:t>
      </w:r>
      <w:proofErr w:type="spellEnd"/>
      <w:r>
        <w:rPr>
          <w:rFonts w:ascii="Times New Roman" w:hAnsi="Times New Roman"/>
        </w:rPr>
        <w:t>” tiesvedība”, skat. turpmāk 28.–60. punktu).</w:t>
      </w:r>
    </w:p>
    <w:p w14:paraId="41676EE2" w14:textId="77777777" w:rsidR="00AE5560" w:rsidRPr="008D031E" w:rsidRDefault="00AE5560" w:rsidP="001F1E46">
      <w:pPr>
        <w:pStyle w:val="JuPara"/>
        <w:widowControl w:val="0"/>
        <w:ind w:firstLine="0"/>
        <w:rPr>
          <w:rFonts w:ascii="Times New Roman" w:hAnsi="Times New Roman"/>
          <w:noProof/>
          <w:lang w:val="en-US"/>
        </w:rPr>
      </w:pPr>
    </w:p>
    <w:p w14:paraId="5B575009" w14:textId="1A25F574" w:rsidR="000E3283" w:rsidRDefault="00AE5560" w:rsidP="001F1E46">
      <w:pPr>
        <w:pStyle w:val="JuH1"/>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 xml:space="preserve">3. Sakaru datu iegūšana no </w:t>
      </w:r>
      <w:proofErr w:type="spellStart"/>
      <w:r>
        <w:rPr>
          <w:rFonts w:ascii="Times New Roman" w:hAnsi="Times New Roman"/>
        </w:rPr>
        <w:t>SPS</w:t>
      </w:r>
      <w:proofErr w:type="spellEnd"/>
    </w:p>
    <w:p w14:paraId="30A54068" w14:textId="77777777" w:rsidR="00AE5560" w:rsidRPr="00AE5560" w:rsidRDefault="00AE5560" w:rsidP="001F1E46">
      <w:pPr>
        <w:pStyle w:val="JuPara"/>
        <w:widowControl w:val="0"/>
        <w:rPr>
          <w:lang w:val="en-US"/>
        </w:rPr>
      </w:pPr>
    </w:p>
    <w:p w14:paraId="3FA657B7" w14:textId="3E2BE8A3" w:rsidR="000E3283" w:rsidRDefault="000E3283" w:rsidP="001F1E46">
      <w:pPr>
        <w:pStyle w:val="JuPara"/>
        <w:widowControl w:val="0"/>
        <w:ind w:firstLine="142"/>
        <w:rPr>
          <w:rFonts w:ascii="Times New Roman" w:hAnsi="Times New Roman"/>
          <w:noProof/>
        </w:rPr>
      </w:pPr>
      <w:r>
        <w:rPr>
          <w:rFonts w:ascii="Times New Roman" w:hAnsi="Times New Roman"/>
        </w:rPr>
        <w:t xml:space="preserve">21. </w:t>
      </w:r>
      <w:r>
        <w:rPr>
          <w:rFonts w:ascii="Times New Roman" w:hAnsi="Times New Roman"/>
          <w:i/>
          <w:iCs/>
        </w:rPr>
        <w:t>RIPA</w:t>
      </w:r>
      <w:r>
        <w:rPr>
          <w:rFonts w:ascii="Times New Roman" w:hAnsi="Times New Roman"/>
        </w:rPr>
        <w:t xml:space="preserve"> II nodaļa un Sakaru datu ieguves prakses kodekss [</w:t>
      </w:r>
      <w:proofErr w:type="spellStart"/>
      <w:r>
        <w:rPr>
          <w:rFonts w:ascii="Times New Roman" w:hAnsi="Times New Roman"/>
          <w:i/>
          <w:iCs/>
        </w:rPr>
        <w:t>Acquisition</w:t>
      </w:r>
      <w:proofErr w:type="spellEnd"/>
      <w:r>
        <w:rPr>
          <w:rFonts w:ascii="Times New Roman" w:hAnsi="Times New Roman"/>
          <w:i/>
          <w:iCs/>
        </w:rPr>
        <w:t xml:space="preserve"> </w:t>
      </w:r>
      <w:proofErr w:type="spellStart"/>
      <w:r>
        <w:rPr>
          <w:rFonts w:ascii="Times New Roman" w:hAnsi="Times New Roman"/>
          <w:i/>
          <w:iCs/>
        </w:rPr>
        <w:t>of</w:t>
      </w:r>
      <w:proofErr w:type="spellEnd"/>
      <w:r>
        <w:rPr>
          <w:rFonts w:ascii="Times New Roman" w:hAnsi="Times New Roman"/>
          <w:i/>
          <w:iCs/>
        </w:rPr>
        <w:t xml:space="preserve"> Communications </w:t>
      </w:r>
      <w:proofErr w:type="spellStart"/>
      <w:r>
        <w:rPr>
          <w:rFonts w:ascii="Times New Roman" w:hAnsi="Times New Roman"/>
          <w:i/>
          <w:iCs/>
        </w:rPr>
        <w:t>Data</w:t>
      </w:r>
      <w:proofErr w:type="spellEnd"/>
      <w:r>
        <w:rPr>
          <w:rFonts w:ascii="Times New Roman" w:hAnsi="Times New Roman"/>
          <w:i/>
          <w:iCs/>
        </w:rPr>
        <w:t xml:space="preserve"> Code </w:t>
      </w:r>
      <w:proofErr w:type="spellStart"/>
      <w:r>
        <w:rPr>
          <w:rFonts w:ascii="Times New Roman" w:hAnsi="Times New Roman"/>
          <w:i/>
          <w:iCs/>
        </w:rPr>
        <w:t>of</w:t>
      </w:r>
      <w:proofErr w:type="spellEnd"/>
      <w:r>
        <w:rPr>
          <w:rFonts w:ascii="Times New Roman" w:hAnsi="Times New Roman"/>
          <w:i/>
          <w:iCs/>
        </w:rPr>
        <w:t xml:space="preserve"> </w:t>
      </w:r>
      <w:proofErr w:type="spellStart"/>
      <w:r>
        <w:rPr>
          <w:rFonts w:ascii="Times New Roman" w:hAnsi="Times New Roman"/>
          <w:i/>
          <w:iCs/>
        </w:rPr>
        <w:t>Practice</w:t>
      </w:r>
      <w:proofErr w:type="spellEnd"/>
      <w:r>
        <w:rPr>
          <w:rFonts w:ascii="Times New Roman" w:hAnsi="Times New Roman"/>
        </w:rPr>
        <w:t xml:space="preserve">] noteica kārtību, kādā konkrētas valsts iestādes varēja pieprasīt sakaru datus no </w:t>
      </w:r>
      <w:proofErr w:type="spellStart"/>
      <w:r>
        <w:rPr>
          <w:rFonts w:ascii="Times New Roman" w:hAnsi="Times New Roman"/>
        </w:rPr>
        <w:t>SPS</w:t>
      </w:r>
      <w:proofErr w:type="spellEnd"/>
      <w:r>
        <w:rPr>
          <w:rFonts w:ascii="Times New Roman" w:hAnsi="Times New Roman"/>
        </w:rPr>
        <w:t xml:space="preserve"> (skat. turpmāk 117.–121. punktu).</w:t>
      </w:r>
    </w:p>
    <w:p w14:paraId="05307884" w14:textId="77777777" w:rsidR="007D1118" w:rsidRPr="008D031E" w:rsidRDefault="007D1118" w:rsidP="001F1E46">
      <w:pPr>
        <w:pStyle w:val="JuPara"/>
        <w:widowControl w:val="0"/>
        <w:ind w:firstLine="0"/>
        <w:rPr>
          <w:rFonts w:ascii="Times New Roman" w:hAnsi="Times New Roman"/>
          <w:noProof/>
          <w:lang w:val="en-US"/>
        </w:rPr>
      </w:pPr>
    </w:p>
    <w:p w14:paraId="6B7FD747" w14:textId="5DD942A6" w:rsidR="000E3283" w:rsidRDefault="0029033D" w:rsidP="001F1E46">
      <w:pPr>
        <w:pStyle w:val="JuHA"/>
        <w:keepNext w:val="0"/>
        <w:keepLines w:val="0"/>
        <w:widowControl w:val="0"/>
        <w:numPr>
          <w:ilvl w:val="0"/>
          <w:numId w:val="0"/>
        </w:numPr>
        <w:spacing w:before="0" w:beforeAutospacing="0" w:after="0"/>
        <w:outlineLvl w:val="9"/>
        <w:rPr>
          <w:rFonts w:ascii="Times New Roman" w:hAnsi="Times New Roman"/>
          <w:noProof/>
        </w:rPr>
      </w:pPr>
      <w:bookmarkStart w:id="9" w:name="_Toc516820706"/>
      <w:r>
        <w:rPr>
          <w:rFonts w:ascii="Times New Roman" w:hAnsi="Times New Roman"/>
        </w:rPr>
        <w:t>B. Amerikas Savienotās Valstis</w:t>
      </w:r>
      <w:bookmarkEnd w:id="9"/>
    </w:p>
    <w:p w14:paraId="2BA9F672" w14:textId="77777777" w:rsidR="007D1118" w:rsidRPr="007D1118" w:rsidRDefault="007D1118" w:rsidP="001F1E46">
      <w:pPr>
        <w:pStyle w:val="JuPara"/>
        <w:widowControl w:val="0"/>
        <w:rPr>
          <w:lang w:val="en-US"/>
        </w:rPr>
      </w:pPr>
    </w:p>
    <w:p w14:paraId="2272A9CB" w14:textId="17032080" w:rsidR="000E3283" w:rsidRDefault="000E3283" w:rsidP="001F1E46">
      <w:pPr>
        <w:pStyle w:val="JuPara"/>
        <w:widowControl w:val="0"/>
        <w:ind w:firstLine="142"/>
        <w:rPr>
          <w:rFonts w:ascii="Times New Roman" w:hAnsi="Times New Roman"/>
          <w:noProof/>
        </w:rPr>
      </w:pPr>
      <w:r>
        <w:rPr>
          <w:rFonts w:ascii="Times New Roman" w:hAnsi="Times New Roman"/>
        </w:rPr>
        <w:t>22. Nacionālās drošības aģentūra (turpmāk tekstā – “</w:t>
      </w:r>
      <w:proofErr w:type="spellStart"/>
      <w:r>
        <w:rPr>
          <w:rFonts w:ascii="Times New Roman" w:hAnsi="Times New Roman"/>
          <w:i/>
          <w:iCs/>
        </w:rPr>
        <w:t>NSA</w:t>
      </w:r>
      <w:proofErr w:type="spellEnd"/>
      <w:r>
        <w:rPr>
          <w:rFonts w:ascii="Times New Roman" w:hAnsi="Times New Roman"/>
        </w:rPr>
        <w:t>”) atzina divu operāciju, proti, “</w:t>
      </w:r>
      <w:proofErr w:type="spellStart"/>
      <w:r>
        <w:rPr>
          <w:rFonts w:ascii="Times New Roman" w:hAnsi="Times New Roman"/>
        </w:rPr>
        <w:t>PRISM</w:t>
      </w:r>
      <w:proofErr w:type="spellEnd"/>
      <w:r>
        <w:rPr>
          <w:rFonts w:ascii="Times New Roman" w:hAnsi="Times New Roman"/>
        </w:rPr>
        <w:t>” un “</w:t>
      </w:r>
      <w:proofErr w:type="spellStart"/>
      <w:r>
        <w:rPr>
          <w:rFonts w:ascii="Times New Roman" w:hAnsi="Times New Roman"/>
        </w:rPr>
        <w:t>Upstream</w:t>
      </w:r>
      <w:proofErr w:type="spellEnd"/>
      <w:r>
        <w:rPr>
          <w:rFonts w:ascii="Times New Roman" w:hAnsi="Times New Roman"/>
        </w:rPr>
        <w:t>”, esību.</w:t>
      </w:r>
    </w:p>
    <w:p w14:paraId="6D7B1126" w14:textId="77777777" w:rsidR="007D1118" w:rsidRPr="008D031E" w:rsidRDefault="007D1118" w:rsidP="001F1E46">
      <w:pPr>
        <w:pStyle w:val="JuPara"/>
        <w:widowControl w:val="0"/>
        <w:ind w:firstLine="0"/>
        <w:rPr>
          <w:rFonts w:ascii="Times New Roman" w:hAnsi="Times New Roman"/>
          <w:noProof/>
          <w:lang w:val="en-US"/>
        </w:rPr>
      </w:pPr>
    </w:p>
    <w:p w14:paraId="23E892E9" w14:textId="43B41B4E" w:rsidR="000E3283" w:rsidRDefault="007D1118" w:rsidP="001F1E46">
      <w:pPr>
        <w:pStyle w:val="JuH1"/>
        <w:keepNext w:val="0"/>
        <w:keepLines w:val="0"/>
        <w:widowControl w:val="0"/>
        <w:numPr>
          <w:ilvl w:val="0"/>
          <w:numId w:val="0"/>
        </w:numPr>
        <w:spacing w:before="0" w:beforeAutospacing="0" w:after="0"/>
        <w:outlineLvl w:val="9"/>
        <w:rPr>
          <w:rFonts w:ascii="Times New Roman" w:hAnsi="Times New Roman"/>
          <w:noProof/>
        </w:rPr>
      </w:pPr>
      <w:bookmarkStart w:id="10" w:name="_Toc516820707"/>
      <w:r>
        <w:rPr>
          <w:rFonts w:ascii="Times New Roman" w:hAnsi="Times New Roman"/>
        </w:rPr>
        <w:t>1. “</w:t>
      </w:r>
      <w:proofErr w:type="spellStart"/>
      <w:r>
        <w:rPr>
          <w:rFonts w:ascii="Times New Roman" w:hAnsi="Times New Roman"/>
        </w:rPr>
        <w:t>PRISM</w:t>
      </w:r>
      <w:proofErr w:type="spellEnd"/>
      <w:r>
        <w:rPr>
          <w:rFonts w:ascii="Times New Roman" w:hAnsi="Times New Roman"/>
        </w:rPr>
        <w:t>”</w:t>
      </w:r>
      <w:bookmarkEnd w:id="10"/>
    </w:p>
    <w:p w14:paraId="309529E9" w14:textId="77777777" w:rsidR="007D1118" w:rsidRPr="007D1118" w:rsidRDefault="007D1118" w:rsidP="001F1E46">
      <w:pPr>
        <w:pStyle w:val="JuPara"/>
        <w:widowControl w:val="0"/>
        <w:rPr>
          <w:lang w:val="en-US"/>
        </w:rPr>
      </w:pPr>
    </w:p>
    <w:p w14:paraId="2C58B708" w14:textId="70A46851" w:rsidR="000E3283" w:rsidRPr="008D031E" w:rsidRDefault="000E3283" w:rsidP="001F1E46">
      <w:pPr>
        <w:pStyle w:val="JuPara"/>
        <w:widowControl w:val="0"/>
        <w:ind w:firstLine="142"/>
        <w:rPr>
          <w:rFonts w:ascii="Times New Roman" w:hAnsi="Times New Roman"/>
          <w:noProof/>
        </w:rPr>
      </w:pPr>
      <w:r>
        <w:rPr>
          <w:rFonts w:ascii="Times New Roman" w:hAnsi="Times New Roman"/>
        </w:rPr>
        <w:t>23. “</w:t>
      </w:r>
      <w:proofErr w:type="spellStart"/>
      <w:r>
        <w:rPr>
          <w:rFonts w:ascii="Times New Roman" w:hAnsi="Times New Roman"/>
        </w:rPr>
        <w:t>PRISM</w:t>
      </w:r>
      <w:proofErr w:type="spellEnd"/>
      <w:r>
        <w:rPr>
          <w:rFonts w:ascii="Times New Roman" w:hAnsi="Times New Roman"/>
        </w:rPr>
        <w:t>” bija programma, ar kuras palīdzību Amerikas Savienoto Valstu valdība ieguva izlūkošanas materiālu (piemēram, saziņas aktu saturu) no interneta pakalpojumu sniedzējiem (turpmāk tekstā – “</w:t>
      </w:r>
      <w:proofErr w:type="spellStart"/>
      <w:r>
        <w:rPr>
          <w:rFonts w:ascii="Times New Roman" w:hAnsi="Times New Roman"/>
        </w:rPr>
        <w:t>IPS</w:t>
      </w:r>
      <w:proofErr w:type="spellEnd"/>
      <w:r>
        <w:rPr>
          <w:rFonts w:ascii="Times New Roman" w:hAnsi="Times New Roman"/>
        </w:rPr>
        <w:t>”). Piekļuve programmas “</w:t>
      </w:r>
      <w:proofErr w:type="spellStart"/>
      <w:r>
        <w:rPr>
          <w:rFonts w:ascii="Times New Roman" w:hAnsi="Times New Roman"/>
        </w:rPr>
        <w:t>PRISM</w:t>
      </w:r>
      <w:proofErr w:type="spellEnd"/>
      <w:r>
        <w:rPr>
          <w:rFonts w:ascii="Times New Roman" w:hAnsi="Times New Roman"/>
        </w:rPr>
        <w:t>” ietvaros bija konkrēta un mērķēta (pretēji plašai datu iegūšanai). Amerikas Savienoto Valstu pārvalde norādīja, ka programmu regulēja Ārvalstu izlūkošanas uzraudzības likums [</w:t>
      </w:r>
      <w:proofErr w:type="spellStart"/>
      <w:r>
        <w:rPr>
          <w:rFonts w:ascii="Times New Roman" w:hAnsi="Times New Roman"/>
          <w:i/>
          <w:iCs/>
        </w:rPr>
        <w:t>Foreign</w:t>
      </w:r>
      <w:proofErr w:type="spellEnd"/>
      <w:r>
        <w:rPr>
          <w:rFonts w:ascii="Times New Roman" w:hAnsi="Times New Roman"/>
          <w:i/>
          <w:iCs/>
        </w:rPr>
        <w:t xml:space="preserve"> </w:t>
      </w:r>
      <w:proofErr w:type="spellStart"/>
      <w:r>
        <w:rPr>
          <w:rFonts w:ascii="Times New Roman" w:hAnsi="Times New Roman"/>
          <w:i/>
          <w:iCs/>
        </w:rPr>
        <w:t>Intelligence</w:t>
      </w:r>
      <w:proofErr w:type="spellEnd"/>
      <w:r>
        <w:rPr>
          <w:rFonts w:ascii="Times New Roman" w:hAnsi="Times New Roman"/>
          <w:i/>
          <w:iCs/>
        </w:rPr>
        <w:t xml:space="preserve"> </w:t>
      </w:r>
      <w:proofErr w:type="spellStart"/>
      <w:r>
        <w:rPr>
          <w:rFonts w:ascii="Times New Roman" w:hAnsi="Times New Roman"/>
          <w:i/>
          <w:iCs/>
        </w:rPr>
        <w:t>Surveillance</w:t>
      </w:r>
      <w:proofErr w:type="spellEnd"/>
      <w:r>
        <w:rPr>
          <w:rFonts w:ascii="Times New Roman" w:hAnsi="Times New Roman"/>
          <w:i/>
          <w:iCs/>
        </w:rPr>
        <w:t xml:space="preserve"> </w:t>
      </w:r>
      <w:proofErr w:type="spellStart"/>
      <w:r>
        <w:rPr>
          <w:rFonts w:ascii="Times New Roman" w:hAnsi="Times New Roman"/>
          <w:i/>
          <w:iCs/>
        </w:rPr>
        <w:t>Act</w:t>
      </w:r>
      <w:proofErr w:type="spellEnd"/>
      <w:r>
        <w:rPr>
          <w:rFonts w:ascii="Times New Roman" w:hAnsi="Times New Roman"/>
        </w:rPr>
        <w:t>] (turpmāk tekstā – “</w:t>
      </w:r>
      <w:proofErr w:type="spellStart"/>
      <w:r>
        <w:rPr>
          <w:rFonts w:ascii="Times New Roman" w:hAnsi="Times New Roman"/>
          <w:i/>
          <w:iCs/>
        </w:rPr>
        <w:t>FISA</w:t>
      </w:r>
      <w:proofErr w:type="spellEnd"/>
      <w:r>
        <w:rPr>
          <w:rFonts w:ascii="Times New Roman" w:hAnsi="Times New Roman"/>
        </w:rPr>
        <w:t>”) un ka pieteikumi par piekļuvi materiālam programmas “</w:t>
      </w:r>
      <w:proofErr w:type="spellStart"/>
      <w:r>
        <w:rPr>
          <w:rFonts w:ascii="Times New Roman" w:hAnsi="Times New Roman"/>
        </w:rPr>
        <w:t>PRISM</w:t>
      </w:r>
      <w:proofErr w:type="spellEnd"/>
      <w:r>
        <w:rPr>
          <w:rFonts w:ascii="Times New Roman" w:hAnsi="Times New Roman"/>
        </w:rPr>
        <w:t>” ietvaros bija jāapstiprina Ārvalstu izlūkošanas uzraudzības tiesai (turpmāk tekstā – “</w:t>
      </w:r>
      <w:proofErr w:type="spellStart"/>
      <w:r>
        <w:rPr>
          <w:rFonts w:ascii="Times New Roman" w:hAnsi="Times New Roman"/>
          <w:i/>
          <w:iCs/>
        </w:rPr>
        <w:t>FISC</w:t>
      </w:r>
      <w:proofErr w:type="spellEnd"/>
      <w:r>
        <w:rPr>
          <w:rFonts w:ascii="Times New Roman" w:hAnsi="Times New Roman"/>
        </w:rPr>
        <w:t>”).</w:t>
      </w:r>
    </w:p>
    <w:p w14:paraId="62728532" w14:textId="201FB583" w:rsidR="000E3283" w:rsidRDefault="000E3283" w:rsidP="001F1E46">
      <w:pPr>
        <w:pStyle w:val="JuPara"/>
        <w:widowControl w:val="0"/>
        <w:ind w:firstLine="142"/>
        <w:rPr>
          <w:rFonts w:ascii="Times New Roman" w:hAnsi="Times New Roman"/>
          <w:noProof/>
        </w:rPr>
      </w:pPr>
      <w:r>
        <w:rPr>
          <w:rFonts w:ascii="Times New Roman" w:hAnsi="Times New Roman"/>
        </w:rPr>
        <w:t xml:space="preserve">24. </w:t>
      </w:r>
      <w:proofErr w:type="spellStart"/>
      <w:r>
        <w:rPr>
          <w:rFonts w:ascii="Times New Roman" w:hAnsi="Times New Roman"/>
        </w:rPr>
        <w:t>Edvarda</w:t>
      </w:r>
      <w:proofErr w:type="spellEnd"/>
      <w:r>
        <w:rPr>
          <w:rFonts w:ascii="Times New Roman" w:hAnsi="Times New Roman"/>
        </w:rPr>
        <w:t xml:space="preserve"> </w:t>
      </w:r>
      <w:proofErr w:type="spellStart"/>
      <w:r>
        <w:rPr>
          <w:rFonts w:ascii="Times New Roman" w:hAnsi="Times New Roman"/>
        </w:rPr>
        <w:t>Snoudena</w:t>
      </w:r>
      <w:proofErr w:type="spellEnd"/>
      <w:r>
        <w:rPr>
          <w:rFonts w:ascii="Times New Roman" w:hAnsi="Times New Roman"/>
        </w:rPr>
        <w:t xml:space="preserve"> nopludinātie </w:t>
      </w:r>
      <w:proofErr w:type="spellStart"/>
      <w:r>
        <w:rPr>
          <w:rFonts w:ascii="Times New Roman" w:hAnsi="Times New Roman"/>
          <w:i/>
          <w:iCs/>
        </w:rPr>
        <w:t>NSA</w:t>
      </w:r>
      <w:proofErr w:type="spellEnd"/>
      <w:r>
        <w:rPr>
          <w:rFonts w:ascii="Times New Roman" w:hAnsi="Times New Roman"/>
        </w:rPr>
        <w:t xml:space="preserve"> dokumenti liecināja, ka </w:t>
      </w:r>
      <w:proofErr w:type="spellStart"/>
      <w:r>
        <w:rPr>
          <w:rFonts w:ascii="Times New Roman" w:hAnsi="Times New Roman"/>
          <w:i/>
          <w:iCs/>
        </w:rPr>
        <w:t>GCHQ</w:t>
      </w:r>
      <w:proofErr w:type="spellEnd"/>
      <w:r>
        <w:rPr>
          <w:rFonts w:ascii="Times New Roman" w:hAnsi="Times New Roman"/>
        </w:rPr>
        <w:t xml:space="preserve"> bija piekļuve programmai “</w:t>
      </w:r>
      <w:proofErr w:type="spellStart"/>
      <w:r>
        <w:rPr>
          <w:rFonts w:ascii="Times New Roman" w:hAnsi="Times New Roman"/>
        </w:rPr>
        <w:t>PRISM</w:t>
      </w:r>
      <w:proofErr w:type="spellEnd"/>
      <w:r>
        <w:rPr>
          <w:rFonts w:ascii="Times New Roman" w:hAnsi="Times New Roman"/>
        </w:rPr>
        <w:t xml:space="preserve">” kopš 2010. gada jūlija un tā šo programmu izmantoja, lai sagatavotu izlūkošanas ziņojumus. </w:t>
      </w:r>
      <w:proofErr w:type="spellStart"/>
      <w:r>
        <w:rPr>
          <w:rFonts w:ascii="Times New Roman" w:hAnsi="Times New Roman"/>
          <w:i/>
          <w:iCs/>
        </w:rPr>
        <w:t>GCHQ</w:t>
      </w:r>
      <w:proofErr w:type="spellEnd"/>
      <w:r>
        <w:rPr>
          <w:rFonts w:ascii="Times New Roman" w:hAnsi="Times New Roman"/>
        </w:rPr>
        <w:t xml:space="preserve"> atzina, ka tā no Amerikas Savienotajām Valstīm saņēma informāciju, kas bija iegūta, izmantojot programmu “</w:t>
      </w:r>
      <w:proofErr w:type="spellStart"/>
      <w:r>
        <w:rPr>
          <w:rFonts w:ascii="Times New Roman" w:hAnsi="Times New Roman"/>
        </w:rPr>
        <w:t>PRISM</w:t>
      </w:r>
      <w:proofErr w:type="spellEnd"/>
      <w:r>
        <w:rPr>
          <w:rFonts w:ascii="Times New Roman" w:hAnsi="Times New Roman"/>
        </w:rPr>
        <w:t>”.</w:t>
      </w:r>
    </w:p>
    <w:p w14:paraId="2CE365EF" w14:textId="77777777" w:rsidR="00EA4687" w:rsidRPr="008D031E" w:rsidRDefault="00EA4687" w:rsidP="001F1E46">
      <w:pPr>
        <w:pStyle w:val="JuPara"/>
        <w:widowControl w:val="0"/>
        <w:ind w:firstLine="0"/>
        <w:rPr>
          <w:rFonts w:ascii="Times New Roman" w:hAnsi="Times New Roman"/>
          <w:noProof/>
          <w:lang w:val="en-US"/>
        </w:rPr>
      </w:pPr>
    </w:p>
    <w:p w14:paraId="5E6CC074" w14:textId="2046CB12" w:rsidR="000E3283" w:rsidRDefault="004978AA" w:rsidP="001F1E46">
      <w:pPr>
        <w:pStyle w:val="JuH1"/>
        <w:keepNext w:val="0"/>
        <w:keepLines w:val="0"/>
        <w:widowControl w:val="0"/>
        <w:numPr>
          <w:ilvl w:val="0"/>
          <w:numId w:val="0"/>
        </w:numPr>
        <w:spacing w:before="0" w:beforeAutospacing="0" w:after="0"/>
        <w:outlineLvl w:val="9"/>
        <w:rPr>
          <w:rFonts w:ascii="Times New Roman" w:hAnsi="Times New Roman"/>
          <w:noProof/>
        </w:rPr>
      </w:pPr>
      <w:bookmarkStart w:id="11" w:name="_Toc516820708"/>
      <w:r>
        <w:rPr>
          <w:rFonts w:ascii="Times New Roman" w:hAnsi="Times New Roman"/>
        </w:rPr>
        <w:t>2. “</w:t>
      </w:r>
      <w:proofErr w:type="spellStart"/>
      <w:r>
        <w:rPr>
          <w:rFonts w:ascii="Times New Roman" w:hAnsi="Times New Roman"/>
        </w:rPr>
        <w:t>Upstream</w:t>
      </w:r>
      <w:proofErr w:type="spellEnd"/>
      <w:r>
        <w:rPr>
          <w:rFonts w:ascii="Times New Roman" w:hAnsi="Times New Roman"/>
        </w:rPr>
        <w:t>”</w:t>
      </w:r>
      <w:bookmarkEnd w:id="11"/>
    </w:p>
    <w:p w14:paraId="2CEF7FAD" w14:textId="77777777" w:rsidR="00EA4687" w:rsidRPr="00EA4687" w:rsidRDefault="00EA4687" w:rsidP="001F1E46">
      <w:pPr>
        <w:pStyle w:val="JuPara"/>
        <w:widowControl w:val="0"/>
        <w:rPr>
          <w:lang w:val="en-US"/>
        </w:rPr>
      </w:pPr>
    </w:p>
    <w:p w14:paraId="0D20148F" w14:textId="7944B2F6" w:rsidR="000E3283" w:rsidRDefault="000E3283" w:rsidP="001F1E46">
      <w:pPr>
        <w:pStyle w:val="JuPara"/>
        <w:widowControl w:val="0"/>
        <w:ind w:firstLine="142"/>
        <w:rPr>
          <w:rFonts w:ascii="Times New Roman" w:hAnsi="Times New Roman"/>
          <w:noProof/>
        </w:rPr>
      </w:pPr>
      <w:r>
        <w:rPr>
          <w:rFonts w:ascii="Times New Roman" w:hAnsi="Times New Roman"/>
        </w:rPr>
        <w:t>25. Saskaņā ar nopludinātajiem dokumentiem programma “</w:t>
      </w:r>
      <w:proofErr w:type="spellStart"/>
      <w:r>
        <w:rPr>
          <w:rFonts w:ascii="Times New Roman" w:hAnsi="Times New Roman"/>
        </w:rPr>
        <w:t>Upstream</w:t>
      </w:r>
      <w:proofErr w:type="spellEnd"/>
      <w:r>
        <w:rPr>
          <w:rFonts w:ascii="Times New Roman" w:hAnsi="Times New Roman"/>
        </w:rPr>
        <w:t xml:space="preserve">” ļāva apkopot saturu un sakaru datus no Amerikas Savienoto Valstu </w:t>
      </w:r>
      <w:proofErr w:type="spellStart"/>
      <w:r>
        <w:rPr>
          <w:rFonts w:ascii="Times New Roman" w:hAnsi="Times New Roman"/>
        </w:rPr>
        <w:t>SPS</w:t>
      </w:r>
      <w:proofErr w:type="spellEnd"/>
      <w:r>
        <w:rPr>
          <w:rFonts w:ascii="Times New Roman" w:hAnsi="Times New Roman"/>
        </w:rPr>
        <w:t xml:space="preserve"> piederošajiem optiskās šķiedras kabeļiem un infrastruktūras. Šī programma nodrošināja plašu piekļuvi globālajiem datiem, jo īpaši par personām, kuras nav ASV pilsoņi. Šos datus pēc tam varēja apkopot, uzglabāt un meklēt, izmantojot atslēgvārdus (skat. detalizētu informāciju turpmāk 261.–264. punktā).</w:t>
      </w:r>
    </w:p>
    <w:p w14:paraId="2B2D1170" w14:textId="77777777" w:rsidR="004978AA" w:rsidRPr="008D031E" w:rsidRDefault="004978AA" w:rsidP="001F1E46">
      <w:pPr>
        <w:pStyle w:val="JuPara"/>
        <w:widowControl w:val="0"/>
        <w:ind w:firstLine="0"/>
        <w:rPr>
          <w:rFonts w:ascii="Times New Roman" w:hAnsi="Times New Roman"/>
          <w:noProof/>
          <w:lang w:val="en-US"/>
        </w:rPr>
      </w:pPr>
    </w:p>
    <w:p w14:paraId="22C17370" w14:textId="13E15B3F" w:rsidR="000E3283" w:rsidRDefault="004978AA" w:rsidP="001F1E46">
      <w:pPr>
        <w:pStyle w:val="JuHIRoman"/>
        <w:keepNext w:val="0"/>
        <w:keepLines w:val="0"/>
        <w:widowControl w:val="0"/>
        <w:numPr>
          <w:ilvl w:val="0"/>
          <w:numId w:val="0"/>
        </w:numPr>
        <w:spacing w:before="0" w:beforeAutospacing="0" w:after="0"/>
        <w:outlineLvl w:val="9"/>
        <w:rPr>
          <w:rFonts w:ascii="Times New Roman" w:hAnsi="Times New Roman"/>
          <w:caps w:val="0"/>
          <w:noProof/>
        </w:rPr>
      </w:pPr>
      <w:bookmarkStart w:id="12" w:name="_Toc516820709"/>
      <w:r>
        <w:rPr>
          <w:rFonts w:ascii="Times New Roman" w:hAnsi="Times New Roman"/>
          <w:caps w:val="0"/>
        </w:rPr>
        <w:t>III. VALSTS TIESVEDĪBA PIRMAJĀ UN OTRAJĀ NO APVIENOTAJĀM LIETĀM</w:t>
      </w:r>
      <w:bookmarkEnd w:id="12"/>
    </w:p>
    <w:p w14:paraId="490FDE32" w14:textId="77777777" w:rsidR="004978AA" w:rsidRPr="004978AA" w:rsidRDefault="004978AA" w:rsidP="001F1E46">
      <w:pPr>
        <w:pStyle w:val="JuPara"/>
        <w:widowControl w:val="0"/>
        <w:rPr>
          <w:lang w:val="en-US"/>
        </w:rPr>
      </w:pPr>
    </w:p>
    <w:p w14:paraId="72766015" w14:textId="10270264" w:rsidR="000E3283" w:rsidRPr="008D031E" w:rsidRDefault="000E3283" w:rsidP="001F1E46">
      <w:pPr>
        <w:pStyle w:val="JuPara"/>
        <w:widowControl w:val="0"/>
        <w:ind w:firstLine="142"/>
        <w:rPr>
          <w:rFonts w:ascii="Times New Roman" w:hAnsi="Times New Roman"/>
          <w:noProof/>
        </w:rPr>
      </w:pPr>
      <w:r>
        <w:rPr>
          <w:rFonts w:ascii="Times New Roman" w:hAnsi="Times New Roman"/>
        </w:rPr>
        <w:t xml:space="preserve">26. 2013. gada 3. jūlijā pieteikuma iesniedzēji pirmajā no apvienotajām lietām (pieteikums Nr. 58170/13) iesniedza Valdībai </w:t>
      </w:r>
      <w:proofErr w:type="spellStart"/>
      <w:r>
        <w:rPr>
          <w:rFonts w:ascii="Times New Roman" w:hAnsi="Times New Roman"/>
        </w:rPr>
        <w:t>pirmstiesas</w:t>
      </w:r>
      <w:proofErr w:type="spellEnd"/>
      <w:r>
        <w:rPr>
          <w:rFonts w:ascii="Times New Roman" w:hAnsi="Times New Roman"/>
        </w:rPr>
        <w:t xml:space="preserve"> brīdinājuma vēstuli, kurā tie izklāstīja savas sūdzības un lūdza atzīt, ka 1994. gada Izlūkdienestu likuma [</w:t>
      </w:r>
      <w:proofErr w:type="spellStart"/>
      <w:r>
        <w:rPr>
          <w:rFonts w:ascii="Times New Roman" w:hAnsi="Times New Roman"/>
          <w:i/>
          <w:iCs/>
        </w:rPr>
        <w:t>Intelligence</w:t>
      </w:r>
      <w:proofErr w:type="spellEnd"/>
      <w:r>
        <w:rPr>
          <w:rFonts w:ascii="Times New Roman" w:hAnsi="Times New Roman"/>
          <w:i/>
          <w:iCs/>
        </w:rPr>
        <w:t xml:space="preserve"> Services </w:t>
      </w:r>
      <w:proofErr w:type="spellStart"/>
      <w:r>
        <w:rPr>
          <w:rFonts w:ascii="Times New Roman" w:hAnsi="Times New Roman"/>
          <w:i/>
          <w:iCs/>
        </w:rPr>
        <w:t>Act</w:t>
      </w:r>
      <w:proofErr w:type="spellEnd"/>
      <w:r>
        <w:rPr>
          <w:rFonts w:ascii="Times New Roman" w:hAnsi="Times New Roman"/>
          <w:i/>
          <w:iCs/>
        </w:rPr>
        <w:t xml:space="preserve"> 1994</w:t>
      </w:r>
      <w:r>
        <w:rPr>
          <w:rFonts w:ascii="Times New Roman" w:hAnsi="Times New Roman"/>
        </w:rPr>
        <w:t>] (turpmāk tekstā – “</w:t>
      </w:r>
      <w:proofErr w:type="spellStart"/>
      <w:r>
        <w:rPr>
          <w:rFonts w:ascii="Times New Roman" w:hAnsi="Times New Roman"/>
          <w:i/>
          <w:iCs/>
        </w:rPr>
        <w:t>ISA</w:t>
      </w:r>
      <w:proofErr w:type="spellEnd"/>
      <w:r>
        <w:rPr>
          <w:rFonts w:ascii="Times New Roman" w:hAnsi="Times New Roman"/>
        </w:rPr>
        <w:t>”, skat. turpmāk 108. un 110. punktu) 1. un 3. pants, 1989. gada Drošības dienestu likuma [</w:t>
      </w:r>
      <w:proofErr w:type="spellStart"/>
      <w:r>
        <w:rPr>
          <w:rFonts w:ascii="Times New Roman" w:hAnsi="Times New Roman"/>
          <w:i/>
          <w:iCs/>
        </w:rPr>
        <w:t>Security</w:t>
      </w:r>
      <w:proofErr w:type="spellEnd"/>
      <w:r>
        <w:rPr>
          <w:rFonts w:ascii="Times New Roman" w:hAnsi="Times New Roman"/>
          <w:i/>
          <w:iCs/>
        </w:rPr>
        <w:t xml:space="preserve"> Services </w:t>
      </w:r>
      <w:proofErr w:type="spellStart"/>
      <w:r>
        <w:rPr>
          <w:rFonts w:ascii="Times New Roman" w:hAnsi="Times New Roman"/>
          <w:i/>
          <w:iCs/>
        </w:rPr>
        <w:t>Act</w:t>
      </w:r>
      <w:proofErr w:type="spellEnd"/>
      <w:r>
        <w:rPr>
          <w:rFonts w:ascii="Times New Roman" w:hAnsi="Times New Roman"/>
          <w:i/>
          <w:iCs/>
        </w:rPr>
        <w:t xml:space="preserve"> 1989</w:t>
      </w:r>
      <w:r>
        <w:rPr>
          <w:rFonts w:ascii="Times New Roman" w:hAnsi="Times New Roman"/>
        </w:rPr>
        <w:t>] (turpmāk tekstā – “</w:t>
      </w:r>
      <w:proofErr w:type="spellStart"/>
      <w:r>
        <w:rPr>
          <w:rFonts w:ascii="Times New Roman" w:hAnsi="Times New Roman"/>
          <w:i/>
          <w:iCs/>
        </w:rPr>
        <w:t>SSA</w:t>
      </w:r>
      <w:proofErr w:type="spellEnd"/>
      <w:r>
        <w:rPr>
          <w:rFonts w:ascii="Times New Roman" w:hAnsi="Times New Roman"/>
        </w:rPr>
        <w:t xml:space="preserve">”, skat. turpmāk 106. punktu) 1. pants un </w:t>
      </w:r>
      <w:r>
        <w:rPr>
          <w:rFonts w:ascii="Times New Roman" w:hAnsi="Times New Roman"/>
          <w:i/>
          <w:iCs/>
        </w:rPr>
        <w:t>RIPA</w:t>
      </w:r>
      <w:r>
        <w:rPr>
          <w:rFonts w:ascii="Times New Roman" w:hAnsi="Times New Roman"/>
        </w:rPr>
        <w:t xml:space="preserve"> 8. pants (skat. turpmāk 66. punktu) neatbilst Konvencijai. Valdība savā 2013. gada 26. jūlija atbildē apgalvoja, ka </w:t>
      </w:r>
      <w:r>
        <w:rPr>
          <w:rFonts w:ascii="Times New Roman" w:hAnsi="Times New Roman"/>
          <w:i/>
          <w:iCs/>
        </w:rPr>
        <w:t>RIPA</w:t>
      </w:r>
      <w:r>
        <w:rPr>
          <w:rFonts w:ascii="Times New Roman" w:hAnsi="Times New Roman"/>
        </w:rPr>
        <w:t xml:space="preserve"> 65. panta 2. punkta mērķis bija izslēgt Augstās tiesas kompetenci saistībā ar sūdzībām par cilvēktiesībām, kas iesniegtas pret izlūkdienestiem, taču pieteikuma iesniedzēji varēja iesniegt savas sūdzības </w:t>
      </w:r>
      <w:proofErr w:type="spellStart"/>
      <w:r>
        <w:rPr>
          <w:rFonts w:ascii="Times New Roman" w:hAnsi="Times New Roman"/>
          <w:i/>
          <w:iCs/>
        </w:rPr>
        <w:t>IPT</w:t>
      </w:r>
      <w:proofErr w:type="spellEnd"/>
      <w:r>
        <w:rPr>
          <w:rFonts w:ascii="Times New Roman" w:hAnsi="Times New Roman"/>
        </w:rPr>
        <w:t xml:space="preserve">. Tā norādīja, ka </w:t>
      </w:r>
      <w:proofErr w:type="spellStart"/>
      <w:r>
        <w:rPr>
          <w:rFonts w:ascii="Times New Roman" w:hAnsi="Times New Roman"/>
          <w:i/>
          <w:iCs/>
        </w:rPr>
        <w:t>IPT</w:t>
      </w:r>
      <w:proofErr w:type="spellEnd"/>
      <w:r>
        <w:rPr>
          <w:rFonts w:ascii="Times New Roman" w:hAnsi="Times New Roman"/>
        </w:rPr>
        <w:t xml:space="preserve"> ir īpaša tiesa, kas izveidota saskaņā ar </w:t>
      </w:r>
      <w:r>
        <w:rPr>
          <w:rFonts w:ascii="Times New Roman" w:hAnsi="Times New Roman"/>
          <w:i/>
          <w:iCs/>
        </w:rPr>
        <w:t>RIPA</w:t>
      </w:r>
      <w:r>
        <w:rPr>
          <w:rFonts w:ascii="Times New Roman" w:hAnsi="Times New Roman"/>
        </w:rPr>
        <w:t>, lai uzklausītu pilsoņu apgalvojumus par iespējamu pretlikumīgu iejaukšanos viņu saziņā tādas rīcības dēļ, uz kuru attiecas šis likums, un ka tai bija ekskluzīva kompetence izskatīt jebkuru sūdzību par personas sakaru pārtveršanu un, ja pārtveršana ir notikusi, pārbaudīt šīs pārtveršanas pilnvaras (skat. turpmāk 122.–133. punktu). Tomēr šie pieteikuma iesniedzēji nebija šādi rīkojušies.</w:t>
      </w:r>
    </w:p>
    <w:p w14:paraId="42510203" w14:textId="5F187221" w:rsidR="000E3283" w:rsidRDefault="000E3283" w:rsidP="001F1E46">
      <w:pPr>
        <w:pStyle w:val="JuPara"/>
        <w:widowControl w:val="0"/>
        <w:ind w:firstLine="142"/>
        <w:rPr>
          <w:rFonts w:ascii="Times New Roman" w:hAnsi="Times New Roman"/>
          <w:noProof/>
        </w:rPr>
      </w:pPr>
      <w:r>
        <w:rPr>
          <w:rFonts w:ascii="Times New Roman" w:hAnsi="Times New Roman"/>
        </w:rPr>
        <w:t>27. Pieteikuma iesniedzēji otrajā no apvienotajām lietām (pieteikums Nr. 62322/14) neierosināja valsts tiesvedību, jo tie neuzskatīja, ka tiem ir pieejams efektīvs tiesiskās aizsardzības līdzeklis saistībā ar to sūdzībām, ko tie bija iesnieguši saskaņā ar Konvenciju.</w:t>
      </w:r>
    </w:p>
    <w:p w14:paraId="20325635" w14:textId="77777777" w:rsidR="004978AA" w:rsidRPr="008D031E" w:rsidRDefault="004978AA" w:rsidP="001F1E46">
      <w:pPr>
        <w:pStyle w:val="JuPara"/>
        <w:widowControl w:val="0"/>
        <w:ind w:firstLine="0"/>
        <w:rPr>
          <w:rFonts w:ascii="Times New Roman" w:hAnsi="Times New Roman"/>
          <w:noProof/>
          <w:lang w:val="en-US"/>
        </w:rPr>
      </w:pPr>
    </w:p>
    <w:p w14:paraId="38C6F4A6" w14:textId="175F00AE" w:rsidR="000E3283" w:rsidRDefault="004978AA" w:rsidP="001F1E46">
      <w:pPr>
        <w:pStyle w:val="JuHIRoman"/>
        <w:keepNext w:val="0"/>
        <w:keepLines w:val="0"/>
        <w:widowControl w:val="0"/>
        <w:numPr>
          <w:ilvl w:val="0"/>
          <w:numId w:val="0"/>
        </w:numPr>
        <w:spacing w:before="0" w:beforeAutospacing="0" w:after="0"/>
        <w:outlineLvl w:val="9"/>
        <w:rPr>
          <w:rFonts w:ascii="Times New Roman" w:hAnsi="Times New Roman"/>
          <w:caps w:val="0"/>
          <w:noProof/>
        </w:rPr>
      </w:pPr>
      <w:bookmarkStart w:id="13" w:name="_Toc516820710"/>
      <w:r>
        <w:rPr>
          <w:rFonts w:ascii="Times New Roman" w:hAnsi="Times New Roman"/>
          <w:caps w:val="0"/>
        </w:rPr>
        <w:t>IV. VALSTS TIESVEDĪBA TREŠAJĀ NO APVIENOTAJĀM LIETĀM</w:t>
      </w:r>
      <w:bookmarkEnd w:id="13"/>
    </w:p>
    <w:p w14:paraId="1FCCD189" w14:textId="77777777" w:rsidR="004978AA" w:rsidRPr="004978AA" w:rsidRDefault="004978AA" w:rsidP="001F1E46">
      <w:pPr>
        <w:pStyle w:val="JuPara"/>
        <w:widowControl w:val="0"/>
        <w:rPr>
          <w:lang w:val="en-US"/>
        </w:rPr>
      </w:pPr>
    </w:p>
    <w:p w14:paraId="43A449B0" w14:textId="6A245D40" w:rsidR="000E3283" w:rsidRPr="008D031E" w:rsidRDefault="000E3283" w:rsidP="001F1E46">
      <w:pPr>
        <w:pStyle w:val="JuPara"/>
        <w:widowControl w:val="0"/>
        <w:ind w:firstLine="142"/>
        <w:rPr>
          <w:rFonts w:ascii="Times New Roman" w:hAnsi="Times New Roman"/>
          <w:noProof/>
        </w:rPr>
      </w:pPr>
      <w:bookmarkStart w:id="14" w:name="LibertyProceedingsSt"/>
      <w:r>
        <w:rPr>
          <w:rFonts w:ascii="Times New Roman" w:hAnsi="Times New Roman"/>
        </w:rPr>
        <w:t>28</w:t>
      </w:r>
      <w:bookmarkEnd w:id="14"/>
      <w:r>
        <w:rPr>
          <w:rFonts w:ascii="Times New Roman" w:hAnsi="Times New Roman"/>
        </w:rPr>
        <w:t xml:space="preserve">. Katra no desmit cilvēktiesību aizsardzības organizācijām, kuras bija pieteikuma iesniedzēji trešajā no apvienotajām lietām (pieteikums Nr. 24960/15), laika posmā no 2013. gada jūnija līdz 2013. gada decembrim iesniedza sūdzību </w:t>
      </w:r>
      <w:proofErr w:type="spellStart"/>
      <w:r>
        <w:rPr>
          <w:rFonts w:ascii="Times New Roman" w:hAnsi="Times New Roman"/>
          <w:i/>
          <w:iCs/>
        </w:rPr>
        <w:t>IPT</w:t>
      </w:r>
      <w:proofErr w:type="spellEnd"/>
      <w:r>
        <w:rPr>
          <w:rFonts w:ascii="Times New Roman" w:hAnsi="Times New Roman"/>
        </w:rPr>
        <w:t xml:space="preserve"> (turpmāk tekstā – ““</w:t>
      </w:r>
      <w:proofErr w:type="spellStart"/>
      <w:r>
        <w:rPr>
          <w:rFonts w:ascii="Times New Roman" w:hAnsi="Times New Roman"/>
        </w:rPr>
        <w:t>Liberty</w:t>
      </w:r>
      <w:proofErr w:type="spellEnd"/>
      <w:r>
        <w:rPr>
          <w:rFonts w:ascii="Times New Roman" w:hAnsi="Times New Roman"/>
        </w:rPr>
        <w:t xml:space="preserve">” tiesvedība”). Tās apgalvoja, ka izlūkdienesti, </w:t>
      </w:r>
      <w:proofErr w:type="spellStart"/>
      <w:r>
        <w:rPr>
          <w:rFonts w:ascii="Times New Roman" w:hAnsi="Times New Roman"/>
        </w:rPr>
        <w:t>iekšlietu</w:t>
      </w:r>
      <w:proofErr w:type="spellEnd"/>
      <w:r>
        <w:rPr>
          <w:rFonts w:ascii="Times New Roman" w:hAnsi="Times New Roman"/>
        </w:rPr>
        <w:t xml:space="preserve"> sekretārs un ārlietu sekretārs bija rīkojušies pretēji Konvencijas 8., 10. un 14. pantam: i) piekļūstot pārtvertajam saziņas aktu saturam un sakaru datiem vai kā citādi tos saņemot no Amerikas Savienoto Valstu valdības, izmantojot programmas “</w:t>
      </w:r>
      <w:proofErr w:type="spellStart"/>
      <w:r>
        <w:rPr>
          <w:rFonts w:ascii="Times New Roman" w:hAnsi="Times New Roman"/>
        </w:rPr>
        <w:t>PRISM</w:t>
      </w:r>
      <w:proofErr w:type="spellEnd"/>
      <w:r>
        <w:rPr>
          <w:rFonts w:ascii="Times New Roman" w:hAnsi="Times New Roman"/>
        </w:rPr>
        <w:t>” un “</w:t>
      </w:r>
      <w:proofErr w:type="spellStart"/>
      <w:r>
        <w:rPr>
          <w:rFonts w:ascii="Times New Roman" w:hAnsi="Times New Roman"/>
        </w:rPr>
        <w:t>Upstream</w:t>
      </w:r>
      <w:proofErr w:type="spellEnd"/>
      <w:r>
        <w:rPr>
          <w:rFonts w:ascii="Times New Roman" w:hAnsi="Times New Roman"/>
        </w:rPr>
        <w:t>” (turpmāk tekstā – “jautājums par “</w:t>
      </w:r>
      <w:proofErr w:type="spellStart"/>
      <w:r>
        <w:rPr>
          <w:rFonts w:ascii="Times New Roman" w:hAnsi="Times New Roman"/>
        </w:rPr>
        <w:t>PRISM</w:t>
      </w:r>
      <w:proofErr w:type="spellEnd"/>
      <w:r>
        <w:rPr>
          <w:rFonts w:ascii="Times New Roman" w:hAnsi="Times New Roman"/>
        </w:rPr>
        <w:t>””), un ii) pārtverot, pārbaudot un saglabājot to pieteikuma iesniedzēju saziņas aktu saturu un sakaru datus, izmantojot programmu “</w:t>
      </w:r>
      <w:proofErr w:type="spellStart"/>
      <w:r>
        <w:rPr>
          <w:rFonts w:ascii="Times New Roman" w:hAnsi="Times New Roman"/>
        </w:rPr>
        <w:t>TEMPORA</w:t>
      </w:r>
      <w:proofErr w:type="spellEnd"/>
      <w:r>
        <w:rPr>
          <w:rFonts w:ascii="Times New Roman" w:hAnsi="Times New Roman"/>
        </w:rPr>
        <w:t>” (turpmāk tekstā – “jautājums par 8. panta 4. punktu”).</w:t>
      </w:r>
    </w:p>
    <w:p w14:paraId="10ABC66C" w14:textId="4001BF71" w:rsidR="000E3283" w:rsidRPr="008D031E" w:rsidRDefault="000E3283" w:rsidP="001F1E46">
      <w:pPr>
        <w:pStyle w:val="JuPara"/>
        <w:widowControl w:val="0"/>
        <w:ind w:firstLine="142"/>
        <w:rPr>
          <w:rFonts w:ascii="Times New Roman" w:hAnsi="Times New Roman"/>
          <w:noProof/>
        </w:rPr>
      </w:pPr>
      <w:r>
        <w:rPr>
          <w:rFonts w:ascii="Times New Roman" w:hAnsi="Times New Roman"/>
        </w:rPr>
        <w:t xml:space="preserve">29. 2014. gada 14. februārī </w:t>
      </w:r>
      <w:proofErr w:type="spellStart"/>
      <w:r>
        <w:rPr>
          <w:rFonts w:ascii="Times New Roman" w:hAnsi="Times New Roman"/>
          <w:i/>
          <w:iCs/>
        </w:rPr>
        <w:t>IPT</w:t>
      </w:r>
      <w:proofErr w:type="spellEnd"/>
      <w:r>
        <w:rPr>
          <w:rFonts w:ascii="Times New Roman" w:hAnsi="Times New Roman"/>
        </w:rPr>
        <w:t xml:space="preserve"> uzdeva apvienot šīs desmit lietas. Pēc tam tā izraudzījās tiesas padomnieku (skat. turpmāk 132. punktu), kura uzdevums bija palīdzēt </w:t>
      </w:r>
      <w:proofErr w:type="spellStart"/>
      <w:r>
        <w:rPr>
          <w:rFonts w:ascii="Times New Roman" w:hAnsi="Times New Roman"/>
          <w:i/>
          <w:iCs/>
        </w:rPr>
        <w:t>IPT</w:t>
      </w:r>
      <w:proofErr w:type="spellEnd"/>
      <w:r>
        <w:rPr>
          <w:rFonts w:ascii="Times New Roman" w:hAnsi="Times New Roman"/>
        </w:rPr>
        <w:t xml:space="preserve"> jebkādā tās norādītā veidā, tostarp pārstāvot to jautājumos, kuros ne visas puses iespējams pārstāvēt (piemēram, valsts drošības apsvērumu dēļ).</w:t>
      </w:r>
    </w:p>
    <w:p w14:paraId="28E7DCC6" w14:textId="4AF23450" w:rsidR="000E3283" w:rsidRDefault="000E3283" w:rsidP="001F1E46">
      <w:pPr>
        <w:pStyle w:val="JuPara"/>
        <w:widowControl w:val="0"/>
        <w:ind w:firstLine="142"/>
        <w:rPr>
          <w:rFonts w:ascii="Times New Roman" w:hAnsi="Times New Roman"/>
          <w:noProof/>
        </w:rPr>
      </w:pPr>
      <w:r>
        <w:rPr>
          <w:rFonts w:ascii="Times New Roman" w:hAnsi="Times New Roman"/>
        </w:rPr>
        <w:t xml:space="preserve">30. Valdība atbildē uz pieteikuma iesniedzēju apgalvojumiem ieņēma “ne apstiprināšanas, ne noliegšanas” nostāju, proti, tā atteicās apstiprināt vai noliegt, ka pieteikuma iesniedzēju saziņas aktu saturs patiesībā tika pārtverts. Tāpēc tika noteikts, ka </w:t>
      </w:r>
      <w:proofErr w:type="spellStart"/>
      <w:r>
        <w:rPr>
          <w:rFonts w:ascii="Times New Roman" w:hAnsi="Times New Roman"/>
          <w:i/>
          <w:iCs/>
        </w:rPr>
        <w:t>IPT</w:t>
      </w:r>
      <w:proofErr w:type="spellEnd"/>
      <w:r>
        <w:rPr>
          <w:rFonts w:ascii="Times New Roman" w:hAnsi="Times New Roman"/>
        </w:rPr>
        <w:t xml:space="preserve"> izlems juridiskos jautājumus, pamatojoties uz pieņēmumiem, proti, ka </w:t>
      </w:r>
      <w:proofErr w:type="spellStart"/>
      <w:r>
        <w:rPr>
          <w:rFonts w:ascii="Times New Roman" w:hAnsi="Times New Roman"/>
          <w:i/>
          <w:iCs/>
        </w:rPr>
        <w:t>NSA</w:t>
      </w:r>
      <w:proofErr w:type="spellEnd"/>
      <w:r>
        <w:rPr>
          <w:rFonts w:ascii="Times New Roman" w:hAnsi="Times New Roman"/>
        </w:rPr>
        <w:t xml:space="preserve"> bija ieguvusi pieteikuma iesniedzēju saziņas aktu saturu un sakaru datus, izmantojot programmu “</w:t>
      </w:r>
      <w:proofErr w:type="spellStart"/>
      <w:r>
        <w:rPr>
          <w:rFonts w:ascii="Times New Roman" w:hAnsi="Times New Roman"/>
        </w:rPr>
        <w:t>PRISM</w:t>
      </w:r>
      <w:proofErr w:type="spellEnd"/>
      <w:r>
        <w:rPr>
          <w:rFonts w:ascii="Times New Roman" w:hAnsi="Times New Roman"/>
        </w:rPr>
        <w:t>” vai “</w:t>
      </w:r>
      <w:proofErr w:type="spellStart"/>
      <w:r>
        <w:rPr>
          <w:rFonts w:ascii="Times New Roman" w:hAnsi="Times New Roman"/>
        </w:rPr>
        <w:t>Upstream</w:t>
      </w:r>
      <w:proofErr w:type="spellEnd"/>
      <w:r>
        <w:rPr>
          <w:rFonts w:ascii="Times New Roman" w:hAnsi="Times New Roman"/>
        </w:rPr>
        <w:t xml:space="preserve">”, un tos nodevusi </w:t>
      </w:r>
      <w:proofErr w:type="spellStart"/>
      <w:r>
        <w:rPr>
          <w:rFonts w:ascii="Times New Roman" w:hAnsi="Times New Roman"/>
          <w:i/>
          <w:iCs/>
        </w:rPr>
        <w:lastRenderedPageBreak/>
        <w:t>GCHQ</w:t>
      </w:r>
      <w:proofErr w:type="spellEnd"/>
      <w:r>
        <w:rPr>
          <w:rFonts w:ascii="Times New Roman" w:hAnsi="Times New Roman"/>
        </w:rPr>
        <w:t xml:space="preserve">, kur tie tika saglabāti, uzglabāti un analizēti un ar tiem apmainījās, un ka </w:t>
      </w:r>
      <w:proofErr w:type="spellStart"/>
      <w:r>
        <w:rPr>
          <w:rFonts w:ascii="Times New Roman" w:hAnsi="Times New Roman"/>
          <w:i/>
          <w:iCs/>
        </w:rPr>
        <w:t>GCHQ</w:t>
      </w:r>
      <w:proofErr w:type="spellEnd"/>
      <w:r>
        <w:rPr>
          <w:rFonts w:ascii="Times New Roman" w:hAnsi="Times New Roman"/>
        </w:rPr>
        <w:t xml:space="preserve"> bija pārtvērusi pieteikumu iesniedzēju sakaru datus, izmantojot programmu “</w:t>
      </w:r>
      <w:proofErr w:type="spellStart"/>
      <w:r>
        <w:rPr>
          <w:rFonts w:ascii="Times New Roman" w:hAnsi="Times New Roman"/>
        </w:rPr>
        <w:t>TEMPORA</w:t>
      </w:r>
      <w:proofErr w:type="spellEnd"/>
      <w:r>
        <w:rPr>
          <w:rFonts w:ascii="Times New Roman" w:hAnsi="Times New Roman"/>
        </w:rPr>
        <w:t>”, un tos saglabājusi, uzglabājusi un analizējusi un ar tiem apmainījusies. Bija jāizvērtē, vai, pamatojoties uz šiem pieņēmumiem, datu pārtveršana, saglabāšana, uzglabāšana un apmaiņa atbilda Konvencijas 8. un 10. pantam, tos aplūkojot atsevišķi un kopā ar Konvencijas 14. pantu.</w:t>
      </w:r>
    </w:p>
    <w:p w14:paraId="358027E3" w14:textId="77777777" w:rsidR="004978AA" w:rsidRPr="008D031E" w:rsidRDefault="004978AA" w:rsidP="001F1E46">
      <w:pPr>
        <w:pStyle w:val="JuPara"/>
        <w:widowControl w:val="0"/>
        <w:ind w:firstLine="0"/>
        <w:rPr>
          <w:rFonts w:ascii="Times New Roman" w:hAnsi="Times New Roman"/>
          <w:noProof/>
          <w:lang w:val="en-US"/>
        </w:rPr>
      </w:pPr>
    </w:p>
    <w:p w14:paraId="620D72F7" w14:textId="4416658C" w:rsidR="000E3283" w:rsidRDefault="004978AA" w:rsidP="001F1E46">
      <w:pPr>
        <w:pStyle w:val="JuHA"/>
        <w:keepNext w:val="0"/>
        <w:keepLines w:val="0"/>
        <w:widowControl w:val="0"/>
        <w:numPr>
          <w:ilvl w:val="0"/>
          <w:numId w:val="0"/>
        </w:numPr>
        <w:spacing w:before="0" w:beforeAutospacing="0" w:after="0"/>
        <w:outlineLvl w:val="9"/>
        <w:rPr>
          <w:rFonts w:ascii="Times New Roman" w:hAnsi="Times New Roman"/>
          <w:noProof/>
        </w:rPr>
      </w:pPr>
      <w:bookmarkStart w:id="15" w:name="_Toc516820711"/>
      <w:r>
        <w:rPr>
          <w:rFonts w:ascii="Times New Roman" w:hAnsi="Times New Roman"/>
        </w:rPr>
        <w:t>A. Paskaidrojumu uzklausīšana</w:t>
      </w:r>
      <w:bookmarkEnd w:id="15"/>
    </w:p>
    <w:p w14:paraId="26B39010" w14:textId="77777777" w:rsidR="004978AA" w:rsidRPr="004978AA" w:rsidRDefault="004978AA" w:rsidP="001F1E46">
      <w:pPr>
        <w:pStyle w:val="JuPara"/>
        <w:widowControl w:val="0"/>
        <w:rPr>
          <w:lang w:val="en-US"/>
        </w:rPr>
      </w:pPr>
    </w:p>
    <w:p w14:paraId="3900622B" w14:textId="72226E0F" w:rsidR="000E3283" w:rsidRPr="008D031E" w:rsidRDefault="000E3283" w:rsidP="001F1E46">
      <w:pPr>
        <w:pStyle w:val="JuPara"/>
        <w:widowControl w:val="0"/>
        <w:ind w:firstLine="142"/>
        <w:rPr>
          <w:rFonts w:ascii="Times New Roman" w:hAnsi="Times New Roman"/>
          <w:noProof/>
        </w:rPr>
      </w:pPr>
      <w:bookmarkStart w:id="16" w:name="IPTComposition"/>
      <w:r>
        <w:rPr>
          <w:rFonts w:ascii="Times New Roman" w:hAnsi="Times New Roman"/>
        </w:rPr>
        <w:t>31</w:t>
      </w:r>
      <w:bookmarkEnd w:id="16"/>
      <w:r>
        <w:rPr>
          <w:rFonts w:ascii="Times New Roman" w:hAnsi="Times New Roman"/>
        </w:rPr>
        <w:t xml:space="preserve">. </w:t>
      </w:r>
      <w:proofErr w:type="spellStart"/>
      <w:r>
        <w:rPr>
          <w:rFonts w:ascii="Times New Roman" w:hAnsi="Times New Roman"/>
          <w:i/>
          <w:iCs/>
        </w:rPr>
        <w:t>IPT</w:t>
      </w:r>
      <w:proofErr w:type="spellEnd"/>
      <w:r>
        <w:rPr>
          <w:rFonts w:ascii="Times New Roman" w:hAnsi="Times New Roman"/>
        </w:rPr>
        <w:t xml:space="preserve"> divu Augstās tiesas tiesnešu, iecirkņa tiesneša un divu vecāko tiesas advokātu sastāvā rīkoja atklātu paskaidrojumu uzklausīšanu, kas norisinājās 2014. gada 14.–18. jūlijā. Valdība lūdza rīkot papildu slēgtu paskaidrojumu uzklausīšanu, lai </w:t>
      </w:r>
      <w:proofErr w:type="spellStart"/>
      <w:r>
        <w:rPr>
          <w:rFonts w:ascii="Times New Roman" w:hAnsi="Times New Roman"/>
          <w:i/>
          <w:iCs/>
        </w:rPr>
        <w:t>IPT</w:t>
      </w:r>
      <w:proofErr w:type="spellEnd"/>
      <w:r>
        <w:rPr>
          <w:rFonts w:ascii="Times New Roman" w:hAnsi="Times New Roman"/>
        </w:rPr>
        <w:t xml:space="preserve"> varētu izvērtēt </w:t>
      </w:r>
      <w:proofErr w:type="spellStart"/>
      <w:r>
        <w:rPr>
          <w:rFonts w:ascii="Times New Roman" w:hAnsi="Times New Roman"/>
          <w:i/>
          <w:iCs/>
        </w:rPr>
        <w:t>GCHQ</w:t>
      </w:r>
      <w:proofErr w:type="spellEnd"/>
      <w:r>
        <w:rPr>
          <w:rFonts w:ascii="Times New Roman" w:hAnsi="Times New Roman"/>
        </w:rPr>
        <w:t xml:space="preserve"> nepubliskotos – atklātajā paskaidrojumu uzklausīšanā kā “zem ūdenslīnijas” raksturotos – iekšējos pasākumus pārtvertā materiāla apstrādei. Pieteikuma iesniedzēji pret to iebilda, apgalvojot, ka slēgtas paskaidrojumu uzklausīšanas rīkošana nav pamatota un ka šo pasākumu neizpaušana viņiem nav taisnīga.</w:t>
      </w:r>
    </w:p>
    <w:p w14:paraId="5EC2EFCC" w14:textId="6FF3F6E0" w:rsidR="000E3283" w:rsidRPr="008D031E" w:rsidRDefault="000E3283" w:rsidP="001F1E46">
      <w:pPr>
        <w:pStyle w:val="JuPara"/>
        <w:widowControl w:val="0"/>
        <w:ind w:firstLine="142"/>
        <w:rPr>
          <w:rFonts w:ascii="Times New Roman" w:hAnsi="Times New Roman"/>
          <w:noProof/>
        </w:rPr>
      </w:pPr>
      <w:r>
        <w:rPr>
          <w:rFonts w:ascii="Times New Roman" w:hAnsi="Times New Roman"/>
        </w:rPr>
        <w:t xml:space="preserve">32. Lūgums rīkot slēgtu paskaidrojumu uzklausīšanu tika apmierināts saskaņā ar </w:t>
      </w:r>
      <w:proofErr w:type="spellStart"/>
      <w:r>
        <w:rPr>
          <w:rFonts w:ascii="Times New Roman" w:hAnsi="Times New Roman"/>
          <w:i/>
          <w:iCs/>
        </w:rPr>
        <w:t>IPT</w:t>
      </w:r>
      <w:proofErr w:type="spellEnd"/>
      <w:r>
        <w:rPr>
          <w:rFonts w:ascii="Times New Roman" w:hAnsi="Times New Roman"/>
        </w:rPr>
        <w:t xml:space="preserve"> Reglamenta 9. pantu (skat. turpmāk 129. punktu). 2014. gada 10. septembrī notika slēgta paskaidrojumu uzklausīšana, kurā </w:t>
      </w:r>
      <w:proofErr w:type="spellStart"/>
      <w:r>
        <w:rPr>
          <w:rFonts w:ascii="Times New Roman" w:hAnsi="Times New Roman"/>
          <w:i/>
          <w:iCs/>
        </w:rPr>
        <w:t>IPT</w:t>
      </w:r>
      <w:proofErr w:type="spellEnd"/>
      <w:r>
        <w:rPr>
          <w:rFonts w:ascii="Times New Roman" w:hAnsi="Times New Roman"/>
        </w:rPr>
        <w:t xml:space="preserve"> “tika atbalstīta, pilnvērtīgi, uztveroši un neitrāli piedaloties .. tiesas padomniekam”, kura uzdevumi bija: i) apzināt dokumentus, to daļas vai galvenos punktus, kas pienācīgi būtu jāizpauž; ii) sniegt argumentus, atbalstot šādu izpaušanu, kas bija prasītāju un atklāta tiesiskuma interesēs, un iii) nodrošināt, ka </w:t>
      </w:r>
      <w:proofErr w:type="spellStart"/>
      <w:r>
        <w:rPr>
          <w:rFonts w:ascii="Times New Roman" w:hAnsi="Times New Roman"/>
          <w:i/>
          <w:iCs/>
        </w:rPr>
        <w:t>IPT</w:t>
      </w:r>
      <w:proofErr w:type="spellEnd"/>
      <w:r>
        <w:rPr>
          <w:rFonts w:ascii="Times New Roman" w:hAnsi="Times New Roman"/>
        </w:rPr>
        <w:t xml:space="preserve"> tiek izvirzīti visi atbilstošie argumenti (no prasītāju </w:t>
      </w:r>
      <w:proofErr w:type="spellStart"/>
      <w:r>
        <w:rPr>
          <w:rFonts w:ascii="Times New Roman" w:hAnsi="Times New Roman"/>
        </w:rPr>
        <w:t>skatpunkta</w:t>
      </w:r>
      <w:proofErr w:type="spellEnd"/>
      <w:r>
        <w:rPr>
          <w:rFonts w:ascii="Times New Roman" w:hAnsi="Times New Roman"/>
        </w:rPr>
        <w:t>) par faktiem un tiesību aktiem.</w:t>
      </w:r>
    </w:p>
    <w:p w14:paraId="77765FB0" w14:textId="26BF2BB1" w:rsidR="000E3283" w:rsidRPr="008D031E" w:rsidRDefault="000E3283" w:rsidP="001F1E46">
      <w:pPr>
        <w:pStyle w:val="JuPara"/>
        <w:widowControl w:val="0"/>
        <w:ind w:firstLine="142"/>
        <w:rPr>
          <w:rFonts w:ascii="Times New Roman" w:hAnsi="Times New Roman"/>
          <w:noProof/>
        </w:rPr>
      </w:pPr>
      <w:bookmarkStart w:id="17" w:name="LibDisc1"/>
      <w:r>
        <w:rPr>
          <w:rFonts w:ascii="Times New Roman" w:hAnsi="Times New Roman"/>
        </w:rPr>
        <w:t>33</w:t>
      </w:r>
      <w:bookmarkEnd w:id="17"/>
      <w:r>
        <w:rPr>
          <w:rFonts w:ascii="Times New Roman" w:hAnsi="Times New Roman"/>
        </w:rPr>
        <w:t xml:space="preserve">. Slēgtajā paskaidrojumu uzklausīšanā </w:t>
      </w:r>
      <w:proofErr w:type="spellStart"/>
      <w:r>
        <w:rPr>
          <w:rFonts w:ascii="Times New Roman" w:hAnsi="Times New Roman"/>
          <w:i/>
          <w:iCs/>
        </w:rPr>
        <w:t>IPT</w:t>
      </w:r>
      <w:proofErr w:type="spellEnd"/>
      <w:r>
        <w:rPr>
          <w:rFonts w:ascii="Times New Roman" w:hAnsi="Times New Roman"/>
        </w:rPr>
        <w:t xml:space="preserve"> izvērtēja iekšējos (“zem ūdenslīnijas” esošos) pasākumus, kas regulē izlūkdienestu rīcību un praksi. 2014. gada 9. oktobrī tā paziņoja pieteikuma iesniedzējiem, ka tās ieskatā zināmu slēgtu materiālu varētu izpaust. Tā paskaidroja, ka tā bija aicinājusi Valdību izpaust materiālu un Valdība tam bija piekritusi. Šis materiāls pieteikuma iesniedzējiem attiecīgi tika sniegts paziņojuma veidā (turpmāk tekstā – “9. oktobra paziņojums”), un lietas dalībnieki tika aicināti izvirzīt </w:t>
      </w:r>
      <w:proofErr w:type="spellStart"/>
      <w:r>
        <w:rPr>
          <w:rFonts w:ascii="Times New Roman" w:hAnsi="Times New Roman"/>
          <w:i/>
          <w:iCs/>
        </w:rPr>
        <w:t>IPT</w:t>
      </w:r>
      <w:proofErr w:type="spellEnd"/>
      <w:r>
        <w:rPr>
          <w:rFonts w:ascii="Times New Roman" w:hAnsi="Times New Roman"/>
        </w:rPr>
        <w:t xml:space="preserve"> argumentus par izpausto materiālu.</w:t>
      </w:r>
    </w:p>
    <w:p w14:paraId="1341E970" w14:textId="2E4EA0F7" w:rsidR="000E3283" w:rsidRPr="008D031E" w:rsidRDefault="000E3283" w:rsidP="001F1E46">
      <w:pPr>
        <w:pStyle w:val="JuPara"/>
        <w:widowControl w:val="0"/>
        <w:ind w:firstLine="142"/>
        <w:rPr>
          <w:rFonts w:ascii="Times New Roman" w:hAnsi="Times New Roman"/>
          <w:noProof/>
        </w:rPr>
      </w:pPr>
      <w:r>
        <w:rPr>
          <w:rFonts w:ascii="Times New Roman" w:hAnsi="Times New Roman"/>
        </w:rPr>
        <w:t xml:space="preserve">34. Pieteikuma iesniedzēji vēlējās iegūt informāciju par paziņojuma kontekstu un avotu, taču </w:t>
      </w:r>
      <w:proofErr w:type="spellStart"/>
      <w:r>
        <w:rPr>
          <w:rFonts w:ascii="Times New Roman" w:hAnsi="Times New Roman"/>
          <w:i/>
          <w:iCs/>
        </w:rPr>
        <w:t>IPT</w:t>
      </w:r>
      <w:proofErr w:type="spellEnd"/>
      <w:r>
        <w:rPr>
          <w:rFonts w:ascii="Times New Roman" w:hAnsi="Times New Roman"/>
        </w:rPr>
        <w:t xml:space="preserve"> atteicās sniegt papildu informāciju. Pieteikuma iesniedzēji izvirzīja rakstveida argumentus par šo paziņojumu.</w:t>
      </w:r>
    </w:p>
    <w:p w14:paraId="62A522F6" w14:textId="338F571C" w:rsidR="000E3283" w:rsidRPr="008D031E" w:rsidRDefault="000E3283" w:rsidP="001F1E46">
      <w:pPr>
        <w:pStyle w:val="JuPara"/>
        <w:widowControl w:val="0"/>
        <w:ind w:firstLine="142"/>
        <w:rPr>
          <w:rFonts w:ascii="Times New Roman" w:hAnsi="Times New Roman"/>
          <w:noProof/>
        </w:rPr>
      </w:pPr>
      <w:r>
        <w:rPr>
          <w:rFonts w:ascii="Times New Roman" w:hAnsi="Times New Roman"/>
        </w:rPr>
        <w:t>35. Atbildētāji pēc tam grozīja un izvērsa izpausto materiālu.</w:t>
      </w:r>
    </w:p>
    <w:p w14:paraId="743B16D3" w14:textId="465F0E85" w:rsidR="000E3283" w:rsidRDefault="000E3283" w:rsidP="001F1E46">
      <w:pPr>
        <w:pStyle w:val="JuPara"/>
        <w:widowControl w:val="0"/>
        <w:ind w:firstLine="142"/>
        <w:rPr>
          <w:rFonts w:ascii="Times New Roman" w:hAnsi="Times New Roman"/>
          <w:noProof/>
        </w:rPr>
      </w:pPr>
      <w:bookmarkStart w:id="18" w:name="LibDisc2"/>
      <w:r>
        <w:rPr>
          <w:rFonts w:ascii="Times New Roman" w:hAnsi="Times New Roman"/>
        </w:rPr>
        <w:t>36</w:t>
      </w:r>
      <w:bookmarkEnd w:id="18"/>
      <w:r>
        <w:rPr>
          <w:rFonts w:ascii="Times New Roman" w:hAnsi="Times New Roman"/>
        </w:rPr>
        <w:t>. Pēc galīgo paziņojumu sniegšanas 2014. gada 12. novembrī 9. oktobra paziņojumā bija norādīts:</w:t>
      </w:r>
    </w:p>
    <w:p w14:paraId="2B93976E" w14:textId="77777777" w:rsidR="00D50E80" w:rsidRPr="008D031E" w:rsidRDefault="00D50E80" w:rsidP="001F1E46">
      <w:pPr>
        <w:pStyle w:val="JuPara"/>
        <w:widowControl w:val="0"/>
        <w:ind w:firstLine="142"/>
        <w:rPr>
          <w:rFonts w:ascii="Times New Roman" w:hAnsi="Times New Roman"/>
          <w:noProof/>
          <w:lang w:val="en-US"/>
        </w:rPr>
      </w:pPr>
    </w:p>
    <w:p w14:paraId="19E7863B" w14:textId="77777777"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“ASV valdība ir publiski atzinusi, ka sistēma “</w:t>
      </w:r>
      <w:proofErr w:type="spellStart"/>
      <w:r>
        <w:rPr>
          <w:rFonts w:ascii="Times New Roman" w:hAnsi="Times New Roman"/>
          <w:sz w:val="24"/>
        </w:rPr>
        <w:t>Prism</w:t>
      </w:r>
      <w:proofErr w:type="spellEnd"/>
      <w:r>
        <w:rPr>
          <w:rFonts w:ascii="Times New Roman" w:hAnsi="Times New Roman"/>
          <w:sz w:val="24"/>
        </w:rPr>
        <w:t>” un programma “</w:t>
      </w:r>
      <w:proofErr w:type="spellStart"/>
      <w:r>
        <w:rPr>
          <w:rFonts w:ascii="Times New Roman" w:hAnsi="Times New Roman"/>
          <w:sz w:val="24"/>
        </w:rPr>
        <w:t>Upstream</w:t>
      </w:r>
      <w:proofErr w:type="spellEnd"/>
      <w:r>
        <w:rPr>
          <w:rFonts w:ascii="Times New Roman" w:hAnsi="Times New Roman"/>
          <w:sz w:val="24"/>
        </w:rPr>
        <w:t xml:space="preserve">” .. ļauj iegūt saziņu saturu ar, no vai par konkrētiem selektoriem, kas saistīti ar personām, kuras nav ASV pilsoņi un attiecībā par kurām ir pamats uzskatīt, ka tās atrodas ārpus Amerikas Savienotajām Valstīm, lai iegūtu ārvalsts </w:t>
      </w:r>
      <w:proofErr w:type="spellStart"/>
      <w:r>
        <w:rPr>
          <w:rFonts w:ascii="Times New Roman" w:hAnsi="Times New Roman"/>
          <w:sz w:val="24"/>
        </w:rPr>
        <w:t>izlūkdatus</w:t>
      </w:r>
      <w:proofErr w:type="spellEnd"/>
      <w:r>
        <w:rPr>
          <w:rFonts w:ascii="Times New Roman" w:hAnsi="Times New Roman"/>
          <w:sz w:val="24"/>
        </w:rPr>
        <w:t>. Ciktāl ASV valdība ļauj izlūkdienestiem pieprasīt materiālu, kas iegūts, izmantojot sistēmu “</w:t>
      </w:r>
      <w:proofErr w:type="spellStart"/>
      <w:r>
        <w:rPr>
          <w:rFonts w:ascii="Times New Roman" w:hAnsi="Times New Roman"/>
          <w:sz w:val="24"/>
        </w:rPr>
        <w:t>Prism</w:t>
      </w:r>
      <w:proofErr w:type="spellEnd"/>
      <w:r>
        <w:rPr>
          <w:rFonts w:ascii="Times New Roman" w:hAnsi="Times New Roman"/>
          <w:sz w:val="24"/>
        </w:rPr>
        <w:t>” (un/vai .. atbilstoši programmai “</w:t>
      </w:r>
      <w:proofErr w:type="spellStart"/>
      <w:r>
        <w:rPr>
          <w:rFonts w:ascii="Times New Roman" w:hAnsi="Times New Roman"/>
          <w:sz w:val="24"/>
        </w:rPr>
        <w:t>Upstream</w:t>
      </w:r>
      <w:proofErr w:type="spellEnd"/>
      <w:r>
        <w:rPr>
          <w:rFonts w:ascii="Times New Roman" w:hAnsi="Times New Roman"/>
          <w:sz w:val="24"/>
        </w:rPr>
        <w:t>”), šādus pieprasījumus var iesniegt vienīgi attiecībā uz neanalizētiem pārtvertiem sakariem (un saistītajiem sakaru datiem), kas iegūti šādā veidā.</w:t>
      </w:r>
    </w:p>
    <w:p w14:paraId="7F2F9869" w14:textId="77777777" w:rsidR="00D50E80" w:rsidRPr="008D031E" w:rsidRDefault="00D50E80" w:rsidP="001F1E46">
      <w:pPr>
        <w:pStyle w:val="JuQuot"/>
        <w:widowControl w:val="0"/>
        <w:spacing w:before="0" w:after="0"/>
        <w:ind w:left="284"/>
        <w:rPr>
          <w:rFonts w:ascii="Times New Roman" w:hAnsi="Times New Roman"/>
          <w:noProof/>
          <w:sz w:val="24"/>
          <w:lang w:val="en-US"/>
        </w:rPr>
      </w:pPr>
    </w:p>
    <w:p w14:paraId="6215365C" w14:textId="51B731B9"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1. Šādu pieprasījumu attiecībā uz neanalizētiem pārtvertiem sakariem (un saistītajiem sakaru datiem), izņemot saskaņā ar kādu starptautisku savstarpējās tiesiskās palīdzības līgumu, izlūkdienesti var iesniegt ārpus Apvienotās Karalistes esošas valsts vai teritorijas valdībai vienīgi tad, ja:</w:t>
      </w:r>
    </w:p>
    <w:p w14:paraId="218FBA7E" w14:textId="77777777" w:rsidR="00D50E80" w:rsidRPr="008D031E" w:rsidRDefault="00D50E80" w:rsidP="001F1E46">
      <w:pPr>
        <w:pStyle w:val="JuQuot"/>
        <w:widowControl w:val="0"/>
        <w:spacing w:before="0" w:after="0"/>
        <w:ind w:left="284" w:firstLine="0"/>
        <w:rPr>
          <w:rFonts w:ascii="Times New Roman" w:hAnsi="Times New Roman"/>
          <w:noProof/>
          <w:sz w:val="24"/>
          <w:lang w:val="en-US"/>
        </w:rPr>
      </w:pPr>
    </w:p>
    <w:p w14:paraId="62D358B6" w14:textId="5FE89D05" w:rsidR="000E3283" w:rsidRDefault="008145E7" w:rsidP="001F1E46">
      <w:pPr>
        <w:pStyle w:val="JuQuot"/>
        <w:widowControl w:val="0"/>
        <w:spacing w:before="0" w:after="0"/>
        <w:ind w:left="567" w:firstLine="0"/>
        <w:rPr>
          <w:rFonts w:ascii="Times New Roman" w:hAnsi="Times New Roman"/>
          <w:noProof/>
          <w:sz w:val="24"/>
        </w:rPr>
      </w:pPr>
      <w:r>
        <w:rPr>
          <w:rFonts w:ascii="Times New Roman" w:hAnsi="Times New Roman"/>
          <w:sz w:val="24"/>
        </w:rPr>
        <w:t>a) valsts sekretārs saskaņā ar [</w:t>
      </w:r>
      <w:r>
        <w:rPr>
          <w:rFonts w:ascii="Times New Roman" w:hAnsi="Times New Roman"/>
          <w:i/>
          <w:iCs/>
          <w:sz w:val="24"/>
        </w:rPr>
        <w:t>RIPA</w:t>
      </w:r>
      <w:r>
        <w:rPr>
          <w:rFonts w:ascii="Times New Roman" w:hAnsi="Times New Roman"/>
          <w:sz w:val="24"/>
        </w:rPr>
        <w:t xml:space="preserve">] jau ir izdevis attiecīgo orderi par pārtveršanu, attiecīgo sakaru iegūšanai ir nepieciešama ārvalsts valdības palīdzība, jo tos nav </w:t>
      </w:r>
      <w:r>
        <w:rPr>
          <w:rFonts w:ascii="Times New Roman" w:hAnsi="Times New Roman"/>
          <w:sz w:val="24"/>
        </w:rPr>
        <w:lastRenderedPageBreak/>
        <w:t xml:space="preserve">iespējams iegūt saskaņā ar attiecīgo </w:t>
      </w:r>
      <w:r>
        <w:rPr>
          <w:rFonts w:ascii="Times New Roman" w:hAnsi="Times New Roman"/>
          <w:i/>
          <w:iCs/>
          <w:sz w:val="24"/>
        </w:rPr>
        <w:t>RIPA</w:t>
      </w:r>
      <w:r>
        <w:rPr>
          <w:rFonts w:ascii="Times New Roman" w:hAnsi="Times New Roman"/>
          <w:sz w:val="24"/>
        </w:rPr>
        <w:t xml:space="preserve"> noteikto orderi par pārtveršanu, šo sakaru iegūšana izlūkdienestu ieskatā ir nepieciešama un samērīga vai</w:t>
      </w:r>
    </w:p>
    <w:p w14:paraId="65118ECE" w14:textId="77777777" w:rsidR="00D50E80" w:rsidRPr="008D031E" w:rsidRDefault="00D50E80" w:rsidP="001F1E46">
      <w:pPr>
        <w:pStyle w:val="JuQuot"/>
        <w:widowControl w:val="0"/>
        <w:spacing w:before="0" w:after="0"/>
        <w:ind w:left="567" w:firstLine="0"/>
        <w:rPr>
          <w:rFonts w:ascii="Times New Roman" w:hAnsi="Times New Roman"/>
          <w:noProof/>
          <w:sz w:val="24"/>
          <w:lang w:val="en-US"/>
        </w:rPr>
      </w:pPr>
    </w:p>
    <w:p w14:paraId="60FF3088" w14:textId="260AE8FF" w:rsidR="000E3283" w:rsidRDefault="008145E7" w:rsidP="001F1E46">
      <w:pPr>
        <w:pStyle w:val="JuQuot"/>
        <w:widowControl w:val="0"/>
        <w:spacing w:before="0" w:after="0"/>
        <w:ind w:left="567" w:firstLine="0"/>
        <w:rPr>
          <w:rFonts w:ascii="Times New Roman" w:hAnsi="Times New Roman"/>
          <w:noProof/>
          <w:sz w:val="24"/>
        </w:rPr>
      </w:pPr>
      <w:r>
        <w:rPr>
          <w:rFonts w:ascii="Times New Roman" w:hAnsi="Times New Roman"/>
          <w:sz w:val="24"/>
        </w:rPr>
        <w:t xml:space="preserve">b) pieprasījuma iesniegšana par attiecīgajiem sakariem, ja nav saņemts attiecīgais </w:t>
      </w:r>
      <w:r>
        <w:rPr>
          <w:rFonts w:ascii="Times New Roman" w:hAnsi="Times New Roman"/>
          <w:i/>
          <w:iCs/>
          <w:sz w:val="24"/>
        </w:rPr>
        <w:t>RIPA</w:t>
      </w:r>
      <w:r>
        <w:rPr>
          <w:rFonts w:ascii="Times New Roman" w:hAnsi="Times New Roman"/>
          <w:sz w:val="24"/>
        </w:rPr>
        <w:t xml:space="preserve"> noteiktais orderis par pārtveršanu, nav uzskatāma par apzinātu </w:t>
      </w:r>
      <w:r>
        <w:rPr>
          <w:rFonts w:ascii="Times New Roman" w:hAnsi="Times New Roman"/>
          <w:i/>
          <w:iCs/>
          <w:sz w:val="24"/>
        </w:rPr>
        <w:t>RIPA</w:t>
      </w:r>
      <w:r>
        <w:rPr>
          <w:rFonts w:ascii="Times New Roman" w:hAnsi="Times New Roman"/>
          <w:sz w:val="24"/>
        </w:rPr>
        <w:t xml:space="preserve"> apiešanu vai citādi nav pretrunā ar principiem, kas noteikti spriedumā lietā ““</w:t>
      </w:r>
      <w:proofErr w:type="spellStart"/>
      <w:r>
        <w:rPr>
          <w:rFonts w:ascii="Times New Roman" w:hAnsi="Times New Roman"/>
          <w:sz w:val="24"/>
        </w:rPr>
        <w:t>Padfield</w:t>
      </w:r>
      <w:proofErr w:type="spellEnd"/>
      <w:r>
        <w:rPr>
          <w:rFonts w:ascii="Times New Roman" w:hAnsi="Times New Roman"/>
          <w:sz w:val="24"/>
        </w:rPr>
        <w:t xml:space="preserve">” pret lauksaimniecības, zivsaimniecības un pārtikas ministru” [1968] </w:t>
      </w:r>
      <w:proofErr w:type="spellStart"/>
      <w:r>
        <w:rPr>
          <w:rFonts w:ascii="Times New Roman" w:hAnsi="Times New Roman"/>
          <w:sz w:val="24"/>
        </w:rPr>
        <w:t>AC</w:t>
      </w:r>
      <w:proofErr w:type="spellEnd"/>
      <w:r>
        <w:rPr>
          <w:rFonts w:ascii="Times New Roman" w:hAnsi="Times New Roman"/>
          <w:sz w:val="24"/>
        </w:rPr>
        <w:t xml:space="preserve"> 997 [par to, ka publisko tiesību subjektam ir jāīsteno sava rīcības brīvība, lai sekmētu (nevis apietu) politiku un tā tiesiskā regulējuma mērķus, ar kuriem šī rīcības brīvība tika noteikta] (piemēram, tādēļ, ka sakaru iegūšana saskaņā ar </w:t>
      </w:r>
      <w:r>
        <w:rPr>
          <w:rFonts w:ascii="Times New Roman" w:hAnsi="Times New Roman"/>
          <w:i/>
          <w:iCs/>
          <w:sz w:val="24"/>
        </w:rPr>
        <w:t>RIPA</w:t>
      </w:r>
      <w:r>
        <w:rPr>
          <w:rFonts w:ascii="Times New Roman" w:hAnsi="Times New Roman"/>
          <w:sz w:val="24"/>
        </w:rPr>
        <w:t xml:space="preserve"> noteikumiem par pārtveršanu tehniski nav iespējama), un šo sakaru iegūšana izlūkdienestu ieskatā ir nepieciešama un samērīga. Šajos apstākļos valsts sekretāram personīgi jāizvērtē jautājums par šāda pieprasījuma iesniegšanu un jāpieņem attiecīgais lēmums. Šāds pieprasījums būtu iesniedzams vienīgi izņēmuma gadījumā, kas šā paziņojuma sagatavošanas dienā nav noticis.</w:t>
      </w:r>
    </w:p>
    <w:p w14:paraId="3ADFEA0B" w14:textId="77777777" w:rsidR="00D50E80" w:rsidRPr="008D031E" w:rsidRDefault="00D50E80" w:rsidP="001F1E46">
      <w:pPr>
        <w:pStyle w:val="JuQuot"/>
        <w:widowControl w:val="0"/>
        <w:spacing w:before="0" w:after="0"/>
        <w:ind w:left="284" w:firstLine="0"/>
        <w:rPr>
          <w:rFonts w:ascii="Times New Roman" w:hAnsi="Times New Roman"/>
          <w:noProof/>
          <w:sz w:val="24"/>
          <w:lang w:val="en-US"/>
        </w:rPr>
      </w:pPr>
    </w:p>
    <w:p w14:paraId="38F5B942" w14:textId="77777777"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w:t>
      </w:r>
    </w:p>
    <w:p w14:paraId="37852D46" w14:textId="77777777" w:rsidR="00D50E80" w:rsidRPr="008D031E" w:rsidRDefault="00D50E80" w:rsidP="001F1E46">
      <w:pPr>
        <w:pStyle w:val="JuQuot"/>
        <w:widowControl w:val="0"/>
        <w:spacing w:before="0" w:after="0"/>
        <w:ind w:left="0"/>
        <w:rPr>
          <w:rFonts w:ascii="Times New Roman" w:hAnsi="Times New Roman"/>
          <w:noProof/>
          <w:sz w:val="24"/>
          <w:lang w:val="en-US"/>
        </w:rPr>
      </w:pPr>
    </w:p>
    <w:p w14:paraId="45D0E960" w14:textId="78525EFD"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2. Ja izlūkdienesti saņem pārtvertu sakaru saturu vai sakaru datus no kādas ārpus Apvienotās Karalistes esošas valsts vai teritorijas valdības neatkarīgi no tā, vai tas tiek vai netiek pieprasīts, saturs ir vai nav analizēts vai arī sakaru dati ir vai nav saistīti ar sakaru saturu, uz sakaru saturu un datiem saskaņā ar iekšējiem “pasākumiem” ir piemērojami tādi paši iekšējie noteikumi un drošības pasākumi kā tad, ja izlūkdienesti tos iegūst tieši, tos pārtverot saskaņā ar </w:t>
      </w:r>
      <w:r>
        <w:rPr>
          <w:rFonts w:ascii="Times New Roman" w:hAnsi="Times New Roman"/>
          <w:i/>
          <w:iCs/>
          <w:sz w:val="24"/>
        </w:rPr>
        <w:t>RIPA</w:t>
      </w:r>
      <w:r>
        <w:rPr>
          <w:rFonts w:ascii="Times New Roman" w:hAnsi="Times New Roman"/>
          <w:sz w:val="24"/>
        </w:rPr>
        <w:t>.</w:t>
      </w:r>
    </w:p>
    <w:p w14:paraId="538C289E" w14:textId="77777777" w:rsidR="008B64AE" w:rsidRPr="008D031E" w:rsidRDefault="008B64AE" w:rsidP="001F1E46">
      <w:pPr>
        <w:pStyle w:val="JuQuot"/>
        <w:widowControl w:val="0"/>
        <w:spacing w:before="0" w:after="0"/>
        <w:ind w:left="284"/>
        <w:rPr>
          <w:rFonts w:ascii="Times New Roman" w:hAnsi="Times New Roman"/>
          <w:noProof/>
          <w:sz w:val="24"/>
          <w:lang w:val="en-US"/>
        </w:rPr>
      </w:pPr>
    </w:p>
    <w:p w14:paraId="7A95DDE4" w14:textId="76946C50"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3. Izlūkdienesti, kuri saņem neanalizētu pārtvertu materiālu un saistītos sakaru datus, veicot pārtveršanu saskaņā ar 8. panta 4. punktā noteikto orderi, īsteno iekšējus “pasākumus”, attiecībā uz ko ir jāizveido ieraksts, kurā jāpaskaidro, kādēļ nepieciešams piekļūt neanalizētajam pārtvertajam materiālam, pirms tam var piekļūt kāda pilnvarota persona saskaņā ar </w:t>
      </w:r>
      <w:r>
        <w:rPr>
          <w:rFonts w:ascii="Times New Roman" w:hAnsi="Times New Roman"/>
          <w:i/>
          <w:iCs/>
          <w:sz w:val="24"/>
        </w:rPr>
        <w:t>RIPA</w:t>
      </w:r>
      <w:r>
        <w:rPr>
          <w:rFonts w:ascii="Times New Roman" w:hAnsi="Times New Roman"/>
          <w:sz w:val="24"/>
        </w:rPr>
        <w:t xml:space="preserve"> 16. pantu.</w:t>
      </w:r>
    </w:p>
    <w:p w14:paraId="56B7414A" w14:textId="77777777" w:rsidR="008B64AE" w:rsidRPr="008D031E" w:rsidRDefault="008B64AE" w:rsidP="001F1E46">
      <w:pPr>
        <w:pStyle w:val="JuQuot"/>
        <w:widowControl w:val="0"/>
        <w:spacing w:before="0" w:after="0"/>
        <w:ind w:left="284"/>
        <w:rPr>
          <w:rFonts w:ascii="Times New Roman" w:hAnsi="Times New Roman"/>
          <w:noProof/>
          <w:sz w:val="24"/>
          <w:lang w:val="en-US"/>
        </w:rPr>
      </w:pPr>
    </w:p>
    <w:p w14:paraId="626E61BF" w14:textId="6882741B"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4. Iekšējie “pasākumi”, ko īsteno izlūkdienesti, kuri saņem neanalizētu pārtvertu materiālu un saistītos sakaru datus, veicot pārtveršanu saskaņā ar 8. panta 4. punktā noteikto orderi, paredz (vai atkarībā no attiecīgās sistēmas uzliek par pienākumu noteikt) maksimālos saglabāšanas periodus dažādām šādu datu kategorijām, kas norāda uz attiecīgo datu raksturīgajām iezīmēm un iejaukšanās pakāpi. Šādi paredzēti (vai noteikti) laika periodi parasti nepārsniedz 2 gadus un konkrētos gadījumos ir ievērojami īsāki (izlūkošanas ziņojumus, kas balstīti uz šiem datiem, uzskata par atsevišķu kategoriju un saglabā ilgāk). Datus var saglabāt ilgāk par piemērojamo maksimālo saglabāšanas periodu, ja iepriekš no attiecīgā izlūkdienesta vecākās amatpersonas ir saņemta atļauja, pamatojoties uz to, ka konkrēto datu turpmāka saglabāšana ir tikusi atzīta par nepieciešamu un samērīgu (ja pēc tam tiek atzīts, ka šo datu turpmāka saglabāšana vairs neatbilst nepieciešamības un samērīguma pārbaudēm, tie tiek dzēsti). Ciktāl tas iespējams, visu saglabāšanas periodu pamatā ir automātiskas dzēšanas process, kas tiek uzsākts, tiklīdz ir apritējis attiecīgajiem datiem piemērojamais maksimālais saglabāšanas periods. Maksimālos saglabāšanas periodus pārrauga un saskaņo komisārs. Konkrēti attiecībā uz saistītajiem sakaru datiem sers Entonijs </w:t>
      </w:r>
      <w:proofErr w:type="spellStart"/>
      <w:r>
        <w:rPr>
          <w:rFonts w:ascii="Times New Roman" w:hAnsi="Times New Roman"/>
          <w:sz w:val="24"/>
        </w:rPr>
        <w:t>Mejs</w:t>
      </w:r>
      <w:proofErr w:type="spellEnd"/>
      <w:r>
        <w:rPr>
          <w:rFonts w:ascii="Times New Roman" w:hAnsi="Times New Roman"/>
          <w:sz w:val="24"/>
        </w:rPr>
        <w:t xml:space="preserve"> [</w:t>
      </w:r>
      <w:proofErr w:type="spellStart"/>
      <w:r>
        <w:rPr>
          <w:rFonts w:ascii="Times New Roman" w:hAnsi="Times New Roman"/>
          <w:i/>
          <w:iCs/>
          <w:sz w:val="24"/>
        </w:rPr>
        <w:t>Anthony</w:t>
      </w:r>
      <w:proofErr w:type="spellEnd"/>
      <w:r>
        <w:rPr>
          <w:rFonts w:ascii="Times New Roman" w:hAnsi="Times New Roman"/>
          <w:i/>
          <w:iCs/>
          <w:sz w:val="24"/>
        </w:rPr>
        <w:t xml:space="preserve"> </w:t>
      </w:r>
      <w:proofErr w:type="spellStart"/>
      <w:r>
        <w:rPr>
          <w:rFonts w:ascii="Times New Roman" w:hAnsi="Times New Roman"/>
          <w:i/>
          <w:iCs/>
          <w:sz w:val="24"/>
        </w:rPr>
        <w:t>May</w:t>
      </w:r>
      <w:proofErr w:type="spellEnd"/>
      <w:r>
        <w:rPr>
          <w:rFonts w:ascii="Times New Roman" w:hAnsi="Times New Roman"/>
          <w:sz w:val="24"/>
        </w:rPr>
        <w:t>] sniedza ieteikumu tiem izlūkdienestiem, kuri saņem neanalizētu pārtvertu materiālu un saistītos sakaru datus, veicot pārtveršanu saskaņā ar 8. panta 4. punktā noteikto orderi, un pagaidu komisārs (sers Pols Kenedijs [</w:t>
      </w:r>
      <w:r>
        <w:rPr>
          <w:rFonts w:ascii="Times New Roman" w:hAnsi="Times New Roman"/>
          <w:i/>
          <w:iCs/>
          <w:sz w:val="24"/>
        </w:rPr>
        <w:t xml:space="preserve">Paul </w:t>
      </w:r>
      <w:proofErr w:type="spellStart"/>
      <w:r>
        <w:rPr>
          <w:rFonts w:ascii="Times New Roman" w:hAnsi="Times New Roman"/>
          <w:i/>
          <w:iCs/>
          <w:sz w:val="24"/>
        </w:rPr>
        <w:t>Kennedy</w:t>
      </w:r>
      <w:proofErr w:type="spellEnd"/>
      <w:r>
        <w:rPr>
          <w:rFonts w:ascii="Times New Roman" w:hAnsi="Times New Roman"/>
          <w:sz w:val="24"/>
        </w:rPr>
        <w:t>]) nesen ir paudis apmierinātību ar šā ieteikuma īstenošanu.</w:t>
      </w:r>
    </w:p>
    <w:p w14:paraId="4F63F96D" w14:textId="77777777" w:rsidR="008B64AE" w:rsidRPr="008D031E" w:rsidRDefault="008B64AE" w:rsidP="001F1E46">
      <w:pPr>
        <w:pStyle w:val="JuQuot"/>
        <w:widowControl w:val="0"/>
        <w:spacing w:before="0" w:after="0"/>
        <w:ind w:left="284"/>
        <w:rPr>
          <w:rFonts w:ascii="Times New Roman" w:hAnsi="Times New Roman"/>
          <w:noProof/>
          <w:sz w:val="24"/>
          <w:lang w:val="en-US"/>
        </w:rPr>
      </w:pPr>
    </w:p>
    <w:p w14:paraId="3FA8C835" w14:textId="5CDF10E6"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5. Izlūkdienestu iekšējie “pasākumi” saskaņā ar [1989. gada Drošības dienestu likumu], [1994. gada Izlūkdienestu likumu] un </w:t>
      </w:r>
      <w:r>
        <w:rPr>
          <w:rFonts w:ascii="Times New Roman" w:hAnsi="Times New Roman"/>
          <w:i/>
          <w:iCs/>
          <w:sz w:val="24"/>
        </w:rPr>
        <w:t>RIPA</w:t>
      </w:r>
      <w:r>
        <w:rPr>
          <w:rFonts w:ascii="Times New Roman" w:hAnsi="Times New Roman"/>
          <w:sz w:val="24"/>
        </w:rPr>
        <w:t xml:space="preserve"> 15.–16. pantu tiek periodiski pārskatīti, lai nodrošinātu to aktualitāti un efektivitāti. Turklāt izlūkdienesti turpmāk šādas periodiskās pārskatīšanas laikā apņemas izvērtēt, vai vairākus šos iekšējos pasākumus varētu droši un lietderīgi nodot atklātībā (piemēram, iekļaujot attiecīgajā, likumā noteiktajā prakses kodeksā).”</w:t>
      </w:r>
    </w:p>
    <w:p w14:paraId="174ABF9E" w14:textId="77777777" w:rsidR="008B64AE" w:rsidRPr="008D031E" w:rsidRDefault="008B64AE" w:rsidP="001F1E46">
      <w:pPr>
        <w:pStyle w:val="JuQuot"/>
        <w:widowControl w:val="0"/>
        <w:spacing w:before="0" w:after="0"/>
        <w:ind w:left="284" w:firstLine="0"/>
        <w:rPr>
          <w:rFonts w:ascii="Times New Roman" w:hAnsi="Times New Roman"/>
          <w:noProof/>
          <w:sz w:val="24"/>
          <w:lang w:val="en-US"/>
        </w:rPr>
      </w:pPr>
    </w:p>
    <w:p w14:paraId="491581B4" w14:textId="4F0BF4C3" w:rsidR="000E3283" w:rsidRDefault="00B81BB7" w:rsidP="001F1E46">
      <w:pPr>
        <w:pStyle w:val="JuHA"/>
        <w:keepNext w:val="0"/>
        <w:keepLines w:val="0"/>
        <w:widowControl w:val="0"/>
        <w:numPr>
          <w:ilvl w:val="0"/>
          <w:numId w:val="0"/>
        </w:numPr>
        <w:spacing w:before="0" w:beforeAutospacing="0" w:after="0"/>
        <w:outlineLvl w:val="9"/>
        <w:rPr>
          <w:rFonts w:ascii="Times New Roman" w:hAnsi="Times New Roman"/>
          <w:noProof/>
        </w:rPr>
      </w:pPr>
      <w:bookmarkStart w:id="19" w:name="_Toc516820712"/>
      <w:r>
        <w:rPr>
          <w:rFonts w:ascii="Times New Roman" w:hAnsi="Times New Roman"/>
        </w:rPr>
        <w:t xml:space="preserve">B. </w:t>
      </w:r>
      <w:proofErr w:type="spellStart"/>
      <w:r>
        <w:rPr>
          <w:rFonts w:ascii="Times New Roman" w:hAnsi="Times New Roman"/>
          <w:i/>
          <w:iCs/>
        </w:rPr>
        <w:t>IPT</w:t>
      </w:r>
      <w:proofErr w:type="spellEnd"/>
      <w:r>
        <w:rPr>
          <w:rFonts w:ascii="Times New Roman" w:hAnsi="Times New Roman"/>
        </w:rPr>
        <w:t xml:space="preserve"> pirmais 2014. gada 5. decembrī pasludinātais spriedums</w:t>
      </w:r>
      <w:bookmarkEnd w:id="19"/>
    </w:p>
    <w:p w14:paraId="2A53E3D9" w14:textId="77777777" w:rsidR="00B81BB7" w:rsidRPr="00B81BB7" w:rsidRDefault="00B81BB7" w:rsidP="001F1E46">
      <w:pPr>
        <w:pStyle w:val="JuPara"/>
        <w:widowControl w:val="0"/>
        <w:rPr>
          <w:lang w:val="en-US"/>
        </w:rPr>
      </w:pPr>
    </w:p>
    <w:p w14:paraId="591DB82C" w14:textId="684B2B57" w:rsidR="000E3283" w:rsidRDefault="000E3283" w:rsidP="001F1E46">
      <w:pPr>
        <w:pStyle w:val="JuPara"/>
        <w:widowControl w:val="0"/>
        <w:ind w:firstLine="142"/>
        <w:rPr>
          <w:rFonts w:ascii="Times New Roman" w:hAnsi="Times New Roman"/>
          <w:noProof/>
        </w:rPr>
      </w:pPr>
      <w:r>
        <w:rPr>
          <w:rFonts w:ascii="Times New Roman" w:hAnsi="Times New Roman"/>
        </w:rPr>
        <w:t xml:space="preserve">37. </w:t>
      </w:r>
      <w:proofErr w:type="spellStart"/>
      <w:r>
        <w:rPr>
          <w:rFonts w:ascii="Times New Roman" w:hAnsi="Times New Roman"/>
          <w:i/>
          <w:iCs/>
        </w:rPr>
        <w:t>IPT</w:t>
      </w:r>
      <w:proofErr w:type="spellEnd"/>
      <w:r>
        <w:rPr>
          <w:rFonts w:ascii="Times New Roman" w:hAnsi="Times New Roman"/>
        </w:rPr>
        <w:t xml:space="preserve"> pasludināja savu pirmo spriedumu 2014. gada 5. decembrī. Spriedums attiecās uz tobrīd ieviestajiem pasākumiem sakaru pārtveršanai un ārvalsts izlūkdienestu pārtverto sakaru saņemšanai.</w:t>
      </w:r>
    </w:p>
    <w:p w14:paraId="397AEDAA" w14:textId="77777777" w:rsidR="00B81BB7" w:rsidRPr="008D031E" w:rsidRDefault="00B81BB7" w:rsidP="001F1E46">
      <w:pPr>
        <w:pStyle w:val="JuPara"/>
        <w:widowControl w:val="0"/>
        <w:ind w:firstLine="0"/>
        <w:rPr>
          <w:rFonts w:ascii="Times New Roman" w:hAnsi="Times New Roman"/>
          <w:noProof/>
          <w:lang w:val="en-US"/>
        </w:rPr>
      </w:pPr>
    </w:p>
    <w:p w14:paraId="642F4B65" w14:textId="188EE756" w:rsidR="000E3283" w:rsidRDefault="00B81BB7" w:rsidP="001F1E46">
      <w:pPr>
        <w:pStyle w:val="JuH1"/>
        <w:keepNext w:val="0"/>
        <w:keepLines w:val="0"/>
        <w:widowControl w:val="0"/>
        <w:numPr>
          <w:ilvl w:val="0"/>
          <w:numId w:val="0"/>
        </w:numPr>
        <w:spacing w:before="0" w:beforeAutospacing="0" w:after="0"/>
        <w:outlineLvl w:val="9"/>
        <w:rPr>
          <w:rFonts w:ascii="Times New Roman" w:hAnsi="Times New Roman"/>
          <w:noProof/>
        </w:rPr>
      </w:pPr>
      <w:bookmarkStart w:id="20" w:name="_Toc516820713"/>
      <w:r>
        <w:rPr>
          <w:rFonts w:ascii="Times New Roman" w:hAnsi="Times New Roman"/>
        </w:rPr>
        <w:t>1. Jautājums par “</w:t>
      </w:r>
      <w:proofErr w:type="spellStart"/>
      <w:r>
        <w:rPr>
          <w:rFonts w:ascii="Times New Roman" w:hAnsi="Times New Roman"/>
        </w:rPr>
        <w:t>PRISM</w:t>
      </w:r>
      <w:proofErr w:type="spellEnd"/>
      <w:r>
        <w:rPr>
          <w:rFonts w:ascii="Times New Roman" w:hAnsi="Times New Roman"/>
        </w:rPr>
        <w:t>”</w:t>
      </w:r>
      <w:bookmarkEnd w:id="20"/>
    </w:p>
    <w:p w14:paraId="5B9495A3" w14:textId="77777777" w:rsidR="00B81BB7" w:rsidRPr="00B81BB7" w:rsidRDefault="00B81BB7" w:rsidP="001F1E46">
      <w:pPr>
        <w:pStyle w:val="JuPara"/>
        <w:widowControl w:val="0"/>
        <w:rPr>
          <w:lang w:val="en-US"/>
        </w:rPr>
      </w:pPr>
    </w:p>
    <w:p w14:paraId="056C529D" w14:textId="6B3C6E8D" w:rsidR="000E3283" w:rsidRPr="008D031E" w:rsidRDefault="000E3283" w:rsidP="001F1E46">
      <w:pPr>
        <w:pStyle w:val="JuPara"/>
        <w:widowControl w:val="0"/>
        <w:ind w:firstLine="142"/>
        <w:rPr>
          <w:rFonts w:ascii="Times New Roman" w:hAnsi="Times New Roman"/>
          <w:noProof/>
        </w:rPr>
      </w:pPr>
      <w:bookmarkStart w:id="21" w:name="IPTPRISMStart"/>
      <w:r>
        <w:rPr>
          <w:rFonts w:ascii="Times New Roman" w:hAnsi="Times New Roman"/>
        </w:rPr>
        <w:t>38</w:t>
      </w:r>
      <w:bookmarkEnd w:id="21"/>
      <w:r>
        <w:rPr>
          <w:rFonts w:ascii="Times New Roman" w:hAnsi="Times New Roman"/>
        </w:rPr>
        <w:t xml:space="preserve">. </w:t>
      </w:r>
      <w:proofErr w:type="spellStart"/>
      <w:r>
        <w:rPr>
          <w:rFonts w:ascii="Times New Roman" w:hAnsi="Times New Roman"/>
          <w:i/>
          <w:iCs/>
        </w:rPr>
        <w:t>IPT</w:t>
      </w:r>
      <w:proofErr w:type="spellEnd"/>
      <w:r>
        <w:rPr>
          <w:rFonts w:ascii="Times New Roman" w:hAnsi="Times New Roman"/>
        </w:rPr>
        <w:t xml:space="preserve"> atzina, ka jautājums par “</w:t>
      </w:r>
      <w:proofErr w:type="spellStart"/>
      <w:r>
        <w:rPr>
          <w:rFonts w:ascii="Times New Roman" w:hAnsi="Times New Roman"/>
        </w:rPr>
        <w:t>PRISM</w:t>
      </w:r>
      <w:proofErr w:type="spellEnd"/>
      <w:r>
        <w:rPr>
          <w:rFonts w:ascii="Times New Roman" w:hAnsi="Times New Roman"/>
        </w:rPr>
        <w:t>” skar Konvencijas 8. pantu, lai gan “zemākā līmenī” nekā režīms, kas tika aplūkots spriedumā lietā Nr. 54934/00 “Vēbere [</w:t>
      </w:r>
      <w:proofErr w:type="spellStart"/>
      <w:r>
        <w:rPr>
          <w:rFonts w:ascii="Times New Roman" w:hAnsi="Times New Roman"/>
          <w:i/>
          <w:iCs/>
        </w:rPr>
        <w:t>Weber</w:t>
      </w:r>
      <w:proofErr w:type="spellEnd"/>
      <w:r>
        <w:rPr>
          <w:rFonts w:ascii="Times New Roman" w:hAnsi="Times New Roman"/>
        </w:rPr>
        <w:t xml:space="preserve">] un </w:t>
      </w:r>
      <w:proofErr w:type="spellStart"/>
      <w:r>
        <w:rPr>
          <w:rFonts w:ascii="Times New Roman" w:hAnsi="Times New Roman"/>
        </w:rPr>
        <w:t>Sarāvija</w:t>
      </w:r>
      <w:proofErr w:type="spellEnd"/>
      <w:r>
        <w:rPr>
          <w:rFonts w:ascii="Times New Roman" w:hAnsi="Times New Roman"/>
        </w:rPr>
        <w:t xml:space="preserve"> [</w:t>
      </w:r>
      <w:proofErr w:type="spellStart"/>
      <w:r>
        <w:rPr>
          <w:rFonts w:ascii="Times New Roman" w:hAnsi="Times New Roman"/>
          <w:i/>
          <w:iCs/>
        </w:rPr>
        <w:t>Saravia</w:t>
      </w:r>
      <w:proofErr w:type="spellEnd"/>
      <w:r>
        <w:rPr>
          <w:rFonts w:ascii="Times New Roman" w:hAnsi="Times New Roman"/>
        </w:rPr>
        <w:t xml:space="preserve">] pret Vāciju” (lēmums), </w:t>
      </w:r>
      <w:proofErr w:type="spellStart"/>
      <w:r>
        <w:rPr>
          <w:rFonts w:ascii="Times New Roman" w:hAnsi="Times New Roman"/>
        </w:rPr>
        <w:t>ECT</w:t>
      </w:r>
      <w:proofErr w:type="spellEnd"/>
      <w:r>
        <w:rPr>
          <w:rFonts w:ascii="Times New Roman" w:hAnsi="Times New Roman"/>
        </w:rPr>
        <w:t xml:space="preserve"> 2006-XI. Saskaņā ar šo spriedumu iestādēm, kuras bija iesaistītas no ārvalsts izlūkdienestiem saņemtā saziņu satura apstrādē, bija jāizpilda 8. panta prasības, jo īpaši saistībā ar tā uzglabāšanu, apmaiņu, saglabāšanu un iznīcināšanu. </w:t>
      </w:r>
      <w:proofErr w:type="spellStart"/>
      <w:r>
        <w:rPr>
          <w:rFonts w:ascii="Times New Roman" w:hAnsi="Times New Roman"/>
          <w:i/>
          <w:iCs/>
        </w:rPr>
        <w:t>IPT</w:t>
      </w:r>
      <w:proofErr w:type="spellEnd"/>
      <w:r>
        <w:rPr>
          <w:rFonts w:ascii="Times New Roman" w:hAnsi="Times New Roman"/>
        </w:rPr>
        <w:t xml:space="preserve"> ieskatā, pamatojoties uz 2009. gada 10. marta sprieduma lietā Nr. 4378/02 “Bikovs [</w:t>
      </w:r>
      <w:proofErr w:type="spellStart"/>
      <w:r>
        <w:rPr>
          <w:rFonts w:ascii="Times New Roman" w:hAnsi="Times New Roman"/>
          <w:i/>
          <w:iCs/>
        </w:rPr>
        <w:t>Bykov</w:t>
      </w:r>
      <w:proofErr w:type="spellEnd"/>
      <w:r>
        <w:rPr>
          <w:rFonts w:ascii="Times New Roman" w:hAnsi="Times New Roman"/>
        </w:rPr>
        <w:t>] pret Krieviju” [</w:t>
      </w:r>
      <w:proofErr w:type="spellStart"/>
      <w:r>
        <w:rPr>
          <w:rFonts w:ascii="Times New Roman" w:hAnsi="Times New Roman"/>
          <w:i/>
          <w:iCs/>
        </w:rPr>
        <w:t>GC</w:t>
      </w:r>
      <w:proofErr w:type="spellEnd"/>
      <w:r>
        <w:rPr>
          <w:rFonts w:ascii="Times New Roman" w:hAnsi="Times New Roman"/>
        </w:rPr>
        <w:t>] 76. un 78. punktu un 1984. gada 2. augusta spriedumu lietā “</w:t>
      </w:r>
      <w:proofErr w:type="spellStart"/>
      <w:r>
        <w:rPr>
          <w:rFonts w:ascii="Times New Roman" w:hAnsi="Times New Roman"/>
        </w:rPr>
        <w:t>Malouns</w:t>
      </w:r>
      <w:proofErr w:type="spellEnd"/>
      <w:r>
        <w:rPr>
          <w:rFonts w:ascii="Times New Roman" w:hAnsi="Times New Roman"/>
        </w:rPr>
        <w:t xml:space="preserve"> [</w:t>
      </w:r>
      <w:proofErr w:type="spellStart"/>
      <w:r>
        <w:rPr>
          <w:rFonts w:ascii="Times New Roman" w:hAnsi="Times New Roman"/>
          <w:i/>
          <w:iCs/>
        </w:rPr>
        <w:t>Malone</w:t>
      </w:r>
      <w:proofErr w:type="spellEnd"/>
      <w:r>
        <w:rPr>
          <w:rFonts w:ascii="Times New Roman" w:hAnsi="Times New Roman"/>
        </w:rPr>
        <w:t xml:space="preserve">] pret Apvienoto Karalisti”, A sērija Nr. 82, lai iejaukšanos uzskatītu par “atbilstošu likumam”, izpildvarai nevar būt neierobežota rīcības brīvība; drīzāk noteikumu būtībai ir jābūt skaidrai, savukārt to darbības jomai, ciktāl tas iespējams, ir jābūt publiski pieejamai. Tomēr tā uzskatīja par pašsaprotamu, ka valsts drošības jomā daudz mazāka apjoma informācijai ir jābūt publiski pieejamai un ka ir jāsamazina 8. pantā noteiktā </w:t>
      </w:r>
      <w:proofErr w:type="spellStart"/>
      <w:r>
        <w:rPr>
          <w:rFonts w:ascii="Times New Roman" w:hAnsi="Times New Roman"/>
        </w:rPr>
        <w:t>paredzamības</w:t>
      </w:r>
      <w:proofErr w:type="spellEnd"/>
      <w:r>
        <w:rPr>
          <w:rFonts w:ascii="Times New Roman" w:hAnsi="Times New Roman"/>
        </w:rPr>
        <w:t xml:space="preserve"> pakāpe, jo citādi tiktu apdraudēts valsts drošības pasākumu mērķis (citēts 1987. gada 26. marta sprieduma lietā “</w:t>
      </w:r>
      <w:proofErr w:type="spellStart"/>
      <w:r>
        <w:rPr>
          <w:rFonts w:ascii="Times New Roman" w:hAnsi="Times New Roman"/>
        </w:rPr>
        <w:t>Leanders</w:t>
      </w:r>
      <w:proofErr w:type="spellEnd"/>
      <w:r>
        <w:rPr>
          <w:rFonts w:ascii="Times New Roman" w:hAnsi="Times New Roman"/>
        </w:rPr>
        <w:t xml:space="preserve"> [</w:t>
      </w:r>
      <w:proofErr w:type="spellStart"/>
      <w:r>
        <w:rPr>
          <w:rFonts w:ascii="Times New Roman" w:hAnsi="Times New Roman"/>
          <w:i/>
          <w:iCs/>
        </w:rPr>
        <w:t>Leander</w:t>
      </w:r>
      <w:proofErr w:type="spellEnd"/>
      <w:r>
        <w:rPr>
          <w:rFonts w:ascii="Times New Roman" w:hAnsi="Times New Roman"/>
        </w:rPr>
        <w:t>] pret Zviedriju” 51. punkts, A sērija Nr. 116).</w:t>
      </w:r>
    </w:p>
    <w:p w14:paraId="27A9FA3F" w14:textId="414398F6" w:rsidR="000E3283" w:rsidRDefault="000E3283" w:rsidP="001F1E46">
      <w:pPr>
        <w:pStyle w:val="JuPara"/>
        <w:widowControl w:val="0"/>
        <w:ind w:firstLine="142"/>
        <w:rPr>
          <w:rFonts w:ascii="Times New Roman" w:hAnsi="Times New Roman"/>
          <w:noProof/>
        </w:rPr>
      </w:pPr>
      <w:r>
        <w:rPr>
          <w:rFonts w:ascii="Times New Roman" w:hAnsi="Times New Roman"/>
        </w:rPr>
        <w:t xml:space="preserve">39. </w:t>
      </w:r>
      <w:proofErr w:type="spellStart"/>
      <w:r>
        <w:rPr>
          <w:rFonts w:ascii="Times New Roman" w:hAnsi="Times New Roman"/>
          <w:i/>
          <w:iCs/>
        </w:rPr>
        <w:t>IPT</w:t>
      </w:r>
      <w:proofErr w:type="spellEnd"/>
      <w:r>
        <w:rPr>
          <w:rFonts w:ascii="Times New Roman" w:hAnsi="Times New Roman"/>
        </w:rPr>
        <w:t xml:space="preserve"> turpināja:</w:t>
      </w:r>
    </w:p>
    <w:p w14:paraId="2F2E2357" w14:textId="77777777" w:rsidR="00B81BB7" w:rsidRPr="008D031E" w:rsidRDefault="00B81BB7" w:rsidP="001F1E46">
      <w:pPr>
        <w:pStyle w:val="JuPara"/>
        <w:widowControl w:val="0"/>
        <w:ind w:firstLine="0"/>
        <w:rPr>
          <w:rFonts w:ascii="Times New Roman" w:hAnsi="Times New Roman"/>
          <w:noProof/>
          <w:lang w:val="en-US"/>
        </w:rPr>
      </w:pPr>
    </w:p>
    <w:p w14:paraId="3EF218FB" w14:textId="7062D1FF"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“41. Mēs uzskatām, ka ir nepieciešama pietiekama noteikumu vai pasākumu norādīšana, ciktāl tie netiek izpausti (..). Mēs esam pārliecināti, ka </w:t>
      </w:r>
      <w:proofErr w:type="spellStart"/>
      <w:r>
        <w:rPr>
          <w:rFonts w:ascii="Times New Roman" w:hAnsi="Times New Roman"/>
          <w:sz w:val="24"/>
        </w:rPr>
        <w:t>izlūkdatu</w:t>
      </w:r>
      <w:proofErr w:type="spellEnd"/>
      <w:r>
        <w:rPr>
          <w:rFonts w:ascii="Times New Roman" w:hAnsi="Times New Roman"/>
          <w:sz w:val="24"/>
        </w:rPr>
        <w:t xml:space="preserve"> apmaiņas jomā nav paredzams, ka noteikumiem ir jābūt ietvertiem tiesību aktā (kā spriedumā lietā “Vēbere”) vai pat kodeksā (kā to paredzēja Tiesas secinājumi 2008. gada 1. jūlija spriedumā lietā Nr. 58243/00 ““</w:t>
      </w:r>
      <w:proofErr w:type="spellStart"/>
      <w:r>
        <w:rPr>
          <w:rFonts w:ascii="Times New Roman" w:hAnsi="Times New Roman"/>
          <w:sz w:val="24"/>
        </w:rPr>
        <w:t>Liberty</w:t>
      </w:r>
      <w:proofErr w:type="spellEnd"/>
      <w:r>
        <w:rPr>
          <w:rFonts w:ascii="Times New Roman" w:hAnsi="Times New Roman"/>
          <w:sz w:val="24"/>
        </w:rPr>
        <w:t>” pret [Apvienoto Karalisti”]). Mūsu spriedumā pietiek ar to, ka:</w:t>
      </w:r>
    </w:p>
    <w:p w14:paraId="019E6C3B" w14:textId="77777777" w:rsidR="00B81BB7" w:rsidRPr="008D031E" w:rsidRDefault="00B81BB7" w:rsidP="001F1E46">
      <w:pPr>
        <w:pStyle w:val="JuQuot"/>
        <w:widowControl w:val="0"/>
        <w:spacing w:before="0" w:after="0"/>
        <w:ind w:left="284"/>
        <w:rPr>
          <w:rFonts w:ascii="Times New Roman" w:hAnsi="Times New Roman"/>
          <w:noProof/>
          <w:sz w:val="24"/>
          <w:lang w:val="en-US"/>
        </w:rPr>
      </w:pPr>
    </w:p>
    <w:p w14:paraId="68B523B5" w14:textId="348FA4CE"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i) atbilstoši noteikumi vai pasākumi ir ieviesti, tie ir publiski zināmi un ir apstiprināta to esība, turklāt ir pienācīgi norādīts to saturs, lai par tiem sniegtu adekvātu norādi (kā spriedumā lietā “</w:t>
      </w:r>
      <w:proofErr w:type="spellStart"/>
      <w:r>
        <w:rPr>
          <w:rFonts w:ascii="Times New Roman" w:hAnsi="Times New Roman"/>
          <w:sz w:val="24"/>
        </w:rPr>
        <w:t>Malouns</w:t>
      </w:r>
      <w:proofErr w:type="spellEnd"/>
      <w:r>
        <w:rPr>
          <w:rFonts w:ascii="Times New Roman" w:hAnsi="Times New Roman"/>
          <w:sz w:val="24"/>
        </w:rPr>
        <w:t>” ..);</w:t>
      </w:r>
    </w:p>
    <w:p w14:paraId="72F6F1D1" w14:textId="77777777" w:rsidR="00B81BB7" w:rsidRPr="008D031E" w:rsidRDefault="00B81BB7" w:rsidP="001F1E46">
      <w:pPr>
        <w:pStyle w:val="JuQuot"/>
        <w:widowControl w:val="0"/>
        <w:spacing w:before="0" w:after="0"/>
        <w:ind w:left="284"/>
        <w:rPr>
          <w:rFonts w:ascii="Times New Roman" w:hAnsi="Times New Roman"/>
          <w:noProof/>
          <w:sz w:val="24"/>
          <w:lang w:val="en-US"/>
        </w:rPr>
      </w:pPr>
    </w:p>
    <w:p w14:paraId="0827BE62" w14:textId="24653853"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ii) tie ir pakļauti pienācīgai kontrolei.”</w:t>
      </w:r>
    </w:p>
    <w:p w14:paraId="6E61C69A" w14:textId="77777777" w:rsidR="00B81BB7" w:rsidRPr="008D031E" w:rsidRDefault="00B81BB7" w:rsidP="001F1E46">
      <w:pPr>
        <w:pStyle w:val="JuQuot"/>
        <w:widowControl w:val="0"/>
        <w:spacing w:before="0" w:after="0"/>
        <w:ind w:left="0" w:firstLine="0"/>
        <w:rPr>
          <w:rFonts w:ascii="Times New Roman" w:hAnsi="Times New Roman"/>
          <w:noProof/>
          <w:sz w:val="24"/>
          <w:lang w:val="en-US"/>
        </w:rPr>
      </w:pPr>
    </w:p>
    <w:p w14:paraId="77BF7117" w14:textId="2D4E2450" w:rsidR="000E3283" w:rsidRPr="008D031E" w:rsidRDefault="000E3283" w:rsidP="001F1E46">
      <w:pPr>
        <w:pStyle w:val="JuPara"/>
        <w:widowControl w:val="0"/>
        <w:ind w:firstLine="142"/>
        <w:rPr>
          <w:rFonts w:ascii="Times New Roman" w:hAnsi="Times New Roman"/>
          <w:noProof/>
        </w:rPr>
      </w:pPr>
      <w:bookmarkStart w:id="22" w:name="IPTtraining"/>
      <w:bookmarkStart w:id="23" w:name="IPTFARR"/>
      <w:r>
        <w:rPr>
          <w:rFonts w:ascii="Times New Roman" w:hAnsi="Times New Roman"/>
        </w:rPr>
        <w:t>40</w:t>
      </w:r>
      <w:bookmarkEnd w:id="22"/>
      <w:bookmarkEnd w:id="23"/>
      <w:r>
        <w:rPr>
          <w:rFonts w:ascii="Times New Roman" w:hAnsi="Times New Roman"/>
        </w:rPr>
        <w:t xml:space="preserve">. </w:t>
      </w:r>
      <w:proofErr w:type="spellStart"/>
      <w:r>
        <w:rPr>
          <w:rFonts w:ascii="Times New Roman" w:hAnsi="Times New Roman"/>
          <w:i/>
          <w:iCs/>
        </w:rPr>
        <w:t>IPT</w:t>
      </w:r>
      <w:proofErr w:type="spellEnd"/>
      <w:r>
        <w:rPr>
          <w:rFonts w:ascii="Times New Roman" w:hAnsi="Times New Roman"/>
        </w:rPr>
        <w:t xml:space="preserve"> piebilda, ka informācijas apmaiņas pasākumi ir paredzēti tiesiskajā regulējumā, kas ietverts 1989. gada Drošības dienestu likumā (skat. turpmāk 105.–106. punktu) un 1994. gada Izlūkdienestu likumā (skat. turpmāk 107.–110. punktu). Tā arī atsaucās uz liecību, ko iepriekšminētajā “</w:t>
      </w:r>
      <w:proofErr w:type="spellStart"/>
      <w:r>
        <w:rPr>
          <w:rFonts w:ascii="Times New Roman" w:hAnsi="Times New Roman"/>
        </w:rPr>
        <w:t>Liberty</w:t>
      </w:r>
      <w:proofErr w:type="spellEnd"/>
      <w:r>
        <w:rPr>
          <w:rFonts w:ascii="Times New Roman" w:hAnsi="Times New Roman"/>
        </w:rPr>
        <w:t xml:space="preserve">” tiesvedībā sniedza </w:t>
      </w:r>
      <w:proofErr w:type="spellStart"/>
      <w:r>
        <w:rPr>
          <w:rFonts w:ascii="Times New Roman" w:hAnsi="Times New Roman"/>
        </w:rPr>
        <w:t>Iekšlietu</w:t>
      </w:r>
      <w:proofErr w:type="spellEnd"/>
      <w:r>
        <w:rPr>
          <w:rFonts w:ascii="Times New Roman" w:hAnsi="Times New Roman"/>
        </w:rPr>
        <w:t xml:space="preserve"> ministrijas Drošības un terorisma apkarošanas biroja ģenerāldirektors Čārlzs </w:t>
      </w:r>
      <w:proofErr w:type="spellStart"/>
      <w:r>
        <w:rPr>
          <w:rFonts w:ascii="Times New Roman" w:hAnsi="Times New Roman"/>
        </w:rPr>
        <w:t>Farrs</w:t>
      </w:r>
      <w:proofErr w:type="spellEnd"/>
      <w:r>
        <w:rPr>
          <w:rFonts w:ascii="Times New Roman" w:hAnsi="Times New Roman"/>
        </w:rPr>
        <w:t xml:space="preserve"> [</w:t>
      </w:r>
      <w:proofErr w:type="spellStart"/>
      <w:r>
        <w:rPr>
          <w:rFonts w:ascii="Times New Roman" w:hAnsi="Times New Roman"/>
          <w:i/>
          <w:iCs/>
        </w:rPr>
        <w:t>Charles</w:t>
      </w:r>
      <w:proofErr w:type="spellEnd"/>
      <w:r>
        <w:rPr>
          <w:rFonts w:ascii="Times New Roman" w:hAnsi="Times New Roman"/>
          <w:i/>
          <w:iCs/>
        </w:rPr>
        <w:t xml:space="preserve"> </w:t>
      </w:r>
      <w:proofErr w:type="spellStart"/>
      <w:r>
        <w:rPr>
          <w:rFonts w:ascii="Times New Roman" w:hAnsi="Times New Roman"/>
          <w:i/>
          <w:iCs/>
        </w:rPr>
        <w:t>Farr</w:t>
      </w:r>
      <w:proofErr w:type="spellEnd"/>
      <w:r>
        <w:rPr>
          <w:rFonts w:ascii="Times New Roman" w:hAnsi="Times New Roman"/>
        </w:rPr>
        <w:t xml:space="preserve">], kurš paskaidroja, ka minētajos likumos ietvertais tiesiskais regulējums ir balstīts uz detalizētiem iekšējiem norādījumiem, </w:t>
      </w:r>
      <w:r>
        <w:rPr>
          <w:rFonts w:ascii="Times New Roman" w:hAnsi="Times New Roman"/>
        </w:rPr>
        <w:lastRenderedPageBreak/>
        <w:t>tostarp pasākumiem, kuru mērķis ir nodrošināt, ka dienesti saņem vienīgi atbilstošai funkciju izpildei nepieciešamo informāciju. Viņš arī norādīja, ka personāls ir pabeidzis obligātās mācības par tiesisko un politikas regulējumu, kurā tas darbojās, kā arī ir saņēmis skaidrus norādījumus par to, ka ir stingri jāievēro tiesību akti un iekšējie norādījumi. Visbeidzot viņš apgalvoja, ka detalizēta informācija par pasākumiem ir konfidenciāla, jo to nevar droši publiskot, neapdraudot valsts drošības intereses.</w:t>
      </w:r>
    </w:p>
    <w:p w14:paraId="0662881A" w14:textId="19533DAC" w:rsidR="000E3283" w:rsidRPr="008D031E" w:rsidRDefault="000E3283" w:rsidP="001F1E46">
      <w:pPr>
        <w:pStyle w:val="JuPara"/>
        <w:widowControl w:val="0"/>
        <w:ind w:firstLine="142"/>
        <w:rPr>
          <w:rFonts w:ascii="Times New Roman" w:hAnsi="Times New Roman"/>
          <w:noProof/>
        </w:rPr>
      </w:pPr>
      <w:bookmarkStart w:id="24" w:name="ISOversight"/>
      <w:r>
        <w:rPr>
          <w:rFonts w:ascii="Times New Roman" w:hAnsi="Times New Roman"/>
        </w:rPr>
        <w:t>41</w:t>
      </w:r>
      <w:bookmarkEnd w:id="24"/>
      <w:r>
        <w:rPr>
          <w:rFonts w:ascii="Times New Roman" w:hAnsi="Times New Roman"/>
        </w:rPr>
        <w:t xml:space="preserve">. </w:t>
      </w:r>
      <w:proofErr w:type="spellStart"/>
      <w:r>
        <w:rPr>
          <w:rFonts w:ascii="Times New Roman" w:hAnsi="Times New Roman"/>
          <w:i/>
          <w:iCs/>
        </w:rPr>
        <w:t>IPT</w:t>
      </w:r>
      <w:proofErr w:type="spellEnd"/>
      <w:r>
        <w:rPr>
          <w:rFonts w:ascii="Times New Roman" w:hAnsi="Times New Roman"/>
        </w:rPr>
        <w:t xml:space="preserve"> atzina, ka, tā kā pasākumi nebija publiskoti, pat ne kopsavilkuma veidā, tie nebija pieejami. Tomēr </w:t>
      </w:r>
      <w:proofErr w:type="spellStart"/>
      <w:r>
        <w:rPr>
          <w:rFonts w:ascii="Times New Roman" w:hAnsi="Times New Roman"/>
          <w:i/>
          <w:iCs/>
        </w:rPr>
        <w:t>IPT</w:t>
      </w:r>
      <w:proofErr w:type="spellEnd"/>
      <w:r>
        <w:rPr>
          <w:rFonts w:ascii="Times New Roman" w:hAnsi="Times New Roman"/>
        </w:rPr>
        <w:t xml:space="preserve"> ieskatā bija svarīgi, ka pasākumus kontrolēja un izmeklēja Parlamenta Izlūkošanas un drošības komiteja (turpmāk tekstā – “</w:t>
      </w:r>
      <w:proofErr w:type="spellStart"/>
      <w:r>
        <w:rPr>
          <w:rFonts w:ascii="Times New Roman" w:hAnsi="Times New Roman"/>
          <w:i/>
          <w:iCs/>
        </w:rPr>
        <w:t>ISC</w:t>
      </w:r>
      <w:proofErr w:type="spellEnd"/>
      <w:r>
        <w:rPr>
          <w:rFonts w:ascii="Times New Roman" w:hAnsi="Times New Roman"/>
        </w:rPr>
        <w:t>”) un neatkarīgs komisārs sakaru pārtveršanas jautājumos (turpmāk tekstā – “</w:t>
      </w:r>
      <w:proofErr w:type="spellStart"/>
      <w:r>
        <w:rPr>
          <w:rFonts w:ascii="Times New Roman" w:hAnsi="Times New Roman"/>
          <w:i/>
          <w:iCs/>
        </w:rPr>
        <w:t>IC</w:t>
      </w:r>
      <w:proofErr w:type="spellEnd"/>
      <w:r>
        <w:rPr>
          <w:rFonts w:ascii="Times New Roman" w:hAnsi="Times New Roman"/>
          <w:i/>
          <w:iCs/>
        </w:rPr>
        <w:t xml:space="preserve"> </w:t>
      </w:r>
      <w:r>
        <w:rPr>
          <w:rFonts w:ascii="Times New Roman" w:hAnsi="Times New Roman"/>
        </w:rPr>
        <w:t xml:space="preserve">komisārs”). Turklāt tā arī pati varēja nodrošināt šādu kontroli, piekļūstot visai slepenajai informācijai, un pārtraukt slēgto paskaidrojumu uzklausīšanu, lai izvērtētu, vai </w:t>
      </w:r>
      <w:proofErr w:type="spellStart"/>
      <w:r>
        <w:rPr>
          <w:rFonts w:ascii="Times New Roman" w:hAnsi="Times New Roman"/>
        </w:rPr>
        <w:t>Farra</w:t>
      </w:r>
      <w:proofErr w:type="spellEnd"/>
      <w:r>
        <w:rPr>
          <w:rFonts w:ascii="Times New Roman" w:hAnsi="Times New Roman"/>
        </w:rPr>
        <w:t xml:space="preserve"> minētie pasākumi ir ieviesti un spēj nodrošināt individuālu aizsardzību pret patvaļīgu iejaukšanos.</w:t>
      </w:r>
    </w:p>
    <w:p w14:paraId="0D0C13F5" w14:textId="16159995" w:rsidR="000E3283" w:rsidRPr="008D031E" w:rsidRDefault="000E3283" w:rsidP="001F1E46">
      <w:pPr>
        <w:pStyle w:val="JuPara"/>
        <w:widowControl w:val="0"/>
        <w:ind w:firstLine="142"/>
        <w:rPr>
          <w:rFonts w:ascii="Times New Roman" w:hAnsi="Times New Roman"/>
          <w:noProof/>
        </w:rPr>
      </w:pPr>
      <w:bookmarkStart w:id="25" w:name="ISNorequest"/>
      <w:r>
        <w:rPr>
          <w:rFonts w:ascii="Times New Roman" w:hAnsi="Times New Roman"/>
        </w:rPr>
        <w:t>42</w:t>
      </w:r>
      <w:bookmarkEnd w:id="25"/>
      <w:r>
        <w:rPr>
          <w:rFonts w:ascii="Times New Roman" w:hAnsi="Times New Roman"/>
        </w:rPr>
        <w:t xml:space="preserve">. Izvērtējot “zem ūdenslīnijas” esošos pasākumus, </w:t>
      </w:r>
      <w:proofErr w:type="spellStart"/>
      <w:r>
        <w:rPr>
          <w:rFonts w:ascii="Times New Roman" w:hAnsi="Times New Roman"/>
          <w:i/>
          <w:iCs/>
        </w:rPr>
        <w:t>IPT</w:t>
      </w:r>
      <w:proofErr w:type="spellEnd"/>
      <w:r>
        <w:rPr>
          <w:rFonts w:ascii="Times New Roman" w:hAnsi="Times New Roman"/>
        </w:rPr>
        <w:t xml:space="preserve"> guva pārliecību, ka 9. oktobra paziņojumā (ar turpmākiem grozījumiem, skat. iepriekš 33. un 36. punktu) sniegts skaidrs un precīzs pārskats par slēgtajā paskaidrojumu uzklausīšanā sniegto pierādījumu daļu un ka pārējie slēgtajā paskaidrojumu uzklausīšanā sniegtie pierādījumi ir pārāk </w:t>
      </w:r>
      <w:proofErr w:type="spellStart"/>
      <w:r>
        <w:rPr>
          <w:rFonts w:ascii="Times New Roman" w:hAnsi="Times New Roman"/>
        </w:rPr>
        <w:t>sensitīvi</w:t>
      </w:r>
      <w:proofErr w:type="spellEnd"/>
      <w:r>
        <w:rPr>
          <w:rFonts w:ascii="Times New Roman" w:hAnsi="Times New Roman"/>
        </w:rPr>
        <w:t>, lai tos izpaustu, neapdraudot valsts drošību, vai “ne apstiprināšanas, ne noliegšanas” principam. Tā arī guva pārliecību, ka priekšnoteikumi informācijas pieprasīšanai no Amerikas Savienoto Valstu valdības bija skaidri, proti, bija nepieciešams 8. panta 1. punktā vai 8. panta 4. punktā minētais orderis, kura darbības jomā ietilpa ierosinātā mērķa saziņu saturs, vienlaicīgi ņemot vērā arī 16. panta 3. punkta grozījumus (skat. turpmāk 86. punktu), ja bija zināms, ka persona atradās Britu salās. Līdz ar to uz jebkuru pieprasījumu saskaņā ar “</w:t>
      </w:r>
      <w:proofErr w:type="spellStart"/>
      <w:r>
        <w:rPr>
          <w:rFonts w:ascii="Times New Roman" w:hAnsi="Times New Roman"/>
        </w:rPr>
        <w:t>PRISM</w:t>
      </w:r>
      <w:proofErr w:type="spellEnd"/>
      <w:r>
        <w:rPr>
          <w:rFonts w:ascii="Times New Roman" w:hAnsi="Times New Roman"/>
        </w:rPr>
        <w:t>” vai “</w:t>
      </w:r>
      <w:proofErr w:type="spellStart"/>
      <w:r>
        <w:rPr>
          <w:rFonts w:ascii="Times New Roman" w:hAnsi="Times New Roman"/>
        </w:rPr>
        <w:t>Upstream</w:t>
      </w:r>
      <w:proofErr w:type="spellEnd"/>
      <w:r>
        <w:rPr>
          <w:rFonts w:ascii="Times New Roman" w:hAnsi="Times New Roman"/>
        </w:rPr>
        <w:t xml:space="preserve">” attiecībā uz pārtverto informāciju vai sakaru datiem attiecās </w:t>
      </w:r>
      <w:r>
        <w:rPr>
          <w:rFonts w:ascii="Times New Roman" w:hAnsi="Times New Roman"/>
          <w:i/>
          <w:iCs/>
        </w:rPr>
        <w:t>RIPA</w:t>
      </w:r>
      <w:r>
        <w:rPr>
          <w:rFonts w:ascii="Times New Roman" w:hAnsi="Times New Roman"/>
        </w:rPr>
        <w:t xml:space="preserve"> noteiktais režīms, ja vien tas neatbilda galēja izņēmuma scenārijam, kas izklāstīts pēc pirmās paskaidrojumu uzklausīšanas publiskotā materiāla 1. punkta b) apakšpunktā. Taču 1. punkta b) apakšpunktā minētais pieprasījums netika iesniegts.</w:t>
      </w:r>
    </w:p>
    <w:p w14:paraId="23664E8F" w14:textId="371AEFED" w:rsidR="000E3283" w:rsidRDefault="000E3283" w:rsidP="001F1E46">
      <w:pPr>
        <w:pStyle w:val="JuPara"/>
        <w:widowControl w:val="0"/>
        <w:ind w:firstLine="142"/>
        <w:rPr>
          <w:rFonts w:ascii="Times New Roman" w:hAnsi="Times New Roman"/>
          <w:noProof/>
        </w:rPr>
      </w:pPr>
      <w:r>
        <w:rPr>
          <w:rFonts w:ascii="Times New Roman" w:hAnsi="Times New Roman"/>
        </w:rPr>
        <w:t xml:space="preserve">43. Tomēr </w:t>
      </w:r>
      <w:proofErr w:type="spellStart"/>
      <w:r>
        <w:rPr>
          <w:rFonts w:ascii="Times New Roman" w:hAnsi="Times New Roman"/>
          <w:i/>
          <w:iCs/>
        </w:rPr>
        <w:t>IPT</w:t>
      </w:r>
      <w:proofErr w:type="spellEnd"/>
      <w:r>
        <w:rPr>
          <w:rFonts w:ascii="Times New Roman" w:hAnsi="Times New Roman"/>
        </w:rPr>
        <w:t xml:space="preserve"> par “satraucošu” atzina šādu jautājumu:</w:t>
      </w:r>
    </w:p>
    <w:p w14:paraId="6BE49654" w14:textId="77777777" w:rsidR="00D434F2" w:rsidRPr="008D031E" w:rsidRDefault="00D434F2" w:rsidP="001F1E46">
      <w:pPr>
        <w:pStyle w:val="JuPara"/>
        <w:widowControl w:val="0"/>
        <w:ind w:firstLine="142"/>
        <w:rPr>
          <w:rFonts w:ascii="Times New Roman" w:hAnsi="Times New Roman"/>
          <w:noProof/>
          <w:lang w:val="en-US"/>
        </w:rPr>
      </w:pPr>
    </w:p>
    <w:p w14:paraId="26E09267" w14:textId="77777777"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“Lai gan uz jebkuru pārtvertās informācijas vai sakaru datu pieprasījumu vai saņemšanu saskaņā ar “</w:t>
      </w:r>
      <w:proofErr w:type="spellStart"/>
      <w:r>
        <w:rPr>
          <w:rFonts w:ascii="Times New Roman" w:hAnsi="Times New Roman"/>
          <w:sz w:val="24"/>
        </w:rPr>
        <w:t>Prism</w:t>
      </w:r>
      <w:proofErr w:type="spellEnd"/>
      <w:r>
        <w:rPr>
          <w:rFonts w:ascii="Times New Roman" w:hAnsi="Times New Roman"/>
          <w:sz w:val="24"/>
        </w:rPr>
        <w:t>” un/vai “</w:t>
      </w:r>
      <w:proofErr w:type="spellStart"/>
      <w:r>
        <w:rPr>
          <w:rFonts w:ascii="Times New Roman" w:hAnsi="Times New Roman"/>
          <w:sz w:val="24"/>
        </w:rPr>
        <w:t>Upstream</w:t>
      </w:r>
      <w:proofErr w:type="spellEnd"/>
      <w:r>
        <w:rPr>
          <w:rFonts w:ascii="Times New Roman" w:hAnsi="Times New Roman"/>
          <w:sz w:val="24"/>
        </w:rPr>
        <w:t xml:space="preserve">” attiecas tie paši drošības pasākumi kā gadījumā, kad pārtverto informāciju vai sakaru datus iegūst tieši atbildētāji, ja tika iesniegts 1. punkta b) apakšpunktā noteiktais pieprasījums, kaut arī tas jāiesniedz valsts sekretāram un ar jebkuru šādi iegūtu materiālu jārīkojas saskaņā ar </w:t>
      </w:r>
      <w:r>
        <w:rPr>
          <w:rFonts w:ascii="Times New Roman" w:hAnsi="Times New Roman"/>
          <w:i/>
          <w:iCs/>
          <w:sz w:val="24"/>
        </w:rPr>
        <w:t>RIPA</w:t>
      </w:r>
      <w:r>
        <w:rPr>
          <w:rFonts w:ascii="Times New Roman" w:hAnsi="Times New Roman"/>
          <w:sz w:val="24"/>
        </w:rPr>
        <w:t>, pastāv iespēja, ka 16. pantā minētie aizsardzības pasākumi nav piemērojami. Kā minēts iepriekš, 1. punkta b) apakšpunktā minētais pieprasījums netika iesniegts, tādēļ šajā ziņā nav radušās nekādas problēmas. Tomēr mēs esam pārliecināti, ka bija jāievieš procedūra, kas paredz, ka jebkuram šādam pieprasījumam, ja tāds iesniegts un nosūtīts izskatīšanai valsts sekretāram, jāattiecas uz 16. panta 3. punkta jautājumu.”</w:t>
      </w:r>
    </w:p>
    <w:p w14:paraId="1F6ED0F1" w14:textId="77777777" w:rsidR="00D434F2" w:rsidRPr="008D031E" w:rsidRDefault="00D434F2" w:rsidP="001F1E46">
      <w:pPr>
        <w:pStyle w:val="JuQuot"/>
        <w:widowControl w:val="0"/>
        <w:spacing w:before="0" w:after="0"/>
        <w:ind w:left="284" w:firstLine="0"/>
        <w:rPr>
          <w:rFonts w:ascii="Times New Roman" w:hAnsi="Times New Roman"/>
          <w:noProof/>
          <w:sz w:val="24"/>
          <w:lang w:val="en-US"/>
        </w:rPr>
      </w:pPr>
    </w:p>
    <w:p w14:paraId="105D33B7" w14:textId="209F9002" w:rsidR="000E3283" w:rsidRDefault="000E3283" w:rsidP="001F1E46">
      <w:pPr>
        <w:pStyle w:val="JuPara"/>
        <w:widowControl w:val="0"/>
        <w:ind w:firstLine="142"/>
        <w:rPr>
          <w:rFonts w:ascii="Times New Roman" w:hAnsi="Times New Roman"/>
          <w:noProof/>
        </w:rPr>
      </w:pPr>
      <w:r>
        <w:rPr>
          <w:rFonts w:ascii="Times New Roman" w:hAnsi="Times New Roman"/>
        </w:rPr>
        <w:t xml:space="preserve">44. Tomēr, ņemot vērā šo iebildumu, </w:t>
      </w:r>
      <w:proofErr w:type="spellStart"/>
      <w:r>
        <w:rPr>
          <w:rFonts w:ascii="Times New Roman" w:hAnsi="Times New Roman"/>
          <w:i/>
          <w:iCs/>
        </w:rPr>
        <w:t>IPT</w:t>
      </w:r>
      <w:proofErr w:type="spellEnd"/>
      <w:r>
        <w:rPr>
          <w:rFonts w:ascii="Times New Roman" w:hAnsi="Times New Roman"/>
        </w:rPr>
        <w:t xml:space="preserve"> secināja:</w:t>
      </w:r>
    </w:p>
    <w:p w14:paraId="6C520DD2" w14:textId="77777777" w:rsidR="00D434F2" w:rsidRPr="008D031E" w:rsidRDefault="00D434F2" w:rsidP="001F1E46">
      <w:pPr>
        <w:pStyle w:val="JuPara"/>
        <w:widowControl w:val="0"/>
        <w:ind w:firstLine="142"/>
        <w:rPr>
          <w:rFonts w:ascii="Times New Roman" w:hAnsi="Times New Roman"/>
          <w:noProof/>
          <w:lang w:val="en-US"/>
        </w:rPr>
      </w:pPr>
    </w:p>
    <w:p w14:paraId="6295B318" w14:textId="09FD752C"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“i) Izvērtējot “zem ūdenslīmeņa” esošos pasākumus, kā tie raksturoti šajā spriedumā, mēs esam guvuši pārliecību, ka bija ieviesti adekvāti pasākumi, lai nodrošinātu atbilstību tiesiskajam regulējumam un Konvencijas 8. un 10. pantam, ciktāl tas attiecas uz pārtvertās informācijas saņemšanu, izmantojot “</w:t>
      </w:r>
      <w:proofErr w:type="spellStart"/>
      <w:r>
        <w:rPr>
          <w:rFonts w:ascii="Times New Roman" w:hAnsi="Times New Roman"/>
          <w:sz w:val="24"/>
        </w:rPr>
        <w:t>Prism</w:t>
      </w:r>
      <w:proofErr w:type="spellEnd"/>
      <w:r>
        <w:rPr>
          <w:rFonts w:ascii="Times New Roman" w:hAnsi="Times New Roman"/>
          <w:sz w:val="24"/>
        </w:rPr>
        <w:t>” un/vai “</w:t>
      </w:r>
      <w:proofErr w:type="spellStart"/>
      <w:r>
        <w:rPr>
          <w:rFonts w:ascii="Times New Roman" w:hAnsi="Times New Roman"/>
          <w:sz w:val="24"/>
        </w:rPr>
        <w:t>Upstream</w:t>
      </w:r>
      <w:proofErr w:type="spellEnd"/>
      <w:r>
        <w:rPr>
          <w:rFonts w:ascii="Times New Roman" w:hAnsi="Times New Roman"/>
          <w:sz w:val="24"/>
        </w:rPr>
        <w:t>”.</w:t>
      </w:r>
    </w:p>
    <w:p w14:paraId="282AE673" w14:textId="77777777" w:rsidR="00D434F2" w:rsidRPr="008D031E" w:rsidRDefault="00D434F2" w:rsidP="001F1E46">
      <w:pPr>
        <w:pStyle w:val="JuQuot"/>
        <w:widowControl w:val="0"/>
        <w:spacing w:before="0" w:after="0"/>
        <w:ind w:left="284"/>
        <w:rPr>
          <w:rFonts w:ascii="Times New Roman" w:hAnsi="Times New Roman"/>
          <w:noProof/>
          <w:sz w:val="24"/>
          <w:lang w:val="en-US"/>
        </w:rPr>
      </w:pPr>
    </w:p>
    <w:p w14:paraId="240481BA" w14:textId="11EC4DCD"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ii) Protams, ar to vien nepietiek, jo šiem pasākumiem ir jābūt pietiekami pieejamiem sabiedrībai. Mēs esam guvuši pārliecību, ka tie ir pietiekami skaidri norādīti tiesiskajā regulējumā, uz kuru mēs esam atsaukušies, un </w:t>
      </w:r>
      <w:proofErr w:type="spellStart"/>
      <w:r>
        <w:rPr>
          <w:rFonts w:ascii="Times New Roman" w:hAnsi="Times New Roman"/>
          <w:i/>
          <w:iCs/>
          <w:sz w:val="24"/>
        </w:rPr>
        <w:t>ISC</w:t>
      </w:r>
      <w:proofErr w:type="spellEnd"/>
      <w:r>
        <w:rPr>
          <w:rFonts w:ascii="Times New Roman" w:hAnsi="Times New Roman"/>
          <w:sz w:val="24"/>
        </w:rPr>
        <w:t xml:space="preserve"> un komisāra iepriekš citētajos </w:t>
      </w:r>
      <w:r>
        <w:rPr>
          <w:rFonts w:ascii="Times New Roman" w:hAnsi="Times New Roman"/>
          <w:sz w:val="24"/>
        </w:rPr>
        <w:lastRenderedPageBreak/>
        <w:t>apgalvojumos un ka tos kopš šā brīža, proti, pēc abām slēgtajām paskaidrojumu uzklausīšanas reizēm, atbildētāji ir publiski izpauduši un tie ir norādīti šajā spriedumā.</w:t>
      </w:r>
    </w:p>
    <w:p w14:paraId="3BB8358E" w14:textId="77777777" w:rsidR="00D434F2" w:rsidRPr="008D031E" w:rsidRDefault="00D434F2" w:rsidP="001F1E46">
      <w:pPr>
        <w:pStyle w:val="JuQuot"/>
        <w:widowControl w:val="0"/>
        <w:spacing w:before="0" w:after="0"/>
        <w:ind w:left="284"/>
        <w:rPr>
          <w:rFonts w:ascii="Times New Roman" w:hAnsi="Times New Roman"/>
          <w:noProof/>
          <w:sz w:val="24"/>
          <w:lang w:val="en-US"/>
        </w:rPr>
      </w:pPr>
    </w:p>
    <w:p w14:paraId="5BF18686" w14:textId="64BF2105"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iii) Šie pasākumi tiek kontrolēti.</w:t>
      </w:r>
    </w:p>
    <w:p w14:paraId="72A21E7F" w14:textId="77777777" w:rsidR="00D434F2" w:rsidRPr="008D031E" w:rsidRDefault="00D434F2" w:rsidP="001F1E46">
      <w:pPr>
        <w:pStyle w:val="JuQuot"/>
        <w:widowControl w:val="0"/>
        <w:spacing w:before="0" w:after="0"/>
        <w:ind w:left="284"/>
        <w:rPr>
          <w:rFonts w:ascii="Times New Roman" w:hAnsi="Times New Roman"/>
          <w:noProof/>
          <w:sz w:val="24"/>
          <w:lang w:val="en-US"/>
        </w:rPr>
      </w:pPr>
    </w:p>
    <w:p w14:paraId="5BC2A73B" w14:textId="03A8B9C5"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iv) Atbildētājiem piešķirtās rīcības brīvības apjoms, lai saņemtu un izmantotu pārtverto materiālu un sakaru datus, un (saskaņā ar 8. panta 4. punkta jautājumiem, kā norādīts turpmāk) tās īstenošanas veids attiecīgi (un atbilstoši tam, kā norādīts lietā “Bikovs”, skat. iepriekš 37. punktu) ir pieejams un pietiekami skaidrs, lai nodrošinātu personai adekvātu aizsardzību pret patvaļīgu iejaukšanos.”</w:t>
      </w:r>
    </w:p>
    <w:p w14:paraId="63006FDA" w14:textId="77777777" w:rsidR="00D434F2" w:rsidRPr="008D031E" w:rsidRDefault="00D434F2" w:rsidP="001F1E46">
      <w:pPr>
        <w:pStyle w:val="JuQuot"/>
        <w:widowControl w:val="0"/>
        <w:spacing w:before="0" w:after="0"/>
        <w:ind w:left="0" w:firstLine="0"/>
        <w:rPr>
          <w:rFonts w:ascii="Times New Roman" w:hAnsi="Times New Roman"/>
          <w:noProof/>
          <w:sz w:val="24"/>
          <w:lang w:val="en-US"/>
        </w:rPr>
      </w:pPr>
    </w:p>
    <w:p w14:paraId="5596797E" w14:textId="2AF7A1B7" w:rsidR="000E3283" w:rsidRDefault="000E3283" w:rsidP="001F1E46">
      <w:pPr>
        <w:pStyle w:val="JuPara"/>
        <w:widowControl w:val="0"/>
        <w:ind w:firstLine="142"/>
        <w:rPr>
          <w:rFonts w:ascii="Times New Roman" w:hAnsi="Times New Roman"/>
          <w:noProof/>
        </w:rPr>
      </w:pPr>
      <w:bookmarkStart w:id="26" w:name="IPTPRISMEnd"/>
      <w:r>
        <w:rPr>
          <w:rFonts w:ascii="Times New Roman" w:hAnsi="Times New Roman"/>
        </w:rPr>
        <w:t>45</w:t>
      </w:r>
      <w:bookmarkEnd w:id="26"/>
      <w:r>
        <w:rPr>
          <w:rFonts w:ascii="Times New Roman" w:hAnsi="Times New Roman"/>
        </w:rPr>
        <w:t xml:space="preserve">. Visbeidzot </w:t>
      </w:r>
      <w:proofErr w:type="spellStart"/>
      <w:r>
        <w:rPr>
          <w:rFonts w:ascii="Times New Roman" w:hAnsi="Times New Roman"/>
          <w:i/>
          <w:iCs/>
        </w:rPr>
        <w:t>IPT</w:t>
      </w:r>
      <w:proofErr w:type="spellEnd"/>
      <w:r>
        <w:rPr>
          <w:rFonts w:ascii="Times New Roman" w:hAnsi="Times New Roman"/>
        </w:rPr>
        <w:t xml:space="preserve"> pievērsās argumentam, ko bija izvirzījusi vienīgi organizācija “</w:t>
      </w:r>
      <w:proofErr w:type="spellStart"/>
      <w:r>
        <w:rPr>
          <w:rFonts w:ascii="Times New Roman" w:hAnsi="Times New Roman"/>
        </w:rPr>
        <w:t>Amnesty</w:t>
      </w:r>
      <w:proofErr w:type="spellEnd"/>
      <w:r>
        <w:rPr>
          <w:rFonts w:ascii="Times New Roman" w:hAnsi="Times New Roman"/>
        </w:rPr>
        <w:t xml:space="preserve"> </w:t>
      </w:r>
      <w:proofErr w:type="spellStart"/>
      <w:r>
        <w:rPr>
          <w:rFonts w:ascii="Times New Roman" w:hAnsi="Times New Roman"/>
        </w:rPr>
        <w:t>International</w:t>
      </w:r>
      <w:proofErr w:type="spellEnd"/>
      <w:r>
        <w:rPr>
          <w:rFonts w:ascii="Times New Roman" w:hAnsi="Times New Roman"/>
        </w:rPr>
        <w:t>”, proti, ka Apvienotajai Karalistei saskaņā ar Konvencijas 8. pantu bija pozitīvs pienākums novērst vai nepieļaut, ka Amerikas Savienotās Valstis pārtver sakarus, kā arī pienākums neatbalstīt šādu pārtveršanu, saņemot tās produktu. Tomēr</w:t>
      </w:r>
      <w:r>
        <w:rPr>
          <w:rFonts w:ascii="Times New Roman" w:hAnsi="Times New Roman"/>
          <w:i/>
          <w:iCs/>
        </w:rPr>
        <w:t xml:space="preserve"> </w:t>
      </w:r>
      <w:proofErr w:type="spellStart"/>
      <w:r>
        <w:rPr>
          <w:rFonts w:ascii="Times New Roman" w:hAnsi="Times New Roman"/>
          <w:i/>
          <w:iCs/>
        </w:rPr>
        <w:t>IPT</w:t>
      </w:r>
      <w:proofErr w:type="spellEnd"/>
      <w:r>
        <w:rPr>
          <w:rFonts w:ascii="Times New Roman" w:hAnsi="Times New Roman"/>
        </w:rPr>
        <w:t xml:space="preserve">, citējot 2012. gada 31. jūlija sprieduma lietā Nr. 40020/03 “M. un citi pret Itāliju un Bulgāriju” </w:t>
      </w:r>
      <w:r>
        <w:rPr>
          <w:rFonts w:ascii="Times New Roman" w:hAnsi="Times New Roman"/>
          <w:snapToGrid w:val="0"/>
        </w:rPr>
        <w:t>127. punktu</w:t>
      </w:r>
      <w:r>
        <w:rPr>
          <w:rFonts w:ascii="Times New Roman" w:hAnsi="Times New Roman"/>
        </w:rPr>
        <w:t xml:space="preserve">, piebilda, ka “ar Konvenciju izveidotās institūcijas atkārtoti ir norādījušas, ka Konvencijā nav noteiktas tiesības, kas paredzētu Augstajai Līgumslēdzējai pusei īstenot diplomātisku aizsardzību vai atbalstīt pieteikuma iesniedzēja sūdzības, kas iesniegtas saskaņā ar starptautiskajām tiesībām, vai kā citādi iejaukties kādas citas valsts iestāžu darbā pieteikuma iesniedzēja vārdā”. Tādēļ </w:t>
      </w:r>
      <w:proofErr w:type="spellStart"/>
      <w:r>
        <w:rPr>
          <w:rFonts w:ascii="Times New Roman" w:hAnsi="Times New Roman"/>
          <w:i/>
          <w:iCs/>
        </w:rPr>
        <w:t>IPT</w:t>
      </w:r>
      <w:proofErr w:type="spellEnd"/>
      <w:r>
        <w:rPr>
          <w:rFonts w:ascii="Times New Roman" w:hAnsi="Times New Roman"/>
        </w:rPr>
        <w:t xml:space="preserve"> noraidīja šo argumentu.</w:t>
      </w:r>
    </w:p>
    <w:p w14:paraId="497D1D3B" w14:textId="77777777" w:rsidR="00595935" w:rsidRPr="008D031E" w:rsidRDefault="00595935" w:rsidP="001F1E46">
      <w:pPr>
        <w:pStyle w:val="JuPara"/>
        <w:widowControl w:val="0"/>
        <w:ind w:firstLine="0"/>
        <w:rPr>
          <w:rFonts w:ascii="Times New Roman" w:hAnsi="Times New Roman"/>
          <w:noProof/>
          <w:lang w:val="en-US"/>
        </w:rPr>
      </w:pPr>
    </w:p>
    <w:p w14:paraId="08BFC8AB" w14:textId="7A4EAE9D" w:rsidR="000E3283" w:rsidRDefault="00595935" w:rsidP="001F1E46">
      <w:pPr>
        <w:pStyle w:val="JuH1"/>
        <w:keepNext w:val="0"/>
        <w:keepLines w:val="0"/>
        <w:widowControl w:val="0"/>
        <w:numPr>
          <w:ilvl w:val="0"/>
          <w:numId w:val="0"/>
        </w:numPr>
        <w:spacing w:before="0" w:beforeAutospacing="0" w:after="0"/>
        <w:outlineLvl w:val="9"/>
        <w:rPr>
          <w:rFonts w:ascii="Times New Roman" w:hAnsi="Times New Roman"/>
          <w:noProof/>
        </w:rPr>
      </w:pPr>
      <w:bookmarkStart w:id="27" w:name="_Toc516819911"/>
      <w:bookmarkStart w:id="28" w:name="_Toc516820714"/>
      <w:r>
        <w:rPr>
          <w:rFonts w:ascii="Times New Roman" w:hAnsi="Times New Roman"/>
        </w:rPr>
        <w:t>2. 8. panta 4. punkta jautājums</w:t>
      </w:r>
    </w:p>
    <w:p w14:paraId="5F8CF978" w14:textId="77777777" w:rsidR="00595935" w:rsidRPr="00595935" w:rsidRDefault="00595935" w:rsidP="001F1E46">
      <w:pPr>
        <w:pStyle w:val="JuPara"/>
        <w:widowControl w:val="0"/>
        <w:rPr>
          <w:lang w:val="en-US"/>
        </w:rPr>
      </w:pPr>
    </w:p>
    <w:p w14:paraId="4081FF32" w14:textId="674B33FB" w:rsidR="000E3283" w:rsidRDefault="000E3283" w:rsidP="001F1E46">
      <w:pPr>
        <w:pStyle w:val="JuPara"/>
        <w:widowControl w:val="0"/>
        <w:ind w:firstLine="142"/>
        <w:rPr>
          <w:rFonts w:ascii="Times New Roman" w:hAnsi="Times New Roman"/>
          <w:noProof/>
        </w:rPr>
      </w:pPr>
      <w:r>
        <w:rPr>
          <w:rFonts w:ascii="Times New Roman" w:hAnsi="Times New Roman"/>
        </w:rPr>
        <w:t xml:space="preserve">46. </w:t>
      </w:r>
      <w:proofErr w:type="spellStart"/>
      <w:r>
        <w:rPr>
          <w:rFonts w:ascii="Times New Roman" w:hAnsi="Times New Roman"/>
          <w:i/>
          <w:iCs/>
        </w:rPr>
        <w:t>IPT</w:t>
      </w:r>
      <w:proofErr w:type="spellEnd"/>
      <w:r>
        <w:rPr>
          <w:rFonts w:ascii="Times New Roman" w:hAnsi="Times New Roman"/>
        </w:rPr>
        <w:t xml:space="preserve"> formulēja četrus jautājums, kas bija jāizlemj, lai noteiktu, vai 8. panta 4. punktā minētais režīms (kas paredzēja tiesisko regulējumu ārējo sakaru masveida pārtveršanai) atbilst Konvencijai:</w:t>
      </w:r>
    </w:p>
    <w:p w14:paraId="56D38DCB" w14:textId="77777777" w:rsidR="00595935" w:rsidRPr="008D031E" w:rsidRDefault="00595935" w:rsidP="001F1E46">
      <w:pPr>
        <w:pStyle w:val="JuPara"/>
        <w:widowControl w:val="0"/>
        <w:ind w:firstLine="142"/>
        <w:rPr>
          <w:rFonts w:ascii="Times New Roman" w:hAnsi="Times New Roman"/>
          <w:noProof/>
          <w:lang w:val="en-US"/>
        </w:rPr>
      </w:pPr>
    </w:p>
    <w:p w14:paraId="5627E80C" w14:textId="50C87893"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“1) Vai grūtības noteikt atšķirību starp ārējiem un iekšējiem sakariem .. ir pamats tam, ka 8. panta 4. punktā noteiktais režīms neatbilst likumam un līdz ar to ir pretrunā ar Konvencijas 8. panta 2. punktu?</w:t>
      </w:r>
    </w:p>
    <w:p w14:paraId="0B1551E4" w14:textId="77777777" w:rsidR="00595935" w:rsidRPr="008D031E" w:rsidRDefault="00595935" w:rsidP="001F1E46">
      <w:pPr>
        <w:pStyle w:val="JuQuot"/>
        <w:widowControl w:val="0"/>
        <w:spacing w:before="0" w:after="0"/>
        <w:ind w:left="284"/>
        <w:rPr>
          <w:rFonts w:ascii="Times New Roman" w:hAnsi="Times New Roman"/>
          <w:noProof/>
          <w:sz w:val="24"/>
          <w:lang w:val="en-US"/>
        </w:rPr>
      </w:pPr>
    </w:p>
    <w:p w14:paraId="53FDE7C1" w14:textId="19C45598"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2) Vai</w:t>
      </w:r>
      <w:r>
        <w:rPr>
          <w:rFonts w:ascii="Times New Roman" w:hAnsi="Times New Roman"/>
          <w:i/>
          <w:iCs/>
          <w:sz w:val="24"/>
        </w:rPr>
        <w:t xml:space="preserve"> RIPA</w:t>
      </w:r>
      <w:r>
        <w:rPr>
          <w:rFonts w:ascii="Times New Roman" w:hAnsi="Times New Roman"/>
          <w:sz w:val="24"/>
        </w:rPr>
        <w:t xml:space="preserve"> 16. pantā noteiktais drošības pasākums ir pietiekams, ciktāl tas nepieciešams, lai Konvencijas 8. panta pārkāpums būtu attaisnojams ar likumu?</w:t>
      </w:r>
    </w:p>
    <w:p w14:paraId="22259559" w14:textId="77777777" w:rsidR="00595935" w:rsidRPr="008D031E" w:rsidRDefault="00595935" w:rsidP="001F1E46">
      <w:pPr>
        <w:pStyle w:val="JuQuot"/>
        <w:widowControl w:val="0"/>
        <w:spacing w:before="0" w:after="0"/>
        <w:ind w:left="284"/>
        <w:rPr>
          <w:rFonts w:ascii="Times New Roman" w:hAnsi="Times New Roman"/>
          <w:noProof/>
          <w:sz w:val="24"/>
          <w:lang w:val="en-US"/>
        </w:rPr>
      </w:pPr>
    </w:p>
    <w:p w14:paraId="4EB0B752" w14:textId="57BD62EA"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3) Vai režīms neatkarīgi no tā, vai tiek vai netiek ņemts vērā 16. pants, pietiekami atbilst spriedumā lietā “Vēbere” izklāstītajām prasībām, ciktāl tas nepieciešams, lai nodrošinātu atbilstību likumam?</w:t>
      </w:r>
    </w:p>
    <w:p w14:paraId="53921E3F" w14:textId="77777777" w:rsidR="00595935" w:rsidRPr="008D031E" w:rsidRDefault="00595935" w:rsidP="001F1E46">
      <w:pPr>
        <w:pStyle w:val="JuQuot"/>
        <w:widowControl w:val="0"/>
        <w:spacing w:before="0" w:after="0"/>
        <w:ind w:left="284"/>
        <w:rPr>
          <w:rFonts w:ascii="Times New Roman" w:hAnsi="Times New Roman"/>
          <w:noProof/>
          <w:sz w:val="24"/>
          <w:lang w:val="en-US"/>
        </w:rPr>
      </w:pPr>
    </w:p>
    <w:p w14:paraId="6C75A751" w14:textId="6FB2D895"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4) Vai 16. panta 2. punkts ir netieši diskriminējošs, tādējādi pārkāpjot Konvencijas 14. pantu, un, ja tā, vai tas ir attaisnojams?”</w:t>
      </w:r>
    </w:p>
    <w:p w14:paraId="769957A6" w14:textId="77777777" w:rsidR="00595935" w:rsidRPr="008D031E" w:rsidRDefault="00595935" w:rsidP="001F1E46">
      <w:pPr>
        <w:pStyle w:val="JuQuot"/>
        <w:widowControl w:val="0"/>
        <w:spacing w:before="0" w:after="0"/>
        <w:ind w:left="0" w:firstLine="0"/>
        <w:rPr>
          <w:rFonts w:ascii="Times New Roman" w:hAnsi="Times New Roman"/>
          <w:noProof/>
          <w:sz w:val="24"/>
          <w:lang w:val="en-US"/>
        </w:rPr>
      </w:pPr>
    </w:p>
    <w:p w14:paraId="78A0C928" w14:textId="29FA7A1E" w:rsidR="000E3283" w:rsidRPr="008D031E" w:rsidRDefault="000E3283" w:rsidP="001F1E46">
      <w:pPr>
        <w:pStyle w:val="JuPara"/>
        <w:widowControl w:val="0"/>
        <w:ind w:firstLine="142"/>
        <w:rPr>
          <w:rFonts w:ascii="Times New Roman" w:hAnsi="Times New Roman"/>
          <w:noProof/>
        </w:rPr>
      </w:pPr>
      <w:r>
        <w:rPr>
          <w:rFonts w:ascii="Times New Roman" w:hAnsi="Times New Roman"/>
        </w:rPr>
        <w:t>47. Attiecībā uz pirmo jautājumu pieteikuma iesniedzēji apgalvoja, ka pēc “radikālajām izmaiņām kopš 2000. gada” pamatā visi sakari tagad ir ārēji un ka līdz ar to 8. panta 4. punktā noteiktais iekšējo un ārējo sakaru iedalījums vairs nav “piemērots nolūkam”. Lai gan</w:t>
      </w:r>
      <w:r>
        <w:rPr>
          <w:rFonts w:ascii="Times New Roman" w:hAnsi="Times New Roman"/>
          <w:i/>
          <w:iCs/>
        </w:rPr>
        <w:t xml:space="preserve"> </w:t>
      </w:r>
      <w:proofErr w:type="spellStart"/>
      <w:r>
        <w:rPr>
          <w:rFonts w:ascii="Times New Roman" w:hAnsi="Times New Roman"/>
          <w:i/>
          <w:iCs/>
        </w:rPr>
        <w:t>IPT</w:t>
      </w:r>
      <w:proofErr w:type="spellEnd"/>
      <w:r>
        <w:rPr>
          <w:rFonts w:ascii="Times New Roman" w:hAnsi="Times New Roman"/>
        </w:rPr>
        <w:t xml:space="preserve"> atzina, ka tehnoloģiskās izmaiņas ir bijušas vērienīgas un ka pārtveršanas posmā nav iespējams nošķirt ārējos un iekšējos sakarus, tā nosprieda, ka šīs atšķirības jēdziena “ārējie sakari” precīzas definīcijas kontekstā </w:t>
      </w:r>
      <w:r>
        <w:rPr>
          <w:rFonts w:ascii="Times New Roman" w:hAnsi="Times New Roman"/>
          <w:i/>
          <w:iCs/>
        </w:rPr>
        <w:t>per se</w:t>
      </w:r>
      <w:r>
        <w:rPr>
          <w:rFonts w:ascii="Times New Roman" w:hAnsi="Times New Roman"/>
        </w:rPr>
        <w:t xml:space="preserve"> nav pamats tam, lai 8. panta 4. punktā noteiktais režīms būtu pretrunā ar Konvencijas 8. panta 2. punktu. Šajā ziņā tā uzskatīja, ka grūtības atšķirt “iekšējos” sakarus no “ārējiem” sakariem ir pastāvējušas jau kopš </w:t>
      </w:r>
      <w:r>
        <w:rPr>
          <w:rFonts w:ascii="Times New Roman" w:hAnsi="Times New Roman"/>
          <w:i/>
          <w:iCs/>
        </w:rPr>
        <w:t>RIPA</w:t>
      </w:r>
      <w:r>
        <w:rPr>
          <w:rFonts w:ascii="Times New Roman" w:hAnsi="Times New Roman"/>
        </w:rPr>
        <w:t xml:space="preserve"> pieņemšanas un ka </w:t>
      </w:r>
      <w:r>
        <w:rPr>
          <w:rFonts w:ascii="Times New Roman" w:hAnsi="Times New Roman"/>
        </w:rPr>
        <w:lastRenderedPageBreak/>
        <w:t xml:space="preserve">tehnoloģisko izmaiņu dēļ nav būtiski palielinājies to sakaru apjoms vai īpatsvars, ko pārtveršanas brīdī varētu vai nevarētu uzskatīt par ārējiem vai iekšējiem. Tās vissliktākajā gadījumā “ir paātrinājušas procesu, kādā aizvien vairāk lietu pasaulē faktiski kļūst ārējas, nevis iekšējas”. </w:t>
      </w:r>
      <w:proofErr w:type="spellStart"/>
      <w:r>
        <w:rPr>
          <w:rFonts w:ascii="Times New Roman" w:hAnsi="Times New Roman"/>
          <w:i/>
          <w:iCs/>
        </w:rPr>
        <w:t>IPT</w:t>
      </w:r>
      <w:proofErr w:type="spellEnd"/>
      <w:r>
        <w:rPr>
          <w:rFonts w:ascii="Times New Roman" w:hAnsi="Times New Roman"/>
        </w:rPr>
        <w:t xml:space="preserve"> norādīja, ka jebkurā gadījumā šādai atšķirībai ir bijusi nozīme vienīgi pārtveršanas posmā. Tā apgalvoja, ka “visgrūtāko darbu” jau ir paveicis </w:t>
      </w:r>
      <w:r>
        <w:rPr>
          <w:rFonts w:ascii="Times New Roman" w:hAnsi="Times New Roman"/>
          <w:i/>
          <w:iCs/>
        </w:rPr>
        <w:t>RIPA</w:t>
      </w:r>
      <w:r>
        <w:rPr>
          <w:rFonts w:ascii="Times New Roman" w:hAnsi="Times New Roman"/>
        </w:rPr>
        <w:t xml:space="preserve"> 16. pants, kas liedzis atlasīt pārtverto materiālu, lai to lasītu, aplūkotu vai klausītos, “ņemot vērā faktoru, kas attiecināms uz personu, par kuru zināms, ka tā attiecīgajā brīdī atrodas Britu salās” (skat. turpmāk 84.–92. punktu). Turklāt visus sakarus, kas pārtverti saskaņā ar 8. panta 4. punktā minēto orderi, var izvērtēt pārbaudes veikšanai, vienīgi atsaucoties uz šo pantu.</w:t>
      </w:r>
    </w:p>
    <w:p w14:paraId="4B51F1C0" w14:textId="40A8CF84" w:rsidR="000E3283" w:rsidRPr="008D031E" w:rsidRDefault="000E3283" w:rsidP="001F1E46">
      <w:pPr>
        <w:pStyle w:val="JuPara"/>
        <w:widowControl w:val="0"/>
        <w:ind w:firstLine="142"/>
        <w:rPr>
          <w:rFonts w:ascii="Times New Roman" w:hAnsi="Times New Roman"/>
          <w:noProof/>
        </w:rPr>
      </w:pPr>
      <w:r>
        <w:rPr>
          <w:rFonts w:ascii="Times New Roman" w:hAnsi="Times New Roman"/>
        </w:rPr>
        <w:t xml:space="preserve">48. Attiecībā uz otro jautājumu </w:t>
      </w:r>
      <w:proofErr w:type="spellStart"/>
      <w:r>
        <w:rPr>
          <w:rFonts w:ascii="Times New Roman" w:hAnsi="Times New Roman"/>
          <w:i/>
          <w:iCs/>
        </w:rPr>
        <w:t>IPT</w:t>
      </w:r>
      <w:proofErr w:type="spellEnd"/>
      <w:r>
        <w:rPr>
          <w:rFonts w:ascii="Times New Roman" w:hAnsi="Times New Roman"/>
        </w:rPr>
        <w:t xml:space="preserve"> uzskatīja, ka 16. pantā noteiktie drošības pasākumi, kas piemēroti vienīgi pārtvertajam materiālam, nevis saistītajiem sakaru datiem, ir bijuši pietiekami. Lai gan tā secināja, ka spriedumā lietā “Vēbere” noteiktie kritēriji attiekušies arī uz sakaru datiem, tā uzskatīja, ka bijuši nodrošināti adekvāti aizsardzības un drošības pasākumi, atsaucoties uz </w:t>
      </w:r>
      <w:r>
        <w:rPr>
          <w:rFonts w:ascii="Times New Roman" w:hAnsi="Times New Roman"/>
          <w:i/>
          <w:iCs/>
        </w:rPr>
        <w:t>RIPA</w:t>
      </w:r>
      <w:r>
        <w:rPr>
          <w:rFonts w:ascii="Times New Roman" w:hAnsi="Times New Roman"/>
        </w:rPr>
        <w:t xml:space="preserve"> 15. pantu (skat. turpmāk 77.–82. punktu). Turklāt, ciktāl 16. pants sakaru saturam ir paredzējis lielāku aizsardzību nekā sakaru datiem, šī atšķirība ir bijusi pamatota un samērīga, jo sakaru dati bijuši nepieciešami, lai identificētu personas, kuru pārtvertā materiāla aizsardzību paredz 16. pants (proti, personas, par kurām zināms, ka tās atrodas Britu salās).</w:t>
      </w:r>
    </w:p>
    <w:p w14:paraId="21B43416" w14:textId="05F5363C" w:rsidR="000E3283" w:rsidRPr="008D031E" w:rsidRDefault="000E3283" w:rsidP="001F1E46">
      <w:pPr>
        <w:pStyle w:val="JuPara"/>
        <w:widowControl w:val="0"/>
        <w:ind w:firstLine="142"/>
        <w:rPr>
          <w:rFonts w:ascii="Times New Roman" w:hAnsi="Times New Roman"/>
          <w:noProof/>
        </w:rPr>
      </w:pPr>
      <w:bookmarkStart w:id="29" w:name="searchtermswarrant"/>
      <w:r>
        <w:rPr>
          <w:rFonts w:ascii="Times New Roman" w:hAnsi="Times New Roman"/>
        </w:rPr>
        <w:t>49</w:t>
      </w:r>
      <w:bookmarkEnd w:id="29"/>
      <w:r>
        <w:rPr>
          <w:rFonts w:ascii="Times New Roman" w:hAnsi="Times New Roman"/>
        </w:rPr>
        <w:t xml:space="preserve">. Pievēršoties trešajam jautājumam, </w:t>
      </w:r>
      <w:proofErr w:type="spellStart"/>
      <w:r>
        <w:rPr>
          <w:rFonts w:ascii="Times New Roman" w:hAnsi="Times New Roman"/>
          <w:i/>
          <w:iCs/>
        </w:rPr>
        <w:t>IPT</w:t>
      </w:r>
      <w:proofErr w:type="spellEnd"/>
      <w:r>
        <w:rPr>
          <w:rFonts w:ascii="Times New Roman" w:hAnsi="Times New Roman"/>
        </w:rPr>
        <w:t xml:space="preserve"> secināja, ka 8. panta 4. punktā noteiktais režīms pietiekami atbildis spriedumā lietā “Vēbere” izklāstītajiem kritērijiem (proti, iepriekš minētā sprieduma lietā “Vēbere un </w:t>
      </w:r>
      <w:proofErr w:type="spellStart"/>
      <w:r>
        <w:rPr>
          <w:rFonts w:ascii="Times New Roman" w:hAnsi="Times New Roman"/>
        </w:rPr>
        <w:t>Sarāvija</w:t>
      </w:r>
      <w:proofErr w:type="spellEnd"/>
      <w:r>
        <w:rPr>
          <w:rFonts w:ascii="Times New Roman" w:hAnsi="Times New Roman"/>
        </w:rPr>
        <w:t>” 95. punktā minētajiem kritērijiem, skat. arī turpmāk 274. un 335. punktu) un jebkurā gadījumā bijis “atbilstošs likumam”. Attiecībā uz pirmo un otro prasību tā uzskatīja, ka atsaukšanās uz “valsts drošību” bija pietiekami skaidra (citējot “</w:t>
      </w:r>
      <w:proofErr w:type="spellStart"/>
      <w:r>
        <w:rPr>
          <w:rFonts w:ascii="Times New Roman" w:hAnsi="Times New Roman"/>
        </w:rPr>
        <w:t>Esbesters</w:t>
      </w:r>
      <w:proofErr w:type="spellEnd"/>
      <w:r>
        <w:rPr>
          <w:rFonts w:ascii="Times New Roman" w:hAnsi="Times New Roman"/>
        </w:rPr>
        <w:t xml:space="preserve"> [</w:t>
      </w:r>
      <w:proofErr w:type="spellStart"/>
      <w:r>
        <w:rPr>
          <w:rFonts w:ascii="Times New Roman" w:hAnsi="Times New Roman"/>
          <w:i/>
          <w:iCs/>
        </w:rPr>
        <w:t>Esbester</w:t>
      </w:r>
      <w:proofErr w:type="spellEnd"/>
      <w:r>
        <w:rPr>
          <w:rFonts w:ascii="Times New Roman" w:hAnsi="Times New Roman"/>
        </w:rPr>
        <w:t>] pret Apvienoto Karalisti” (lēmums), Nr. 18601/91, 1993. gada 2. aprīlis, un “Kenedijs [</w:t>
      </w:r>
      <w:proofErr w:type="spellStart"/>
      <w:r>
        <w:rPr>
          <w:rFonts w:ascii="Times New Roman" w:hAnsi="Times New Roman"/>
          <w:i/>
          <w:iCs/>
        </w:rPr>
        <w:t>Kennedy</w:t>
      </w:r>
      <w:proofErr w:type="spellEnd"/>
      <w:r>
        <w:rPr>
          <w:rFonts w:ascii="Times New Roman" w:hAnsi="Times New Roman"/>
        </w:rPr>
        <w:t xml:space="preserve">] pret Apvienoto Karalisti”, Nr. 26839/05, 2010. gada 18. maijs); mērķtiecīgas kontroles </w:t>
      </w:r>
      <w:proofErr w:type="spellStart"/>
      <w:r>
        <w:rPr>
          <w:rFonts w:ascii="Times New Roman" w:hAnsi="Times New Roman"/>
        </w:rPr>
        <w:t>neesība</w:t>
      </w:r>
      <w:proofErr w:type="spellEnd"/>
      <w:r>
        <w:rPr>
          <w:rFonts w:ascii="Times New Roman" w:hAnsi="Times New Roman"/>
        </w:rPr>
        <w:t xml:space="preserve"> pārtveršanas posmā bija pieņemama un neizbēgama, kā tas norādīts spriedumā lietā “Vēbere”; šajā kontekstā </w:t>
      </w:r>
      <w:proofErr w:type="spellStart"/>
      <w:r>
        <w:rPr>
          <w:rFonts w:ascii="Times New Roman" w:hAnsi="Times New Roman"/>
          <w:i/>
          <w:iCs/>
        </w:rPr>
        <w:t>IC</w:t>
      </w:r>
      <w:proofErr w:type="spellEnd"/>
      <w:r>
        <w:rPr>
          <w:rFonts w:ascii="Times New Roman" w:hAnsi="Times New Roman"/>
        </w:rPr>
        <w:t xml:space="preserve"> kodeksa 5.2. punkta noteikumi, tos aplūkojot kopā ar 2.4., 2.5., 5.3., 5.4., 5.5. un 5.6. punktu (skat. turpmāk 96. punktu), bija atbilstoši; netika pieprasīts norādīt pieteikumā ordera saņemšanai vai pašā orderī meklēšanas vārdus, jo tas būtu lieki apdraudējis un ierobežojis ordera darbību un jebkurā gadījumā bijis praktiski neiespējami, kā arī nebija nevienas prasības, kas noteiktu, ka šādam orderim ir jābūt apstiprinātam tiesā.</w:t>
      </w:r>
    </w:p>
    <w:p w14:paraId="193EE199" w14:textId="14121414" w:rsidR="000E3283" w:rsidRPr="008D031E" w:rsidRDefault="000E3283" w:rsidP="001F1E46">
      <w:pPr>
        <w:pStyle w:val="JuPara"/>
        <w:widowControl w:val="0"/>
        <w:ind w:firstLine="142"/>
        <w:rPr>
          <w:rFonts w:ascii="Times New Roman" w:hAnsi="Times New Roman"/>
          <w:noProof/>
        </w:rPr>
      </w:pPr>
      <w:bookmarkStart w:id="30" w:name="IPTRetDes"/>
      <w:r>
        <w:rPr>
          <w:rFonts w:ascii="Times New Roman" w:hAnsi="Times New Roman"/>
        </w:rPr>
        <w:t>50</w:t>
      </w:r>
      <w:bookmarkEnd w:id="30"/>
      <w:r>
        <w:rPr>
          <w:rFonts w:ascii="Times New Roman" w:hAnsi="Times New Roman"/>
        </w:rPr>
        <w:t xml:space="preserve">. Izvērtējot sprieduma lietā “Vēbere” minēto trešo, ceturto, piekto un sesto kritēriju, </w:t>
      </w:r>
      <w:proofErr w:type="spellStart"/>
      <w:r>
        <w:rPr>
          <w:rFonts w:ascii="Times New Roman" w:hAnsi="Times New Roman"/>
          <w:i/>
          <w:iCs/>
        </w:rPr>
        <w:t>IPT</w:t>
      </w:r>
      <w:proofErr w:type="spellEnd"/>
      <w:r>
        <w:rPr>
          <w:rFonts w:ascii="Times New Roman" w:hAnsi="Times New Roman"/>
        </w:rPr>
        <w:t xml:space="preserve"> ņēma vērā </w:t>
      </w:r>
      <w:r>
        <w:rPr>
          <w:rFonts w:ascii="Times New Roman" w:hAnsi="Times New Roman"/>
          <w:i/>
          <w:iCs/>
        </w:rPr>
        <w:t>RIPA</w:t>
      </w:r>
      <w:r>
        <w:rPr>
          <w:rFonts w:ascii="Times New Roman" w:hAnsi="Times New Roman"/>
        </w:rPr>
        <w:t xml:space="preserve"> 15. un 16. pantā, </w:t>
      </w:r>
      <w:proofErr w:type="spellStart"/>
      <w:r>
        <w:rPr>
          <w:rFonts w:ascii="Times New Roman" w:hAnsi="Times New Roman"/>
          <w:i/>
          <w:iCs/>
        </w:rPr>
        <w:t>IC</w:t>
      </w:r>
      <w:proofErr w:type="spellEnd"/>
      <w:r>
        <w:rPr>
          <w:rFonts w:ascii="Times New Roman" w:hAnsi="Times New Roman"/>
        </w:rPr>
        <w:t xml:space="preserve"> kodeksā un “zem ūdenslīnijas” esošajos pasākumos paredzētos drošības pasākumus. Tā neuzskatīja par nepieciešamu publicēt visu drošības pasākumu precīzu informāciju vai to ietvert tiesību aktā vai prakses kodeksā. Jo īpaši valsts drošības jomā iespējams ņemt vērā neizpaužamus administratīvus pasākumus, kurus izpildvara pēc būtības varējusi grozīt neatkarīgi no parlamenta, ja izpaustā informācija liecinājusi par rīcības brīvības apmēru un īstenošanas veidu. Gluži kā šajā lietā, tas tā jo īpaši bijis tad, kad </w:t>
      </w:r>
      <w:proofErr w:type="spellStart"/>
      <w:r>
        <w:rPr>
          <w:rFonts w:ascii="Times New Roman" w:hAnsi="Times New Roman"/>
          <w:i/>
          <w:iCs/>
        </w:rPr>
        <w:t>IC</w:t>
      </w:r>
      <w:proofErr w:type="spellEnd"/>
      <w:r>
        <w:rPr>
          <w:rFonts w:ascii="Times New Roman" w:hAnsi="Times New Roman"/>
        </w:rPr>
        <w:t xml:space="preserve"> kodekss attiecies uz pasākumiem un bijusi ieviesta kontroles sistēma (proti, </w:t>
      </w:r>
      <w:proofErr w:type="spellStart"/>
      <w:r>
        <w:rPr>
          <w:rFonts w:ascii="Times New Roman" w:hAnsi="Times New Roman"/>
          <w:i/>
          <w:iCs/>
        </w:rPr>
        <w:t>IC</w:t>
      </w:r>
      <w:proofErr w:type="spellEnd"/>
      <w:r>
        <w:rPr>
          <w:rFonts w:ascii="Times New Roman" w:hAnsi="Times New Roman"/>
        </w:rPr>
        <w:t xml:space="preserve"> komisārs, pati </w:t>
      </w:r>
      <w:proofErr w:type="spellStart"/>
      <w:r>
        <w:rPr>
          <w:rFonts w:ascii="Times New Roman" w:hAnsi="Times New Roman"/>
          <w:i/>
          <w:iCs/>
        </w:rPr>
        <w:t>IPT</w:t>
      </w:r>
      <w:proofErr w:type="spellEnd"/>
      <w:r>
        <w:rPr>
          <w:rFonts w:ascii="Times New Roman" w:hAnsi="Times New Roman"/>
        </w:rPr>
        <w:t xml:space="preserve"> un </w:t>
      </w:r>
      <w:proofErr w:type="spellStart"/>
      <w:r>
        <w:rPr>
          <w:rFonts w:ascii="Times New Roman" w:hAnsi="Times New Roman"/>
          <w:i/>
          <w:iCs/>
        </w:rPr>
        <w:t>ISC</w:t>
      </w:r>
      <w:proofErr w:type="spellEnd"/>
      <w:r>
        <w:rPr>
          <w:rFonts w:ascii="Times New Roman" w:hAnsi="Times New Roman"/>
        </w:rPr>
        <w:t xml:space="preserve">), kas nodrošinājusi, ka šie pasākumi tiek pārskatīti. </w:t>
      </w:r>
      <w:proofErr w:type="spellStart"/>
      <w:r>
        <w:rPr>
          <w:rFonts w:ascii="Times New Roman" w:hAnsi="Times New Roman"/>
          <w:i/>
          <w:iCs/>
        </w:rPr>
        <w:t>IPT</w:t>
      </w:r>
      <w:proofErr w:type="spellEnd"/>
      <w:r>
        <w:rPr>
          <w:rFonts w:ascii="Times New Roman" w:hAnsi="Times New Roman"/>
        </w:rPr>
        <w:t xml:space="preserve"> guva pārliecību, ka, spriežot pēc slēgtajā paskaidrojumu uzklausīšanā sniegtās informācijas, nebija izveidota liela sakaru datubāze un bija ieviesti atbilstoši pasākumi attiecībā uz datu saglabāšanas ilgumu un iznīcināšanu. Attiecībā uz “</w:t>
      </w:r>
      <w:proofErr w:type="spellStart"/>
      <w:r>
        <w:rPr>
          <w:rFonts w:ascii="Times New Roman" w:hAnsi="Times New Roman"/>
        </w:rPr>
        <w:t>PRISM</w:t>
      </w:r>
      <w:proofErr w:type="spellEnd"/>
      <w:r>
        <w:rPr>
          <w:rFonts w:ascii="Times New Roman" w:hAnsi="Times New Roman"/>
        </w:rPr>
        <w:t xml:space="preserve">” jautājumu </w:t>
      </w:r>
      <w:proofErr w:type="spellStart"/>
      <w:r>
        <w:rPr>
          <w:rFonts w:ascii="Times New Roman" w:hAnsi="Times New Roman"/>
          <w:i/>
          <w:iCs/>
        </w:rPr>
        <w:t>IPT</w:t>
      </w:r>
      <w:proofErr w:type="spellEnd"/>
      <w:r>
        <w:rPr>
          <w:rFonts w:ascii="Times New Roman" w:hAnsi="Times New Roman"/>
        </w:rPr>
        <w:t xml:space="preserve"> uzskatīja, ka 8. panta 4. punktā paredzētie pasākumi bija pietiekami norādīti tiesību aktā, </w:t>
      </w:r>
      <w:proofErr w:type="spellStart"/>
      <w:r>
        <w:rPr>
          <w:rFonts w:ascii="Times New Roman" w:hAnsi="Times New Roman"/>
          <w:i/>
          <w:iCs/>
        </w:rPr>
        <w:t>IC</w:t>
      </w:r>
      <w:proofErr w:type="spellEnd"/>
      <w:r>
        <w:rPr>
          <w:rFonts w:ascii="Times New Roman" w:hAnsi="Times New Roman"/>
        </w:rPr>
        <w:t xml:space="preserve"> kodeksā, </w:t>
      </w:r>
      <w:proofErr w:type="spellStart"/>
      <w:r>
        <w:rPr>
          <w:rFonts w:ascii="Times New Roman" w:hAnsi="Times New Roman"/>
          <w:i/>
          <w:iCs/>
        </w:rPr>
        <w:t>IC</w:t>
      </w:r>
      <w:proofErr w:type="spellEnd"/>
      <w:r>
        <w:rPr>
          <w:rFonts w:ascii="Times New Roman" w:hAnsi="Times New Roman"/>
        </w:rPr>
        <w:t xml:space="preserve"> komisāra ziņojumos un tagad arī tās pasludinātajā spriedumā.</w:t>
      </w:r>
    </w:p>
    <w:p w14:paraId="1C616780" w14:textId="3E39F366" w:rsidR="000E3283" w:rsidRPr="008D031E" w:rsidRDefault="000E3283" w:rsidP="001F1E46">
      <w:pPr>
        <w:pStyle w:val="JuPara"/>
        <w:widowControl w:val="0"/>
        <w:ind w:firstLine="142"/>
        <w:rPr>
          <w:rFonts w:ascii="Times New Roman" w:hAnsi="Times New Roman"/>
          <w:noProof/>
        </w:rPr>
      </w:pPr>
      <w:r>
        <w:rPr>
          <w:rFonts w:ascii="Times New Roman" w:hAnsi="Times New Roman"/>
        </w:rPr>
        <w:t xml:space="preserve">51. Attiecībā uz ceturto un pēdējo jautājumu </w:t>
      </w:r>
      <w:proofErr w:type="spellStart"/>
      <w:r>
        <w:rPr>
          <w:rFonts w:ascii="Times New Roman" w:hAnsi="Times New Roman"/>
          <w:i/>
          <w:iCs/>
        </w:rPr>
        <w:t>IPT</w:t>
      </w:r>
      <w:proofErr w:type="spellEnd"/>
      <w:r>
        <w:rPr>
          <w:rFonts w:ascii="Times New Roman" w:hAnsi="Times New Roman"/>
        </w:rPr>
        <w:t xml:space="preserve"> nekonstatēja, ka patiesībā pieļauta netieša diskriminācija nacionālās piederības dēļ, kas izriet no dažādajiem režīmiem, kas piemērojami personām, kuras atrodas Britu salās, un personām, kuras atrodas ārpus tām, jo tā uzskatīja, ka jebkura netieša diskriminācija bija pietiekami pamatota, jo ir grūtāk izmeklēt terorisma un noziedzīgus draudus no ārvalstīm. Tā kā ārējo sakaru piekļuves mērķis ir galvenokārt iegūt </w:t>
      </w:r>
      <w:r>
        <w:rPr>
          <w:rFonts w:ascii="Times New Roman" w:hAnsi="Times New Roman"/>
        </w:rPr>
        <w:lastRenderedPageBreak/>
        <w:t xml:space="preserve">informāciju par ārvalstīs esošajām personām, atsakoties no iekšējo un ārējo sakaru nošķiršanas, rastos nepieciešamība praktiski jebkurā gadījumā iegūt apliecinājumu saskaņā ar </w:t>
      </w:r>
      <w:r>
        <w:rPr>
          <w:rFonts w:ascii="Times New Roman" w:hAnsi="Times New Roman"/>
          <w:i/>
          <w:iCs/>
        </w:rPr>
        <w:t>RIPA</w:t>
      </w:r>
      <w:r>
        <w:rPr>
          <w:rFonts w:ascii="Times New Roman" w:hAnsi="Times New Roman"/>
        </w:rPr>
        <w:t xml:space="preserve"> 16. panta 3. punktu (kas īpašā kārtā ļāva piekļūt materiālam par Britu salās esošajām personām, kurš pārtverts saskaņā ar 8. panta 4. punktā minēto orderi, skat. turpmāk 86. punktu), kas radikāli apdraudētu 8. panta 4. punktā paredzētā režīma efektivitāti.</w:t>
      </w:r>
    </w:p>
    <w:p w14:paraId="5FCC66D3" w14:textId="44D559DC" w:rsidR="000E3283" w:rsidRPr="008D031E" w:rsidRDefault="000E3283" w:rsidP="001F1E46">
      <w:pPr>
        <w:pStyle w:val="JuPara"/>
        <w:widowControl w:val="0"/>
        <w:ind w:firstLine="142"/>
        <w:rPr>
          <w:rFonts w:ascii="Times New Roman" w:hAnsi="Times New Roman"/>
          <w:noProof/>
        </w:rPr>
      </w:pPr>
      <w:bookmarkStart w:id="31" w:name="LibertyBelhadj"/>
      <w:r>
        <w:rPr>
          <w:rFonts w:ascii="Times New Roman" w:hAnsi="Times New Roman"/>
        </w:rPr>
        <w:t>52</w:t>
      </w:r>
      <w:bookmarkEnd w:id="31"/>
      <w:r>
        <w:rPr>
          <w:rFonts w:ascii="Times New Roman" w:hAnsi="Times New Roman"/>
        </w:rPr>
        <w:t>. Visbeidzot pieteikuma iesniedzēji apgalvoja, ka Konvencijas 10. pantā garantētā aizsardzība uz NVO, kas darbojas izmeklēšanas jomā, attiekusies tāpat kā uz žurnālistiem. “</w:t>
      </w:r>
      <w:proofErr w:type="spellStart"/>
      <w:r>
        <w:rPr>
          <w:rFonts w:ascii="Times New Roman" w:hAnsi="Times New Roman"/>
        </w:rPr>
        <w:t>Amnesty</w:t>
      </w:r>
      <w:proofErr w:type="spellEnd"/>
      <w:r>
        <w:rPr>
          <w:rFonts w:ascii="Times New Roman" w:hAnsi="Times New Roman"/>
        </w:rPr>
        <w:t xml:space="preserve"> </w:t>
      </w:r>
      <w:proofErr w:type="spellStart"/>
      <w:r>
        <w:rPr>
          <w:rFonts w:ascii="Times New Roman" w:hAnsi="Times New Roman"/>
        </w:rPr>
        <w:t>International</w:t>
      </w:r>
      <w:proofErr w:type="spellEnd"/>
      <w:r>
        <w:rPr>
          <w:rFonts w:ascii="Times New Roman" w:hAnsi="Times New Roman"/>
        </w:rPr>
        <w:t xml:space="preserve">” sākotnēji </w:t>
      </w:r>
      <w:proofErr w:type="spellStart"/>
      <w:r>
        <w:rPr>
          <w:rFonts w:ascii="Times New Roman" w:hAnsi="Times New Roman"/>
          <w:i/>
          <w:iCs/>
        </w:rPr>
        <w:t>IPT</w:t>
      </w:r>
      <w:proofErr w:type="spellEnd"/>
      <w:r>
        <w:rPr>
          <w:rFonts w:ascii="Times New Roman" w:hAnsi="Times New Roman"/>
        </w:rPr>
        <w:t xml:space="preserve"> izteica apgalvojumu, ka, visticamāk, nav adekvātu pasākumu attiecībā uz materiālu, ko aizsargā advokāta un klienta saziņas konfidencialitāte un kas bija sūdzība, kura pēc tam tika “novirzīta” izskatīšanai lietā “</w:t>
      </w:r>
      <w:proofErr w:type="spellStart"/>
      <w:r>
        <w:rPr>
          <w:rFonts w:ascii="Times New Roman" w:hAnsi="Times New Roman"/>
        </w:rPr>
        <w:t>Belhažs</w:t>
      </w:r>
      <w:proofErr w:type="spellEnd"/>
      <w:r>
        <w:rPr>
          <w:rFonts w:ascii="Times New Roman" w:hAnsi="Times New Roman"/>
        </w:rPr>
        <w:t xml:space="preserve"> [</w:t>
      </w:r>
      <w:proofErr w:type="spellStart"/>
      <w:r>
        <w:rPr>
          <w:rFonts w:ascii="Times New Roman" w:hAnsi="Times New Roman"/>
          <w:i/>
          <w:iCs/>
        </w:rPr>
        <w:t>Belhadj</w:t>
      </w:r>
      <w:proofErr w:type="spellEnd"/>
      <w:r>
        <w:rPr>
          <w:rFonts w:ascii="Times New Roman" w:hAnsi="Times New Roman"/>
        </w:rPr>
        <w:t>]” (skat. turpmāk 99.–101. punktu), kurā “</w:t>
      </w:r>
      <w:proofErr w:type="spellStart"/>
      <w:r>
        <w:rPr>
          <w:rFonts w:ascii="Times New Roman" w:hAnsi="Times New Roman"/>
        </w:rPr>
        <w:t>Amnesty</w:t>
      </w:r>
      <w:proofErr w:type="spellEnd"/>
      <w:r>
        <w:rPr>
          <w:rFonts w:ascii="Times New Roman" w:hAnsi="Times New Roman"/>
        </w:rPr>
        <w:t xml:space="preserve"> </w:t>
      </w:r>
      <w:proofErr w:type="spellStart"/>
      <w:r>
        <w:rPr>
          <w:rFonts w:ascii="Times New Roman" w:hAnsi="Times New Roman"/>
        </w:rPr>
        <w:t>International</w:t>
      </w:r>
      <w:proofErr w:type="spellEnd"/>
      <w:r>
        <w:rPr>
          <w:rFonts w:ascii="Times New Roman" w:hAnsi="Times New Roman"/>
        </w:rPr>
        <w:t xml:space="preserve">” iestājās kā papildu prasītājs. Līdz 2014. gada 17. novembrim (pēc pirmās un otrās atklātās paskaidrojumu uzklausīšanas) nebija izvirzīts neviens līdzīgs arguments par NVO konfidencialitāti. Tā kā </w:t>
      </w:r>
      <w:proofErr w:type="spellStart"/>
      <w:r>
        <w:rPr>
          <w:rFonts w:ascii="Times New Roman" w:hAnsi="Times New Roman"/>
          <w:i/>
          <w:iCs/>
        </w:rPr>
        <w:t>IPT</w:t>
      </w:r>
      <w:proofErr w:type="spellEnd"/>
      <w:r>
        <w:rPr>
          <w:rFonts w:ascii="Times New Roman" w:hAnsi="Times New Roman"/>
        </w:rPr>
        <w:t xml:space="preserve"> uzskatīja, ka šo argumentu varēja izvirzīt jebkurā laikā, tās spriedumā tas bijis izvirzīts “par vēlu”, lai to iekļautu tiesvedībā.</w:t>
      </w:r>
    </w:p>
    <w:p w14:paraId="3F9197E0" w14:textId="3D8E2AB3" w:rsidR="000E3283" w:rsidRPr="008D031E" w:rsidRDefault="000E3283" w:rsidP="001F1E46">
      <w:pPr>
        <w:pStyle w:val="JuPara"/>
        <w:widowControl w:val="0"/>
        <w:ind w:firstLine="142"/>
        <w:rPr>
          <w:rFonts w:ascii="Times New Roman" w:hAnsi="Times New Roman"/>
          <w:noProof/>
        </w:rPr>
      </w:pPr>
      <w:r>
        <w:rPr>
          <w:rFonts w:ascii="Times New Roman" w:hAnsi="Times New Roman"/>
        </w:rPr>
        <w:t>53. Attiecībā uz pārējām saskaņā ar 10. pantu iesniegtajām sūdzībām</w:t>
      </w:r>
      <w:r>
        <w:rPr>
          <w:rFonts w:ascii="Times New Roman" w:hAnsi="Times New Roman"/>
          <w:i/>
          <w:iCs/>
        </w:rPr>
        <w:t xml:space="preserve"> </w:t>
      </w:r>
      <w:proofErr w:type="spellStart"/>
      <w:r>
        <w:rPr>
          <w:rFonts w:ascii="Times New Roman" w:hAnsi="Times New Roman"/>
          <w:i/>
          <w:iCs/>
        </w:rPr>
        <w:t>IPT</w:t>
      </w:r>
      <w:proofErr w:type="spellEnd"/>
      <w:r>
        <w:rPr>
          <w:rFonts w:ascii="Times New Roman" w:hAnsi="Times New Roman"/>
        </w:rPr>
        <w:t xml:space="preserve"> piebilda, ka nav atsevišķu argumentu papildus tam, kas izriet no 8. panta. Lai gan </w:t>
      </w:r>
      <w:proofErr w:type="spellStart"/>
      <w:r>
        <w:rPr>
          <w:rFonts w:ascii="Times New Roman" w:hAnsi="Times New Roman"/>
          <w:i/>
          <w:iCs/>
        </w:rPr>
        <w:t>IPT</w:t>
      </w:r>
      <w:proofErr w:type="spellEnd"/>
      <w:r>
        <w:rPr>
          <w:rFonts w:ascii="Times New Roman" w:hAnsi="Times New Roman"/>
        </w:rPr>
        <w:t xml:space="preserve"> ņēma vērā 2010. gada 14. septembra spriedumu lietā Nr. 38224/03 ““</w:t>
      </w:r>
      <w:proofErr w:type="spellStart"/>
      <w:r>
        <w:rPr>
          <w:rFonts w:ascii="Times New Roman" w:hAnsi="Times New Roman"/>
        </w:rPr>
        <w:t>Sanoma</w:t>
      </w:r>
      <w:proofErr w:type="spellEnd"/>
      <w:r>
        <w:rPr>
          <w:rFonts w:ascii="Times New Roman" w:hAnsi="Times New Roman"/>
        </w:rPr>
        <w:t xml:space="preserve"> </w:t>
      </w:r>
      <w:proofErr w:type="spellStart"/>
      <w:r>
        <w:rPr>
          <w:rFonts w:ascii="Times New Roman" w:hAnsi="Times New Roman"/>
        </w:rPr>
        <w:t>Uitgevers</w:t>
      </w:r>
      <w:proofErr w:type="spellEnd"/>
      <w:r>
        <w:rPr>
          <w:rFonts w:ascii="Times New Roman" w:hAnsi="Times New Roman"/>
        </w:rPr>
        <w:t xml:space="preserve"> </w:t>
      </w:r>
      <w:proofErr w:type="spellStart"/>
      <w:r>
        <w:rPr>
          <w:rFonts w:ascii="Times New Roman" w:hAnsi="Times New Roman"/>
        </w:rPr>
        <w:t>B.V</w:t>
      </w:r>
      <w:proofErr w:type="spellEnd"/>
      <w:r>
        <w:rPr>
          <w:rFonts w:ascii="Times New Roman" w:hAnsi="Times New Roman"/>
        </w:rPr>
        <w:t>.” pret Nīderlandi” [</w:t>
      </w:r>
      <w:proofErr w:type="spellStart"/>
      <w:r>
        <w:rPr>
          <w:rFonts w:ascii="Times New Roman" w:hAnsi="Times New Roman"/>
          <w:i/>
          <w:iCs/>
        </w:rPr>
        <w:t>GC</w:t>
      </w:r>
      <w:proofErr w:type="spellEnd"/>
      <w:r>
        <w:rPr>
          <w:rFonts w:ascii="Times New Roman" w:hAnsi="Times New Roman"/>
        </w:rPr>
        <w:t xml:space="preserve">], tā uzsvēra, ka pieteikuma iesniedzēju lieta nav attiekusies uz žurnālistu vai nevalstisko organizāciju mērķētu uzraudzību. Jebkurā gadījumā tā uzskatīja, ka nemērķētas pārraudzības kontekstā, pamatojoties uz 8. panta 4. punktā noteikto orderi, būtu “acīmredzami neiespējami” paredzēt iepriekšēju tiesas atļauju pirms ordera, kas attiecas vienīgi uz to, kas varētu skart 10. pantu. Lai gan </w:t>
      </w:r>
      <w:proofErr w:type="spellStart"/>
      <w:r>
        <w:rPr>
          <w:rFonts w:ascii="Times New Roman" w:hAnsi="Times New Roman"/>
          <w:i/>
          <w:iCs/>
        </w:rPr>
        <w:t>IPT</w:t>
      </w:r>
      <w:proofErr w:type="spellEnd"/>
      <w:r>
        <w:rPr>
          <w:rFonts w:ascii="Times New Roman" w:hAnsi="Times New Roman"/>
        </w:rPr>
        <w:t xml:space="preserve"> atzina, ka varētu rasties problēmas, ja satura pārbaudes gaitā rastos daži ar žurnālistikas konfidencialitāti saistīti jautājumi, </w:t>
      </w:r>
      <w:proofErr w:type="spellStart"/>
      <w:r>
        <w:rPr>
          <w:rFonts w:ascii="Times New Roman" w:hAnsi="Times New Roman"/>
          <w:i/>
          <w:iCs/>
        </w:rPr>
        <w:t>IC</w:t>
      </w:r>
      <w:proofErr w:type="spellEnd"/>
      <w:r>
        <w:rPr>
          <w:rFonts w:ascii="Times New Roman" w:hAnsi="Times New Roman"/>
        </w:rPr>
        <w:t xml:space="preserve"> kodekss paredz papildu drošības pasākumus saistībā ar šāda materiāla apstrādi.</w:t>
      </w:r>
    </w:p>
    <w:p w14:paraId="4F7C4371" w14:textId="00B6074E" w:rsidR="000E3283" w:rsidRDefault="000E3283" w:rsidP="001F1E46">
      <w:pPr>
        <w:pStyle w:val="JuPara"/>
        <w:widowControl w:val="0"/>
        <w:ind w:firstLine="142"/>
        <w:rPr>
          <w:rFonts w:ascii="Times New Roman" w:hAnsi="Times New Roman"/>
          <w:noProof/>
        </w:rPr>
      </w:pPr>
      <w:r>
        <w:rPr>
          <w:rFonts w:ascii="Times New Roman" w:hAnsi="Times New Roman"/>
        </w:rPr>
        <w:t xml:space="preserve">54. Pēc sprieduma publicēšanas lietas dalībnieki tika aicināti izvirzīt argumentus par to, vai paziņojumu iesniegšanas </w:t>
      </w:r>
      <w:proofErr w:type="spellStart"/>
      <w:r>
        <w:rPr>
          <w:rFonts w:ascii="Times New Roman" w:hAnsi="Times New Roman"/>
          <w:i/>
          <w:iCs/>
        </w:rPr>
        <w:t>IPT</w:t>
      </w:r>
      <w:proofErr w:type="spellEnd"/>
      <w:r>
        <w:rPr>
          <w:rFonts w:ascii="Times New Roman" w:hAnsi="Times New Roman"/>
        </w:rPr>
        <w:t xml:space="preserve"> tiesiskais režīms saistībā ar “</w:t>
      </w:r>
      <w:proofErr w:type="spellStart"/>
      <w:r>
        <w:rPr>
          <w:rFonts w:ascii="Times New Roman" w:hAnsi="Times New Roman"/>
        </w:rPr>
        <w:t>PRISM</w:t>
      </w:r>
      <w:proofErr w:type="spellEnd"/>
      <w:r>
        <w:rPr>
          <w:rFonts w:ascii="Times New Roman" w:hAnsi="Times New Roman"/>
        </w:rPr>
        <w:t xml:space="preserve">” jautājumu atbilda 8. un 10. pantam, kā arī par to sakaru iespējamās pārtveršanas samērīgumu un likumību. </w:t>
      </w:r>
      <w:proofErr w:type="spellStart"/>
      <w:r>
        <w:rPr>
          <w:rFonts w:ascii="Times New Roman" w:hAnsi="Times New Roman"/>
          <w:i/>
          <w:iCs/>
        </w:rPr>
        <w:t>IPT</w:t>
      </w:r>
      <w:proofErr w:type="spellEnd"/>
      <w:r>
        <w:rPr>
          <w:rFonts w:ascii="Times New Roman" w:hAnsi="Times New Roman"/>
        </w:rPr>
        <w:t xml:space="preserve"> neuzskatīja par nepieciešamu izvirzīt papildu argumentus par 8. panta 4. punkta samērīgumu kopumā.</w:t>
      </w:r>
    </w:p>
    <w:p w14:paraId="5E2D52A6" w14:textId="77777777" w:rsidR="00FB1E72" w:rsidRPr="008D031E" w:rsidRDefault="00FB1E72" w:rsidP="001F1E46">
      <w:pPr>
        <w:pStyle w:val="JuPara"/>
        <w:widowControl w:val="0"/>
        <w:ind w:firstLine="142"/>
        <w:rPr>
          <w:rFonts w:ascii="Times New Roman" w:hAnsi="Times New Roman"/>
          <w:noProof/>
          <w:lang w:val="en-US"/>
        </w:rPr>
      </w:pPr>
    </w:p>
    <w:p w14:paraId="6D34226F" w14:textId="60005B58" w:rsidR="000E3283" w:rsidRDefault="00FB1E72" w:rsidP="001F1E46">
      <w:pPr>
        <w:pStyle w:val="JuHA"/>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 xml:space="preserve">C. </w:t>
      </w:r>
      <w:proofErr w:type="spellStart"/>
      <w:r>
        <w:rPr>
          <w:rFonts w:ascii="Times New Roman" w:hAnsi="Times New Roman"/>
          <w:i/>
          <w:iCs/>
        </w:rPr>
        <w:t>IPT</w:t>
      </w:r>
      <w:proofErr w:type="spellEnd"/>
      <w:r>
        <w:rPr>
          <w:rFonts w:ascii="Times New Roman" w:hAnsi="Times New Roman"/>
        </w:rPr>
        <w:t xml:space="preserve"> otrais 2015. gada 6. februārī pasludinātais spriedums</w:t>
      </w:r>
    </w:p>
    <w:p w14:paraId="5AC39F7B" w14:textId="77777777" w:rsidR="00FB1E72" w:rsidRPr="00FB1E72" w:rsidRDefault="00FB1E72" w:rsidP="001F1E46">
      <w:pPr>
        <w:pStyle w:val="JuPara"/>
        <w:widowControl w:val="0"/>
        <w:rPr>
          <w:lang w:val="en-US"/>
        </w:rPr>
      </w:pPr>
    </w:p>
    <w:p w14:paraId="0419FB1B" w14:textId="410EEB21" w:rsidR="000E3283" w:rsidRPr="008D031E" w:rsidRDefault="000E3283" w:rsidP="001F1E46">
      <w:pPr>
        <w:pStyle w:val="JuPara"/>
        <w:widowControl w:val="0"/>
        <w:ind w:firstLine="142"/>
        <w:rPr>
          <w:rFonts w:ascii="Times New Roman" w:hAnsi="Times New Roman"/>
          <w:noProof/>
        </w:rPr>
      </w:pPr>
      <w:r>
        <w:rPr>
          <w:rFonts w:ascii="Times New Roman" w:hAnsi="Times New Roman"/>
        </w:rPr>
        <w:t xml:space="preserve">55. </w:t>
      </w:r>
      <w:proofErr w:type="spellStart"/>
      <w:r>
        <w:rPr>
          <w:rFonts w:ascii="Times New Roman" w:hAnsi="Times New Roman"/>
          <w:i/>
          <w:iCs/>
        </w:rPr>
        <w:t>IPT</w:t>
      </w:r>
      <w:proofErr w:type="spellEnd"/>
      <w:r>
        <w:rPr>
          <w:rFonts w:ascii="Times New Roman" w:hAnsi="Times New Roman"/>
        </w:rPr>
        <w:t xml:space="preserve"> savā otrajā 2015. gada 6. februārī pasludinātajā spriedumā izvērtēja, vai pirms tās 2014. gada decembra sprieduma pasludināšanas ar “</w:t>
      </w:r>
      <w:proofErr w:type="spellStart"/>
      <w:r>
        <w:rPr>
          <w:rFonts w:ascii="Times New Roman" w:hAnsi="Times New Roman"/>
        </w:rPr>
        <w:t>PRISM</w:t>
      </w:r>
      <w:proofErr w:type="spellEnd"/>
      <w:r>
        <w:rPr>
          <w:rFonts w:ascii="Times New Roman" w:hAnsi="Times New Roman"/>
        </w:rPr>
        <w:t>” vai “</w:t>
      </w:r>
      <w:proofErr w:type="spellStart"/>
      <w:r>
        <w:rPr>
          <w:rFonts w:ascii="Times New Roman" w:hAnsi="Times New Roman"/>
        </w:rPr>
        <w:t>Upstream</w:t>
      </w:r>
      <w:proofErr w:type="spellEnd"/>
      <w:r>
        <w:rPr>
          <w:rFonts w:ascii="Times New Roman" w:hAnsi="Times New Roman"/>
        </w:rPr>
        <w:t>” pasākumiem ir pārkāpts Konvencijas 8. un/vai 10. pants.</w:t>
      </w:r>
    </w:p>
    <w:p w14:paraId="73C2FB2B" w14:textId="743FBD2F" w:rsidR="000E3283" w:rsidRDefault="000E3283" w:rsidP="001F1E46">
      <w:pPr>
        <w:pStyle w:val="JuPara"/>
        <w:widowControl w:val="0"/>
        <w:ind w:firstLine="142"/>
        <w:rPr>
          <w:rFonts w:ascii="Times New Roman" w:hAnsi="Times New Roman"/>
          <w:noProof/>
        </w:rPr>
      </w:pPr>
      <w:r>
        <w:rPr>
          <w:rFonts w:ascii="Times New Roman" w:hAnsi="Times New Roman"/>
        </w:rPr>
        <w:t xml:space="preserve">56. Tā piekrita, ka, tikai atsaucoties uz 9. oktobra paziņojumu ar attiecīgajiem grozījumiem (skat. iepriekš 33. un 36. punktu), tā guvusi pārliecību, ka režīms bijis “atbilstošs likumam”. </w:t>
      </w:r>
      <w:proofErr w:type="spellStart"/>
      <w:r>
        <w:rPr>
          <w:rFonts w:ascii="Times New Roman" w:hAnsi="Times New Roman"/>
          <w:i/>
          <w:iCs/>
        </w:rPr>
        <w:t>IPT</w:t>
      </w:r>
      <w:proofErr w:type="spellEnd"/>
      <w:r>
        <w:rPr>
          <w:rFonts w:ascii="Times New Roman" w:hAnsi="Times New Roman"/>
        </w:rPr>
        <w:t xml:space="preserve"> ieskatā, ja nebūtu iesniegti attiecīgie paziņojumi, nebūtu sniegti atbilstoši norādījumi, kā to nosaka 8. un 10. pants. Tādēļ tā paziņoja, ka pirms paziņojumu iesniegšanas:</w:t>
      </w:r>
    </w:p>
    <w:p w14:paraId="6C56B7C5" w14:textId="77777777" w:rsidR="00FB1E72" w:rsidRPr="008D031E" w:rsidRDefault="00FB1E72" w:rsidP="001F1E46">
      <w:pPr>
        <w:pStyle w:val="JuPara"/>
        <w:widowControl w:val="0"/>
        <w:ind w:firstLine="0"/>
        <w:rPr>
          <w:rFonts w:ascii="Times New Roman" w:hAnsi="Times New Roman"/>
          <w:noProof/>
          <w:lang w:val="en-US"/>
        </w:rPr>
      </w:pPr>
    </w:p>
    <w:p w14:paraId="1A2AA1F3" w14:textId="6EE096CB"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“23. (..) [R]</w:t>
      </w:r>
      <w:proofErr w:type="spellStart"/>
      <w:r>
        <w:rPr>
          <w:rFonts w:ascii="Times New Roman" w:hAnsi="Times New Roman"/>
          <w:sz w:val="24"/>
        </w:rPr>
        <w:t>ežīms</w:t>
      </w:r>
      <w:proofErr w:type="spellEnd"/>
      <w:r>
        <w:rPr>
          <w:rFonts w:ascii="Times New Roman" w:hAnsi="Times New Roman"/>
          <w:sz w:val="24"/>
        </w:rPr>
        <w:t>, kas reglamentē kārtību, kādā Apvienotās Karalistes iestādes pieprasa, saņem, uzglabā un pārraida Apvienotajā Karalistē esošu personu privātos sakarus, ko ASV iestādes ieguvušas, izmantojot “</w:t>
      </w:r>
      <w:proofErr w:type="spellStart"/>
      <w:r>
        <w:rPr>
          <w:rFonts w:ascii="Times New Roman" w:hAnsi="Times New Roman"/>
          <w:sz w:val="24"/>
        </w:rPr>
        <w:t>Prism</w:t>
      </w:r>
      <w:proofErr w:type="spellEnd"/>
      <w:r>
        <w:rPr>
          <w:rFonts w:ascii="Times New Roman" w:hAnsi="Times New Roman"/>
          <w:sz w:val="24"/>
        </w:rPr>
        <w:t>” un/vai .. “</w:t>
      </w:r>
      <w:proofErr w:type="spellStart"/>
      <w:r>
        <w:rPr>
          <w:rFonts w:ascii="Times New Roman" w:hAnsi="Times New Roman"/>
          <w:sz w:val="24"/>
        </w:rPr>
        <w:t>Upstream</w:t>
      </w:r>
      <w:proofErr w:type="spellEnd"/>
      <w:r>
        <w:rPr>
          <w:rFonts w:ascii="Times New Roman" w:hAnsi="Times New Roman"/>
          <w:sz w:val="24"/>
        </w:rPr>
        <w:t xml:space="preserve">”, bija pretrunā ar </w:t>
      </w:r>
      <w:proofErr w:type="spellStart"/>
      <w:r>
        <w:rPr>
          <w:rFonts w:ascii="Times New Roman" w:hAnsi="Times New Roman"/>
          <w:i/>
          <w:iCs/>
          <w:sz w:val="24"/>
        </w:rPr>
        <w:t>ECHR</w:t>
      </w:r>
      <w:proofErr w:type="spellEnd"/>
      <w:r>
        <w:rPr>
          <w:rFonts w:ascii="Times New Roman" w:hAnsi="Times New Roman"/>
          <w:sz w:val="24"/>
        </w:rPr>
        <w:t xml:space="preserve"> 8. un 10. pantu, taču tagad tas šiem pantiem atbilst.”</w:t>
      </w:r>
    </w:p>
    <w:p w14:paraId="65DF0AA8" w14:textId="77777777" w:rsidR="00FB1E72" w:rsidRPr="008D031E" w:rsidRDefault="00FB1E72" w:rsidP="001F1E46">
      <w:pPr>
        <w:pStyle w:val="JuQuot"/>
        <w:widowControl w:val="0"/>
        <w:spacing w:before="0" w:after="0"/>
        <w:ind w:left="0" w:firstLine="0"/>
        <w:rPr>
          <w:rFonts w:ascii="Times New Roman" w:hAnsi="Times New Roman"/>
          <w:noProof/>
          <w:sz w:val="24"/>
          <w:lang w:val="en-US"/>
        </w:rPr>
      </w:pPr>
    </w:p>
    <w:p w14:paraId="7093AE88" w14:textId="78958D14" w:rsidR="000E3283" w:rsidRDefault="00FB1E72" w:rsidP="008460D6">
      <w:pPr>
        <w:pStyle w:val="JuHA"/>
        <w:widowControl w:val="0"/>
        <w:numPr>
          <w:ilvl w:val="0"/>
          <w:numId w:val="0"/>
        </w:numPr>
        <w:spacing w:before="0" w:beforeAutospacing="0" w:after="0"/>
        <w:outlineLvl w:val="9"/>
        <w:rPr>
          <w:rFonts w:ascii="Times New Roman" w:hAnsi="Times New Roman"/>
          <w:noProof/>
        </w:rPr>
      </w:pPr>
      <w:r>
        <w:rPr>
          <w:rFonts w:ascii="Times New Roman" w:hAnsi="Times New Roman"/>
        </w:rPr>
        <w:lastRenderedPageBreak/>
        <w:t xml:space="preserve">D. </w:t>
      </w:r>
      <w:proofErr w:type="spellStart"/>
      <w:r>
        <w:rPr>
          <w:rFonts w:ascii="Times New Roman" w:hAnsi="Times New Roman"/>
          <w:i/>
          <w:iCs/>
        </w:rPr>
        <w:t>IPT</w:t>
      </w:r>
      <w:proofErr w:type="spellEnd"/>
      <w:r>
        <w:rPr>
          <w:rFonts w:ascii="Times New Roman" w:hAnsi="Times New Roman"/>
        </w:rPr>
        <w:t xml:space="preserve"> trešais 2015. gada 22. jūnijā pasludinātais spriedums, kas grozīts ar tās 2015. gada 1. jūlija vēstuli</w:t>
      </w:r>
    </w:p>
    <w:p w14:paraId="0BD8A8AF" w14:textId="77777777" w:rsidR="00FB1E72" w:rsidRPr="00FB1E72" w:rsidRDefault="00FB1E72" w:rsidP="008460D6">
      <w:pPr>
        <w:pStyle w:val="JuPara"/>
        <w:keepNext/>
        <w:keepLines/>
        <w:widowControl w:val="0"/>
        <w:rPr>
          <w:lang w:val="en-US"/>
        </w:rPr>
      </w:pPr>
    </w:p>
    <w:p w14:paraId="6C9B8DA4" w14:textId="18B71597" w:rsidR="000E3283" w:rsidRPr="008D031E" w:rsidRDefault="000E3283" w:rsidP="008460D6">
      <w:pPr>
        <w:pStyle w:val="JuPara"/>
        <w:keepNext/>
        <w:keepLines/>
        <w:widowControl w:val="0"/>
        <w:ind w:firstLine="142"/>
        <w:rPr>
          <w:rFonts w:ascii="Times New Roman" w:hAnsi="Times New Roman"/>
          <w:noProof/>
        </w:rPr>
      </w:pPr>
      <w:r>
        <w:rPr>
          <w:rFonts w:ascii="Times New Roman" w:hAnsi="Times New Roman"/>
        </w:rPr>
        <w:t xml:space="preserve">57. Trešajā </w:t>
      </w:r>
      <w:proofErr w:type="spellStart"/>
      <w:r>
        <w:rPr>
          <w:rFonts w:ascii="Times New Roman" w:hAnsi="Times New Roman"/>
          <w:i/>
          <w:iCs/>
        </w:rPr>
        <w:t>IPT</w:t>
      </w:r>
      <w:proofErr w:type="spellEnd"/>
      <w:r>
        <w:rPr>
          <w:rFonts w:ascii="Times New Roman" w:hAnsi="Times New Roman"/>
        </w:rPr>
        <w:t xml:space="preserve"> spriedumā, kas publicēts 2015. gada 22. jūnijā, </w:t>
      </w:r>
      <w:proofErr w:type="spellStart"/>
      <w:r>
        <w:rPr>
          <w:rFonts w:ascii="Times New Roman" w:hAnsi="Times New Roman"/>
          <w:i/>
          <w:iCs/>
        </w:rPr>
        <w:t>IPT</w:t>
      </w:r>
      <w:proofErr w:type="spellEnd"/>
      <w:r>
        <w:rPr>
          <w:rFonts w:ascii="Times New Roman" w:hAnsi="Times New Roman"/>
        </w:rPr>
        <w:t xml:space="preserve"> izvērtēja, vai Apvienotās Karalistes iestādes pieteikuma iesniedzēju saziņu saturu, kas iegūts, izmantojot “</w:t>
      </w:r>
      <w:proofErr w:type="spellStart"/>
      <w:r>
        <w:rPr>
          <w:rFonts w:ascii="Times New Roman" w:hAnsi="Times New Roman"/>
        </w:rPr>
        <w:t>PRISM</w:t>
      </w:r>
      <w:proofErr w:type="spellEnd"/>
      <w:r>
        <w:rPr>
          <w:rFonts w:ascii="Times New Roman" w:hAnsi="Times New Roman"/>
        </w:rPr>
        <w:t>” vai “</w:t>
      </w:r>
      <w:proofErr w:type="spellStart"/>
      <w:r>
        <w:rPr>
          <w:rFonts w:ascii="Times New Roman" w:hAnsi="Times New Roman"/>
        </w:rPr>
        <w:t>Upstream</w:t>
      </w:r>
      <w:proofErr w:type="spellEnd"/>
      <w:r>
        <w:rPr>
          <w:rFonts w:ascii="Times New Roman" w:hAnsi="Times New Roman"/>
        </w:rPr>
        <w:t>”, bija pieprasījušas, saņēmušas, uzglabājušas vai pārsūtījušas, pārkāpjot Konvencijas 8. un/vai 10. pantu, un vai Apvienotās Karalistes iestādes bija pārtvērušas, aplūkojušas, uzglabājušas vai pārsūtījušas pieteikuma iesniedzēju saziņu saturu tādā apmērā, kas uzskatāms par pretlikumīgu rīcību vai 8. un/vai 10. panta pārkāpumu.</w:t>
      </w:r>
    </w:p>
    <w:p w14:paraId="2695BEB2" w14:textId="1B158433" w:rsidR="000E3283" w:rsidRPr="008D031E" w:rsidRDefault="000E3283" w:rsidP="001F1E46">
      <w:pPr>
        <w:pStyle w:val="JuPara"/>
        <w:widowControl w:val="0"/>
        <w:ind w:firstLine="142"/>
        <w:rPr>
          <w:rFonts w:ascii="Times New Roman" w:hAnsi="Times New Roman"/>
          <w:noProof/>
        </w:rPr>
      </w:pPr>
      <w:bookmarkStart w:id="32" w:name="IPTbreachgeneral"/>
      <w:r>
        <w:rPr>
          <w:rFonts w:ascii="Times New Roman" w:hAnsi="Times New Roman"/>
        </w:rPr>
        <w:t>58</w:t>
      </w:r>
      <w:bookmarkEnd w:id="32"/>
      <w:r>
        <w:rPr>
          <w:rFonts w:ascii="Times New Roman" w:hAnsi="Times New Roman"/>
        </w:rPr>
        <w:t xml:space="preserve">. </w:t>
      </w:r>
      <w:proofErr w:type="spellStart"/>
      <w:r>
        <w:rPr>
          <w:rFonts w:ascii="Times New Roman" w:hAnsi="Times New Roman"/>
          <w:i/>
          <w:iCs/>
        </w:rPr>
        <w:t>IPT</w:t>
      </w:r>
      <w:proofErr w:type="spellEnd"/>
      <w:r>
        <w:rPr>
          <w:rFonts w:ascii="Times New Roman" w:hAnsi="Times New Roman"/>
        </w:rPr>
        <w:t xml:space="preserve"> nepieņēma lēmumu par labu astoņiem no desmit pieteikuma iesniedzējiem. Atbilstoši tās ierastajai praksei, kad tā nespriež par labu prasītājam, tā neapstiprināja, ka pieteikuma iesniedzēju saziņu saturs ticis pārtverts. Tomēr </w:t>
      </w:r>
      <w:proofErr w:type="spellStart"/>
      <w:r>
        <w:rPr>
          <w:rFonts w:ascii="Times New Roman" w:hAnsi="Times New Roman"/>
          <w:i/>
          <w:iCs/>
        </w:rPr>
        <w:t>IPT</w:t>
      </w:r>
      <w:proofErr w:type="spellEnd"/>
      <w:r>
        <w:rPr>
          <w:rFonts w:ascii="Times New Roman" w:hAnsi="Times New Roman"/>
        </w:rPr>
        <w:t xml:space="preserve"> pieņēma lēmumus saistībā ar diviem pieteikuma iesniedzējiem. Vienas organizācijas nosaukums spriedumā bija norādīts kļūdaini, taču </w:t>
      </w:r>
      <w:proofErr w:type="spellStart"/>
      <w:r>
        <w:rPr>
          <w:rFonts w:ascii="Times New Roman" w:hAnsi="Times New Roman"/>
          <w:i/>
          <w:iCs/>
        </w:rPr>
        <w:t>IPT</w:t>
      </w:r>
      <w:proofErr w:type="spellEnd"/>
      <w:r>
        <w:rPr>
          <w:rFonts w:ascii="Times New Roman" w:hAnsi="Times New Roman"/>
        </w:rPr>
        <w:t xml:space="preserve"> šo kļūdu laboja ar 2015. gada 1. jūlija vēstuli.</w:t>
      </w:r>
    </w:p>
    <w:p w14:paraId="59C17EB7" w14:textId="1BA482CE" w:rsidR="000E3283" w:rsidRPr="008D031E" w:rsidRDefault="000E3283" w:rsidP="001F1E46">
      <w:pPr>
        <w:pStyle w:val="JuPara"/>
        <w:widowControl w:val="0"/>
        <w:ind w:firstLine="142"/>
        <w:rPr>
          <w:rFonts w:ascii="Times New Roman" w:hAnsi="Times New Roman"/>
          <w:noProof/>
        </w:rPr>
      </w:pPr>
      <w:bookmarkStart w:id="33" w:name="IPTbreachAmnesty"/>
      <w:r>
        <w:rPr>
          <w:rFonts w:ascii="Times New Roman" w:hAnsi="Times New Roman"/>
        </w:rPr>
        <w:t>59</w:t>
      </w:r>
      <w:bookmarkEnd w:id="33"/>
      <w:r>
        <w:rPr>
          <w:rFonts w:ascii="Times New Roman" w:hAnsi="Times New Roman"/>
        </w:rPr>
        <w:t>. Attiecībā uz “</w:t>
      </w:r>
      <w:proofErr w:type="spellStart"/>
      <w:r>
        <w:rPr>
          <w:rFonts w:ascii="Times New Roman" w:hAnsi="Times New Roman"/>
        </w:rPr>
        <w:t>Amnesty</w:t>
      </w:r>
      <w:proofErr w:type="spellEnd"/>
      <w:r>
        <w:rPr>
          <w:rFonts w:ascii="Times New Roman" w:hAnsi="Times New Roman"/>
        </w:rPr>
        <w:t xml:space="preserve"> </w:t>
      </w:r>
      <w:proofErr w:type="spellStart"/>
      <w:r>
        <w:rPr>
          <w:rFonts w:ascii="Times New Roman" w:hAnsi="Times New Roman"/>
        </w:rPr>
        <w:t>International</w:t>
      </w:r>
      <w:proofErr w:type="spellEnd"/>
      <w:r>
        <w:rPr>
          <w:rFonts w:ascii="Times New Roman" w:hAnsi="Times New Roman"/>
        </w:rPr>
        <w:t xml:space="preserve">” </w:t>
      </w:r>
      <w:proofErr w:type="spellStart"/>
      <w:r>
        <w:rPr>
          <w:rFonts w:ascii="Times New Roman" w:hAnsi="Times New Roman"/>
          <w:i/>
          <w:iCs/>
        </w:rPr>
        <w:t>IPT</w:t>
      </w:r>
      <w:proofErr w:type="spellEnd"/>
      <w:r>
        <w:rPr>
          <w:rFonts w:ascii="Times New Roman" w:hAnsi="Times New Roman"/>
        </w:rPr>
        <w:t xml:space="preserve"> konstatēja, ka e-pasta saziņu satura pārtveršana un piekļuve tam bijusi likumīga un samērīga un notikusi saskaņā ar </w:t>
      </w:r>
      <w:r>
        <w:rPr>
          <w:rFonts w:ascii="Times New Roman" w:hAnsi="Times New Roman"/>
          <w:i/>
          <w:iCs/>
        </w:rPr>
        <w:t>RIPA</w:t>
      </w:r>
      <w:r>
        <w:rPr>
          <w:rFonts w:ascii="Times New Roman" w:hAnsi="Times New Roman"/>
        </w:rPr>
        <w:t xml:space="preserve"> 8. panta 4. punktu, taču nebija ticis ņemts vērā </w:t>
      </w:r>
      <w:proofErr w:type="spellStart"/>
      <w:r>
        <w:rPr>
          <w:rFonts w:ascii="Times New Roman" w:hAnsi="Times New Roman"/>
          <w:i/>
          <w:iCs/>
        </w:rPr>
        <w:t>GCHQ</w:t>
      </w:r>
      <w:proofErr w:type="spellEnd"/>
      <w:r>
        <w:rPr>
          <w:rFonts w:ascii="Times New Roman" w:hAnsi="Times New Roman"/>
        </w:rPr>
        <w:t xml:space="preserve"> iekšējās politikas nostādnēs noteiktais pieļaujamais saglabāšanas periods, tādēļ materiāls ticis saglabāts ilgāk par pieļaujamo saglabāšanas periodu. Taču </w:t>
      </w:r>
      <w:proofErr w:type="spellStart"/>
      <w:r>
        <w:rPr>
          <w:rFonts w:ascii="Times New Roman" w:hAnsi="Times New Roman"/>
          <w:i/>
          <w:iCs/>
        </w:rPr>
        <w:t>IPT</w:t>
      </w:r>
      <w:proofErr w:type="spellEnd"/>
      <w:r>
        <w:rPr>
          <w:rFonts w:ascii="Times New Roman" w:hAnsi="Times New Roman"/>
        </w:rPr>
        <w:t xml:space="preserve"> guva pārliecību, ka piekļuve materiālam nebija notikusi pēc attiecīgā saglabāšanas perioda beigām un ka pārkāpums kvalificējams kā tehnisks pārkāpums. Tomēr tas bija uzskatāms par 8. panta pārkāpumu, tādēļ </w:t>
      </w:r>
      <w:proofErr w:type="spellStart"/>
      <w:r>
        <w:rPr>
          <w:rFonts w:ascii="Times New Roman" w:hAnsi="Times New Roman"/>
          <w:i/>
          <w:iCs/>
        </w:rPr>
        <w:t>GCHQ</w:t>
      </w:r>
      <w:proofErr w:type="spellEnd"/>
      <w:r>
        <w:rPr>
          <w:rFonts w:ascii="Times New Roman" w:hAnsi="Times New Roman"/>
        </w:rPr>
        <w:t xml:space="preserve"> bija uzdots iznīcināt visu saziņu saturu, ko tā saglabājusi ilgāk par attiecīgo periodu, un septiņu dienu laikā iesniegt dokumentu drukātās versijas </w:t>
      </w:r>
      <w:proofErr w:type="spellStart"/>
      <w:r>
        <w:rPr>
          <w:rFonts w:ascii="Times New Roman" w:hAnsi="Times New Roman"/>
          <w:i/>
          <w:iCs/>
        </w:rPr>
        <w:t>IC</w:t>
      </w:r>
      <w:proofErr w:type="spellEnd"/>
      <w:r>
        <w:rPr>
          <w:rFonts w:ascii="Times New Roman" w:hAnsi="Times New Roman"/>
        </w:rPr>
        <w:t xml:space="preserve"> komisāram to saglabāšanai uz pieciem gadiem, ja turpmākās tiesvedības gaitā rastos nepieciešamība tās izmantot. Tāpat </w:t>
      </w:r>
      <w:proofErr w:type="spellStart"/>
      <w:r>
        <w:rPr>
          <w:rFonts w:ascii="Times New Roman" w:hAnsi="Times New Roman"/>
          <w:i/>
          <w:iCs/>
        </w:rPr>
        <w:t>GCHQ</w:t>
      </w:r>
      <w:proofErr w:type="spellEnd"/>
      <w:r>
        <w:rPr>
          <w:rFonts w:ascii="Times New Roman" w:hAnsi="Times New Roman"/>
        </w:rPr>
        <w:t xml:space="preserve"> bija uzdots četrpadsmit dienu laikā iesniegt konfidenciālu ziņojumu, kurā apstiprināta dokumentu iznīcināšana. Par to netika piešķirta nekāda kompensācija.</w:t>
      </w:r>
    </w:p>
    <w:p w14:paraId="6F271A54" w14:textId="133D0B3F" w:rsidR="000E3283" w:rsidRDefault="000E3283" w:rsidP="001F1E46">
      <w:pPr>
        <w:pStyle w:val="JuPara"/>
        <w:widowControl w:val="0"/>
        <w:ind w:firstLine="142"/>
        <w:rPr>
          <w:rFonts w:ascii="Times New Roman" w:hAnsi="Times New Roman"/>
          <w:noProof/>
        </w:rPr>
      </w:pPr>
      <w:bookmarkStart w:id="34" w:name="LibertyProceedingsEnd"/>
      <w:r>
        <w:rPr>
          <w:rFonts w:ascii="Times New Roman" w:hAnsi="Times New Roman"/>
        </w:rPr>
        <w:t>60</w:t>
      </w:r>
      <w:bookmarkEnd w:id="34"/>
      <w:r>
        <w:rPr>
          <w:rFonts w:ascii="Times New Roman" w:hAnsi="Times New Roman"/>
        </w:rPr>
        <w:t xml:space="preserve">. Attiecībā uz “Legal Resources </w:t>
      </w:r>
      <w:proofErr w:type="spellStart"/>
      <w:r>
        <w:rPr>
          <w:rFonts w:ascii="Times New Roman" w:hAnsi="Times New Roman"/>
        </w:rPr>
        <w:t>Centre</w:t>
      </w:r>
      <w:proofErr w:type="spellEnd"/>
      <w:r>
        <w:rPr>
          <w:rFonts w:ascii="Times New Roman" w:hAnsi="Times New Roman"/>
        </w:rPr>
        <w:t xml:space="preserve">” </w:t>
      </w:r>
      <w:proofErr w:type="spellStart"/>
      <w:r>
        <w:rPr>
          <w:rFonts w:ascii="Times New Roman" w:hAnsi="Times New Roman"/>
          <w:i/>
          <w:iCs/>
        </w:rPr>
        <w:t>IPT</w:t>
      </w:r>
      <w:proofErr w:type="spellEnd"/>
      <w:r>
        <w:rPr>
          <w:rFonts w:ascii="Times New Roman" w:hAnsi="Times New Roman"/>
        </w:rPr>
        <w:t xml:space="preserve"> konstatēja, ka saziņu saturs no e-pasta adreses, kas saistīts ar pieteikuma iesniedzēju, bija pārtverts un atlasīts pārbaudei saskaņā ar 8. panta 4. punktā noteikto orderi. Lai gan tā guva pārliecību, ka pārtveršana bija likumīga un samērīga un ka saziņu satura atlase pārbaudei bija samērīga, </w:t>
      </w:r>
      <w:proofErr w:type="spellStart"/>
      <w:r>
        <w:rPr>
          <w:rFonts w:ascii="Times New Roman" w:hAnsi="Times New Roman"/>
          <w:i/>
          <w:iCs/>
        </w:rPr>
        <w:t>IPT</w:t>
      </w:r>
      <w:proofErr w:type="spellEnd"/>
      <w:r>
        <w:rPr>
          <w:rFonts w:ascii="Times New Roman" w:hAnsi="Times New Roman"/>
        </w:rPr>
        <w:t xml:space="preserve"> konstatēja, ka nebija ievērota iekšējā atlases procedūra. Līdz ar to noticis 8. pantā garantēto “Legal Resources </w:t>
      </w:r>
      <w:proofErr w:type="spellStart"/>
      <w:r>
        <w:rPr>
          <w:rFonts w:ascii="Times New Roman" w:hAnsi="Times New Roman"/>
        </w:rPr>
        <w:t>Centre</w:t>
      </w:r>
      <w:proofErr w:type="spellEnd"/>
      <w:r>
        <w:rPr>
          <w:rFonts w:ascii="Times New Roman" w:hAnsi="Times New Roman"/>
        </w:rPr>
        <w:t xml:space="preserve">” tiesību pārkāpums. Tomēr </w:t>
      </w:r>
      <w:proofErr w:type="spellStart"/>
      <w:r>
        <w:rPr>
          <w:rFonts w:ascii="Times New Roman" w:hAnsi="Times New Roman"/>
          <w:i/>
          <w:iCs/>
        </w:rPr>
        <w:t>IPT</w:t>
      </w:r>
      <w:proofErr w:type="spellEnd"/>
      <w:r>
        <w:rPr>
          <w:rFonts w:ascii="Times New Roman" w:hAnsi="Times New Roman"/>
        </w:rPr>
        <w:t xml:space="preserve"> guva pārliecību, ka materiāls netika izmantots un ka netika saglabāti nekādi ieraksti, tādēļ pieteikuma iesniedzējam nebija radīts materiāls kaitējums, zaudējumi vai negatīva ietekme. Tādējādi tās lēmums bija taisnīgs, un netika piešķirta nekāda kompensācija.</w:t>
      </w:r>
    </w:p>
    <w:p w14:paraId="5BCA4A8C" w14:textId="77777777" w:rsidR="00FB1E72" w:rsidRPr="008D031E" w:rsidRDefault="00FB1E72" w:rsidP="000A7B13">
      <w:pPr>
        <w:pStyle w:val="JuPara"/>
        <w:widowControl w:val="0"/>
        <w:ind w:firstLine="0"/>
        <w:rPr>
          <w:rFonts w:ascii="Times New Roman" w:hAnsi="Times New Roman"/>
          <w:noProof/>
          <w:lang w:val="en-US"/>
        </w:rPr>
      </w:pPr>
    </w:p>
    <w:bookmarkEnd w:id="27"/>
    <w:bookmarkEnd w:id="28"/>
    <w:p w14:paraId="4A29FF47" w14:textId="77777777" w:rsidR="000E3283" w:rsidRPr="008460D6" w:rsidRDefault="000E3283" w:rsidP="001F1E46">
      <w:pPr>
        <w:pStyle w:val="JuHHead"/>
        <w:keepNext w:val="0"/>
        <w:keepLines w:val="0"/>
        <w:widowControl w:val="0"/>
        <w:spacing w:before="0" w:beforeAutospacing="0" w:after="0"/>
        <w:outlineLvl w:val="9"/>
        <w:rPr>
          <w:rFonts w:ascii="Times New Roman" w:hAnsi="Times New Roman"/>
          <w:caps w:val="0"/>
          <w:noProof/>
          <w:szCs w:val="32"/>
        </w:rPr>
      </w:pPr>
      <w:r w:rsidRPr="008460D6">
        <w:rPr>
          <w:rFonts w:ascii="Times New Roman" w:hAnsi="Times New Roman"/>
          <w:caps w:val="0"/>
          <w:szCs w:val="32"/>
        </w:rPr>
        <w:t>PIEMĒROJAMAIS TIESISKAIS REGULĒJUMS UN PRAKSE</w:t>
      </w:r>
    </w:p>
    <w:p w14:paraId="538B0661" w14:textId="77777777" w:rsidR="00FB1E72" w:rsidRPr="00FB1E72" w:rsidRDefault="00FB1E72" w:rsidP="000A7B13">
      <w:pPr>
        <w:pStyle w:val="JuPara"/>
        <w:widowControl w:val="0"/>
        <w:ind w:firstLine="0"/>
        <w:rPr>
          <w:lang w:val="en-US"/>
        </w:rPr>
      </w:pPr>
    </w:p>
    <w:p w14:paraId="48331CE3" w14:textId="1CE90C98" w:rsidR="000E3283" w:rsidRDefault="00FB1E72" w:rsidP="001F1E46">
      <w:pPr>
        <w:pStyle w:val="JuHIRoman"/>
        <w:keepNext w:val="0"/>
        <w:keepLines w:val="0"/>
        <w:widowControl w:val="0"/>
        <w:numPr>
          <w:ilvl w:val="0"/>
          <w:numId w:val="0"/>
        </w:numPr>
        <w:spacing w:before="0" w:beforeAutospacing="0" w:after="0"/>
        <w:outlineLvl w:val="9"/>
        <w:rPr>
          <w:rFonts w:ascii="Times New Roman" w:hAnsi="Times New Roman"/>
          <w:caps w:val="0"/>
          <w:noProof/>
        </w:rPr>
      </w:pPr>
      <w:bookmarkStart w:id="35" w:name="_Toc516820718"/>
      <w:r>
        <w:rPr>
          <w:rFonts w:ascii="Times New Roman" w:hAnsi="Times New Roman"/>
          <w:caps w:val="0"/>
        </w:rPr>
        <w:t>I. PIEMĒROJAMIE VALSTS TIESĪBU AKTI</w:t>
      </w:r>
    </w:p>
    <w:p w14:paraId="38FFECD0" w14:textId="77777777" w:rsidR="00FB1E72" w:rsidRPr="00FB1E72" w:rsidRDefault="00FB1E72" w:rsidP="001F1E46">
      <w:pPr>
        <w:pStyle w:val="JuPara"/>
        <w:widowControl w:val="0"/>
        <w:rPr>
          <w:lang w:val="en-US"/>
        </w:rPr>
      </w:pPr>
    </w:p>
    <w:p w14:paraId="6BE7FEFD" w14:textId="7A3691E3" w:rsidR="000E3283" w:rsidRDefault="00FB1E72" w:rsidP="001F1E46">
      <w:pPr>
        <w:pStyle w:val="JuHA"/>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A. Sakaru pārtveršana</w:t>
      </w:r>
      <w:bookmarkEnd w:id="35"/>
    </w:p>
    <w:p w14:paraId="612B10B7" w14:textId="77777777" w:rsidR="00FB1E72" w:rsidRPr="00FB1E72" w:rsidRDefault="00FB1E72" w:rsidP="001F1E46">
      <w:pPr>
        <w:pStyle w:val="JuPara"/>
        <w:widowControl w:val="0"/>
        <w:rPr>
          <w:lang w:val="en-US"/>
        </w:rPr>
      </w:pPr>
    </w:p>
    <w:p w14:paraId="3E2E1789" w14:textId="0481BF48" w:rsidR="000E3283" w:rsidRDefault="00FB1E72" w:rsidP="001F1E46">
      <w:pPr>
        <w:pStyle w:val="JuH1"/>
        <w:keepNext w:val="0"/>
        <w:keepLines w:val="0"/>
        <w:widowControl w:val="0"/>
        <w:numPr>
          <w:ilvl w:val="0"/>
          <w:numId w:val="0"/>
        </w:numPr>
        <w:spacing w:before="0" w:beforeAutospacing="0" w:after="0"/>
        <w:outlineLvl w:val="9"/>
        <w:rPr>
          <w:rFonts w:ascii="Times New Roman" w:hAnsi="Times New Roman"/>
          <w:noProof/>
        </w:rPr>
      </w:pPr>
      <w:bookmarkStart w:id="36" w:name="_Toc516820719"/>
      <w:r>
        <w:rPr>
          <w:rFonts w:ascii="Times New Roman" w:hAnsi="Times New Roman"/>
        </w:rPr>
        <w:t>1. Orderi. Vispārīga informācija</w:t>
      </w:r>
      <w:bookmarkEnd w:id="36"/>
    </w:p>
    <w:p w14:paraId="78B579D9" w14:textId="77777777" w:rsidR="00FB1E72" w:rsidRPr="00FB1E72" w:rsidRDefault="00FB1E72" w:rsidP="001F1E46">
      <w:pPr>
        <w:pStyle w:val="JuPara"/>
        <w:widowControl w:val="0"/>
        <w:rPr>
          <w:lang w:val="en-US"/>
        </w:rPr>
      </w:pPr>
    </w:p>
    <w:p w14:paraId="0949C4B4" w14:textId="6798D411" w:rsidR="000E3283" w:rsidRPr="008D031E" w:rsidRDefault="000E3283" w:rsidP="001F1E46">
      <w:pPr>
        <w:pStyle w:val="JuPara"/>
        <w:widowControl w:val="0"/>
        <w:ind w:firstLine="142"/>
        <w:rPr>
          <w:rStyle w:val="JuParaCar"/>
          <w:rFonts w:ascii="Times New Roman" w:hAnsi="Times New Roman"/>
          <w:noProof/>
        </w:rPr>
      </w:pPr>
      <w:bookmarkStart w:id="37" w:name="zzz"/>
      <w:bookmarkStart w:id="38" w:name="RIPAst"/>
      <w:r>
        <w:rPr>
          <w:rStyle w:val="JuParaCar"/>
          <w:rFonts w:ascii="Times New Roman" w:hAnsi="Times New Roman"/>
        </w:rPr>
        <w:t>61</w:t>
      </w:r>
      <w:bookmarkEnd w:id="37"/>
      <w:bookmarkEnd w:id="38"/>
      <w:r>
        <w:rPr>
          <w:rStyle w:val="JuParaCar"/>
          <w:rFonts w:ascii="Times New Roman" w:hAnsi="Times New Roman"/>
        </w:rPr>
        <w:t xml:space="preserve">. 2000. gada </w:t>
      </w:r>
      <w:r>
        <w:rPr>
          <w:rStyle w:val="JuParaCar"/>
          <w:rFonts w:ascii="Times New Roman" w:hAnsi="Times New Roman"/>
          <w:i/>
          <w:iCs/>
        </w:rPr>
        <w:t>RIPA</w:t>
      </w:r>
      <w:r>
        <w:rPr>
          <w:rStyle w:val="JuParaCar"/>
          <w:rFonts w:ascii="Times New Roman" w:hAnsi="Times New Roman"/>
        </w:rPr>
        <w:t xml:space="preserve"> 1. panta 1. punkts (ko tagad aizstājis 2016. gada Izmeklēšanas pilnvaru likums [</w:t>
      </w:r>
      <w:proofErr w:type="spellStart"/>
      <w:r>
        <w:rPr>
          <w:rStyle w:val="JuParaCar"/>
          <w:rFonts w:ascii="Times New Roman" w:hAnsi="Times New Roman"/>
          <w:i/>
          <w:iCs/>
        </w:rPr>
        <w:t>Investigatory</w:t>
      </w:r>
      <w:proofErr w:type="spellEnd"/>
      <w:r>
        <w:rPr>
          <w:rStyle w:val="JuParaCar"/>
          <w:rFonts w:ascii="Times New Roman" w:hAnsi="Times New Roman"/>
          <w:i/>
          <w:iCs/>
        </w:rPr>
        <w:t xml:space="preserve"> </w:t>
      </w:r>
      <w:proofErr w:type="spellStart"/>
      <w:r>
        <w:rPr>
          <w:rStyle w:val="JuParaCar"/>
          <w:rFonts w:ascii="Times New Roman" w:hAnsi="Times New Roman"/>
          <w:i/>
          <w:iCs/>
        </w:rPr>
        <w:t>Powers</w:t>
      </w:r>
      <w:proofErr w:type="spellEnd"/>
      <w:r>
        <w:rPr>
          <w:rStyle w:val="JuParaCar"/>
          <w:rFonts w:ascii="Times New Roman" w:hAnsi="Times New Roman"/>
          <w:i/>
          <w:iCs/>
        </w:rPr>
        <w:t xml:space="preserve"> </w:t>
      </w:r>
      <w:proofErr w:type="spellStart"/>
      <w:r>
        <w:rPr>
          <w:rStyle w:val="JuParaCar"/>
          <w:rFonts w:ascii="Times New Roman" w:hAnsi="Times New Roman"/>
          <w:i/>
          <w:iCs/>
        </w:rPr>
        <w:t>Act</w:t>
      </w:r>
      <w:proofErr w:type="spellEnd"/>
      <w:r>
        <w:rPr>
          <w:rStyle w:val="JuParaCar"/>
          <w:rFonts w:ascii="Times New Roman" w:hAnsi="Times New Roman"/>
          <w:i/>
          <w:iCs/>
        </w:rPr>
        <w:t xml:space="preserve"> 2016</w:t>
      </w:r>
      <w:r>
        <w:rPr>
          <w:rStyle w:val="JuParaCar"/>
          <w:rFonts w:ascii="Times New Roman" w:hAnsi="Times New Roman"/>
        </w:rPr>
        <w:t>]) noteica, ka publiska pasta pakalpojuma vai publiskas telekomunikāciju sistēmas ceļā pārraidītu sakaru pārtveršana ir pretlikumīga, ja vien tā nav notikusi saskaņā ar 5. pantā noteikto orderi (turpmāk tekstā – “pārtveršanas orderis”).</w:t>
      </w:r>
    </w:p>
    <w:p w14:paraId="6E0BF060" w14:textId="638A3FC1" w:rsidR="000E3283" w:rsidRPr="008D031E" w:rsidRDefault="000E3283" w:rsidP="001F1E46">
      <w:pPr>
        <w:pStyle w:val="JuPara"/>
        <w:widowControl w:val="0"/>
        <w:ind w:firstLine="142"/>
        <w:rPr>
          <w:rFonts w:ascii="Times New Roman" w:hAnsi="Times New Roman"/>
          <w:noProof/>
        </w:rPr>
      </w:pPr>
      <w:bookmarkStart w:id="39" w:name="section5"/>
      <w:r>
        <w:rPr>
          <w:rFonts w:ascii="Times New Roman" w:hAnsi="Times New Roman"/>
        </w:rPr>
        <w:t>62</w:t>
      </w:r>
      <w:bookmarkEnd w:id="39"/>
      <w:r>
        <w:rPr>
          <w:rFonts w:ascii="Times New Roman" w:hAnsi="Times New Roman"/>
        </w:rPr>
        <w:t xml:space="preserve">. Saskaņā ar 5. panta 2. punktu valsts sekretārs(-e) varēja atļaut izdot pārtveršanas orderi, ja tas viņa vai viņas ieskatā bija nepieciešams 5. panta 3. punktā minēto iemeslu dēļ, proti, valsts drošības interesēs, smagu noziegumu novēršanai vai atklāšanai vai arī Apvienotās Karalistes </w:t>
      </w:r>
      <w:r>
        <w:rPr>
          <w:rFonts w:ascii="Times New Roman" w:hAnsi="Times New Roman"/>
        </w:rPr>
        <w:lastRenderedPageBreak/>
        <w:t xml:space="preserve">ekonomiskās labklājības aizsardzībai (ciktāl šīs intereses sasaucas ar valsts drošības interesēm, skat. </w:t>
      </w:r>
      <w:proofErr w:type="spellStart"/>
      <w:r>
        <w:rPr>
          <w:rFonts w:ascii="Times New Roman" w:hAnsi="Times New Roman"/>
          <w:i/>
          <w:iCs/>
        </w:rPr>
        <w:t>IC</w:t>
      </w:r>
      <w:proofErr w:type="spellEnd"/>
      <w:r>
        <w:rPr>
          <w:rFonts w:ascii="Times New Roman" w:hAnsi="Times New Roman"/>
        </w:rPr>
        <w:t xml:space="preserve"> kodeksa 3.5. un 6.11. punktu turpmāk 96. punktā), un ja ar orderi atļautā rīcība bija samērīga ar šīs rīcības mērķi. Izvērtējot nepieciešamību un samērīgumu, bija jāņem vērā, vai uz ordera pamata iegūstamo informāciju pamatoti varēja iegūt ar citiem līdzekļiem.</w:t>
      </w:r>
    </w:p>
    <w:p w14:paraId="5B117B8C" w14:textId="1EF761CB" w:rsidR="000E3283" w:rsidRDefault="000E3283" w:rsidP="001F1E46">
      <w:pPr>
        <w:pStyle w:val="JuPara"/>
        <w:widowControl w:val="0"/>
        <w:ind w:firstLine="142"/>
        <w:rPr>
          <w:rFonts w:ascii="Times New Roman" w:hAnsi="Times New Roman"/>
          <w:noProof/>
        </w:rPr>
      </w:pPr>
      <w:bookmarkStart w:id="40" w:name="SerCrStart"/>
      <w:r>
        <w:rPr>
          <w:rFonts w:ascii="Times New Roman" w:hAnsi="Times New Roman"/>
        </w:rPr>
        <w:t>63</w:t>
      </w:r>
      <w:bookmarkEnd w:id="40"/>
      <w:r>
        <w:rPr>
          <w:rFonts w:ascii="Times New Roman" w:hAnsi="Times New Roman"/>
        </w:rPr>
        <w:t xml:space="preserve">. </w:t>
      </w:r>
      <w:r>
        <w:rPr>
          <w:rFonts w:ascii="Times New Roman" w:hAnsi="Times New Roman"/>
          <w:i/>
          <w:iCs/>
        </w:rPr>
        <w:t>RIPA</w:t>
      </w:r>
      <w:r>
        <w:rPr>
          <w:rFonts w:ascii="Times New Roman" w:hAnsi="Times New Roman"/>
        </w:rPr>
        <w:t xml:space="preserve"> 81. panta 2. punkta b) apakšpunktā jēdziens “smags noziegums” bija definēts kā noziegums, kas atbilst vienam no šiem kritērijiem:</w:t>
      </w:r>
    </w:p>
    <w:p w14:paraId="26B6D1E3" w14:textId="77777777" w:rsidR="00FB1E72" w:rsidRPr="008D031E" w:rsidRDefault="00FB1E72" w:rsidP="001F1E46">
      <w:pPr>
        <w:pStyle w:val="JuPara"/>
        <w:widowControl w:val="0"/>
        <w:ind w:firstLine="142"/>
        <w:rPr>
          <w:rFonts w:ascii="Times New Roman" w:hAnsi="Times New Roman"/>
          <w:noProof/>
          <w:lang w:val="en-US"/>
        </w:rPr>
      </w:pPr>
    </w:p>
    <w:p w14:paraId="48BDA09F" w14:textId="59274935"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“a) nodarījums vai viens no nodarījumiem, kas ir vai būtu izdarīts ar attiecīgo rīcību, ir nodarījums, par kuru personai, kas sasniegusi divdesmit viena gada vecumu un kam nav iepriekšējas sodāmības, pamatoti varētu piespriest brīvības atņemšanu uz trim gadiem vai ilgāk;</w:t>
      </w:r>
    </w:p>
    <w:p w14:paraId="3B4973C3" w14:textId="77777777" w:rsidR="00FB1E72" w:rsidRPr="008D031E" w:rsidRDefault="00FB1E72" w:rsidP="001F1E46">
      <w:pPr>
        <w:pStyle w:val="JuQuot"/>
        <w:widowControl w:val="0"/>
        <w:spacing w:before="0" w:after="0"/>
        <w:ind w:left="284"/>
        <w:rPr>
          <w:rFonts w:ascii="Times New Roman" w:hAnsi="Times New Roman"/>
          <w:noProof/>
          <w:sz w:val="24"/>
          <w:lang w:val="en-US"/>
        </w:rPr>
      </w:pPr>
    </w:p>
    <w:p w14:paraId="2DC7C9C8" w14:textId="041245A1"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b) rīcība izpaužas kā vardarbība, kā rezultātā tiek gūts būtisks finansiāls labums, vai arī rīcība ir attiecināma uz lielu skaitu personu, kas rīkojušās kopēja mērķa sasniegšanai.”</w:t>
      </w:r>
    </w:p>
    <w:p w14:paraId="492CB6B9" w14:textId="77777777" w:rsidR="00FB1E72" w:rsidRPr="008D031E" w:rsidRDefault="00FB1E72" w:rsidP="001F1E46">
      <w:pPr>
        <w:pStyle w:val="JuQuot"/>
        <w:widowControl w:val="0"/>
        <w:spacing w:before="0" w:after="0"/>
        <w:ind w:left="0" w:firstLine="0"/>
        <w:rPr>
          <w:rFonts w:ascii="Times New Roman" w:hAnsi="Times New Roman"/>
          <w:noProof/>
          <w:sz w:val="24"/>
          <w:lang w:val="en-US"/>
        </w:rPr>
      </w:pPr>
    </w:p>
    <w:p w14:paraId="6494C536" w14:textId="12013458" w:rsidR="000E3283" w:rsidRDefault="000E3283" w:rsidP="001F1E46">
      <w:pPr>
        <w:pStyle w:val="JuPara"/>
        <w:widowControl w:val="0"/>
        <w:ind w:firstLine="142"/>
        <w:rPr>
          <w:rFonts w:ascii="Times New Roman" w:hAnsi="Times New Roman"/>
          <w:noProof/>
        </w:rPr>
      </w:pPr>
      <w:bookmarkStart w:id="41" w:name="SerCrEnd"/>
      <w:r>
        <w:rPr>
          <w:rFonts w:ascii="Times New Roman" w:hAnsi="Times New Roman"/>
        </w:rPr>
        <w:t>64</w:t>
      </w:r>
      <w:bookmarkEnd w:id="41"/>
      <w:r>
        <w:rPr>
          <w:rFonts w:ascii="Times New Roman" w:hAnsi="Times New Roman"/>
        </w:rPr>
        <w:t>. 81. panta 5. punktā bija noteikts:</w:t>
      </w:r>
    </w:p>
    <w:p w14:paraId="6356D4E2" w14:textId="77777777" w:rsidR="00FB1E72" w:rsidRPr="008D031E" w:rsidRDefault="00FB1E72" w:rsidP="001F1E46">
      <w:pPr>
        <w:pStyle w:val="JuPara"/>
        <w:widowControl w:val="0"/>
        <w:ind w:firstLine="0"/>
        <w:rPr>
          <w:rFonts w:ascii="Times New Roman" w:hAnsi="Times New Roman"/>
          <w:noProof/>
          <w:lang w:val="en-US"/>
        </w:rPr>
      </w:pPr>
    </w:p>
    <w:p w14:paraId="3A5E945D" w14:textId="77777777"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“Šā likuma izpratnē nozieguma atklāšana ietver:</w:t>
      </w:r>
    </w:p>
    <w:p w14:paraId="57F0F76E" w14:textId="77777777" w:rsidR="00FB1E72" w:rsidRPr="008D031E" w:rsidRDefault="00FB1E72" w:rsidP="001F1E46">
      <w:pPr>
        <w:pStyle w:val="JuQuot"/>
        <w:widowControl w:val="0"/>
        <w:spacing w:before="0" w:after="0"/>
        <w:ind w:left="284"/>
        <w:rPr>
          <w:rFonts w:ascii="Times New Roman" w:hAnsi="Times New Roman"/>
          <w:noProof/>
          <w:sz w:val="24"/>
          <w:lang w:val="en-US"/>
        </w:rPr>
      </w:pPr>
    </w:p>
    <w:p w14:paraId="596E9544" w14:textId="47325D0D"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a) nozieguma izdarītāja, mērķa, nozieguma izdarīšanas līdzekļu un apstākļu noskaidrošanu kopumā un</w:t>
      </w:r>
    </w:p>
    <w:p w14:paraId="0A21041B" w14:textId="77777777" w:rsidR="00FB1E72" w:rsidRPr="008D031E" w:rsidRDefault="00FB1E72" w:rsidP="001F1E46">
      <w:pPr>
        <w:pStyle w:val="JuQuot"/>
        <w:widowControl w:val="0"/>
        <w:spacing w:before="0" w:after="0"/>
        <w:ind w:left="284"/>
        <w:rPr>
          <w:rFonts w:ascii="Times New Roman" w:hAnsi="Times New Roman"/>
          <w:noProof/>
          <w:sz w:val="24"/>
          <w:lang w:val="en-US"/>
        </w:rPr>
      </w:pPr>
    </w:p>
    <w:p w14:paraId="0261379C" w14:textId="1A99C001"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b) tās personas aizturēšanu, kura izdarījusi noziegumu,</w:t>
      </w:r>
    </w:p>
    <w:p w14:paraId="04371679" w14:textId="77777777" w:rsidR="008B3A4C" w:rsidRPr="008D031E" w:rsidRDefault="008B3A4C" w:rsidP="001F1E46">
      <w:pPr>
        <w:pStyle w:val="JuQuot"/>
        <w:widowControl w:val="0"/>
        <w:spacing w:before="0" w:after="0"/>
        <w:ind w:left="284"/>
        <w:rPr>
          <w:rFonts w:ascii="Times New Roman" w:hAnsi="Times New Roman"/>
          <w:noProof/>
          <w:sz w:val="24"/>
          <w:lang w:val="en-US"/>
        </w:rPr>
      </w:pPr>
    </w:p>
    <w:p w14:paraId="669F1058" w14:textId="77777777"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un attiecīgi ir jāinterpretē visas norādes uz nozieguma novēršanu vai atklāšanu šajā likumā (..).”</w:t>
      </w:r>
    </w:p>
    <w:p w14:paraId="6BD7CD3B" w14:textId="77777777" w:rsidR="008B3A4C" w:rsidRPr="008D031E" w:rsidRDefault="008B3A4C" w:rsidP="001F1E46">
      <w:pPr>
        <w:pStyle w:val="JuQuot"/>
        <w:widowControl w:val="0"/>
        <w:spacing w:before="0" w:after="0"/>
        <w:ind w:left="0" w:firstLine="0"/>
        <w:rPr>
          <w:rFonts w:ascii="Times New Roman" w:hAnsi="Times New Roman"/>
          <w:noProof/>
          <w:sz w:val="24"/>
          <w:lang w:val="en-US"/>
        </w:rPr>
      </w:pPr>
    </w:p>
    <w:p w14:paraId="7F42F468" w14:textId="63D92207" w:rsidR="000E3283" w:rsidRPr="008D031E" w:rsidRDefault="000E3283" w:rsidP="001F1E46">
      <w:pPr>
        <w:pStyle w:val="JuPara"/>
        <w:widowControl w:val="0"/>
        <w:ind w:firstLine="142"/>
        <w:rPr>
          <w:rFonts w:ascii="Times New Roman" w:hAnsi="Times New Roman"/>
          <w:noProof/>
        </w:rPr>
      </w:pPr>
      <w:r>
        <w:rPr>
          <w:rFonts w:ascii="Times New Roman" w:hAnsi="Times New Roman"/>
        </w:rPr>
        <w:t xml:space="preserve">65. 6. pantā bija noteikts, ka attiecībā uz izlūkdienestiem pārtveršanas orderi varēja pieprasīt vienīgi </w:t>
      </w:r>
      <w:proofErr w:type="spellStart"/>
      <w:r>
        <w:rPr>
          <w:rFonts w:ascii="Times New Roman" w:hAnsi="Times New Roman"/>
          <w:i/>
          <w:iCs/>
        </w:rPr>
        <w:t>MI5</w:t>
      </w:r>
      <w:proofErr w:type="spellEnd"/>
      <w:r>
        <w:rPr>
          <w:rFonts w:ascii="Times New Roman" w:hAnsi="Times New Roman"/>
        </w:rPr>
        <w:t xml:space="preserve"> ģenerāldirektors, </w:t>
      </w:r>
      <w:proofErr w:type="spellStart"/>
      <w:r>
        <w:rPr>
          <w:rFonts w:ascii="Times New Roman" w:hAnsi="Times New Roman"/>
          <w:i/>
          <w:iCs/>
        </w:rPr>
        <w:t>MI6</w:t>
      </w:r>
      <w:proofErr w:type="spellEnd"/>
      <w:r>
        <w:rPr>
          <w:rFonts w:ascii="Times New Roman" w:hAnsi="Times New Roman"/>
        </w:rPr>
        <w:t xml:space="preserve"> vadītājs un </w:t>
      </w:r>
      <w:proofErr w:type="spellStart"/>
      <w:r>
        <w:rPr>
          <w:rFonts w:ascii="Times New Roman" w:hAnsi="Times New Roman"/>
          <w:i/>
          <w:iCs/>
        </w:rPr>
        <w:t>GCHQ</w:t>
      </w:r>
      <w:proofErr w:type="spellEnd"/>
      <w:r>
        <w:rPr>
          <w:rFonts w:ascii="Times New Roman" w:hAnsi="Times New Roman"/>
        </w:rPr>
        <w:t xml:space="preserve"> direktors.</w:t>
      </w:r>
    </w:p>
    <w:p w14:paraId="46A734F7" w14:textId="1BCA5C36" w:rsidR="000E3283" w:rsidRPr="008D031E" w:rsidRDefault="000E3283" w:rsidP="001F1E46">
      <w:pPr>
        <w:pStyle w:val="JuPara"/>
        <w:widowControl w:val="0"/>
        <w:ind w:firstLine="142"/>
        <w:rPr>
          <w:rFonts w:ascii="Times New Roman" w:hAnsi="Times New Roman"/>
          <w:noProof/>
        </w:rPr>
      </w:pPr>
      <w:bookmarkStart w:id="42" w:name="RIPAs8"/>
      <w:r>
        <w:rPr>
          <w:rFonts w:ascii="Times New Roman" w:hAnsi="Times New Roman"/>
        </w:rPr>
        <w:t>66</w:t>
      </w:r>
      <w:bookmarkEnd w:id="42"/>
      <w:r>
        <w:rPr>
          <w:rFonts w:ascii="Times New Roman" w:hAnsi="Times New Roman"/>
        </w:rPr>
        <w:t>. Tas arī paredzēja divu veidu pārtveršanas orderus, uz kuriem attiecās 5. un 6. pants, proti, specifisku orderi, kā noteikts 8. panta 1. punktā, un nespecifisku orderi, kā noteikts 8. panta 4. punktā.</w:t>
      </w:r>
    </w:p>
    <w:p w14:paraId="17A7B2E3" w14:textId="0C565FC6" w:rsidR="000E3283" w:rsidRPr="008D031E" w:rsidRDefault="000E3283" w:rsidP="001F1E46">
      <w:pPr>
        <w:pStyle w:val="JuPara"/>
        <w:widowControl w:val="0"/>
        <w:ind w:firstLine="142"/>
        <w:rPr>
          <w:rFonts w:ascii="Times New Roman" w:hAnsi="Times New Roman"/>
          <w:noProof/>
        </w:rPr>
      </w:pPr>
      <w:bookmarkStart w:id="43" w:name="RIPAs9"/>
      <w:r>
        <w:rPr>
          <w:rFonts w:ascii="Times New Roman" w:hAnsi="Times New Roman"/>
        </w:rPr>
        <w:t>67</w:t>
      </w:r>
      <w:bookmarkEnd w:id="43"/>
      <w:r>
        <w:rPr>
          <w:rFonts w:ascii="Times New Roman" w:hAnsi="Times New Roman"/>
        </w:rPr>
        <w:t xml:space="preserve">. Saskaņā ar </w:t>
      </w:r>
      <w:r>
        <w:rPr>
          <w:rFonts w:ascii="Times New Roman" w:hAnsi="Times New Roman"/>
          <w:i/>
          <w:iCs/>
        </w:rPr>
        <w:t>RIPA</w:t>
      </w:r>
      <w:r>
        <w:rPr>
          <w:rFonts w:ascii="Times New Roman" w:hAnsi="Times New Roman"/>
        </w:rPr>
        <w:t xml:space="preserve"> 9. pantu orderis, kas izdots valsts drošības interesēs vai Apvienotās Karalistes ekonomiskās labklājības aizsardzībai, zaudēja spēku pēc sešu mēnešu apritēšanas, savukārt orderis, kas izdots smaga nozieguma atklāšanai, zaudēja spēku pēc trīs mēnešu apritēšanas. Jebkurā brīdī pirms minēto periodu beigām valsts sekretārs(-e) varēja atjaunot orderi (attiecīgi uz sešiem un trim mēnešiem), ja viņa vai viņas ieskatā orderis joprojām nepieciešams 5. panta 3. punktā minēto iemeslu dēļ. Valsts sekretāram(-</w:t>
      </w:r>
      <w:proofErr w:type="spellStart"/>
      <w:r>
        <w:rPr>
          <w:rFonts w:ascii="Times New Roman" w:hAnsi="Times New Roman"/>
        </w:rPr>
        <w:t>ei</w:t>
      </w:r>
      <w:proofErr w:type="spellEnd"/>
      <w:r>
        <w:rPr>
          <w:rFonts w:ascii="Times New Roman" w:hAnsi="Times New Roman"/>
        </w:rPr>
        <w:t>) bija jāatceļ pārtveršanas orderis, ja viņš vai viņa bija guvis(-</w:t>
      </w:r>
      <w:proofErr w:type="spellStart"/>
      <w:r>
        <w:rPr>
          <w:rFonts w:ascii="Times New Roman" w:hAnsi="Times New Roman"/>
        </w:rPr>
        <w:t>usi</w:t>
      </w:r>
      <w:proofErr w:type="spellEnd"/>
      <w:r>
        <w:rPr>
          <w:rFonts w:ascii="Times New Roman" w:hAnsi="Times New Roman"/>
        </w:rPr>
        <w:t>) pārliecību, ka orderis 5. panta 3. punktā minēto iemeslu dēļ vairs nav nepieciešams.</w:t>
      </w:r>
    </w:p>
    <w:p w14:paraId="17866910" w14:textId="144F95D8" w:rsidR="000E3283" w:rsidRPr="008D031E" w:rsidRDefault="000E3283" w:rsidP="001F1E46">
      <w:pPr>
        <w:pStyle w:val="JuPara"/>
        <w:widowControl w:val="0"/>
        <w:ind w:firstLine="142"/>
        <w:rPr>
          <w:rFonts w:ascii="Times New Roman" w:hAnsi="Times New Roman"/>
          <w:noProof/>
        </w:rPr>
      </w:pPr>
      <w:bookmarkStart w:id="44" w:name="Section5six"/>
      <w:r>
        <w:rPr>
          <w:rFonts w:ascii="Times New Roman" w:hAnsi="Times New Roman"/>
        </w:rPr>
        <w:t>68</w:t>
      </w:r>
      <w:bookmarkEnd w:id="44"/>
      <w:r>
        <w:rPr>
          <w:rFonts w:ascii="Times New Roman" w:hAnsi="Times New Roman"/>
        </w:rPr>
        <w:t>. Saskaņā ar 5. panta 6. punktu ar orderi atļautā rīcība ietvēra tādu sakaru pārtveršanu, kas orderī nav norādīti, ja nepieciešams veikt to, kas orderī skaidri atļauts vai noteikts, kā arī saistīto sakaru datu iegūšanu.</w:t>
      </w:r>
    </w:p>
    <w:p w14:paraId="1A793FF0" w14:textId="127186F4" w:rsidR="000E3283" w:rsidRDefault="000E3283" w:rsidP="001F1E46">
      <w:pPr>
        <w:pStyle w:val="JuPara"/>
        <w:widowControl w:val="0"/>
        <w:ind w:firstLine="142"/>
        <w:rPr>
          <w:rFonts w:ascii="Times New Roman" w:hAnsi="Times New Roman"/>
          <w:noProof/>
        </w:rPr>
      </w:pPr>
      <w:r>
        <w:rPr>
          <w:rFonts w:ascii="Times New Roman" w:hAnsi="Times New Roman"/>
        </w:rPr>
        <w:t>69. 21. panta 4. punktā jēdziens “sakaru dati” bija definēts kā:</w:t>
      </w:r>
    </w:p>
    <w:p w14:paraId="1F04FB6F" w14:textId="77777777" w:rsidR="008B3A4C" w:rsidRPr="008D031E" w:rsidRDefault="008B3A4C" w:rsidP="001F1E46">
      <w:pPr>
        <w:pStyle w:val="JuPara"/>
        <w:widowControl w:val="0"/>
        <w:ind w:firstLine="142"/>
        <w:rPr>
          <w:rFonts w:ascii="Times New Roman" w:hAnsi="Times New Roman"/>
          <w:noProof/>
          <w:lang w:val="en-US"/>
        </w:rPr>
      </w:pPr>
    </w:p>
    <w:p w14:paraId="3896ABB6" w14:textId="2636AF8D" w:rsidR="000E3283" w:rsidRDefault="008B3A4C" w:rsidP="001F1E46">
      <w:pPr>
        <w:pStyle w:val="JuQuot"/>
        <w:widowControl w:val="0"/>
        <w:spacing w:before="0" w:after="0"/>
        <w:ind w:left="284" w:firstLine="0"/>
        <w:rPr>
          <w:rFonts w:ascii="Times New Roman" w:hAnsi="Times New Roman"/>
          <w:noProof/>
          <w:sz w:val="24"/>
        </w:rPr>
      </w:pPr>
      <w:r>
        <w:rPr>
          <w:rFonts w:ascii="Times New Roman" w:hAnsi="Times New Roman"/>
          <w:sz w:val="24"/>
        </w:rPr>
        <w:t>“a) jebkuri datplūsmas dati, kas iekļauti kādā saziņu saturā vai tam pievienoti (neatkarīgi no tā, vai tos ietvēris vai pievienojis sūtītājs vai kāda cita persona) jebkura tāda pasta pakalpojuma vai tādas telekomunikāciju sistēmas nolūkiem, ar kuru starpniecību dati tiek vai varētu tikt pārraidīti;</w:t>
      </w:r>
    </w:p>
    <w:p w14:paraId="0F5E95D3" w14:textId="77777777" w:rsidR="008D3FF2" w:rsidRPr="008D031E" w:rsidRDefault="008D3FF2" w:rsidP="001F1E46">
      <w:pPr>
        <w:pStyle w:val="JuQuot"/>
        <w:widowControl w:val="0"/>
        <w:spacing w:before="0" w:after="0"/>
        <w:ind w:left="284" w:firstLine="0"/>
        <w:rPr>
          <w:rFonts w:ascii="Times New Roman" w:hAnsi="Times New Roman"/>
          <w:noProof/>
          <w:sz w:val="24"/>
          <w:lang w:val="en-US"/>
        </w:rPr>
      </w:pPr>
    </w:p>
    <w:p w14:paraId="07463093" w14:textId="7706F7F8" w:rsidR="000E3283" w:rsidRDefault="008B3A4C" w:rsidP="001F1E46">
      <w:pPr>
        <w:pStyle w:val="JuQuot"/>
        <w:widowControl w:val="0"/>
        <w:spacing w:before="0" w:after="0"/>
        <w:ind w:left="284" w:firstLine="0"/>
        <w:rPr>
          <w:rFonts w:ascii="Times New Roman" w:hAnsi="Times New Roman"/>
          <w:noProof/>
          <w:sz w:val="24"/>
        </w:rPr>
      </w:pPr>
      <w:r>
        <w:rPr>
          <w:rFonts w:ascii="Times New Roman" w:hAnsi="Times New Roman"/>
          <w:sz w:val="24"/>
        </w:rPr>
        <w:lastRenderedPageBreak/>
        <w:t>b) jebkura informācija, kas neietver nekādu saziņas saturu (izņemot informāciju, uz kuru neattiecas a) apakšpunkts) un kas raksturo veidu, kādā persona izmanto:</w:t>
      </w:r>
    </w:p>
    <w:p w14:paraId="7FBD3176" w14:textId="77777777" w:rsidR="008D3FF2" w:rsidRPr="008D031E" w:rsidRDefault="008D3FF2" w:rsidP="001F1E46">
      <w:pPr>
        <w:pStyle w:val="JuQuot"/>
        <w:widowControl w:val="0"/>
        <w:spacing w:before="0" w:after="0"/>
        <w:ind w:left="284" w:firstLine="0"/>
        <w:rPr>
          <w:rFonts w:ascii="Times New Roman" w:hAnsi="Times New Roman"/>
          <w:noProof/>
          <w:sz w:val="24"/>
          <w:lang w:val="en-US"/>
        </w:rPr>
      </w:pPr>
    </w:p>
    <w:p w14:paraId="2AC22782" w14:textId="2B561A76" w:rsidR="000E3283" w:rsidRDefault="008D3FF2" w:rsidP="001F1E46">
      <w:pPr>
        <w:pStyle w:val="JuQuot"/>
        <w:widowControl w:val="0"/>
        <w:spacing w:before="0" w:after="0"/>
        <w:ind w:left="567" w:firstLine="0"/>
        <w:rPr>
          <w:rFonts w:ascii="Times New Roman" w:hAnsi="Times New Roman"/>
          <w:noProof/>
          <w:sz w:val="24"/>
        </w:rPr>
      </w:pPr>
      <w:r>
        <w:rPr>
          <w:rFonts w:ascii="Times New Roman" w:hAnsi="Times New Roman"/>
          <w:sz w:val="24"/>
        </w:rPr>
        <w:t>i) jebkuru pasta vai telekomunikāciju pakalpojumu vai</w:t>
      </w:r>
    </w:p>
    <w:p w14:paraId="15DC56FD" w14:textId="77777777" w:rsidR="008D3FF2" w:rsidRPr="008D031E" w:rsidRDefault="008D3FF2" w:rsidP="001F1E46">
      <w:pPr>
        <w:pStyle w:val="JuQuot"/>
        <w:widowControl w:val="0"/>
        <w:spacing w:before="0" w:after="0"/>
        <w:ind w:left="567" w:firstLine="0"/>
        <w:rPr>
          <w:rFonts w:ascii="Times New Roman" w:hAnsi="Times New Roman"/>
          <w:noProof/>
          <w:sz w:val="24"/>
          <w:lang w:val="en-US"/>
        </w:rPr>
      </w:pPr>
    </w:p>
    <w:p w14:paraId="7572713A" w14:textId="38498AD6" w:rsidR="000E3283" w:rsidRDefault="008D3FF2" w:rsidP="001F1E46">
      <w:pPr>
        <w:pStyle w:val="JuQuot"/>
        <w:widowControl w:val="0"/>
        <w:spacing w:before="0" w:after="0"/>
        <w:ind w:left="567" w:firstLine="0"/>
        <w:rPr>
          <w:rFonts w:ascii="Times New Roman" w:hAnsi="Times New Roman"/>
          <w:noProof/>
          <w:sz w:val="24"/>
        </w:rPr>
      </w:pPr>
      <w:r>
        <w:rPr>
          <w:rFonts w:ascii="Times New Roman" w:hAnsi="Times New Roman"/>
          <w:sz w:val="24"/>
        </w:rPr>
        <w:t>ii) jebkuru telekomunikāciju sistēmas daļu saistībā ar jebkura telekomunikāciju pakalpojuma sniegšanu kādai personai vai tā izmantošanu;</w:t>
      </w:r>
    </w:p>
    <w:p w14:paraId="092164B9" w14:textId="77777777" w:rsidR="008D3FF2" w:rsidRPr="008D031E" w:rsidRDefault="008D3FF2" w:rsidP="001F1E46">
      <w:pPr>
        <w:pStyle w:val="JuQuot"/>
        <w:widowControl w:val="0"/>
        <w:spacing w:before="0" w:after="0"/>
        <w:ind w:left="284" w:firstLine="0"/>
        <w:rPr>
          <w:rFonts w:ascii="Times New Roman" w:hAnsi="Times New Roman"/>
          <w:noProof/>
          <w:sz w:val="24"/>
          <w:lang w:val="en-US"/>
        </w:rPr>
      </w:pPr>
    </w:p>
    <w:p w14:paraId="426EB774" w14:textId="02234C27" w:rsidR="000E3283" w:rsidRDefault="008D3FF2" w:rsidP="001F1E46">
      <w:pPr>
        <w:pStyle w:val="JuQuot"/>
        <w:widowControl w:val="0"/>
        <w:spacing w:before="0" w:after="0"/>
        <w:ind w:left="284" w:firstLine="0"/>
        <w:rPr>
          <w:rFonts w:ascii="Times New Roman" w:hAnsi="Times New Roman"/>
          <w:noProof/>
          <w:sz w:val="24"/>
        </w:rPr>
      </w:pPr>
      <w:r>
        <w:rPr>
          <w:rFonts w:ascii="Times New Roman" w:hAnsi="Times New Roman"/>
          <w:sz w:val="24"/>
        </w:rPr>
        <w:t>c) jebkura informācija, uz kuru neattiecas a) vai b) apakšpunkts un ko persona, kura sniedz pasta vai telekomunikāciju pakalpojumu, saglabā vai iegūst saistībā ar personām, kurām tā sniedz šo pakalpojumu.”</w:t>
      </w:r>
    </w:p>
    <w:p w14:paraId="67BBA1CE" w14:textId="77777777" w:rsidR="008D3FF2" w:rsidRPr="008D031E" w:rsidRDefault="008D3FF2" w:rsidP="001F1E46">
      <w:pPr>
        <w:pStyle w:val="JuQuot"/>
        <w:widowControl w:val="0"/>
        <w:spacing w:before="0" w:after="0"/>
        <w:ind w:left="0" w:firstLine="0"/>
        <w:rPr>
          <w:rFonts w:ascii="Times New Roman" w:hAnsi="Times New Roman"/>
          <w:noProof/>
          <w:sz w:val="24"/>
          <w:lang w:val="en-US"/>
        </w:rPr>
      </w:pPr>
    </w:p>
    <w:p w14:paraId="2C80C0DF" w14:textId="5A614CBC" w:rsidR="000E3283" w:rsidRPr="008D031E" w:rsidRDefault="000E3283" w:rsidP="001F1E46">
      <w:pPr>
        <w:pStyle w:val="JuPara"/>
        <w:widowControl w:val="0"/>
        <w:ind w:firstLine="142"/>
        <w:rPr>
          <w:rFonts w:ascii="Times New Roman" w:hAnsi="Times New Roman"/>
          <w:noProof/>
        </w:rPr>
      </w:pPr>
      <w:r>
        <w:rPr>
          <w:rFonts w:ascii="Times New Roman" w:hAnsi="Times New Roman"/>
        </w:rPr>
        <w:t>70. 2015. gada marta Sakaru datu iegūšanas un izpaušanas prakses kodeksā [</w:t>
      </w:r>
      <w:proofErr w:type="spellStart"/>
      <w:r>
        <w:rPr>
          <w:rFonts w:ascii="Times New Roman" w:hAnsi="Times New Roman"/>
          <w:i/>
          <w:iCs/>
        </w:rPr>
        <w:t>The</w:t>
      </w:r>
      <w:proofErr w:type="spellEnd"/>
      <w:r>
        <w:rPr>
          <w:rFonts w:ascii="Times New Roman" w:hAnsi="Times New Roman"/>
          <w:i/>
          <w:iCs/>
        </w:rPr>
        <w:t xml:space="preserve"> </w:t>
      </w:r>
      <w:proofErr w:type="spellStart"/>
      <w:r>
        <w:rPr>
          <w:rFonts w:ascii="Times New Roman" w:hAnsi="Times New Roman"/>
          <w:i/>
          <w:iCs/>
        </w:rPr>
        <w:t>March</w:t>
      </w:r>
      <w:proofErr w:type="spellEnd"/>
      <w:r>
        <w:rPr>
          <w:rFonts w:ascii="Times New Roman" w:hAnsi="Times New Roman"/>
          <w:i/>
          <w:iCs/>
        </w:rPr>
        <w:t xml:space="preserve"> 2015 </w:t>
      </w:r>
      <w:proofErr w:type="spellStart"/>
      <w:r>
        <w:rPr>
          <w:rFonts w:ascii="Times New Roman" w:hAnsi="Times New Roman"/>
          <w:i/>
          <w:iCs/>
        </w:rPr>
        <w:t>Acquisition</w:t>
      </w:r>
      <w:proofErr w:type="spellEnd"/>
      <w:r>
        <w:rPr>
          <w:rFonts w:ascii="Times New Roman" w:hAnsi="Times New Roman"/>
          <w:i/>
          <w:iCs/>
        </w:rPr>
        <w:t xml:space="preserve"> </w:t>
      </w:r>
      <w:proofErr w:type="spellStart"/>
      <w:r>
        <w:rPr>
          <w:rFonts w:ascii="Times New Roman" w:hAnsi="Times New Roman"/>
          <w:i/>
          <w:iCs/>
        </w:rPr>
        <w:t>and</w:t>
      </w:r>
      <w:proofErr w:type="spellEnd"/>
      <w:r>
        <w:rPr>
          <w:rFonts w:ascii="Times New Roman" w:hAnsi="Times New Roman"/>
          <w:i/>
          <w:iCs/>
        </w:rPr>
        <w:t xml:space="preserve"> </w:t>
      </w:r>
      <w:proofErr w:type="spellStart"/>
      <w:r>
        <w:rPr>
          <w:rFonts w:ascii="Times New Roman" w:hAnsi="Times New Roman"/>
          <w:i/>
          <w:iCs/>
        </w:rPr>
        <w:t>Disclosure</w:t>
      </w:r>
      <w:proofErr w:type="spellEnd"/>
      <w:r>
        <w:rPr>
          <w:rFonts w:ascii="Times New Roman" w:hAnsi="Times New Roman"/>
          <w:i/>
          <w:iCs/>
        </w:rPr>
        <w:t xml:space="preserve"> </w:t>
      </w:r>
      <w:proofErr w:type="spellStart"/>
      <w:r>
        <w:rPr>
          <w:rFonts w:ascii="Times New Roman" w:hAnsi="Times New Roman"/>
          <w:i/>
          <w:iCs/>
        </w:rPr>
        <w:t>of</w:t>
      </w:r>
      <w:proofErr w:type="spellEnd"/>
      <w:r>
        <w:rPr>
          <w:rFonts w:ascii="Times New Roman" w:hAnsi="Times New Roman"/>
          <w:i/>
          <w:iCs/>
        </w:rPr>
        <w:t xml:space="preserve"> Communications </w:t>
      </w:r>
      <w:proofErr w:type="spellStart"/>
      <w:r>
        <w:rPr>
          <w:rFonts w:ascii="Times New Roman" w:hAnsi="Times New Roman"/>
          <w:i/>
          <w:iCs/>
        </w:rPr>
        <w:t>Data</w:t>
      </w:r>
      <w:proofErr w:type="spellEnd"/>
      <w:r>
        <w:rPr>
          <w:rFonts w:ascii="Times New Roman" w:hAnsi="Times New Roman"/>
          <w:i/>
          <w:iCs/>
        </w:rPr>
        <w:t xml:space="preserve"> Code </w:t>
      </w:r>
      <w:proofErr w:type="spellStart"/>
      <w:r>
        <w:rPr>
          <w:rFonts w:ascii="Times New Roman" w:hAnsi="Times New Roman"/>
          <w:i/>
          <w:iCs/>
        </w:rPr>
        <w:t>of</w:t>
      </w:r>
      <w:proofErr w:type="spellEnd"/>
      <w:r>
        <w:rPr>
          <w:rFonts w:ascii="Times New Roman" w:hAnsi="Times New Roman"/>
          <w:i/>
          <w:iCs/>
        </w:rPr>
        <w:t xml:space="preserve"> </w:t>
      </w:r>
      <w:proofErr w:type="spellStart"/>
      <w:r>
        <w:rPr>
          <w:rFonts w:ascii="Times New Roman" w:hAnsi="Times New Roman"/>
          <w:i/>
          <w:iCs/>
        </w:rPr>
        <w:t>Practice</w:t>
      </w:r>
      <w:proofErr w:type="spellEnd"/>
      <w:r>
        <w:rPr>
          <w:rFonts w:ascii="Times New Roman" w:hAnsi="Times New Roman"/>
        </w:rPr>
        <w:t xml:space="preserve">] šīs trīs kategorijas ir norādītas kā “datplūsmas dati”, “informācija par pakalpojuma izmantošanu” un “informācija par abonentu”. </w:t>
      </w:r>
      <w:r>
        <w:rPr>
          <w:rFonts w:ascii="Times New Roman" w:hAnsi="Times New Roman"/>
          <w:i/>
          <w:iCs/>
        </w:rPr>
        <w:t>RIPA</w:t>
      </w:r>
      <w:r>
        <w:rPr>
          <w:rFonts w:ascii="Times New Roman" w:hAnsi="Times New Roman"/>
        </w:rPr>
        <w:t xml:space="preserve"> 21. panta 6. punktā jēdziens “datplūsmas dati” ir definēts kā dati, ar kuriem identificē personu, iekārtu, vietu vai adresi, uz kuru vai no kuras saziņas saturs pārraidīts, kā arī informācija par datora datni vai programmu, kam piekļūts vai kas palaista saziņas satura nosūtīšanas vai saņemšanas gaitā.</w:t>
      </w:r>
    </w:p>
    <w:p w14:paraId="6273FBC8" w14:textId="46918E1F" w:rsidR="000E3283" w:rsidRDefault="000E3283" w:rsidP="001F1E46">
      <w:pPr>
        <w:pStyle w:val="JuPara"/>
        <w:widowControl w:val="0"/>
        <w:ind w:firstLine="142"/>
        <w:rPr>
          <w:rFonts w:ascii="Times New Roman" w:hAnsi="Times New Roman"/>
          <w:noProof/>
        </w:rPr>
      </w:pPr>
      <w:r>
        <w:rPr>
          <w:rFonts w:ascii="Times New Roman" w:hAnsi="Times New Roman"/>
        </w:rPr>
        <w:t xml:space="preserve">71. Saskaņā ar </w:t>
      </w:r>
      <w:r>
        <w:rPr>
          <w:rFonts w:ascii="Times New Roman" w:hAnsi="Times New Roman"/>
          <w:i/>
          <w:iCs/>
        </w:rPr>
        <w:t>RIPA</w:t>
      </w:r>
      <w:r>
        <w:rPr>
          <w:rFonts w:ascii="Times New Roman" w:hAnsi="Times New Roman"/>
        </w:rPr>
        <w:t xml:space="preserve"> 20. pantu “saistītie sakaru dati” attiecībā uz sakariem, kas pārtverti, tos pārraidot ar pasta pakalpojuma vai telekomunikāciju sistēmas starpniecību, nozīmē “tik lielu sakaru datu apjomu, kas iegūts pārtveršanas gaitā vai saistībā ar pārtveršanu”, un tie ir saistīti “ar attiecīgo saziņu saturu vai tā sūtītāju vai saņēmēju, vai arī paredzamo saņēmēju.”</w:t>
      </w:r>
    </w:p>
    <w:p w14:paraId="3A7DFF4F" w14:textId="77777777" w:rsidR="00CC2636" w:rsidRPr="008D031E" w:rsidRDefault="00CC2636" w:rsidP="001F1E46">
      <w:pPr>
        <w:pStyle w:val="JuPara"/>
        <w:widowControl w:val="0"/>
        <w:ind w:firstLine="142"/>
        <w:rPr>
          <w:rFonts w:ascii="Times New Roman" w:hAnsi="Times New Roman"/>
          <w:noProof/>
          <w:lang w:val="en-US"/>
        </w:rPr>
      </w:pPr>
    </w:p>
    <w:p w14:paraId="168F2085" w14:textId="51009F10" w:rsidR="000E3283" w:rsidRDefault="008D3FF2" w:rsidP="001F1E46">
      <w:pPr>
        <w:pStyle w:val="JuH1"/>
        <w:keepNext w:val="0"/>
        <w:keepLines w:val="0"/>
        <w:widowControl w:val="0"/>
        <w:numPr>
          <w:ilvl w:val="0"/>
          <w:numId w:val="0"/>
        </w:numPr>
        <w:spacing w:before="0" w:beforeAutospacing="0" w:after="0"/>
        <w:outlineLvl w:val="9"/>
        <w:rPr>
          <w:rFonts w:ascii="Times New Roman" w:hAnsi="Times New Roman"/>
          <w:noProof/>
        </w:rPr>
      </w:pPr>
      <w:bookmarkStart w:id="45" w:name="_Toc516820720"/>
      <w:r>
        <w:rPr>
          <w:rFonts w:ascii="Times New Roman" w:hAnsi="Times New Roman"/>
        </w:rPr>
        <w:t>2. Orderi. 8. panta 4. punkts</w:t>
      </w:r>
      <w:bookmarkEnd w:id="45"/>
    </w:p>
    <w:p w14:paraId="6692A82D" w14:textId="77777777" w:rsidR="008D3FF2" w:rsidRPr="008D3FF2" w:rsidRDefault="008D3FF2" w:rsidP="001F1E46">
      <w:pPr>
        <w:pStyle w:val="JuPara"/>
        <w:widowControl w:val="0"/>
        <w:rPr>
          <w:lang w:val="en-US"/>
        </w:rPr>
      </w:pPr>
    </w:p>
    <w:p w14:paraId="0BDF4145" w14:textId="7F33411B" w:rsidR="000E3283" w:rsidRDefault="008D3FF2" w:rsidP="001F1E46">
      <w:pPr>
        <w:pStyle w:val="JuHa0"/>
        <w:keepNext w:val="0"/>
        <w:keepLines w:val="0"/>
        <w:widowControl w:val="0"/>
        <w:numPr>
          <w:ilvl w:val="0"/>
          <w:numId w:val="0"/>
        </w:numPr>
        <w:spacing w:before="0" w:beforeAutospacing="0" w:after="0"/>
        <w:outlineLvl w:val="9"/>
        <w:rPr>
          <w:rFonts w:ascii="Times New Roman" w:hAnsi="Times New Roman"/>
          <w:noProof/>
          <w:sz w:val="24"/>
        </w:rPr>
      </w:pPr>
      <w:bookmarkStart w:id="46" w:name="_Toc516820721"/>
      <w:r>
        <w:rPr>
          <w:rFonts w:ascii="Times New Roman" w:hAnsi="Times New Roman"/>
          <w:sz w:val="24"/>
        </w:rPr>
        <w:t>a) Atļauja</w:t>
      </w:r>
      <w:bookmarkEnd w:id="46"/>
    </w:p>
    <w:p w14:paraId="2DD7231D" w14:textId="77777777" w:rsidR="008D3FF2" w:rsidRPr="008D3FF2" w:rsidRDefault="008D3FF2" w:rsidP="001F1E46">
      <w:pPr>
        <w:pStyle w:val="JuPara"/>
        <w:widowControl w:val="0"/>
        <w:rPr>
          <w:lang w:val="en-US"/>
        </w:rPr>
      </w:pPr>
    </w:p>
    <w:p w14:paraId="0ED7BB54" w14:textId="4660F202" w:rsidR="000E3283" w:rsidRPr="008D031E" w:rsidRDefault="000E3283" w:rsidP="001F1E46">
      <w:pPr>
        <w:pStyle w:val="JuPara"/>
        <w:widowControl w:val="0"/>
        <w:ind w:firstLine="142"/>
        <w:rPr>
          <w:rFonts w:ascii="Times New Roman" w:hAnsi="Times New Roman"/>
          <w:noProof/>
        </w:rPr>
      </w:pPr>
      <w:bookmarkStart w:id="47" w:name="Warrants84"/>
      <w:r>
        <w:rPr>
          <w:rFonts w:ascii="Times New Roman" w:hAnsi="Times New Roman"/>
        </w:rPr>
        <w:t>72</w:t>
      </w:r>
      <w:bookmarkEnd w:id="47"/>
      <w:r>
        <w:rPr>
          <w:rFonts w:ascii="Times New Roman" w:hAnsi="Times New Roman"/>
        </w:rPr>
        <w:t xml:space="preserve">. Saziņu satura “masveida pārtveršana” notika saskaņā ar 8. panta 4. punktā noteikto orderi. Saskaņā ar </w:t>
      </w:r>
      <w:r>
        <w:rPr>
          <w:rFonts w:ascii="Times New Roman" w:hAnsi="Times New Roman"/>
          <w:i/>
          <w:iCs/>
        </w:rPr>
        <w:t>RIPA</w:t>
      </w:r>
      <w:r>
        <w:rPr>
          <w:rFonts w:ascii="Times New Roman" w:hAnsi="Times New Roman"/>
        </w:rPr>
        <w:t xml:space="preserve"> 8. panta 4. un 5. punktu valsts sekretārs varēja izdot orderi, lai “pārtvertu ārējos sakarus brīdī, kad tie tiek pārraidīti ar telekomunikāciju sistēmas starpniecību”.</w:t>
      </w:r>
    </w:p>
    <w:p w14:paraId="053A2F08" w14:textId="12189477" w:rsidR="000E3283" w:rsidRDefault="000E3283" w:rsidP="001F1E46">
      <w:pPr>
        <w:pStyle w:val="JuPara"/>
        <w:widowControl w:val="0"/>
        <w:ind w:firstLine="142"/>
        <w:rPr>
          <w:rFonts w:ascii="Times New Roman" w:hAnsi="Times New Roman"/>
          <w:noProof/>
        </w:rPr>
      </w:pPr>
      <w:r>
        <w:rPr>
          <w:rFonts w:ascii="Times New Roman" w:hAnsi="Times New Roman"/>
        </w:rPr>
        <w:t>73. 8. panta 4. punktā noteiktā ordera izdošanas brīdī valsts sekretāram(-</w:t>
      </w:r>
      <w:proofErr w:type="spellStart"/>
      <w:r>
        <w:rPr>
          <w:rFonts w:ascii="Times New Roman" w:hAnsi="Times New Roman"/>
        </w:rPr>
        <w:t>ei</w:t>
      </w:r>
      <w:proofErr w:type="spellEnd"/>
      <w:r>
        <w:rPr>
          <w:rFonts w:ascii="Times New Roman" w:hAnsi="Times New Roman"/>
        </w:rPr>
        <w:t xml:space="preserve">) bija jāizdod arī apliecinājums, kurā raksturots pārtvertais materiāls, ko viņš vai viņa uzskata par nepieciešamu pārbaudīt, un norādīts, ka, viņaprāt vai viņasprāt, materiāla pārbaude ir nepieciešama 5. panta 3. punktā minēto iemeslu dēļ (proti, valsts interesēs, smaga nozieguma novēršanai vai atklāšanai vai arī Apvienotās Karalistes ekonomiskās labklājības aizsardzībai, ciktāl šīs intereses atbilst valsts drošības interesēm; skat. </w:t>
      </w:r>
      <w:proofErr w:type="spellStart"/>
      <w:r>
        <w:rPr>
          <w:rFonts w:ascii="Times New Roman" w:hAnsi="Times New Roman"/>
          <w:i/>
          <w:iCs/>
        </w:rPr>
        <w:t>IC</w:t>
      </w:r>
      <w:proofErr w:type="spellEnd"/>
      <w:r>
        <w:rPr>
          <w:rFonts w:ascii="Times New Roman" w:hAnsi="Times New Roman"/>
        </w:rPr>
        <w:t xml:space="preserve"> kodeksa 3.5. un 6.11. punktu turpmāk 96. punktā).</w:t>
      </w:r>
    </w:p>
    <w:p w14:paraId="6B2674F6" w14:textId="77777777" w:rsidR="008D3FF2" w:rsidRPr="008D031E" w:rsidRDefault="008D3FF2" w:rsidP="001F1E46">
      <w:pPr>
        <w:pStyle w:val="JuPara"/>
        <w:widowControl w:val="0"/>
        <w:ind w:firstLine="0"/>
        <w:rPr>
          <w:rFonts w:ascii="Times New Roman" w:hAnsi="Times New Roman"/>
          <w:noProof/>
          <w:lang w:val="en-US"/>
        </w:rPr>
      </w:pPr>
    </w:p>
    <w:p w14:paraId="242AEB26" w14:textId="0FB59247" w:rsidR="000E3283" w:rsidRDefault="00CC2636" w:rsidP="001F1E46">
      <w:pPr>
        <w:pStyle w:val="JuHa0"/>
        <w:keepNext w:val="0"/>
        <w:keepLines w:val="0"/>
        <w:widowControl w:val="0"/>
        <w:numPr>
          <w:ilvl w:val="0"/>
          <w:numId w:val="0"/>
        </w:numPr>
        <w:spacing w:before="0" w:beforeAutospacing="0" w:after="0"/>
        <w:outlineLvl w:val="9"/>
        <w:rPr>
          <w:rFonts w:ascii="Times New Roman" w:hAnsi="Times New Roman"/>
          <w:noProof/>
          <w:sz w:val="24"/>
        </w:rPr>
      </w:pPr>
      <w:bookmarkStart w:id="48" w:name="_Toc516820722"/>
      <w:r>
        <w:rPr>
          <w:rFonts w:ascii="Times New Roman" w:hAnsi="Times New Roman"/>
          <w:sz w:val="24"/>
        </w:rPr>
        <w:t>b) “Ārējie” sakari</w:t>
      </w:r>
      <w:bookmarkEnd w:id="48"/>
    </w:p>
    <w:p w14:paraId="7804761C" w14:textId="77777777" w:rsidR="00786C76" w:rsidRPr="00786C76" w:rsidRDefault="00786C76" w:rsidP="001F1E46">
      <w:pPr>
        <w:pStyle w:val="JuPara"/>
        <w:widowControl w:val="0"/>
        <w:rPr>
          <w:lang w:val="en-US"/>
        </w:rPr>
      </w:pPr>
    </w:p>
    <w:p w14:paraId="1D8BCED9" w14:textId="5F351C76" w:rsidR="000E3283" w:rsidRPr="008D031E" w:rsidRDefault="000E3283" w:rsidP="001F1E46">
      <w:pPr>
        <w:pStyle w:val="JuPara"/>
        <w:widowControl w:val="0"/>
        <w:ind w:firstLine="142"/>
        <w:rPr>
          <w:rFonts w:ascii="Times New Roman" w:hAnsi="Times New Roman"/>
          <w:noProof/>
        </w:rPr>
      </w:pPr>
      <w:r>
        <w:rPr>
          <w:rFonts w:ascii="Times New Roman" w:hAnsi="Times New Roman"/>
        </w:rPr>
        <w:t>74. 20. pantā jēdziens “ārējie sakari” definēts kā “ārpus Britu salām nosūtīts vai saņemts saziņu saturs”.</w:t>
      </w:r>
    </w:p>
    <w:p w14:paraId="178B1D99" w14:textId="486837BB" w:rsidR="000E3283" w:rsidRPr="008D031E" w:rsidRDefault="000E3283" w:rsidP="001F1E46">
      <w:pPr>
        <w:pStyle w:val="JuPara"/>
        <w:widowControl w:val="0"/>
        <w:ind w:firstLine="142"/>
        <w:rPr>
          <w:rFonts w:ascii="Times New Roman" w:hAnsi="Times New Roman"/>
          <w:noProof/>
        </w:rPr>
      </w:pPr>
      <w:bookmarkStart w:id="49" w:name="Farr"/>
      <w:r>
        <w:rPr>
          <w:rFonts w:ascii="Times New Roman" w:hAnsi="Times New Roman"/>
        </w:rPr>
        <w:t>75</w:t>
      </w:r>
      <w:bookmarkEnd w:id="49"/>
      <w:r>
        <w:rPr>
          <w:rFonts w:ascii="Times New Roman" w:hAnsi="Times New Roman"/>
        </w:rPr>
        <w:t>. “</w:t>
      </w:r>
      <w:proofErr w:type="spellStart"/>
      <w:r>
        <w:rPr>
          <w:rFonts w:ascii="Times New Roman" w:hAnsi="Times New Roman"/>
        </w:rPr>
        <w:t>Liberty</w:t>
      </w:r>
      <w:proofErr w:type="spellEnd"/>
      <w:r>
        <w:rPr>
          <w:rFonts w:ascii="Times New Roman" w:hAnsi="Times New Roman"/>
        </w:rPr>
        <w:t>” tiesvedībā Drošības un terorisma apkarošanas biroja (turpmāk tekstā – “</w:t>
      </w:r>
      <w:proofErr w:type="spellStart"/>
      <w:r>
        <w:rPr>
          <w:rFonts w:ascii="Times New Roman" w:hAnsi="Times New Roman"/>
          <w:i/>
          <w:iCs/>
        </w:rPr>
        <w:t>OSCT</w:t>
      </w:r>
      <w:proofErr w:type="spellEnd"/>
      <w:r>
        <w:rPr>
          <w:rFonts w:ascii="Times New Roman" w:hAnsi="Times New Roman"/>
        </w:rPr>
        <w:t xml:space="preserve">”) ģenerāldirektors Čārlzs </w:t>
      </w:r>
      <w:proofErr w:type="spellStart"/>
      <w:r>
        <w:rPr>
          <w:rFonts w:ascii="Times New Roman" w:hAnsi="Times New Roman"/>
        </w:rPr>
        <w:t>Farrs</w:t>
      </w:r>
      <w:proofErr w:type="spellEnd"/>
      <w:r>
        <w:rPr>
          <w:rFonts w:ascii="Times New Roman" w:hAnsi="Times New Roman"/>
        </w:rPr>
        <w:t xml:space="preserve"> norādīja, ka e-pasta sarakste starp divām Apvienotajā Karalistē esošām personām uzskatāma par “iekšējiem sakariem”, pat ja e-pasta pakalpojums darbojas uz servera Amerikas Savienotajās Valstīs, tomēr šo saziņu saturu var pārtvert kā ārējo sakaru pārtveršanas ordera “</w:t>
      </w:r>
      <w:proofErr w:type="spellStart"/>
      <w:r>
        <w:rPr>
          <w:rFonts w:ascii="Times New Roman" w:hAnsi="Times New Roman"/>
        </w:rPr>
        <w:t>līdzproduktu</w:t>
      </w:r>
      <w:proofErr w:type="spellEnd"/>
      <w:r>
        <w:rPr>
          <w:rFonts w:ascii="Times New Roman" w:hAnsi="Times New Roman"/>
        </w:rPr>
        <w:t>”. Taču tad, kad Apvienotajā Karalistē esoša persona “sazinās” ar ārvalstīs esošu meklētājprogrammu, runa ir par ārējiem sakariem, gluži kā Apvienotajā Karalistē esoša persona, kura publicē publisku ziņojumu (piemēram, kā “</w:t>
      </w:r>
      <w:proofErr w:type="spellStart"/>
      <w:r>
        <w:rPr>
          <w:rFonts w:ascii="Times New Roman" w:hAnsi="Times New Roman"/>
        </w:rPr>
        <w:t>Twitter</w:t>
      </w:r>
      <w:proofErr w:type="spellEnd"/>
      <w:r>
        <w:rPr>
          <w:rFonts w:ascii="Times New Roman" w:hAnsi="Times New Roman"/>
        </w:rPr>
        <w:t xml:space="preserve">” </w:t>
      </w:r>
      <w:proofErr w:type="spellStart"/>
      <w:r>
        <w:rPr>
          <w:rFonts w:ascii="Times New Roman" w:hAnsi="Times New Roman"/>
        </w:rPr>
        <w:lastRenderedPageBreak/>
        <w:t>sīkziņu</w:t>
      </w:r>
      <w:proofErr w:type="spellEnd"/>
      <w:r>
        <w:rPr>
          <w:rFonts w:ascii="Times New Roman" w:hAnsi="Times New Roman"/>
        </w:rPr>
        <w:t xml:space="preserve"> vai “</w:t>
      </w:r>
      <w:proofErr w:type="spellStart"/>
      <w:r>
        <w:rPr>
          <w:rFonts w:ascii="Times New Roman" w:hAnsi="Times New Roman"/>
        </w:rPr>
        <w:t>Facebook</w:t>
      </w:r>
      <w:proofErr w:type="spellEnd"/>
      <w:r>
        <w:rPr>
          <w:rFonts w:ascii="Times New Roman" w:hAnsi="Times New Roman"/>
        </w:rPr>
        <w:t>” statusa atjauninājumu), ja vien visi šā ziņojuma saņēmēji neatrodas Britu salās.</w:t>
      </w:r>
    </w:p>
    <w:p w14:paraId="4EFB23FD" w14:textId="3E601475" w:rsidR="000E3283" w:rsidRDefault="000E3283" w:rsidP="001F1E46">
      <w:pPr>
        <w:pStyle w:val="JuPara"/>
        <w:widowControl w:val="0"/>
        <w:ind w:firstLine="142"/>
        <w:rPr>
          <w:rFonts w:ascii="Times New Roman" w:hAnsi="Times New Roman"/>
          <w:noProof/>
        </w:rPr>
      </w:pPr>
      <w:bookmarkStart w:id="50" w:name="SoSIntEx"/>
      <w:r>
        <w:rPr>
          <w:rFonts w:ascii="Times New Roman" w:hAnsi="Times New Roman"/>
        </w:rPr>
        <w:t>76</w:t>
      </w:r>
      <w:bookmarkEnd w:id="50"/>
      <w:r>
        <w:rPr>
          <w:rFonts w:ascii="Times New Roman" w:hAnsi="Times New Roman"/>
        </w:rPr>
        <w:t xml:space="preserve">. Sniedzot liecību </w:t>
      </w:r>
      <w:proofErr w:type="spellStart"/>
      <w:r>
        <w:rPr>
          <w:rFonts w:ascii="Times New Roman" w:hAnsi="Times New Roman"/>
          <w:i/>
          <w:iCs/>
        </w:rPr>
        <w:t>ISC</w:t>
      </w:r>
      <w:proofErr w:type="spellEnd"/>
      <w:r>
        <w:rPr>
          <w:rFonts w:ascii="Times New Roman" w:hAnsi="Times New Roman"/>
        </w:rPr>
        <w:t xml:space="preserve"> 2014. gada oktobrī, valsts sekretārs ārlietās un sadraudzības lietās uzskatīja, ka:</w:t>
      </w:r>
    </w:p>
    <w:p w14:paraId="7FBB025E" w14:textId="77777777" w:rsidR="00CC2636" w:rsidRPr="008D031E" w:rsidRDefault="00CC2636" w:rsidP="001F1E46">
      <w:pPr>
        <w:pStyle w:val="JuPara"/>
        <w:widowControl w:val="0"/>
        <w:ind w:firstLine="142"/>
        <w:rPr>
          <w:rFonts w:ascii="Times New Roman" w:hAnsi="Times New Roman"/>
          <w:noProof/>
          <w:lang w:val="en-US"/>
        </w:rPr>
      </w:pPr>
    </w:p>
    <w:p w14:paraId="13A07D99" w14:textId="77777777"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“Attiecībā uz e-pasta ziņojumu, ja sūtītājs vai saņēmējs vai abi atrodas ārvalstīs, runa būtu par ārējiem sakariem.</w:t>
      </w:r>
    </w:p>
    <w:p w14:paraId="5098290C" w14:textId="77777777" w:rsidR="00CC2636" w:rsidRPr="008D031E" w:rsidRDefault="00CC2636" w:rsidP="001F1E46">
      <w:pPr>
        <w:pStyle w:val="JuQuot"/>
        <w:widowControl w:val="0"/>
        <w:spacing w:before="0" w:after="0"/>
        <w:ind w:left="284"/>
        <w:rPr>
          <w:rFonts w:ascii="Times New Roman" w:hAnsi="Times New Roman"/>
          <w:noProof/>
          <w:sz w:val="24"/>
          <w:lang w:val="en-US"/>
        </w:rPr>
      </w:pPr>
    </w:p>
    <w:p w14:paraId="0EFF2483" w14:textId="77777777"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Attiecībā uz interneta pārlūkošanu, ja persona lasa rakstu “</w:t>
      </w:r>
      <w:proofErr w:type="spellStart"/>
      <w:r>
        <w:rPr>
          <w:rFonts w:ascii="Times New Roman" w:hAnsi="Times New Roman"/>
          <w:sz w:val="24"/>
        </w:rPr>
        <w:t>Washington</w:t>
      </w:r>
      <w:proofErr w:type="spellEnd"/>
      <w:r>
        <w:rPr>
          <w:rFonts w:ascii="Times New Roman" w:hAnsi="Times New Roman"/>
          <w:sz w:val="24"/>
        </w:rPr>
        <w:t xml:space="preserve"> Post” tīmekļa vietnē, tas nozīmē, ka tā ir “sazinājusies” ar ārvalstīs esošu tīmekļa serveri, tādēļ runa ir par ārējiem sakariem.</w:t>
      </w:r>
    </w:p>
    <w:p w14:paraId="50A8569F" w14:textId="77777777" w:rsidR="00CC2636" w:rsidRPr="008D031E" w:rsidRDefault="00CC2636" w:rsidP="001F1E46">
      <w:pPr>
        <w:pStyle w:val="JuQuot"/>
        <w:widowControl w:val="0"/>
        <w:spacing w:before="0" w:after="0"/>
        <w:ind w:left="284"/>
        <w:rPr>
          <w:rFonts w:ascii="Times New Roman" w:hAnsi="Times New Roman"/>
          <w:noProof/>
          <w:sz w:val="24"/>
          <w:lang w:val="en-US"/>
        </w:rPr>
      </w:pPr>
    </w:p>
    <w:p w14:paraId="6D286577" w14:textId="77777777"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Attiecībā uz sociālajiem tīkliem, ja persona kaut ko publicē “</w:t>
      </w:r>
      <w:proofErr w:type="spellStart"/>
      <w:r>
        <w:rPr>
          <w:rFonts w:ascii="Times New Roman" w:hAnsi="Times New Roman"/>
          <w:sz w:val="24"/>
        </w:rPr>
        <w:t>Facebook</w:t>
      </w:r>
      <w:proofErr w:type="spellEnd"/>
      <w:r>
        <w:rPr>
          <w:rFonts w:ascii="Times New Roman" w:hAnsi="Times New Roman"/>
          <w:sz w:val="24"/>
        </w:rPr>
        <w:t>”, runa būtu par ārējiem sakariem, jo tīmekļa serveris atrodas ārvalstīs.</w:t>
      </w:r>
    </w:p>
    <w:p w14:paraId="2FCB393D" w14:textId="77777777" w:rsidR="00CC2636" w:rsidRPr="008D031E" w:rsidRDefault="00CC2636" w:rsidP="001F1E46">
      <w:pPr>
        <w:pStyle w:val="JuQuot"/>
        <w:widowControl w:val="0"/>
        <w:spacing w:before="0" w:after="0"/>
        <w:ind w:left="284"/>
        <w:rPr>
          <w:rFonts w:ascii="Times New Roman" w:hAnsi="Times New Roman"/>
          <w:noProof/>
          <w:sz w:val="24"/>
          <w:lang w:val="en-US"/>
        </w:rPr>
      </w:pPr>
    </w:p>
    <w:p w14:paraId="41C9890E" w14:textId="77777777"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Attiecībā uz informācijas saglabāšanu </w:t>
      </w:r>
      <w:proofErr w:type="spellStart"/>
      <w:r>
        <w:rPr>
          <w:rFonts w:ascii="Times New Roman" w:hAnsi="Times New Roman"/>
          <w:sz w:val="24"/>
        </w:rPr>
        <w:t>mākoņkrātuvē</w:t>
      </w:r>
      <w:proofErr w:type="spellEnd"/>
      <w:r>
        <w:rPr>
          <w:rFonts w:ascii="Times New Roman" w:hAnsi="Times New Roman"/>
          <w:sz w:val="24"/>
        </w:rPr>
        <w:t xml:space="preserve"> (piemēram, “</w:t>
      </w:r>
      <w:proofErr w:type="spellStart"/>
      <w:r>
        <w:rPr>
          <w:rFonts w:ascii="Times New Roman" w:hAnsi="Times New Roman"/>
          <w:sz w:val="24"/>
        </w:rPr>
        <w:t>Dropbox</w:t>
      </w:r>
      <w:proofErr w:type="spellEnd"/>
      <w:r>
        <w:rPr>
          <w:rFonts w:ascii="Times New Roman" w:hAnsi="Times New Roman"/>
          <w:sz w:val="24"/>
        </w:rPr>
        <w:t>” augšupielādētām datnēm) runa būtu par ārējiem sakariem, jo šī informācija ir nosūtīta uz ārvalstīs esošu tīmekļa serveri.”</w:t>
      </w:r>
    </w:p>
    <w:p w14:paraId="49B6B773" w14:textId="77777777" w:rsidR="00CC2636" w:rsidRPr="008D031E" w:rsidRDefault="00CC2636" w:rsidP="001F1E46">
      <w:pPr>
        <w:pStyle w:val="JuQuot"/>
        <w:widowControl w:val="0"/>
        <w:spacing w:before="0" w:after="0"/>
        <w:ind w:left="0" w:firstLine="0"/>
        <w:rPr>
          <w:rFonts w:ascii="Times New Roman" w:hAnsi="Times New Roman"/>
          <w:noProof/>
          <w:sz w:val="24"/>
          <w:lang w:val="en-US"/>
        </w:rPr>
      </w:pPr>
    </w:p>
    <w:p w14:paraId="6B9BBD9E" w14:textId="2CE7F473" w:rsidR="000E3283" w:rsidRDefault="00CC2636" w:rsidP="001F1E46">
      <w:pPr>
        <w:pStyle w:val="JuH1"/>
        <w:keepNext w:val="0"/>
        <w:keepLines w:val="0"/>
        <w:widowControl w:val="0"/>
        <w:numPr>
          <w:ilvl w:val="0"/>
          <w:numId w:val="0"/>
        </w:numPr>
        <w:spacing w:before="0" w:beforeAutospacing="0" w:after="0"/>
        <w:outlineLvl w:val="9"/>
        <w:rPr>
          <w:rFonts w:ascii="Times New Roman" w:hAnsi="Times New Roman"/>
          <w:noProof/>
        </w:rPr>
      </w:pPr>
      <w:bookmarkStart w:id="51" w:name="_Toc516820723"/>
      <w:r>
        <w:rPr>
          <w:rFonts w:ascii="Times New Roman" w:hAnsi="Times New Roman"/>
        </w:rPr>
        <w:t>3. RIPA paredzētie specifiskie drošības pasākumi</w:t>
      </w:r>
      <w:bookmarkEnd w:id="51"/>
    </w:p>
    <w:p w14:paraId="76D21254" w14:textId="77777777" w:rsidR="00CC2636" w:rsidRPr="00CC2636" w:rsidRDefault="00CC2636" w:rsidP="001F1E46">
      <w:pPr>
        <w:pStyle w:val="JuPara"/>
        <w:widowControl w:val="0"/>
        <w:rPr>
          <w:lang w:val="en-US"/>
        </w:rPr>
      </w:pPr>
    </w:p>
    <w:p w14:paraId="50C646F1" w14:textId="2E6D40EF" w:rsidR="000E3283" w:rsidRDefault="00CC2636" w:rsidP="001F1E46">
      <w:pPr>
        <w:pStyle w:val="JuHa0"/>
        <w:keepNext w:val="0"/>
        <w:keepLines w:val="0"/>
        <w:widowControl w:val="0"/>
        <w:numPr>
          <w:ilvl w:val="0"/>
          <w:numId w:val="0"/>
        </w:numPr>
        <w:spacing w:before="0" w:beforeAutospacing="0" w:after="0"/>
        <w:outlineLvl w:val="9"/>
        <w:rPr>
          <w:rFonts w:ascii="Times New Roman" w:hAnsi="Times New Roman"/>
          <w:noProof/>
          <w:sz w:val="24"/>
        </w:rPr>
      </w:pPr>
      <w:bookmarkStart w:id="52" w:name="_Toc516820724"/>
      <w:r>
        <w:rPr>
          <w:rFonts w:ascii="Times New Roman" w:hAnsi="Times New Roman"/>
          <w:sz w:val="24"/>
        </w:rPr>
        <w:t>a) 15. pants</w:t>
      </w:r>
      <w:bookmarkEnd w:id="52"/>
    </w:p>
    <w:p w14:paraId="10A9FC51" w14:textId="77777777" w:rsidR="00CC2636" w:rsidRPr="00CC2636" w:rsidRDefault="00CC2636" w:rsidP="001F1E46">
      <w:pPr>
        <w:pStyle w:val="JuPara"/>
        <w:widowControl w:val="0"/>
        <w:rPr>
          <w:lang w:val="en-US"/>
        </w:rPr>
      </w:pPr>
    </w:p>
    <w:p w14:paraId="619C5ECB" w14:textId="5ECBCAD6" w:rsidR="000E3283" w:rsidRPr="008D031E" w:rsidRDefault="000E3283" w:rsidP="001F1E46">
      <w:pPr>
        <w:pStyle w:val="JuPara"/>
        <w:widowControl w:val="0"/>
        <w:ind w:firstLine="142"/>
        <w:rPr>
          <w:rFonts w:ascii="Times New Roman" w:hAnsi="Times New Roman"/>
          <w:noProof/>
        </w:rPr>
      </w:pPr>
      <w:bookmarkStart w:id="53" w:name="RIPAs15Start"/>
      <w:r>
        <w:rPr>
          <w:rFonts w:ascii="Times New Roman" w:hAnsi="Times New Roman"/>
        </w:rPr>
        <w:t>77</w:t>
      </w:r>
      <w:bookmarkEnd w:id="53"/>
      <w:r>
        <w:rPr>
          <w:rFonts w:ascii="Times New Roman" w:hAnsi="Times New Roman"/>
        </w:rPr>
        <w:t>. Saskaņā ar 15. panta 1. punktu valsts sekretāram(-</w:t>
      </w:r>
      <w:proofErr w:type="spellStart"/>
      <w:r>
        <w:rPr>
          <w:rFonts w:ascii="Times New Roman" w:hAnsi="Times New Roman"/>
        </w:rPr>
        <w:t>ei</w:t>
      </w:r>
      <w:proofErr w:type="spellEnd"/>
      <w:r>
        <w:rPr>
          <w:rFonts w:ascii="Times New Roman" w:hAnsi="Times New Roman"/>
        </w:rPr>
        <w:t>) saistībā ar pārtveršanas orderiem bija pienākums nodrošināt, ka spēkā ir tādi pasākumi, kādus viņš vai viņa uzskatījis par nepieciešamiem 2. un 3. punktā noteikto prasību izpildei saistībā ar pārtverto materiālu un jebkuriem saistītajiem sakaru datiem, un ka attiecībā uz orderiem, saistībā ar kuriem izdoti 8. panta 4. punktā noteiktie apliecinājumi, ir izpildītas arī 16. pantā noteiktās prasības.</w:t>
      </w:r>
    </w:p>
    <w:p w14:paraId="46ED8A61" w14:textId="1259ECD0" w:rsidR="000E3283" w:rsidRDefault="000E3283" w:rsidP="001F1E46">
      <w:pPr>
        <w:pStyle w:val="JuPara"/>
        <w:widowControl w:val="0"/>
        <w:ind w:firstLine="142"/>
        <w:rPr>
          <w:rFonts w:ascii="Times New Roman" w:hAnsi="Times New Roman"/>
          <w:noProof/>
        </w:rPr>
      </w:pPr>
      <w:bookmarkStart w:id="54" w:name="section15two"/>
      <w:r>
        <w:rPr>
          <w:rFonts w:ascii="Times New Roman" w:hAnsi="Times New Roman"/>
        </w:rPr>
        <w:t>78</w:t>
      </w:r>
      <w:bookmarkEnd w:id="54"/>
      <w:r>
        <w:rPr>
          <w:rFonts w:ascii="Times New Roman" w:hAnsi="Times New Roman"/>
        </w:rPr>
        <w:t>. 15. panta 2. punkts noteica:</w:t>
      </w:r>
    </w:p>
    <w:p w14:paraId="791450F8" w14:textId="77777777" w:rsidR="00CC2636" w:rsidRPr="008D031E" w:rsidRDefault="00CC2636" w:rsidP="001F1E46">
      <w:pPr>
        <w:pStyle w:val="JuPara"/>
        <w:widowControl w:val="0"/>
        <w:ind w:firstLine="142"/>
        <w:rPr>
          <w:rFonts w:ascii="Times New Roman" w:hAnsi="Times New Roman"/>
          <w:noProof/>
          <w:lang w:val="en-US"/>
        </w:rPr>
      </w:pPr>
    </w:p>
    <w:p w14:paraId="21E29603" w14:textId="77777777"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“Šajā punktā noteiktās prasības saistībā ar pārtverto materiālu un jebkuriem saistītajiem sakaru datiem uzskatāmas par izpildītām, ja:</w:t>
      </w:r>
    </w:p>
    <w:p w14:paraId="2CFAF9AB" w14:textId="77777777" w:rsidR="00CC2636" w:rsidRPr="008D031E" w:rsidRDefault="00CC2636" w:rsidP="001F1E46">
      <w:pPr>
        <w:pStyle w:val="JuQuot"/>
        <w:widowControl w:val="0"/>
        <w:spacing w:before="0" w:after="0"/>
        <w:ind w:left="284" w:firstLine="0"/>
        <w:rPr>
          <w:rFonts w:ascii="Times New Roman" w:hAnsi="Times New Roman"/>
          <w:noProof/>
          <w:sz w:val="24"/>
          <w:lang w:val="en-US"/>
        </w:rPr>
      </w:pPr>
    </w:p>
    <w:p w14:paraId="0CA1C4B7" w14:textId="12B0FAF9" w:rsidR="000E3283" w:rsidRDefault="00CC2636" w:rsidP="001F1E46">
      <w:pPr>
        <w:pStyle w:val="JuQuot"/>
        <w:widowControl w:val="0"/>
        <w:spacing w:before="0" w:after="0"/>
        <w:ind w:left="567" w:firstLine="0"/>
        <w:rPr>
          <w:rFonts w:ascii="Times New Roman" w:hAnsi="Times New Roman"/>
          <w:noProof/>
          <w:sz w:val="24"/>
        </w:rPr>
      </w:pPr>
      <w:r>
        <w:rPr>
          <w:rFonts w:ascii="Times New Roman" w:hAnsi="Times New Roman"/>
          <w:sz w:val="24"/>
        </w:rPr>
        <w:t>a) to personu skaits, kurām jebkurš materiāls vai dati tiek izpausti vai kā citādi padarīti pieejami;</w:t>
      </w:r>
    </w:p>
    <w:p w14:paraId="0D216647" w14:textId="77777777" w:rsidR="00CC2636" w:rsidRPr="008D031E" w:rsidRDefault="00CC2636" w:rsidP="001F1E46">
      <w:pPr>
        <w:pStyle w:val="JuQuot"/>
        <w:widowControl w:val="0"/>
        <w:spacing w:before="0" w:after="0"/>
        <w:ind w:left="567" w:firstLine="0"/>
        <w:rPr>
          <w:rFonts w:ascii="Times New Roman" w:hAnsi="Times New Roman"/>
          <w:noProof/>
          <w:sz w:val="24"/>
          <w:lang w:val="en-US"/>
        </w:rPr>
      </w:pPr>
    </w:p>
    <w:p w14:paraId="350448DE" w14:textId="5719D707" w:rsidR="000E3283" w:rsidRDefault="00CC2636" w:rsidP="001F1E46">
      <w:pPr>
        <w:pStyle w:val="JuQuot"/>
        <w:widowControl w:val="0"/>
        <w:spacing w:before="0" w:after="0"/>
        <w:ind w:left="567" w:firstLine="0"/>
        <w:rPr>
          <w:rFonts w:ascii="Times New Roman" w:hAnsi="Times New Roman"/>
          <w:noProof/>
          <w:sz w:val="24"/>
        </w:rPr>
      </w:pPr>
      <w:r>
        <w:rPr>
          <w:rFonts w:ascii="Times New Roman" w:hAnsi="Times New Roman"/>
          <w:sz w:val="24"/>
        </w:rPr>
        <w:t>b) apmērs, kādā jebkurš materiāls vai dati tiek izpausti vai kā citādi padarīti pieejami;</w:t>
      </w:r>
    </w:p>
    <w:p w14:paraId="4556B7DB" w14:textId="77777777" w:rsidR="00CC2636" w:rsidRPr="008D031E" w:rsidRDefault="00CC2636" w:rsidP="001F1E46">
      <w:pPr>
        <w:pStyle w:val="JuQuot"/>
        <w:widowControl w:val="0"/>
        <w:spacing w:before="0" w:after="0"/>
        <w:ind w:left="567" w:firstLine="0"/>
        <w:rPr>
          <w:rFonts w:ascii="Times New Roman" w:hAnsi="Times New Roman"/>
          <w:noProof/>
          <w:sz w:val="24"/>
          <w:lang w:val="en-US"/>
        </w:rPr>
      </w:pPr>
    </w:p>
    <w:p w14:paraId="006C42D2" w14:textId="24814618" w:rsidR="000E3283" w:rsidRDefault="00CC2636" w:rsidP="001F1E46">
      <w:pPr>
        <w:pStyle w:val="JuQuot"/>
        <w:widowControl w:val="0"/>
        <w:spacing w:before="0" w:after="0"/>
        <w:ind w:left="567" w:firstLine="0"/>
        <w:rPr>
          <w:rFonts w:ascii="Times New Roman" w:hAnsi="Times New Roman"/>
          <w:noProof/>
          <w:sz w:val="24"/>
        </w:rPr>
      </w:pPr>
      <w:r>
        <w:rPr>
          <w:rFonts w:ascii="Times New Roman" w:hAnsi="Times New Roman"/>
          <w:sz w:val="24"/>
        </w:rPr>
        <w:t>c) apmērs, kādā jebkurš materiāls vai dati tiek kopēti, un</w:t>
      </w:r>
    </w:p>
    <w:p w14:paraId="7E6F924A" w14:textId="77777777" w:rsidR="00CC2636" w:rsidRPr="008D031E" w:rsidRDefault="00CC2636" w:rsidP="001F1E46">
      <w:pPr>
        <w:pStyle w:val="JuQuot"/>
        <w:widowControl w:val="0"/>
        <w:spacing w:before="0" w:after="0"/>
        <w:ind w:left="567" w:firstLine="0"/>
        <w:rPr>
          <w:rFonts w:ascii="Times New Roman" w:hAnsi="Times New Roman"/>
          <w:noProof/>
          <w:sz w:val="24"/>
          <w:lang w:val="en-US"/>
        </w:rPr>
      </w:pPr>
    </w:p>
    <w:p w14:paraId="544C216B" w14:textId="0F5A316C" w:rsidR="000E3283" w:rsidRDefault="00CC2636" w:rsidP="001F1E46">
      <w:pPr>
        <w:pStyle w:val="JuQuot"/>
        <w:widowControl w:val="0"/>
        <w:spacing w:before="0" w:after="0"/>
        <w:ind w:left="567" w:firstLine="0"/>
        <w:rPr>
          <w:rFonts w:ascii="Times New Roman" w:hAnsi="Times New Roman"/>
          <w:noProof/>
          <w:sz w:val="24"/>
        </w:rPr>
      </w:pPr>
      <w:r>
        <w:rPr>
          <w:rFonts w:ascii="Times New Roman" w:hAnsi="Times New Roman"/>
          <w:sz w:val="24"/>
        </w:rPr>
        <w:t>d) izgatavoto kopiju skaits</w:t>
      </w:r>
    </w:p>
    <w:p w14:paraId="19E8ABF2" w14:textId="77777777" w:rsidR="00CC2636" w:rsidRPr="008D031E" w:rsidRDefault="00CC2636" w:rsidP="001F1E46">
      <w:pPr>
        <w:pStyle w:val="JuQuot"/>
        <w:widowControl w:val="0"/>
        <w:spacing w:before="0" w:after="0"/>
        <w:ind w:left="284" w:firstLine="0"/>
        <w:rPr>
          <w:rFonts w:ascii="Times New Roman" w:hAnsi="Times New Roman"/>
          <w:noProof/>
          <w:sz w:val="24"/>
          <w:lang w:val="en-US"/>
        </w:rPr>
      </w:pPr>
    </w:p>
    <w:p w14:paraId="07AAE961" w14:textId="77777777"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tiek ierobežoti līdz minimumam, kas nepieciešams atļautajiem nolūkiem.”</w:t>
      </w:r>
    </w:p>
    <w:p w14:paraId="7379EC20" w14:textId="77777777" w:rsidR="00CC2636" w:rsidRPr="008D031E" w:rsidRDefault="00CC2636" w:rsidP="001F1E46">
      <w:pPr>
        <w:pStyle w:val="JuQuot"/>
        <w:widowControl w:val="0"/>
        <w:spacing w:before="0" w:after="0"/>
        <w:ind w:left="0" w:firstLine="0"/>
        <w:rPr>
          <w:rFonts w:ascii="Times New Roman" w:hAnsi="Times New Roman"/>
          <w:noProof/>
          <w:sz w:val="24"/>
          <w:lang w:val="en-US"/>
        </w:rPr>
      </w:pPr>
    </w:p>
    <w:p w14:paraId="42C7F592" w14:textId="13317FC3" w:rsidR="000E3283" w:rsidRDefault="000E3283" w:rsidP="001F1E46">
      <w:pPr>
        <w:pStyle w:val="JuPara"/>
        <w:widowControl w:val="0"/>
        <w:ind w:firstLine="142"/>
        <w:rPr>
          <w:rFonts w:ascii="Times New Roman" w:hAnsi="Times New Roman"/>
          <w:noProof/>
        </w:rPr>
      </w:pPr>
      <w:bookmarkStart w:id="55" w:name="RIPA15three"/>
      <w:r>
        <w:rPr>
          <w:rFonts w:ascii="Times New Roman" w:hAnsi="Times New Roman"/>
        </w:rPr>
        <w:t>79</w:t>
      </w:r>
      <w:bookmarkEnd w:id="55"/>
      <w:r>
        <w:rPr>
          <w:rFonts w:ascii="Times New Roman" w:hAnsi="Times New Roman"/>
        </w:rPr>
        <w:t>. 15. panta 3. punkts noteica:</w:t>
      </w:r>
    </w:p>
    <w:p w14:paraId="0FE74150" w14:textId="77777777" w:rsidR="002E189D" w:rsidRPr="008D031E" w:rsidRDefault="002E189D" w:rsidP="001F1E46">
      <w:pPr>
        <w:pStyle w:val="JuPara"/>
        <w:widowControl w:val="0"/>
        <w:ind w:firstLine="0"/>
        <w:rPr>
          <w:rFonts w:ascii="Times New Roman" w:hAnsi="Times New Roman"/>
          <w:noProof/>
          <w:lang w:val="en-US"/>
        </w:rPr>
      </w:pPr>
    </w:p>
    <w:p w14:paraId="0C24B8E2" w14:textId="77777777"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“Šajā punktā noteiktās prasības saistībā ar pārtverto materiālu un jebkuriem saistītajiem sakaru datiem uzskatāmas par izpildītām, ja katra izgatavotā materiāla vai datu kopija (ja tā nav iznīcināta agrāk) tiek iznīcināta, tiklīdz vairs nav pamata to saglabāt kā tādu, kas nepieciešama kādam no atļautajiem nolūkiem.”</w:t>
      </w:r>
    </w:p>
    <w:p w14:paraId="1C003869" w14:textId="77777777" w:rsidR="002E189D" w:rsidRPr="008D031E" w:rsidRDefault="002E189D" w:rsidP="001F1E46">
      <w:pPr>
        <w:pStyle w:val="JuQuot"/>
        <w:widowControl w:val="0"/>
        <w:spacing w:before="0" w:after="0"/>
        <w:ind w:left="0" w:firstLine="0"/>
        <w:rPr>
          <w:rFonts w:ascii="Times New Roman" w:hAnsi="Times New Roman"/>
          <w:noProof/>
          <w:sz w:val="24"/>
          <w:lang w:val="en-US"/>
        </w:rPr>
      </w:pPr>
    </w:p>
    <w:p w14:paraId="77D57D94" w14:textId="640E6508" w:rsidR="000E3283" w:rsidRPr="008D031E" w:rsidRDefault="000E3283" w:rsidP="001F1E46">
      <w:pPr>
        <w:pStyle w:val="JuPara"/>
        <w:widowControl w:val="0"/>
        <w:ind w:firstLine="142"/>
        <w:rPr>
          <w:rFonts w:ascii="Times New Roman" w:hAnsi="Times New Roman"/>
          <w:noProof/>
        </w:rPr>
      </w:pPr>
      <w:bookmarkStart w:id="56" w:name="section15four"/>
      <w:r>
        <w:rPr>
          <w:rFonts w:ascii="Times New Roman" w:hAnsi="Times New Roman"/>
        </w:rPr>
        <w:t>80</w:t>
      </w:r>
      <w:bookmarkEnd w:id="56"/>
      <w:r>
        <w:rPr>
          <w:rFonts w:ascii="Times New Roman" w:hAnsi="Times New Roman"/>
        </w:rPr>
        <w:t xml:space="preserve">. Saskaņā ar 15. panta 4. punktu kaut kas ir nepieciešams atļautajiem nolūkiem vienīgi tad, ja tas joprojām ir vai, visticamāk, kļūs nepieciešams, kā norādīts likuma 5. panta 3. punktā (proti, valsts drošības interesēs, smaga nozieguma novēršanai vai atklāšanai vai arī Apvienotās Karalistes ekonomiskās labklājības aizsardzībai (ciktāl šīs intereses atbilst valsts drošības interesēm; skat. </w:t>
      </w:r>
      <w:proofErr w:type="spellStart"/>
      <w:r>
        <w:rPr>
          <w:rFonts w:ascii="Times New Roman" w:hAnsi="Times New Roman"/>
          <w:i/>
          <w:iCs/>
        </w:rPr>
        <w:t>IC</w:t>
      </w:r>
      <w:proofErr w:type="spellEnd"/>
      <w:r>
        <w:rPr>
          <w:rFonts w:ascii="Times New Roman" w:hAnsi="Times New Roman"/>
        </w:rPr>
        <w:t xml:space="preserve"> kodeksa 3.5. un 6.11. punktu turpmāk 96. punktā), vai lai īstenotu jebkura starptautiskā savstarpējā palīdzības līguma noteikumus); vai tas ir nepieciešams, lai sekmētu jebkuras valsts sekretāra pārtveršanas funkcijas izpildi; tas ir nepieciešams, lai sekmētu jebkuras </w:t>
      </w:r>
      <w:proofErr w:type="spellStart"/>
      <w:r>
        <w:rPr>
          <w:rFonts w:ascii="Times New Roman" w:hAnsi="Times New Roman"/>
          <w:i/>
          <w:iCs/>
        </w:rPr>
        <w:t>IC</w:t>
      </w:r>
      <w:proofErr w:type="spellEnd"/>
      <w:r>
        <w:rPr>
          <w:rFonts w:ascii="Times New Roman" w:hAnsi="Times New Roman"/>
        </w:rPr>
        <w:t xml:space="preserve"> komisāra vai </w:t>
      </w:r>
      <w:proofErr w:type="spellStart"/>
      <w:r>
        <w:rPr>
          <w:rFonts w:ascii="Times New Roman" w:hAnsi="Times New Roman"/>
          <w:i/>
          <w:iCs/>
        </w:rPr>
        <w:t>IPT</w:t>
      </w:r>
      <w:proofErr w:type="spellEnd"/>
      <w:r>
        <w:rPr>
          <w:rFonts w:ascii="Times New Roman" w:hAnsi="Times New Roman"/>
        </w:rPr>
        <w:t xml:space="preserve"> funkcijas izpildi; tas ir nepieciešams, lai nodrošinātu, ka persona, kas veic kriminālvajāšanu, ir informēta par to, ko tās amata pienākums paredz, lai kriminālvajāšanā nodrošinātu godīgumu, vai arī tas ir nepieciešams, lai izpildītu jebkuru amata pienākumu, ko personai nosaka publisko reģistru tiesiskais regulējums.</w:t>
      </w:r>
    </w:p>
    <w:p w14:paraId="543FA1E8" w14:textId="1B1FC26A" w:rsidR="000E3283" w:rsidRPr="008D031E" w:rsidRDefault="000E3283" w:rsidP="001F1E46">
      <w:pPr>
        <w:pStyle w:val="JuPara"/>
        <w:widowControl w:val="0"/>
        <w:ind w:firstLine="142"/>
        <w:rPr>
          <w:rFonts w:ascii="Times New Roman" w:hAnsi="Times New Roman"/>
          <w:noProof/>
        </w:rPr>
      </w:pPr>
      <w:bookmarkStart w:id="57" w:name="RIPAs15five"/>
      <w:r>
        <w:rPr>
          <w:rFonts w:ascii="Times New Roman" w:hAnsi="Times New Roman"/>
        </w:rPr>
        <w:t>81</w:t>
      </w:r>
      <w:bookmarkEnd w:id="57"/>
      <w:r>
        <w:rPr>
          <w:rFonts w:ascii="Times New Roman" w:hAnsi="Times New Roman"/>
        </w:rPr>
        <w:t>. 15. panta 5. punkts paredzēja, ka pasākumiem, kas ieviesti, lai nodrošinātu atbilstību 15. panta 2. punktam, jāietver tādi pasākumi, kurus valsts sekretārs uzskata par nepieciešamiem, lai nodrošinātu, ka jebkura izgatavotā materiāla vai datu kopija visu tās saglabāšanas laiku tiktu uzglabāta droši.</w:t>
      </w:r>
    </w:p>
    <w:p w14:paraId="283326F6" w14:textId="1159A2FA" w:rsidR="000E3283" w:rsidRPr="008D031E" w:rsidRDefault="000E3283" w:rsidP="001F1E46">
      <w:pPr>
        <w:pStyle w:val="JuPara"/>
        <w:widowControl w:val="0"/>
        <w:ind w:firstLine="142"/>
        <w:rPr>
          <w:rFonts w:ascii="Times New Roman" w:hAnsi="Times New Roman"/>
          <w:noProof/>
        </w:rPr>
      </w:pPr>
      <w:bookmarkStart w:id="58" w:name="RIPAs15End"/>
      <w:bookmarkStart w:id="59" w:name="RIPAs15sixandseven"/>
      <w:r>
        <w:rPr>
          <w:rFonts w:ascii="Times New Roman" w:hAnsi="Times New Roman"/>
        </w:rPr>
        <w:t>82</w:t>
      </w:r>
      <w:bookmarkEnd w:id="58"/>
      <w:bookmarkEnd w:id="59"/>
      <w:r>
        <w:rPr>
          <w:rFonts w:ascii="Times New Roman" w:hAnsi="Times New Roman"/>
        </w:rPr>
        <w:t>. Saskaņā ar 15. panta 6. punktu 15. panta 1. punktā minētie pasākumi nebija nepieciešami, lai nodrošinātu 15. panta 2. un 3. punktā noteikto prasību izpildi, ciktāl tās attiecās uz jebkuru pārtverto materiālu vai saistītajiem sakaru datiem, vai arī jebkuru šā materiāla vai datu kopiju, kas nodotas jebkuras ārpus Apvienotās Karalistes esošas valsts vai teritorijas iestādes īpašumā. Tomēr šādi pasākumi bija nepieciešami, lai jebkura šāda ordera gadījumā nodrošinātu, ka pārtvertais materiāls un dati, kā arī materiāla vai datu kopijas tiek nodotas ārpus Apvienotās Karalistes esošas valsts vai teritorijas iestādes īpašumā vienīgi tad, ja ir izpildītas 15. panta 7. punktā noteiktās prasības. 15. panta 7. punkts noteica:</w:t>
      </w:r>
    </w:p>
    <w:p w14:paraId="4D6A7180" w14:textId="77777777" w:rsidR="000E3283" w:rsidRDefault="000E3283" w:rsidP="001F1E46">
      <w:pPr>
        <w:widowControl w:val="0"/>
        <w:ind w:left="284" w:firstLine="142"/>
        <w:jc w:val="both"/>
        <w:rPr>
          <w:rFonts w:ascii="Times New Roman" w:hAnsi="Times New Roman"/>
          <w:noProof/>
        </w:rPr>
      </w:pPr>
      <w:r>
        <w:rPr>
          <w:rFonts w:ascii="Times New Roman" w:hAnsi="Times New Roman"/>
        </w:rPr>
        <w:t>“Ordera gadījumā šajā punktā noteiktās prasības uzskatāmas par izpildītām, ja valsts sekretārs uzskata, ka:</w:t>
      </w:r>
    </w:p>
    <w:p w14:paraId="1156D3B0" w14:textId="77777777" w:rsidR="009A573B" w:rsidRPr="008D031E" w:rsidRDefault="009A573B" w:rsidP="001F1E46">
      <w:pPr>
        <w:widowControl w:val="0"/>
        <w:jc w:val="both"/>
        <w:rPr>
          <w:rFonts w:ascii="Times New Roman" w:hAnsi="Times New Roman"/>
          <w:noProof/>
          <w:lang w:val="en-US"/>
        </w:rPr>
      </w:pPr>
    </w:p>
    <w:p w14:paraId="079115F1" w14:textId="5844EA86" w:rsidR="000E3283" w:rsidRDefault="009A573B" w:rsidP="001F1E46">
      <w:pPr>
        <w:pStyle w:val="JuQuot"/>
        <w:widowControl w:val="0"/>
        <w:spacing w:before="0" w:after="0"/>
        <w:ind w:left="567" w:firstLine="0"/>
        <w:rPr>
          <w:rFonts w:ascii="Times New Roman" w:hAnsi="Times New Roman"/>
          <w:noProof/>
          <w:sz w:val="24"/>
        </w:rPr>
      </w:pPr>
      <w:r>
        <w:rPr>
          <w:rFonts w:ascii="Times New Roman" w:hAnsi="Times New Roman"/>
          <w:sz w:val="24"/>
        </w:rPr>
        <w:t>a) prasības, kas atbilst 2. un 3. punktā minētajām prasībām, tiks piemērotas tādā apmērā, kādā valsts sekretārs to uzskata par vajadzīgu (ja tās tiks piemērotas) saistībā ar jebkuru pārtverto materiālu vai saistītajiem sakaru datiem, kuri nodoti vai kuru kopijas nodotas attiecīgo iestāžu īpašumā, un</w:t>
      </w:r>
    </w:p>
    <w:p w14:paraId="5A0DDFA7" w14:textId="77777777" w:rsidR="009A573B" w:rsidRPr="008D031E" w:rsidRDefault="009A573B" w:rsidP="001F1E46">
      <w:pPr>
        <w:pStyle w:val="JuQuot"/>
        <w:widowControl w:val="0"/>
        <w:spacing w:before="0" w:after="0"/>
        <w:ind w:left="567" w:firstLine="0"/>
        <w:rPr>
          <w:rFonts w:ascii="Times New Roman" w:hAnsi="Times New Roman"/>
          <w:noProof/>
          <w:sz w:val="24"/>
          <w:lang w:val="en-US"/>
        </w:rPr>
      </w:pPr>
    </w:p>
    <w:p w14:paraId="64037B3E" w14:textId="1A1B35AB" w:rsidR="000E3283" w:rsidRDefault="009A573B" w:rsidP="001F1E46">
      <w:pPr>
        <w:pStyle w:val="JuQuot"/>
        <w:widowControl w:val="0"/>
        <w:spacing w:before="0" w:after="0"/>
        <w:ind w:left="567" w:firstLine="0"/>
        <w:rPr>
          <w:rFonts w:ascii="Times New Roman" w:hAnsi="Times New Roman"/>
          <w:noProof/>
          <w:sz w:val="24"/>
        </w:rPr>
      </w:pPr>
      <w:r>
        <w:rPr>
          <w:rFonts w:ascii="Times New Roman" w:hAnsi="Times New Roman"/>
          <w:sz w:val="24"/>
        </w:rPr>
        <w:t>b) ir spēkā ierobežojumi, kas liegtu tādā apmērā, kādā valsts sekretārs to uzskata par vajadzīgu (ja tas tiktu liegts), rīkoties Apvienotās Karalistes jebkuras tiesvedības ietvaros, tās nolūkiem vai saistībā ar to, kā rezultātā tiktu izpausta informācija, ko saskaņā ar 17. pantu Apvienotajā Karalistē nevarēja izpaust.”</w:t>
      </w:r>
    </w:p>
    <w:p w14:paraId="6E053D3A" w14:textId="77777777" w:rsidR="009A573B" w:rsidRPr="008D031E" w:rsidRDefault="009A573B" w:rsidP="001F1E46">
      <w:pPr>
        <w:pStyle w:val="JuQuot"/>
        <w:widowControl w:val="0"/>
        <w:spacing w:before="0" w:after="0"/>
        <w:ind w:left="284" w:firstLine="0"/>
        <w:rPr>
          <w:rFonts w:ascii="Times New Roman" w:hAnsi="Times New Roman"/>
          <w:noProof/>
          <w:sz w:val="24"/>
          <w:lang w:val="en-US"/>
        </w:rPr>
      </w:pPr>
    </w:p>
    <w:p w14:paraId="749BD84E" w14:textId="45EBCA18" w:rsidR="000E3283" w:rsidRDefault="000E3283" w:rsidP="001F1E46">
      <w:pPr>
        <w:pStyle w:val="JuPara"/>
        <w:widowControl w:val="0"/>
        <w:ind w:firstLine="142"/>
        <w:rPr>
          <w:rFonts w:ascii="Times New Roman" w:hAnsi="Times New Roman"/>
          <w:noProof/>
        </w:rPr>
      </w:pPr>
      <w:bookmarkStart w:id="60" w:name="RIPA17"/>
      <w:r>
        <w:rPr>
          <w:rFonts w:ascii="Times New Roman" w:hAnsi="Times New Roman"/>
        </w:rPr>
        <w:t>83</w:t>
      </w:r>
      <w:bookmarkEnd w:id="60"/>
      <w:r>
        <w:rPr>
          <w:rFonts w:ascii="Times New Roman" w:hAnsi="Times New Roman"/>
        </w:rPr>
        <w:t xml:space="preserve">. </w:t>
      </w:r>
      <w:r>
        <w:rPr>
          <w:rFonts w:ascii="Times New Roman" w:hAnsi="Times New Roman"/>
          <w:i/>
          <w:iCs/>
        </w:rPr>
        <w:t>RIPA</w:t>
      </w:r>
      <w:r>
        <w:rPr>
          <w:rFonts w:ascii="Times New Roman" w:hAnsi="Times New Roman"/>
        </w:rPr>
        <w:t xml:space="preserve"> 17. pantā bija noteikts, ka saistībā ar tiesvedību parasti nevar sniegt pierādījumus, izpaust informāciju vai veikt citus pasākumus, ar kuriem tiktu izpausts pārtverto sakaru saturs vai saistītie sakaru dati.</w:t>
      </w:r>
    </w:p>
    <w:p w14:paraId="6CA3E9C4" w14:textId="77777777" w:rsidR="009A573B" w:rsidRPr="008D031E" w:rsidRDefault="009A573B" w:rsidP="001F1E46">
      <w:pPr>
        <w:pStyle w:val="JuPara"/>
        <w:widowControl w:val="0"/>
        <w:ind w:firstLine="0"/>
        <w:rPr>
          <w:rFonts w:ascii="Times New Roman" w:hAnsi="Times New Roman"/>
          <w:noProof/>
          <w:lang w:val="en-US"/>
        </w:rPr>
      </w:pPr>
    </w:p>
    <w:p w14:paraId="19C61FED" w14:textId="5B51AB18" w:rsidR="000E3283" w:rsidRDefault="009A573B" w:rsidP="001F1E46">
      <w:pPr>
        <w:pStyle w:val="JuHa0"/>
        <w:keepNext w:val="0"/>
        <w:keepLines w:val="0"/>
        <w:widowControl w:val="0"/>
        <w:numPr>
          <w:ilvl w:val="0"/>
          <w:numId w:val="0"/>
        </w:numPr>
        <w:spacing w:before="0" w:beforeAutospacing="0" w:after="0"/>
        <w:outlineLvl w:val="9"/>
        <w:rPr>
          <w:rFonts w:ascii="Times New Roman" w:hAnsi="Times New Roman"/>
          <w:noProof/>
          <w:sz w:val="24"/>
        </w:rPr>
      </w:pPr>
      <w:bookmarkStart w:id="61" w:name="_Toc516820725"/>
      <w:r>
        <w:rPr>
          <w:rFonts w:ascii="Times New Roman" w:hAnsi="Times New Roman"/>
          <w:sz w:val="24"/>
        </w:rPr>
        <w:t>b) 16. pants</w:t>
      </w:r>
      <w:bookmarkEnd w:id="61"/>
    </w:p>
    <w:p w14:paraId="73BC5440" w14:textId="77777777" w:rsidR="009A573B" w:rsidRPr="009A573B" w:rsidRDefault="009A573B" w:rsidP="001F1E46">
      <w:pPr>
        <w:pStyle w:val="JuPara"/>
        <w:widowControl w:val="0"/>
        <w:rPr>
          <w:lang w:val="en-US"/>
        </w:rPr>
      </w:pPr>
    </w:p>
    <w:p w14:paraId="60C376AD" w14:textId="6553F95D" w:rsidR="000E3283" w:rsidRPr="008D031E" w:rsidRDefault="000E3283" w:rsidP="001F1E46">
      <w:pPr>
        <w:pStyle w:val="JuPara"/>
        <w:widowControl w:val="0"/>
        <w:ind w:firstLine="142"/>
        <w:rPr>
          <w:rFonts w:ascii="Times New Roman" w:hAnsi="Times New Roman"/>
          <w:noProof/>
        </w:rPr>
      </w:pPr>
      <w:bookmarkStart w:id="62" w:name="RIPAs16Start"/>
      <w:r>
        <w:rPr>
          <w:rFonts w:ascii="Times New Roman" w:hAnsi="Times New Roman"/>
        </w:rPr>
        <w:t>84</w:t>
      </w:r>
      <w:bookmarkEnd w:id="62"/>
      <w:r>
        <w:rPr>
          <w:rFonts w:ascii="Times New Roman" w:hAnsi="Times New Roman"/>
        </w:rPr>
        <w:t>. 16. pantā ir izklāstīti papildu drošības pasākumi saistībā ar “ārējo” sakaru pārtveršanu saskaņā ar 8. panta 4. punktā noteikto orderi. 16. panta 1. punkts noteica, ka pārtverto materiālu var lasīt, aplūkot vai klausīties vienīgi personas, kurām tas kļūst pieejams saskaņā ar orderi, ja un ciktāl tas tika apstiprināts kā materiāls, ko nepieciešams pārbaudīt, kā noteikts likuma 5. panta 3. punktā, un ja uz to attiecas 16. panta 2. punkts. 20. pantā jēdziens “pārtvertais materiāls” bija definēts kā jebkuru tādu sakaru saturs, kas pārtverts, veicot pārtveršanu, uz ko attiecas orderis.</w:t>
      </w:r>
    </w:p>
    <w:p w14:paraId="45ACB1CD" w14:textId="7E98CE75" w:rsidR="000E3283" w:rsidRPr="008D031E" w:rsidRDefault="000E3283" w:rsidP="001F1E46">
      <w:pPr>
        <w:pStyle w:val="JuPara"/>
        <w:widowControl w:val="0"/>
        <w:ind w:firstLine="142"/>
        <w:rPr>
          <w:rFonts w:ascii="Times New Roman" w:hAnsi="Times New Roman"/>
          <w:noProof/>
        </w:rPr>
      </w:pPr>
      <w:bookmarkStart w:id="63" w:name="RIPAs162"/>
      <w:r>
        <w:rPr>
          <w:rFonts w:ascii="Times New Roman" w:hAnsi="Times New Roman"/>
        </w:rPr>
        <w:lastRenderedPageBreak/>
        <w:t>85</w:t>
      </w:r>
      <w:bookmarkEnd w:id="63"/>
      <w:r>
        <w:rPr>
          <w:rFonts w:ascii="Times New Roman" w:hAnsi="Times New Roman"/>
        </w:rPr>
        <w:t>. 16. panta 2. punkts noteica:</w:t>
      </w:r>
    </w:p>
    <w:p w14:paraId="5DBF4F94" w14:textId="77777777" w:rsidR="009A573B" w:rsidRDefault="009A573B" w:rsidP="001F1E46">
      <w:pPr>
        <w:pStyle w:val="JuQuot"/>
        <w:widowControl w:val="0"/>
        <w:spacing w:before="0" w:after="0"/>
        <w:ind w:left="0" w:firstLine="0"/>
        <w:rPr>
          <w:rFonts w:ascii="Times New Roman" w:hAnsi="Times New Roman"/>
          <w:noProof/>
          <w:sz w:val="24"/>
          <w:lang w:val="en-US"/>
        </w:rPr>
      </w:pPr>
    </w:p>
    <w:p w14:paraId="0D2DCEFB" w14:textId="1AF9019B"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“Saskaņā ar 3. un 4. punktu šis punkts attiecas uz pārtverto materiālu vienīgi tiktāl, ciktāl tas atlasīts, lai to lasītu, aplūkotu vai klausītos kā citādi, nevis atbilstoši faktoram:</w:t>
      </w:r>
    </w:p>
    <w:p w14:paraId="70CC09EC" w14:textId="77777777" w:rsidR="009A573B" w:rsidRPr="008D031E" w:rsidRDefault="009A573B" w:rsidP="001F1E46">
      <w:pPr>
        <w:pStyle w:val="JuQuot"/>
        <w:widowControl w:val="0"/>
        <w:spacing w:before="0" w:after="0"/>
        <w:ind w:left="284" w:firstLine="0"/>
        <w:rPr>
          <w:rFonts w:ascii="Times New Roman" w:hAnsi="Times New Roman"/>
          <w:noProof/>
          <w:sz w:val="24"/>
          <w:lang w:val="en-US"/>
        </w:rPr>
      </w:pPr>
    </w:p>
    <w:p w14:paraId="316A2DEE" w14:textId="0015C682" w:rsidR="000E3283" w:rsidRDefault="009A573B" w:rsidP="001F1E46">
      <w:pPr>
        <w:pStyle w:val="JuQuot"/>
        <w:widowControl w:val="0"/>
        <w:spacing w:before="0" w:after="0"/>
        <w:ind w:left="567" w:firstLine="0"/>
        <w:rPr>
          <w:rFonts w:ascii="Times New Roman" w:hAnsi="Times New Roman"/>
          <w:noProof/>
          <w:sz w:val="24"/>
        </w:rPr>
      </w:pPr>
      <w:r>
        <w:rPr>
          <w:rFonts w:ascii="Times New Roman" w:hAnsi="Times New Roman"/>
          <w:sz w:val="24"/>
        </w:rPr>
        <w:t>a) kas attiecināms uz personu, par kuru zināms, ka tā attiecīgajā brīdī atrodas Britu salās, un</w:t>
      </w:r>
    </w:p>
    <w:p w14:paraId="5D71F969" w14:textId="77777777" w:rsidR="009A573B" w:rsidRPr="008D031E" w:rsidRDefault="009A573B" w:rsidP="001F1E46">
      <w:pPr>
        <w:pStyle w:val="JuQuot"/>
        <w:widowControl w:val="0"/>
        <w:spacing w:before="0" w:after="0"/>
        <w:ind w:left="567" w:firstLine="0"/>
        <w:rPr>
          <w:rFonts w:ascii="Times New Roman" w:hAnsi="Times New Roman"/>
          <w:noProof/>
          <w:sz w:val="24"/>
          <w:lang w:val="en-US"/>
        </w:rPr>
      </w:pPr>
    </w:p>
    <w:p w14:paraId="5170C685" w14:textId="144364B5" w:rsidR="000E3283" w:rsidRDefault="009A573B" w:rsidP="001F1E46">
      <w:pPr>
        <w:pStyle w:val="JuQuot"/>
        <w:widowControl w:val="0"/>
        <w:spacing w:before="0" w:after="0"/>
        <w:ind w:left="567" w:firstLine="0"/>
        <w:rPr>
          <w:rFonts w:ascii="Times New Roman" w:hAnsi="Times New Roman"/>
          <w:noProof/>
          <w:sz w:val="24"/>
        </w:rPr>
      </w:pPr>
      <w:r>
        <w:rPr>
          <w:rFonts w:ascii="Times New Roman" w:hAnsi="Times New Roman"/>
          <w:sz w:val="24"/>
        </w:rPr>
        <w:t>b) kura nolūks vai viens no nolūkiem ir identificēt materiālu, kas iekļauts tai nosūtītajos vai paredzētajos sakaros.”</w:t>
      </w:r>
    </w:p>
    <w:p w14:paraId="2B710802" w14:textId="77777777" w:rsidR="009A573B" w:rsidRPr="008D031E" w:rsidRDefault="009A573B" w:rsidP="001F1E46">
      <w:pPr>
        <w:pStyle w:val="JuQuot"/>
        <w:widowControl w:val="0"/>
        <w:spacing w:before="0" w:after="0"/>
        <w:ind w:left="0" w:firstLine="0"/>
        <w:rPr>
          <w:rFonts w:ascii="Times New Roman" w:hAnsi="Times New Roman"/>
          <w:noProof/>
          <w:sz w:val="24"/>
          <w:lang w:val="en-US"/>
        </w:rPr>
      </w:pPr>
    </w:p>
    <w:p w14:paraId="6E7CCBF5" w14:textId="003C8BE3" w:rsidR="000E3283" w:rsidRPr="008D031E" w:rsidRDefault="000E3283" w:rsidP="001F1E46">
      <w:pPr>
        <w:pStyle w:val="JuPara"/>
        <w:widowControl w:val="0"/>
        <w:ind w:firstLine="142"/>
        <w:rPr>
          <w:rFonts w:ascii="Times New Roman" w:hAnsi="Times New Roman"/>
          <w:noProof/>
        </w:rPr>
      </w:pPr>
      <w:bookmarkStart w:id="64" w:name="RIPAs163"/>
      <w:r>
        <w:rPr>
          <w:rFonts w:ascii="Times New Roman" w:hAnsi="Times New Roman"/>
        </w:rPr>
        <w:t>86</w:t>
      </w:r>
      <w:bookmarkEnd w:id="64"/>
      <w:r>
        <w:rPr>
          <w:rFonts w:ascii="Times New Roman" w:hAnsi="Times New Roman"/>
        </w:rPr>
        <w:t>. Saskaņā ar 16. panta 3. punktu uz pārtverto materiālu attiecās 16. panta 2. punkts neatkarīgi no tā, ka tas tika atlasīts, atsaucoties uz kādu no šajā punktā minētajiem apstākļiem, ja valsts sekretārs saskaņā ar 8. panta 4. punktu bija apliecinājis, ka bija nepieciešams pārbaudīt materiālu, kas atlasīts atbilstoši apstākļiem, kas attiecināmi uz attiecīgo personu, kā noteikts likuma 5. panta 3. punktā, un ka materiāls attiecās vienīgi uz saziņu saturu, kurš nosūtīts apliecinājumā norādītajā periodā, kas nepārsniedz maksimālo pieļaujamo periodu.</w:t>
      </w:r>
    </w:p>
    <w:p w14:paraId="44A96892" w14:textId="26C702D6" w:rsidR="000E3283" w:rsidRDefault="000E3283" w:rsidP="001F1E46">
      <w:pPr>
        <w:pStyle w:val="JuPara"/>
        <w:widowControl w:val="0"/>
        <w:ind w:firstLine="142"/>
        <w:rPr>
          <w:rFonts w:ascii="Times New Roman" w:hAnsi="Times New Roman"/>
          <w:noProof/>
        </w:rPr>
      </w:pPr>
      <w:r>
        <w:rPr>
          <w:rFonts w:ascii="Times New Roman" w:hAnsi="Times New Roman"/>
        </w:rPr>
        <w:t xml:space="preserve">87. 16. panta </w:t>
      </w:r>
      <w:proofErr w:type="spellStart"/>
      <w:r>
        <w:rPr>
          <w:rFonts w:ascii="Times New Roman" w:hAnsi="Times New Roman"/>
        </w:rPr>
        <w:t>3.A</w:t>
      </w:r>
      <w:proofErr w:type="spellEnd"/>
      <w:r>
        <w:rPr>
          <w:rFonts w:ascii="Times New Roman" w:hAnsi="Times New Roman"/>
        </w:rPr>
        <w:t> punktā noteikts šāds “pieļaujamais maksimālais periods”:</w:t>
      </w:r>
    </w:p>
    <w:p w14:paraId="69F2DF0D" w14:textId="77777777" w:rsidR="009A573B" w:rsidRPr="008D031E" w:rsidRDefault="009A573B" w:rsidP="001F1E46">
      <w:pPr>
        <w:pStyle w:val="JuPara"/>
        <w:widowControl w:val="0"/>
        <w:ind w:firstLine="0"/>
        <w:rPr>
          <w:rFonts w:ascii="Times New Roman" w:hAnsi="Times New Roman"/>
          <w:noProof/>
          <w:lang w:val="en-US"/>
        </w:rPr>
      </w:pPr>
    </w:p>
    <w:p w14:paraId="321D788A" w14:textId="62E55186" w:rsidR="000E3283" w:rsidRDefault="009A573B" w:rsidP="001F1E46">
      <w:pPr>
        <w:pStyle w:val="JuQuot"/>
        <w:widowControl w:val="0"/>
        <w:spacing w:before="0" w:after="0"/>
        <w:ind w:left="567" w:firstLine="0"/>
        <w:rPr>
          <w:rFonts w:ascii="Times New Roman" w:hAnsi="Times New Roman"/>
          <w:noProof/>
          <w:sz w:val="24"/>
        </w:rPr>
      </w:pPr>
      <w:r>
        <w:rPr>
          <w:rFonts w:ascii="Times New Roman" w:hAnsi="Times New Roman"/>
          <w:sz w:val="24"/>
        </w:rPr>
        <w:t>“a) seši mēneši attiecībā uz materiālu, kura pārbaude ir apliecināta saskaņā ar 8. panta 4. punktu, ja tas nepieciešams valsts drošības interesēs, un</w:t>
      </w:r>
    </w:p>
    <w:p w14:paraId="34285B9A" w14:textId="77777777" w:rsidR="009A573B" w:rsidRPr="008D031E" w:rsidRDefault="009A573B" w:rsidP="001F1E46">
      <w:pPr>
        <w:pStyle w:val="JuQuot"/>
        <w:widowControl w:val="0"/>
        <w:spacing w:before="0" w:after="0"/>
        <w:ind w:left="567" w:firstLine="0"/>
        <w:rPr>
          <w:rFonts w:ascii="Times New Roman" w:hAnsi="Times New Roman"/>
          <w:noProof/>
          <w:sz w:val="24"/>
          <w:lang w:val="en-US"/>
        </w:rPr>
      </w:pPr>
    </w:p>
    <w:p w14:paraId="2FA61542" w14:textId="71AA6B95" w:rsidR="000E3283" w:rsidRDefault="009A573B" w:rsidP="001F1E46">
      <w:pPr>
        <w:pStyle w:val="JuQuot"/>
        <w:widowControl w:val="0"/>
        <w:spacing w:before="0" w:after="0"/>
        <w:ind w:left="567" w:firstLine="0"/>
        <w:rPr>
          <w:rFonts w:ascii="Times New Roman" w:hAnsi="Times New Roman"/>
          <w:noProof/>
          <w:sz w:val="24"/>
        </w:rPr>
      </w:pPr>
      <w:r>
        <w:rPr>
          <w:rFonts w:ascii="Times New Roman" w:hAnsi="Times New Roman"/>
          <w:sz w:val="24"/>
        </w:rPr>
        <w:t>b) trīs mēneši pārējos gadījumos.”</w:t>
      </w:r>
    </w:p>
    <w:p w14:paraId="15F86676" w14:textId="77777777" w:rsidR="009A573B" w:rsidRPr="008D031E" w:rsidRDefault="009A573B" w:rsidP="001F1E46">
      <w:pPr>
        <w:pStyle w:val="JuQuot"/>
        <w:widowControl w:val="0"/>
        <w:spacing w:before="0" w:after="0"/>
        <w:ind w:left="0" w:firstLine="0"/>
        <w:rPr>
          <w:rFonts w:ascii="Times New Roman" w:hAnsi="Times New Roman"/>
          <w:noProof/>
          <w:sz w:val="24"/>
          <w:lang w:val="en-US"/>
        </w:rPr>
      </w:pPr>
    </w:p>
    <w:p w14:paraId="118A57A0" w14:textId="39381D94" w:rsidR="000E3283" w:rsidRPr="008D031E" w:rsidRDefault="000E3283" w:rsidP="001F1E46">
      <w:pPr>
        <w:pStyle w:val="JuPara"/>
        <w:widowControl w:val="0"/>
        <w:ind w:firstLine="142"/>
        <w:rPr>
          <w:rFonts w:ascii="Times New Roman" w:hAnsi="Times New Roman"/>
          <w:noProof/>
        </w:rPr>
      </w:pPr>
      <w:r>
        <w:rPr>
          <w:rFonts w:ascii="Times New Roman" w:hAnsi="Times New Roman"/>
        </w:rPr>
        <w:t>88. Saskaņā ar 16. panta 4. punktu uz pārtverto materiālu attiecās arī 16. panta 2. punkts, pat ja tas tika atlasīts, atsaucoties uz kādu no šajā punktā minētajiem faktoriem, ja persona, kurai bija adresēts attiecīgais orderis, pamatoti uzskatīja, ka attiecīgajos apstākļos šis punkts attiektos uz materiālu, vai arī saistībā ar materiāla atlasi bija izpildīti 16. panta 5. punktā minētie nosacījumi.</w:t>
      </w:r>
    </w:p>
    <w:p w14:paraId="03505604" w14:textId="763DC140" w:rsidR="000E3283" w:rsidRDefault="000E3283" w:rsidP="001F1E46">
      <w:pPr>
        <w:pStyle w:val="JuPara"/>
        <w:widowControl w:val="0"/>
        <w:ind w:firstLine="142"/>
        <w:rPr>
          <w:rFonts w:ascii="Times New Roman" w:hAnsi="Times New Roman"/>
          <w:noProof/>
        </w:rPr>
      </w:pPr>
      <w:r>
        <w:rPr>
          <w:rFonts w:ascii="Times New Roman" w:hAnsi="Times New Roman"/>
        </w:rPr>
        <w:t>89. 16. panta 5. punkts noteica:</w:t>
      </w:r>
    </w:p>
    <w:p w14:paraId="0E44114E" w14:textId="77777777" w:rsidR="009A573B" w:rsidRPr="008D031E" w:rsidRDefault="009A573B" w:rsidP="001F1E46">
      <w:pPr>
        <w:pStyle w:val="JuPara"/>
        <w:widowControl w:val="0"/>
        <w:ind w:firstLine="0"/>
        <w:rPr>
          <w:rFonts w:ascii="Times New Roman" w:hAnsi="Times New Roman"/>
          <w:noProof/>
          <w:lang w:val="en-US"/>
        </w:rPr>
      </w:pPr>
    </w:p>
    <w:p w14:paraId="3C009678" w14:textId="77777777"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“Nosacījumi saistībā ar pārtvertā materiāla atlasīšanu uzskatāmi par izpildītiem, ja:</w:t>
      </w:r>
    </w:p>
    <w:p w14:paraId="1BD5CF45" w14:textId="77777777" w:rsidR="009A573B" w:rsidRPr="008D031E" w:rsidRDefault="009A573B" w:rsidP="001F1E46">
      <w:pPr>
        <w:pStyle w:val="JuQuot"/>
        <w:widowControl w:val="0"/>
        <w:spacing w:before="0" w:after="0"/>
        <w:ind w:left="284" w:firstLine="0"/>
        <w:rPr>
          <w:rFonts w:ascii="Times New Roman" w:hAnsi="Times New Roman"/>
          <w:noProof/>
          <w:sz w:val="24"/>
          <w:lang w:val="en-US"/>
        </w:rPr>
      </w:pPr>
    </w:p>
    <w:p w14:paraId="7D994A37" w14:textId="23A30EA7" w:rsidR="000E3283" w:rsidRDefault="009A573B" w:rsidP="001F1E46">
      <w:pPr>
        <w:pStyle w:val="JuQuot"/>
        <w:widowControl w:val="0"/>
        <w:spacing w:before="0" w:after="0"/>
        <w:ind w:left="567" w:firstLine="0"/>
        <w:rPr>
          <w:rFonts w:ascii="Times New Roman" w:hAnsi="Times New Roman"/>
          <w:noProof/>
          <w:sz w:val="24"/>
        </w:rPr>
      </w:pPr>
      <w:r>
        <w:rPr>
          <w:rFonts w:ascii="Times New Roman" w:hAnsi="Times New Roman"/>
          <w:sz w:val="24"/>
        </w:rPr>
        <w:t>a) personai, kurai adresēts attiecīgais orderis, uzskata, ka ir notikušas tik būtiskas attiecīgās apstākļu izmaiņas, ka šo izmaiņu dēļ, izņemot 4. punkta b) apakšpunktu, uz pārtverto materiālu neattiektos 2. punkts;</w:t>
      </w:r>
    </w:p>
    <w:p w14:paraId="140980CD" w14:textId="77777777" w:rsidR="009A573B" w:rsidRPr="008D031E" w:rsidRDefault="009A573B" w:rsidP="001F1E46">
      <w:pPr>
        <w:pStyle w:val="JuQuot"/>
        <w:widowControl w:val="0"/>
        <w:spacing w:before="0" w:after="0"/>
        <w:ind w:left="567" w:firstLine="0"/>
        <w:rPr>
          <w:rFonts w:ascii="Times New Roman" w:hAnsi="Times New Roman"/>
          <w:noProof/>
          <w:sz w:val="24"/>
          <w:lang w:val="en-US"/>
        </w:rPr>
      </w:pPr>
    </w:p>
    <w:p w14:paraId="7CC121E7" w14:textId="6020A8B7" w:rsidR="000E3283" w:rsidRDefault="000E3283" w:rsidP="001F1E46">
      <w:pPr>
        <w:pStyle w:val="JuQuot"/>
        <w:widowControl w:val="0"/>
        <w:spacing w:before="0" w:after="0"/>
        <w:ind w:left="567" w:firstLine="0"/>
        <w:rPr>
          <w:rFonts w:ascii="Times New Roman" w:hAnsi="Times New Roman"/>
          <w:noProof/>
          <w:sz w:val="24"/>
        </w:rPr>
      </w:pPr>
      <w:r>
        <w:rPr>
          <w:rFonts w:ascii="Times New Roman" w:hAnsi="Times New Roman"/>
          <w:sz w:val="24"/>
        </w:rPr>
        <w:t>b) kopš tā saņemšanas vadošā amatpersona ir devusi rakstveida atļauju lasīt, aplūkot vai klausīties materiālu un</w:t>
      </w:r>
    </w:p>
    <w:p w14:paraId="0B6AA2E8" w14:textId="77777777" w:rsidR="009A573B" w:rsidRPr="008D031E" w:rsidRDefault="009A573B" w:rsidP="001F1E46">
      <w:pPr>
        <w:pStyle w:val="JuQuot"/>
        <w:widowControl w:val="0"/>
        <w:spacing w:before="0" w:after="0"/>
        <w:ind w:left="567" w:firstLine="0"/>
        <w:rPr>
          <w:rFonts w:ascii="Times New Roman" w:hAnsi="Times New Roman"/>
          <w:noProof/>
          <w:sz w:val="24"/>
          <w:lang w:val="en-US"/>
        </w:rPr>
      </w:pPr>
    </w:p>
    <w:p w14:paraId="183E99ED" w14:textId="62B8DB37" w:rsidR="000E3283" w:rsidRDefault="000E3283" w:rsidP="001F1E46">
      <w:pPr>
        <w:pStyle w:val="JuQuot"/>
        <w:widowControl w:val="0"/>
        <w:spacing w:before="0" w:after="0"/>
        <w:ind w:left="567" w:firstLine="0"/>
        <w:rPr>
          <w:rFonts w:ascii="Times New Roman" w:hAnsi="Times New Roman"/>
          <w:noProof/>
          <w:sz w:val="24"/>
        </w:rPr>
      </w:pPr>
      <w:r>
        <w:rPr>
          <w:rFonts w:ascii="Times New Roman" w:hAnsi="Times New Roman"/>
          <w:sz w:val="24"/>
        </w:rPr>
        <w:t>c) atlasīšana notikusi pirms pieļaujamā perioda beigām.”</w:t>
      </w:r>
    </w:p>
    <w:p w14:paraId="7803B613" w14:textId="77777777" w:rsidR="009A573B" w:rsidRPr="008D031E" w:rsidRDefault="009A573B" w:rsidP="001F1E46">
      <w:pPr>
        <w:pStyle w:val="JuQuot"/>
        <w:widowControl w:val="0"/>
        <w:spacing w:before="0" w:after="0"/>
        <w:ind w:left="284" w:firstLine="0"/>
        <w:rPr>
          <w:rFonts w:ascii="Times New Roman" w:hAnsi="Times New Roman"/>
          <w:noProof/>
          <w:sz w:val="24"/>
          <w:lang w:val="en-US"/>
        </w:rPr>
      </w:pPr>
    </w:p>
    <w:p w14:paraId="34A3C814" w14:textId="1A07841E" w:rsidR="000E3283" w:rsidRDefault="000E3283" w:rsidP="001F1E46">
      <w:pPr>
        <w:pStyle w:val="JuPara"/>
        <w:widowControl w:val="0"/>
        <w:ind w:firstLine="0"/>
        <w:rPr>
          <w:rFonts w:ascii="Times New Roman" w:hAnsi="Times New Roman"/>
          <w:noProof/>
        </w:rPr>
      </w:pPr>
      <w:r>
        <w:rPr>
          <w:rFonts w:ascii="Times New Roman" w:hAnsi="Times New Roman"/>
        </w:rPr>
        <w:t xml:space="preserve">90. Saskaņā ar 16. panta </w:t>
      </w:r>
      <w:proofErr w:type="spellStart"/>
      <w:r>
        <w:rPr>
          <w:rFonts w:ascii="Times New Roman" w:hAnsi="Times New Roman"/>
        </w:rPr>
        <w:t>5.A</w:t>
      </w:r>
      <w:proofErr w:type="spellEnd"/>
      <w:r>
        <w:rPr>
          <w:rFonts w:ascii="Times New Roman" w:hAnsi="Times New Roman"/>
        </w:rPr>
        <w:t> punktu “pieļaujamais periods” bija:</w:t>
      </w:r>
    </w:p>
    <w:p w14:paraId="59B42735" w14:textId="77777777" w:rsidR="007A34B2" w:rsidRPr="008D031E" w:rsidRDefault="007A34B2" w:rsidP="001F1E46">
      <w:pPr>
        <w:pStyle w:val="JuPara"/>
        <w:widowControl w:val="0"/>
        <w:ind w:firstLine="0"/>
        <w:rPr>
          <w:rFonts w:ascii="Times New Roman" w:hAnsi="Times New Roman"/>
          <w:noProof/>
          <w:lang w:val="en-US"/>
        </w:rPr>
      </w:pPr>
    </w:p>
    <w:p w14:paraId="0A3F7CD6" w14:textId="0D9925FB" w:rsidR="000E3283" w:rsidRDefault="000E3283" w:rsidP="001F1E46">
      <w:pPr>
        <w:pStyle w:val="JuQuot"/>
        <w:widowControl w:val="0"/>
        <w:spacing w:before="0" w:after="0"/>
        <w:ind w:left="567" w:firstLine="0"/>
        <w:rPr>
          <w:rFonts w:ascii="Times New Roman" w:hAnsi="Times New Roman"/>
          <w:noProof/>
          <w:sz w:val="24"/>
        </w:rPr>
      </w:pPr>
      <w:r>
        <w:rPr>
          <w:rFonts w:ascii="Times New Roman" w:hAnsi="Times New Roman"/>
          <w:sz w:val="24"/>
        </w:rPr>
        <w:t>“a) attiecībā uz materiālu, kura pārbaude apliecināta saskaņā ar 8. panta 4. punktu, periods, kas beidzas piektās darba dienas beigās pēc dienas, kurā to saskaņā ar 5. punkta a) apakšpunktu sākotnēji saņēmusi persona, kurai adresēts orderis, un</w:t>
      </w:r>
    </w:p>
    <w:p w14:paraId="17E25673" w14:textId="77777777" w:rsidR="007A34B2" w:rsidRPr="008D031E" w:rsidRDefault="007A34B2" w:rsidP="001F1E46">
      <w:pPr>
        <w:pStyle w:val="JuQuot"/>
        <w:widowControl w:val="0"/>
        <w:spacing w:before="0" w:after="0"/>
        <w:ind w:left="567" w:firstLine="0"/>
        <w:rPr>
          <w:rFonts w:ascii="Times New Roman" w:hAnsi="Times New Roman"/>
          <w:noProof/>
          <w:sz w:val="24"/>
          <w:lang w:val="en-US"/>
        </w:rPr>
      </w:pPr>
    </w:p>
    <w:p w14:paraId="40A4E1DA" w14:textId="4D71BB57" w:rsidR="000E3283" w:rsidRDefault="000E3283" w:rsidP="001F1E46">
      <w:pPr>
        <w:pStyle w:val="JuQuot"/>
        <w:widowControl w:val="0"/>
        <w:spacing w:before="0" w:after="0"/>
        <w:ind w:left="567" w:firstLine="0"/>
        <w:rPr>
          <w:rFonts w:ascii="Times New Roman" w:hAnsi="Times New Roman"/>
          <w:noProof/>
          <w:sz w:val="24"/>
        </w:rPr>
      </w:pPr>
      <w:r>
        <w:rPr>
          <w:rFonts w:ascii="Times New Roman" w:hAnsi="Times New Roman"/>
          <w:sz w:val="24"/>
        </w:rPr>
        <w:t>b) jebkurā citā gadījumā – periods, kas beidzas pirmās darba dienas beigās pēc dienas, kurā šī persona to materiālu sākotnēji saņēmusi.”</w:t>
      </w:r>
    </w:p>
    <w:p w14:paraId="69D4F198" w14:textId="77777777" w:rsidR="007A34B2" w:rsidRPr="008D031E" w:rsidRDefault="007A34B2" w:rsidP="001F1E46">
      <w:pPr>
        <w:pStyle w:val="JuQuot"/>
        <w:widowControl w:val="0"/>
        <w:spacing w:before="0" w:after="0"/>
        <w:ind w:left="0" w:firstLine="0"/>
        <w:rPr>
          <w:rFonts w:ascii="Times New Roman" w:hAnsi="Times New Roman"/>
          <w:noProof/>
          <w:sz w:val="24"/>
          <w:lang w:val="en-US"/>
        </w:rPr>
      </w:pPr>
    </w:p>
    <w:p w14:paraId="1079464F" w14:textId="5EFBB793" w:rsidR="000E3283" w:rsidRPr="008D031E" w:rsidRDefault="000E3283" w:rsidP="001F1E46">
      <w:pPr>
        <w:pStyle w:val="JuPara"/>
        <w:widowControl w:val="0"/>
        <w:ind w:firstLine="142"/>
        <w:rPr>
          <w:rFonts w:ascii="Times New Roman" w:hAnsi="Times New Roman"/>
          <w:noProof/>
        </w:rPr>
      </w:pPr>
      <w:r>
        <w:rPr>
          <w:rFonts w:ascii="Times New Roman" w:hAnsi="Times New Roman"/>
        </w:rPr>
        <w:t>91. Saskaņā ar 16. panta 6. punktu “attiecīgās apstākļu izmaiņas” nozīmēja, ka vai nu attiecīgā persona bija ieceļojusi Britu salās, vai arī personas, kurai adresēts orderis, pārliecība par attiecīgās personas atrašanos ārpus Britu salām patiesībā bijusi maldīga.</w:t>
      </w:r>
    </w:p>
    <w:p w14:paraId="178AFD93" w14:textId="42D4050D" w:rsidR="000E3283" w:rsidRDefault="000E3283" w:rsidP="001F1E46">
      <w:pPr>
        <w:pStyle w:val="JuPara"/>
        <w:widowControl w:val="0"/>
        <w:ind w:firstLine="142"/>
        <w:rPr>
          <w:rFonts w:ascii="Times New Roman" w:hAnsi="Times New Roman"/>
          <w:noProof/>
        </w:rPr>
      </w:pPr>
      <w:bookmarkStart w:id="65" w:name="RIPAs16end"/>
      <w:r>
        <w:rPr>
          <w:rFonts w:ascii="Times New Roman" w:hAnsi="Times New Roman"/>
        </w:rPr>
        <w:t>92</w:t>
      </w:r>
      <w:bookmarkEnd w:id="65"/>
      <w:r>
        <w:rPr>
          <w:rFonts w:ascii="Times New Roman" w:hAnsi="Times New Roman"/>
        </w:rPr>
        <w:t xml:space="preserve">. Sniedzot liecību </w:t>
      </w:r>
      <w:proofErr w:type="spellStart"/>
      <w:r>
        <w:rPr>
          <w:rFonts w:ascii="Times New Roman" w:hAnsi="Times New Roman"/>
          <w:i/>
          <w:iCs/>
        </w:rPr>
        <w:t>ISC</w:t>
      </w:r>
      <w:proofErr w:type="spellEnd"/>
      <w:r>
        <w:rPr>
          <w:rFonts w:ascii="Times New Roman" w:hAnsi="Times New Roman"/>
          <w:i/>
          <w:iCs/>
        </w:rPr>
        <w:t xml:space="preserve"> </w:t>
      </w:r>
      <w:r>
        <w:rPr>
          <w:rFonts w:ascii="Times New Roman" w:hAnsi="Times New Roman"/>
        </w:rPr>
        <w:t>2014. gada oktobrī, valsts sekretārs ārlietās un Sadraudzības lietās paskaidroja:</w:t>
      </w:r>
    </w:p>
    <w:p w14:paraId="07465640" w14:textId="77777777" w:rsidR="007A34B2" w:rsidRPr="008D031E" w:rsidRDefault="007A34B2" w:rsidP="001F1E46">
      <w:pPr>
        <w:pStyle w:val="JuPara"/>
        <w:widowControl w:val="0"/>
        <w:ind w:firstLine="0"/>
        <w:rPr>
          <w:rFonts w:ascii="Times New Roman" w:hAnsi="Times New Roman"/>
          <w:noProof/>
          <w:lang w:val="en-US"/>
        </w:rPr>
      </w:pPr>
    </w:p>
    <w:p w14:paraId="4A2E9EB5" w14:textId="77777777"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“Kad analītiķis atlasa sakarus, kas pārbaudes nolūkos pārtverti atbilstoši 8. panta 4. punktā noteiktajam orderim, nav nozīmes tam, kāda veida sakarus persona izmanto un vai tās pārējie sakari tiek uzglabāti tam paredzētā pasta serverī vai </w:t>
      </w:r>
      <w:proofErr w:type="spellStart"/>
      <w:r>
        <w:rPr>
          <w:rFonts w:ascii="Times New Roman" w:hAnsi="Times New Roman"/>
          <w:sz w:val="24"/>
        </w:rPr>
        <w:t>mākoņkrātuvē</w:t>
      </w:r>
      <w:proofErr w:type="spellEnd"/>
      <w:r>
        <w:rPr>
          <w:rFonts w:ascii="Times New Roman" w:hAnsi="Times New Roman"/>
          <w:sz w:val="24"/>
        </w:rPr>
        <w:t xml:space="preserve">, kas faktiski atrodas Apvienotajā Karalistē, ASV vai kur citur (un individuāls </w:t>
      </w:r>
      <w:proofErr w:type="spellStart"/>
      <w:r>
        <w:rPr>
          <w:rFonts w:ascii="Times New Roman" w:hAnsi="Times New Roman"/>
          <w:sz w:val="24"/>
        </w:rPr>
        <w:t>mākoņpakalpojumu</w:t>
      </w:r>
      <w:proofErr w:type="spellEnd"/>
      <w:r>
        <w:rPr>
          <w:rFonts w:ascii="Times New Roman" w:hAnsi="Times New Roman"/>
          <w:sz w:val="24"/>
        </w:rPr>
        <w:t xml:space="preserve"> lietotājs patiesībā nezinās, kur tie ir uzglabāti). Ja par viņu ir zināms, ka viņš vai viņa atrodas Britu salās, nav atļauts meklēt viņa vai viņas sakarus, izmantojot viņa vai viņas vārdu, e-pasta adresi vai kādu citu personas identifikatoru.”</w:t>
      </w:r>
    </w:p>
    <w:p w14:paraId="11ACB9F3" w14:textId="77777777" w:rsidR="007A34B2" w:rsidRPr="008D031E" w:rsidRDefault="007A34B2" w:rsidP="001F1E46">
      <w:pPr>
        <w:pStyle w:val="JuQuot"/>
        <w:widowControl w:val="0"/>
        <w:spacing w:before="0" w:after="0"/>
        <w:ind w:left="0" w:firstLine="0"/>
        <w:rPr>
          <w:rFonts w:ascii="Times New Roman" w:hAnsi="Times New Roman"/>
          <w:noProof/>
          <w:sz w:val="24"/>
          <w:lang w:val="en-US"/>
        </w:rPr>
      </w:pPr>
    </w:p>
    <w:p w14:paraId="798B6955" w14:textId="79002C67" w:rsidR="000E3283" w:rsidRDefault="004A3708" w:rsidP="001F1E46">
      <w:pPr>
        <w:pStyle w:val="JuH1"/>
        <w:keepNext w:val="0"/>
        <w:keepLines w:val="0"/>
        <w:widowControl w:val="0"/>
        <w:numPr>
          <w:ilvl w:val="0"/>
          <w:numId w:val="0"/>
        </w:numPr>
        <w:spacing w:before="0" w:beforeAutospacing="0" w:after="0"/>
        <w:outlineLvl w:val="9"/>
        <w:rPr>
          <w:rFonts w:ascii="Times New Roman" w:hAnsi="Times New Roman"/>
          <w:noProof/>
        </w:rPr>
      </w:pPr>
      <w:bookmarkStart w:id="66" w:name="_Toc516820726"/>
      <w:r>
        <w:rPr>
          <w:rFonts w:ascii="Times New Roman" w:hAnsi="Times New Roman"/>
        </w:rPr>
        <w:t>4. Sakaru pārtveršanas prakses kodekss</w:t>
      </w:r>
      <w:bookmarkEnd w:id="66"/>
    </w:p>
    <w:p w14:paraId="20D118B0" w14:textId="77777777" w:rsidR="004A3708" w:rsidRPr="004A3708" w:rsidRDefault="004A3708" w:rsidP="001F1E46">
      <w:pPr>
        <w:pStyle w:val="JuPara"/>
        <w:widowControl w:val="0"/>
        <w:rPr>
          <w:lang w:val="en-US"/>
        </w:rPr>
      </w:pPr>
    </w:p>
    <w:p w14:paraId="7454CB13" w14:textId="39C4F474" w:rsidR="000E3283" w:rsidRPr="008D031E" w:rsidRDefault="000E3283" w:rsidP="001F1E46">
      <w:pPr>
        <w:pStyle w:val="JuPara"/>
        <w:widowControl w:val="0"/>
        <w:ind w:firstLine="142"/>
        <w:rPr>
          <w:rFonts w:ascii="Times New Roman" w:hAnsi="Times New Roman"/>
          <w:noProof/>
        </w:rPr>
      </w:pPr>
      <w:bookmarkStart w:id="67" w:name="CodesofPractice1"/>
      <w:r>
        <w:rPr>
          <w:rFonts w:ascii="Times New Roman" w:hAnsi="Times New Roman"/>
        </w:rPr>
        <w:t>93</w:t>
      </w:r>
      <w:bookmarkEnd w:id="67"/>
      <w:r>
        <w:rPr>
          <w:rFonts w:ascii="Times New Roman" w:hAnsi="Times New Roman"/>
        </w:rPr>
        <w:t xml:space="preserve">. </w:t>
      </w:r>
      <w:r>
        <w:rPr>
          <w:rFonts w:ascii="Times New Roman" w:hAnsi="Times New Roman"/>
          <w:i/>
          <w:iCs/>
        </w:rPr>
        <w:t>RIPA</w:t>
      </w:r>
      <w:r>
        <w:rPr>
          <w:rFonts w:ascii="Times New Roman" w:hAnsi="Times New Roman"/>
        </w:rPr>
        <w:t xml:space="preserve"> 71. pants paredzēja, ka valsts sekretāram(-</w:t>
      </w:r>
      <w:proofErr w:type="spellStart"/>
      <w:r>
        <w:rPr>
          <w:rFonts w:ascii="Times New Roman" w:hAnsi="Times New Roman"/>
        </w:rPr>
        <w:t>ei</w:t>
      </w:r>
      <w:proofErr w:type="spellEnd"/>
      <w:r>
        <w:rPr>
          <w:rFonts w:ascii="Times New Roman" w:hAnsi="Times New Roman"/>
        </w:rPr>
        <w:t>) ir jāpieņem prakses kodeksi saistībā ar viņa vai viņas pilnvaru īstenošanu un amata pienākumu izpildi šā likuma ietvaros. Prakses kodu projekti bija jāiesniedz izskatīšanai parlamentam, turklāt tie bija publiski dokumenti. Tie varēja stāties spēkā vienīgi saskaņā ar valsts sekretāra rīkojumu. Valsts sekretārs varēja izdot šādu rīkojumu vienīgi tad, ja šā rīkojuma projekts bija iesniegts izskatīšanai parlamentam un tas bija apstiprināts ar katras palātas lēmumu.</w:t>
      </w:r>
    </w:p>
    <w:p w14:paraId="73FF9900" w14:textId="1FEBC044" w:rsidR="000E3283" w:rsidRPr="008D031E" w:rsidRDefault="000E3283" w:rsidP="001F1E46">
      <w:pPr>
        <w:pStyle w:val="JuPara"/>
        <w:widowControl w:val="0"/>
        <w:ind w:firstLine="142"/>
        <w:rPr>
          <w:rFonts w:ascii="Times New Roman" w:hAnsi="Times New Roman"/>
          <w:noProof/>
        </w:rPr>
      </w:pPr>
      <w:bookmarkStart w:id="68" w:name="CodesofPractice2"/>
      <w:r>
        <w:rPr>
          <w:rStyle w:val="NoSpacingChar"/>
          <w:rFonts w:ascii="Times New Roman" w:hAnsi="Times New Roman"/>
        </w:rPr>
        <w:t>94</w:t>
      </w:r>
      <w:bookmarkEnd w:id="68"/>
      <w:r>
        <w:rPr>
          <w:rFonts w:ascii="Times New Roman" w:hAnsi="Times New Roman"/>
        </w:rPr>
        <w:t xml:space="preserve">. Saskaņā ar </w:t>
      </w:r>
      <w:r>
        <w:rPr>
          <w:rFonts w:ascii="Times New Roman" w:hAnsi="Times New Roman"/>
          <w:i/>
          <w:iCs/>
        </w:rPr>
        <w:t>RIPA</w:t>
      </w:r>
      <w:r>
        <w:rPr>
          <w:rFonts w:ascii="Times New Roman" w:hAnsi="Times New Roman"/>
        </w:rPr>
        <w:t xml:space="preserve"> 72. panta 1. punktu personai, kura īsteno jebkādas pilnvaras vai pilda amata pienākumus saistībā ar sakaru pārtveršanu, bija jāievēro attiecīgie prakses kodeksa noteikumi. Saskaņā ar </w:t>
      </w:r>
      <w:r>
        <w:rPr>
          <w:rFonts w:ascii="Times New Roman" w:hAnsi="Times New Roman"/>
          <w:i/>
          <w:iCs/>
        </w:rPr>
        <w:t>RIPA</w:t>
      </w:r>
      <w:r>
        <w:rPr>
          <w:rFonts w:ascii="Times New Roman" w:hAnsi="Times New Roman"/>
        </w:rPr>
        <w:t xml:space="preserve"> 72. panta 4. punktu prakses kodeksa noteikumus attiecīgajos apstākļos varēja ņemt vērā arī tiesas un tribunāli.</w:t>
      </w:r>
    </w:p>
    <w:p w14:paraId="2F9D9401" w14:textId="70AAB10A" w:rsidR="000E3283" w:rsidRPr="008D031E" w:rsidRDefault="000E3283" w:rsidP="001F1E46">
      <w:pPr>
        <w:pStyle w:val="JuPara"/>
        <w:widowControl w:val="0"/>
        <w:ind w:firstLine="142"/>
        <w:rPr>
          <w:rFonts w:ascii="Times New Roman" w:hAnsi="Times New Roman"/>
          <w:noProof/>
        </w:rPr>
      </w:pPr>
      <w:r>
        <w:rPr>
          <w:rFonts w:ascii="Times New Roman" w:hAnsi="Times New Roman"/>
        </w:rPr>
        <w:t xml:space="preserve">95. </w:t>
      </w:r>
      <w:proofErr w:type="spellStart"/>
      <w:r>
        <w:rPr>
          <w:rFonts w:ascii="Times New Roman" w:hAnsi="Times New Roman"/>
          <w:i/>
          <w:iCs/>
        </w:rPr>
        <w:t>IC</w:t>
      </w:r>
      <w:proofErr w:type="spellEnd"/>
      <w:r>
        <w:rPr>
          <w:rFonts w:ascii="Times New Roman" w:hAnsi="Times New Roman"/>
        </w:rPr>
        <w:t xml:space="preserve"> kodekss tika izdots saskaņā ar </w:t>
      </w:r>
      <w:r>
        <w:rPr>
          <w:rFonts w:ascii="Times New Roman" w:hAnsi="Times New Roman"/>
          <w:i/>
          <w:iCs/>
        </w:rPr>
        <w:t>RIPA</w:t>
      </w:r>
      <w:r>
        <w:rPr>
          <w:rFonts w:ascii="Times New Roman" w:hAnsi="Times New Roman"/>
        </w:rPr>
        <w:t xml:space="preserve"> 71. pantu. Attiecīgajā brīdī spēkā esošais </w:t>
      </w:r>
      <w:proofErr w:type="spellStart"/>
      <w:r>
        <w:rPr>
          <w:rFonts w:ascii="Times New Roman" w:hAnsi="Times New Roman"/>
          <w:i/>
          <w:iCs/>
        </w:rPr>
        <w:t>IC</w:t>
      </w:r>
      <w:proofErr w:type="spellEnd"/>
      <w:r>
        <w:rPr>
          <w:rFonts w:ascii="Times New Roman" w:hAnsi="Times New Roman"/>
        </w:rPr>
        <w:t xml:space="preserve"> kodekss tika izdots 2016. gadā.</w:t>
      </w:r>
    </w:p>
    <w:p w14:paraId="4B43BFB5" w14:textId="63DE1224" w:rsidR="000E3283" w:rsidRDefault="000E3283" w:rsidP="001F1E46">
      <w:pPr>
        <w:pStyle w:val="JuPara"/>
        <w:widowControl w:val="0"/>
        <w:ind w:firstLine="142"/>
        <w:rPr>
          <w:rFonts w:ascii="Times New Roman" w:hAnsi="Times New Roman"/>
          <w:noProof/>
        </w:rPr>
      </w:pPr>
      <w:bookmarkStart w:id="69" w:name="ICCode"/>
      <w:r>
        <w:rPr>
          <w:rFonts w:ascii="Times New Roman" w:hAnsi="Times New Roman"/>
        </w:rPr>
        <w:t>96</w:t>
      </w:r>
      <w:bookmarkEnd w:id="69"/>
      <w:r>
        <w:rPr>
          <w:rFonts w:ascii="Times New Roman" w:hAnsi="Times New Roman"/>
        </w:rPr>
        <w:t xml:space="preserve">. Ciktāl tas attiecināms uz šo tiesvedību, </w:t>
      </w:r>
      <w:proofErr w:type="spellStart"/>
      <w:r>
        <w:rPr>
          <w:rFonts w:ascii="Times New Roman" w:hAnsi="Times New Roman"/>
          <w:i/>
          <w:iCs/>
        </w:rPr>
        <w:t>IC</w:t>
      </w:r>
      <w:proofErr w:type="spellEnd"/>
      <w:r>
        <w:rPr>
          <w:rFonts w:ascii="Times New Roman" w:hAnsi="Times New Roman"/>
        </w:rPr>
        <w:t xml:space="preserve"> kodeksā bija noteikts:</w:t>
      </w:r>
    </w:p>
    <w:p w14:paraId="0E0B3FE3" w14:textId="77777777" w:rsidR="004A3708" w:rsidRPr="008D031E" w:rsidRDefault="004A3708" w:rsidP="001F1E46">
      <w:pPr>
        <w:pStyle w:val="JuPara"/>
        <w:widowControl w:val="0"/>
        <w:ind w:firstLine="142"/>
        <w:rPr>
          <w:rFonts w:ascii="Times New Roman" w:hAnsi="Times New Roman"/>
          <w:noProof/>
          <w:lang w:val="en-US"/>
        </w:rPr>
      </w:pPr>
    </w:p>
    <w:p w14:paraId="011E5854" w14:textId="0F367609"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“3.2. Ir noteikts ierobežots skaits to personu, kuras vai kuru vārdā var pieprasīt pārtveršanas orderi. Tās ir:</w:t>
      </w:r>
    </w:p>
    <w:p w14:paraId="51EF3229" w14:textId="77777777" w:rsidR="00E176F6" w:rsidRPr="008D031E" w:rsidRDefault="00E176F6" w:rsidP="001F1E46">
      <w:pPr>
        <w:pStyle w:val="JuQuot"/>
        <w:widowControl w:val="0"/>
        <w:spacing w:before="0" w:after="0"/>
        <w:ind w:left="284" w:firstLine="0"/>
        <w:rPr>
          <w:rFonts w:ascii="Times New Roman" w:hAnsi="Times New Roman"/>
          <w:noProof/>
          <w:sz w:val="24"/>
          <w:lang w:val="en-US"/>
        </w:rPr>
      </w:pPr>
    </w:p>
    <w:p w14:paraId="042F2C44" w14:textId="77777777" w:rsidR="000E3283" w:rsidRPr="008D031E" w:rsidRDefault="000E3283" w:rsidP="001F1E46">
      <w:pPr>
        <w:pStyle w:val="JuQuot"/>
        <w:widowControl w:val="0"/>
        <w:numPr>
          <w:ilvl w:val="0"/>
          <w:numId w:val="5"/>
        </w:numPr>
        <w:spacing w:before="0" w:after="0"/>
        <w:ind w:left="851" w:hanging="283"/>
        <w:rPr>
          <w:rFonts w:ascii="Times New Roman" w:hAnsi="Times New Roman"/>
          <w:noProof/>
          <w:sz w:val="24"/>
        </w:rPr>
      </w:pPr>
      <w:r>
        <w:rPr>
          <w:rFonts w:ascii="Times New Roman" w:hAnsi="Times New Roman"/>
          <w:sz w:val="24"/>
        </w:rPr>
        <w:t>Drošības dienesta ģenerāldirektors;</w:t>
      </w:r>
    </w:p>
    <w:p w14:paraId="20C1E474" w14:textId="77777777" w:rsidR="000E3283" w:rsidRPr="008D031E" w:rsidRDefault="000E3283" w:rsidP="001F1E46">
      <w:pPr>
        <w:pStyle w:val="JuQuot"/>
        <w:widowControl w:val="0"/>
        <w:numPr>
          <w:ilvl w:val="0"/>
          <w:numId w:val="5"/>
        </w:numPr>
        <w:spacing w:before="0" w:after="0"/>
        <w:ind w:left="851" w:hanging="283"/>
        <w:rPr>
          <w:rFonts w:ascii="Times New Roman" w:hAnsi="Times New Roman"/>
          <w:noProof/>
          <w:sz w:val="24"/>
        </w:rPr>
      </w:pPr>
      <w:r>
        <w:rPr>
          <w:rFonts w:ascii="Times New Roman" w:hAnsi="Times New Roman"/>
          <w:sz w:val="24"/>
        </w:rPr>
        <w:t>Slepenās izlūkošanas dienesta vadītājs;</w:t>
      </w:r>
    </w:p>
    <w:p w14:paraId="4965FA82" w14:textId="77777777" w:rsidR="000E3283" w:rsidRPr="008D031E" w:rsidRDefault="000E3283" w:rsidP="001F1E46">
      <w:pPr>
        <w:pStyle w:val="JuQuot"/>
        <w:widowControl w:val="0"/>
        <w:numPr>
          <w:ilvl w:val="0"/>
          <w:numId w:val="5"/>
        </w:numPr>
        <w:spacing w:before="0" w:after="0"/>
        <w:ind w:left="851" w:hanging="283"/>
        <w:rPr>
          <w:rFonts w:ascii="Times New Roman" w:hAnsi="Times New Roman"/>
          <w:noProof/>
          <w:sz w:val="24"/>
        </w:rPr>
      </w:pPr>
      <w:r>
        <w:rPr>
          <w:rFonts w:ascii="Times New Roman" w:hAnsi="Times New Roman"/>
          <w:sz w:val="24"/>
        </w:rPr>
        <w:t>Valdības komunikāciju galvenās pārvaldes (</w:t>
      </w:r>
      <w:proofErr w:type="spellStart"/>
      <w:r>
        <w:rPr>
          <w:rFonts w:ascii="Times New Roman" w:hAnsi="Times New Roman"/>
          <w:i/>
          <w:iCs/>
          <w:sz w:val="24"/>
        </w:rPr>
        <w:t>GCHQ</w:t>
      </w:r>
      <w:proofErr w:type="spellEnd"/>
      <w:r>
        <w:rPr>
          <w:rFonts w:ascii="Times New Roman" w:hAnsi="Times New Roman"/>
          <w:sz w:val="24"/>
        </w:rPr>
        <w:t>) direktors;</w:t>
      </w:r>
    </w:p>
    <w:p w14:paraId="684828E6" w14:textId="77777777" w:rsidR="000E3283" w:rsidRPr="008D031E" w:rsidRDefault="000E3283" w:rsidP="001F1E46">
      <w:pPr>
        <w:pStyle w:val="JuQuot"/>
        <w:widowControl w:val="0"/>
        <w:numPr>
          <w:ilvl w:val="0"/>
          <w:numId w:val="5"/>
        </w:numPr>
        <w:spacing w:before="0" w:after="0"/>
        <w:ind w:left="851" w:hanging="283"/>
        <w:rPr>
          <w:rFonts w:ascii="Times New Roman" w:hAnsi="Times New Roman"/>
          <w:noProof/>
          <w:sz w:val="24"/>
        </w:rPr>
      </w:pPr>
      <w:r>
        <w:rPr>
          <w:rFonts w:ascii="Times New Roman" w:hAnsi="Times New Roman"/>
          <w:sz w:val="24"/>
        </w:rPr>
        <w:t>Valsts noziedzības apkarošanas aģentūras (turpmāk tekstā – “</w:t>
      </w:r>
      <w:proofErr w:type="spellStart"/>
      <w:r>
        <w:rPr>
          <w:rFonts w:ascii="Times New Roman" w:hAnsi="Times New Roman"/>
          <w:i/>
          <w:iCs/>
          <w:sz w:val="24"/>
        </w:rPr>
        <w:t>NCA</w:t>
      </w:r>
      <w:proofErr w:type="spellEnd"/>
      <w:r>
        <w:rPr>
          <w:rFonts w:ascii="Times New Roman" w:hAnsi="Times New Roman"/>
          <w:sz w:val="24"/>
        </w:rPr>
        <w:t>”) ģenerāldirektors (</w:t>
      </w:r>
      <w:proofErr w:type="spellStart"/>
      <w:r>
        <w:rPr>
          <w:rFonts w:ascii="Times New Roman" w:hAnsi="Times New Roman"/>
          <w:i/>
          <w:iCs/>
          <w:sz w:val="24"/>
        </w:rPr>
        <w:t>NCA</w:t>
      </w:r>
      <w:proofErr w:type="spellEnd"/>
      <w:r>
        <w:rPr>
          <w:rFonts w:ascii="Times New Roman" w:hAnsi="Times New Roman"/>
          <w:sz w:val="24"/>
        </w:rPr>
        <w:t xml:space="preserve"> veic pārtveršanu </w:t>
      </w:r>
      <w:proofErr w:type="spellStart"/>
      <w:r>
        <w:rPr>
          <w:rFonts w:ascii="Times New Roman" w:hAnsi="Times New Roman"/>
          <w:sz w:val="24"/>
        </w:rPr>
        <w:t>tiesībsargājošo</w:t>
      </w:r>
      <w:proofErr w:type="spellEnd"/>
      <w:r>
        <w:rPr>
          <w:rFonts w:ascii="Times New Roman" w:hAnsi="Times New Roman"/>
          <w:sz w:val="24"/>
        </w:rPr>
        <w:t xml:space="preserve"> iestāžu vārdā Anglijā un Velsā);</w:t>
      </w:r>
    </w:p>
    <w:p w14:paraId="3355F5A5" w14:textId="77777777" w:rsidR="000E3283" w:rsidRPr="008D031E" w:rsidRDefault="000E3283" w:rsidP="001F1E46">
      <w:pPr>
        <w:pStyle w:val="JuQuot"/>
        <w:widowControl w:val="0"/>
        <w:numPr>
          <w:ilvl w:val="0"/>
          <w:numId w:val="5"/>
        </w:numPr>
        <w:spacing w:before="0" w:after="0"/>
        <w:ind w:left="851" w:hanging="283"/>
        <w:rPr>
          <w:rFonts w:ascii="Times New Roman" w:hAnsi="Times New Roman"/>
          <w:noProof/>
          <w:sz w:val="24"/>
        </w:rPr>
      </w:pPr>
      <w:r>
        <w:rPr>
          <w:rFonts w:ascii="Times New Roman" w:hAnsi="Times New Roman"/>
          <w:sz w:val="24"/>
        </w:rPr>
        <w:t>Skotijas policijas vecākais virsnieks;</w:t>
      </w:r>
    </w:p>
    <w:p w14:paraId="03BD789D" w14:textId="77777777" w:rsidR="000E3283" w:rsidRPr="008D031E" w:rsidRDefault="000E3283" w:rsidP="001F1E46">
      <w:pPr>
        <w:pStyle w:val="JuQuot"/>
        <w:widowControl w:val="0"/>
        <w:numPr>
          <w:ilvl w:val="0"/>
          <w:numId w:val="5"/>
        </w:numPr>
        <w:spacing w:before="0" w:after="0"/>
        <w:ind w:left="851" w:hanging="283"/>
        <w:rPr>
          <w:rFonts w:ascii="Times New Roman" w:hAnsi="Times New Roman"/>
          <w:noProof/>
          <w:sz w:val="24"/>
        </w:rPr>
      </w:pPr>
      <w:r>
        <w:rPr>
          <w:rFonts w:ascii="Times New Roman" w:hAnsi="Times New Roman"/>
          <w:sz w:val="24"/>
        </w:rPr>
        <w:t>Metropoles policijas komisārs (Metropoles policijas Terorisma apkarošanas komanda veic pārtveršanu Terorisma apkarošanas vienību, Speciālo nodaļu un dažu policijas spēku speciālo vienību vārdā Anglijā un Velsā);</w:t>
      </w:r>
    </w:p>
    <w:p w14:paraId="16C8BEF5" w14:textId="77777777" w:rsidR="000E3283" w:rsidRPr="008D031E" w:rsidRDefault="000E3283" w:rsidP="001F1E46">
      <w:pPr>
        <w:pStyle w:val="JuQuot"/>
        <w:widowControl w:val="0"/>
        <w:numPr>
          <w:ilvl w:val="0"/>
          <w:numId w:val="5"/>
        </w:numPr>
        <w:spacing w:before="0" w:after="0"/>
        <w:ind w:left="851" w:hanging="283"/>
        <w:rPr>
          <w:rFonts w:ascii="Times New Roman" w:hAnsi="Times New Roman"/>
          <w:noProof/>
          <w:sz w:val="24"/>
        </w:rPr>
      </w:pPr>
      <w:r>
        <w:rPr>
          <w:rFonts w:ascii="Times New Roman" w:hAnsi="Times New Roman"/>
          <w:sz w:val="24"/>
        </w:rPr>
        <w:t>Ziemeļīrijas policijas vecākais virsnieks;</w:t>
      </w:r>
    </w:p>
    <w:p w14:paraId="2E527F04" w14:textId="77777777" w:rsidR="000E3283" w:rsidRPr="008D031E" w:rsidRDefault="000E3283" w:rsidP="001F1E46">
      <w:pPr>
        <w:pStyle w:val="JuQuot"/>
        <w:widowControl w:val="0"/>
        <w:numPr>
          <w:ilvl w:val="0"/>
          <w:numId w:val="5"/>
        </w:numPr>
        <w:spacing w:before="0" w:after="0"/>
        <w:ind w:left="851" w:hanging="283"/>
        <w:rPr>
          <w:rFonts w:ascii="Times New Roman" w:hAnsi="Times New Roman"/>
          <w:noProof/>
          <w:sz w:val="24"/>
        </w:rPr>
      </w:pPr>
      <w:r>
        <w:rPr>
          <w:rFonts w:ascii="Times New Roman" w:hAnsi="Times New Roman"/>
          <w:sz w:val="24"/>
        </w:rPr>
        <w:t>Apvienotās Karalistes Ieņēmumu un muitas dienesta (turpmāk tekstā – “</w:t>
      </w:r>
      <w:proofErr w:type="spellStart"/>
      <w:r>
        <w:rPr>
          <w:rFonts w:ascii="Times New Roman" w:hAnsi="Times New Roman"/>
          <w:i/>
          <w:iCs/>
          <w:sz w:val="24"/>
        </w:rPr>
        <w:t>HMRC</w:t>
      </w:r>
      <w:proofErr w:type="spellEnd"/>
      <w:r>
        <w:rPr>
          <w:rFonts w:ascii="Times New Roman" w:hAnsi="Times New Roman"/>
          <w:sz w:val="24"/>
        </w:rPr>
        <w:t>”) komisāri;</w:t>
      </w:r>
    </w:p>
    <w:p w14:paraId="2DDF9745" w14:textId="77777777" w:rsidR="000E3283" w:rsidRPr="008D031E" w:rsidRDefault="000E3283" w:rsidP="001F1E46">
      <w:pPr>
        <w:pStyle w:val="JuQuot"/>
        <w:widowControl w:val="0"/>
        <w:numPr>
          <w:ilvl w:val="0"/>
          <w:numId w:val="5"/>
        </w:numPr>
        <w:spacing w:before="0" w:after="0"/>
        <w:ind w:left="851" w:hanging="283"/>
        <w:rPr>
          <w:rFonts w:ascii="Times New Roman" w:hAnsi="Times New Roman"/>
          <w:noProof/>
          <w:sz w:val="24"/>
        </w:rPr>
      </w:pPr>
      <w:r>
        <w:rPr>
          <w:rFonts w:ascii="Times New Roman" w:hAnsi="Times New Roman"/>
          <w:sz w:val="24"/>
        </w:rPr>
        <w:t>Aizsardzības izlūkošanas dienesta vadītājs;</w:t>
      </w:r>
    </w:p>
    <w:p w14:paraId="75BAEB3C" w14:textId="77777777" w:rsidR="000E3283" w:rsidRDefault="000E3283" w:rsidP="001F1E46">
      <w:pPr>
        <w:pStyle w:val="JuQuot"/>
        <w:widowControl w:val="0"/>
        <w:numPr>
          <w:ilvl w:val="0"/>
          <w:numId w:val="5"/>
        </w:numPr>
        <w:spacing w:before="0" w:after="0"/>
        <w:ind w:left="851" w:hanging="283"/>
        <w:rPr>
          <w:rFonts w:ascii="Times New Roman" w:hAnsi="Times New Roman"/>
          <w:noProof/>
          <w:sz w:val="24"/>
        </w:rPr>
      </w:pPr>
      <w:r>
        <w:rPr>
          <w:rFonts w:ascii="Times New Roman" w:hAnsi="Times New Roman"/>
          <w:sz w:val="24"/>
        </w:rPr>
        <w:t>[juridiska] persona, kura saskaņā ar jebkuru starptautisko savstarpējās tiesiskās palīdzības līgumu ir kādas ārpus Apvienotās Karalistes esošas valsts vai teritorijas kompetentā iestāde.</w:t>
      </w:r>
    </w:p>
    <w:p w14:paraId="29D976E8" w14:textId="77777777" w:rsidR="00E176F6" w:rsidRPr="008D031E" w:rsidRDefault="00E176F6" w:rsidP="001F1E46">
      <w:pPr>
        <w:pStyle w:val="JuQuot"/>
        <w:widowControl w:val="0"/>
        <w:spacing w:before="0" w:after="0"/>
        <w:ind w:left="851" w:firstLine="0"/>
        <w:rPr>
          <w:rFonts w:ascii="Times New Roman" w:hAnsi="Times New Roman"/>
          <w:noProof/>
          <w:sz w:val="24"/>
          <w:lang w:val="en-US"/>
        </w:rPr>
      </w:pPr>
    </w:p>
    <w:p w14:paraId="2023871A" w14:textId="37E634BA" w:rsidR="00E176F6"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3.3. Jebkuru pieteikumu kādas iepriekšminētās personas vārdā iesniedz persona, kura ieņem amatu Apvienotās Karalistes valdībā.</w:t>
      </w:r>
    </w:p>
    <w:p w14:paraId="77A6D5D9" w14:textId="06ADB379"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3.4. Visus pārtveršanas orderus izdod valsts sekretārs. Pat steidzamības kārtā valsts sekretārs personīgi apstiprina orderi, lai arī to paraksta vecākā amatpersona.</w:t>
      </w:r>
    </w:p>
    <w:p w14:paraId="1A5F57FB" w14:textId="77777777" w:rsidR="00E176F6" w:rsidRPr="008D031E" w:rsidRDefault="00E176F6" w:rsidP="001F1E46">
      <w:pPr>
        <w:pStyle w:val="JuQuot"/>
        <w:widowControl w:val="0"/>
        <w:spacing w:before="0" w:after="0"/>
        <w:ind w:left="0" w:firstLine="0"/>
        <w:rPr>
          <w:rFonts w:ascii="Times New Roman" w:hAnsi="Times New Roman"/>
          <w:noProof/>
          <w:sz w:val="24"/>
          <w:lang w:val="en-US"/>
        </w:rPr>
      </w:pPr>
    </w:p>
    <w:p w14:paraId="5666DE77" w14:textId="77777777" w:rsidR="000E3283" w:rsidRDefault="000E3283" w:rsidP="001F1E46">
      <w:pPr>
        <w:pStyle w:val="JuQuot"/>
        <w:widowControl w:val="0"/>
        <w:spacing w:before="0" w:after="0"/>
        <w:ind w:left="284" w:firstLine="0"/>
        <w:rPr>
          <w:rFonts w:ascii="Times New Roman" w:hAnsi="Times New Roman"/>
          <w:b/>
          <w:noProof/>
          <w:sz w:val="24"/>
        </w:rPr>
      </w:pPr>
      <w:r>
        <w:rPr>
          <w:rFonts w:ascii="Times New Roman" w:hAnsi="Times New Roman"/>
          <w:b/>
          <w:sz w:val="24"/>
        </w:rPr>
        <w:t>Nepieciešamība un samērīgums</w:t>
      </w:r>
    </w:p>
    <w:p w14:paraId="7EC61718" w14:textId="77777777" w:rsidR="00E176F6" w:rsidRPr="008D031E" w:rsidRDefault="00E176F6" w:rsidP="001F1E46">
      <w:pPr>
        <w:pStyle w:val="JuQuot"/>
        <w:widowControl w:val="0"/>
        <w:spacing w:before="0" w:after="0"/>
        <w:ind w:left="284" w:firstLine="0"/>
        <w:rPr>
          <w:rFonts w:ascii="Times New Roman" w:hAnsi="Times New Roman"/>
          <w:b/>
          <w:noProof/>
          <w:sz w:val="24"/>
          <w:lang w:val="en-US"/>
        </w:rPr>
      </w:pPr>
    </w:p>
    <w:p w14:paraId="43716627" w14:textId="11B69D27"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3.5. Saņemot orderi saskaņā ar </w:t>
      </w:r>
      <w:r>
        <w:rPr>
          <w:rFonts w:ascii="Times New Roman" w:hAnsi="Times New Roman"/>
          <w:i/>
          <w:iCs/>
          <w:sz w:val="24"/>
        </w:rPr>
        <w:t>RIPA</w:t>
      </w:r>
      <w:r>
        <w:rPr>
          <w:rFonts w:ascii="Times New Roman" w:hAnsi="Times New Roman"/>
          <w:sz w:val="24"/>
        </w:rPr>
        <w:t>, vienīgi tiks nodrošināts, ka atļautā pārtveršana ir pamatota iejaukšanās personas tiesībās saskaņā ar Eiropas Cilvēktiesību konvencijas (turpmāk tekstā – “</w:t>
      </w:r>
      <w:proofErr w:type="spellStart"/>
      <w:r>
        <w:rPr>
          <w:rFonts w:ascii="Times New Roman" w:hAnsi="Times New Roman"/>
          <w:i/>
          <w:iCs/>
          <w:sz w:val="24"/>
        </w:rPr>
        <w:t>ECHR</w:t>
      </w:r>
      <w:proofErr w:type="spellEnd"/>
      <w:r>
        <w:rPr>
          <w:rFonts w:ascii="Times New Roman" w:hAnsi="Times New Roman"/>
          <w:sz w:val="24"/>
        </w:rPr>
        <w:t xml:space="preserve">”) 8. pantu (tiesībās uz privātās un ģimenes dzīves neaizskaramību), ja šāda rīcība ir nepieciešama un samērīga pārtveršanai. </w:t>
      </w:r>
      <w:r>
        <w:rPr>
          <w:rFonts w:ascii="Times New Roman" w:hAnsi="Times New Roman"/>
          <w:i/>
          <w:iCs/>
          <w:sz w:val="24"/>
        </w:rPr>
        <w:t>RIPA</w:t>
      </w:r>
      <w:r>
        <w:rPr>
          <w:rFonts w:ascii="Times New Roman" w:hAnsi="Times New Roman"/>
          <w:sz w:val="24"/>
        </w:rPr>
        <w:t xml:space="preserve"> to atzīst, vispirms uzliekot valsts sekretāram par pienākumu pārliecināties, ka atļauja ir nepieciešama viena vai vairāku likumā noteikto iemeslu dēļ:</w:t>
      </w:r>
    </w:p>
    <w:p w14:paraId="5630EE97" w14:textId="77777777" w:rsidR="00E176F6" w:rsidRPr="008D031E" w:rsidRDefault="00E176F6" w:rsidP="001F1E46">
      <w:pPr>
        <w:pStyle w:val="JuQuot"/>
        <w:widowControl w:val="0"/>
        <w:spacing w:before="0" w:after="0"/>
        <w:ind w:left="0" w:firstLine="0"/>
        <w:rPr>
          <w:rFonts w:ascii="Times New Roman" w:hAnsi="Times New Roman"/>
          <w:noProof/>
          <w:sz w:val="24"/>
          <w:lang w:val="en-US"/>
        </w:rPr>
      </w:pPr>
    </w:p>
    <w:p w14:paraId="7068C7B9" w14:textId="77777777" w:rsidR="000E3283" w:rsidRPr="008D031E" w:rsidRDefault="000E3283" w:rsidP="001F1E46">
      <w:pPr>
        <w:pStyle w:val="JuQuot"/>
        <w:widowControl w:val="0"/>
        <w:numPr>
          <w:ilvl w:val="0"/>
          <w:numId w:val="12"/>
        </w:numPr>
        <w:spacing w:before="0" w:after="0"/>
        <w:ind w:left="851" w:hanging="283"/>
        <w:rPr>
          <w:rFonts w:ascii="Times New Roman" w:hAnsi="Times New Roman"/>
          <w:noProof/>
          <w:sz w:val="24"/>
        </w:rPr>
      </w:pPr>
      <w:r>
        <w:rPr>
          <w:rFonts w:ascii="Times New Roman" w:hAnsi="Times New Roman"/>
          <w:sz w:val="24"/>
        </w:rPr>
        <w:t>valsts drošības intereses;</w:t>
      </w:r>
    </w:p>
    <w:p w14:paraId="7EC2F113" w14:textId="77777777" w:rsidR="000E3283" w:rsidRPr="008D031E" w:rsidRDefault="000E3283" w:rsidP="001F1E46">
      <w:pPr>
        <w:pStyle w:val="JuQuot"/>
        <w:widowControl w:val="0"/>
        <w:numPr>
          <w:ilvl w:val="0"/>
          <w:numId w:val="12"/>
        </w:numPr>
        <w:spacing w:before="0" w:after="0"/>
        <w:ind w:left="851" w:hanging="283"/>
        <w:rPr>
          <w:rFonts w:ascii="Times New Roman" w:hAnsi="Times New Roman"/>
          <w:noProof/>
          <w:sz w:val="24"/>
        </w:rPr>
      </w:pPr>
      <w:r>
        <w:rPr>
          <w:rFonts w:ascii="Times New Roman" w:hAnsi="Times New Roman"/>
          <w:sz w:val="24"/>
        </w:rPr>
        <w:t>smaga nozieguma novēršana vai atklāšana;</w:t>
      </w:r>
    </w:p>
    <w:p w14:paraId="17A76343" w14:textId="77777777" w:rsidR="000E3283" w:rsidRDefault="000E3283" w:rsidP="001F1E46">
      <w:pPr>
        <w:pStyle w:val="JuQuot"/>
        <w:widowControl w:val="0"/>
        <w:numPr>
          <w:ilvl w:val="0"/>
          <w:numId w:val="12"/>
        </w:numPr>
        <w:spacing w:before="0" w:after="0"/>
        <w:ind w:left="851" w:hanging="283"/>
        <w:rPr>
          <w:rFonts w:ascii="Times New Roman" w:hAnsi="Times New Roman"/>
          <w:noProof/>
          <w:sz w:val="24"/>
        </w:rPr>
      </w:pPr>
      <w:r>
        <w:rPr>
          <w:rFonts w:ascii="Times New Roman" w:hAnsi="Times New Roman"/>
          <w:sz w:val="24"/>
        </w:rPr>
        <w:t>Apvienotās Karalistes ekonomiskās labklājības aizsardzība, ciktāl šīs intereses sasaucas ar valsts drošības interesēm.</w:t>
      </w:r>
    </w:p>
    <w:p w14:paraId="19B7C94B" w14:textId="77777777" w:rsidR="00E176F6" w:rsidRPr="008D031E" w:rsidRDefault="00E176F6" w:rsidP="001F1E46">
      <w:pPr>
        <w:pStyle w:val="JuQuot"/>
        <w:widowControl w:val="0"/>
        <w:spacing w:before="0" w:after="0"/>
        <w:ind w:left="0" w:firstLine="0"/>
        <w:rPr>
          <w:rFonts w:ascii="Times New Roman" w:hAnsi="Times New Roman"/>
          <w:noProof/>
          <w:sz w:val="24"/>
          <w:lang w:val="en-US"/>
        </w:rPr>
      </w:pPr>
    </w:p>
    <w:p w14:paraId="0B97B079" w14:textId="1266263B"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3.6. Šie mērķi ir izklāstīti </w:t>
      </w:r>
      <w:r>
        <w:rPr>
          <w:rFonts w:ascii="Times New Roman" w:hAnsi="Times New Roman"/>
          <w:i/>
          <w:iCs/>
          <w:sz w:val="24"/>
        </w:rPr>
        <w:t>RIPA</w:t>
      </w:r>
      <w:r>
        <w:rPr>
          <w:rFonts w:ascii="Times New Roman" w:hAnsi="Times New Roman"/>
          <w:sz w:val="24"/>
        </w:rPr>
        <w:t xml:space="preserve"> 5. panta 3. punktā. Valsts sekretāram arī jāpārliecinās, ka pārtveršana ir samērīga ar šīs rīcības mērķi. Jebkurš samērīguma </w:t>
      </w:r>
      <w:proofErr w:type="spellStart"/>
      <w:r>
        <w:rPr>
          <w:rFonts w:ascii="Times New Roman" w:hAnsi="Times New Roman"/>
          <w:sz w:val="24"/>
        </w:rPr>
        <w:t>izvērtējums</w:t>
      </w:r>
      <w:proofErr w:type="spellEnd"/>
      <w:r>
        <w:rPr>
          <w:rFonts w:ascii="Times New Roman" w:hAnsi="Times New Roman"/>
          <w:sz w:val="24"/>
        </w:rPr>
        <w:t xml:space="preserve"> ietver līdzsvarošanu starp to, cik nopietna ir iejaukšanās operācijas subjekta (vai jebkuras citas personas, kura var tikt ietekmēta) tiesībās uz privātumu un īpašumu un cik lielā mērā šī rīcība ir nepieciešama izmeklēšanas, operatīvajā vai spējas ziņā. Orderis nebūs samērīgs, ja tas ir pārmērīgs visu lietas apstākļu kontekstā. Katrai atļautajai rīcībai jāsniedz paredzamais ieguvums izmeklēšanā vai operācijā, un tā nevar būt nesamērīga vai patvaļīga. Tikai tas vien, ka (piemēram) var tikt apdraudēta valsts drošība, nav pamats tam, lai uzskatītu visaizskarošāko rīcību par samērīgu. Iejaukšanos nevar uzskatīt par samērīgu, ja nepieciešamo informāciju iespējams iegūt ar mazāk aizskarošu līdzekļu palīdzību.</w:t>
      </w:r>
    </w:p>
    <w:p w14:paraId="02CE1B19" w14:textId="77777777" w:rsidR="0033375B" w:rsidRPr="008D031E" w:rsidRDefault="0033375B" w:rsidP="001F1E46">
      <w:pPr>
        <w:pStyle w:val="JuQuot"/>
        <w:widowControl w:val="0"/>
        <w:spacing w:before="0" w:after="0"/>
        <w:ind w:left="284" w:firstLine="0"/>
        <w:rPr>
          <w:rFonts w:ascii="Times New Roman" w:hAnsi="Times New Roman"/>
          <w:noProof/>
          <w:sz w:val="24"/>
          <w:lang w:val="en-US"/>
        </w:rPr>
      </w:pPr>
    </w:p>
    <w:p w14:paraId="5559CF19" w14:textId="5E474BB5"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3. GALVENIE NOTEIKUMI PAR PĀRTVERŠANU ATBILSTOŠI ORDERIM</w:t>
      </w:r>
    </w:p>
    <w:p w14:paraId="236C1161" w14:textId="77777777" w:rsidR="005273AA" w:rsidRPr="008D031E" w:rsidRDefault="005273AA" w:rsidP="001F1E46">
      <w:pPr>
        <w:pStyle w:val="JuQuot"/>
        <w:widowControl w:val="0"/>
        <w:spacing w:before="0" w:after="0"/>
        <w:ind w:left="284" w:firstLine="0"/>
        <w:rPr>
          <w:rFonts w:ascii="Times New Roman" w:hAnsi="Times New Roman"/>
          <w:noProof/>
          <w:sz w:val="24"/>
          <w:lang w:val="en-US"/>
        </w:rPr>
      </w:pPr>
    </w:p>
    <w:p w14:paraId="716AD44F" w14:textId="77777777" w:rsidR="000E3283" w:rsidRDefault="000E3283" w:rsidP="001F1E46">
      <w:pPr>
        <w:pStyle w:val="JuQuot"/>
        <w:widowControl w:val="0"/>
        <w:spacing w:before="0" w:after="0"/>
        <w:ind w:left="284" w:firstLine="0"/>
        <w:rPr>
          <w:rFonts w:ascii="Times New Roman" w:hAnsi="Times New Roman"/>
          <w:noProof/>
          <w:sz w:val="24"/>
        </w:rPr>
      </w:pPr>
      <w:bookmarkStart w:id="70" w:name="_Hlk70934021"/>
      <w:r>
        <w:rPr>
          <w:rFonts w:ascii="Times New Roman" w:hAnsi="Times New Roman"/>
          <w:sz w:val="24"/>
        </w:rPr>
        <w:t>(..)</w:t>
      </w:r>
    </w:p>
    <w:p w14:paraId="673CC3F4" w14:textId="77777777" w:rsidR="001E321C" w:rsidRPr="008D031E" w:rsidRDefault="001E321C" w:rsidP="001F1E46">
      <w:pPr>
        <w:pStyle w:val="JuQuot"/>
        <w:widowControl w:val="0"/>
        <w:spacing w:before="0" w:after="0"/>
        <w:ind w:left="0" w:firstLine="0"/>
        <w:rPr>
          <w:rFonts w:ascii="Times New Roman" w:hAnsi="Times New Roman"/>
          <w:noProof/>
          <w:sz w:val="24"/>
          <w:lang w:val="en-US"/>
        </w:rPr>
      </w:pPr>
    </w:p>
    <w:bookmarkEnd w:id="70"/>
    <w:p w14:paraId="2A5FDFEC" w14:textId="06735FD3"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3.7. Līdz ar to jāņem vērā šādi samērīguma apstākļi:</w:t>
      </w:r>
    </w:p>
    <w:p w14:paraId="38AFC383" w14:textId="77777777" w:rsidR="001E321C" w:rsidRPr="008D031E" w:rsidRDefault="001E321C" w:rsidP="001F1E46">
      <w:pPr>
        <w:pStyle w:val="JuQuot"/>
        <w:widowControl w:val="0"/>
        <w:spacing w:before="0" w:after="0"/>
        <w:ind w:left="0" w:firstLine="0"/>
        <w:rPr>
          <w:rFonts w:ascii="Times New Roman" w:hAnsi="Times New Roman"/>
          <w:noProof/>
          <w:sz w:val="24"/>
          <w:lang w:val="en-US"/>
        </w:rPr>
      </w:pPr>
    </w:p>
    <w:p w14:paraId="3B1E3913" w14:textId="77777777" w:rsidR="000E3283" w:rsidRPr="008D031E" w:rsidRDefault="000E3283" w:rsidP="001F1E46">
      <w:pPr>
        <w:pStyle w:val="JuQuot"/>
        <w:widowControl w:val="0"/>
        <w:numPr>
          <w:ilvl w:val="0"/>
          <w:numId w:val="13"/>
        </w:numPr>
        <w:spacing w:before="0" w:after="0"/>
        <w:ind w:left="851" w:hanging="284"/>
        <w:rPr>
          <w:rFonts w:ascii="Times New Roman" w:hAnsi="Times New Roman"/>
          <w:noProof/>
          <w:sz w:val="24"/>
        </w:rPr>
      </w:pPr>
      <w:r>
        <w:rPr>
          <w:rFonts w:ascii="Times New Roman" w:hAnsi="Times New Roman"/>
          <w:sz w:val="24"/>
        </w:rPr>
        <w:t>līdzsvars starp ierosinātās iejaukšanās apmēru, darbības jomu un sasniedzamo mērķi;</w:t>
      </w:r>
    </w:p>
    <w:p w14:paraId="11806DAA" w14:textId="77777777" w:rsidR="000E3283" w:rsidRPr="008D031E" w:rsidRDefault="000E3283" w:rsidP="001F1E46">
      <w:pPr>
        <w:pStyle w:val="JuQuot"/>
        <w:widowControl w:val="0"/>
        <w:numPr>
          <w:ilvl w:val="0"/>
          <w:numId w:val="13"/>
        </w:numPr>
        <w:spacing w:before="0" w:after="0"/>
        <w:ind w:left="851" w:hanging="284"/>
        <w:rPr>
          <w:rFonts w:ascii="Times New Roman" w:hAnsi="Times New Roman"/>
          <w:noProof/>
          <w:sz w:val="24"/>
        </w:rPr>
      </w:pPr>
      <w:r>
        <w:rPr>
          <w:rFonts w:ascii="Times New Roman" w:hAnsi="Times New Roman"/>
          <w:sz w:val="24"/>
        </w:rPr>
        <w:t>paskaidrojums par to, kā un kāpēc pieņemtās metodes radīs vismazāko iejaukšanos subjekta un citu personu tiesībās;</w:t>
      </w:r>
    </w:p>
    <w:p w14:paraId="06FBCB7B" w14:textId="77777777" w:rsidR="000E3283" w:rsidRPr="008D031E" w:rsidRDefault="000E3283" w:rsidP="001F1E46">
      <w:pPr>
        <w:pStyle w:val="JuQuot"/>
        <w:widowControl w:val="0"/>
        <w:numPr>
          <w:ilvl w:val="0"/>
          <w:numId w:val="13"/>
        </w:numPr>
        <w:spacing w:before="0" w:after="0"/>
        <w:ind w:left="851" w:hanging="284"/>
        <w:rPr>
          <w:rFonts w:ascii="Times New Roman" w:hAnsi="Times New Roman"/>
          <w:noProof/>
          <w:sz w:val="24"/>
        </w:rPr>
      </w:pPr>
      <w:proofErr w:type="spellStart"/>
      <w:r>
        <w:rPr>
          <w:rFonts w:ascii="Times New Roman" w:hAnsi="Times New Roman"/>
          <w:sz w:val="24"/>
        </w:rPr>
        <w:t>izvērtējums</w:t>
      </w:r>
      <w:proofErr w:type="spellEnd"/>
      <w:r>
        <w:rPr>
          <w:rFonts w:ascii="Times New Roman" w:hAnsi="Times New Roman"/>
          <w:sz w:val="24"/>
        </w:rPr>
        <w:t xml:space="preserve"> par to, vai attiecīgā darbība paredz atbilstošu tiesību aktu izmantošanu un saprātīgu nepieciešamā rezultāta iegūšanas veidu, ņemot vērā visas saprātīgās alternatīvas;</w:t>
      </w:r>
    </w:p>
    <w:p w14:paraId="04B9F46B" w14:textId="77777777" w:rsidR="000E3283" w:rsidRPr="008D031E" w:rsidRDefault="000E3283" w:rsidP="001F1E46">
      <w:pPr>
        <w:pStyle w:val="JuQuot"/>
        <w:widowControl w:val="0"/>
        <w:numPr>
          <w:ilvl w:val="0"/>
          <w:numId w:val="13"/>
        </w:numPr>
        <w:spacing w:before="0" w:after="0"/>
        <w:ind w:left="851" w:hanging="284"/>
        <w:rPr>
          <w:rFonts w:ascii="Times New Roman" w:hAnsi="Times New Roman"/>
          <w:noProof/>
          <w:sz w:val="24"/>
        </w:rPr>
      </w:pPr>
      <w:r>
        <w:rPr>
          <w:rFonts w:ascii="Times New Roman" w:hAnsi="Times New Roman"/>
          <w:sz w:val="24"/>
        </w:rPr>
        <w:t>pierādījumi, ciktāl tas praktiski iespējams, par citām apsvērtajām metodēm, kas tika vai netika izmantotas, taču tika atzītas par nepietiekamām, lai sasniegtu darbības mērķus, nepievienojot nepieciešamo pārtverto materiālu.</w:t>
      </w:r>
    </w:p>
    <w:p w14:paraId="6CE27254" w14:textId="77777777"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w:t>
      </w:r>
    </w:p>
    <w:p w14:paraId="2D667D0D" w14:textId="77777777" w:rsidR="001E321C" w:rsidRPr="008D031E" w:rsidRDefault="001E321C" w:rsidP="001F1E46">
      <w:pPr>
        <w:pStyle w:val="JuQuot"/>
        <w:widowControl w:val="0"/>
        <w:spacing w:before="0" w:after="0"/>
        <w:ind w:left="0" w:firstLine="0"/>
        <w:rPr>
          <w:rFonts w:ascii="Times New Roman" w:hAnsi="Times New Roman"/>
          <w:noProof/>
          <w:sz w:val="24"/>
          <w:lang w:val="en-US"/>
        </w:rPr>
      </w:pPr>
    </w:p>
    <w:p w14:paraId="4648E8F7" w14:textId="77777777" w:rsidR="000E3283" w:rsidRDefault="000E3283" w:rsidP="00B75C76">
      <w:pPr>
        <w:pStyle w:val="JuQuot"/>
        <w:keepNext/>
        <w:keepLines/>
        <w:widowControl w:val="0"/>
        <w:spacing w:before="0" w:after="0"/>
        <w:ind w:left="284" w:firstLine="0"/>
        <w:rPr>
          <w:rFonts w:ascii="Times New Roman" w:hAnsi="Times New Roman"/>
          <w:b/>
          <w:noProof/>
          <w:sz w:val="24"/>
        </w:rPr>
      </w:pPr>
      <w:r>
        <w:rPr>
          <w:rFonts w:ascii="Times New Roman" w:hAnsi="Times New Roman"/>
          <w:b/>
          <w:sz w:val="24"/>
        </w:rPr>
        <w:lastRenderedPageBreak/>
        <w:t>Pārtveršanas orderu spēkā esības ilgums</w:t>
      </w:r>
    </w:p>
    <w:p w14:paraId="7FF7739F" w14:textId="77777777" w:rsidR="001E321C" w:rsidRPr="008D031E" w:rsidRDefault="001E321C" w:rsidP="00B75C76">
      <w:pPr>
        <w:pStyle w:val="JuQuot"/>
        <w:keepNext/>
        <w:keepLines/>
        <w:widowControl w:val="0"/>
        <w:spacing w:before="0" w:after="0"/>
        <w:ind w:left="0" w:firstLine="0"/>
        <w:rPr>
          <w:rFonts w:ascii="Times New Roman" w:hAnsi="Times New Roman"/>
          <w:b/>
          <w:noProof/>
          <w:sz w:val="24"/>
          <w:lang w:val="en-US"/>
        </w:rPr>
      </w:pPr>
    </w:p>
    <w:p w14:paraId="761E2DA9" w14:textId="2BFC3114" w:rsidR="000E3283" w:rsidRPr="008D031E" w:rsidRDefault="000E3283" w:rsidP="00B75C76">
      <w:pPr>
        <w:pStyle w:val="JuQuot"/>
        <w:keepNext/>
        <w:keepLines/>
        <w:widowControl w:val="0"/>
        <w:spacing w:before="0" w:after="0"/>
        <w:ind w:left="284"/>
        <w:rPr>
          <w:rFonts w:ascii="Times New Roman" w:hAnsi="Times New Roman"/>
          <w:noProof/>
          <w:sz w:val="24"/>
        </w:rPr>
      </w:pPr>
      <w:r>
        <w:rPr>
          <w:rFonts w:ascii="Times New Roman" w:hAnsi="Times New Roman"/>
          <w:sz w:val="24"/>
        </w:rPr>
        <w:t>3.18. Pārtveršanas orderi, ko izdod saistībā ar smagiem noziegumiem, sākotnēji ir spēkā trīs mēnešus. Savukārt pārtveršanas orderi, ko izdod saistībā ar Apvienotās Karalistes valsts drošību / ekonomisko labklājību, sākotnēji ir spēkā sešus mēnešus. Steidzamības kārtā (jebkāda iemesla dēļ) izdoti orderi ir spēkā piecas darbdienas, sākot no to izdošanas dienas, ja vien valsts sekretārs tos neatjauno.</w:t>
      </w:r>
    </w:p>
    <w:p w14:paraId="7ECA95BD" w14:textId="0E3319C8"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3.19. Pēc atjaunošanas pārtveršanas orderi, ko izdod saistībā ar smagiem noziegumiem, ir spēkā vēl trīs mēnešus. Savukārt atjaunotie pārtveršanas orderi, ko izdod saistībā ar Apvienotās Karalistes valsts drošību / ekonomisko labklājību, ir spēkā vēl sešus mēnešus. Šo laika periodu skaita no dokumenta atjaunošanas dienas.</w:t>
      </w:r>
    </w:p>
    <w:p w14:paraId="3CDF82D9" w14:textId="583D6989"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3.20. Ja pārtveršanas orderī veiktas izmaiņas, ordera derīguma termiņš nemainās. Tomēr, ja šādas izmaiņas veiktas steidzamības kārtā, šā dokumenta termiņš beidzas pēc piecām darbdienām pēc tā izdošanas datuma, ja vien tas netiek atjaunots ierastajā kārtībā.</w:t>
      </w:r>
    </w:p>
    <w:p w14:paraId="65AB9D2A" w14:textId="6340FF7E"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3.21. Ja apstākļu maiņas dēļ pārtveršanas aģentūra uzskata, ka ordera spēkā esība vairs nav nepieciešama, samērīga vai praktiski iespējama, aģentūrai ir jāiesniedz valsts sekretāram ieteikums par šā ordera tūlītēju atcelšanu.</w:t>
      </w:r>
    </w:p>
    <w:p w14:paraId="03B94867" w14:textId="77777777"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w:t>
      </w:r>
    </w:p>
    <w:p w14:paraId="69754DD4" w14:textId="77777777" w:rsidR="00691106" w:rsidRPr="008D031E" w:rsidRDefault="00691106" w:rsidP="001F1E46">
      <w:pPr>
        <w:pStyle w:val="JuQuot"/>
        <w:widowControl w:val="0"/>
        <w:spacing w:before="0" w:after="0"/>
        <w:ind w:left="284" w:firstLine="0"/>
        <w:rPr>
          <w:rFonts w:ascii="Times New Roman" w:hAnsi="Times New Roman"/>
          <w:noProof/>
          <w:sz w:val="24"/>
          <w:lang w:val="en-US"/>
        </w:rPr>
      </w:pPr>
    </w:p>
    <w:p w14:paraId="761B395C" w14:textId="5AC35026"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4. ĪPAŠI NOTEIKUMI PAR PĀRTVERŠANU ATBILSTOŠI ORDERIM</w:t>
      </w:r>
    </w:p>
    <w:p w14:paraId="77EB4EA3" w14:textId="77777777" w:rsidR="00691106" w:rsidRPr="008D031E" w:rsidRDefault="00691106" w:rsidP="001F1E46">
      <w:pPr>
        <w:pStyle w:val="JuQuot"/>
        <w:widowControl w:val="0"/>
        <w:spacing w:before="0" w:after="0"/>
        <w:ind w:left="0" w:firstLine="0"/>
        <w:rPr>
          <w:rFonts w:ascii="Times New Roman" w:hAnsi="Times New Roman"/>
          <w:noProof/>
          <w:sz w:val="24"/>
          <w:lang w:val="en-US"/>
        </w:rPr>
      </w:pPr>
    </w:p>
    <w:p w14:paraId="0D746321" w14:textId="77777777" w:rsidR="000E3283" w:rsidRDefault="000E3283" w:rsidP="001F1E46">
      <w:pPr>
        <w:pStyle w:val="JuQuot"/>
        <w:widowControl w:val="0"/>
        <w:spacing w:before="0" w:after="0"/>
        <w:ind w:left="284" w:firstLine="0"/>
        <w:rPr>
          <w:rFonts w:ascii="Times New Roman" w:hAnsi="Times New Roman"/>
          <w:b/>
          <w:noProof/>
          <w:sz w:val="24"/>
        </w:rPr>
      </w:pPr>
      <w:r>
        <w:rPr>
          <w:rFonts w:ascii="Times New Roman" w:hAnsi="Times New Roman"/>
          <w:b/>
          <w:sz w:val="24"/>
        </w:rPr>
        <w:t>Netieša iejaukšanās</w:t>
      </w:r>
    </w:p>
    <w:p w14:paraId="151A9593" w14:textId="77777777" w:rsidR="00691106" w:rsidRPr="008D031E" w:rsidRDefault="00691106" w:rsidP="001F1E46">
      <w:pPr>
        <w:pStyle w:val="JuQuot"/>
        <w:widowControl w:val="0"/>
        <w:spacing w:before="0" w:after="0"/>
        <w:ind w:left="284" w:firstLine="0"/>
        <w:rPr>
          <w:rFonts w:ascii="Times New Roman" w:hAnsi="Times New Roman"/>
          <w:b/>
          <w:noProof/>
          <w:sz w:val="24"/>
          <w:lang w:val="en-US"/>
        </w:rPr>
      </w:pPr>
    </w:p>
    <w:p w14:paraId="450BA142" w14:textId="58BF85A9"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4.1. Jāizvērtē jebkura iejaukšanās tādu personu tiesībās uz privātās dzīves neaizskaramību, uz kurām paredzētā pārtveršana neattiecas, jo īpaši tad, ja tā varētu skart ar reliģiju, medicīnu, žurnālistiku vai advokāta un klienta saziņas konfidencialitāti saistītu materiālu vai sakarus starp kādu parlamenta locekli un kādu citu personu saistībā ar vēlēšanu apgabalu, vai arī sakarus starp kādu parlamenta locekli un trauksmes cēlēju. Pieteikumā pārtveršanas ordera saņemšanai jānorāda, vai pārtveršanas gaitā zināmā mērā notiktu netieša iejaukšanās personas tiesībās uz privātās dzīves neaizskaramību. Personai, kura pieprasa pārtveršanas orderi, arī vajadzētu apsvērt pasākumus, tostarp automātisku sistēmu izmantošanu, lai novērstu netiešās iejaukšanās apmēru. Ja tas iespējams, šie pasākumi jānorāda pieteikumā. Valsts sekretārs šos apstākļus un pasākumus ņems vērā, izvērtējot pieteikumu ordera saņemšanai saskaņā ar </w:t>
      </w:r>
      <w:r>
        <w:rPr>
          <w:rFonts w:ascii="Times New Roman" w:hAnsi="Times New Roman"/>
          <w:i/>
          <w:iCs/>
          <w:sz w:val="24"/>
        </w:rPr>
        <w:t>RIPA</w:t>
      </w:r>
      <w:r>
        <w:rPr>
          <w:rFonts w:ascii="Times New Roman" w:hAnsi="Times New Roman"/>
          <w:sz w:val="24"/>
        </w:rPr>
        <w:t xml:space="preserve"> 8. panta 1. punktu. Ja pārtveršanas operācijas gaitā personas, uz kurām atļauja neattiecas, pašas tiek identificētas kā izmeklēšanas mērķis, ir jāapsver atsevišķu orderu izdošana attiecībā uz šīm personām.</w:t>
      </w:r>
    </w:p>
    <w:p w14:paraId="24CEF85F" w14:textId="77777777" w:rsidR="00922C6F" w:rsidRPr="008D031E" w:rsidRDefault="00922C6F" w:rsidP="001F1E46">
      <w:pPr>
        <w:pStyle w:val="JuQuot"/>
        <w:widowControl w:val="0"/>
        <w:spacing w:before="0" w:after="0"/>
        <w:ind w:left="284" w:firstLine="0"/>
        <w:rPr>
          <w:rFonts w:ascii="Times New Roman" w:hAnsi="Times New Roman"/>
          <w:noProof/>
          <w:sz w:val="24"/>
          <w:lang w:val="en-US"/>
        </w:rPr>
      </w:pPr>
    </w:p>
    <w:p w14:paraId="6A364AA0" w14:textId="77777777" w:rsidR="000E3283" w:rsidRDefault="000E3283" w:rsidP="001F1E46">
      <w:pPr>
        <w:pStyle w:val="JuQuot"/>
        <w:widowControl w:val="0"/>
        <w:spacing w:before="0" w:after="0"/>
        <w:ind w:left="284" w:firstLine="0"/>
        <w:rPr>
          <w:rFonts w:ascii="Times New Roman" w:hAnsi="Times New Roman"/>
          <w:b/>
          <w:noProof/>
          <w:sz w:val="24"/>
        </w:rPr>
      </w:pPr>
      <w:r>
        <w:rPr>
          <w:rFonts w:ascii="Times New Roman" w:hAnsi="Times New Roman"/>
          <w:b/>
          <w:sz w:val="24"/>
        </w:rPr>
        <w:t>Konfidenciāla informācija</w:t>
      </w:r>
    </w:p>
    <w:p w14:paraId="2F984060" w14:textId="77777777" w:rsidR="00922C6F" w:rsidRPr="008D031E" w:rsidRDefault="00922C6F" w:rsidP="001F1E46">
      <w:pPr>
        <w:pStyle w:val="JuQuot"/>
        <w:widowControl w:val="0"/>
        <w:spacing w:before="0" w:after="0"/>
        <w:ind w:left="284" w:firstLine="0"/>
        <w:rPr>
          <w:rFonts w:ascii="Times New Roman" w:hAnsi="Times New Roman"/>
          <w:b/>
          <w:noProof/>
          <w:sz w:val="24"/>
          <w:lang w:val="en-US"/>
        </w:rPr>
      </w:pPr>
    </w:p>
    <w:p w14:paraId="3FD9BA4F" w14:textId="7490EEAB"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4.2. Īpaši jāizvērtē arī gadījumi, kad personām, uz kurām pārtveršana neattiecas, var būt raksturīgs augsts privātuma aizsardzības līmenis vai var tikt skarta konfidenciāla informācija. Tostarp tas ir tad, ja sakari ir saistīti ar materiālu, uz ko attiecas advokāta un klienta saziņas konfidencialitāte, ja tiek skarts konfidenciāls žurnālistikas materiāls, ja pārtveršana var ietvert sakarus starp kādu medicīnas speciālistu vai garīdznieku un personu saistībā ar šīs personas veselību vai garīgo labsajūtu vai arī sakarus starp kādu parlamenta locekli un kādu citu personu saistībā ar vēlēšanu apgabalu.</w:t>
      </w:r>
    </w:p>
    <w:p w14:paraId="1ECD4EE7" w14:textId="4A038FAD"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4.3. Konfidenciāls žurnālistikas materiāls ietver materiālu, kas iegūts vai izveidots žurnālistikas nolūkiem un ko kāda persona apņēmusies paturēt noslēpumā, kā arī saziņu saturu, kas izriet no informācijas, kas iegūta žurnālistikas nolūkiem un atrodas kādas personas rīcībā saskaņā ar šādu apņemšanos. Skat. arī 4.26. punktu un 4.28.–4.31. punktu, </w:t>
      </w:r>
      <w:r>
        <w:rPr>
          <w:rFonts w:ascii="Times New Roman" w:hAnsi="Times New Roman"/>
          <w:sz w:val="24"/>
        </w:rPr>
        <w:lastRenderedPageBreak/>
        <w:t>lai iegūtu vairāk informācijas par drošības pasākumiem, kas piemērojami saistībā ar konfidenciālu žurnālistikas materiālu.</w:t>
      </w:r>
    </w:p>
    <w:p w14:paraId="4562B1BD" w14:textId="77777777" w:rsidR="00922C6F" w:rsidRPr="008D031E" w:rsidRDefault="00922C6F" w:rsidP="001F1E46">
      <w:pPr>
        <w:pStyle w:val="JuQuot"/>
        <w:widowControl w:val="0"/>
        <w:spacing w:before="0" w:after="0"/>
        <w:ind w:left="284" w:firstLine="0"/>
        <w:rPr>
          <w:rFonts w:ascii="Times New Roman" w:hAnsi="Times New Roman"/>
          <w:noProof/>
          <w:sz w:val="24"/>
          <w:lang w:val="en-US"/>
        </w:rPr>
      </w:pPr>
    </w:p>
    <w:p w14:paraId="4558C477" w14:textId="77777777"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w:t>
      </w:r>
    </w:p>
    <w:p w14:paraId="03C81547" w14:textId="77777777" w:rsidR="00922C6F" w:rsidRPr="008D031E" w:rsidRDefault="00922C6F" w:rsidP="001F1E46">
      <w:pPr>
        <w:pStyle w:val="JuQuot"/>
        <w:widowControl w:val="0"/>
        <w:spacing w:before="0" w:after="0"/>
        <w:ind w:left="284" w:firstLine="0"/>
        <w:rPr>
          <w:rFonts w:ascii="Times New Roman" w:hAnsi="Times New Roman"/>
          <w:noProof/>
          <w:sz w:val="24"/>
          <w:lang w:val="en-US"/>
        </w:rPr>
      </w:pPr>
    </w:p>
    <w:p w14:paraId="7975ED2E" w14:textId="77777777" w:rsidR="000E3283" w:rsidRDefault="000E3283" w:rsidP="001F1E46">
      <w:pPr>
        <w:pStyle w:val="JuQuot"/>
        <w:widowControl w:val="0"/>
        <w:spacing w:before="0" w:after="0"/>
        <w:ind w:left="284" w:firstLine="0"/>
        <w:rPr>
          <w:rFonts w:ascii="Times New Roman" w:hAnsi="Times New Roman"/>
          <w:b/>
          <w:noProof/>
          <w:sz w:val="24"/>
        </w:rPr>
      </w:pPr>
      <w:r>
        <w:rPr>
          <w:rFonts w:ascii="Times New Roman" w:hAnsi="Times New Roman"/>
          <w:b/>
          <w:sz w:val="24"/>
        </w:rPr>
        <w:t>Saziņu saturs, kas ietver konfidenciālu žurnālistikas materiālu vai konfidenciālu personīgu informāciju, un saziņu saturs starp kādu parlamenta locekli un kādu citu personu saistībā ar vēlēšanu apgabalu</w:t>
      </w:r>
    </w:p>
    <w:p w14:paraId="790F5477" w14:textId="77777777" w:rsidR="00922C6F" w:rsidRPr="008D031E" w:rsidRDefault="00922C6F" w:rsidP="001F1E46">
      <w:pPr>
        <w:pStyle w:val="JuQuot"/>
        <w:widowControl w:val="0"/>
        <w:spacing w:before="0" w:after="0"/>
        <w:ind w:left="284" w:firstLine="0"/>
        <w:rPr>
          <w:rFonts w:ascii="Times New Roman" w:hAnsi="Times New Roman"/>
          <w:b/>
          <w:noProof/>
          <w:sz w:val="24"/>
          <w:lang w:val="en-US"/>
        </w:rPr>
      </w:pPr>
    </w:p>
    <w:p w14:paraId="3C1909C1" w14:textId="2997943F"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4.26. Attiecībā uz pārtveršanu īpaša uzmanība ir jāpievērš arī saziņu saturam, kas ietver konfidenciālu žurnālistikas materiālu vai konfidenciālu personīgu informāciju, vai saziņu saturam starp kādu parlamenta locekli un kādu citu personu saistībā ar vēlēšanu apgabalu. Skaidrojums par konfidenciālu žurnālistikas materiālu sniegts 4.3. punktā. Konfidenciāla personīga informācija ir informācija, ko kāda persona apņēmusies paturēt noslēpumā saistībā ar kādu citu personu (dzīvu vai mirušu), kuru ar šo informāciju iespējams identificēt, kā arī materiāls, kas attiecas uz šīs personas fizisko un garīgo veselību vai reliģisko orientēšanu. Šāda informācija var ietvert gan mutvārdu, gan rakstveida sakarus. Šāda iepriekšminētā informācija tiek paturēta noslēpumā, ja kāda persona tieši vai netieši ir apņēmusies to paturēt noslēpumā vai uz to attiecas izpaušanas ierobežojums vai pienākums ievērot konfidencialitāti, kas noteikts spēkā esošajā tiesiskajā regulējumā. Piemēram, konfidenciāla personīga informācija var ietvert konsultācijas starp veselības aprūpes speciālistu un pacientu vai informāciju no pacienta slimības vēstures.</w:t>
      </w:r>
    </w:p>
    <w:p w14:paraId="67369B09" w14:textId="77777777" w:rsidR="00922C6F" w:rsidRPr="008D031E" w:rsidRDefault="00922C6F" w:rsidP="001F1E46">
      <w:pPr>
        <w:pStyle w:val="JuQuot"/>
        <w:widowControl w:val="0"/>
        <w:spacing w:before="0" w:after="0"/>
        <w:ind w:left="284" w:firstLine="0"/>
        <w:rPr>
          <w:rFonts w:ascii="Times New Roman" w:hAnsi="Times New Roman"/>
          <w:noProof/>
          <w:sz w:val="24"/>
          <w:lang w:val="en-US"/>
        </w:rPr>
      </w:pPr>
    </w:p>
    <w:p w14:paraId="2797F753" w14:textId="77777777"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w:t>
      </w:r>
    </w:p>
    <w:p w14:paraId="12E4CA1C" w14:textId="77777777" w:rsidR="00922C6F" w:rsidRPr="008D031E" w:rsidRDefault="00922C6F" w:rsidP="001F1E46">
      <w:pPr>
        <w:pStyle w:val="JuQuot"/>
        <w:widowControl w:val="0"/>
        <w:spacing w:before="0" w:after="0"/>
        <w:ind w:left="284" w:firstLine="0"/>
        <w:rPr>
          <w:rFonts w:ascii="Times New Roman" w:hAnsi="Times New Roman"/>
          <w:noProof/>
          <w:sz w:val="24"/>
          <w:lang w:val="en-US"/>
        </w:rPr>
      </w:pPr>
    </w:p>
    <w:p w14:paraId="0BF7E633" w14:textId="3BFDD8D5"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4.28. Ja paredzēts iegūt konfidenciālu personīgu informāciju, ir skaidri jādokumentē šādi iemesli un rūpīgi jāapsver šādas rīcības nepieciešamība un samērīgums. Ja konfidenciālas personīgas informācijas iegūšana ir iespējama, bet nav paredzēta, ir jāapsver jebkuri iespējamie ietekmes mazināšanas pasākumi. Ja šādu pasākumu nav, jāapsver, vai pārtveršanas aģentūrai šajā ziņā jāievieš īpaši pasākumi.</w:t>
      </w:r>
    </w:p>
    <w:p w14:paraId="4046EB19" w14:textId="480D39A8"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4.29. Materiāls, kas identificēts kā konfidenciāla informācija, jāsaglabā vienīgi tad, ja šāda rīcība ir nepieciešama un samērīga ar vienu vai vairākiem 15. panta 4. punktā noteiktajiem atļautajiem nolūkiem. Tas ir jāiznīcina drošā veidā, tiklīdz tas šiem nolūkiem vairs nav vajadzīga. Ja šāda informācija tiek saglabāta, ir jābūt ieviestām atbilstošām informācijas pārvaldības sistēmām, lai nodrošinātu, ka turpmāka informācijas saglabāšana ir nepieciešama un samērīga ar atļautajiem likumā noteiktajiem nolūkiem.</w:t>
      </w:r>
    </w:p>
    <w:p w14:paraId="7BB5FD3D" w14:textId="7A05A3EC"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4.30. Ja konfidenciālā informācija tiek saglabāta vai izplatīta kādai ārējai struktūrai, jāveic atbilstoši pasākumi, lai informācija tiktu apzīmēta kā konfidenciāla. Ja radušās šaubas par konfidenciālās informācijas ierosinātās apstrādes vai izplatīšanas likumību, jāvēršas pie attiecīgās pārtveršanas aģentūras juriskonsulta, pirms materiāls tiek izplatīts.</w:t>
      </w:r>
    </w:p>
    <w:p w14:paraId="0FC1013A" w14:textId="3BB3EB32"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4.31. Par jebkuru konfidenciālās informācijas saglabāšanas gadījumu jāziņo komisāram sakaru pārtveršanas jautājumos, tiklīdz tas praktiski iespējams, par to vienojoties ar komisāru. Jebkurš saglabātais materiāls komisāram jāpadara pieejams pēc viņa pieprasījuma.</w:t>
      </w:r>
    </w:p>
    <w:p w14:paraId="7A58CF7B" w14:textId="0206BEBC"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4.32. Drošības pasākumi, kas noteikti 4.28.–4.31. punktā, attiecas arī uz 8. panta 4. punktā minēto materiālu (skat. 6. nodaļu), kas atlasīts pārbaudei un ir uzskatāms par konfidenciālu informāciju.</w:t>
      </w:r>
    </w:p>
    <w:p w14:paraId="224AFE0F" w14:textId="77777777" w:rsidR="00E4480D" w:rsidRPr="008D031E" w:rsidRDefault="00E4480D" w:rsidP="001F1E46">
      <w:pPr>
        <w:pStyle w:val="JuQuot"/>
        <w:widowControl w:val="0"/>
        <w:spacing w:before="0" w:after="0"/>
        <w:ind w:left="284" w:firstLine="0"/>
        <w:rPr>
          <w:rFonts w:ascii="Times New Roman" w:hAnsi="Times New Roman"/>
          <w:noProof/>
          <w:sz w:val="24"/>
          <w:lang w:val="en-US"/>
        </w:rPr>
      </w:pPr>
    </w:p>
    <w:p w14:paraId="3C1C917A" w14:textId="77777777"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w:t>
      </w:r>
    </w:p>
    <w:p w14:paraId="764A72BD" w14:textId="77777777" w:rsidR="00E4480D" w:rsidRPr="008D031E" w:rsidRDefault="00E4480D" w:rsidP="001F1E46">
      <w:pPr>
        <w:pStyle w:val="JuQuot"/>
        <w:widowControl w:val="0"/>
        <w:spacing w:before="0" w:after="0"/>
        <w:ind w:left="284" w:firstLine="0"/>
        <w:rPr>
          <w:rFonts w:ascii="Times New Roman" w:hAnsi="Times New Roman"/>
          <w:noProof/>
          <w:sz w:val="24"/>
          <w:lang w:val="en-US"/>
        </w:rPr>
      </w:pPr>
    </w:p>
    <w:p w14:paraId="2F05CF76" w14:textId="5E63D4D4"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lastRenderedPageBreak/>
        <w:t>6. PĀRTVERŠANAS ORDERI (8. PANTA 4. PUNKTS)</w:t>
      </w:r>
    </w:p>
    <w:p w14:paraId="03286612" w14:textId="77777777" w:rsidR="00E4480D" w:rsidRPr="008D031E" w:rsidRDefault="00E4480D" w:rsidP="001F1E46">
      <w:pPr>
        <w:pStyle w:val="JuQuot"/>
        <w:widowControl w:val="0"/>
        <w:spacing w:before="0" w:after="0"/>
        <w:ind w:left="284" w:firstLine="0"/>
        <w:rPr>
          <w:rFonts w:ascii="Times New Roman" w:hAnsi="Times New Roman"/>
          <w:noProof/>
          <w:sz w:val="24"/>
          <w:lang w:val="en-US"/>
        </w:rPr>
      </w:pPr>
    </w:p>
    <w:p w14:paraId="7AE2ED51" w14:textId="78C1F837" w:rsidR="00E4480D"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6.1. Šī iedaļa attiecas uz ārējo sakaru pārtveršanu atbilstoši </w:t>
      </w:r>
      <w:r>
        <w:rPr>
          <w:rFonts w:ascii="Times New Roman" w:hAnsi="Times New Roman"/>
          <w:i/>
          <w:iCs/>
          <w:sz w:val="24"/>
        </w:rPr>
        <w:t>RIPA</w:t>
      </w:r>
      <w:r>
        <w:rPr>
          <w:rFonts w:ascii="Times New Roman" w:hAnsi="Times New Roman"/>
          <w:sz w:val="24"/>
        </w:rPr>
        <w:t xml:space="preserve"> 8. panta 4. punktā noteiktajam orderim.</w:t>
      </w:r>
    </w:p>
    <w:p w14:paraId="6A02074B" w14:textId="22B9AE06" w:rsidR="00E4480D"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6.2. Atšķirībā no 8. panta 1. punktā minētā, 8. panta 4. punktā noteiktajā orderī nav jānosauc vai jāraksturo pārtveršanas subjekts vai jānorāda telpas, attiecībā uz kurām veicama pārtveršana. Tāpat 8. panta 4. punkts neuzliek par pienākumu ierobežot to ārējo sakaru apjomu, kas var tikt pārtverti. Piemēram, ja ir izpildītas 8. panta 4. un 5. punktā noteiktās prasības, principā var likumīgi atļaut pārtvert visus sakarus, ko pārraida pa kādu konkrētu maršrutu vai kabeli vai </w:t>
      </w:r>
      <w:proofErr w:type="spellStart"/>
      <w:r>
        <w:rPr>
          <w:rFonts w:ascii="Times New Roman" w:hAnsi="Times New Roman"/>
          <w:sz w:val="24"/>
        </w:rPr>
        <w:t>nosūta</w:t>
      </w:r>
      <w:proofErr w:type="spellEnd"/>
      <w:r>
        <w:rPr>
          <w:rFonts w:ascii="Times New Roman" w:hAnsi="Times New Roman"/>
          <w:sz w:val="24"/>
        </w:rPr>
        <w:t xml:space="preserve"> kāds konkrēts </w:t>
      </w:r>
      <w:proofErr w:type="spellStart"/>
      <w:r>
        <w:rPr>
          <w:rFonts w:ascii="Times New Roman" w:hAnsi="Times New Roman"/>
          <w:sz w:val="24"/>
        </w:rPr>
        <w:t>SPS</w:t>
      </w:r>
      <w:proofErr w:type="spellEnd"/>
      <w:r>
        <w:rPr>
          <w:rFonts w:ascii="Times New Roman" w:hAnsi="Times New Roman"/>
          <w:sz w:val="24"/>
        </w:rPr>
        <w:t xml:space="preserve">. Minētais liecina par to, ka 8. panta 4. punktā noteiktā pārtveršana izpaužas kā spēja vākt </w:t>
      </w:r>
      <w:proofErr w:type="spellStart"/>
      <w:r>
        <w:rPr>
          <w:rFonts w:ascii="Times New Roman" w:hAnsi="Times New Roman"/>
          <w:sz w:val="24"/>
        </w:rPr>
        <w:t>izlūkdatus</w:t>
      </w:r>
      <w:proofErr w:type="spellEnd"/>
      <w:r>
        <w:rPr>
          <w:rFonts w:ascii="Times New Roman" w:hAnsi="Times New Roman"/>
          <w:sz w:val="24"/>
        </w:rPr>
        <w:t>, savukārt 8. panta 1. punktā noteiktā pārtveršana galvenokārt ir izmeklēšanas līdzeklis, ko izmanto, tiklīdz ir identificēts konkrētais pārtveršanas subjekts.</w:t>
      </w:r>
    </w:p>
    <w:p w14:paraId="031E9037" w14:textId="7A269F12"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6.3. Par pārtveršanas orderu izdošanu saskaņā ar </w:t>
      </w:r>
      <w:r>
        <w:rPr>
          <w:rFonts w:ascii="Times New Roman" w:hAnsi="Times New Roman"/>
          <w:i/>
          <w:iCs/>
          <w:sz w:val="24"/>
        </w:rPr>
        <w:t>RIPA</w:t>
      </w:r>
      <w:r>
        <w:rPr>
          <w:rFonts w:ascii="Times New Roman" w:hAnsi="Times New Roman"/>
          <w:sz w:val="24"/>
        </w:rPr>
        <w:t xml:space="preserve"> 8. panta 4. punktu ir atbildīgs valsts sekretārs. Kad valsts sekretārs izdod šāda veida orderi, tam ir jāpievieno apliecinājums. Šis apliecinājums nodrošina, ka atlasīšanas process pārtvertajam materiālam tiek piemērots tādējādi, ka attiecīgajām personām pārbaudei ir pieejams vienīgi apliecinājumā raksturotais materiāls. Ja pārtverto materiālu nevar atlasīt, lai to lasītu, aplūkotu vai klausītos, ņemot vērā samērīgumu un apliecinājumā minētos nosacījumus, šo materiālu nav atļauts lasīt, aplūkot vai klausīties nevienai personai.</w:t>
      </w:r>
    </w:p>
    <w:p w14:paraId="44D34130" w14:textId="77777777" w:rsidR="00E4480D" w:rsidRPr="008D031E" w:rsidRDefault="00E4480D" w:rsidP="001F1E46">
      <w:pPr>
        <w:pStyle w:val="JuQuot"/>
        <w:widowControl w:val="0"/>
        <w:spacing w:before="0" w:after="0"/>
        <w:ind w:left="284" w:firstLine="0"/>
        <w:rPr>
          <w:rFonts w:ascii="Times New Roman" w:hAnsi="Times New Roman"/>
          <w:noProof/>
          <w:sz w:val="24"/>
          <w:lang w:val="en-US"/>
        </w:rPr>
      </w:pPr>
    </w:p>
    <w:p w14:paraId="468F4BA5" w14:textId="77777777" w:rsidR="000E3283" w:rsidRDefault="000E3283" w:rsidP="001F1E46">
      <w:pPr>
        <w:pStyle w:val="JuQuot"/>
        <w:widowControl w:val="0"/>
        <w:spacing w:before="0" w:after="0"/>
        <w:ind w:left="284" w:firstLine="0"/>
        <w:rPr>
          <w:rFonts w:ascii="Times New Roman" w:hAnsi="Times New Roman"/>
          <w:b/>
          <w:noProof/>
          <w:sz w:val="24"/>
        </w:rPr>
      </w:pPr>
      <w:r>
        <w:rPr>
          <w:rFonts w:ascii="Times New Roman" w:hAnsi="Times New Roman"/>
          <w:b/>
          <w:sz w:val="24"/>
        </w:rPr>
        <w:t>8. panta 4. punktā noteiktā pārtveršana praksē</w:t>
      </w:r>
    </w:p>
    <w:p w14:paraId="4B75A14C" w14:textId="77777777" w:rsidR="00E4480D" w:rsidRPr="008D031E" w:rsidRDefault="00E4480D" w:rsidP="001F1E46">
      <w:pPr>
        <w:pStyle w:val="JuQuot"/>
        <w:widowControl w:val="0"/>
        <w:spacing w:before="0" w:after="0"/>
        <w:ind w:left="284" w:firstLine="0"/>
        <w:rPr>
          <w:rFonts w:ascii="Times New Roman" w:hAnsi="Times New Roman"/>
          <w:b/>
          <w:noProof/>
          <w:sz w:val="24"/>
          <w:lang w:val="en-US"/>
        </w:rPr>
      </w:pPr>
    </w:p>
    <w:p w14:paraId="0255E598" w14:textId="4ED6E49A"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6.4. Saskaņā ar 8. panta 4. punktā noteikto orderi atļauts pārtvert ārējos sakarus. Ja atbilstoši 8. panta 4. punktā noteiktajam orderim iegūts liels sakaru apjoms, pārtveršanas aģentūra parasti piemēro filtrēšanas procesu, lai automātiski atmestu sakarus, kuriem, visticamāk, nebūs izlūkošanas vērtības. Pārtveršanas aģentūras pilnvarotās personas pēc tam var piemērot meklēšanas kritērijus, lai atlasītu sakarus, kuriem, visticamāk, būs izlūkošanas vērtība, ņemot vērā valsts sekretāra izdotajā apliecinājumā minētos nosacījumus. Pirms pārtveršanas aģentūras pilnvarotā persona var piekļūt konkrētiem sakariem, attiecīgajai personai ir jāpaskaidro, kāpēc tas ir nepieciešams kādam no valsts sekretāra izdotajam orderim pievienotajā apliecinājumā norādītajiem iemesliem un kāpēc šāda rīcība konkrētajos apstākļos ir samērīga. Šis process ir pakļauts iekšējam auditam un ārējai pārraudzībai, ko veic komisārs sakaru pārtveršanas jautājumos. Ja valsts sekretārs(-e) uzskata, ka tas ir nepieciešams, viņš vai viņa var atļaut atlasīt tās personas sakarus, par kuru zināms, ka tā atrodas Britu salās. Ja šāda atļauja nav dota, pilnvarotā persona nedrīkst atlasīt šos sakarus.</w:t>
      </w:r>
    </w:p>
    <w:p w14:paraId="2E342BB6" w14:textId="77777777" w:rsidR="00E4480D" w:rsidRPr="008D031E" w:rsidRDefault="00E4480D" w:rsidP="001F1E46">
      <w:pPr>
        <w:pStyle w:val="JuQuot"/>
        <w:widowControl w:val="0"/>
        <w:spacing w:before="0" w:after="0"/>
        <w:ind w:left="284" w:firstLine="0"/>
        <w:rPr>
          <w:rFonts w:ascii="Times New Roman" w:hAnsi="Times New Roman"/>
          <w:noProof/>
          <w:sz w:val="24"/>
          <w:lang w:val="en-US"/>
        </w:rPr>
      </w:pPr>
    </w:p>
    <w:p w14:paraId="3455AADF" w14:textId="77777777" w:rsidR="000E3283" w:rsidRDefault="000E3283" w:rsidP="001F1E46">
      <w:pPr>
        <w:pStyle w:val="JuQuot"/>
        <w:widowControl w:val="0"/>
        <w:spacing w:before="0" w:after="0"/>
        <w:ind w:left="284" w:firstLine="0"/>
        <w:rPr>
          <w:rFonts w:ascii="Times New Roman" w:hAnsi="Times New Roman"/>
          <w:b/>
          <w:noProof/>
          <w:sz w:val="24"/>
        </w:rPr>
      </w:pPr>
      <w:r>
        <w:rPr>
          <w:rFonts w:ascii="Times New Roman" w:hAnsi="Times New Roman"/>
          <w:b/>
          <w:sz w:val="24"/>
        </w:rPr>
        <w:t>Ārējo sakaru definīcija</w:t>
      </w:r>
    </w:p>
    <w:p w14:paraId="42DB544E" w14:textId="77777777" w:rsidR="00E4480D" w:rsidRPr="008D031E" w:rsidRDefault="00E4480D" w:rsidP="001F1E46">
      <w:pPr>
        <w:pStyle w:val="JuQuot"/>
        <w:widowControl w:val="0"/>
        <w:spacing w:before="0" w:after="0"/>
        <w:ind w:left="284" w:firstLine="0"/>
        <w:rPr>
          <w:rFonts w:ascii="Times New Roman" w:hAnsi="Times New Roman"/>
          <w:b/>
          <w:noProof/>
          <w:sz w:val="24"/>
          <w:lang w:val="en-US"/>
        </w:rPr>
      </w:pPr>
    </w:p>
    <w:p w14:paraId="5588FEC3" w14:textId="74453B45"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6.5. Ārējie sakari ir definēti </w:t>
      </w:r>
      <w:r>
        <w:rPr>
          <w:rFonts w:ascii="Times New Roman" w:hAnsi="Times New Roman"/>
          <w:i/>
          <w:iCs/>
          <w:sz w:val="24"/>
        </w:rPr>
        <w:t>RIPA</w:t>
      </w:r>
      <w:r>
        <w:rPr>
          <w:rFonts w:ascii="Times New Roman" w:hAnsi="Times New Roman"/>
          <w:sz w:val="24"/>
        </w:rPr>
        <w:t xml:space="preserve"> kā saziņu saturs, ko </w:t>
      </w:r>
      <w:proofErr w:type="spellStart"/>
      <w:r>
        <w:rPr>
          <w:rFonts w:ascii="Times New Roman" w:hAnsi="Times New Roman"/>
          <w:sz w:val="24"/>
        </w:rPr>
        <w:t>nosūta</w:t>
      </w:r>
      <w:proofErr w:type="spellEnd"/>
      <w:r>
        <w:rPr>
          <w:rFonts w:ascii="Times New Roman" w:hAnsi="Times New Roman"/>
          <w:sz w:val="24"/>
        </w:rPr>
        <w:t xml:space="preserve"> vai saņem ārpus Britu salām. Tas ietver ārpus Britu salām nosūtīto un saņemto saziņu saturu neatkarīgi no tā, vai pārraides brīdī tas šķērso Britu salas. Tomēr tas neietver Britu salās nosūtīto un saņemto saziņu saturu, pat ja tā pārraides gaitā tas šķērso Britu salas. Piemēram, e-pasta ziņojums, ko kāda persona Londonā </w:t>
      </w:r>
      <w:proofErr w:type="spellStart"/>
      <w:r>
        <w:rPr>
          <w:rFonts w:ascii="Times New Roman" w:hAnsi="Times New Roman"/>
          <w:sz w:val="24"/>
        </w:rPr>
        <w:t>nosūta</w:t>
      </w:r>
      <w:proofErr w:type="spellEnd"/>
      <w:r>
        <w:rPr>
          <w:rFonts w:ascii="Times New Roman" w:hAnsi="Times New Roman"/>
          <w:sz w:val="24"/>
        </w:rPr>
        <w:t xml:space="preserve"> kādai citai personai Birmingemā, </w:t>
      </w:r>
      <w:r>
        <w:rPr>
          <w:rFonts w:ascii="Times New Roman" w:hAnsi="Times New Roman"/>
          <w:i/>
          <w:iCs/>
          <w:sz w:val="24"/>
        </w:rPr>
        <w:t>RIPA</w:t>
      </w:r>
      <w:r>
        <w:rPr>
          <w:rFonts w:ascii="Times New Roman" w:hAnsi="Times New Roman"/>
          <w:sz w:val="24"/>
        </w:rPr>
        <w:t xml:space="preserve"> 20. panta izpratnē būs iekšēji, nevis ārēji sakari neatkarīgi no tā, vai tie tiek maršrutēti caur </w:t>
      </w:r>
      <w:proofErr w:type="spellStart"/>
      <w:r>
        <w:rPr>
          <w:rFonts w:ascii="Times New Roman" w:hAnsi="Times New Roman"/>
          <w:sz w:val="24"/>
        </w:rPr>
        <w:t>IP</w:t>
      </w:r>
      <w:proofErr w:type="spellEnd"/>
      <w:r>
        <w:rPr>
          <w:rFonts w:ascii="Times New Roman" w:hAnsi="Times New Roman"/>
          <w:sz w:val="24"/>
        </w:rPr>
        <w:t xml:space="preserve"> adresēm ārpus Britu salām, jo sūtītājs un paredzētais saņēmējs atrodas Britu salās.</w:t>
      </w:r>
    </w:p>
    <w:p w14:paraId="1E640143" w14:textId="77777777" w:rsidR="00E4480D" w:rsidRPr="008D031E" w:rsidRDefault="00E4480D" w:rsidP="001F1E46">
      <w:pPr>
        <w:pStyle w:val="JuQuot"/>
        <w:widowControl w:val="0"/>
        <w:spacing w:before="0" w:after="0"/>
        <w:ind w:left="284" w:firstLine="0"/>
        <w:rPr>
          <w:rFonts w:ascii="Times New Roman" w:hAnsi="Times New Roman"/>
          <w:noProof/>
          <w:sz w:val="24"/>
          <w:lang w:val="en-US"/>
        </w:rPr>
      </w:pPr>
    </w:p>
    <w:p w14:paraId="03A24FD7" w14:textId="77777777" w:rsidR="000E3283" w:rsidRDefault="000E3283" w:rsidP="00F863AD">
      <w:pPr>
        <w:pStyle w:val="JuQuot"/>
        <w:keepNext/>
        <w:keepLines/>
        <w:widowControl w:val="0"/>
        <w:spacing w:before="0" w:after="0"/>
        <w:ind w:left="284" w:firstLine="0"/>
        <w:rPr>
          <w:rFonts w:ascii="Times New Roman" w:hAnsi="Times New Roman"/>
          <w:b/>
          <w:noProof/>
          <w:sz w:val="24"/>
        </w:rPr>
      </w:pPr>
      <w:r>
        <w:rPr>
          <w:rFonts w:ascii="Times New Roman" w:hAnsi="Times New Roman"/>
          <w:b/>
          <w:sz w:val="24"/>
        </w:rPr>
        <w:lastRenderedPageBreak/>
        <w:t>Tādu sakaru pārtveršana atbilstoši 8. panta 4. punktā noteiktajiem orderiem, kas nav ārēji sakari</w:t>
      </w:r>
    </w:p>
    <w:p w14:paraId="43368787" w14:textId="77777777" w:rsidR="00E4480D" w:rsidRPr="008D031E" w:rsidRDefault="00E4480D" w:rsidP="00F863AD">
      <w:pPr>
        <w:pStyle w:val="JuQuot"/>
        <w:keepNext/>
        <w:keepLines/>
        <w:widowControl w:val="0"/>
        <w:spacing w:before="0" w:after="0"/>
        <w:ind w:left="284" w:firstLine="0"/>
        <w:rPr>
          <w:rFonts w:ascii="Times New Roman" w:hAnsi="Times New Roman"/>
          <w:b/>
          <w:noProof/>
          <w:sz w:val="24"/>
          <w:lang w:val="en-US"/>
        </w:rPr>
      </w:pPr>
    </w:p>
    <w:p w14:paraId="65102FCA" w14:textId="22801776" w:rsidR="00E4480D" w:rsidRPr="008D031E" w:rsidRDefault="000E3283" w:rsidP="00F863AD">
      <w:pPr>
        <w:pStyle w:val="JuQuot"/>
        <w:keepNext/>
        <w:keepLines/>
        <w:widowControl w:val="0"/>
        <w:spacing w:before="0" w:after="0"/>
        <w:ind w:left="284"/>
        <w:rPr>
          <w:rFonts w:ascii="Times New Roman" w:hAnsi="Times New Roman"/>
          <w:noProof/>
          <w:sz w:val="24"/>
        </w:rPr>
      </w:pPr>
      <w:r>
        <w:rPr>
          <w:rFonts w:ascii="Times New Roman" w:hAnsi="Times New Roman"/>
          <w:sz w:val="24"/>
        </w:rPr>
        <w:t xml:space="preserve">6.6. No </w:t>
      </w:r>
      <w:r>
        <w:rPr>
          <w:rFonts w:ascii="Times New Roman" w:hAnsi="Times New Roman"/>
          <w:i/>
          <w:iCs/>
          <w:sz w:val="24"/>
        </w:rPr>
        <w:t>RIPA</w:t>
      </w:r>
      <w:r>
        <w:rPr>
          <w:rFonts w:ascii="Times New Roman" w:hAnsi="Times New Roman"/>
          <w:sz w:val="24"/>
        </w:rPr>
        <w:t xml:space="preserve"> 5. panta 6. punkta a) apakšpunkta skaidri izriet, ka rīcība, kas atļauta atbilstoši 8. panta 4. punktā noteiktajam orderim, principā var ietvert tādu sakaru pārtveršanu, kas nav ārēji sakari, ciktāl tas ir nepieciešams, lai pārtvertu ārējos sakarus, uz kuriem attiecas orderis.</w:t>
      </w:r>
    </w:p>
    <w:p w14:paraId="4721D465" w14:textId="162786EA"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6.7. Veicot pārtveršanu atbilstoši 8. panta 4. punktā noteiktajam orderim, pārtveršanas aģentūrai ir jāizmanto savas zināšanas par veidu, kādā tiek maršrutēti starptautiskie sakari, kā arī regulāri jāpārbauda attiecīgie sakaru kanāli, lai apzinātu tos individuālos sakaru nesējus, kuri, visticamāk, saturēs ārējos sakarus, kas atbildīs valsts sekretāra apliecinātajiem materiāla aprakstiem saskaņā ar 8. panta 4. punktu. Tai arī jāveic pārtveršana tā, lai ierobežotu tādu sakaru apkopošanu, kas nav ārēji sakari, līdz minimumam, kas atbilst nepieciešamo ārējo sakaru pārtveršanas mērķim.</w:t>
      </w:r>
    </w:p>
    <w:p w14:paraId="3068EDA8" w14:textId="77777777" w:rsidR="00E4480D" w:rsidRPr="008D031E" w:rsidRDefault="00E4480D" w:rsidP="001F1E46">
      <w:pPr>
        <w:pStyle w:val="JuQuot"/>
        <w:widowControl w:val="0"/>
        <w:spacing w:before="0" w:after="0"/>
        <w:ind w:left="284" w:firstLine="0"/>
        <w:rPr>
          <w:rFonts w:ascii="Times New Roman" w:hAnsi="Times New Roman"/>
          <w:noProof/>
          <w:sz w:val="24"/>
          <w:lang w:val="en-US"/>
        </w:rPr>
      </w:pPr>
    </w:p>
    <w:p w14:paraId="77DDEF12" w14:textId="77777777" w:rsidR="000E3283" w:rsidRDefault="000E3283" w:rsidP="001F1E46">
      <w:pPr>
        <w:pStyle w:val="JuQuot"/>
        <w:widowControl w:val="0"/>
        <w:spacing w:before="0" w:after="0"/>
        <w:ind w:left="284" w:firstLine="0"/>
        <w:rPr>
          <w:rFonts w:ascii="Times New Roman" w:hAnsi="Times New Roman"/>
          <w:b/>
          <w:noProof/>
          <w:sz w:val="24"/>
        </w:rPr>
      </w:pPr>
      <w:r>
        <w:rPr>
          <w:rFonts w:ascii="Times New Roman" w:hAnsi="Times New Roman"/>
          <w:b/>
          <w:sz w:val="24"/>
        </w:rPr>
        <w:t>8. panta 4. punktā noteiktā ordera piemērošana</w:t>
      </w:r>
    </w:p>
    <w:p w14:paraId="68278777" w14:textId="77777777" w:rsidR="00E4480D" w:rsidRPr="008D031E" w:rsidRDefault="00E4480D" w:rsidP="001F1E46">
      <w:pPr>
        <w:pStyle w:val="JuQuot"/>
        <w:widowControl w:val="0"/>
        <w:spacing w:before="0" w:after="0"/>
        <w:ind w:left="284" w:firstLine="0"/>
        <w:rPr>
          <w:rFonts w:ascii="Times New Roman" w:hAnsi="Times New Roman"/>
          <w:b/>
          <w:noProof/>
          <w:sz w:val="24"/>
          <w:lang w:val="en-US"/>
        </w:rPr>
      </w:pPr>
    </w:p>
    <w:p w14:paraId="32A68D6B" w14:textId="3E86288C" w:rsidR="00E4480D"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6.8. Pieteikumu ordera saņemšanai iesniedz valsts sekretārs. Izdodot pārtveršanas orderus, tos adresē personai, kura iesniegusi pieteikumu. Šāda ordera mērķis parasti atspoguļos vienu vai vairākas Valsts drošības padomes noteiktās (turpmāk tekstā – “</w:t>
      </w:r>
      <w:proofErr w:type="spellStart"/>
      <w:r>
        <w:rPr>
          <w:rFonts w:ascii="Times New Roman" w:hAnsi="Times New Roman"/>
          <w:i/>
          <w:iCs/>
          <w:sz w:val="24"/>
        </w:rPr>
        <w:t>NSC</w:t>
      </w:r>
      <w:proofErr w:type="spellEnd"/>
      <w:r>
        <w:rPr>
          <w:rFonts w:ascii="Times New Roman" w:hAnsi="Times New Roman"/>
          <w:sz w:val="24"/>
        </w:rPr>
        <w:t>”) izlūkošanas prioritātes.</w:t>
      </w:r>
    </w:p>
    <w:p w14:paraId="2A3E3BBE" w14:textId="3A571F5A" w:rsidR="00E4480D"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6.9. Pirms iesniegšanas katrs pieteikums tiek izskatīts aģentūrā, kas iesniedz pieteikumu. Tas ietver rūpīgu pārbaudi, ko veic vairāk nekā viena amatpersona, kas izvērtēs, vai pieteikums ir paredzēts nolūkam, uz ko attiecas </w:t>
      </w:r>
      <w:r>
        <w:rPr>
          <w:rFonts w:ascii="Times New Roman" w:hAnsi="Times New Roman"/>
          <w:i/>
          <w:iCs/>
          <w:sz w:val="24"/>
        </w:rPr>
        <w:t>RIPA</w:t>
      </w:r>
      <w:r>
        <w:rPr>
          <w:rFonts w:ascii="Times New Roman" w:hAnsi="Times New Roman"/>
          <w:sz w:val="24"/>
        </w:rPr>
        <w:t xml:space="preserve"> 5. panta 3. punkts, un vai ierosinātā pārtveršana ir gan nepieciešama, gan samērīga.</w:t>
      </w:r>
    </w:p>
    <w:p w14:paraId="6D935EE1" w14:textId="3D799617"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6.10. Katrā pieteikumā, kura kopiju saglabā pieteikuma iesniedzējs, jānorāda šāda informācija:</w:t>
      </w:r>
    </w:p>
    <w:p w14:paraId="3947354F" w14:textId="77777777" w:rsidR="00E4480D" w:rsidRPr="008D031E" w:rsidRDefault="00E4480D" w:rsidP="001F1E46">
      <w:pPr>
        <w:pStyle w:val="JuQuot"/>
        <w:widowControl w:val="0"/>
        <w:spacing w:before="0" w:after="0"/>
        <w:ind w:left="284" w:firstLine="0"/>
        <w:rPr>
          <w:rFonts w:ascii="Times New Roman" w:hAnsi="Times New Roman"/>
          <w:noProof/>
          <w:sz w:val="24"/>
          <w:lang w:val="en-US"/>
        </w:rPr>
      </w:pPr>
    </w:p>
    <w:p w14:paraId="49ABDAA5" w14:textId="77777777" w:rsidR="000E3283" w:rsidRPr="008D031E" w:rsidRDefault="000E3283" w:rsidP="001F1E46">
      <w:pPr>
        <w:pStyle w:val="JuQuot"/>
        <w:widowControl w:val="0"/>
        <w:numPr>
          <w:ilvl w:val="0"/>
          <w:numId w:val="14"/>
        </w:numPr>
        <w:spacing w:before="0" w:after="0"/>
        <w:ind w:left="851" w:hanging="284"/>
        <w:rPr>
          <w:rFonts w:ascii="Times New Roman" w:hAnsi="Times New Roman"/>
          <w:noProof/>
          <w:sz w:val="24"/>
        </w:rPr>
      </w:pPr>
      <w:r>
        <w:rPr>
          <w:rFonts w:ascii="Times New Roman" w:hAnsi="Times New Roman"/>
          <w:sz w:val="24"/>
        </w:rPr>
        <w:t>pamatinformācija par attiecīgo operāciju:</w:t>
      </w:r>
    </w:p>
    <w:p w14:paraId="60EFBDFC" w14:textId="77777777" w:rsidR="000E3283" w:rsidRPr="008D031E" w:rsidRDefault="000E3283" w:rsidP="001F1E46">
      <w:pPr>
        <w:pStyle w:val="JuQuot"/>
        <w:widowControl w:val="0"/>
        <w:numPr>
          <w:ilvl w:val="0"/>
          <w:numId w:val="16"/>
        </w:numPr>
        <w:spacing w:before="0" w:after="0"/>
        <w:ind w:left="851" w:hanging="284"/>
        <w:rPr>
          <w:rFonts w:ascii="Times New Roman" w:hAnsi="Times New Roman"/>
          <w:noProof/>
          <w:sz w:val="24"/>
        </w:rPr>
      </w:pPr>
      <w:r>
        <w:rPr>
          <w:rFonts w:ascii="Times New Roman" w:hAnsi="Times New Roman"/>
          <w:sz w:val="24"/>
        </w:rPr>
        <w:t xml:space="preserve">pārtveramo sakaru raksturojums, informācija par </w:t>
      </w:r>
      <w:proofErr w:type="spellStart"/>
      <w:r>
        <w:rPr>
          <w:rFonts w:ascii="Times New Roman" w:hAnsi="Times New Roman"/>
          <w:sz w:val="24"/>
        </w:rPr>
        <w:t>SPS</w:t>
      </w:r>
      <w:proofErr w:type="spellEnd"/>
      <w:r>
        <w:rPr>
          <w:rFonts w:ascii="Times New Roman" w:hAnsi="Times New Roman"/>
          <w:sz w:val="24"/>
        </w:rPr>
        <w:t xml:space="preserve"> un operācijas iespējamības novērtējums, ja tas nepieciešams, un</w:t>
      </w:r>
    </w:p>
    <w:p w14:paraId="685868C7" w14:textId="77777777" w:rsidR="000E3283" w:rsidRPr="008D031E" w:rsidRDefault="000E3283" w:rsidP="001F1E46">
      <w:pPr>
        <w:pStyle w:val="JuQuot"/>
        <w:widowControl w:val="0"/>
        <w:numPr>
          <w:ilvl w:val="0"/>
          <w:numId w:val="16"/>
        </w:numPr>
        <w:spacing w:before="0" w:after="0"/>
        <w:ind w:left="851" w:hanging="284"/>
        <w:rPr>
          <w:rFonts w:ascii="Times New Roman" w:hAnsi="Times New Roman"/>
          <w:noProof/>
          <w:sz w:val="24"/>
        </w:rPr>
      </w:pPr>
      <w:r>
        <w:rPr>
          <w:rFonts w:ascii="Times New Roman" w:hAnsi="Times New Roman"/>
          <w:sz w:val="24"/>
        </w:rPr>
        <w:t xml:space="preserve">atļautās rīcības raksturojums, kas attiecas vienīgi uz ārējo sakaru pārtveršanu, vai tās rīcības raksturojums (tostarp attiecībā uz citu sakaru pārtveršanu, kas orderī nav konkrēti norādīti, kā to paredz </w:t>
      </w:r>
      <w:r>
        <w:rPr>
          <w:rFonts w:ascii="Times New Roman" w:hAnsi="Times New Roman"/>
          <w:i/>
          <w:iCs/>
          <w:sz w:val="24"/>
        </w:rPr>
        <w:t>RIPA</w:t>
      </w:r>
      <w:r>
        <w:rPr>
          <w:rFonts w:ascii="Times New Roman" w:hAnsi="Times New Roman"/>
          <w:sz w:val="24"/>
        </w:rPr>
        <w:t xml:space="preserve"> 5. panta 6. punkta a) apakšpunkts), kas nepieciešama, lai veiktu orderī atļautos vai noteiktos pasākumus un iegūtu saistītos sakaru datus;</w:t>
      </w:r>
    </w:p>
    <w:p w14:paraId="22B87A47" w14:textId="77777777" w:rsidR="000E3283" w:rsidRPr="008D031E" w:rsidRDefault="000E3283" w:rsidP="001F1E46">
      <w:pPr>
        <w:pStyle w:val="JuQuot"/>
        <w:widowControl w:val="0"/>
        <w:numPr>
          <w:ilvl w:val="0"/>
          <w:numId w:val="15"/>
        </w:numPr>
        <w:spacing w:before="0" w:after="0"/>
        <w:ind w:left="851" w:hanging="284"/>
        <w:rPr>
          <w:rFonts w:ascii="Times New Roman" w:hAnsi="Times New Roman"/>
          <w:noProof/>
          <w:sz w:val="24"/>
        </w:rPr>
      </w:pPr>
      <w:r>
        <w:rPr>
          <w:rFonts w:ascii="Times New Roman" w:hAnsi="Times New Roman"/>
          <w:sz w:val="24"/>
        </w:rPr>
        <w:t>apliecinājums, kas regulēs pārtvertā materiāla pārbaudi;</w:t>
      </w:r>
    </w:p>
    <w:p w14:paraId="1A37C36C" w14:textId="77777777" w:rsidR="000E3283" w:rsidRPr="008D031E" w:rsidRDefault="000E3283" w:rsidP="001F1E46">
      <w:pPr>
        <w:pStyle w:val="JuQuot"/>
        <w:widowControl w:val="0"/>
        <w:numPr>
          <w:ilvl w:val="0"/>
          <w:numId w:val="15"/>
        </w:numPr>
        <w:spacing w:before="0" w:after="0"/>
        <w:ind w:left="851" w:hanging="284"/>
        <w:rPr>
          <w:rFonts w:ascii="Times New Roman" w:hAnsi="Times New Roman"/>
          <w:noProof/>
          <w:sz w:val="24"/>
        </w:rPr>
      </w:pPr>
      <w:r>
        <w:rPr>
          <w:rFonts w:ascii="Times New Roman" w:hAnsi="Times New Roman"/>
          <w:sz w:val="24"/>
        </w:rPr>
        <w:t>paskaidrojums par to, kādēļ pārtveršana uzskatāma par nepieciešamu vienam vai vairākiem 5. panta 3. punktā noteiktajiem nolūkiem;</w:t>
      </w:r>
    </w:p>
    <w:p w14:paraId="6850C09A" w14:textId="77777777" w:rsidR="000E3283" w:rsidRPr="008D031E" w:rsidRDefault="000E3283" w:rsidP="001F1E46">
      <w:pPr>
        <w:pStyle w:val="JuQuot"/>
        <w:widowControl w:val="0"/>
        <w:numPr>
          <w:ilvl w:val="0"/>
          <w:numId w:val="15"/>
        </w:numPr>
        <w:spacing w:before="0" w:after="0"/>
        <w:ind w:left="851" w:hanging="284"/>
        <w:rPr>
          <w:rFonts w:ascii="Times New Roman" w:hAnsi="Times New Roman"/>
          <w:noProof/>
          <w:sz w:val="24"/>
        </w:rPr>
      </w:pPr>
      <w:proofErr w:type="spellStart"/>
      <w:r>
        <w:rPr>
          <w:rFonts w:ascii="Times New Roman" w:hAnsi="Times New Roman"/>
          <w:sz w:val="24"/>
        </w:rPr>
        <w:t>izvērtējums</w:t>
      </w:r>
      <w:proofErr w:type="spellEnd"/>
      <w:r>
        <w:rPr>
          <w:rFonts w:ascii="Times New Roman" w:hAnsi="Times New Roman"/>
          <w:sz w:val="24"/>
        </w:rPr>
        <w:t xml:space="preserve"> par to, kādēļ atbilstoši orderim atļautā pārtveršana ir samērīga ar šīs rīcības mērķi;</w:t>
      </w:r>
    </w:p>
    <w:p w14:paraId="7CF9C0E3" w14:textId="77777777" w:rsidR="000E3283" w:rsidRPr="008D031E" w:rsidRDefault="000E3283" w:rsidP="001F1E46">
      <w:pPr>
        <w:pStyle w:val="JuQuot"/>
        <w:widowControl w:val="0"/>
        <w:numPr>
          <w:ilvl w:val="0"/>
          <w:numId w:val="15"/>
        </w:numPr>
        <w:spacing w:before="0" w:after="0"/>
        <w:ind w:left="851" w:hanging="284"/>
        <w:rPr>
          <w:rFonts w:ascii="Times New Roman" w:hAnsi="Times New Roman"/>
          <w:noProof/>
          <w:sz w:val="24"/>
        </w:rPr>
      </w:pPr>
      <w:r>
        <w:rPr>
          <w:rFonts w:ascii="Times New Roman" w:hAnsi="Times New Roman"/>
          <w:sz w:val="24"/>
        </w:rPr>
        <w:t>pamatojums, ka pieteikums ir steidzams;</w:t>
      </w:r>
    </w:p>
    <w:p w14:paraId="1469C8B7" w14:textId="77777777" w:rsidR="000E3283" w:rsidRPr="008D031E" w:rsidRDefault="000E3283" w:rsidP="001F1E46">
      <w:pPr>
        <w:pStyle w:val="JuQuot"/>
        <w:widowControl w:val="0"/>
        <w:numPr>
          <w:ilvl w:val="0"/>
          <w:numId w:val="15"/>
        </w:numPr>
        <w:spacing w:before="0" w:after="0"/>
        <w:ind w:left="851" w:hanging="284"/>
        <w:rPr>
          <w:rFonts w:ascii="Times New Roman" w:hAnsi="Times New Roman"/>
          <w:noProof/>
          <w:sz w:val="24"/>
        </w:rPr>
      </w:pPr>
      <w:r>
        <w:rPr>
          <w:rFonts w:ascii="Times New Roman" w:hAnsi="Times New Roman"/>
          <w:sz w:val="24"/>
        </w:rPr>
        <w:t xml:space="preserve">apstiprinājums, ka attiecīgās personas lasīs, aplūkos vai klausīsies vienīgi to pārtverto materiālu, kas ir apliecināts un atbilst </w:t>
      </w:r>
      <w:r>
        <w:rPr>
          <w:rFonts w:ascii="Times New Roman" w:hAnsi="Times New Roman"/>
          <w:i/>
          <w:iCs/>
          <w:sz w:val="24"/>
        </w:rPr>
        <w:t>RIPA</w:t>
      </w:r>
      <w:r>
        <w:rPr>
          <w:rFonts w:ascii="Times New Roman" w:hAnsi="Times New Roman"/>
          <w:sz w:val="24"/>
        </w:rPr>
        <w:t xml:space="preserve"> 16. panta 2.–6. punktā minētajiem nosacījumiem, un</w:t>
      </w:r>
    </w:p>
    <w:p w14:paraId="3945DEE3" w14:textId="77777777" w:rsidR="000E3283" w:rsidRDefault="000E3283" w:rsidP="001F1E46">
      <w:pPr>
        <w:pStyle w:val="JuQuot"/>
        <w:widowControl w:val="0"/>
        <w:numPr>
          <w:ilvl w:val="0"/>
          <w:numId w:val="15"/>
        </w:numPr>
        <w:spacing w:before="0" w:after="0"/>
        <w:ind w:left="851" w:hanging="284"/>
        <w:rPr>
          <w:rFonts w:ascii="Times New Roman" w:hAnsi="Times New Roman"/>
          <w:noProof/>
          <w:sz w:val="24"/>
        </w:rPr>
      </w:pPr>
      <w:r>
        <w:rPr>
          <w:rFonts w:ascii="Times New Roman" w:hAnsi="Times New Roman"/>
          <w:sz w:val="24"/>
        </w:rPr>
        <w:t xml:space="preserve">apstiprinājums, ka viss pārtvertais materiāls tiks apstrādāts saskaņā ar drošības pasākumiem, ko paredz </w:t>
      </w:r>
      <w:r>
        <w:rPr>
          <w:rFonts w:ascii="Times New Roman" w:hAnsi="Times New Roman"/>
          <w:i/>
          <w:iCs/>
          <w:sz w:val="24"/>
        </w:rPr>
        <w:t>RIPA</w:t>
      </w:r>
      <w:r>
        <w:rPr>
          <w:rFonts w:ascii="Times New Roman" w:hAnsi="Times New Roman"/>
          <w:sz w:val="24"/>
        </w:rPr>
        <w:t xml:space="preserve"> 15. un 16. pants (skat. attiecīgi 7.2. un 7.10. punktu).</w:t>
      </w:r>
    </w:p>
    <w:p w14:paraId="4F138C08" w14:textId="77777777" w:rsidR="004B5598" w:rsidRPr="008D031E" w:rsidRDefault="004B5598" w:rsidP="001F1E46">
      <w:pPr>
        <w:pStyle w:val="JuQuot"/>
        <w:widowControl w:val="0"/>
        <w:spacing w:before="0" w:after="0"/>
        <w:ind w:left="851" w:firstLine="0"/>
        <w:rPr>
          <w:rFonts w:ascii="Times New Roman" w:hAnsi="Times New Roman"/>
          <w:noProof/>
          <w:sz w:val="24"/>
          <w:lang w:val="en-US"/>
        </w:rPr>
      </w:pPr>
    </w:p>
    <w:p w14:paraId="48846C1A" w14:textId="77777777" w:rsidR="000E3283" w:rsidRDefault="000E3283" w:rsidP="00F863AD">
      <w:pPr>
        <w:pStyle w:val="JuQuot"/>
        <w:keepNext/>
        <w:keepLines/>
        <w:widowControl w:val="0"/>
        <w:spacing w:before="0" w:after="0"/>
        <w:ind w:left="284" w:firstLine="0"/>
        <w:rPr>
          <w:rFonts w:ascii="Times New Roman" w:hAnsi="Times New Roman"/>
          <w:b/>
          <w:noProof/>
          <w:sz w:val="24"/>
        </w:rPr>
      </w:pPr>
      <w:r>
        <w:rPr>
          <w:rFonts w:ascii="Times New Roman" w:hAnsi="Times New Roman"/>
          <w:b/>
          <w:sz w:val="24"/>
        </w:rPr>
        <w:lastRenderedPageBreak/>
        <w:t>Atļauja izdot 8. panta 4. punktā noteikto orderi</w:t>
      </w:r>
    </w:p>
    <w:p w14:paraId="471BB0DD" w14:textId="77777777" w:rsidR="004B5598" w:rsidRPr="008D031E" w:rsidRDefault="004B5598" w:rsidP="00F863AD">
      <w:pPr>
        <w:pStyle w:val="JuQuot"/>
        <w:keepNext/>
        <w:keepLines/>
        <w:widowControl w:val="0"/>
        <w:spacing w:before="0" w:after="0"/>
        <w:ind w:left="284" w:firstLine="0"/>
        <w:rPr>
          <w:rFonts w:ascii="Times New Roman" w:hAnsi="Times New Roman"/>
          <w:b/>
          <w:noProof/>
          <w:sz w:val="24"/>
          <w:lang w:val="en-US"/>
        </w:rPr>
      </w:pPr>
    </w:p>
    <w:p w14:paraId="1B33FFC8" w14:textId="4B2F6C59" w:rsidR="000E3283" w:rsidRDefault="000E3283" w:rsidP="00F863AD">
      <w:pPr>
        <w:pStyle w:val="JuQuot"/>
        <w:keepNext/>
        <w:keepLines/>
        <w:widowControl w:val="0"/>
        <w:spacing w:before="0" w:after="0"/>
        <w:ind w:left="284"/>
        <w:rPr>
          <w:rFonts w:ascii="Times New Roman" w:hAnsi="Times New Roman"/>
          <w:noProof/>
          <w:sz w:val="24"/>
        </w:rPr>
      </w:pPr>
      <w:r>
        <w:rPr>
          <w:rFonts w:ascii="Times New Roman" w:hAnsi="Times New Roman"/>
          <w:sz w:val="24"/>
        </w:rPr>
        <w:t>6.11. Pirms ordera izdošanas saskaņā ar 8. panta 4. punktu valsts sekretāram ir jāpārliecinās, ka orderis ir nepieciešams:</w:t>
      </w:r>
    </w:p>
    <w:p w14:paraId="62700EBC" w14:textId="77777777" w:rsidR="004B5598" w:rsidRPr="008D031E" w:rsidRDefault="004B5598" w:rsidP="001F1E46">
      <w:pPr>
        <w:pStyle w:val="JuQuot"/>
        <w:widowControl w:val="0"/>
        <w:spacing w:before="0" w:after="0"/>
        <w:ind w:left="0" w:firstLine="0"/>
        <w:rPr>
          <w:rFonts w:ascii="Times New Roman" w:hAnsi="Times New Roman"/>
          <w:noProof/>
          <w:sz w:val="24"/>
          <w:lang w:val="en-US"/>
        </w:rPr>
      </w:pPr>
    </w:p>
    <w:p w14:paraId="34E8696F" w14:textId="77777777" w:rsidR="000E3283" w:rsidRPr="008D031E" w:rsidRDefault="000E3283" w:rsidP="001F1E46">
      <w:pPr>
        <w:pStyle w:val="JuQuot"/>
        <w:widowControl w:val="0"/>
        <w:numPr>
          <w:ilvl w:val="0"/>
          <w:numId w:val="17"/>
        </w:numPr>
        <w:spacing w:before="0" w:after="0"/>
        <w:ind w:left="851" w:hanging="284"/>
        <w:rPr>
          <w:rFonts w:ascii="Times New Roman" w:hAnsi="Times New Roman"/>
          <w:noProof/>
          <w:sz w:val="24"/>
        </w:rPr>
      </w:pPr>
      <w:r>
        <w:rPr>
          <w:rFonts w:ascii="Times New Roman" w:hAnsi="Times New Roman"/>
          <w:sz w:val="24"/>
        </w:rPr>
        <w:t>valsts drošības interesēs;</w:t>
      </w:r>
    </w:p>
    <w:p w14:paraId="53218FA1" w14:textId="77777777" w:rsidR="000E3283" w:rsidRPr="008D031E" w:rsidRDefault="000E3283" w:rsidP="001F1E46">
      <w:pPr>
        <w:pStyle w:val="JuQuot"/>
        <w:widowControl w:val="0"/>
        <w:numPr>
          <w:ilvl w:val="0"/>
          <w:numId w:val="17"/>
        </w:numPr>
        <w:spacing w:before="0" w:after="0"/>
        <w:ind w:left="851" w:hanging="284"/>
        <w:rPr>
          <w:rFonts w:ascii="Times New Roman" w:hAnsi="Times New Roman"/>
          <w:noProof/>
          <w:sz w:val="24"/>
        </w:rPr>
      </w:pPr>
      <w:r>
        <w:rPr>
          <w:rFonts w:ascii="Times New Roman" w:hAnsi="Times New Roman"/>
          <w:sz w:val="24"/>
        </w:rPr>
        <w:t>smaga nozieguma novēršanai vai atklāšanai vai</w:t>
      </w:r>
    </w:p>
    <w:p w14:paraId="498FF831" w14:textId="77777777" w:rsidR="000E3283" w:rsidRDefault="000E3283" w:rsidP="001F1E46">
      <w:pPr>
        <w:pStyle w:val="JuQuot"/>
        <w:widowControl w:val="0"/>
        <w:numPr>
          <w:ilvl w:val="0"/>
          <w:numId w:val="17"/>
        </w:numPr>
        <w:spacing w:before="0" w:after="0"/>
        <w:ind w:left="851" w:hanging="284"/>
        <w:rPr>
          <w:rFonts w:ascii="Times New Roman" w:hAnsi="Times New Roman"/>
          <w:noProof/>
          <w:sz w:val="24"/>
        </w:rPr>
      </w:pPr>
      <w:r>
        <w:rPr>
          <w:rFonts w:ascii="Times New Roman" w:hAnsi="Times New Roman"/>
          <w:sz w:val="24"/>
        </w:rPr>
        <w:t>Apvienotās Karalistes ekonomiskās labklājības aizsardzībai, ciktāl šīs intereses sasaucas ar valsts drošības interesēm.</w:t>
      </w:r>
    </w:p>
    <w:p w14:paraId="15B467DF" w14:textId="77777777" w:rsidR="00556540" w:rsidRPr="008D031E" w:rsidRDefault="00556540" w:rsidP="001F1E46">
      <w:pPr>
        <w:pStyle w:val="JuQuot"/>
        <w:widowControl w:val="0"/>
        <w:spacing w:before="0" w:after="0"/>
        <w:ind w:left="851" w:firstLine="0"/>
        <w:rPr>
          <w:rFonts w:ascii="Times New Roman" w:hAnsi="Times New Roman"/>
          <w:noProof/>
          <w:sz w:val="24"/>
          <w:lang w:val="en-US"/>
        </w:rPr>
      </w:pPr>
    </w:p>
    <w:p w14:paraId="33314E70" w14:textId="75BFE4E1"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6.12. Pilnvaras izdot pārtveršanas orderi, lai nodrošinātu Apvienotās Karalistes ekonomiskās labklājības aizsardzību (kā to paredz </w:t>
      </w:r>
      <w:r>
        <w:rPr>
          <w:rFonts w:ascii="Times New Roman" w:hAnsi="Times New Roman"/>
          <w:i/>
          <w:iCs/>
          <w:sz w:val="24"/>
        </w:rPr>
        <w:t>RIPA</w:t>
      </w:r>
      <w:r>
        <w:rPr>
          <w:rFonts w:ascii="Times New Roman" w:hAnsi="Times New Roman"/>
          <w:sz w:val="24"/>
        </w:rPr>
        <w:t xml:space="preserve"> 5. panta 3. punkta c) apakšpunkts), var īstenot vienīgi tad, kad valsts sekretāra ieskatā attiecīgie apstākļi atbilst valsts drošības interesēm. Valsts sekretārs neizdos orderi, pamatojoties uz 5. panta 3. punkta c) apakšpunktu, ja netiek konstatēta tieša saikne starp Apvienotās Karalistes ekonomisko labklājību un valsts drošību. Līdz ar to jebkurā pieteikumā ordera izdošanai, pamatojoties uz 5. panta 3. punkta c) apakšpunktu, ir jānorāda apstākļi, kas saistīti ar valsts drošības interesēm.</w:t>
      </w:r>
    </w:p>
    <w:p w14:paraId="059AE1FA" w14:textId="218B99C1"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6.13. Valsts sekretāram arī jāizvērtē, vai atbilstoši orderim atļautā rīcība ir samērīga ar šīs rīcības mērķi (5. panta 2. punkta b) apakšpunkts). Izvērtējot nepieciešamību un samērīgumu, valsts sekretāram ir jāņem vērā, vai nepieciešamo informāciju varētu saprātīgi iegūt ar citiem līdzekļiem (5. panta 4. punkts).</w:t>
      </w:r>
    </w:p>
    <w:p w14:paraId="21DBEBA5" w14:textId="35F06512"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6.14. Kad valsts sekretārs(-e) izdod šāda veida orderi, tam ir jāpievieno apliecinājums, kurā valsts sekretārs(-e) apliecina, ka viņa vai viņas ieskatā pārtvertā materiāla pārbaude ir nepieciešama vienam vai vairākiem 5. panta 3. punktā noteiktajiem nolūkiem. Šā likumā noteiktā apliecinājuma mērķis ir nodrošināt, ka atlasīšanas process pārtvertajam materiālam tiek piemērots tādējādi, ka attiecīgajām personām pārbaudei ir pieejams vienīgi apliecinājumā raksturotais materiāls. Jebkuram apliecinājumam ir plaši jāatspoguļo “</w:t>
      </w:r>
      <w:proofErr w:type="spellStart"/>
      <w:r>
        <w:rPr>
          <w:rFonts w:ascii="Times New Roman" w:hAnsi="Times New Roman"/>
          <w:sz w:val="24"/>
        </w:rPr>
        <w:t>Izlūkdatu</w:t>
      </w:r>
      <w:proofErr w:type="spellEnd"/>
      <w:r>
        <w:rPr>
          <w:rFonts w:ascii="Times New Roman" w:hAnsi="Times New Roman"/>
          <w:sz w:val="24"/>
        </w:rPr>
        <w:t xml:space="preserve"> apkopošanas prioritātes”, ko </w:t>
      </w:r>
      <w:proofErr w:type="spellStart"/>
      <w:r>
        <w:rPr>
          <w:rFonts w:ascii="Times New Roman" w:hAnsi="Times New Roman"/>
          <w:i/>
          <w:iCs/>
          <w:sz w:val="24"/>
        </w:rPr>
        <w:t>NSC</w:t>
      </w:r>
      <w:proofErr w:type="spellEnd"/>
      <w:r>
        <w:rPr>
          <w:rFonts w:ascii="Times New Roman" w:hAnsi="Times New Roman"/>
          <w:sz w:val="24"/>
        </w:rPr>
        <w:t xml:space="preserve"> noteikusi kā vadlīnijas izlūkošanas aģentūrām. Piemēram, apliecinājums var paredzēt tāda materiāla pārbaudi, kas sniedz </w:t>
      </w:r>
      <w:proofErr w:type="spellStart"/>
      <w:r>
        <w:rPr>
          <w:rFonts w:ascii="Times New Roman" w:hAnsi="Times New Roman"/>
          <w:sz w:val="24"/>
        </w:rPr>
        <w:t>izlūkdatus</w:t>
      </w:r>
      <w:proofErr w:type="spellEnd"/>
      <w:r>
        <w:rPr>
          <w:rFonts w:ascii="Times New Roman" w:hAnsi="Times New Roman"/>
          <w:sz w:val="24"/>
        </w:rPr>
        <w:t xml:space="preserve"> par terorismu (kā noteikts 2000. gada Terorisma apkarošanas likumā [</w:t>
      </w:r>
      <w:proofErr w:type="spellStart"/>
      <w:r>
        <w:rPr>
          <w:rFonts w:ascii="Times New Roman" w:hAnsi="Times New Roman"/>
          <w:i/>
          <w:iCs/>
          <w:sz w:val="24"/>
        </w:rPr>
        <w:t>Terrorism</w:t>
      </w:r>
      <w:proofErr w:type="spellEnd"/>
      <w:r>
        <w:rPr>
          <w:rFonts w:ascii="Times New Roman" w:hAnsi="Times New Roman"/>
          <w:i/>
          <w:iCs/>
          <w:sz w:val="24"/>
        </w:rPr>
        <w:t xml:space="preserve"> </w:t>
      </w:r>
      <w:proofErr w:type="spellStart"/>
      <w:r>
        <w:rPr>
          <w:rFonts w:ascii="Times New Roman" w:hAnsi="Times New Roman"/>
          <w:i/>
          <w:iCs/>
          <w:sz w:val="24"/>
        </w:rPr>
        <w:t>Act</w:t>
      </w:r>
      <w:proofErr w:type="spellEnd"/>
      <w:r>
        <w:rPr>
          <w:rFonts w:ascii="Times New Roman" w:hAnsi="Times New Roman"/>
          <w:i/>
          <w:iCs/>
          <w:sz w:val="24"/>
        </w:rPr>
        <w:t xml:space="preserve"> 2000</w:t>
      </w:r>
      <w:r>
        <w:rPr>
          <w:rFonts w:ascii="Times New Roman" w:hAnsi="Times New Roman"/>
          <w:sz w:val="24"/>
        </w:rPr>
        <w:t>]) vai kontrolējamām narkotiskām vielām (kā noteikts 1971. gada Likumā par narkotisko vielu ļaunprātīgu izmantošanu [</w:t>
      </w:r>
      <w:proofErr w:type="spellStart"/>
      <w:r>
        <w:rPr>
          <w:rFonts w:ascii="Times New Roman" w:hAnsi="Times New Roman"/>
          <w:i/>
          <w:iCs/>
          <w:sz w:val="24"/>
        </w:rPr>
        <w:t>Misuse</w:t>
      </w:r>
      <w:proofErr w:type="spellEnd"/>
      <w:r>
        <w:rPr>
          <w:rFonts w:ascii="Times New Roman" w:hAnsi="Times New Roman"/>
          <w:i/>
          <w:iCs/>
          <w:sz w:val="24"/>
        </w:rPr>
        <w:t xml:space="preserve"> </w:t>
      </w:r>
      <w:proofErr w:type="spellStart"/>
      <w:r>
        <w:rPr>
          <w:rFonts w:ascii="Times New Roman" w:hAnsi="Times New Roman"/>
          <w:i/>
          <w:iCs/>
          <w:sz w:val="24"/>
        </w:rPr>
        <w:t>of</w:t>
      </w:r>
      <w:proofErr w:type="spellEnd"/>
      <w:r>
        <w:rPr>
          <w:rFonts w:ascii="Times New Roman" w:hAnsi="Times New Roman"/>
          <w:i/>
          <w:iCs/>
          <w:sz w:val="24"/>
        </w:rPr>
        <w:t xml:space="preserve"> </w:t>
      </w:r>
      <w:proofErr w:type="spellStart"/>
      <w:r>
        <w:rPr>
          <w:rFonts w:ascii="Times New Roman" w:hAnsi="Times New Roman"/>
          <w:i/>
          <w:iCs/>
          <w:sz w:val="24"/>
        </w:rPr>
        <w:t>Drugs</w:t>
      </w:r>
      <w:proofErr w:type="spellEnd"/>
      <w:r>
        <w:rPr>
          <w:rFonts w:ascii="Times New Roman" w:hAnsi="Times New Roman"/>
          <w:i/>
          <w:iCs/>
          <w:sz w:val="24"/>
        </w:rPr>
        <w:t xml:space="preserve"> </w:t>
      </w:r>
      <w:proofErr w:type="spellStart"/>
      <w:r>
        <w:rPr>
          <w:rFonts w:ascii="Times New Roman" w:hAnsi="Times New Roman"/>
          <w:i/>
          <w:iCs/>
          <w:sz w:val="24"/>
        </w:rPr>
        <w:t>Act</w:t>
      </w:r>
      <w:proofErr w:type="spellEnd"/>
      <w:r>
        <w:rPr>
          <w:rFonts w:ascii="Times New Roman" w:hAnsi="Times New Roman"/>
          <w:i/>
          <w:iCs/>
          <w:sz w:val="24"/>
        </w:rPr>
        <w:t xml:space="preserve"> 1971</w:t>
      </w:r>
      <w:r>
        <w:rPr>
          <w:rFonts w:ascii="Times New Roman" w:hAnsi="Times New Roman"/>
          <w:sz w:val="24"/>
        </w:rPr>
        <w:t>]). Komisāram sakaru pārtveršanas jautājumos ir jāizvērtē jebkuras izmaiņas apliecinājumā norādītā materiāla aprakstos.</w:t>
      </w:r>
    </w:p>
    <w:p w14:paraId="0CEBD8C9" w14:textId="6AE585EC"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6.15. Valsts sekretāram ir pienākums nodrošināt, ka ir spēkā pasākumi, kas nodrošina, ka attiecīgās personas faktiski lasa, aplūko un klausās vienīgi materiālu, par ko apliecinājumā norādīts, ka tas ir jāpārbauda 5. panta 3. punktā minētajam nolūkam, un kas atbilst 16. panta 2.–6. punktā norādītajiem nosacījumiem. Komisāram sakaru pārtveršanas jautājumos ir pienākums pārskatīt šo pasākumu atbilstību.</w:t>
      </w:r>
    </w:p>
    <w:p w14:paraId="58642E68" w14:textId="77777777" w:rsidR="005273AA" w:rsidRPr="008D031E" w:rsidRDefault="005273AA" w:rsidP="001F1E46">
      <w:pPr>
        <w:pStyle w:val="JuQuot"/>
        <w:widowControl w:val="0"/>
        <w:spacing w:before="0" w:after="0"/>
        <w:ind w:left="284" w:firstLine="0"/>
        <w:rPr>
          <w:rFonts w:ascii="Times New Roman" w:hAnsi="Times New Roman"/>
          <w:noProof/>
          <w:sz w:val="24"/>
          <w:lang w:val="en-US"/>
        </w:rPr>
      </w:pPr>
    </w:p>
    <w:p w14:paraId="4EE84134" w14:textId="77777777" w:rsidR="000E3283" w:rsidRDefault="000E3283" w:rsidP="001F1E46">
      <w:pPr>
        <w:pStyle w:val="JuQuot"/>
        <w:widowControl w:val="0"/>
        <w:spacing w:before="0" w:after="0"/>
        <w:ind w:left="284" w:firstLine="0"/>
        <w:rPr>
          <w:rFonts w:ascii="Times New Roman" w:hAnsi="Times New Roman"/>
          <w:b/>
          <w:noProof/>
          <w:sz w:val="24"/>
        </w:rPr>
      </w:pPr>
      <w:r>
        <w:rPr>
          <w:rFonts w:ascii="Times New Roman" w:hAnsi="Times New Roman"/>
          <w:b/>
          <w:sz w:val="24"/>
        </w:rPr>
        <w:t>Atļauja izdot 8. panta 4. punktā noteikto orderi steidzamības kārtā</w:t>
      </w:r>
    </w:p>
    <w:p w14:paraId="66463B67" w14:textId="77777777" w:rsidR="005273AA" w:rsidRPr="008D031E" w:rsidRDefault="005273AA" w:rsidP="001F1E46">
      <w:pPr>
        <w:pStyle w:val="JuQuot"/>
        <w:widowControl w:val="0"/>
        <w:spacing w:before="0" w:after="0"/>
        <w:ind w:left="284" w:firstLine="0"/>
        <w:rPr>
          <w:rFonts w:ascii="Times New Roman" w:hAnsi="Times New Roman"/>
          <w:b/>
          <w:noProof/>
          <w:sz w:val="24"/>
          <w:lang w:val="en-US"/>
        </w:rPr>
      </w:pPr>
    </w:p>
    <w:p w14:paraId="3F1A4BD8" w14:textId="4198D151"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6.16. </w:t>
      </w:r>
      <w:r>
        <w:rPr>
          <w:rFonts w:ascii="Times New Roman" w:hAnsi="Times New Roman"/>
          <w:i/>
          <w:iCs/>
          <w:sz w:val="24"/>
        </w:rPr>
        <w:t>RIPA</w:t>
      </w:r>
      <w:r>
        <w:rPr>
          <w:rFonts w:ascii="Times New Roman" w:hAnsi="Times New Roman"/>
          <w:sz w:val="24"/>
        </w:rPr>
        <w:t xml:space="preserve"> paredz noteikumus (7. panta 1. punkta b) apakšpunkts) gadījumos, kad pārtveršanas orderis ir nepieciešams steidzamības kārtā, bet valsts sekretārs nav pieejams, lai to parakstītu. Šādos gadījumos valsts sekretārs personīgi atļauj veikt pārtveršanu, taču orderi paraksta vecākā amatpersona pēc tam, kad amatpersonas un valsts sekretārs lietu ir apsprieduši. </w:t>
      </w:r>
      <w:r>
        <w:rPr>
          <w:rFonts w:ascii="Times New Roman" w:hAnsi="Times New Roman"/>
          <w:i/>
          <w:iCs/>
          <w:sz w:val="24"/>
        </w:rPr>
        <w:t>RIPA</w:t>
      </w:r>
      <w:r>
        <w:rPr>
          <w:rFonts w:ascii="Times New Roman" w:hAnsi="Times New Roman"/>
          <w:sz w:val="24"/>
        </w:rPr>
        <w:t xml:space="preserve"> šādā veidā pieļauj orderu izdošanu vienīgi steidzamos gadījumos, kad valsts sekretārs ir personīgi un skaidri atļāvis izdot orderi (7. panta 2. punkta a) apakšpunkts), un nosaka, ka orderī jāietver attiecīgais paziņojums (7. panta 4. punkta a) apakšpunkts).</w:t>
      </w:r>
    </w:p>
    <w:p w14:paraId="6EDC8325" w14:textId="6BCE3232"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lastRenderedPageBreak/>
        <w:t>6.17. Steidzamības kārtā izdots orderis ir spēkā piecas darbdienas pēc tā izdošanas dienas, ja vien valsts sekretārs to nav atjaunojis, un tādā gadījumā tā termiņš beidzas pēc trim mēnešiem, ja tas attiecas uz smagu noziegumu, vai pēc sešiem mēnešiem, ja tas attiecas uz valsts interesēm vai ekonomisko labklājību, gluži kā pārējie 8. panta 4. punktā noteiktie orderi.</w:t>
      </w:r>
    </w:p>
    <w:p w14:paraId="749BDE4F" w14:textId="77777777" w:rsidR="005273AA" w:rsidRPr="008D031E" w:rsidRDefault="005273AA" w:rsidP="001F1E46">
      <w:pPr>
        <w:pStyle w:val="JuQuot"/>
        <w:widowControl w:val="0"/>
        <w:spacing w:before="0" w:after="0"/>
        <w:ind w:left="284" w:firstLine="0"/>
        <w:rPr>
          <w:rFonts w:ascii="Times New Roman" w:hAnsi="Times New Roman"/>
          <w:noProof/>
          <w:sz w:val="24"/>
          <w:lang w:val="en-US"/>
        </w:rPr>
      </w:pPr>
    </w:p>
    <w:p w14:paraId="1CA00EF1" w14:textId="77777777" w:rsidR="000E3283" w:rsidRDefault="000E3283" w:rsidP="001F1E46">
      <w:pPr>
        <w:pStyle w:val="JuQuot"/>
        <w:widowControl w:val="0"/>
        <w:spacing w:before="0" w:after="0"/>
        <w:ind w:left="284" w:firstLine="0"/>
        <w:rPr>
          <w:rFonts w:ascii="Times New Roman" w:hAnsi="Times New Roman"/>
          <w:b/>
          <w:noProof/>
          <w:sz w:val="24"/>
        </w:rPr>
      </w:pPr>
      <w:r>
        <w:rPr>
          <w:rFonts w:ascii="Times New Roman" w:hAnsi="Times New Roman"/>
          <w:b/>
          <w:sz w:val="24"/>
        </w:rPr>
        <w:t>8. panta 4. punktā noteiktā ordera formāts</w:t>
      </w:r>
    </w:p>
    <w:p w14:paraId="2311C548" w14:textId="77777777" w:rsidR="005273AA" w:rsidRPr="008D031E" w:rsidRDefault="005273AA" w:rsidP="001F1E46">
      <w:pPr>
        <w:pStyle w:val="JuQuot"/>
        <w:widowControl w:val="0"/>
        <w:spacing w:before="0" w:after="0"/>
        <w:ind w:left="284" w:firstLine="0"/>
        <w:rPr>
          <w:rFonts w:ascii="Times New Roman" w:hAnsi="Times New Roman"/>
          <w:b/>
          <w:noProof/>
          <w:sz w:val="24"/>
          <w:lang w:val="en-US"/>
        </w:rPr>
      </w:pPr>
    </w:p>
    <w:p w14:paraId="4369E7A0" w14:textId="250829D6"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6.18. Ikviens orderis ir adresēts personai, kura iesniegusi pieteikumu. Pēc tam tā kopiju var iesniegt sakaru pakalpojumu sniedzējiem, kuri, šīs personas ieskatā, varēs palīdzēt īstenot pārtveršanu. </w:t>
      </w:r>
      <w:proofErr w:type="spellStart"/>
      <w:r>
        <w:rPr>
          <w:rFonts w:ascii="Times New Roman" w:hAnsi="Times New Roman"/>
          <w:sz w:val="24"/>
        </w:rPr>
        <w:t>SPS</w:t>
      </w:r>
      <w:proofErr w:type="spellEnd"/>
      <w:r>
        <w:rPr>
          <w:rFonts w:ascii="Times New Roman" w:hAnsi="Times New Roman"/>
          <w:sz w:val="24"/>
        </w:rPr>
        <w:t xml:space="preserve"> parasti nesaņem apliecinājuma kopiju. Orderī ir jānorāda šāda informācija:</w:t>
      </w:r>
    </w:p>
    <w:p w14:paraId="0D03AF3D" w14:textId="77777777" w:rsidR="00333648" w:rsidRPr="008D031E" w:rsidRDefault="00333648" w:rsidP="001F1E46">
      <w:pPr>
        <w:pStyle w:val="JuQuot"/>
        <w:widowControl w:val="0"/>
        <w:spacing w:before="0" w:after="0"/>
        <w:ind w:left="284" w:firstLine="0"/>
        <w:rPr>
          <w:rFonts w:ascii="Times New Roman" w:hAnsi="Times New Roman"/>
          <w:noProof/>
          <w:sz w:val="24"/>
          <w:lang w:val="en-US"/>
        </w:rPr>
      </w:pPr>
    </w:p>
    <w:p w14:paraId="50E7C82E" w14:textId="77777777" w:rsidR="000E3283" w:rsidRPr="008D031E" w:rsidRDefault="000E3283" w:rsidP="001F1E46">
      <w:pPr>
        <w:pStyle w:val="JuQuot"/>
        <w:widowControl w:val="0"/>
        <w:numPr>
          <w:ilvl w:val="0"/>
          <w:numId w:val="18"/>
        </w:numPr>
        <w:spacing w:before="0" w:after="0"/>
        <w:ind w:left="851" w:hanging="284"/>
        <w:rPr>
          <w:rFonts w:ascii="Times New Roman" w:hAnsi="Times New Roman"/>
          <w:noProof/>
          <w:sz w:val="24"/>
        </w:rPr>
      </w:pPr>
      <w:r>
        <w:rPr>
          <w:rFonts w:ascii="Times New Roman" w:hAnsi="Times New Roman"/>
          <w:sz w:val="24"/>
        </w:rPr>
        <w:t>pārtveramo sakaru raksturojums;</w:t>
      </w:r>
    </w:p>
    <w:p w14:paraId="66F76B7E" w14:textId="77777777" w:rsidR="000E3283" w:rsidRPr="008D031E" w:rsidRDefault="000E3283" w:rsidP="001F1E46">
      <w:pPr>
        <w:pStyle w:val="JuQuot"/>
        <w:widowControl w:val="0"/>
        <w:numPr>
          <w:ilvl w:val="0"/>
          <w:numId w:val="18"/>
        </w:numPr>
        <w:spacing w:before="0" w:after="0"/>
        <w:ind w:left="851" w:hanging="284"/>
        <w:rPr>
          <w:rFonts w:ascii="Times New Roman" w:hAnsi="Times New Roman"/>
          <w:noProof/>
          <w:sz w:val="24"/>
        </w:rPr>
      </w:pPr>
      <w:r>
        <w:rPr>
          <w:rFonts w:ascii="Times New Roman" w:hAnsi="Times New Roman"/>
          <w:sz w:val="24"/>
        </w:rPr>
        <w:t>ordera reģistrācijas numurs un</w:t>
      </w:r>
    </w:p>
    <w:p w14:paraId="3CE3B85C" w14:textId="77777777" w:rsidR="000E3283" w:rsidRDefault="000E3283" w:rsidP="001F1E46">
      <w:pPr>
        <w:pStyle w:val="JuQuot"/>
        <w:widowControl w:val="0"/>
        <w:numPr>
          <w:ilvl w:val="0"/>
          <w:numId w:val="18"/>
        </w:numPr>
        <w:spacing w:before="0" w:after="0"/>
        <w:ind w:left="851" w:hanging="284"/>
        <w:rPr>
          <w:rFonts w:ascii="Times New Roman" w:hAnsi="Times New Roman"/>
          <w:noProof/>
          <w:sz w:val="24"/>
        </w:rPr>
      </w:pPr>
      <w:r>
        <w:rPr>
          <w:rFonts w:ascii="Times New Roman" w:hAnsi="Times New Roman"/>
          <w:sz w:val="24"/>
        </w:rPr>
        <w:t xml:space="preserve">informācija par personām, kuras pēc tam steidzamības kārtā var modificēt apliecinājumu, kas attiecas uz orderi (ja tas atļauts saskaņā ar </w:t>
      </w:r>
      <w:r>
        <w:rPr>
          <w:rFonts w:ascii="Times New Roman" w:hAnsi="Times New Roman"/>
          <w:i/>
          <w:iCs/>
          <w:sz w:val="24"/>
        </w:rPr>
        <w:t>RIPA</w:t>
      </w:r>
      <w:r>
        <w:rPr>
          <w:rFonts w:ascii="Times New Roman" w:hAnsi="Times New Roman"/>
          <w:sz w:val="24"/>
        </w:rPr>
        <w:t xml:space="preserve"> 10. panta 7. punktu).</w:t>
      </w:r>
    </w:p>
    <w:p w14:paraId="0C75E893" w14:textId="77777777" w:rsidR="00333648" w:rsidRPr="008D031E" w:rsidRDefault="00333648" w:rsidP="001F1E46">
      <w:pPr>
        <w:pStyle w:val="JuQuot"/>
        <w:widowControl w:val="0"/>
        <w:spacing w:before="0" w:after="0"/>
        <w:ind w:left="284" w:firstLine="0"/>
        <w:rPr>
          <w:rFonts w:ascii="Times New Roman" w:hAnsi="Times New Roman"/>
          <w:noProof/>
          <w:sz w:val="24"/>
          <w:lang w:val="en-US"/>
        </w:rPr>
      </w:pPr>
    </w:p>
    <w:p w14:paraId="0724775E" w14:textId="77777777" w:rsidR="000E3283" w:rsidRDefault="000E3283" w:rsidP="001F1E46">
      <w:pPr>
        <w:pStyle w:val="JuQuot"/>
        <w:widowControl w:val="0"/>
        <w:spacing w:before="0" w:after="0"/>
        <w:ind w:left="284" w:firstLine="0"/>
        <w:rPr>
          <w:rFonts w:ascii="Times New Roman" w:hAnsi="Times New Roman"/>
          <w:b/>
          <w:noProof/>
          <w:sz w:val="24"/>
        </w:rPr>
      </w:pPr>
      <w:r>
        <w:rPr>
          <w:rFonts w:ascii="Times New Roman" w:hAnsi="Times New Roman"/>
          <w:b/>
          <w:sz w:val="24"/>
        </w:rPr>
        <w:t>8. panta 4. punktā noteiktā ordera un/vai apliecinājuma modificēšana</w:t>
      </w:r>
    </w:p>
    <w:p w14:paraId="310A2ED9" w14:textId="77777777" w:rsidR="00333648" w:rsidRPr="008D031E" w:rsidRDefault="00333648" w:rsidP="001F1E46">
      <w:pPr>
        <w:pStyle w:val="JuQuot"/>
        <w:widowControl w:val="0"/>
        <w:spacing w:before="0" w:after="0"/>
        <w:ind w:left="284" w:firstLine="0"/>
        <w:rPr>
          <w:rFonts w:ascii="Times New Roman" w:hAnsi="Times New Roman"/>
          <w:b/>
          <w:noProof/>
          <w:sz w:val="24"/>
          <w:lang w:val="en-US"/>
        </w:rPr>
      </w:pPr>
    </w:p>
    <w:p w14:paraId="1D0411BD" w14:textId="51F6047D"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6.19. Pārtveršanas orderus un apliecinājumus var modificēt saskaņā ar </w:t>
      </w:r>
      <w:r>
        <w:rPr>
          <w:rFonts w:ascii="Times New Roman" w:hAnsi="Times New Roman"/>
          <w:i/>
          <w:iCs/>
          <w:sz w:val="24"/>
        </w:rPr>
        <w:t>RIPA</w:t>
      </w:r>
      <w:r>
        <w:rPr>
          <w:rFonts w:ascii="Times New Roman" w:hAnsi="Times New Roman"/>
          <w:sz w:val="24"/>
        </w:rPr>
        <w:t xml:space="preserve"> 10. panta noteikumiem. Orderi var modificēt vienīgi valsts sekretārs vai steidzamības kārtā vecākā amatpersona ar valsts sekretāra skaidru atļauju. Šādos gadījumos paziņojums par šo faktu ir jāvīzē dokumentā, kas ir modificēts, un šāda modifikācija zaudē spēku piecas darbdienas pēc šā dokumenta izdošanas dienas, ja vien to nav vīzējis valsts sekretārs.</w:t>
      </w:r>
    </w:p>
    <w:p w14:paraId="4029492A" w14:textId="1B749D50"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6.20. Apliecinājums jāmodificē valsts sekretāram, izņemot steidzamus gadījumus, kad to var izdarīt vecākā amatpersona, ja tā ieņem amatu, kura ietvaros tai saskaņā ar apliecinājumā ietvertajiem noteikumiem ir skaidri atļauts modificēt apliecinājumu valsts sekretāra vārdā, vai ja valsts sekretārs ir skaidri atļāvis modifikāciju un paziņojums par šo faktu ir vīzēts dokumentā, kas ir modificēts. Pēdējā no minētajiem gadījumiem modifikācija zaudē spēku piecas darbdienas pēc šā dokumenta izdošanas dienas, ja vien to nav vīzējis valsts sekretārs.</w:t>
      </w:r>
    </w:p>
    <w:p w14:paraId="0AE8B15E" w14:textId="6B2121B8"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6.21. Ja valsts sekretārs to uzskata par nepieciešamu, apliecinājumu var modificēt, ļaujot atlasīt tās personas sakarus, par kuru zināms, ka tā atrodas Britu salās. Personas atrašanās vieta ir jāizvērtē, izmantojot visu pieejamo informāciju. Ja ar šīs informācijas palīdzību nav iespējams precīzi noskaidrot personas atrašanās vietu, personas atrašanās vieta ir pārdomāti jāizvērtē pēc labas ticības principa. Ja radušās pamatotas aizdomas, ka persona atrodas Apvienotajā Karalistē, tiks piemēroti šajā punktā norādītie pasākumi.</w:t>
      </w:r>
    </w:p>
    <w:p w14:paraId="2EE6B4F1" w14:textId="77777777" w:rsidR="00333648" w:rsidRPr="008D031E" w:rsidRDefault="00333648" w:rsidP="001F1E46">
      <w:pPr>
        <w:pStyle w:val="JuQuot"/>
        <w:widowControl w:val="0"/>
        <w:spacing w:before="0" w:after="0"/>
        <w:ind w:left="284" w:firstLine="0"/>
        <w:rPr>
          <w:rFonts w:ascii="Times New Roman" w:hAnsi="Times New Roman"/>
          <w:noProof/>
          <w:sz w:val="24"/>
          <w:lang w:val="en-US"/>
        </w:rPr>
      </w:pPr>
    </w:p>
    <w:p w14:paraId="1BE92636" w14:textId="77777777" w:rsidR="000E3283" w:rsidRDefault="000E3283" w:rsidP="001F1E46">
      <w:pPr>
        <w:pStyle w:val="JuQuot"/>
        <w:widowControl w:val="0"/>
        <w:spacing w:before="0" w:after="0"/>
        <w:ind w:left="284" w:firstLine="0"/>
        <w:rPr>
          <w:rFonts w:ascii="Times New Roman" w:hAnsi="Times New Roman"/>
          <w:b/>
          <w:noProof/>
          <w:sz w:val="24"/>
        </w:rPr>
      </w:pPr>
      <w:r>
        <w:rPr>
          <w:rFonts w:ascii="Times New Roman" w:hAnsi="Times New Roman"/>
          <w:b/>
          <w:sz w:val="24"/>
        </w:rPr>
        <w:t>8. panta 4. punktā noteiktā ordera atjaunošana</w:t>
      </w:r>
    </w:p>
    <w:p w14:paraId="3DDB00E3" w14:textId="77777777" w:rsidR="00333648" w:rsidRPr="008D031E" w:rsidRDefault="00333648" w:rsidP="001F1E46">
      <w:pPr>
        <w:pStyle w:val="JuQuot"/>
        <w:widowControl w:val="0"/>
        <w:spacing w:before="0" w:after="0"/>
        <w:ind w:left="284" w:firstLine="0"/>
        <w:rPr>
          <w:rFonts w:ascii="Times New Roman" w:hAnsi="Times New Roman"/>
          <w:b/>
          <w:noProof/>
          <w:sz w:val="24"/>
          <w:lang w:val="en-US"/>
        </w:rPr>
      </w:pPr>
    </w:p>
    <w:p w14:paraId="5A6BAEE5" w14:textId="2D716B64"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6.22. Valsts sekretārs var atjaunot orderi jebkurā brīdī pirms tā termiņa beigām. Pieteikumus ordera atjaunošanai iesniedz valsts sekretāram, un tajos ietver jaunāko informāciju par iepriekš 6.10. punktā minētajiem jautājumiem. Pieteikuma iesniedzējam jo īpaši jāizvērtē pašreizējā pārtveršanas vērtība un jāpaskaidro, kādēļ tā ieskatā pārtveršana joprojām ir nepieciešama vienam vai vairākiem 5. panta 3. punktā minētajiem nolūkiem un kādēļ tas uzskata, ka pārtveršana joprojām ir samērīga.</w:t>
      </w:r>
    </w:p>
    <w:p w14:paraId="702179C1" w14:textId="51682DAD"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6.23. Ja valsts sekretārs ir guvis pārliecību, ka pārtveršana joprojām atbilst </w:t>
      </w:r>
      <w:r>
        <w:rPr>
          <w:rFonts w:ascii="Times New Roman" w:hAnsi="Times New Roman"/>
          <w:i/>
          <w:iCs/>
          <w:sz w:val="24"/>
        </w:rPr>
        <w:t>RIPA</w:t>
      </w:r>
      <w:r>
        <w:rPr>
          <w:rFonts w:ascii="Times New Roman" w:hAnsi="Times New Roman"/>
          <w:sz w:val="24"/>
        </w:rPr>
        <w:t xml:space="preserve"> noteiktajām prasībām, viņš orderi var atjaunot. Ja orderi izdod, pamatojoties uz kādu smagu noziegumu, atjaunotais orderis ir spēkā vēl trīs mēnešus. Ja to izdod, pamatojoties uz valsts drošību / ekonomisko labklājību, atjaunotais orderis ir spēkā sešus mēnešus. Šo laika periodu </w:t>
      </w:r>
      <w:r>
        <w:rPr>
          <w:rFonts w:ascii="Times New Roman" w:hAnsi="Times New Roman"/>
          <w:sz w:val="24"/>
        </w:rPr>
        <w:lastRenderedPageBreak/>
        <w:t>skaita no atjaunotā dokumenta parakstīšanas dienas.</w:t>
      </w:r>
    </w:p>
    <w:p w14:paraId="4F48D6E6" w14:textId="22C1DC4C"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6.24. Gadījumos, kad nepieciešama </w:t>
      </w:r>
      <w:proofErr w:type="spellStart"/>
      <w:r>
        <w:rPr>
          <w:rFonts w:ascii="Times New Roman" w:hAnsi="Times New Roman"/>
          <w:sz w:val="24"/>
        </w:rPr>
        <w:t>SPS</w:t>
      </w:r>
      <w:proofErr w:type="spellEnd"/>
      <w:r>
        <w:rPr>
          <w:rFonts w:ascii="Times New Roman" w:hAnsi="Times New Roman"/>
          <w:sz w:val="24"/>
        </w:rPr>
        <w:t xml:space="preserve"> iesaistīšanās, ordera atjaunošanas dokumenta kopiju iesniedz visām personām, kurām iesniegta oriģinālā ordera dokumenta kopija, ja šīs personas joprojām vēlas aktīvi iesaistīties. Ordera atjaunošanas dokumentā iekļauj tā ordera vai to orderu reģistrācijas numuru, ko atjauno ar šo vienoto dokumentu.</w:t>
      </w:r>
    </w:p>
    <w:p w14:paraId="47E9E2E5" w14:textId="77777777" w:rsidR="00333648" w:rsidRPr="008D031E" w:rsidRDefault="00333648" w:rsidP="001F1E46">
      <w:pPr>
        <w:pStyle w:val="JuQuot"/>
        <w:widowControl w:val="0"/>
        <w:spacing w:before="0" w:after="0"/>
        <w:ind w:left="284" w:firstLine="0"/>
        <w:rPr>
          <w:rFonts w:ascii="Times New Roman" w:hAnsi="Times New Roman"/>
          <w:noProof/>
          <w:sz w:val="24"/>
          <w:lang w:val="en-US"/>
        </w:rPr>
      </w:pPr>
    </w:p>
    <w:p w14:paraId="38692413" w14:textId="77777777" w:rsidR="000E3283" w:rsidRDefault="000E3283" w:rsidP="001F1E46">
      <w:pPr>
        <w:pStyle w:val="JuQuot"/>
        <w:widowControl w:val="0"/>
        <w:spacing w:before="0" w:after="0"/>
        <w:ind w:left="284" w:firstLine="0"/>
        <w:rPr>
          <w:rFonts w:ascii="Times New Roman" w:hAnsi="Times New Roman"/>
          <w:b/>
          <w:noProof/>
          <w:sz w:val="24"/>
        </w:rPr>
      </w:pPr>
      <w:r>
        <w:rPr>
          <w:rFonts w:ascii="Times New Roman" w:hAnsi="Times New Roman"/>
          <w:b/>
          <w:sz w:val="24"/>
        </w:rPr>
        <w:t>Ordera atcelšana</w:t>
      </w:r>
    </w:p>
    <w:p w14:paraId="089C39EE" w14:textId="77777777" w:rsidR="00333648" w:rsidRPr="008D031E" w:rsidRDefault="00333648" w:rsidP="001F1E46">
      <w:pPr>
        <w:pStyle w:val="JuQuot"/>
        <w:widowControl w:val="0"/>
        <w:spacing w:before="0" w:after="0"/>
        <w:ind w:left="284" w:firstLine="0"/>
        <w:rPr>
          <w:rFonts w:ascii="Times New Roman" w:hAnsi="Times New Roman"/>
          <w:b/>
          <w:noProof/>
          <w:sz w:val="24"/>
          <w:lang w:val="en-US"/>
        </w:rPr>
      </w:pPr>
    </w:p>
    <w:p w14:paraId="3499C3AC" w14:textId="186B4029"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6.25. Valsts sekretāram(-</w:t>
      </w:r>
      <w:proofErr w:type="spellStart"/>
      <w:r>
        <w:rPr>
          <w:rFonts w:ascii="Times New Roman" w:hAnsi="Times New Roman"/>
          <w:sz w:val="24"/>
        </w:rPr>
        <w:t>ei</w:t>
      </w:r>
      <w:proofErr w:type="spellEnd"/>
      <w:r>
        <w:rPr>
          <w:rFonts w:ascii="Times New Roman" w:hAnsi="Times New Roman"/>
          <w:sz w:val="24"/>
        </w:rPr>
        <w:t xml:space="preserve">) ir jāatceļ pārtveršanas orderis, ja jebkurā brīdī pirms tā termiņa beigām viņš vai viņa gūst pārliecību, ka orderis vairs nav nepieciešams </w:t>
      </w:r>
      <w:r>
        <w:rPr>
          <w:rFonts w:ascii="Times New Roman" w:hAnsi="Times New Roman"/>
          <w:i/>
          <w:iCs/>
          <w:sz w:val="24"/>
        </w:rPr>
        <w:t>RIPA</w:t>
      </w:r>
      <w:r>
        <w:rPr>
          <w:rFonts w:ascii="Times New Roman" w:hAnsi="Times New Roman"/>
          <w:sz w:val="24"/>
        </w:rPr>
        <w:t xml:space="preserve"> 5. panta 3. punktā minētajiem nolūkiem. Līdz ar to pārtveršanas aģentūrām būs pastāvīgi jāpārskata savi orderi un jāziņo valsts sekretāram, ja tās atzīst, ka pārtveršana vairs nav nepieciešama. Praksē pienākumu valsts sekretāra vārdā atcelt orderi pilda oderi izdevušās nodaļas vecākā amatpersona.</w:t>
      </w:r>
    </w:p>
    <w:p w14:paraId="09F45E00" w14:textId="59A0C45B"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6.26. Ordera atcelšanas dokumentu adresē personai, kurai orderi izdeva (pārtveršanas aģentūrai). Ordera atcelšanas dokumenta kopija </w:t>
      </w:r>
      <w:proofErr w:type="spellStart"/>
      <w:r>
        <w:rPr>
          <w:rFonts w:ascii="Times New Roman" w:hAnsi="Times New Roman"/>
          <w:sz w:val="24"/>
        </w:rPr>
        <w:t>jānosūta</w:t>
      </w:r>
      <w:proofErr w:type="spellEnd"/>
      <w:r>
        <w:rPr>
          <w:rFonts w:ascii="Times New Roman" w:hAnsi="Times New Roman"/>
          <w:sz w:val="24"/>
        </w:rPr>
        <w:t xml:space="preserve"> tiem </w:t>
      </w:r>
      <w:proofErr w:type="spellStart"/>
      <w:r>
        <w:rPr>
          <w:rFonts w:ascii="Times New Roman" w:hAnsi="Times New Roman"/>
          <w:sz w:val="24"/>
        </w:rPr>
        <w:t>SPS</w:t>
      </w:r>
      <w:proofErr w:type="spellEnd"/>
      <w:r>
        <w:rPr>
          <w:rFonts w:ascii="Times New Roman" w:hAnsi="Times New Roman"/>
          <w:sz w:val="24"/>
        </w:rPr>
        <w:t xml:space="preserve"> (ja tādi iesaistījušies), kuri pēdējo divpadsmit mēnešu laikā ir izpildījuši šo orderi.</w:t>
      </w:r>
    </w:p>
    <w:p w14:paraId="2818BE0A" w14:textId="77777777" w:rsidR="008349DE" w:rsidRPr="008D031E" w:rsidRDefault="008349DE" w:rsidP="001F1E46">
      <w:pPr>
        <w:pStyle w:val="JuQuot"/>
        <w:widowControl w:val="0"/>
        <w:spacing w:before="0" w:after="0"/>
        <w:ind w:left="284" w:firstLine="0"/>
        <w:rPr>
          <w:rFonts w:ascii="Times New Roman" w:hAnsi="Times New Roman"/>
          <w:noProof/>
          <w:sz w:val="24"/>
          <w:lang w:val="en-US"/>
        </w:rPr>
      </w:pPr>
    </w:p>
    <w:p w14:paraId="7EC6E888" w14:textId="77777777" w:rsidR="000E3283" w:rsidRDefault="000E3283" w:rsidP="001F1E46">
      <w:pPr>
        <w:pStyle w:val="JuQuot"/>
        <w:widowControl w:val="0"/>
        <w:spacing w:before="0" w:after="0"/>
        <w:ind w:left="284" w:firstLine="0"/>
        <w:rPr>
          <w:rFonts w:ascii="Times New Roman" w:hAnsi="Times New Roman"/>
          <w:b/>
          <w:noProof/>
          <w:sz w:val="24"/>
        </w:rPr>
      </w:pPr>
      <w:r>
        <w:rPr>
          <w:rFonts w:ascii="Times New Roman" w:hAnsi="Times New Roman"/>
          <w:b/>
          <w:sz w:val="24"/>
        </w:rPr>
        <w:t>Ieraksti</w:t>
      </w:r>
    </w:p>
    <w:p w14:paraId="45D0987F" w14:textId="77777777" w:rsidR="008349DE" w:rsidRPr="008D031E" w:rsidRDefault="008349DE" w:rsidP="001F1E46">
      <w:pPr>
        <w:pStyle w:val="JuQuot"/>
        <w:widowControl w:val="0"/>
        <w:spacing w:before="0" w:after="0"/>
        <w:ind w:left="284" w:firstLine="0"/>
        <w:rPr>
          <w:rFonts w:ascii="Times New Roman" w:hAnsi="Times New Roman"/>
          <w:b/>
          <w:noProof/>
          <w:sz w:val="24"/>
          <w:lang w:val="en-US"/>
        </w:rPr>
      </w:pPr>
    </w:p>
    <w:p w14:paraId="2FD3B500" w14:textId="2EDF10D2"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6.27. Pārraudzības režīms ļauj komisāram sakaru pārtveršanas jautājumos pārbaudīt pieteikumu ordera saņemšanai, uz kuru balstīts valsts sekretāra lēmums, un pārtveršanas aģentūrai var tikt prasīts pamatot saturu. Ikvienai pārtveršanas aģentūrai ir jāsaglabā turpmāk minētā informācija, kurai komisāram(-</w:t>
      </w:r>
      <w:proofErr w:type="spellStart"/>
      <w:r>
        <w:rPr>
          <w:rFonts w:ascii="Times New Roman" w:hAnsi="Times New Roman"/>
          <w:sz w:val="24"/>
        </w:rPr>
        <w:t>ei</w:t>
      </w:r>
      <w:proofErr w:type="spellEnd"/>
      <w:r>
        <w:rPr>
          <w:rFonts w:ascii="Times New Roman" w:hAnsi="Times New Roman"/>
          <w:sz w:val="24"/>
        </w:rPr>
        <w:t>) pēc tā vai tās pieprasījuma jābūt pieejamai pārbaudei:</w:t>
      </w:r>
    </w:p>
    <w:p w14:paraId="346E41B8" w14:textId="77777777" w:rsidR="008349DE" w:rsidRPr="008D031E" w:rsidRDefault="008349DE" w:rsidP="001F1E46">
      <w:pPr>
        <w:pStyle w:val="JuQuot"/>
        <w:widowControl w:val="0"/>
        <w:spacing w:before="0" w:after="0"/>
        <w:ind w:left="284" w:firstLine="0"/>
        <w:rPr>
          <w:rFonts w:ascii="Times New Roman" w:hAnsi="Times New Roman"/>
          <w:noProof/>
          <w:sz w:val="24"/>
          <w:lang w:val="en-US"/>
        </w:rPr>
      </w:pPr>
    </w:p>
    <w:p w14:paraId="67D383C2" w14:textId="77777777" w:rsidR="000E3283" w:rsidRPr="008D031E" w:rsidRDefault="000E3283" w:rsidP="001F1E46">
      <w:pPr>
        <w:pStyle w:val="JuQuot"/>
        <w:widowControl w:val="0"/>
        <w:numPr>
          <w:ilvl w:val="0"/>
          <w:numId w:val="19"/>
        </w:numPr>
        <w:spacing w:before="0" w:after="0"/>
        <w:ind w:left="851" w:hanging="284"/>
        <w:rPr>
          <w:rFonts w:ascii="Times New Roman" w:hAnsi="Times New Roman"/>
          <w:noProof/>
          <w:sz w:val="24"/>
        </w:rPr>
      </w:pPr>
      <w:r>
        <w:rPr>
          <w:rFonts w:ascii="Times New Roman" w:hAnsi="Times New Roman"/>
          <w:sz w:val="24"/>
        </w:rPr>
        <w:t>visi pieteikumi, kas iesniegti, lai saņemtu 8. panta 4. punktam atbilstošos orderus, un pieteikumi šo orderu atjaunošanai;</w:t>
      </w:r>
    </w:p>
    <w:p w14:paraId="3872A39C" w14:textId="77777777" w:rsidR="000E3283" w:rsidRPr="008D031E" w:rsidRDefault="000E3283" w:rsidP="001F1E46">
      <w:pPr>
        <w:pStyle w:val="JuQuot"/>
        <w:widowControl w:val="0"/>
        <w:numPr>
          <w:ilvl w:val="0"/>
          <w:numId w:val="19"/>
        </w:numPr>
        <w:spacing w:before="0" w:after="0"/>
        <w:ind w:left="851" w:hanging="284"/>
        <w:rPr>
          <w:rFonts w:ascii="Times New Roman" w:hAnsi="Times New Roman"/>
          <w:noProof/>
          <w:sz w:val="24"/>
        </w:rPr>
      </w:pPr>
      <w:r>
        <w:rPr>
          <w:rFonts w:ascii="Times New Roman" w:hAnsi="Times New Roman"/>
          <w:sz w:val="24"/>
        </w:rPr>
        <w:t>visi orderi un apliecinājumi, kā arī orderu atjaunošanas un grozīšanas dokumentu kopijas (ja tādi ir);</w:t>
      </w:r>
    </w:p>
    <w:p w14:paraId="20FB745C" w14:textId="77777777" w:rsidR="000E3283" w:rsidRPr="008D031E" w:rsidRDefault="000E3283" w:rsidP="001F1E46">
      <w:pPr>
        <w:pStyle w:val="JuQuot"/>
        <w:widowControl w:val="0"/>
        <w:numPr>
          <w:ilvl w:val="0"/>
          <w:numId w:val="19"/>
        </w:numPr>
        <w:spacing w:before="0" w:after="0"/>
        <w:ind w:left="851" w:hanging="284"/>
        <w:rPr>
          <w:rFonts w:ascii="Times New Roman" w:hAnsi="Times New Roman"/>
          <w:noProof/>
          <w:sz w:val="24"/>
        </w:rPr>
      </w:pPr>
      <w:r>
        <w:rPr>
          <w:rFonts w:ascii="Times New Roman" w:hAnsi="Times New Roman"/>
          <w:sz w:val="24"/>
        </w:rPr>
        <w:t>valsts sekretāra minētie iemesli pieteikuma noraidīšanai, ja tas ticis noraidīts;</w:t>
      </w:r>
    </w:p>
    <w:p w14:paraId="69ABBB58" w14:textId="77777777" w:rsidR="000E3283" w:rsidRDefault="000E3283" w:rsidP="001F1E46">
      <w:pPr>
        <w:pStyle w:val="JuQuot"/>
        <w:widowControl w:val="0"/>
        <w:numPr>
          <w:ilvl w:val="0"/>
          <w:numId w:val="19"/>
        </w:numPr>
        <w:spacing w:before="0" w:after="0"/>
        <w:ind w:left="851" w:hanging="284"/>
        <w:rPr>
          <w:rFonts w:ascii="Times New Roman" w:hAnsi="Times New Roman"/>
          <w:noProof/>
          <w:sz w:val="24"/>
        </w:rPr>
      </w:pPr>
      <w:r>
        <w:rPr>
          <w:rFonts w:ascii="Times New Roman" w:hAnsi="Times New Roman"/>
          <w:sz w:val="24"/>
        </w:rPr>
        <w:t>pārtveršanas sākuma un beigu datums.</w:t>
      </w:r>
    </w:p>
    <w:p w14:paraId="6F87C503" w14:textId="77777777" w:rsidR="008349DE" w:rsidRPr="008D031E" w:rsidRDefault="008349DE" w:rsidP="001F1E46">
      <w:pPr>
        <w:pStyle w:val="JuQuot"/>
        <w:widowControl w:val="0"/>
        <w:spacing w:before="0" w:after="0"/>
        <w:ind w:left="284" w:firstLine="0"/>
        <w:rPr>
          <w:rFonts w:ascii="Times New Roman" w:hAnsi="Times New Roman"/>
          <w:noProof/>
          <w:sz w:val="24"/>
          <w:lang w:val="en-US"/>
        </w:rPr>
      </w:pPr>
    </w:p>
    <w:p w14:paraId="7C3F1B92" w14:textId="7A53BD45"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6.28. Tāpat jāreģistrē pasākumi, ar kuriem nodrošina, ka attiecīgās personas saskaņā ar </w:t>
      </w:r>
      <w:r>
        <w:rPr>
          <w:rFonts w:ascii="Times New Roman" w:hAnsi="Times New Roman"/>
          <w:i/>
          <w:iCs/>
          <w:sz w:val="24"/>
        </w:rPr>
        <w:t>RIPA</w:t>
      </w:r>
      <w:r>
        <w:rPr>
          <w:rFonts w:ascii="Times New Roman" w:hAnsi="Times New Roman"/>
          <w:sz w:val="24"/>
        </w:rPr>
        <w:t xml:space="preserve"> 15. pantu faktiski lasa, aplūko un klausās vienīgi materiālu, par ko apliecinājumā norādīts, ka tas ir jāpārbauda 5. panta 3. punktā minētajam nolūkam, un kas atbilst </w:t>
      </w:r>
      <w:r>
        <w:rPr>
          <w:rFonts w:ascii="Times New Roman" w:hAnsi="Times New Roman"/>
          <w:i/>
          <w:iCs/>
          <w:sz w:val="24"/>
        </w:rPr>
        <w:t>RIPA</w:t>
      </w:r>
      <w:r>
        <w:rPr>
          <w:rFonts w:ascii="Times New Roman" w:hAnsi="Times New Roman"/>
          <w:sz w:val="24"/>
        </w:rPr>
        <w:t xml:space="preserve"> 16. panta 2.–6. punktā norādītajiem nosacījumiem. Jāreģistrē arī pasākumi, ar kuriem nodrošina atbilstību 15. panta 2. punktā (pārtvertā materiāla kopēšanas un izplatīšanas samazināšana līdz minimumam) un 15. panta 3. punktā (pārtvertā materiāla iznīcināšana) minētajām prasībām. Skat. detalizētāku informāciju nodaļā “Drošības pasākumi”.</w:t>
      </w:r>
    </w:p>
    <w:p w14:paraId="76E78746" w14:textId="77777777" w:rsidR="008349DE" w:rsidRPr="008D031E" w:rsidRDefault="008349DE" w:rsidP="001F1E46">
      <w:pPr>
        <w:pStyle w:val="JuQuot"/>
        <w:widowControl w:val="0"/>
        <w:spacing w:before="0" w:after="0"/>
        <w:ind w:left="284" w:firstLine="0"/>
        <w:rPr>
          <w:rFonts w:ascii="Times New Roman" w:hAnsi="Times New Roman"/>
          <w:noProof/>
          <w:sz w:val="24"/>
          <w:lang w:val="en-US"/>
        </w:rPr>
      </w:pPr>
    </w:p>
    <w:p w14:paraId="1C11B2DE" w14:textId="48D89EDA"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7. DROŠĪBAS PASĀKUMI</w:t>
      </w:r>
    </w:p>
    <w:p w14:paraId="7C1BBD8D" w14:textId="77777777" w:rsidR="008349DE" w:rsidRPr="008D031E" w:rsidRDefault="008349DE" w:rsidP="001F1E46">
      <w:pPr>
        <w:pStyle w:val="JuQuot"/>
        <w:widowControl w:val="0"/>
        <w:spacing w:before="0" w:after="0"/>
        <w:ind w:left="284" w:firstLine="0"/>
        <w:rPr>
          <w:rFonts w:ascii="Times New Roman" w:hAnsi="Times New Roman"/>
          <w:noProof/>
          <w:sz w:val="24"/>
          <w:lang w:val="en-US"/>
        </w:rPr>
      </w:pPr>
    </w:p>
    <w:p w14:paraId="6E07A7D1" w14:textId="3F207225"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7.1. Viss materiāls, kas pārtverts saskaņā ar oderi, kurš atbilst </w:t>
      </w:r>
      <w:r>
        <w:rPr>
          <w:rFonts w:ascii="Times New Roman" w:hAnsi="Times New Roman"/>
          <w:i/>
          <w:iCs/>
          <w:sz w:val="24"/>
        </w:rPr>
        <w:t>RIPA</w:t>
      </w:r>
      <w:r>
        <w:rPr>
          <w:rFonts w:ascii="Times New Roman" w:hAnsi="Times New Roman"/>
          <w:sz w:val="24"/>
        </w:rPr>
        <w:t xml:space="preserve"> 8. panta 1. vai 4. punktam, un jebkuri saistītie sakaru dati jāapstrādā saskaņā ar drošības pasākumiem, kurus valsts sekretārs(-e) apstiprinājis atbilstoši pienākumam, ko tam vai tai uzliek </w:t>
      </w:r>
      <w:r>
        <w:rPr>
          <w:rFonts w:ascii="Times New Roman" w:hAnsi="Times New Roman"/>
          <w:i/>
          <w:iCs/>
          <w:sz w:val="24"/>
        </w:rPr>
        <w:t>RIPA</w:t>
      </w:r>
      <w:r>
        <w:rPr>
          <w:rFonts w:ascii="Times New Roman" w:hAnsi="Times New Roman"/>
          <w:sz w:val="24"/>
        </w:rPr>
        <w:t xml:space="preserve">. Šie drošības pasākumi ir pieejami komisāram sakaru pārtveršanas jautājumos, un tiem jāatbilst </w:t>
      </w:r>
      <w:r>
        <w:rPr>
          <w:rFonts w:ascii="Times New Roman" w:hAnsi="Times New Roman"/>
          <w:i/>
          <w:iCs/>
          <w:sz w:val="24"/>
        </w:rPr>
        <w:t>RIPA</w:t>
      </w:r>
      <w:r>
        <w:rPr>
          <w:rFonts w:ascii="Times New Roman" w:hAnsi="Times New Roman"/>
          <w:sz w:val="24"/>
        </w:rPr>
        <w:t xml:space="preserve"> 15. panta prasībām, kas norādītas turpmāk. Turklāt </w:t>
      </w:r>
      <w:r>
        <w:rPr>
          <w:rFonts w:ascii="Times New Roman" w:hAnsi="Times New Roman"/>
          <w:i/>
          <w:iCs/>
          <w:sz w:val="24"/>
        </w:rPr>
        <w:t>RIPA</w:t>
      </w:r>
      <w:r>
        <w:rPr>
          <w:rFonts w:ascii="Times New Roman" w:hAnsi="Times New Roman"/>
          <w:sz w:val="24"/>
        </w:rPr>
        <w:t xml:space="preserve"> 16. pantā noteiktie drošības pasākumi attiecas uz orderiem, kas atbilst 8. panta 4. punktam. Par jebkuru šo drošības pasākumu pārkāpumu jāziņo komisāram sakaru pārtveršanas jautājumos. Pārtveršanas </w:t>
      </w:r>
      <w:r>
        <w:rPr>
          <w:rFonts w:ascii="Times New Roman" w:hAnsi="Times New Roman"/>
          <w:sz w:val="24"/>
        </w:rPr>
        <w:lastRenderedPageBreak/>
        <w:t>aģentūrām periodiski jāpārskata savi iekšējie drošības pasākumi, lai nodrošinātu, ka tie ir aktuāli un efektīvi. Šādas periodiskas pārskatīšanas laikā aģentūrām jāapsver, vai vairākus šos iekšējos pasākumus varētu droši un lietderīgi nodot atklātībā.</w:t>
      </w:r>
    </w:p>
    <w:p w14:paraId="36B1E838" w14:textId="77777777" w:rsidR="008349DE" w:rsidRPr="008D031E" w:rsidRDefault="008349DE" w:rsidP="001F1E46">
      <w:pPr>
        <w:pStyle w:val="JuQuot"/>
        <w:widowControl w:val="0"/>
        <w:spacing w:before="0" w:after="0"/>
        <w:ind w:left="284" w:firstLine="0"/>
        <w:rPr>
          <w:rFonts w:ascii="Times New Roman" w:hAnsi="Times New Roman"/>
          <w:noProof/>
          <w:sz w:val="24"/>
          <w:lang w:val="en-US"/>
        </w:rPr>
      </w:pPr>
    </w:p>
    <w:p w14:paraId="36BDED78" w14:textId="77777777" w:rsidR="000E3283" w:rsidRDefault="000E3283" w:rsidP="001F1E46">
      <w:pPr>
        <w:pStyle w:val="JuQuot"/>
        <w:widowControl w:val="0"/>
        <w:spacing w:before="0" w:after="0"/>
        <w:ind w:left="284" w:firstLine="0"/>
        <w:rPr>
          <w:rFonts w:ascii="Times New Roman" w:hAnsi="Times New Roman"/>
          <w:b/>
          <w:noProof/>
          <w:sz w:val="24"/>
        </w:rPr>
      </w:pPr>
      <w:r>
        <w:rPr>
          <w:rFonts w:ascii="Times New Roman" w:hAnsi="Times New Roman"/>
          <w:b/>
          <w:sz w:val="24"/>
        </w:rPr>
        <w:t>15. pantā noteiktie drošības pasākumi</w:t>
      </w:r>
    </w:p>
    <w:p w14:paraId="03B6504C" w14:textId="77777777" w:rsidR="008349DE" w:rsidRPr="008D031E" w:rsidRDefault="008349DE" w:rsidP="001F1E46">
      <w:pPr>
        <w:pStyle w:val="JuQuot"/>
        <w:widowControl w:val="0"/>
        <w:spacing w:before="0" w:after="0"/>
        <w:ind w:left="284" w:firstLine="0"/>
        <w:rPr>
          <w:rFonts w:ascii="Times New Roman" w:hAnsi="Times New Roman"/>
          <w:b/>
          <w:noProof/>
          <w:sz w:val="24"/>
          <w:lang w:val="en-US"/>
        </w:rPr>
      </w:pPr>
    </w:p>
    <w:p w14:paraId="2F4BE7D7" w14:textId="3FAF8016"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7.2. </w:t>
      </w:r>
      <w:r>
        <w:rPr>
          <w:rFonts w:ascii="Times New Roman" w:hAnsi="Times New Roman"/>
          <w:i/>
          <w:iCs/>
          <w:sz w:val="24"/>
        </w:rPr>
        <w:t>RIPA</w:t>
      </w:r>
      <w:r>
        <w:rPr>
          <w:rFonts w:ascii="Times New Roman" w:hAnsi="Times New Roman"/>
          <w:sz w:val="24"/>
        </w:rPr>
        <w:t xml:space="preserve"> 15. pants nosaka, ka pārtvertā materiāla izpaušana, kopēšana un saglabāšana ir ierobežota līdz minimumam atļautajiem nolūkiem. </w:t>
      </w:r>
      <w:r>
        <w:rPr>
          <w:rFonts w:ascii="Times New Roman" w:hAnsi="Times New Roman"/>
          <w:i/>
          <w:iCs/>
          <w:sz w:val="24"/>
        </w:rPr>
        <w:t>RIPA</w:t>
      </w:r>
      <w:r>
        <w:rPr>
          <w:rFonts w:ascii="Times New Roman" w:hAnsi="Times New Roman"/>
          <w:sz w:val="24"/>
        </w:rPr>
        <w:t xml:space="preserve"> 15. panta 4. punkts paredz, ka kaut kas ir nepieciešams atļautajiem nolūkiem, ja pārtvertais materiāls:</w:t>
      </w:r>
    </w:p>
    <w:p w14:paraId="3B10C0CF" w14:textId="77777777" w:rsidR="008349DE" w:rsidRPr="008D031E" w:rsidRDefault="008349DE" w:rsidP="001F1E46">
      <w:pPr>
        <w:pStyle w:val="JuQuot"/>
        <w:widowControl w:val="0"/>
        <w:spacing w:before="0" w:after="0"/>
        <w:ind w:left="284" w:firstLine="0"/>
        <w:rPr>
          <w:rFonts w:ascii="Times New Roman" w:hAnsi="Times New Roman"/>
          <w:noProof/>
          <w:sz w:val="24"/>
          <w:lang w:val="en-US"/>
        </w:rPr>
      </w:pPr>
    </w:p>
    <w:p w14:paraId="0E09F561" w14:textId="77777777" w:rsidR="000E3283" w:rsidRPr="008D031E" w:rsidRDefault="000E3283" w:rsidP="001F1E46">
      <w:pPr>
        <w:pStyle w:val="JuQuot"/>
        <w:widowControl w:val="0"/>
        <w:numPr>
          <w:ilvl w:val="0"/>
          <w:numId w:val="20"/>
        </w:numPr>
        <w:spacing w:before="0" w:after="0"/>
        <w:ind w:left="851" w:hanging="284"/>
        <w:rPr>
          <w:rFonts w:ascii="Times New Roman" w:hAnsi="Times New Roman"/>
          <w:noProof/>
          <w:sz w:val="24"/>
        </w:rPr>
      </w:pPr>
      <w:r>
        <w:rPr>
          <w:rFonts w:ascii="Times New Roman" w:hAnsi="Times New Roman"/>
          <w:sz w:val="24"/>
        </w:rPr>
        <w:t>joprojām ir vai, visticamāk, kļūs nepieciešams, kā norādīts likuma 5. panta 3. punktā, proti, valsts drošības interesēs, smaga nozieguma novēršanai vai atklāšanai vai arī Apvienotās Karalistes ekonomiskās labklājības aizsardzībai apstākļos, kas valsts sekretāra ieskatā skar valsts drošību;</w:t>
      </w:r>
    </w:p>
    <w:p w14:paraId="2F174EA6" w14:textId="77777777" w:rsidR="000E3283" w:rsidRPr="008D031E" w:rsidRDefault="000E3283" w:rsidP="001F1E46">
      <w:pPr>
        <w:pStyle w:val="JuQuot"/>
        <w:widowControl w:val="0"/>
        <w:numPr>
          <w:ilvl w:val="0"/>
          <w:numId w:val="20"/>
        </w:numPr>
        <w:spacing w:before="0" w:after="0"/>
        <w:ind w:left="851" w:hanging="284"/>
        <w:rPr>
          <w:rFonts w:ascii="Times New Roman" w:hAnsi="Times New Roman"/>
          <w:noProof/>
          <w:sz w:val="24"/>
        </w:rPr>
      </w:pPr>
      <w:r>
        <w:rPr>
          <w:rFonts w:ascii="Times New Roman" w:hAnsi="Times New Roman"/>
          <w:sz w:val="24"/>
        </w:rPr>
        <w:t xml:space="preserve">ir nepieciešams, lai sekmētu valsts sekretāra funkciju izpildi saskaņā ar </w:t>
      </w:r>
      <w:r>
        <w:rPr>
          <w:rFonts w:ascii="Times New Roman" w:hAnsi="Times New Roman"/>
          <w:i/>
          <w:iCs/>
          <w:sz w:val="24"/>
        </w:rPr>
        <w:t>RIPA</w:t>
      </w:r>
      <w:r>
        <w:rPr>
          <w:rFonts w:ascii="Times New Roman" w:hAnsi="Times New Roman"/>
          <w:sz w:val="24"/>
        </w:rPr>
        <w:t xml:space="preserve"> I daļas I nodaļu;</w:t>
      </w:r>
    </w:p>
    <w:p w14:paraId="2C3109ED" w14:textId="77777777" w:rsidR="000E3283" w:rsidRPr="008D031E" w:rsidRDefault="000E3283" w:rsidP="001F1E46">
      <w:pPr>
        <w:pStyle w:val="JuQuot"/>
        <w:widowControl w:val="0"/>
        <w:numPr>
          <w:ilvl w:val="0"/>
          <w:numId w:val="20"/>
        </w:numPr>
        <w:spacing w:before="0" w:after="0"/>
        <w:ind w:left="851" w:hanging="284"/>
        <w:rPr>
          <w:rFonts w:ascii="Times New Roman" w:hAnsi="Times New Roman"/>
          <w:noProof/>
          <w:sz w:val="24"/>
        </w:rPr>
      </w:pPr>
      <w:r>
        <w:rPr>
          <w:rFonts w:ascii="Times New Roman" w:hAnsi="Times New Roman"/>
          <w:sz w:val="24"/>
        </w:rPr>
        <w:t>ir nepieciešams, lai sekmētu jebkuras komisāra sakaru pārtveršanas jautājumos vai tiesas funkcijas izpildi;</w:t>
      </w:r>
    </w:p>
    <w:p w14:paraId="705697D8" w14:textId="77777777" w:rsidR="000E3283" w:rsidRPr="008D031E" w:rsidRDefault="000E3283" w:rsidP="001F1E46">
      <w:pPr>
        <w:pStyle w:val="JuQuot"/>
        <w:widowControl w:val="0"/>
        <w:numPr>
          <w:ilvl w:val="0"/>
          <w:numId w:val="20"/>
        </w:numPr>
        <w:spacing w:before="0" w:after="0"/>
        <w:ind w:left="851" w:hanging="284"/>
        <w:rPr>
          <w:rFonts w:ascii="Times New Roman" w:hAnsi="Times New Roman"/>
          <w:noProof/>
          <w:sz w:val="24"/>
        </w:rPr>
      </w:pPr>
      <w:r>
        <w:rPr>
          <w:rFonts w:ascii="Times New Roman" w:hAnsi="Times New Roman"/>
          <w:sz w:val="24"/>
        </w:rPr>
        <w:t>ir nepieciešams, lai nodrošinātu, ka persona, kas veic kriminālvajāšanu, ir informēta par to, ko tās amata pienākums paredz, lai kriminālvajāšanā nodrošinātu godīgumu, vai</w:t>
      </w:r>
    </w:p>
    <w:p w14:paraId="450C3600" w14:textId="77777777" w:rsidR="000E3283" w:rsidRDefault="000E3283" w:rsidP="001F1E46">
      <w:pPr>
        <w:pStyle w:val="JuQuot"/>
        <w:widowControl w:val="0"/>
        <w:numPr>
          <w:ilvl w:val="0"/>
          <w:numId w:val="20"/>
        </w:numPr>
        <w:spacing w:before="0" w:after="0"/>
        <w:ind w:left="851" w:hanging="284"/>
        <w:rPr>
          <w:rFonts w:ascii="Times New Roman" w:hAnsi="Times New Roman"/>
          <w:noProof/>
          <w:sz w:val="24"/>
        </w:rPr>
      </w:pPr>
      <w:r>
        <w:rPr>
          <w:rFonts w:ascii="Times New Roman" w:hAnsi="Times New Roman"/>
          <w:sz w:val="24"/>
        </w:rPr>
        <w:t>ir nepieciešams, lai izpildītu jebkuru amata pienākumu, ko nosaka publisko reģistru tiesību akti.</w:t>
      </w:r>
    </w:p>
    <w:p w14:paraId="32657306" w14:textId="77777777" w:rsidR="00BB741E" w:rsidRPr="008D031E" w:rsidRDefault="00BB741E" w:rsidP="001F1E46">
      <w:pPr>
        <w:pStyle w:val="JuQuot"/>
        <w:widowControl w:val="0"/>
        <w:spacing w:before="0" w:after="0"/>
        <w:ind w:left="284" w:firstLine="0"/>
        <w:rPr>
          <w:rFonts w:ascii="Times New Roman" w:hAnsi="Times New Roman"/>
          <w:noProof/>
          <w:sz w:val="24"/>
          <w:lang w:val="en-US"/>
        </w:rPr>
      </w:pPr>
    </w:p>
    <w:p w14:paraId="008073A6" w14:textId="77777777" w:rsidR="000E3283" w:rsidRDefault="000E3283" w:rsidP="001F1E46">
      <w:pPr>
        <w:pStyle w:val="JuQuot"/>
        <w:widowControl w:val="0"/>
        <w:spacing w:before="0" w:after="0"/>
        <w:ind w:left="284" w:firstLine="0"/>
        <w:rPr>
          <w:rFonts w:ascii="Times New Roman" w:hAnsi="Times New Roman"/>
          <w:b/>
          <w:noProof/>
          <w:sz w:val="24"/>
        </w:rPr>
      </w:pPr>
      <w:r>
        <w:rPr>
          <w:rFonts w:ascii="Times New Roman" w:hAnsi="Times New Roman"/>
          <w:b/>
          <w:sz w:val="24"/>
        </w:rPr>
        <w:t>Pārtvertā materiāla izplatīšana</w:t>
      </w:r>
    </w:p>
    <w:p w14:paraId="437C7EF3" w14:textId="77777777" w:rsidR="00BB741E" w:rsidRPr="008D031E" w:rsidRDefault="00BB741E" w:rsidP="001F1E46">
      <w:pPr>
        <w:pStyle w:val="JuQuot"/>
        <w:widowControl w:val="0"/>
        <w:spacing w:before="0" w:after="0"/>
        <w:ind w:left="284" w:firstLine="0"/>
        <w:rPr>
          <w:rFonts w:ascii="Times New Roman" w:hAnsi="Times New Roman"/>
          <w:b/>
          <w:noProof/>
          <w:sz w:val="24"/>
          <w:lang w:val="en-US"/>
        </w:rPr>
      </w:pPr>
    </w:p>
    <w:p w14:paraId="5AE14C05" w14:textId="66583F1F"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7.3. To personu skaitu, kurām pārtverto materiālu izpauž, un šādas izpaušanas apmēru ierobežo līdz minimumam, kas nepieciešams atļautajiem nolūkiem, kuri norādīti </w:t>
      </w:r>
      <w:r>
        <w:rPr>
          <w:rFonts w:ascii="Times New Roman" w:hAnsi="Times New Roman"/>
          <w:i/>
          <w:iCs/>
          <w:sz w:val="24"/>
        </w:rPr>
        <w:t>RIPA</w:t>
      </w:r>
      <w:r>
        <w:rPr>
          <w:rFonts w:ascii="Times New Roman" w:hAnsi="Times New Roman"/>
          <w:sz w:val="24"/>
        </w:rPr>
        <w:t xml:space="preserve"> 15. panta 4. punktā. Šis pienākums attiecas gan uz informācijas izpaušanu papildu personām aģentūrā, gan uz izpaušanu ārpus tās. To īsteno, aizliedzot izpaust materiālu personām, kuras nav atbilstoši pārbaudītas, kā arī ievērojot “nepieciešamības zināt” principu, proti, pārtverto materiālu nedrīkst izpaust nevienai personai, ja vien šīs personas pienākumi, kuriem ir jāattiecas uz kādu no atļautajiem nolūkiem, neparedz, ka tam vai tai jāzina par pārtverto materiālu, lai veiktu šos pienākumus. Tieši tāpat var izpaust tikai tik daudz pārtvertā materiāla, cik nepieciešams saņēmējam. Piemēram, ja pietiks ar pārtvertā materiāla kopsavilkumu, nav jāizpauž vairāk par šo materiāla apjomu.</w:t>
      </w:r>
    </w:p>
    <w:p w14:paraId="102E35CF" w14:textId="0D098600"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7.4. Pienākumi attiecas ne tikai uz sākotnējo </w:t>
      </w:r>
      <w:proofErr w:type="spellStart"/>
      <w:r>
        <w:rPr>
          <w:rFonts w:ascii="Times New Roman" w:hAnsi="Times New Roman"/>
          <w:sz w:val="24"/>
        </w:rPr>
        <w:t>pārtvērēju</w:t>
      </w:r>
      <w:proofErr w:type="spellEnd"/>
      <w:r>
        <w:rPr>
          <w:rFonts w:ascii="Times New Roman" w:hAnsi="Times New Roman"/>
          <w:sz w:val="24"/>
        </w:rPr>
        <w:t>, bet arī uz ikvienu, kam pārtvertais materiāls vēlāk tiek atklāts. Atsevišķos gadījumos to panāks, uzliekot pēdējam no minētajiem par pienākumu pirms pārtvertā materiāla turpmākas izpaušanas saņemt dokumenta sastādītāja atļauju. Citos gadījumos sekundārajiem saņēmējiem piemēro skaidrus drošības pasākumus.</w:t>
      </w:r>
    </w:p>
    <w:p w14:paraId="57D30AE8" w14:textId="0E46678D"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7.5. Ja pārtvertais materiāls tiek izpausts ārpus Apvienotās Karalistes esošas valsts vai teritorijas iestādēm, aģentūrai ir jāveic saprātīgi pasākumi, lai nodrošinātu, ka attiecīgās iestādes ir ieviesušas un uzturēs nepieciešamās procedūras, lai aizsargātu pārtverto materiālu, kā arī nodrošinātu, ka šis materiāls tiek izpausts, kopēts, izplatīts un saglabāts vienīgi minimālajā nepieciešamajā apjomā. Turklāt pārtverto materiālu nedrīkst tālāk izpaust trešās valsts vai teritorijas iestādēm, ja vien tas nav nepārprotami saskaņots ar izdevēju iestādi, un materiāls ir jāatdod izdevējai iestādei vai droši jāiznīcina, kad tas vairs nav nepieciešams.</w:t>
      </w:r>
    </w:p>
    <w:p w14:paraId="01794ECA" w14:textId="77777777" w:rsidR="00BB741E" w:rsidRPr="008D031E" w:rsidRDefault="00BB741E" w:rsidP="001F1E46">
      <w:pPr>
        <w:pStyle w:val="JuQuot"/>
        <w:widowControl w:val="0"/>
        <w:spacing w:before="0" w:after="0"/>
        <w:ind w:left="284" w:firstLine="0"/>
        <w:rPr>
          <w:rFonts w:ascii="Times New Roman" w:hAnsi="Times New Roman"/>
          <w:noProof/>
          <w:sz w:val="24"/>
          <w:lang w:val="en-US"/>
        </w:rPr>
      </w:pPr>
    </w:p>
    <w:p w14:paraId="565655C6" w14:textId="77777777" w:rsidR="000E3283" w:rsidRDefault="000E3283" w:rsidP="001F1E46">
      <w:pPr>
        <w:pStyle w:val="JuQuot"/>
        <w:widowControl w:val="0"/>
        <w:spacing w:before="0" w:after="0"/>
        <w:ind w:left="284" w:firstLine="0"/>
        <w:rPr>
          <w:rFonts w:ascii="Times New Roman" w:hAnsi="Times New Roman"/>
          <w:b/>
          <w:noProof/>
          <w:sz w:val="24"/>
        </w:rPr>
      </w:pPr>
      <w:r>
        <w:rPr>
          <w:rFonts w:ascii="Times New Roman" w:hAnsi="Times New Roman"/>
          <w:b/>
          <w:sz w:val="24"/>
        </w:rPr>
        <w:lastRenderedPageBreak/>
        <w:t>Kopēšana</w:t>
      </w:r>
    </w:p>
    <w:p w14:paraId="1284DD07" w14:textId="77777777" w:rsidR="00BB741E" w:rsidRPr="008D031E" w:rsidRDefault="00BB741E" w:rsidP="001F1E46">
      <w:pPr>
        <w:pStyle w:val="JuQuot"/>
        <w:widowControl w:val="0"/>
        <w:spacing w:before="0" w:after="0"/>
        <w:ind w:left="284" w:firstLine="0"/>
        <w:rPr>
          <w:rFonts w:ascii="Times New Roman" w:hAnsi="Times New Roman"/>
          <w:b/>
          <w:noProof/>
          <w:sz w:val="24"/>
          <w:lang w:val="en-US"/>
        </w:rPr>
      </w:pPr>
    </w:p>
    <w:p w14:paraId="4925718F" w14:textId="02BA5908"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7.6. Pārtverto materiālu var kopēt tikai tiktāl, cik tas ir nepieciešams </w:t>
      </w:r>
      <w:r>
        <w:rPr>
          <w:rFonts w:ascii="Times New Roman" w:hAnsi="Times New Roman"/>
          <w:i/>
          <w:iCs/>
          <w:sz w:val="24"/>
        </w:rPr>
        <w:t>RIPA</w:t>
      </w:r>
      <w:r>
        <w:rPr>
          <w:rFonts w:ascii="Times New Roman" w:hAnsi="Times New Roman"/>
          <w:sz w:val="24"/>
        </w:rPr>
        <w:t xml:space="preserve"> 15. panta 4. punktā noteiktajiem atļautajiem nolūkiem. Kopijas ietver ne tikai visa pārtvertā materiāla tiešas kopijas, bet arī izrakstus un kopsavilkumus, kas identificē sevi kā pārtveršanas produktu, kā arī jebkuru uz pārtveršanu attiecināmu ierakstu, kas ietver to personu identitāti, kurām pārtvertais materiāls nosūtīts vai kuras to nosūtījušas. Ierobežojumi tiek īstenoti, uzliekot par pienākumu rīkoties īpaši ar kopijām, izrakstiem un kopsavilkumiem, kas izveidoti, reģistrējot to izveidi, izplatīšanu un iznīcināšanu.</w:t>
      </w:r>
    </w:p>
    <w:p w14:paraId="6ABE3556" w14:textId="77777777" w:rsidR="00BB741E" w:rsidRPr="008D031E" w:rsidRDefault="00BB741E" w:rsidP="001F1E46">
      <w:pPr>
        <w:pStyle w:val="JuQuot"/>
        <w:widowControl w:val="0"/>
        <w:spacing w:before="0" w:after="0"/>
        <w:ind w:left="284" w:firstLine="0"/>
        <w:rPr>
          <w:rFonts w:ascii="Times New Roman" w:hAnsi="Times New Roman"/>
          <w:noProof/>
          <w:sz w:val="24"/>
          <w:lang w:val="en-US"/>
        </w:rPr>
      </w:pPr>
    </w:p>
    <w:p w14:paraId="3C82529E" w14:textId="77777777" w:rsidR="000E3283" w:rsidRDefault="000E3283" w:rsidP="001F1E46">
      <w:pPr>
        <w:pStyle w:val="JuQuot"/>
        <w:widowControl w:val="0"/>
        <w:spacing w:before="0" w:after="0"/>
        <w:ind w:left="284" w:firstLine="0"/>
        <w:rPr>
          <w:rFonts w:ascii="Times New Roman" w:hAnsi="Times New Roman"/>
          <w:b/>
          <w:noProof/>
          <w:sz w:val="24"/>
        </w:rPr>
      </w:pPr>
      <w:r>
        <w:rPr>
          <w:rFonts w:ascii="Times New Roman" w:hAnsi="Times New Roman"/>
          <w:b/>
          <w:sz w:val="24"/>
        </w:rPr>
        <w:t>Uzglabāšana</w:t>
      </w:r>
    </w:p>
    <w:p w14:paraId="3D45B0E8" w14:textId="77777777" w:rsidR="00BB741E" w:rsidRPr="008D031E" w:rsidRDefault="00BB741E" w:rsidP="001F1E46">
      <w:pPr>
        <w:pStyle w:val="JuQuot"/>
        <w:widowControl w:val="0"/>
        <w:spacing w:before="0" w:after="0"/>
        <w:ind w:left="284" w:firstLine="0"/>
        <w:rPr>
          <w:rFonts w:ascii="Times New Roman" w:hAnsi="Times New Roman"/>
          <w:b/>
          <w:noProof/>
          <w:sz w:val="24"/>
          <w:lang w:val="en-US"/>
        </w:rPr>
      </w:pPr>
    </w:p>
    <w:p w14:paraId="6EA83ECD" w14:textId="208456EE"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7.7. Pārtvertais materiāls un visas tā kopijas, izraksti un kopsavilkumi ir jāapstrādā un jāuzglabā droši, lai samazinātu to zaudēšanas vai zādzības risku. Tas jāuzglabā tā, lai nebūtu pieejams personām, kurām nav nepieciešamā drošības pārbaudes līmeņa. Šis pienākums droši uzglabāt pārtverto produktu attiecas uz visām personām, kuras ir atbildīgas par tā apstrādi, tostarp </w:t>
      </w:r>
      <w:proofErr w:type="spellStart"/>
      <w:r>
        <w:rPr>
          <w:rFonts w:ascii="Times New Roman" w:hAnsi="Times New Roman"/>
          <w:sz w:val="24"/>
        </w:rPr>
        <w:t>SPS</w:t>
      </w:r>
      <w:proofErr w:type="spellEnd"/>
      <w:r>
        <w:rPr>
          <w:rFonts w:ascii="Times New Roman" w:hAnsi="Times New Roman"/>
          <w:sz w:val="24"/>
        </w:rPr>
        <w:t xml:space="preserve">. Detalizēta informācija par to, ko šāda prasība praksē nozīmēs attiecībā uz </w:t>
      </w:r>
      <w:proofErr w:type="spellStart"/>
      <w:r>
        <w:rPr>
          <w:rFonts w:ascii="Times New Roman" w:hAnsi="Times New Roman"/>
          <w:sz w:val="24"/>
        </w:rPr>
        <w:t>SPS</w:t>
      </w:r>
      <w:proofErr w:type="spellEnd"/>
      <w:r>
        <w:rPr>
          <w:rFonts w:ascii="Times New Roman" w:hAnsi="Times New Roman"/>
          <w:sz w:val="24"/>
        </w:rPr>
        <w:t>, tiks izklāstīta pārrunās ar valdību pirms 12. pantā minētā paziņojuma nosūtīšanas (skat. 3.13. punktu).</w:t>
      </w:r>
    </w:p>
    <w:p w14:paraId="2581235A" w14:textId="77777777" w:rsidR="00BB741E" w:rsidRPr="008D031E" w:rsidRDefault="00BB741E" w:rsidP="001F1E46">
      <w:pPr>
        <w:pStyle w:val="JuQuot"/>
        <w:widowControl w:val="0"/>
        <w:spacing w:before="0" w:after="0"/>
        <w:ind w:left="284" w:firstLine="0"/>
        <w:rPr>
          <w:rFonts w:ascii="Times New Roman" w:hAnsi="Times New Roman"/>
          <w:noProof/>
          <w:sz w:val="24"/>
          <w:lang w:val="en-US"/>
        </w:rPr>
      </w:pPr>
    </w:p>
    <w:p w14:paraId="477E42A5" w14:textId="77777777" w:rsidR="000E3283" w:rsidRDefault="000E3283" w:rsidP="001F1E46">
      <w:pPr>
        <w:pStyle w:val="JuQuot"/>
        <w:widowControl w:val="0"/>
        <w:spacing w:before="0" w:after="0"/>
        <w:ind w:left="284" w:firstLine="0"/>
        <w:rPr>
          <w:rFonts w:ascii="Times New Roman" w:hAnsi="Times New Roman"/>
          <w:b/>
          <w:noProof/>
          <w:sz w:val="24"/>
        </w:rPr>
      </w:pPr>
      <w:r>
        <w:rPr>
          <w:rFonts w:ascii="Times New Roman" w:hAnsi="Times New Roman"/>
          <w:b/>
          <w:sz w:val="24"/>
        </w:rPr>
        <w:t>Iznīcināšana</w:t>
      </w:r>
    </w:p>
    <w:p w14:paraId="7EF8673C" w14:textId="77777777" w:rsidR="00BB741E" w:rsidRPr="008D031E" w:rsidRDefault="00BB741E" w:rsidP="001F1E46">
      <w:pPr>
        <w:pStyle w:val="JuQuot"/>
        <w:widowControl w:val="0"/>
        <w:spacing w:before="0" w:after="0"/>
        <w:ind w:left="284" w:firstLine="0"/>
        <w:rPr>
          <w:rFonts w:ascii="Times New Roman" w:hAnsi="Times New Roman"/>
          <w:b/>
          <w:noProof/>
          <w:sz w:val="24"/>
          <w:lang w:val="en-US"/>
        </w:rPr>
      </w:pPr>
    </w:p>
    <w:p w14:paraId="51CF9DAA" w14:textId="1206D48E"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7.8. Pārtvertais materiāls un visas tā kopijas, izraksti un kopsavilkumi, ko var identificēt kā pārtveršanas produktu, ir jāatzīmē dzēšanai un pēc iespējas ātrāk droši jāiznīcina, tiklīdz tie vairs nav nepieciešami nevienam no atļautajiem nolūkiem. Ja pārtvertais materiāls tiek saglabāts, tas atbilstošos intervālos ir jāpārskata, lai pārliecinātos, ka saskaņā ar </w:t>
      </w:r>
      <w:r>
        <w:rPr>
          <w:rFonts w:ascii="Times New Roman" w:hAnsi="Times New Roman"/>
          <w:i/>
          <w:iCs/>
          <w:sz w:val="24"/>
        </w:rPr>
        <w:t>RIPA</w:t>
      </w:r>
      <w:r>
        <w:rPr>
          <w:rFonts w:ascii="Times New Roman" w:hAnsi="Times New Roman"/>
          <w:sz w:val="24"/>
        </w:rPr>
        <w:t xml:space="preserve"> 15. panta 3. punktu joprojām ir pamatots iemesls to saglabāt.</w:t>
      </w:r>
    </w:p>
    <w:p w14:paraId="24E067EA" w14:textId="63584EA4"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7.9. Ja pārtveršanas aģentūra veic pārtveršanu atbilstoši 8. panta 4. punktā noteiktajam orderim un saņem neanalizētu pārtverto materiālu un saistītos sakaru datus, kas pārtverti atbilstoši šim orderim, tai jānorāda (vai atkarībā no sistēmas jānosaka) maksimālie saglabāšanas periodi dažādām šādu datu kategorijām, kas norāda attiecīgo datu raksturīgās iezīmes un iejaukšanās pakāpi. Norādītajiem laika periodiem parasti nav jāilgst vairāk par diviem gadiem, un tie jāsaskaņo ar komisāru sakaru pārtveršanas jautājumos. Datus var saglabāt ilgāk par piemērojamo maksimālo saglabāšanas periodu tikai tad, ja iepriekš no attiecīgās izlūkošanas aģentūras vecākās amatpersonas ir saņemta atļauja, pamatojoties uz to, ka konkrēto datu turpmāka saglabāšana ir tikusi atzīta par nepieciešamu un samērīgu. Ja pēc tam tiek atzīts, ka šo datu turpmāka saglabāšana vairs neatbilst nepieciešamības un samērīguma pārbaudēm, tie ir jādzēš. Ciktāl tas iespējams, visu saglabāšanas periodu pamatā ir jābūt automātiskas dzēšanas procesam, kas tiek uzsākts, tiklīdz ir apritējis attiecīgajiem datiem piemērojamais maksimālais saglabāšanas periods.</w:t>
      </w:r>
    </w:p>
    <w:p w14:paraId="064D7BD4" w14:textId="77777777" w:rsidR="00BB741E" w:rsidRPr="008D031E" w:rsidRDefault="00BB741E" w:rsidP="001F1E46">
      <w:pPr>
        <w:pStyle w:val="JuQuot"/>
        <w:widowControl w:val="0"/>
        <w:spacing w:before="0" w:after="0"/>
        <w:ind w:left="284" w:firstLine="0"/>
        <w:rPr>
          <w:rFonts w:ascii="Times New Roman" w:hAnsi="Times New Roman"/>
          <w:noProof/>
          <w:sz w:val="24"/>
          <w:lang w:val="en-US"/>
        </w:rPr>
      </w:pPr>
    </w:p>
    <w:p w14:paraId="4FFF37BA" w14:textId="77777777" w:rsidR="000E3283" w:rsidRDefault="000E3283" w:rsidP="001F1E46">
      <w:pPr>
        <w:pStyle w:val="JuQuot"/>
        <w:widowControl w:val="0"/>
        <w:spacing w:before="0" w:after="0"/>
        <w:ind w:left="284" w:firstLine="0"/>
        <w:rPr>
          <w:rFonts w:ascii="Times New Roman" w:hAnsi="Times New Roman"/>
          <w:b/>
          <w:noProof/>
          <w:sz w:val="24"/>
        </w:rPr>
      </w:pPr>
      <w:r>
        <w:rPr>
          <w:rFonts w:ascii="Times New Roman" w:hAnsi="Times New Roman"/>
          <w:b/>
          <w:sz w:val="24"/>
        </w:rPr>
        <w:t>Personāla drošība</w:t>
      </w:r>
    </w:p>
    <w:p w14:paraId="58F40809" w14:textId="77777777" w:rsidR="00BB741E" w:rsidRPr="008D031E" w:rsidRDefault="00BB741E" w:rsidP="001F1E46">
      <w:pPr>
        <w:pStyle w:val="JuQuot"/>
        <w:widowControl w:val="0"/>
        <w:spacing w:before="0" w:after="0"/>
        <w:ind w:left="284" w:firstLine="0"/>
        <w:rPr>
          <w:rFonts w:ascii="Times New Roman" w:hAnsi="Times New Roman"/>
          <w:b/>
          <w:noProof/>
          <w:sz w:val="24"/>
          <w:lang w:val="en-US"/>
        </w:rPr>
      </w:pPr>
    </w:p>
    <w:p w14:paraId="0D09AB7F" w14:textId="6D18EBA6"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7.10. Visām personām, kurām var būt piekļuve pārtvertajam materiālam vai kurām saistībā ar to jāaplūko jebkuri ziņojumi, ir jāveic atbilstoša drošības pārbaude. Ik gadu vadītājiem ir jāapzina jebkuras bažas, kuru dēļ var tikt pārskatīta atsevišķu personāla locekļu drošības pārbaude. Periodiski jāpārskata arī katra atsevišķa personāla locekļa drošības pārbaude. Ja vienas aģentūras darbiniekam ir jāatklāj pārtvertais materiāls kādai citai, tas ir atbildīgs par to, ka saņēmējam ir vajadzīgā atļauja.</w:t>
      </w:r>
    </w:p>
    <w:p w14:paraId="1A14052E" w14:textId="77777777" w:rsidR="00BB741E" w:rsidRPr="008D031E" w:rsidRDefault="00BB741E" w:rsidP="001F1E46">
      <w:pPr>
        <w:pStyle w:val="JuQuot"/>
        <w:widowControl w:val="0"/>
        <w:spacing w:before="0" w:after="0"/>
        <w:ind w:left="284" w:firstLine="0"/>
        <w:rPr>
          <w:rFonts w:ascii="Times New Roman" w:hAnsi="Times New Roman"/>
          <w:noProof/>
          <w:sz w:val="24"/>
          <w:lang w:val="en-US"/>
        </w:rPr>
      </w:pPr>
    </w:p>
    <w:p w14:paraId="4704E135" w14:textId="77777777" w:rsidR="000E3283" w:rsidRDefault="000E3283" w:rsidP="001F1E46">
      <w:pPr>
        <w:pStyle w:val="JuQuot"/>
        <w:widowControl w:val="0"/>
        <w:spacing w:before="0" w:after="0"/>
        <w:ind w:left="284" w:firstLine="0"/>
        <w:rPr>
          <w:rFonts w:ascii="Times New Roman" w:hAnsi="Times New Roman"/>
          <w:b/>
          <w:noProof/>
          <w:sz w:val="24"/>
        </w:rPr>
      </w:pPr>
      <w:r>
        <w:rPr>
          <w:rFonts w:ascii="Times New Roman" w:hAnsi="Times New Roman"/>
          <w:b/>
          <w:sz w:val="24"/>
        </w:rPr>
        <w:lastRenderedPageBreak/>
        <w:t>16. pantā noteiktie drošības pasākumi</w:t>
      </w:r>
    </w:p>
    <w:p w14:paraId="0BA96E9A" w14:textId="77777777" w:rsidR="00BB741E" w:rsidRPr="008D031E" w:rsidRDefault="00BB741E" w:rsidP="001F1E46">
      <w:pPr>
        <w:pStyle w:val="JuQuot"/>
        <w:widowControl w:val="0"/>
        <w:spacing w:before="0" w:after="0"/>
        <w:ind w:left="284" w:firstLine="0"/>
        <w:rPr>
          <w:rFonts w:ascii="Times New Roman" w:hAnsi="Times New Roman"/>
          <w:b/>
          <w:noProof/>
          <w:sz w:val="24"/>
          <w:lang w:val="en-US"/>
        </w:rPr>
      </w:pPr>
    </w:p>
    <w:p w14:paraId="21407F54" w14:textId="7766703F"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7.11. 16. pants paredz papildu drošības pasākumus saistībā ar pārtverto materiālu, kas savākts atbilstoši 8. panta 4. punktā noteiktajam orderim, nosakot, ka drošības pasākumiem:</w:t>
      </w:r>
    </w:p>
    <w:p w14:paraId="420A430D" w14:textId="77777777" w:rsidR="00BB741E" w:rsidRPr="008D031E" w:rsidRDefault="00BB741E" w:rsidP="001F1E46">
      <w:pPr>
        <w:pStyle w:val="JuQuot"/>
        <w:widowControl w:val="0"/>
        <w:spacing w:before="0" w:after="0"/>
        <w:ind w:left="284" w:firstLine="0"/>
        <w:rPr>
          <w:rFonts w:ascii="Times New Roman" w:hAnsi="Times New Roman"/>
          <w:noProof/>
          <w:sz w:val="24"/>
          <w:lang w:val="en-US"/>
        </w:rPr>
      </w:pPr>
    </w:p>
    <w:p w14:paraId="42618186" w14:textId="77777777" w:rsidR="000E3283" w:rsidRPr="008D031E" w:rsidRDefault="000E3283" w:rsidP="001F1E46">
      <w:pPr>
        <w:pStyle w:val="JuQuot"/>
        <w:widowControl w:val="0"/>
        <w:numPr>
          <w:ilvl w:val="0"/>
          <w:numId w:val="21"/>
        </w:numPr>
        <w:spacing w:before="0" w:after="0"/>
        <w:ind w:left="851" w:hanging="284"/>
        <w:rPr>
          <w:rFonts w:ascii="Times New Roman" w:hAnsi="Times New Roman"/>
          <w:noProof/>
          <w:sz w:val="24"/>
        </w:rPr>
      </w:pPr>
      <w:r>
        <w:rPr>
          <w:rFonts w:ascii="Times New Roman" w:hAnsi="Times New Roman"/>
          <w:sz w:val="24"/>
        </w:rPr>
        <w:t>jānodrošina, ka attiecīgā persona pārtverto materiālu lasa, aplūko vai klausās vienīgi tiktāl, ciktāl tas norādīts apliecinājumā, un</w:t>
      </w:r>
    </w:p>
    <w:p w14:paraId="31B2BA83" w14:textId="77777777" w:rsidR="000E3283" w:rsidRDefault="000E3283" w:rsidP="001F1E46">
      <w:pPr>
        <w:pStyle w:val="JuQuot"/>
        <w:widowControl w:val="0"/>
        <w:numPr>
          <w:ilvl w:val="0"/>
          <w:numId w:val="21"/>
        </w:numPr>
        <w:spacing w:before="0" w:after="0"/>
        <w:ind w:left="851" w:hanging="284"/>
        <w:rPr>
          <w:rFonts w:ascii="Times New Roman" w:hAnsi="Times New Roman"/>
          <w:noProof/>
          <w:sz w:val="24"/>
        </w:rPr>
      </w:pPr>
      <w:r>
        <w:rPr>
          <w:rFonts w:ascii="Times New Roman" w:hAnsi="Times New Roman"/>
          <w:sz w:val="24"/>
        </w:rPr>
        <w:t>jāregulē tādu atlasīšanas faktoru izmantošana, kas attiecas uz tādu personu sakariem, par kurām zināms, ka tās attiecīgajā brīdī atrodas Britu salās.</w:t>
      </w:r>
    </w:p>
    <w:p w14:paraId="0A8FB12A" w14:textId="77777777" w:rsidR="00BB741E" w:rsidRPr="008D031E" w:rsidRDefault="00BB741E" w:rsidP="001F1E46">
      <w:pPr>
        <w:pStyle w:val="JuQuot"/>
        <w:widowControl w:val="0"/>
        <w:spacing w:before="0" w:after="0"/>
        <w:ind w:left="284" w:firstLine="0"/>
        <w:rPr>
          <w:rFonts w:ascii="Times New Roman" w:hAnsi="Times New Roman"/>
          <w:noProof/>
          <w:sz w:val="24"/>
          <w:lang w:val="en-US"/>
        </w:rPr>
      </w:pPr>
    </w:p>
    <w:p w14:paraId="30A9FC59" w14:textId="37B0BA61"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7.12. Turklāt jebkurai atsevišķai pārtvertā materiāla atlasei jābūt samērīgai konkrētajos apstākļos (norādīti 1998. gada Cilvēktiesību likuma [</w:t>
      </w:r>
      <w:proofErr w:type="spellStart"/>
      <w:r>
        <w:rPr>
          <w:rFonts w:ascii="Times New Roman" w:hAnsi="Times New Roman"/>
          <w:i/>
          <w:iCs/>
          <w:sz w:val="24"/>
        </w:rPr>
        <w:t>Human</w:t>
      </w:r>
      <w:proofErr w:type="spellEnd"/>
      <w:r>
        <w:rPr>
          <w:rFonts w:ascii="Times New Roman" w:hAnsi="Times New Roman"/>
          <w:i/>
          <w:iCs/>
          <w:sz w:val="24"/>
        </w:rPr>
        <w:t xml:space="preserve"> </w:t>
      </w:r>
      <w:proofErr w:type="spellStart"/>
      <w:r>
        <w:rPr>
          <w:rFonts w:ascii="Times New Roman" w:hAnsi="Times New Roman"/>
          <w:i/>
          <w:iCs/>
          <w:sz w:val="24"/>
        </w:rPr>
        <w:t>Rights</w:t>
      </w:r>
      <w:proofErr w:type="spellEnd"/>
      <w:r>
        <w:rPr>
          <w:rFonts w:ascii="Times New Roman" w:hAnsi="Times New Roman"/>
          <w:i/>
          <w:iCs/>
          <w:sz w:val="24"/>
        </w:rPr>
        <w:t xml:space="preserve"> </w:t>
      </w:r>
      <w:proofErr w:type="spellStart"/>
      <w:r>
        <w:rPr>
          <w:rFonts w:ascii="Times New Roman" w:hAnsi="Times New Roman"/>
          <w:i/>
          <w:iCs/>
          <w:sz w:val="24"/>
        </w:rPr>
        <w:t>Act</w:t>
      </w:r>
      <w:proofErr w:type="spellEnd"/>
      <w:r>
        <w:rPr>
          <w:rFonts w:ascii="Times New Roman" w:hAnsi="Times New Roman"/>
          <w:i/>
          <w:iCs/>
          <w:sz w:val="24"/>
        </w:rPr>
        <w:t xml:space="preserve"> 1998</w:t>
      </w:r>
      <w:r>
        <w:rPr>
          <w:rFonts w:ascii="Times New Roman" w:hAnsi="Times New Roman"/>
          <w:sz w:val="24"/>
        </w:rPr>
        <w:t>] 6. panta 1. punktā).</w:t>
      </w:r>
    </w:p>
    <w:p w14:paraId="0442A41F" w14:textId="7B648D7B"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7.13. Šis apliecinājums nodrošina, ka atlasīšanas process saskaņā ar 8. panta 4. punktā noteikto orderi pārtvertajam materiālam tiek piemērots tādējādi, ka attiecīgajām personām pārbaudei ir pieejams vienīgi apliecinājumā raksturotais materiāls (lai to lasītu, aplūkotu vai klausītos). Nevienai amatpersonai nav atļauts piekļūt datiem, kas nav norādīti apliecinājumā.</w:t>
      </w:r>
    </w:p>
    <w:p w14:paraId="0B9EFF2C" w14:textId="7038E9CD"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7.14. Parasti atlasei saskaņā ar </w:t>
      </w:r>
      <w:r>
        <w:rPr>
          <w:rFonts w:ascii="Times New Roman" w:hAnsi="Times New Roman"/>
          <w:i/>
          <w:iCs/>
          <w:sz w:val="24"/>
        </w:rPr>
        <w:t>RIPA</w:t>
      </w:r>
      <w:r>
        <w:rPr>
          <w:rFonts w:ascii="Times New Roman" w:hAnsi="Times New Roman"/>
          <w:sz w:val="24"/>
        </w:rPr>
        <w:t xml:space="preserve"> 16. panta 1. punktu jāizmanto automatizētas sistēmas, ja tas tehniski iespējams. Izņēmuma kārtā apliecinājumā var norādīt, ka pārtvertajam materiālam drīkst piekļūt ierobežots skaits īpaši pilnvarotu personāla locekļu, to neapstrādājot vai nefiltrējot automatizētās sistēmās. Šādu piekļuvi var atļaut tikai tiktāl, ciktāl tas nepieciešams, lai noteiktu, vai materiāls ietilpst galvenajās kategorijās, kas atlasāmas atbilstoši apliecinājumā norādītajam, vai lai nodrošinātu, ka izmantotā metodoloģija ir aktuāla un efektīva. Šādai pārbaudei jābūt nepieciešamai, pamatojoties uz </w:t>
      </w:r>
      <w:r>
        <w:rPr>
          <w:rFonts w:ascii="Times New Roman" w:hAnsi="Times New Roman"/>
          <w:i/>
          <w:iCs/>
          <w:sz w:val="24"/>
        </w:rPr>
        <w:t>RIPA</w:t>
      </w:r>
      <w:r>
        <w:rPr>
          <w:rFonts w:ascii="Times New Roman" w:hAnsi="Times New Roman"/>
          <w:sz w:val="24"/>
        </w:rPr>
        <w:t xml:space="preserve"> 5. panta 3. punktu. Tiklīdz šīs funkcijas ir izpildītas, visas šiem nolūkiem izgatavotās materiāla kopijas ir jāiznīcina saskaņā ar </w:t>
      </w:r>
      <w:r>
        <w:rPr>
          <w:rFonts w:ascii="Times New Roman" w:hAnsi="Times New Roman"/>
          <w:i/>
          <w:iCs/>
          <w:sz w:val="24"/>
        </w:rPr>
        <w:t>RIPA</w:t>
      </w:r>
      <w:r>
        <w:rPr>
          <w:rFonts w:ascii="Times New Roman" w:hAnsi="Times New Roman"/>
          <w:sz w:val="24"/>
        </w:rPr>
        <w:t xml:space="preserve"> 15. panta 3. punktu. Šādas amatpersonu veiktās pārbaudes jāsamazina līdz minimumam; tā vietā, kad vien iespējams, jāizmanto automātiskās atlasīšanas metodes. Komisārs sakaru pārtveršanas jautājumos pārskatīs šīs pārbaudes inspekciju laikā.</w:t>
      </w:r>
    </w:p>
    <w:p w14:paraId="6DB00084" w14:textId="6A5DDD99"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7.15. Materiāls, kas savākts atbilstoši 8. panta 4. punktā noteiktajam orderim, jālasa, jāaplūko un jāklausās vienīgi pilnvarotām personām, kuras regulāri tiek apmācītas saistībā ar </w:t>
      </w:r>
      <w:r>
        <w:rPr>
          <w:rFonts w:ascii="Times New Roman" w:hAnsi="Times New Roman"/>
          <w:i/>
          <w:iCs/>
          <w:sz w:val="24"/>
        </w:rPr>
        <w:t>RIPA</w:t>
      </w:r>
      <w:r>
        <w:rPr>
          <w:rFonts w:ascii="Times New Roman" w:hAnsi="Times New Roman"/>
          <w:sz w:val="24"/>
        </w:rPr>
        <w:t xml:space="preserve"> noteikumiem, jo īpaši 16. punkta darbības jomu, kā arī prasībām par nepieciešamību un samērīgumu. Šīs prasības un procedūras ir jāizklāsta iekšējos norādījumos, ko sniedz visām pilnvarotajām personām, un visu pilnvaroto personu uzmanība ir īpaši jāvērš uz likumā noteiktajiem drošības pasākumiem. Visām pilnvarotajām personām ir jāveic atbilstoša drošības pārbaude (vairāk informācijas skat. 7.10. punktā).</w:t>
      </w:r>
    </w:p>
    <w:p w14:paraId="1410B760" w14:textId="7A596734"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7.16. Pirms pilnvarotā persona var lasīt, aplūkot vai klausīties materiālu, ir jāizveido ieraksts, kurā norādīts, kāpēc ir nepieciešama piekļuve materiālam saskaņā ar 16. pantu un piemērojamo apliecinājumu un kādēļ šāda piekļuve ir samērīga. Izņemot gadījumus, kad materiāls vai automatizētās sistēmas tiek pārbaudītas, kā norādīts 7.14. punktā, ierakstā, atsaucoties uz konkrētiem apstākļiem, jānorāda materiāls, kuram persona vēlas piekļūt, un sistēmām, ciktāl tas iespējams, ir jāliedz piekļuve materiālam, ja vien šāds ieraksts ir izveidots. Ierakstā jānorāda visi apstākļi, kas varētu būt par pamatu tam, ka notiek zināma netieša iejaukšanās personas tiesībās uz privātās dzīves neaizskaramību, kā arī visi pasākumi, kas veikti, lai samazinātu šādas netiešas iejaukšanās apmēru. Visi ieraksti jāsaglabā turpmākas pārbaudes vai audita vajadzībām.</w:t>
      </w:r>
    </w:p>
    <w:p w14:paraId="6057953F" w14:textId="71986CEA"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7.17. Piekļuve materiālam, kā norādīts 7.15. punktā, jāierobežo līdz noteiktam laika periodam, lai gan piekļuvi var atjaunot. Ja piekļuve tiek atjaunota, ieraksts ir jāatjaunina, norādot piekļuves atjaunošanas iemeslu. Ir jābūt ieviestām sistēmām, lai nodrošinātu, ka tad, ja atjaunošanas pieprasījums netiek iesniegts šajā laika periodā, turpmāka piekļuve netiks </w:t>
      </w:r>
      <w:r>
        <w:rPr>
          <w:rFonts w:ascii="Times New Roman" w:hAnsi="Times New Roman"/>
          <w:sz w:val="24"/>
        </w:rPr>
        <w:lastRenderedPageBreak/>
        <w:t>piešķirta. Ja materiālam vairs nav nepieciešams piekļūt, ierakstā jāpaskaidro arī attiecīgais iemesls.</w:t>
      </w:r>
    </w:p>
    <w:p w14:paraId="1B0574A5" w14:textId="6907131F"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7.18. Periodiski jāveic auditi, lai nodrošinātu, ka tiek ievērotas </w:t>
      </w:r>
      <w:r>
        <w:rPr>
          <w:rFonts w:ascii="Times New Roman" w:hAnsi="Times New Roman"/>
          <w:i/>
          <w:iCs/>
          <w:sz w:val="24"/>
        </w:rPr>
        <w:t>RIPA</w:t>
      </w:r>
      <w:r>
        <w:rPr>
          <w:rFonts w:ascii="Times New Roman" w:hAnsi="Times New Roman"/>
          <w:sz w:val="24"/>
        </w:rPr>
        <w:t xml:space="preserve"> 16. pantā un šā kodeksa 3. nodaļā izklāstītās prasības. Šiem auditiem jāietver pārbaudes, lai nodrošinātu, ka ieraksti, kuros pieprasīta piekļuve lasāmajam, aplūkojamajam vai klausāmajam materiālam, ir pareizi apkopoti, un jo īpaši to, ka pieprasītais materiāls atbilst valsts sekretāra apliecinātajai informācijai. Par visām kļūdām vai procesuāliem trūkumiem jāziņo vadībai un jāveic korektīvie pasākumi. Par jebkuriem nopietniem trūkumiem ir jāinformē augstākā vadība, un par jebkuriem drošības pasākumu pārkāpumiem (kā minēts 7.1. punktā) jāziņo komisāram sakaru pārtveršanas jautājumos. Attiecībā uz visiem pilnvaroto personu sagatavotajiem izlūkošanas ziņojumiem ir jāveic kvalitātes kontroles audits.</w:t>
      </w:r>
    </w:p>
    <w:p w14:paraId="3B58A0DA" w14:textId="67113726"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7.19. Lai izpildītu </w:t>
      </w:r>
      <w:r>
        <w:rPr>
          <w:rFonts w:ascii="Times New Roman" w:hAnsi="Times New Roman"/>
          <w:i/>
          <w:iCs/>
          <w:sz w:val="24"/>
        </w:rPr>
        <w:t>RIPA</w:t>
      </w:r>
      <w:r>
        <w:rPr>
          <w:rFonts w:ascii="Times New Roman" w:hAnsi="Times New Roman"/>
          <w:sz w:val="24"/>
        </w:rPr>
        <w:t xml:space="preserve"> noteiktās prasības, kas minētas iepriekš 6.3. punktā, ja atlasīšanas faktors attiecas uz personu, par kuru zināms, ka tā pašlaik atrodas Britu salās, un tā nolūks vai viens no nolūkiem ir identificēt materiālu, kas ietverts šīs personas nosūtīto vai tai paredzēto saziņu saturā, valsts sekretāram vai steidzamības kārtā vecākajai amatpersonai jāiesniedz pieteikums, paskaidrojot, kāpēc grozījums 8. panta 4. punktā minētajā apliecinājumā saistībā ar šādu personu ir nepieciešams nolūkam, uz kuru attiecas </w:t>
      </w:r>
      <w:r>
        <w:rPr>
          <w:rFonts w:ascii="Times New Roman" w:hAnsi="Times New Roman"/>
          <w:i/>
          <w:iCs/>
          <w:sz w:val="24"/>
        </w:rPr>
        <w:t>RIPA</w:t>
      </w:r>
      <w:r>
        <w:rPr>
          <w:rFonts w:ascii="Times New Roman" w:hAnsi="Times New Roman"/>
          <w:sz w:val="24"/>
        </w:rPr>
        <w:t xml:space="preserve"> 5. panta 3. punkts, un ir samērīgs attiecībā uz jebkuru rīcību, kas atļauta saskaņā ar </w:t>
      </w:r>
      <w:r>
        <w:rPr>
          <w:rFonts w:ascii="Times New Roman" w:hAnsi="Times New Roman"/>
          <w:i/>
          <w:iCs/>
          <w:sz w:val="24"/>
        </w:rPr>
        <w:t>RIPA</w:t>
      </w:r>
      <w:r>
        <w:rPr>
          <w:rFonts w:ascii="Times New Roman" w:hAnsi="Times New Roman"/>
          <w:sz w:val="24"/>
        </w:rPr>
        <w:t xml:space="preserve"> 8. panta 4. punktu.</w:t>
      </w:r>
    </w:p>
    <w:p w14:paraId="521FACE7" w14:textId="5EDC6001"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7.20. Valsts sekretāram jānodrošina, ka ir spēkā attiecīgie drošības pasākumi, pirms var uzsākt pārtveršanu atbilstoši 8. panta 4. punktā noteiktajiem orderiem. Komisāram sakaru pārtveršanas jautājumos ir pienākums pārbaudīt šo drošības pasākumu atbilstību.</w:t>
      </w:r>
    </w:p>
    <w:p w14:paraId="1D4D9FF4" w14:textId="77777777" w:rsidR="006978AF" w:rsidRPr="008D031E" w:rsidRDefault="006978AF" w:rsidP="001F1E46">
      <w:pPr>
        <w:pStyle w:val="JuQuot"/>
        <w:widowControl w:val="0"/>
        <w:spacing w:before="0" w:after="0"/>
        <w:ind w:left="284" w:firstLine="0"/>
        <w:rPr>
          <w:rFonts w:ascii="Times New Roman" w:hAnsi="Times New Roman"/>
          <w:noProof/>
          <w:sz w:val="24"/>
          <w:lang w:val="en-US"/>
        </w:rPr>
      </w:pPr>
    </w:p>
    <w:p w14:paraId="2438EE5D" w14:textId="77777777"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w:t>
      </w:r>
    </w:p>
    <w:p w14:paraId="364A90BA" w14:textId="77777777" w:rsidR="006978AF" w:rsidRPr="008D031E" w:rsidRDefault="006978AF" w:rsidP="001F1E46">
      <w:pPr>
        <w:pStyle w:val="JuQuot"/>
        <w:widowControl w:val="0"/>
        <w:spacing w:before="0" w:after="0"/>
        <w:ind w:left="284" w:firstLine="0"/>
        <w:rPr>
          <w:rFonts w:ascii="Times New Roman" w:hAnsi="Times New Roman"/>
          <w:noProof/>
          <w:sz w:val="24"/>
          <w:lang w:val="en-US"/>
        </w:rPr>
      </w:pPr>
    </w:p>
    <w:p w14:paraId="371D3476" w14:textId="2ED6CCF9"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8. IZPAUŠANA, LAI NODROŠINĀTU GODĪGUMU KRIMINĀLPROCESĀ</w:t>
      </w:r>
    </w:p>
    <w:p w14:paraId="7BB3B491" w14:textId="77777777" w:rsidR="006978AF" w:rsidRPr="008D031E" w:rsidRDefault="006978AF" w:rsidP="001F1E46">
      <w:pPr>
        <w:pStyle w:val="JuQuot"/>
        <w:widowControl w:val="0"/>
        <w:spacing w:before="0" w:after="0"/>
        <w:ind w:left="284" w:firstLine="0"/>
        <w:rPr>
          <w:rFonts w:ascii="Times New Roman" w:hAnsi="Times New Roman"/>
          <w:noProof/>
          <w:sz w:val="24"/>
          <w:lang w:val="en-US"/>
        </w:rPr>
      </w:pPr>
    </w:p>
    <w:p w14:paraId="76726210" w14:textId="77777777"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w:t>
      </w:r>
    </w:p>
    <w:p w14:paraId="6DEC8890" w14:textId="77777777" w:rsidR="006978AF" w:rsidRPr="008D031E" w:rsidRDefault="006978AF" w:rsidP="001F1E46">
      <w:pPr>
        <w:pStyle w:val="JuQuot"/>
        <w:widowControl w:val="0"/>
        <w:spacing w:before="0" w:after="0"/>
        <w:ind w:left="284" w:firstLine="0"/>
        <w:rPr>
          <w:rFonts w:ascii="Times New Roman" w:hAnsi="Times New Roman"/>
          <w:noProof/>
          <w:sz w:val="24"/>
          <w:lang w:val="en-US"/>
        </w:rPr>
      </w:pPr>
    </w:p>
    <w:p w14:paraId="1D28FFCB" w14:textId="77777777" w:rsidR="000E3283" w:rsidRDefault="000E3283" w:rsidP="001F1E46">
      <w:pPr>
        <w:pStyle w:val="JuQuot"/>
        <w:widowControl w:val="0"/>
        <w:spacing w:before="0" w:after="0"/>
        <w:ind w:left="284" w:firstLine="0"/>
        <w:rPr>
          <w:rFonts w:ascii="Times New Roman" w:hAnsi="Times New Roman"/>
          <w:b/>
          <w:bCs/>
          <w:noProof/>
          <w:sz w:val="24"/>
        </w:rPr>
      </w:pPr>
      <w:r>
        <w:rPr>
          <w:rFonts w:ascii="Times New Roman" w:hAnsi="Times New Roman"/>
          <w:b/>
          <w:sz w:val="24"/>
        </w:rPr>
        <w:t>Jautājumu izslēgšana no tiesvedības</w:t>
      </w:r>
    </w:p>
    <w:p w14:paraId="1EB22A44" w14:textId="77777777" w:rsidR="006978AF" w:rsidRPr="008D031E" w:rsidRDefault="006978AF" w:rsidP="001F1E46">
      <w:pPr>
        <w:pStyle w:val="JuQuot"/>
        <w:widowControl w:val="0"/>
        <w:spacing w:before="0" w:after="0"/>
        <w:ind w:left="284" w:firstLine="0"/>
        <w:rPr>
          <w:rFonts w:ascii="Times New Roman" w:hAnsi="Times New Roman"/>
          <w:b/>
          <w:bCs/>
          <w:noProof/>
          <w:sz w:val="24"/>
          <w:lang w:val="en-US"/>
        </w:rPr>
      </w:pPr>
    </w:p>
    <w:p w14:paraId="48E9CB83" w14:textId="7AB0873B"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8.3. Parasti tiesvedību nevar ietekmēt ne pārtveršanas iespēja, ne pats pārtvertais materiāls. Šo noteikumu paredz </w:t>
      </w:r>
      <w:r>
        <w:rPr>
          <w:rFonts w:ascii="Times New Roman" w:hAnsi="Times New Roman"/>
          <w:i/>
          <w:iCs/>
          <w:sz w:val="24"/>
        </w:rPr>
        <w:t>RIPA</w:t>
      </w:r>
      <w:r>
        <w:rPr>
          <w:rFonts w:ascii="Times New Roman" w:hAnsi="Times New Roman"/>
          <w:sz w:val="24"/>
        </w:rPr>
        <w:t xml:space="preserve"> 17. pants, kas tiesvedībā aizliedz pierādījumus, nopratināšanu, apgalvojumu vai paziņojumu, ar ko, visticamāk, var atklāt saskaņā ar šo likumu (vai 1985. gada Likumu par sakaru pārtveršanu [</w:t>
      </w:r>
      <w:proofErr w:type="spellStart"/>
      <w:r>
        <w:rPr>
          <w:rFonts w:ascii="Times New Roman" w:hAnsi="Times New Roman"/>
          <w:i/>
          <w:iCs/>
          <w:sz w:val="24"/>
        </w:rPr>
        <w:t>Interception</w:t>
      </w:r>
      <w:proofErr w:type="spellEnd"/>
      <w:r>
        <w:rPr>
          <w:rFonts w:ascii="Times New Roman" w:hAnsi="Times New Roman"/>
          <w:i/>
          <w:iCs/>
          <w:sz w:val="24"/>
        </w:rPr>
        <w:t xml:space="preserve"> </w:t>
      </w:r>
      <w:proofErr w:type="spellStart"/>
      <w:r>
        <w:rPr>
          <w:rFonts w:ascii="Times New Roman" w:hAnsi="Times New Roman"/>
          <w:i/>
          <w:iCs/>
          <w:sz w:val="24"/>
        </w:rPr>
        <w:t>of</w:t>
      </w:r>
      <w:proofErr w:type="spellEnd"/>
      <w:r>
        <w:rPr>
          <w:rFonts w:ascii="Times New Roman" w:hAnsi="Times New Roman"/>
          <w:i/>
          <w:iCs/>
          <w:sz w:val="24"/>
        </w:rPr>
        <w:t xml:space="preserve"> Communications </w:t>
      </w:r>
      <w:proofErr w:type="spellStart"/>
      <w:r>
        <w:rPr>
          <w:rFonts w:ascii="Times New Roman" w:hAnsi="Times New Roman"/>
          <w:i/>
          <w:iCs/>
          <w:sz w:val="24"/>
        </w:rPr>
        <w:t>Act</w:t>
      </w:r>
      <w:proofErr w:type="spellEnd"/>
      <w:r>
        <w:rPr>
          <w:rFonts w:ascii="Times New Roman" w:hAnsi="Times New Roman"/>
          <w:i/>
          <w:iCs/>
          <w:sz w:val="24"/>
        </w:rPr>
        <w:t xml:space="preserve"> 1985</w:t>
      </w:r>
      <w:r>
        <w:rPr>
          <w:rFonts w:ascii="Times New Roman" w:hAnsi="Times New Roman"/>
          <w:sz w:val="24"/>
        </w:rPr>
        <w:t xml:space="preserve">]) izdota ordera esību (vai </w:t>
      </w:r>
      <w:proofErr w:type="spellStart"/>
      <w:r>
        <w:rPr>
          <w:rFonts w:ascii="Times New Roman" w:hAnsi="Times New Roman"/>
          <w:sz w:val="24"/>
        </w:rPr>
        <w:t>neesību</w:t>
      </w:r>
      <w:proofErr w:type="spellEnd"/>
      <w:r>
        <w:rPr>
          <w:rFonts w:ascii="Times New Roman" w:hAnsi="Times New Roman"/>
          <w:sz w:val="24"/>
        </w:rPr>
        <w:t xml:space="preserve">). Ar šo noteikumu saprot to, ka pārtverto materiālu nevar izmantot ne apsūdzības, ne aizstāvības puse. Tādējādi tiek saglabāta “pušu līdzekļu vienlīdzība”, kā to nosaka </w:t>
      </w:r>
      <w:proofErr w:type="spellStart"/>
      <w:r>
        <w:rPr>
          <w:rFonts w:ascii="Times New Roman" w:hAnsi="Times New Roman"/>
          <w:i/>
          <w:iCs/>
          <w:sz w:val="24"/>
        </w:rPr>
        <w:t>ECHR</w:t>
      </w:r>
      <w:proofErr w:type="spellEnd"/>
      <w:r>
        <w:rPr>
          <w:rFonts w:ascii="Times New Roman" w:hAnsi="Times New Roman"/>
          <w:sz w:val="24"/>
        </w:rPr>
        <w:t xml:space="preserve"> 6. pants.</w:t>
      </w:r>
    </w:p>
    <w:p w14:paraId="1B4047F4" w14:textId="77777777" w:rsidR="006978AF" w:rsidRPr="008D031E" w:rsidRDefault="006978AF" w:rsidP="001F1E46">
      <w:pPr>
        <w:pStyle w:val="JuQuot"/>
        <w:widowControl w:val="0"/>
        <w:spacing w:before="0" w:after="0"/>
        <w:ind w:left="284" w:firstLine="0"/>
        <w:rPr>
          <w:rFonts w:ascii="Times New Roman" w:hAnsi="Times New Roman"/>
          <w:noProof/>
          <w:sz w:val="24"/>
          <w:lang w:val="en-US"/>
        </w:rPr>
      </w:pPr>
    </w:p>
    <w:p w14:paraId="4C314658" w14:textId="77777777"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w:t>
      </w:r>
    </w:p>
    <w:p w14:paraId="20E30D33" w14:textId="77777777" w:rsidR="006978AF" w:rsidRPr="008D031E" w:rsidRDefault="006978AF" w:rsidP="001F1E46">
      <w:pPr>
        <w:pStyle w:val="JuQuot"/>
        <w:widowControl w:val="0"/>
        <w:spacing w:before="0" w:after="0"/>
        <w:ind w:left="284" w:firstLine="0"/>
        <w:rPr>
          <w:rFonts w:ascii="Times New Roman" w:hAnsi="Times New Roman"/>
          <w:noProof/>
          <w:sz w:val="24"/>
          <w:lang w:val="en-US"/>
        </w:rPr>
      </w:pPr>
    </w:p>
    <w:p w14:paraId="19646B13" w14:textId="1068EE55"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10. PĀRRAUDZĪBA</w:t>
      </w:r>
    </w:p>
    <w:p w14:paraId="187D4706" w14:textId="77777777" w:rsidR="006978AF" w:rsidRPr="008D031E" w:rsidRDefault="006978AF" w:rsidP="001F1E46">
      <w:pPr>
        <w:pStyle w:val="JuQuot"/>
        <w:widowControl w:val="0"/>
        <w:spacing w:before="0" w:after="0"/>
        <w:ind w:left="284" w:firstLine="0"/>
        <w:rPr>
          <w:rFonts w:ascii="Times New Roman" w:hAnsi="Times New Roman"/>
          <w:noProof/>
          <w:sz w:val="24"/>
          <w:lang w:val="en-US"/>
        </w:rPr>
      </w:pPr>
    </w:p>
    <w:p w14:paraId="3C6C67DB" w14:textId="27D44E6E"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10.1. </w:t>
      </w:r>
      <w:r>
        <w:rPr>
          <w:rFonts w:ascii="Times New Roman" w:hAnsi="Times New Roman"/>
          <w:i/>
          <w:iCs/>
          <w:sz w:val="24"/>
        </w:rPr>
        <w:t>RIPA</w:t>
      </w:r>
      <w:r>
        <w:rPr>
          <w:rFonts w:ascii="Times New Roman" w:hAnsi="Times New Roman"/>
          <w:sz w:val="24"/>
        </w:rPr>
        <w:t xml:space="preserve"> paredz komisāru sakaru pārtveršanas jautājumos, kura uzdevums ir neatkarīgi pārraudzīt to, kā tiek īstenotas pilnvaras ar orderi noteiktā pārtveršanas režīma ietvaros saskaņā ar </w:t>
      </w:r>
      <w:r>
        <w:rPr>
          <w:rFonts w:ascii="Times New Roman" w:hAnsi="Times New Roman"/>
          <w:i/>
          <w:iCs/>
          <w:sz w:val="24"/>
        </w:rPr>
        <w:t>RIPA</w:t>
      </w:r>
      <w:r>
        <w:rPr>
          <w:rFonts w:ascii="Times New Roman" w:hAnsi="Times New Roman"/>
          <w:sz w:val="24"/>
        </w:rPr>
        <w:t xml:space="preserve"> I daļas I nodaļu.</w:t>
      </w:r>
    </w:p>
    <w:p w14:paraId="003BD5D4" w14:textId="3ADDDD01" w:rsidR="006978AF" w:rsidRDefault="000E3283" w:rsidP="00F863AD">
      <w:pPr>
        <w:pStyle w:val="JuQuot"/>
        <w:keepNext/>
        <w:keepLines/>
        <w:widowControl w:val="0"/>
        <w:spacing w:before="0" w:after="0"/>
        <w:ind w:left="284"/>
        <w:rPr>
          <w:rFonts w:ascii="Times New Roman" w:hAnsi="Times New Roman"/>
          <w:noProof/>
          <w:sz w:val="24"/>
        </w:rPr>
      </w:pPr>
      <w:r>
        <w:rPr>
          <w:rFonts w:ascii="Times New Roman" w:hAnsi="Times New Roman"/>
          <w:sz w:val="24"/>
        </w:rPr>
        <w:lastRenderedPageBreak/>
        <w:t xml:space="preserve">10.2. Šis komisārs divreiz gadā veic pārbaudes katrā no deviņām pārtveršanas aģentūrām. Pārbaužu primārais mērķis ir nodrošināt, ka komisāra(-es) rīcībā ir informācija, kas viņam vai viņai ir nepieciešama, lai pildītu savas funkcijas saskaņā ar </w:t>
      </w:r>
      <w:r>
        <w:rPr>
          <w:rFonts w:ascii="Times New Roman" w:hAnsi="Times New Roman"/>
          <w:i/>
          <w:iCs/>
          <w:sz w:val="24"/>
        </w:rPr>
        <w:t>RIPA</w:t>
      </w:r>
      <w:r>
        <w:rPr>
          <w:rFonts w:ascii="Times New Roman" w:hAnsi="Times New Roman"/>
          <w:sz w:val="24"/>
        </w:rPr>
        <w:t xml:space="preserve"> 57. pantu un sagatavotu ziņojumu saskaņā ar </w:t>
      </w:r>
      <w:r>
        <w:rPr>
          <w:rFonts w:ascii="Times New Roman" w:hAnsi="Times New Roman"/>
          <w:i/>
          <w:iCs/>
          <w:sz w:val="24"/>
        </w:rPr>
        <w:t>RIPA</w:t>
      </w:r>
      <w:r>
        <w:rPr>
          <w:rFonts w:ascii="Times New Roman" w:hAnsi="Times New Roman"/>
          <w:sz w:val="24"/>
        </w:rPr>
        <w:t xml:space="preserve"> 58. pantu. Tas var iekļaut pārbaudi vai apsvērumus attiecībā uz:</w:t>
      </w:r>
    </w:p>
    <w:p w14:paraId="425A5662" w14:textId="77777777" w:rsidR="006978AF" w:rsidRPr="008D031E" w:rsidRDefault="006978AF" w:rsidP="00F863AD">
      <w:pPr>
        <w:pStyle w:val="JuQuot"/>
        <w:keepNext/>
        <w:keepLines/>
        <w:widowControl w:val="0"/>
        <w:spacing w:before="0" w:after="0"/>
        <w:ind w:left="284" w:firstLine="0"/>
        <w:rPr>
          <w:rFonts w:ascii="Times New Roman" w:hAnsi="Times New Roman"/>
          <w:noProof/>
          <w:sz w:val="24"/>
          <w:lang w:val="en-US"/>
        </w:rPr>
      </w:pPr>
    </w:p>
    <w:p w14:paraId="15AD082D" w14:textId="77777777" w:rsidR="000E3283" w:rsidRPr="008D031E" w:rsidRDefault="000E3283" w:rsidP="00F863AD">
      <w:pPr>
        <w:pStyle w:val="JuQuot"/>
        <w:keepNext/>
        <w:keepLines/>
        <w:widowControl w:val="0"/>
        <w:numPr>
          <w:ilvl w:val="0"/>
          <w:numId w:val="22"/>
        </w:numPr>
        <w:spacing w:before="0" w:after="0"/>
        <w:ind w:left="851" w:hanging="284"/>
        <w:rPr>
          <w:rFonts w:ascii="Times New Roman" w:hAnsi="Times New Roman"/>
          <w:noProof/>
          <w:sz w:val="24"/>
        </w:rPr>
      </w:pPr>
      <w:r>
        <w:rPr>
          <w:rFonts w:ascii="Times New Roman" w:hAnsi="Times New Roman"/>
          <w:sz w:val="24"/>
        </w:rPr>
        <w:t>sakaru pārtveršanai ieviestām sistēmām;</w:t>
      </w:r>
    </w:p>
    <w:p w14:paraId="2A1F62F7" w14:textId="77777777" w:rsidR="000E3283" w:rsidRPr="008D031E" w:rsidRDefault="000E3283" w:rsidP="00F863AD">
      <w:pPr>
        <w:pStyle w:val="JuQuot"/>
        <w:keepNext/>
        <w:keepLines/>
        <w:widowControl w:val="0"/>
        <w:numPr>
          <w:ilvl w:val="0"/>
          <w:numId w:val="22"/>
        </w:numPr>
        <w:spacing w:before="0" w:after="0"/>
        <w:ind w:left="851" w:hanging="284"/>
        <w:rPr>
          <w:rFonts w:ascii="Times New Roman" w:hAnsi="Times New Roman"/>
          <w:noProof/>
          <w:sz w:val="24"/>
        </w:rPr>
      </w:pPr>
      <w:r>
        <w:rPr>
          <w:rFonts w:ascii="Times New Roman" w:hAnsi="Times New Roman"/>
          <w:sz w:val="24"/>
        </w:rPr>
        <w:t>attiecīgiem pārtveršanas aģentūras uzturētajiem reģistriem;</w:t>
      </w:r>
    </w:p>
    <w:p w14:paraId="1124758D" w14:textId="77777777" w:rsidR="000E3283" w:rsidRPr="008D031E" w:rsidRDefault="000E3283" w:rsidP="001F1E46">
      <w:pPr>
        <w:pStyle w:val="JuQuot"/>
        <w:widowControl w:val="0"/>
        <w:numPr>
          <w:ilvl w:val="0"/>
          <w:numId w:val="22"/>
        </w:numPr>
        <w:spacing w:before="0" w:after="0"/>
        <w:ind w:left="851" w:hanging="284"/>
        <w:rPr>
          <w:rFonts w:ascii="Times New Roman" w:hAnsi="Times New Roman"/>
          <w:noProof/>
          <w:sz w:val="24"/>
        </w:rPr>
      </w:pPr>
      <w:r>
        <w:rPr>
          <w:rFonts w:ascii="Times New Roman" w:hAnsi="Times New Roman"/>
          <w:sz w:val="24"/>
        </w:rPr>
        <w:t>veiktās pārtveršanas likumību un</w:t>
      </w:r>
    </w:p>
    <w:p w14:paraId="3EBE5134" w14:textId="77777777" w:rsidR="000E3283" w:rsidRDefault="000E3283" w:rsidP="001F1E46">
      <w:pPr>
        <w:pStyle w:val="JuQuot"/>
        <w:widowControl w:val="0"/>
        <w:numPr>
          <w:ilvl w:val="0"/>
          <w:numId w:val="22"/>
        </w:numPr>
        <w:spacing w:before="0" w:after="0"/>
        <w:ind w:left="851" w:hanging="284"/>
        <w:rPr>
          <w:rFonts w:ascii="Times New Roman" w:hAnsi="Times New Roman"/>
          <w:noProof/>
          <w:sz w:val="24"/>
        </w:rPr>
      </w:pPr>
      <w:r>
        <w:rPr>
          <w:rFonts w:ascii="Times New Roman" w:hAnsi="Times New Roman"/>
          <w:sz w:val="24"/>
        </w:rPr>
        <w:t>jebkurām kļūmēm un sistēmām, kas paredzētas šādu kļūmju novēršanai.</w:t>
      </w:r>
    </w:p>
    <w:p w14:paraId="25FECA36" w14:textId="77777777" w:rsidR="006978AF" w:rsidRPr="008D031E" w:rsidRDefault="006978AF" w:rsidP="001F1E46">
      <w:pPr>
        <w:pStyle w:val="JuQuot"/>
        <w:widowControl w:val="0"/>
        <w:spacing w:before="0" w:after="0"/>
        <w:ind w:left="284" w:firstLine="0"/>
        <w:rPr>
          <w:rFonts w:ascii="Times New Roman" w:hAnsi="Times New Roman"/>
          <w:noProof/>
          <w:sz w:val="24"/>
          <w:lang w:val="en-US"/>
        </w:rPr>
      </w:pPr>
    </w:p>
    <w:p w14:paraId="263E0D76" w14:textId="039C1391"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10.3. Jebkurai personai, kura īsteno</w:t>
      </w:r>
      <w:r>
        <w:rPr>
          <w:rFonts w:ascii="Times New Roman" w:hAnsi="Times New Roman"/>
          <w:i/>
          <w:iCs/>
          <w:sz w:val="24"/>
        </w:rPr>
        <w:t xml:space="preserve"> RIPA</w:t>
      </w:r>
      <w:r>
        <w:rPr>
          <w:rFonts w:ascii="Times New Roman" w:hAnsi="Times New Roman"/>
          <w:sz w:val="24"/>
        </w:rPr>
        <w:t xml:space="preserve"> I daļas I nodaļā noteiktās pilnvaras, ir jāinformē komisārs par jebkuru rīcību, kas var būt pretēja </w:t>
      </w:r>
      <w:r>
        <w:rPr>
          <w:rFonts w:ascii="Times New Roman" w:hAnsi="Times New Roman"/>
          <w:i/>
          <w:iCs/>
          <w:sz w:val="24"/>
        </w:rPr>
        <w:t>RIPA</w:t>
      </w:r>
      <w:r>
        <w:rPr>
          <w:rFonts w:ascii="Times New Roman" w:hAnsi="Times New Roman"/>
          <w:sz w:val="24"/>
        </w:rPr>
        <w:t xml:space="preserve"> noteikumiem, vai jebkuru neadekvātu 15. pantā noteikto drošības pasākumu neīstenošanu. Šai personai arī jāizpilda visi komisāra pieprasījumi sniegt jebkuru informāciju, kas viņam nepieciešama, lai viņš varētu veikt savas funkcijas.”</w:t>
      </w:r>
    </w:p>
    <w:p w14:paraId="14FF4618" w14:textId="77777777" w:rsidR="006978AF" w:rsidRPr="008D031E" w:rsidRDefault="006978AF" w:rsidP="001F1E46">
      <w:pPr>
        <w:pStyle w:val="JuQuot"/>
        <w:widowControl w:val="0"/>
        <w:spacing w:before="0" w:after="0"/>
        <w:ind w:left="284" w:firstLine="0"/>
        <w:rPr>
          <w:rFonts w:ascii="Times New Roman" w:hAnsi="Times New Roman"/>
          <w:noProof/>
          <w:sz w:val="24"/>
          <w:lang w:val="en-US"/>
        </w:rPr>
      </w:pPr>
    </w:p>
    <w:p w14:paraId="35972BFA" w14:textId="73F0F033" w:rsidR="000E3283" w:rsidRDefault="00CA0E60" w:rsidP="001F1E46">
      <w:pPr>
        <w:pStyle w:val="JuH1"/>
        <w:keepNext w:val="0"/>
        <w:keepLines w:val="0"/>
        <w:widowControl w:val="0"/>
        <w:numPr>
          <w:ilvl w:val="0"/>
          <w:numId w:val="0"/>
        </w:numPr>
        <w:spacing w:before="0" w:beforeAutospacing="0" w:after="0"/>
        <w:outlineLvl w:val="9"/>
        <w:rPr>
          <w:rFonts w:ascii="Times New Roman" w:hAnsi="Times New Roman"/>
          <w:noProof/>
        </w:rPr>
      </w:pPr>
      <w:bookmarkStart w:id="71" w:name="_Toc516820727"/>
      <w:r>
        <w:rPr>
          <w:rFonts w:ascii="Times New Roman" w:hAnsi="Times New Roman"/>
        </w:rPr>
        <w:t xml:space="preserve">5. Čārlza </w:t>
      </w:r>
      <w:proofErr w:type="spellStart"/>
      <w:r>
        <w:rPr>
          <w:rFonts w:ascii="Times New Roman" w:hAnsi="Times New Roman"/>
        </w:rPr>
        <w:t>Farra</w:t>
      </w:r>
      <w:proofErr w:type="spellEnd"/>
      <w:r>
        <w:rPr>
          <w:rFonts w:ascii="Times New Roman" w:hAnsi="Times New Roman"/>
        </w:rPr>
        <w:t xml:space="preserve"> liecība</w:t>
      </w:r>
      <w:bookmarkEnd w:id="71"/>
    </w:p>
    <w:p w14:paraId="79184CBB" w14:textId="77777777" w:rsidR="00CA0E60" w:rsidRPr="00CA0E60" w:rsidRDefault="00CA0E60" w:rsidP="001F1E46">
      <w:pPr>
        <w:pStyle w:val="JuPara"/>
        <w:widowControl w:val="0"/>
        <w:rPr>
          <w:lang w:val="en-US"/>
        </w:rPr>
      </w:pPr>
    </w:p>
    <w:p w14:paraId="037EF3EF" w14:textId="128953BB" w:rsidR="000E3283" w:rsidRDefault="000E3283" w:rsidP="001F1E46">
      <w:pPr>
        <w:pStyle w:val="JuPara"/>
        <w:widowControl w:val="0"/>
        <w:ind w:firstLine="142"/>
        <w:rPr>
          <w:rFonts w:ascii="Times New Roman" w:hAnsi="Times New Roman"/>
          <w:noProof/>
        </w:rPr>
      </w:pPr>
      <w:r>
        <w:rPr>
          <w:rFonts w:ascii="Times New Roman" w:hAnsi="Times New Roman"/>
        </w:rPr>
        <w:t>97. Savā liecībā, kas bija sagatavota “</w:t>
      </w:r>
      <w:proofErr w:type="spellStart"/>
      <w:r>
        <w:rPr>
          <w:rFonts w:ascii="Times New Roman" w:hAnsi="Times New Roman"/>
        </w:rPr>
        <w:t>Liberty</w:t>
      </w:r>
      <w:proofErr w:type="spellEnd"/>
      <w:r>
        <w:rPr>
          <w:rFonts w:ascii="Times New Roman" w:hAnsi="Times New Roman"/>
        </w:rPr>
        <w:t xml:space="preserve">” tiesvedībai (skat. iepriekš 40. punktu), Čārlzs </w:t>
      </w:r>
      <w:proofErr w:type="spellStart"/>
      <w:r>
        <w:rPr>
          <w:rFonts w:ascii="Times New Roman" w:hAnsi="Times New Roman"/>
        </w:rPr>
        <w:t>Farrs</w:t>
      </w:r>
      <w:proofErr w:type="spellEnd"/>
      <w:r>
        <w:rPr>
          <w:rFonts w:ascii="Times New Roman" w:hAnsi="Times New Roman"/>
        </w:rPr>
        <w:t xml:space="preserve"> norādīja, ka līdzās informācijai, kas izklāstīta </w:t>
      </w:r>
      <w:r>
        <w:rPr>
          <w:rFonts w:ascii="Times New Roman" w:hAnsi="Times New Roman"/>
          <w:i/>
          <w:iCs/>
        </w:rPr>
        <w:t>RIPA</w:t>
      </w:r>
      <w:r>
        <w:rPr>
          <w:rFonts w:ascii="Times New Roman" w:hAnsi="Times New Roman"/>
        </w:rPr>
        <w:t xml:space="preserve">, 2010. gada </w:t>
      </w:r>
      <w:proofErr w:type="spellStart"/>
      <w:r>
        <w:rPr>
          <w:rFonts w:ascii="Times New Roman" w:hAnsi="Times New Roman"/>
          <w:i/>
          <w:iCs/>
        </w:rPr>
        <w:t>IC</w:t>
      </w:r>
      <w:proofErr w:type="spellEnd"/>
      <w:r>
        <w:rPr>
          <w:rFonts w:ascii="Times New Roman" w:hAnsi="Times New Roman"/>
        </w:rPr>
        <w:t xml:space="preserve"> kodeksā un 2016. gada </w:t>
      </w:r>
      <w:proofErr w:type="spellStart"/>
      <w:r>
        <w:rPr>
          <w:rFonts w:ascii="Times New Roman" w:hAnsi="Times New Roman"/>
          <w:i/>
          <w:iCs/>
        </w:rPr>
        <w:t>IC</w:t>
      </w:r>
      <w:proofErr w:type="spellEnd"/>
      <w:r>
        <w:rPr>
          <w:rFonts w:ascii="Times New Roman" w:hAnsi="Times New Roman"/>
        </w:rPr>
        <w:t xml:space="preserve"> kodeksa projektā (kas tobrīd bija publicēts apspriešanai), visa informācija par 15. un 16. pantā minētajiem drošības pasākumiem bija paturēta noslēpumā. Viņš bija personīgi pārskatījis pasākumus un guvis pārliecību, ka tos nevar droši nodot atklātībā, neapdraudot pārtveršanas metožu efektivitāti. Tomēr pasākumi bija padarīti pieejami </w:t>
      </w:r>
      <w:proofErr w:type="spellStart"/>
      <w:r>
        <w:rPr>
          <w:rFonts w:ascii="Times New Roman" w:hAnsi="Times New Roman"/>
          <w:i/>
          <w:iCs/>
        </w:rPr>
        <w:t>IC</w:t>
      </w:r>
      <w:proofErr w:type="spellEnd"/>
      <w:r>
        <w:rPr>
          <w:rFonts w:ascii="Times New Roman" w:hAnsi="Times New Roman"/>
        </w:rPr>
        <w:t xml:space="preserve"> komisāram, kuram saskaņā ar </w:t>
      </w:r>
      <w:r>
        <w:rPr>
          <w:rFonts w:ascii="Times New Roman" w:hAnsi="Times New Roman"/>
          <w:i/>
          <w:iCs/>
        </w:rPr>
        <w:t>RIPA</w:t>
      </w:r>
      <w:r>
        <w:rPr>
          <w:rFonts w:ascii="Times New Roman" w:hAnsi="Times New Roman"/>
        </w:rPr>
        <w:t xml:space="preserve"> tie bija jāpārskata. Turklāt katrai pārtveršanas aģentūrai bija jāreģistrē attiecīgie pasākumi un par jebkuru pārkāpumu jāziņo </w:t>
      </w:r>
      <w:proofErr w:type="spellStart"/>
      <w:r>
        <w:rPr>
          <w:rFonts w:ascii="Times New Roman" w:hAnsi="Times New Roman"/>
          <w:i/>
          <w:iCs/>
        </w:rPr>
        <w:t>IC</w:t>
      </w:r>
      <w:proofErr w:type="spellEnd"/>
      <w:r>
        <w:rPr>
          <w:rFonts w:ascii="Times New Roman" w:hAnsi="Times New Roman"/>
        </w:rPr>
        <w:t xml:space="preserve"> komisāram.</w:t>
      </w:r>
    </w:p>
    <w:p w14:paraId="44E80EAC" w14:textId="77777777" w:rsidR="00CA0E60" w:rsidRPr="008D031E" w:rsidRDefault="00CA0E60" w:rsidP="001F1E46">
      <w:pPr>
        <w:pStyle w:val="JuPara"/>
        <w:widowControl w:val="0"/>
        <w:ind w:firstLine="0"/>
        <w:rPr>
          <w:rFonts w:ascii="Times New Roman" w:hAnsi="Times New Roman"/>
          <w:noProof/>
          <w:lang w:val="en-US"/>
        </w:rPr>
      </w:pPr>
    </w:p>
    <w:p w14:paraId="3860D0B2" w14:textId="002B7707" w:rsidR="000E3283" w:rsidRDefault="00CA0E60" w:rsidP="001F1E46">
      <w:pPr>
        <w:pStyle w:val="JuH1"/>
        <w:keepNext w:val="0"/>
        <w:keepLines w:val="0"/>
        <w:widowControl w:val="0"/>
        <w:numPr>
          <w:ilvl w:val="0"/>
          <w:numId w:val="0"/>
        </w:numPr>
        <w:spacing w:before="0" w:beforeAutospacing="0" w:after="0"/>
        <w:outlineLvl w:val="9"/>
        <w:rPr>
          <w:rFonts w:ascii="Times New Roman" w:hAnsi="Times New Roman"/>
          <w:noProof/>
        </w:rPr>
      </w:pPr>
      <w:bookmarkStart w:id="72" w:name="_Toc516820728"/>
      <w:r>
        <w:rPr>
          <w:rFonts w:ascii="Times New Roman" w:hAnsi="Times New Roman"/>
        </w:rPr>
        <w:t xml:space="preserve">6. 2015. gada Pārskats par valsts drošības stratēģiju, stratēģisko aizsardzību un drošību. Droša un turīga Apvienotā Karaliste [National </w:t>
      </w:r>
      <w:proofErr w:type="spellStart"/>
      <w:r>
        <w:rPr>
          <w:rFonts w:ascii="Times New Roman" w:hAnsi="Times New Roman"/>
        </w:rPr>
        <w:t>Security</w:t>
      </w:r>
      <w:proofErr w:type="spellEnd"/>
      <w:r>
        <w:rPr>
          <w:rFonts w:ascii="Times New Roman" w:hAnsi="Times New Roman"/>
        </w:rPr>
        <w:t xml:space="preserve"> </w:t>
      </w:r>
      <w:proofErr w:type="spellStart"/>
      <w:r>
        <w:rPr>
          <w:rFonts w:ascii="Times New Roman" w:hAnsi="Times New Roman"/>
        </w:rPr>
        <w:t>Strategy</w:t>
      </w:r>
      <w:proofErr w:type="spellEnd"/>
      <w:r>
        <w:rPr>
          <w:rFonts w:ascii="Times New Roman" w:hAnsi="Times New Roman"/>
        </w:rPr>
        <w:t xml:space="preserve"> </w:t>
      </w:r>
      <w:proofErr w:type="spellStart"/>
      <w:r>
        <w:rPr>
          <w:rFonts w:ascii="Times New Roman" w:hAnsi="Times New Roman"/>
        </w:rPr>
        <w:t>and</w:t>
      </w:r>
      <w:proofErr w:type="spellEnd"/>
      <w:r>
        <w:rPr>
          <w:rFonts w:ascii="Times New Roman" w:hAnsi="Times New Roman"/>
        </w:rPr>
        <w:t xml:space="preserve"> </w:t>
      </w:r>
      <w:proofErr w:type="spellStart"/>
      <w:r>
        <w:rPr>
          <w:rFonts w:ascii="Times New Roman" w:hAnsi="Times New Roman"/>
        </w:rPr>
        <w:t>Strategic</w:t>
      </w:r>
      <w:proofErr w:type="spellEnd"/>
      <w:r>
        <w:rPr>
          <w:rFonts w:ascii="Times New Roman" w:hAnsi="Times New Roman"/>
        </w:rPr>
        <w:t xml:space="preserve"> </w:t>
      </w:r>
      <w:proofErr w:type="spellStart"/>
      <w:r>
        <w:rPr>
          <w:rFonts w:ascii="Times New Roman" w:hAnsi="Times New Roman"/>
        </w:rPr>
        <w:t>Defence</w:t>
      </w:r>
      <w:proofErr w:type="spellEnd"/>
      <w:r>
        <w:rPr>
          <w:rFonts w:ascii="Times New Roman" w:hAnsi="Times New Roman"/>
        </w:rPr>
        <w:t xml:space="preserve"> </w:t>
      </w:r>
      <w:proofErr w:type="spellStart"/>
      <w:r>
        <w:rPr>
          <w:rFonts w:ascii="Times New Roman" w:hAnsi="Times New Roman"/>
        </w:rPr>
        <w:t>and</w:t>
      </w:r>
      <w:proofErr w:type="spellEnd"/>
      <w:r>
        <w:rPr>
          <w:rFonts w:ascii="Times New Roman" w:hAnsi="Times New Roman"/>
        </w:rPr>
        <w:t xml:space="preserve"> </w:t>
      </w:r>
      <w:proofErr w:type="spellStart"/>
      <w:r>
        <w:rPr>
          <w:rFonts w:ascii="Times New Roman" w:hAnsi="Times New Roman"/>
        </w:rPr>
        <w:t>Security</w:t>
      </w:r>
      <w:proofErr w:type="spellEnd"/>
      <w:r>
        <w:rPr>
          <w:rFonts w:ascii="Times New Roman" w:hAnsi="Times New Roman"/>
        </w:rPr>
        <w:t xml:space="preserve"> </w:t>
      </w:r>
      <w:proofErr w:type="spellStart"/>
      <w:r>
        <w:rPr>
          <w:rFonts w:ascii="Times New Roman" w:hAnsi="Times New Roman"/>
        </w:rPr>
        <w:t>Review</w:t>
      </w:r>
      <w:proofErr w:type="spellEnd"/>
      <w:r>
        <w:rPr>
          <w:rFonts w:ascii="Times New Roman" w:hAnsi="Times New Roman"/>
        </w:rPr>
        <w:t xml:space="preserve"> 2015: A </w:t>
      </w:r>
      <w:proofErr w:type="spellStart"/>
      <w:r>
        <w:rPr>
          <w:rFonts w:ascii="Times New Roman" w:hAnsi="Times New Roman"/>
        </w:rPr>
        <w:t>Secure</w:t>
      </w:r>
      <w:proofErr w:type="spellEnd"/>
      <w:r>
        <w:rPr>
          <w:rFonts w:ascii="Times New Roman" w:hAnsi="Times New Roman"/>
        </w:rPr>
        <w:t xml:space="preserve"> </w:t>
      </w:r>
      <w:proofErr w:type="spellStart"/>
      <w:r>
        <w:rPr>
          <w:rFonts w:ascii="Times New Roman" w:hAnsi="Times New Roman"/>
        </w:rPr>
        <w:t>and</w:t>
      </w:r>
      <w:proofErr w:type="spellEnd"/>
      <w:r>
        <w:rPr>
          <w:rFonts w:ascii="Times New Roman" w:hAnsi="Times New Roman"/>
        </w:rPr>
        <w:t xml:space="preserve"> </w:t>
      </w:r>
      <w:proofErr w:type="spellStart"/>
      <w:r>
        <w:rPr>
          <w:rFonts w:ascii="Times New Roman" w:hAnsi="Times New Roman"/>
        </w:rPr>
        <w:t>Prosperous</w:t>
      </w:r>
      <w:proofErr w:type="spellEnd"/>
      <w:r>
        <w:rPr>
          <w:rFonts w:ascii="Times New Roman" w:hAnsi="Times New Roman"/>
        </w:rPr>
        <w:t xml:space="preserve"> </w:t>
      </w:r>
      <w:proofErr w:type="spellStart"/>
      <w:r>
        <w:rPr>
          <w:rFonts w:ascii="Times New Roman" w:hAnsi="Times New Roman"/>
        </w:rPr>
        <w:t>United</w:t>
      </w:r>
      <w:proofErr w:type="spellEnd"/>
      <w:r>
        <w:rPr>
          <w:rFonts w:ascii="Times New Roman" w:hAnsi="Times New Roman"/>
        </w:rPr>
        <w:t xml:space="preserve"> </w:t>
      </w:r>
      <w:proofErr w:type="spellStart"/>
      <w:r>
        <w:rPr>
          <w:rFonts w:ascii="Times New Roman" w:hAnsi="Times New Roman"/>
        </w:rPr>
        <w:t>Kingdom</w:t>
      </w:r>
      <w:proofErr w:type="spellEnd"/>
      <w:r>
        <w:rPr>
          <w:rFonts w:ascii="Times New Roman" w:hAnsi="Times New Roman"/>
        </w:rPr>
        <w:t>]</w:t>
      </w:r>
    </w:p>
    <w:p w14:paraId="7A656D8C" w14:textId="77777777" w:rsidR="00CA0E60" w:rsidRPr="00CA0E60" w:rsidRDefault="00CA0E60" w:rsidP="001F1E46">
      <w:pPr>
        <w:pStyle w:val="JuPara"/>
        <w:widowControl w:val="0"/>
        <w:rPr>
          <w:lang w:val="en-US"/>
        </w:rPr>
      </w:pPr>
    </w:p>
    <w:p w14:paraId="75331155" w14:textId="2865DC77" w:rsidR="000E3283" w:rsidRDefault="000E3283" w:rsidP="001F1E46">
      <w:pPr>
        <w:pStyle w:val="JuPara"/>
        <w:widowControl w:val="0"/>
        <w:ind w:firstLine="142"/>
        <w:rPr>
          <w:rFonts w:ascii="Times New Roman" w:hAnsi="Times New Roman"/>
          <w:noProof/>
        </w:rPr>
      </w:pPr>
      <w:bookmarkStart w:id="73" w:name="NSC"/>
      <w:r>
        <w:rPr>
          <w:rFonts w:ascii="Times New Roman" w:hAnsi="Times New Roman"/>
        </w:rPr>
        <w:t>98</w:t>
      </w:r>
      <w:bookmarkEnd w:id="73"/>
      <w:r>
        <w:rPr>
          <w:rFonts w:ascii="Times New Roman" w:hAnsi="Times New Roman"/>
        </w:rPr>
        <w:t>. Šajā pārskatā Valsts drošības padome (</w:t>
      </w:r>
      <w:proofErr w:type="spellStart"/>
      <w:r>
        <w:rPr>
          <w:rFonts w:ascii="Times New Roman" w:hAnsi="Times New Roman"/>
          <w:i/>
          <w:iCs/>
        </w:rPr>
        <w:t>NSC</w:t>
      </w:r>
      <w:proofErr w:type="spellEnd"/>
      <w:r>
        <w:rPr>
          <w:rFonts w:ascii="Times New Roman" w:hAnsi="Times New Roman"/>
        </w:rPr>
        <w:t>) norādīja, ka tās prioritātes turpmākajiem pieciem gadiem ir:</w:t>
      </w:r>
    </w:p>
    <w:p w14:paraId="50FE4D63" w14:textId="77777777" w:rsidR="00CA0E60" w:rsidRPr="008D031E" w:rsidRDefault="00CA0E60" w:rsidP="001F1E46">
      <w:pPr>
        <w:pStyle w:val="JuPara"/>
        <w:widowControl w:val="0"/>
        <w:ind w:firstLine="0"/>
        <w:rPr>
          <w:rFonts w:ascii="Times New Roman" w:hAnsi="Times New Roman"/>
          <w:noProof/>
          <w:lang w:val="en-US"/>
        </w:rPr>
      </w:pPr>
    </w:p>
    <w:p w14:paraId="432CCD75" w14:textId="77777777"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 xml:space="preserve">“Stingri un visaptveroši apkarot terorismu gan valstī, gan ārvalstīs, cīnīties pret ekstrēmismu un izaicināt to sekmējošās kaitīgās ideoloģijas. Mēs turpināsim būt pasaules līderi </w:t>
      </w:r>
      <w:proofErr w:type="spellStart"/>
      <w:r>
        <w:rPr>
          <w:rFonts w:ascii="Times New Roman" w:hAnsi="Times New Roman"/>
          <w:sz w:val="24"/>
        </w:rPr>
        <w:t>kiberdrošības</w:t>
      </w:r>
      <w:proofErr w:type="spellEnd"/>
      <w:r>
        <w:rPr>
          <w:rFonts w:ascii="Times New Roman" w:hAnsi="Times New Roman"/>
          <w:sz w:val="24"/>
        </w:rPr>
        <w:t xml:space="preserve"> jomā. Mēs novērsīsim citu valstu radītos draudus. Mēs reaģēsim uz krīzēm ātri un efektīvi un stiprināsim savu izturību gan valstī, gan ārvalstīs.</w:t>
      </w:r>
    </w:p>
    <w:p w14:paraId="2A31524F" w14:textId="77777777" w:rsidR="00D6121C" w:rsidRPr="008D031E" w:rsidRDefault="00D6121C" w:rsidP="001F1E46">
      <w:pPr>
        <w:pStyle w:val="JuQuot"/>
        <w:widowControl w:val="0"/>
        <w:spacing w:before="0" w:after="0"/>
        <w:ind w:left="284" w:firstLine="0"/>
        <w:rPr>
          <w:rFonts w:ascii="Times New Roman" w:hAnsi="Times New Roman"/>
          <w:noProof/>
          <w:sz w:val="24"/>
          <w:lang w:val="en-US"/>
        </w:rPr>
      </w:pPr>
    </w:p>
    <w:p w14:paraId="28D2EAC8" w14:textId="77777777"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Palīdzēt stiprināt uz noteikumiem balstīto starptautisko kārtību un tās institūcijas, veicinot reformas, lai sekmētu augošo lielvaru turpmāku līdzdalību. Mēs sadarbosimies ar saviem partneriem, lai mazinātu konfliktus, un sekmēsim stabilitāti, labu pārvaldību un cilvēktiesību ievērošanu.</w:t>
      </w:r>
    </w:p>
    <w:p w14:paraId="535AAA60" w14:textId="77777777" w:rsidR="00D6121C" w:rsidRPr="008D031E" w:rsidRDefault="00D6121C" w:rsidP="001F1E46">
      <w:pPr>
        <w:pStyle w:val="JuQuot"/>
        <w:widowControl w:val="0"/>
        <w:spacing w:before="0" w:after="0"/>
        <w:ind w:left="284" w:firstLine="0"/>
        <w:rPr>
          <w:rFonts w:ascii="Times New Roman" w:hAnsi="Times New Roman"/>
          <w:noProof/>
          <w:sz w:val="24"/>
          <w:lang w:val="en-US"/>
        </w:rPr>
      </w:pPr>
    </w:p>
    <w:p w14:paraId="3E85B600" w14:textId="77777777"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Veicināt mūsu labklājību, izvēršot mūsu ekonomiskās attiecības ar augošām lielvarām, piemēram, Indiju un Ķīnu, palīdzot veidot globālu labklājību, ieguldot inovācijās un prasmēs un atbalstot ar Apvienotās Karalistes aizsardzību un drošību saistīto pakalpojumu sniegšanu.”</w:t>
      </w:r>
    </w:p>
    <w:p w14:paraId="38F0E9C5" w14:textId="77777777" w:rsidR="00D6121C" w:rsidRPr="008D031E" w:rsidRDefault="00D6121C" w:rsidP="001F1E46">
      <w:pPr>
        <w:pStyle w:val="JuQuot"/>
        <w:widowControl w:val="0"/>
        <w:spacing w:before="0" w:after="0"/>
        <w:ind w:left="0" w:firstLine="0"/>
        <w:rPr>
          <w:rFonts w:ascii="Times New Roman" w:hAnsi="Times New Roman"/>
          <w:noProof/>
          <w:sz w:val="24"/>
          <w:lang w:val="en-US"/>
        </w:rPr>
      </w:pPr>
    </w:p>
    <w:p w14:paraId="2AA3F272" w14:textId="491626CA" w:rsidR="000E3283" w:rsidRDefault="00D6121C" w:rsidP="00F863AD">
      <w:pPr>
        <w:pStyle w:val="JuH1"/>
        <w:widowControl w:val="0"/>
        <w:numPr>
          <w:ilvl w:val="0"/>
          <w:numId w:val="0"/>
        </w:numPr>
        <w:spacing w:before="0" w:beforeAutospacing="0" w:after="0"/>
        <w:outlineLvl w:val="9"/>
        <w:rPr>
          <w:rFonts w:ascii="Times New Roman" w:hAnsi="Times New Roman"/>
          <w:noProof/>
        </w:rPr>
      </w:pPr>
      <w:r>
        <w:rPr>
          <w:rFonts w:ascii="Times New Roman" w:hAnsi="Times New Roman"/>
        </w:rPr>
        <w:lastRenderedPageBreak/>
        <w:t xml:space="preserve">7. 2015. gada 29. marta </w:t>
      </w:r>
      <w:proofErr w:type="spellStart"/>
      <w:r>
        <w:rPr>
          <w:rFonts w:ascii="Times New Roman" w:hAnsi="Times New Roman"/>
        </w:rPr>
        <w:t>IPT</w:t>
      </w:r>
      <w:proofErr w:type="spellEnd"/>
      <w:r>
        <w:rPr>
          <w:rFonts w:ascii="Times New Roman" w:hAnsi="Times New Roman"/>
        </w:rPr>
        <w:t xml:space="preserve"> spriedums lietā “</w:t>
      </w:r>
      <w:proofErr w:type="spellStart"/>
      <w:r>
        <w:rPr>
          <w:rFonts w:ascii="Times New Roman" w:hAnsi="Times New Roman"/>
        </w:rPr>
        <w:t>Belhažs</w:t>
      </w:r>
      <w:proofErr w:type="spellEnd"/>
      <w:r>
        <w:rPr>
          <w:rFonts w:ascii="Times New Roman" w:hAnsi="Times New Roman"/>
        </w:rPr>
        <w:t xml:space="preserve"> [</w:t>
      </w:r>
      <w:proofErr w:type="spellStart"/>
      <w:r>
        <w:rPr>
          <w:rFonts w:ascii="Times New Roman" w:hAnsi="Times New Roman"/>
        </w:rPr>
        <w:t>Belhadj</w:t>
      </w:r>
      <w:proofErr w:type="spellEnd"/>
      <w:r>
        <w:rPr>
          <w:rFonts w:ascii="Times New Roman" w:hAnsi="Times New Roman"/>
        </w:rPr>
        <w:t xml:space="preserve">] un citi pret Drošības dienestu, Slepenās izlūkošanas dienestu, Valdības komunikāciju galveno pārvaldi, </w:t>
      </w:r>
      <w:proofErr w:type="spellStart"/>
      <w:r>
        <w:rPr>
          <w:rFonts w:ascii="Times New Roman" w:hAnsi="Times New Roman"/>
        </w:rPr>
        <w:t>Iekšlietu</w:t>
      </w:r>
      <w:proofErr w:type="spellEnd"/>
      <w:r>
        <w:rPr>
          <w:rFonts w:ascii="Times New Roman" w:hAnsi="Times New Roman"/>
        </w:rPr>
        <w:t xml:space="preserve"> departamenta valsts sekretāru un Ārlietu un sadraudzības biroja valsts sekretāru”, </w:t>
      </w:r>
      <w:proofErr w:type="spellStart"/>
      <w:r>
        <w:rPr>
          <w:rFonts w:ascii="Times New Roman" w:hAnsi="Times New Roman"/>
        </w:rPr>
        <w:t>IPT</w:t>
      </w:r>
      <w:proofErr w:type="spellEnd"/>
      <w:r>
        <w:rPr>
          <w:rFonts w:ascii="Times New Roman" w:hAnsi="Times New Roman"/>
        </w:rPr>
        <w:t>/13/132</w:t>
      </w:r>
      <w:r>
        <w:rPr>
          <w:rFonts w:ascii="Times New Roman" w:hAnsi="Times New Roman"/>
        </w:rPr>
        <w:noBreakHyphen/>
        <w:t xml:space="preserve">9/H un </w:t>
      </w:r>
      <w:proofErr w:type="spellStart"/>
      <w:r>
        <w:rPr>
          <w:rFonts w:ascii="Times New Roman" w:hAnsi="Times New Roman"/>
        </w:rPr>
        <w:t>IPT</w:t>
      </w:r>
      <w:proofErr w:type="spellEnd"/>
      <w:r>
        <w:rPr>
          <w:rFonts w:ascii="Times New Roman" w:hAnsi="Times New Roman"/>
        </w:rPr>
        <w:t>/14/86/</w:t>
      </w:r>
      <w:proofErr w:type="spellStart"/>
      <w:r>
        <w:rPr>
          <w:rFonts w:ascii="Times New Roman" w:hAnsi="Times New Roman"/>
        </w:rPr>
        <w:t>CH</w:t>
      </w:r>
      <w:bookmarkEnd w:id="72"/>
      <w:proofErr w:type="spellEnd"/>
    </w:p>
    <w:p w14:paraId="7569E548" w14:textId="77777777" w:rsidR="00D6121C" w:rsidRPr="00D6121C" w:rsidRDefault="00D6121C" w:rsidP="001F1E46">
      <w:pPr>
        <w:pStyle w:val="JuPara"/>
        <w:widowControl w:val="0"/>
        <w:rPr>
          <w:lang w:val="en-US"/>
        </w:rPr>
      </w:pPr>
    </w:p>
    <w:p w14:paraId="6E98CE16" w14:textId="24552831" w:rsidR="000E3283" w:rsidRPr="008D031E" w:rsidRDefault="000E3283" w:rsidP="001F1E46">
      <w:pPr>
        <w:pStyle w:val="JuPara"/>
        <w:widowControl w:val="0"/>
        <w:ind w:firstLine="142"/>
        <w:rPr>
          <w:rFonts w:ascii="Times New Roman" w:hAnsi="Times New Roman"/>
          <w:noProof/>
        </w:rPr>
      </w:pPr>
      <w:bookmarkStart w:id="74" w:name="BelhadjStart"/>
      <w:r>
        <w:rPr>
          <w:rFonts w:ascii="Times New Roman" w:hAnsi="Times New Roman"/>
        </w:rPr>
        <w:t>99</w:t>
      </w:r>
      <w:bookmarkEnd w:id="74"/>
      <w:r>
        <w:rPr>
          <w:rFonts w:ascii="Times New Roman" w:hAnsi="Times New Roman"/>
        </w:rPr>
        <w:t>. Pieteikuma iesniedzēji šajā lietā sūdzējās par Konvencijas 6., 8. un 14. panta pārkāpumiem, kas izrietēja no tādu viņu sakaru iespējamās pārtveršanas, ko aizsargā advokāta un klienta saziņas konfidencialitāte. Ciktāl “</w:t>
      </w:r>
      <w:proofErr w:type="spellStart"/>
      <w:r>
        <w:rPr>
          <w:rFonts w:ascii="Times New Roman" w:hAnsi="Times New Roman"/>
        </w:rPr>
        <w:t>Liberty</w:t>
      </w:r>
      <w:proofErr w:type="spellEnd"/>
      <w:r>
        <w:rPr>
          <w:rFonts w:ascii="Times New Roman" w:hAnsi="Times New Roman"/>
        </w:rPr>
        <w:t>” tiesvedībā “</w:t>
      </w:r>
      <w:proofErr w:type="spellStart"/>
      <w:r>
        <w:rPr>
          <w:rFonts w:ascii="Times New Roman" w:hAnsi="Times New Roman"/>
        </w:rPr>
        <w:t>Amnesty</w:t>
      </w:r>
      <w:proofErr w:type="spellEnd"/>
      <w:r>
        <w:rPr>
          <w:rFonts w:ascii="Times New Roman" w:hAnsi="Times New Roman"/>
        </w:rPr>
        <w:t xml:space="preserve"> </w:t>
      </w:r>
      <w:proofErr w:type="spellStart"/>
      <w:r>
        <w:rPr>
          <w:rFonts w:ascii="Times New Roman" w:hAnsi="Times New Roman"/>
        </w:rPr>
        <w:t>International</w:t>
      </w:r>
      <w:proofErr w:type="spellEnd"/>
      <w:r>
        <w:rPr>
          <w:rFonts w:ascii="Times New Roman" w:hAnsi="Times New Roman"/>
        </w:rPr>
        <w:t>” sūdzējās par tādu pasākumu atbilstību, kuru mērķis ir aizsargāt materiālu, ko aizsargā advokāta un klienta saziņas konfidencialitāte (turpmāk tekstā – “</w:t>
      </w:r>
      <w:proofErr w:type="spellStart"/>
      <w:r>
        <w:rPr>
          <w:rFonts w:ascii="Times New Roman" w:hAnsi="Times New Roman"/>
          <w:i/>
          <w:iCs/>
        </w:rPr>
        <w:t>LPP</w:t>
      </w:r>
      <w:proofErr w:type="spellEnd"/>
      <w:r>
        <w:rPr>
          <w:rFonts w:ascii="Times New Roman" w:hAnsi="Times New Roman"/>
        </w:rPr>
        <w:t>”), šīs sūdzības bija “novirzītas” izskatīšanai šajā lietā, un “</w:t>
      </w:r>
      <w:proofErr w:type="spellStart"/>
      <w:r>
        <w:rPr>
          <w:rFonts w:ascii="Times New Roman" w:hAnsi="Times New Roman"/>
        </w:rPr>
        <w:t>Amnesty</w:t>
      </w:r>
      <w:proofErr w:type="spellEnd"/>
      <w:r>
        <w:rPr>
          <w:rFonts w:ascii="Times New Roman" w:hAnsi="Times New Roman"/>
        </w:rPr>
        <w:t xml:space="preserve"> </w:t>
      </w:r>
      <w:proofErr w:type="spellStart"/>
      <w:r>
        <w:rPr>
          <w:rFonts w:ascii="Times New Roman" w:hAnsi="Times New Roman"/>
        </w:rPr>
        <w:t>International</w:t>
      </w:r>
      <w:proofErr w:type="spellEnd"/>
      <w:r>
        <w:rPr>
          <w:rFonts w:ascii="Times New Roman" w:hAnsi="Times New Roman"/>
        </w:rPr>
        <w:t>” tajā iestājās kā prasītāja (skat. iepriekš 52. punktu).</w:t>
      </w:r>
    </w:p>
    <w:p w14:paraId="7727178D" w14:textId="62EB534C" w:rsidR="000E3283" w:rsidRPr="008D031E" w:rsidRDefault="000E3283" w:rsidP="001F1E46">
      <w:pPr>
        <w:pStyle w:val="JuPara"/>
        <w:widowControl w:val="0"/>
        <w:ind w:firstLine="142"/>
        <w:rPr>
          <w:rFonts w:ascii="Times New Roman" w:hAnsi="Times New Roman"/>
          <w:noProof/>
        </w:rPr>
      </w:pPr>
      <w:bookmarkStart w:id="75" w:name="BelMid"/>
      <w:r>
        <w:rPr>
          <w:rFonts w:ascii="Times New Roman" w:hAnsi="Times New Roman"/>
        </w:rPr>
        <w:t>100</w:t>
      </w:r>
      <w:bookmarkEnd w:id="75"/>
      <w:r>
        <w:rPr>
          <w:rFonts w:ascii="Times New Roman" w:hAnsi="Times New Roman"/>
        </w:rPr>
        <w:t xml:space="preserve">. Tiesvedības gaitā atbildētāji atzina, ka, nepastāvot likumīgai </w:t>
      </w:r>
      <w:proofErr w:type="spellStart"/>
      <w:r>
        <w:rPr>
          <w:rFonts w:ascii="Times New Roman" w:hAnsi="Times New Roman"/>
          <w:i/>
          <w:iCs/>
        </w:rPr>
        <w:t>LPP</w:t>
      </w:r>
      <w:proofErr w:type="spellEnd"/>
      <w:r>
        <w:rPr>
          <w:rFonts w:ascii="Times New Roman" w:hAnsi="Times New Roman"/>
        </w:rPr>
        <w:t xml:space="preserve"> regulēšanas sistēmai, ar advokāta un klienta saziņas konfidencialitāti aizsargāta materiāla pārtveršanas/iegūšanas, analizēšanas, izmantošanas, izpaušanas un iznīcināšanas režīms kopš 2010. gada janvāra nav atbildis likumam saskaņā ar Konvencijas 8. panta 2. punktu un līdz ar to bijis pretlikumīgs. Drošības dienests un </w:t>
      </w:r>
      <w:proofErr w:type="spellStart"/>
      <w:r>
        <w:rPr>
          <w:rFonts w:ascii="Times New Roman" w:hAnsi="Times New Roman"/>
          <w:i/>
          <w:iCs/>
        </w:rPr>
        <w:t>GCHQ</w:t>
      </w:r>
      <w:proofErr w:type="spellEnd"/>
      <w:r>
        <w:rPr>
          <w:rFonts w:ascii="Times New Roman" w:hAnsi="Times New Roman"/>
        </w:rPr>
        <w:t xml:space="preserve"> apstiprināja, ka tie turpmāko nedēļu laikā strādās pie tā, lai pārskatītu savas politikas nostādnes un procedūras, ņemot vērā </w:t>
      </w:r>
      <w:proofErr w:type="spellStart"/>
      <w:r>
        <w:rPr>
          <w:rFonts w:ascii="Times New Roman" w:hAnsi="Times New Roman"/>
          <w:i/>
          <w:iCs/>
        </w:rPr>
        <w:t>IC</w:t>
      </w:r>
      <w:proofErr w:type="spellEnd"/>
      <w:r>
        <w:rPr>
          <w:rFonts w:ascii="Times New Roman" w:hAnsi="Times New Roman"/>
        </w:rPr>
        <w:t xml:space="preserve"> kodeksa projektu un citus attiecīgos dokumentus.</w:t>
      </w:r>
    </w:p>
    <w:p w14:paraId="31BF7C47" w14:textId="6C6CD95F" w:rsidR="000E3283" w:rsidRPr="008D031E" w:rsidRDefault="000E3283" w:rsidP="001F1E46">
      <w:pPr>
        <w:pStyle w:val="JuPara"/>
        <w:widowControl w:val="0"/>
        <w:ind w:firstLine="142"/>
        <w:rPr>
          <w:rFonts w:ascii="Times New Roman" w:hAnsi="Times New Roman"/>
          <w:noProof/>
        </w:rPr>
      </w:pPr>
      <w:bookmarkStart w:id="76" w:name="BelhadjEnd"/>
      <w:r>
        <w:rPr>
          <w:rFonts w:ascii="Times New Roman" w:hAnsi="Times New Roman"/>
        </w:rPr>
        <w:t>101</w:t>
      </w:r>
      <w:bookmarkEnd w:id="76"/>
      <w:r>
        <w:rPr>
          <w:rFonts w:ascii="Times New Roman" w:hAnsi="Times New Roman"/>
        </w:rPr>
        <w:t xml:space="preserve">. Pēc tam </w:t>
      </w:r>
      <w:proofErr w:type="spellStart"/>
      <w:r>
        <w:rPr>
          <w:rFonts w:ascii="Times New Roman" w:hAnsi="Times New Roman"/>
          <w:i/>
          <w:iCs/>
        </w:rPr>
        <w:t>IPT</w:t>
      </w:r>
      <w:proofErr w:type="spellEnd"/>
      <w:r>
        <w:rPr>
          <w:rFonts w:ascii="Times New Roman" w:hAnsi="Times New Roman"/>
        </w:rPr>
        <w:t xml:space="preserve"> rīkoja slēgtu paskaidrojumu uzklausīšanu, kurā piedalījās tiesas padomnieks (skat. turpmāk 132. punktu), lai noskaidrotu, vai atbildētāji bija pārtvēruši vai ieguvuši jebkādus dokumentus vai informāciju saistībā ar materiālu, kas aizsargāts ar advokāta un klienta saziņas konfidencialitāti. 2015. gada 29. marta lēmumā tika konstatēts, ka izlūkdienestu rīcībā bija tikai divi dokumenti, kuri piederēja kādam no prasītājiem un kuros bija ietverti ar </w:t>
      </w:r>
      <w:proofErr w:type="spellStart"/>
      <w:r>
        <w:rPr>
          <w:rFonts w:ascii="Times New Roman" w:hAnsi="Times New Roman"/>
          <w:i/>
          <w:iCs/>
        </w:rPr>
        <w:t>LPP</w:t>
      </w:r>
      <w:proofErr w:type="spellEnd"/>
      <w:r>
        <w:rPr>
          <w:rFonts w:ascii="Times New Roman" w:hAnsi="Times New Roman"/>
        </w:rPr>
        <w:t xml:space="preserve"> aizsargātie materiāli, un ka tie neatklāja juridiskas konsultācijas un tajos nebija šādu norāžu. Līdz ar to tā konstatēja, ka attiecīgajam prasītājam nav nodarīts kaitējums vai zaudējumi un ka lēmums bija taisnīgs. Tomēr tā uzdeva </w:t>
      </w:r>
      <w:proofErr w:type="spellStart"/>
      <w:r>
        <w:rPr>
          <w:rFonts w:ascii="Times New Roman" w:hAnsi="Times New Roman"/>
          <w:i/>
          <w:iCs/>
        </w:rPr>
        <w:t>GCHQ</w:t>
      </w:r>
      <w:proofErr w:type="spellEnd"/>
      <w:r>
        <w:rPr>
          <w:rFonts w:ascii="Times New Roman" w:hAnsi="Times New Roman"/>
        </w:rPr>
        <w:t xml:space="preserve"> iznīcināt vai dzēst tās dokumentu daļas, kurās ietverts ar advokāta un klienta saziņas konfidencialitāti aizsargātais materiāls, iesniegt šo dokumentu kopiju </w:t>
      </w:r>
      <w:proofErr w:type="spellStart"/>
      <w:r>
        <w:rPr>
          <w:rFonts w:ascii="Times New Roman" w:hAnsi="Times New Roman"/>
          <w:i/>
          <w:iCs/>
        </w:rPr>
        <w:t>IC</w:t>
      </w:r>
      <w:proofErr w:type="spellEnd"/>
      <w:r>
        <w:rPr>
          <w:rFonts w:ascii="Times New Roman" w:hAnsi="Times New Roman"/>
        </w:rPr>
        <w:t xml:space="preserve"> komisāram saglabāšanai uz pieciem gadiem un četrpadsmit dienu laikā sagatavot konfidenciālu ziņojumu, kurā apstiprināts, ka dokumenti ir iznīcināti un dzēsti.</w:t>
      </w:r>
    </w:p>
    <w:p w14:paraId="1A0F739B" w14:textId="58E9F193" w:rsidR="000E3283" w:rsidRDefault="000E3283" w:rsidP="001F1E46">
      <w:pPr>
        <w:pStyle w:val="JuPara"/>
        <w:widowControl w:val="0"/>
        <w:ind w:firstLine="142"/>
        <w:rPr>
          <w:rFonts w:ascii="Times New Roman" w:hAnsi="Times New Roman"/>
          <w:noProof/>
        </w:rPr>
      </w:pPr>
      <w:bookmarkStart w:id="77" w:name="Code"/>
      <w:r>
        <w:rPr>
          <w:rFonts w:ascii="Times New Roman" w:hAnsi="Times New Roman"/>
        </w:rPr>
        <w:t>102</w:t>
      </w:r>
      <w:bookmarkEnd w:id="77"/>
      <w:r>
        <w:rPr>
          <w:rFonts w:ascii="Times New Roman" w:hAnsi="Times New Roman"/>
        </w:rPr>
        <w:t xml:space="preserve">. Gan </w:t>
      </w:r>
      <w:proofErr w:type="spellStart"/>
      <w:r>
        <w:rPr>
          <w:rFonts w:ascii="Times New Roman" w:hAnsi="Times New Roman"/>
          <w:i/>
          <w:iCs/>
        </w:rPr>
        <w:t>IC</w:t>
      </w:r>
      <w:proofErr w:type="spellEnd"/>
      <w:r>
        <w:rPr>
          <w:rFonts w:ascii="Times New Roman" w:hAnsi="Times New Roman"/>
        </w:rPr>
        <w:t xml:space="preserve"> kodeksa, gan Sakaru datu ieguves un izpaušanas prakses kodeksa grozījumu projekti pēc tam tika nodoti apspriešanai, savukārt kodeksos, kuri tā rezultātā tika pieņemti 2018. gadā, tika izvērstas iedaļas par piekļuvi konfidenciālai informācijai.</w:t>
      </w:r>
    </w:p>
    <w:p w14:paraId="52FC787E" w14:textId="77777777" w:rsidR="00D6121C" w:rsidRPr="008D031E" w:rsidRDefault="00D6121C" w:rsidP="001F1E46">
      <w:pPr>
        <w:pStyle w:val="JuPara"/>
        <w:widowControl w:val="0"/>
        <w:ind w:firstLine="142"/>
        <w:rPr>
          <w:rFonts w:ascii="Times New Roman" w:hAnsi="Times New Roman"/>
          <w:noProof/>
          <w:lang w:val="en-US"/>
        </w:rPr>
      </w:pPr>
    </w:p>
    <w:p w14:paraId="5DD2C38B" w14:textId="467B69E8" w:rsidR="000E3283" w:rsidRDefault="00D6121C" w:rsidP="001F1E46">
      <w:pPr>
        <w:pStyle w:val="JuHA"/>
        <w:keepNext w:val="0"/>
        <w:keepLines w:val="0"/>
        <w:widowControl w:val="0"/>
        <w:numPr>
          <w:ilvl w:val="0"/>
          <w:numId w:val="0"/>
        </w:numPr>
        <w:spacing w:before="0" w:beforeAutospacing="0" w:after="0"/>
        <w:outlineLvl w:val="9"/>
        <w:rPr>
          <w:rFonts w:ascii="Times New Roman" w:hAnsi="Times New Roman"/>
          <w:noProof/>
        </w:rPr>
      </w:pPr>
      <w:bookmarkStart w:id="78" w:name="_Toc516820729"/>
      <w:r>
        <w:rPr>
          <w:rFonts w:ascii="Times New Roman" w:hAnsi="Times New Roman"/>
        </w:rPr>
        <w:t xml:space="preserve">B. </w:t>
      </w:r>
      <w:proofErr w:type="spellStart"/>
      <w:r>
        <w:rPr>
          <w:rFonts w:ascii="Times New Roman" w:hAnsi="Times New Roman"/>
        </w:rPr>
        <w:t>Izlūkdatu</w:t>
      </w:r>
      <w:proofErr w:type="spellEnd"/>
      <w:r>
        <w:rPr>
          <w:rFonts w:ascii="Times New Roman" w:hAnsi="Times New Roman"/>
        </w:rPr>
        <w:t xml:space="preserve"> apmaiņa</w:t>
      </w:r>
      <w:bookmarkEnd w:id="78"/>
    </w:p>
    <w:p w14:paraId="03BB84D0" w14:textId="77777777" w:rsidR="00D6121C" w:rsidRPr="00D6121C" w:rsidRDefault="00D6121C" w:rsidP="001F1E46">
      <w:pPr>
        <w:pStyle w:val="JuPara"/>
        <w:widowControl w:val="0"/>
        <w:rPr>
          <w:lang w:val="en-US"/>
        </w:rPr>
      </w:pPr>
    </w:p>
    <w:p w14:paraId="79A49B36" w14:textId="4C9B9A9B" w:rsidR="000E3283" w:rsidRDefault="00D6121C" w:rsidP="001F1E46">
      <w:pPr>
        <w:pStyle w:val="JuH1"/>
        <w:keepNext w:val="0"/>
        <w:keepLines w:val="0"/>
        <w:widowControl w:val="0"/>
        <w:numPr>
          <w:ilvl w:val="0"/>
          <w:numId w:val="0"/>
        </w:numPr>
        <w:spacing w:before="0" w:beforeAutospacing="0" w:after="0"/>
        <w:outlineLvl w:val="9"/>
        <w:rPr>
          <w:rFonts w:ascii="Times New Roman" w:hAnsi="Times New Roman"/>
          <w:noProof/>
        </w:rPr>
      </w:pPr>
      <w:bookmarkStart w:id="79" w:name="_Toc516820730"/>
      <w:r>
        <w:rPr>
          <w:rFonts w:ascii="Times New Roman" w:hAnsi="Times New Roman"/>
        </w:rPr>
        <w:t>1. Lielbritānijas–ASV līgums par sakaru izlūkošanu [British-</w:t>
      </w:r>
      <w:proofErr w:type="spellStart"/>
      <w:r>
        <w:rPr>
          <w:rFonts w:ascii="Times New Roman" w:hAnsi="Times New Roman"/>
        </w:rPr>
        <w:t>US</w:t>
      </w:r>
      <w:proofErr w:type="spellEnd"/>
      <w:r>
        <w:rPr>
          <w:rFonts w:ascii="Times New Roman" w:hAnsi="Times New Roman"/>
        </w:rPr>
        <w:t xml:space="preserve"> </w:t>
      </w:r>
      <w:proofErr w:type="spellStart"/>
      <w:r>
        <w:rPr>
          <w:rFonts w:ascii="Times New Roman" w:hAnsi="Times New Roman"/>
        </w:rPr>
        <w:t>Communication</w:t>
      </w:r>
      <w:proofErr w:type="spellEnd"/>
      <w:r>
        <w:rPr>
          <w:rFonts w:ascii="Times New Roman" w:hAnsi="Times New Roman"/>
        </w:rPr>
        <w:t xml:space="preserve"> </w:t>
      </w:r>
      <w:proofErr w:type="spellStart"/>
      <w:r>
        <w:rPr>
          <w:rFonts w:ascii="Times New Roman" w:hAnsi="Times New Roman"/>
        </w:rPr>
        <w:t>Intelligence</w:t>
      </w:r>
      <w:proofErr w:type="spellEnd"/>
      <w:r>
        <w:rPr>
          <w:rFonts w:ascii="Times New Roman" w:hAnsi="Times New Roman"/>
        </w:rPr>
        <w:t xml:space="preserve"> </w:t>
      </w:r>
      <w:proofErr w:type="spellStart"/>
      <w:r>
        <w:rPr>
          <w:rFonts w:ascii="Times New Roman" w:hAnsi="Times New Roman"/>
        </w:rPr>
        <w:t>Agreement</w:t>
      </w:r>
      <w:proofErr w:type="spellEnd"/>
      <w:r>
        <w:rPr>
          <w:rFonts w:ascii="Times New Roman" w:hAnsi="Times New Roman"/>
        </w:rPr>
        <w:t>]</w:t>
      </w:r>
      <w:bookmarkEnd w:id="79"/>
    </w:p>
    <w:p w14:paraId="58AF1D40" w14:textId="77777777" w:rsidR="00D6121C" w:rsidRPr="00D6121C" w:rsidRDefault="00D6121C" w:rsidP="001F1E46">
      <w:pPr>
        <w:pStyle w:val="JuPara"/>
        <w:widowControl w:val="0"/>
        <w:rPr>
          <w:lang w:val="en-US"/>
        </w:rPr>
      </w:pPr>
    </w:p>
    <w:p w14:paraId="3AE36027" w14:textId="2D10D70D" w:rsidR="000E3283" w:rsidRDefault="000E3283" w:rsidP="001F1E46">
      <w:pPr>
        <w:pStyle w:val="JuPara"/>
        <w:widowControl w:val="0"/>
        <w:ind w:firstLine="142"/>
        <w:rPr>
          <w:rFonts w:ascii="Times New Roman" w:hAnsi="Times New Roman"/>
          <w:noProof/>
        </w:rPr>
      </w:pPr>
      <w:bookmarkStart w:id="80" w:name="Agreement1946"/>
      <w:r>
        <w:rPr>
          <w:rFonts w:ascii="Times New Roman" w:hAnsi="Times New Roman"/>
        </w:rPr>
        <w:t>103</w:t>
      </w:r>
      <w:bookmarkEnd w:id="80"/>
      <w:r>
        <w:rPr>
          <w:rFonts w:ascii="Times New Roman" w:hAnsi="Times New Roman"/>
        </w:rPr>
        <w:t>. 1946. gada 5. marta Lielbritānijas–ASV līgums par sakaru izlūkošanu reglamentēja pasākumus starp Lielbritānijas un Amerikas Savienoto Valstu iestādēm par izlūkošanas informācijas apmaiņu saistībā ar “ārvalstu” sakariem, kas definēti, atsaucoties uz valstīm, kas nav Amerikas Savienotās Valstis, Apvienotā Karaliste un Sadraudzības valstis. Saskaņā ar šo līgumu puses apņēmās apmainīties ar vairāku ar ārvalstu sakariem saistīto pārtveršanas operāciju produktiem.</w:t>
      </w:r>
    </w:p>
    <w:p w14:paraId="3A569DE9" w14:textId="77777777" w:rsidR="00D6121C" w:rsidRPr="008D031E" w:rsidRDefault="00D6121C" w:rsidP="001F1E46">
      <w:pPr>
        <w:pStyle w:val="JuPara"/>
        <w:widowControl w:val="0"/>
        <w:ind w:firstLine="142"/>
        <w:rPr>
          <w:rFonts w:ascii="Times New Roman" w:hAnsi="Times New Roman"/>
          <w:noProof/>
          <w:lang w:val="en-US"/>
        </w:rPr>
      </w:pPr>
    </w:p>
    <w:p w14:paraId="3FEC839F" w14:textId="7AEDDCF0" w:rsidR="000E3283" w:rsidRDefault="00096EDD" w:rsidP="001F1E46">
      <w:pPr>
        <w:pStyle w:val="JuH1"/>
        <w:keepNext w:val="0"/>
        <w:keepLines w:val="0"/>
        <w:widowControl w:val="0"/>
        <w:numPr>
          <w:ilvl w:val="0"/>
          <w:numId w:val="0"/>
        </w:numPr>
        <w:spacing w:before="0" w:beforeAutospacing="0" w:after="0"/>
        <w:outlineLvl w:val="9"/>
        <w:rPr>
          <w:rFonts w:ascii="Times New Roman" w:hAnsi="Times New Roman"/>
          <w:noProof/>
        </w:rPr>
      </w:pPr>
      <w:bookmarkStart w:id="81" w:name="_Toc516820731"/>
      <w:r>
        <w:rPr>
          <w:rFonts w:ascii="Times New Roman" w:hAnsi="Times New Roman"/>
        </w:rPr>
        <w:t>2. Piemērojamais izlūkdienestu darbības tiesiskais regulējums</w:t>
      </w:r>
      <w:bookmarkEnd w:id="81"/>
    </w:p>
    <w:p w14:paraId="03FF8D9D" w14:textId="77777777" w:rsidR="00096EDD" w:rsidRPr="00096EDD" w:rsidRDefault="00096EDD" w:rsidP="001F1E46">
      <w:pPr>
        <w:pStyle w:val="JuPara"/>
        <w:widowControl w:val="0"/>
        <w:rPr>
          <w:lang w:val="en-US"/>
        </w:rPr>
      </w:pPr>
    </w:p>
    <w:p w14:paraId="6F82413A" w14:textId="7D566401" w:rsidR="000E3283" w:rsidRDefault="000E3283" w:rsidP="001F1E46">
      <w:pPr>
        <w:pStyle w:val="JuPara"/>
        <w:widowControl w:val="0"/>
        <w:ind w:firstLine="142"/>
        <w:rPr>
          <w:rFonts w:ascii="Times New Roman" w:hAnsi="Times New Roman"/>
          <w:noProof/>
        </w:rPr>
      </w:pPr>
      <w:r>
        <w:rPr>
          <w:rFonts w:ascii="Times New Roman" w:hAnsi="Times New Roman"/>
        </w:rPr>
        <w:t>104. Apvienotajā Karalistē darbojas trīs izlūkdienesti, proti, drošības dienests (turpmāk tekstā – “</w:t>
      </w:r>
      <w:proofErr w:type="spellStart"/>
      <w:r>
        <w:rPr>
          <w:rFonts w:ascii="Times New Roman" w:hAnsi="Times New Roman"/>
          <w:i/>
          <w:iCs/>
        </w:rPr>
        <w:t>MI5</w:t>
      </w:r>
      <w:proofErr w:type="spellEnd"/>
      <w:r>
        <w:rPr>
          <w:rFonts w:ascii="Times New Roman" w:hAnsi="Times New Roman"/>
        </w:rPr>
        <w:t>”), slepenās izlūkošanas dienests (turpmāk tekstā – “</w:t>
      </w:r>
      <w:proofErr w:type="spellStart"/>
      <w:r>
        <w:rPr>
          <w:rFonts w:ascii="Times New Roman" w:hAnsi="Times New Roman"/>
          <w:i/>
          <w:iCs/>
        </w:rPr>
        <w:t>MI6</w:t>
      </w:r>
      <w:proofErr w:type="spellEnd"/>
      <w:r>
        <w:rPr>
          <w:rFonts w:ascii="Times New Roman" w:hAnsi="Times New Roman"/>
        </w:rPr>
        <w:t xml:space="preserve">”) un </w:t>
      </w:r>
      <w:proofErr w:type="spellStart"/>
      <w:r>
        <w:rPr>
          <w:rFonts w:ascii="Times New Roman" w:hAnsi="Times New Roman"/>
          <w:i/>
          <w:iCs/>
        </w:rPr>
        <w:t>GCHQ</w:t>
      </w:r>
      <w:proofErr w:type="spellEnd"/>
      <w:r>
        <w:rPr>
          <w:rFonts w:ascii="Times New Roman" w:hAnsi="Times New Roman"/>
        </w:rPr>
        <w:t>.</w:t>
      </w:r>
    </w:p>
    <w:p w14:paraId="34DB4BD2" w14:textId="77777777" w:rsidR="00096EDD" w:rsidRPr="008D031E" w:rsidRDefault="00096EDD" w:rsidP="001F1E46">
      <w:pPr>
        <w:pStyle w:val="JuPara"/>
        <w:widowControl w:val="0"/>
        <w:ind w:firstLine="142"/>
        <w:rPr>
          <w:rFonts w:ascii="Times New Roman" w:hAnsi="Times New Roman"/>
          <w:noProof/>
          <w:lang w:val="en-US"/>
        </w:rPr>
      </w:pPr>
    </w:p>
    <w:p w14:paraId="730D3F6F" w14:textId="47A18CB7" w:rsidR="000E3283" w:rsidRDefault="00096EDD" w:rsidP="001F1E46">
      <w:pPr>
        <w:pStyle w:val="JuHa0"/>
        <w:keepNext w:val="0"/>
        <w:keepLines w:val="0"/>
        <w:widowControl w:val="0"/>
        <w:numPr>
          <w:ilvl w:val="0"/>
          <w:numId w:val="0"/>
        </w:numPr>
        <w:spacing w:before="0" w:beforeAutospacing="0" w:after="0"/>
        <w:outlineLvl w:val="9"/>
        <w:rPr>
          <w:rFonts w:ascii="Times New Roman" w:hAnsi="Times New Roman"/>
          <w:noProof/>
          <w:sz w:val="24"/>
        </w:rPr>
      </w:pPr>
      <w:bookmarkStart w:id="82" w:name="_Toc516820732"/>
      <w:r>
        <w:rPr>
          <w:rFonts w:ascii="Times New Roman" w:hAnsi="Times New Roman"/>
          <w:sz w:val="24"/>
        </w:rPr>
        <w:t xml:space="preserve">a) </w:t>
      </w:r>
      <w:proofErr w:type="spellStart"/>
      <w:r>
        <w:rPr>
          <w:rFonts w:ascii="Times New Roman" w:hAnsi="Times New Roman"/>
          <w:i/>
          <w:iCs/>
          <w:sz w:val="24"/>
        </w:rPr>
        <w:t>MI5</w:t>
      </w:r>
      <w:bookmarkEnd w:id="82"/>
      <w:proofErr w:type="spellEnd"/>
    </w:p>
    <w:p w14:paraId="1FD86B2A" w14:textId="77777777" w:rsidR="00096EDD" w:rsidRPr="00096EDD" w:rsidRDefault="00096EDD" w:rsidP="001F1E46">
      <w:pPr>
        <w:pStyle w:val="JuPara"/>
        <w:widowControl w:val="0"/>
        <w:rPr>
          <w:lang w:val="en-US"/>
        </w:rPr>
      </w:pPr>
    </w:p>
    <w:p w14:paraId="5E477EC8" w14:textId="38262271" w:rsidR="000E3283" w:rsidRPr="008D031E" w:rsidRDefault="000E3283" w:rsidP="001F1E46">
      <w:pPr>
        <w:pStyle w:val="JuPara"/>
        <w:widowControl w:val="0"/>
        <w:ind w:firstLine="142"/>
        <w:rPr>
          <w:rFonts w:ascii="Times New Roman" w:hAnsi="Times New Roman"/>
          <w:noProof/>
        </w:rPr>
      </w:pPr>
      <w:bookmarkStart w:id="83" w:name="SSAStart"/>
      <w:r>
        <w:rPr>
          <w:rFonts w:ascii="Times New Roman" w:hAnsi="Times New Roman"/>
        </w:rPr>
        <w:t>105</w:t>
      </w:r>
      <w:bookmarkEnd w:id="83"/>
      <w:r>
        <w:rPr>
          <w:rFonts w:ascii="Times New Roman" w:hAnsi="Times New Roman"/>
        </w:rPr>
        <w:t>. Saskaņā ar 1989. gada Drošības dienestu likuma (turpmāk tekstā – “</w:t>
      </w:r>
      <w:proofErr w:type="spellStart"/>
      <w:r>
        <w:rPr>
          <w:rFonts w:ascii="Times New Roman" w:hAnsi="Times New Roman"/>
          <w:i/>
          <w:iCs/>
        </w:rPr>
        <w:t>SSA</w:t>
      </w:r>
      <w:proofErr w:type="spellEnd"/>
      <w:r>
        <w:rPr>
          <w:rFonts w:ascii="Times New Roman" w:hAnsi="Times New Roman"/>
        </w:rPr>
        <w:t xml:space="preserve">”) 2. pantu </w:t>
      </w:r>
      <w:proofErr w:type="spellStart"/>
      <w:r>
        <w:rPr>
          <w:rFonts w:ascii="Times New Roman" w:hAnsi="Times New Roman"/>
          <w:i/>
          <w:iCs/>
        </w:rPr>
        <w:t>MI5</w:t>
      </w:r>
      <w:proofErr w:type="spellEnd"/>
      <w:r>
        <w:rPr>
          <w:rFonts w:ascii="Times New Roman" w:hAnsi="Times New Roman"/>
        </w:rPr>
        <w:t xml:space="preserve"> ģenerāldirektoram, kuru iecēla </w:t>
      </w:r>
      <w:proofErr w:type="spellStart"/>
      <w:r>
        <w:rPr>
          <w:rFonts w:ascii="Times New Roman" w:hAnsi="Times New Roman"/>
        </w:rPr>
        <w:t>Iekšlietu</w:t>
      </w:r>
      <w:proofErr w:type="spellEnd"/>
      <w:r>
        <w:rPr>
          <w:rFonts w:ascii="Times New Roman" w:hAnsi="Times New Roman"/>
        </w:rPr>
        <w:t xml:space="preserve"> departamenta valsts sekretārs, bija pienākums nodrošināt pasākumus, lai garantētu, ka </w:t>
      </w:r>
      <w:proofErr w:type="spellStart"/>
      <w:r>
        <w:rPr>
          <w:rFonts w:ascii="Times New Roman" w:hAnsi="Times New Roman"/>
          <w:i/>
          <w:iCs/>
        </w:rPr>
        <w:t>MI5</w:t>
      </w:r>
      <w:proofErr w:type="spellEnd"/>
      <w:r>
        <w:rPr>
          <w:rFonts w:ascii="Times New Roman" w:hAnsi="Times New Roman"/>
        </w:rPr>
        <w:t xml:space="preserve"> neiegūst nekādu informāciju, izņemot tiktāl, ciktāl tas ir nepieciešams, lai tas atbilstoši pildītu savas funkcijas, vai to neizpauž, izņemot tiktāl, ciktāl tas ir nepieciešams šim nolūkam vai smagu noziegumu novēršanai vai atklāšanai, vai jebkāda kriminālprocesa nolūkos.</w:t>
      </w:r>
    </w:p>
    <w:p w14:paraId="77D7A96D" w14:textId="7A0E092A" w:rsidR="000E3283" w:rsidRDefault="000E3283" w:rsidP="001F1E46">
      <w:pPr>
        <w:pStyle w:val="JuPara"/>
        <w:widowControl w:val="0"/>
        <w:ind w:firstLine="142"/>
        <w:rPr>
          <w:rFonts w:ascii="Times New Roman" w:hAnsi="Times New Roman"/>
          <w:noProof/>
        </w:rPr>
      </w:pPr>
      <w:bookmarkStart w:id="84" w:name="SSAEnd"/>
      <w:r>
        <w:rPr>
          <w:rFonts w:ascii="Times New Roman" w:hAnsi="Times New Roman"/>
        </w:rPr>
        <w:t>106</w:t>
      </w:r>
      <w:bookmarkEnd w:id="84"/>
      <w:r>
        <w:rPr>
          <w:rFonts w:ascii="Times New Roman" w:hAnsi="Times New Roman"/>
        </w:rPr>
        <w:t xml:space="preserve">. Saskaņā ar </w:t>
      </w:r>
      <w:proofErr w:type="spellStart"/>
      <w:r>
        <w:rPr>
          <w:rFonts w:ascii="Times New Roman" w:hAnsi="Times New Roman"/>
          <w:i/>
          <w:iCs/>
        </w:rPr>
        <w:t>SSA</w:t>
      </w:r>
      <w:proofErr w:type="spellEnd"/>
      <w:r>
        <w:rPr>
          <w:rFonts w:ascii="Times New Roman" w:hAnsi="Times New Roman"/>
        </w:rPr>
        <w:t xml:space="preserve"> 1. pantu </w:t>
      </w:r>
      <w:proofErr w:type="spellStart"/>
      <w:r>
        <w:rPr>
          <w:rFonts w:ascii="Times New Roman" w:hAnsi="Times New Roman"/>
          <w:i/>
          <w:iCs/>
        </w:rPr>
        <w:t>MI5</w:t>
      </w:r>
      <w:proofErr w:type="spellEnd"/>
      <w:r>
        <w:rPr>
          <w:rFonts w:ascii="Times New Roman" w:hAnsi="Times New Roman"/>
        </w:rPr>
        <w:t xml:space="preserve"> funkcijas bija aizsargāt valsts drošību, jo īpaši pret spiegošanas, terorisma un sabotāžas draudiem, ārvalstu aģentu darbībām un tādām darbībām, kuru mērķis ir gāzt vai graut parlamentāro demokrātiju ar politiskiem, rūpnieciskiem vai vardarbīgiem līdzekļiem, kā arī aizsargāt Apvienotās Karalistes ekonomisko labklājību pret draudiem, ko rada ārpus Britu salām esošu personu rīcība vai nodomi, un rīkoties, atbalstot policijas spēku, Valsts Noziedzības apkarošanas aģentūras un citu </w:t>
      </w:r>
      <w:proofErr w:type="spellStart"/>
      <w:r>
        <w:rPr>
          <w:rFonts w:ascii="Times New Roman" w:hAnsi="Times New Roman"/>
        </w:rPr>
        <w:t>tiesībsargājošo</w:t>
      </w:r>
      <w:proofErr w:type="spellEnd"/>
      <w:r>
        <w:rPr>
          <w:rFonts w:ascii="Times New Roman" w:hAnsi="Times New Roman"/>
        </w:rPr>
        <w:t xml:space="preserve"> iestāžu centienus novērst un atklāt smagus noziegumus.</w:t>
      </w:r>
    </w:p>
    <w:p w14:paraId="6700C442" w14:textId="77777777" w:rsidR="00096EDD" w:rsidRPr="008D031E" w:rsidRDefault="00096EDD" w:rsidP="001F1E46">
      <w:pPr>
        <w:pStyle w:val="JuPara"/>
        <w:widowControl w:val="0"/>
        <w:ind w:firstLine="142"/>
        <w:rPr>
          <w:rFonts w:ascii="Times New Roman" w:hAnsi="Times New Roman"/>
          <w:noProof/>
          <w:lang w:val="en-US"/>
        </w:rPr>
      </w:pPr>
    </w:p>
    <w:p w14:paraId="278BB495" w14:textId="53C7E155" w:rsidR="000E3283" w:rsidRDefault="00096EDD" w:rsidP="001F1E46">
      <w:pPr>
        <w:pStyle w:val="JuHa0"/>
        <w:keepNext w:val="0"/>
        <w:keepLines w:val="0"/>
        <w:widowControl w:val="0"/>
        <w:numPr>
          <w:ilvl w:val="0"/>
          <w:numId w:val="0"/>
        </w:numPr>
        <w:spacing w:before="0" w:beforeAutospacing="0" w:after="0"/>
        <w:outlineLvl w:val="9"/>
        <w:rPr>
          <w:rFonts w:ascii="Times New Roman" w:hAnsi="Times New Roman"/>
          <w:noProof/>
          <w:sz w:val="24"/>
        </w:rPr>
      </w:pPr>
      <w:bookmarkStart w:id="85" w:name="_Toc516820733"/>
      <w:r>
        <w:rPr>
          <w:rFonts w:ascii="Times New Roman" w:hAnsi="Times New Roman"/>
          <w:sz w:val="24"/>
        </w:rPr>
        <w:t xml:space="preserve">b) </w:t>
      </w:r>
      <w:proofErr w:type="spellStart"/>
      <w:r>
        <w:rPr>
          <w:rFonts w:ascii="Times New Roman" w:hAnsi="Times New Roman"/>
          <w:i/>
          <w:iCs/>
          <w:sz w:val="24"/>
        </w:rPr>
        <w:t>MI6</w:t>
      </w:r>
      <w:bookmarkEnd w:id="85"/>
      <w:proofErr w:type="spellEnd"/>
    </w:p>
    <w:p w14:paraId="2E30B98D" w14:textId="77777777" w:rsidR="00096EDD" w:rsidRPr="00096EDD" w:rsidRDefault="00096EDD" w:rsidP="001F1E46">
      <w:pPr>
        <w:pStyle w:val="JuPara"/>
        <w:widowControl w:val="0"/>
        <w:rPr>
          <w:lang w:val="en-US"/>
        </w:rPr>
      </w:pPr>
    </w:p>
    <w:p w14:paraId="359B86E1" w14:textId="3108C561" w:rsidR="000E3283" w:rsidRPr="008D031E" w:rsidRDefault="000E3283" w:rsidP="001F1E46">
      <w:pPr>
        <w:pStyle w:val="JuPara"/>
        <w:widowControl w:val="0"/>
        <w:ind w:firstLine="142"/>
        <w:rPr>
          <w:rFonts w:ascii="Times New Roman" w:hAnsi="Times New Roman"/>
          <w:noProof/>
        </w:rPr>
      </w:pPr>
      <w:bookmarkStart w:id="86" w:name="ISAStart"/>
      <w:r>
        <w:rPr>
          <w:rFonts w:ascii="Times New Roman" w:hAnsi="Times New Roman"/>
        </w:rPr>
        <w:t>107</w:t>
      </w:r>
      <w:bookmarkEnd w:id="86"/>
      <w:r>
        <w:rPr>
          <w:rFonts w:ascii="Times New Roman" w:hAnsi="Times New Roman"/>
        </w:rPr>
        <w:t>. Saskaņā ar 1994. gada Izlūkdienestu likuma (turpmāk tekstā – “</w:t>
      </w:r>
      <w:proofErr w:type="spellStart"/>
      <w:r>
        <w:rPr>
          <w:rFonts w:ascii="Times New Roman" w:hAnsi="Times New Roman"/>
          <w:i/>
          <w:iCs/>
        </w:rPr>
        <w:t>ISA</w:t>
      </w:r>
      <w:proofErr w:type="spellEnd"/>
      <w:r>
        <w:rPr>
          <w:rFonts w:ascii="Times New Roman" w:hAnsi="Times New Roman"/>
        </w:rPr>
        <w:t xml:space="preserve">”) 2. pantu </w:t>
      </w:r>
      <w:proofErr w:type="spellStart"/>
      <w:r>
        <w:rPr>
          <w:rFonts w:ascii="Times New Roman" w:hAnsi="Times New Roman"/>
          <w:i/>
          <w:iCs/>
        </w:rPr>
        <w:t>MI6</w:t>
      </w:r>
      <w:proofErr w:type="spellEnd"/>
      <w:r>
        <w:rPr>
          <w:rFonts w:ascii="Times New Roman" w:hAnsi="Times New Roman"/>
        </w:rPr>
        <w:t xml:space="preserve"> dienesta vadītājam, kuru iecēla (toreizējais) valsts sekretārs ārlietās un sadraudzības lietās, bija pienākums nodrošināt pasākumus, lai garantētu, ka </w:t>
      </w:r>
      <w:proofErr w:type="spellStart"/>
      <w:r>
        <w:rPr>
          <w:rFonts w:ascii="Times New Roman" w:hAnsi="Times New Roman"/>
          <w:i/>
          <w:iCs/>
        </w:rPr>
        <w:t>MI6</w:t>
      </w:r>
      <w:proofErr w:type="spellEnd"/>
      <w:r>
        <w:rPr>
          <w:rFonts w:ascii="Times New Roman" w:hAnsi="Times New Roman"/>
        </w:rPr>
        <w:t xml:space="preserve"> neiegūst nekādu informāciju, izņemot tiktāl, ciktāl tas ir nepieciešams, lai tas atbilstoši pildītu savas funkcijas, vai to neizpauž, izņemot tiktāl, ciktāl tas ir nepieciešams šim nolūkam, valsts drošības interesēs, smagu noziegumu novēršanai vai atklāšanai vai arī jebkāda kriminālprocesa nolūkos.</w:t>
      </w:r>
    </w:p>
    <w:p w14:paraId="2A923BE8" w14:textId="33899097" w:rsidR="000E3283" w:rsidRDefault="000E3283" w:rsidP="001F1E46">
      <w:pPr>
        <w:pStyle w:val="JuPara"/>
        <w:widowControl w:val="0"/>
        <w:ind w:firstLine="142"/>
        <w:rPr>
          <w:rFonts w:ascii="Times New Roman" w:hAnsi="Times New Roman"/>
          <w:noProof/>
        </w:rPr>
      </w:pPr>
      <w:bookmarkStart w:id="87" w:name="ISA108"/>
      <w:r>
        <w:rPr>
          <w:rFonts w:ascii="Times New Roman" w:hAnsi="Times New Roman"/>
        </w:rPr>
        <w:t>108</w:t>
      </w:r>
      <w:bookmarkEnd w:id="87"/>
      <w:r>
        <w:rPr>
          <w:rFonts w:ascii="Times New Roman" w:hAnsi="Times New Roman"/>
        </w:rPr>
        <w:t xml:space="preserve">. Saskaņā ar </w:t>
      </w:r>
      <w:proofErr w:type="spellStart"/>
      <w:r>
        <w:rPr>
          <w:rFonts w:ascii="Times New Roman" w:hAnsi="Times New Roman"/>
          <w:i/>
          <w:iCs/>
        </w:rPr>
        <w:t>ISA</w:t>
      </w:r>
      <w:proofErr w:type="spellEnd"/>
      <w:r>
        <w:rPr>
          <w:rFonts w:ascii="Times New Roman" w:hAnsi="Times New Roman"/>
        </w:rPr>
        <w:t xml:space="preserve"> 1. pantu </w:t>
      </w:r>
      <w:proofErr w:type="spellStart"/>
      <w:r>
        <w:rPr>
          <w:rFonts w:ascii="Times New Roman" w:hAnsi="Times New Roman"/>
          <w:i/>
          <w:iCs/>
        </w:rPr>
        <w:t>MI6</w:t>
      </w:r>
      <w:proofErr w:type="spellEnd"/>
      <w:r>
        <w:rPr>
          <w:rFonts w:ascii="Times New Roman" w:hAnsi="Times New Roman"/>
        </w:rPr>
        <w:t xml:space="preserve"> funkcijas bija iegūt un sniegt informāciju par ārpus Britu salām esošu personu rīcību vai nodomiem un pildīt savus uzdevumus saistībā ar šādu personu rīcību vai nodomiem. Tas šīs funkcijas varēja pildīt vienīgi valsts drošības interesēs, īpaši atsaucoties uz valsts aizsardzības un ārlietu politiku, Apvienotās Karalistes ekonomiskās labklājības interesēs vai lai sekmētu smagu noziegumu novēršanu vai atklāšanu.</w:t>
      </w:r>
    </w:p>
    <w:p w14:paraId="77405176" w14:textId="77777777" w:rsidR="00096EDD" w:rsidRPr="008D031E" w:rsidRDefault="00096EDD" w:rsidP="001F1E46">
      <w:pPr>
        <w:pStyle w:val="JuPara"/>
        <w:widowControl w:val="0"/>
        <w:ind w:firstLine="0"/>
        <w:rPr>
          <w:rFonts w:ascii="Times New Roman" w:hAnsi="Times New Roman"/>
          <w:noProof/>
          <w:lang w:val="en-US"/>
        </w:rPr>
      </w:pPr>
    </w:p>
    <w:p w14:paraId="471108C6" w14:textId="6934E89B" w:rsidR="000E3283" w:rsidRDefault="00096EDD" w:rsidP="001F1E46">
      <w:pPr>
        <w:pStyle w:val="JuHa0"/>
        <w:keepNext w:val="0"/>
        <w:keepLines w:val="0"/>
        <w:widowControl w:val="0"/>
        <w:numPr>
          <w:ilvl w:val="0"/>
          <w:numId w:val="0"/>
        </w:numPr>
        <w:spacing w:before="0" w:beforeAutospacing="0" w:after="0"/>
        <w:outlineLvl w:val="9"/>
        <w:rPr>
          <w:rFonts w:ascii="Times New Roman" w:hAnsi="Times New Roman"/>
          <w:noProof/>
          <w:sz w:val="24"/>
        </w:rPr>
      </w:pPr>
      <w:bookmarkStart w:id="88" w:name="_Toc516820734"/>
      <w:r>
        <w:rPr>
          <w:rFonts w:ascii="Times New Roman" w:hAnsi="Times New Roman"/>
          <w:sz w:val="24"/>
        </w:rPr>
        <w:t xml:space="preserve">c) </w:t>
      </w:r>
      <w:proofErr w:type="spellStart"/>
      <w:r>
        <w:rPr>
          <w:rFonts w:ascii="Times New Roman" w:hAnsi="Times New Roman"/>
          <w:i/>
          <w:iCs/>
          <w:sz w:val="24"/>
        </w:rPr>
        <w:t>GCHQ</w:t>
      </w:r>
      <w:bookmarkEnd w:id="88"/>
      <w:proofErr w:type="spellEnd"/>
    </w:p>
    <w:p w14:paraId="0F1434F2" w14:textId="77777777" w:rsidR="00096EDD" w:rsidRPr="00096EDD" w:rsidRDefault="00096EDD" w:rsidP="001F1E46">
      <w:pPr>
        <w:pStyle w:val="JuPara"/>
        <w:widowControl w:val="0"/>
        <w:rPr>
          <w:lang w:val="en-US"/>
        </w:rPr>
      </w:pPr>
    </w:p>
    <w:p w14:paraId="738A776E" w14:textId="58AD8F12" w:rsidR="000E3283" w:rsidRPr="008D031E" w:rsidRDefault="000E3283" w:rsidP="001F1E46">
      <w:pPr>
        <w:pStyle w:val="JuPara"/>
        <w:widowControl w:val="0"/>
        <w:ind w:firstLine="142"/>
        <w:rPr>
          <w:rFonts w:ascii="Times New Roman" w:hAnsi="Times New Roman"/>
          <w:noProof/>
        </w:rPr>
      </w:pPr>
      <w:r>
        <w:rPr>
          <w:rFonts w:ascii="Times New Roman" w:hAnsi="Times New Roman"/>
        </w:rPr>
        <w:t xml:space="preserve">109. Saskaņā ar </w:t>
      </w:r>
      <w:proofErr w:type="spellStart"/>
      <w:r>
        <w:rPr>
          <w:rFonts w:ascii="Times New Roman" w:hAnsi="Times New Roman"/>
          <w:i/>
          <w:iCs/>
        </w:rPr>
        <w:t>ISA</w:t>
      </w:r>
      <w:proofErr w:type="spellEnd"/>
      <w:r>
        <w:rPr>
          <w:rFonts w:ascii="Times New Roman" w:hAnsi="Times New Roman"/>
        </w:rPr>
        <w:t xml:space="preserve"> 4. pantu </w:t>
      </w:r>
      <w:proofErr w:type="spellStart"/>
      <w:r>
        <w:rPr>
          <w:rFonts w:ascii="Times New Roman" w:hAnsi="Times New Roman"/>
          <w:i/>
          <w:iCs/>
        </w:rPr>
        <w:t>GCHQ</w:t>
      </w:r>
      <w:proofErr w:type="spellEnd"/>
      <w:r>
        <w:rPr>
          <w:rFonts w:ascii="Times New Roman" w:hAnsi="Times New Roman"/>
        </w:rPr>
        <w:t xml:space="preserve"> direktoram, kuru iecēla (toreizējais) valsts sekretārs ārlietās un sadraudzības lietās, bija pienākums nodrošināt pasākumus, lai garantētu, ka tā neiegūst nekādu informāciju, izņemot tiktāl, ciktāl tas ir nepieciešams, lai tā atbilstoši pildītu savas funkcijas, un to neizpauž, izņemot tiktāl, ciktāl tas ir nepieciešams.</w:t>
      </w:r>
    </w:p>
    <w:p w14:paraId="2214BF8F" w14:textId="6ED6C1DB" w:rsidR="000E3283" w:rsidRDefault="000E3283" w:rsidP="001F1E46">
      <w:pPr>
        <w:pStyle w:val="JuPara"/>
        <w:widowControl w:val="0"/>
        <w:ind w:firstLine="142"/>
        <w:rPr>
          <w:rFonts w:ascii="Times New Roman" w:hAnsi="Times New Roman"/>
          <w:noProof/>
        </w:rPr>
      </w:pPr>
      <w:bookmarkStart w:id="89" w:name="ISAEnd"/>
      <w:r>
        <w:rPr>
          <w:rFonts w:ascii="Times New Roman" w:hAnsi="Times New Roman"/>
        </w:rPr>
        <w:t>110</w:t>
      </w:r>
      <w:bookmarkEnd w:id="89"/>
      <w:r>
        <w:rPr>
          <w:rFonts w:ascii="Times New Roman" w:hAnsi="Times New Roman"/>
        </w:rPr>
        <w:t xml:space="preserve">. Saskaņā ar </w:t>
      </w:r>
      <w:proofErr w:type="spellStart"/>
      <w:r>
        <w:rPr>
          <w:rFonts w:ascii="Times New Roman" w:hAnsi="Times New Roman"/>
          <w:i/>
          <w:iCs/>
        </w:rPr>
        <w:t>ISA</w:t>
      </w:r>
      <w:proofErr w:type="spellEnd"/>
      <w:r>
        <w:rPr>
          <w:rFonts w:ascii="Times New Roman" w:hAnsi="Times New Roman"/>
        </w:rPr>
        <w:t xml:space="preserve"> 3. pantu viena no </w:t>
      </w:r>
      <w:proofErr w:type="spellStart"/>
      <w:r>
        <w:rPr>
          <w:rFonts w:ascii="Times New Roman" w:hAnsi="Times New Roman"/>
          <w:i/>
          <w:iCs/>
        </w:rPr>
        <w:t>GCHQ</w:t>
      </w:r>
      <w:proofErr w:type="spellEnd"/>
      <w:r>
        <w:rPr>
          <w:rFonts w:ascii="Times New Roman" w:hAnsi="Times New Roman"/>
        </w:rPr>
        <w:t xml:space="preserve"> funkcijām bija pārraudzīt elektromagnētiskās, akustiskās un citas emisijas un visas iekārtas, kas rada šādas emisijas, vai radīt tām traucējumus, kā arī saņemt un sniegt informāciju, kas iegūta no šādām emisijām vai aprīkojuma un šifrētā materiāla vai ir ar to saistīta. Tā šo funkciju varēja pildīt vienīgi valsts drošības interesēs, īpaši atsaucoties uz valsts aizsardzības un ārlietu politiku, Apvienotās Karalistes ekonomiskās labklājības interesēs saistībā ar ārpus Britu salām esošu personu rīcību vai nodomiem vai lai sekmētu smagu noziegumu novēršanu vai atklāšanu.</w:t>
      </w:r>
    </w:p>
    <w:p w14:paraId="75561245" w14:textId="77777777" w:rsidR="00096EDD" w:rsidRPr="008D031E" w:rsidRDefault="00096EDD" w:rsidP="001F1E46">
      <w:pPr>
        <w:pStyle w:val="JuPara"/>
        <w:widowControl w:val="0"/>
        <w:ind w:firstLine="0"/>
        <w:rPr>
          <w:rFonts w:ascii="Times New Roman" w:hAnsi="Times New Roman"/>
          <w:noProof/>
          <w:lang w:val="en-US"/>
        </w:rPr>
      </w:pPr>
    </w:p>
    <w:p w14:paraId="11058986" w14:textId="3E6BD13D" w:rsidR="000E3283" w:rsidRDefault="00096EDD" w:rsidP="001F1E46">
      <w:pPr>
        <w:pStyle w:val="JuHa0"/>
        <w:keepNext w:val="0"/>
        <w:keepLines w:val="0"/>
        <w:widowControl w:val="0"/>
        <w:numPr>
          <w:ilvl w:val="0"/>
          <w:numId w:val="0"/>
        </w:numPr>
        <w:spacing w:before="0" w:beforeAutospacing="0" w:after="0"/>
        <w:outlineLvl w:val="9"/>
        <w:rPr>
          <w:rFonts w:ascii="Times New Roman" w:hAnsi="Times New Roman"/>
          <w:noProof/>
          <w:sz w:val="24"/>
        </w:rPr>
      </w:pPr>
      <w:bookmarkStart w:id="90" w:name="_Toc516820735"/>
      <w:r>
        <w:rPr>
          <w:rFonts w:ascii="Times New Roman" w:hAnsi="Times New Roman"/>
          <w:sz w:val="24"/>
        </w:rPr>
        <w:t>d) 2008. gada Terorisma apkarošanas likums [</w:t>
      </w:r>
      <w:proofErr w:type="spellStart"/>
      <w:r>
        <w:rPr>
          <w:rFonts w:ascii="Times New Roman" w:hAnsi="Times New Roman"/>
          <w:i/>
          <w:iCs/>
          <w:sz w:val="24"/>
        </w:rPr>
        <w:t>Counter-Terrorism</w:t>
      </w:r>
      <w:proofErr w:type="spellEnd"/>
      <w:r>
        <w:rPr>
          <w:rFonts w:ascii="Times New Roman" w:hAnsi="Times New Roman"/>
          <w:i/>
          <w:iCs/>
          <w:sz w:val="24"/>
        </w:rPr>
        <w:t xml:space="preserve"> </w:t>
      </w:r>
      <w:proofErr w:type="spellStart"/>
      <w:r>
        <w:rPr>
          <w:rFonts w:ascii="Times New Roman" w:hAnsi="Times New Roman"/>
          <w:i/>
          <w:iCs/>
          <w:sz w:val="24"/>
        </w:rPr>
        <w:t>Act</w:t>
      </w:r>
      <w:proofErr w:type="spellEnd"/>
      <w:r>
        <w:rPr>
          <w:rFonts w:ascii="Times New Roman" w:hAnsi="Times New Roman"/>
          <w:i/>
          <w:iCs/>
          <w:sz w:val="24"/>
        </w:rPr>
        <w:t xml:space="preserve"> 2008</w:t>
      </w:r>
      <w:r>
        <w:rPr>
          <w:rFonts w:ascii="Times New Roman" w:hAnsi="Times New Roman"/>
          <w:sz w:val="24"/>
        </w:rPr>
        <w:t>]</w:t>
      </w:r>
      <w:bookmarkEnd w:id="90"/>
    </w:p>
    <w:p w14:paraId="00772721" w14:textId="77777777" w:rsidR="00096EDD" w:rsidRPr="00096EDD" w:rsidRDefault="00096EDD" w:rsidP="001F1E46">
      <w:pPr>
        <w:pStyle w:val="JuPara"/>
        <w:widowControl w:val="0"/>
        <w:rPr>
          <w:lang w:val="en-US"/>
        </w:rPr>
      </w:pPr>
    </w:p>
    <w:p w14:paraId="1C79927A" w14:textId="39341DF8" w:rsidR="000E3283" w:rsidRPr="008D031E" w:rsidRDefault="000E3283" w:rsidP="001F1E46">
      <w:pPr>
        <w:pStyle w:val="JuPara"/>
        <w:widowControl w:val="0"/>
        <w:ind w:firstLine="142"/>
        <w:rPr>
          <w:rFonts w:ascii="Times New Roman" w:hAnsi="Times New Roman"/>
          <w:noProof/>
        </w:rPr>
      </w:pPr>
      <w:r>
        <w:rPr>
          <w:rFonts w:ascii="Times New Roman" w:hAnsi="Times New Roman"/>
        </w:rPr>
        <w:t>111. 2008. gada Terorisma apkarošanas likuma 19. pants ļāva izpaust informāciju jebkuram izlūkdienestam, lai tas varētu pildīt jebkuru no tā funkcijām. Izlūkdienests saistībā ar savu funkciju izpildi iegūto informāciju varēja izmantot saistībā ar jebkuru citu savu funkciju izpildi.</w:t>
      </w:r>
    </w:p>
    <w:p w14:paraId="7EF52004" w14:textId="4087FCEC" w:rsidR="000E3283" w:rsidRDefault="000E3283" w:rsidP="001F1E46">
      <w:pPr>
        <w:pStyle w:val="JuPara"/>
        <w:widowControl w:val="0"/>
        <w:ind w:firstLine="142"/>
        <w:rPr>
          <w:rFonts w:ascii="Times New Roman" w:hAnsi="Times New Roman"/>
          <w:noProof/>
        </w:rPr>
      </w:pPr>
      <w:bookmarkStart w:id="91" w:name="CTA2"/>
      <w:r>
        <w:rPr>
          <w:rFonts w:ascii="Times New Roman" w:hAnsi="Times New Roman"/>
        </w:rPr>
        <w:lastRenderedPageBreak/>
        <w:t>112</w:t>
      </w:r>
      <w:bookmarkEnd w:id="91"/>
      <w:r>
        <w:rPr>
          <w:rFonts w:ascii="Times New Roman" w:hAnsi="Times New Roman"/>
        </w:rPr>
        <w:t xml:space="preserve">. </w:t>
      </w:r>
      <w:proofErr w:type="spellStart"/>
      <w:r>
        <w:rPr>
          <w:rFonts w:ascii="Times New Roman" w:hAnsi="Times New Roman"/>
          <w:i/>
          <w:iCs/>
        </w:rPr>
        <w:t>MI5</w:t>
      </w:r>
      <w:proofErr w:type="spellEnd"/>
      <w:r>
        <w:rPr>
          <w:rFonts w:ascii="Times New Roman" w:hAnsi="Times New Roman"/>
        </w:rPr>
        <w:t xml:space="preserve"> iegūto informāciju varētu izpaust nolūkos, lai tas pienācīgi pildītu savas funkcijas, novērstu vai atklātu smagus noziegumus, vai jebkura kriminālprocesa nolūkos. </w:t>
      </w:r>
      <w:proofErr w:type="spellStart"/>
      <w:r>
        <w:rPr>
          <w:rFonts w:ascii="Times New Roman" w:hAnsi="Times New Roman"/>
          <w:i/>
          <w:iCs/>
        </w:rPr>
        <w:t>MI6</w:t>
      </w:r>
      <w:proofErr w:type="spellEnd"/>
      <w:r>
        <w:rPr>
          <w:rFonts w:ascii="Times New Roman" w:hAnsi="Times New Roman"/>
        </w:rPr>
        <w:t xml:space="preserve"> iegūto informāciju varētu izpaust nolūkos, lai tas pienācīgi pildītu savas funkcijas, aizsargātu valsts drošības intereses, novērstu vai atklātu smagus noziegumus, vai jebkura kriminālprocesa nolūkos. </w:t>
      </w:r>
      <w:proofErr w:type="spellStart"/>
      <w:r>
        <w:rPr>
          <w:rFonts w:ascii="Times New Roman" w:hAnsi="Times New Roman"/>
          <w:i/>
          <w:iCs/>
        </w:rPr>
        <w:t>GCHQ</w:t>
      </w:r>
      <w:proofErr w:type="spellEnd"/>
      <w:r>
        <w:rPr>
          <w:rFonts w:ascii="Times New Roman" w:hAnsi="Times New Roman"/>
        </w:rPr>
        <w:t xml:space="preserve"> iegūto informāciju varētu izpaust nolūkos, lai tā pienācīgi pildītu savas funkcijas, vai jebkura kriminālprocesa nolūkos.</w:t>
      </w:r>
    </w:p>
    <w:p w14:paraId="651CABDB" w14:textId="77777777" w:rsidR="002A5119" w:rsidRPr="008D031E" w:rsidRDefault="002A5119" w:rsidP="001F1E46">
      <w:pPr>
        <w:pStyle w:val="JuPara"/>
        <w:widowControl w:val="0"/>
        <w:ind w:firstLine="142"/>
        <w:rPr>
          <w:rFonts w:ascii="Times New Roman" w:hAnsi="Times New Roman"/>
          <w:noProof/>
          <w:lang w:val="en-US"/>
        </w:rPr>
      </w:pPr>
    </w:p>
    <w:p w14:paraId="1CDA4785" w14:textId="658FE264" w:rsidR="000E3283" w:rsidRDefault="002A5119" w:rsidP="001F1E46">
      <w:pPr>
        <w:pStyle w:val="JuHa0"/>
        <w:keepNext w:val="0"/>
        <w:keepLines w:val="0"/>
        <w:widowControl w:val="0"/>
        <w:numPr>
          <w:ilvl w:val="0"/>
          <w:numId w:val="0"/>
        </w:numPr>
        <w:spacing w:before="0" w:beforeAutospacing="0" w:after="0"/>
        <w:outlineLvl w:val="9"/>
        <w:rPr>
          <w:rFonts w:ascii="Times New Roman" w:hAnsi="Times New Roman"/>
          <w:noProof/>
          <w:sz w:val="24"/>
        </w:rPr>
      </w:pPr>
      <w:bookmarkStart w:id="92" w:name="_Toc516820736"/>
      <w:r>
        <w:rPr>
          <w:rFonts w:ascii="Times New Roman" w:hAnsi="Times New Roman"/>
          <w:sz w:val="24"/>
        </w:rPr>
        <w:t>e) 1998. gada Datu aizsardzības likums [</w:t>
      </w:r>
      <w:proofErr w:type="spellStart"/>
      <w:r>
        <w:rPr>
          <w:rFonts w:ascii="Times New Roman" w:hAnsi="Times New Roman"/>
          <w:i/>
          <w:iCs/>
          <w:sz w:val="24"/>
        </w:rPr>
        <w:t>Data</w:t>
      </w:r>
      <w:proofErr w:type="spellEnd"/>
      <w:r>
        <w:rPr>
          <w:rFonts w:ascii="Times New Roman" w:hAnsi="Times New Roman"/>
          <w:i/>
          <w:iCs/>
          <w:sz w:val="24"/>
        </w:rPr>
        <w:t xml:space="preserve"> </w:t>
      </w:r>
      <w:proofErr w:type="spellStart"/>
      <w:r>
        <w:rPr>
          <w:rFonts w:ascii="Times New Roman" w:hAnsi="Times New Roman"/>
          <w:i/>
          <w:iCs/>
          <w:sz w:val="24"/>
        </w:rPr>
        <w:t>Protection</w:t>
      </w:r>
      <w:proofErr w:type="spellEnd"/>
      <w:r>
        <w:rPr>
          <w:rFonts w:ascii="Times New Roman" w:hAnsi="Times New Roman"/>
          <w:i/>
          <w:iCs/>
          <w:sz w:val="24"/>
        </w:rPr>
        <w:t xml:space="preserve"> </w:t>
      </w:r>
      <w:proofErr w:type="spellStart"/>
      <w:r>
        <w:rPr>
          <w:rFonts w:ascii="Times New Roman" w:hAnsi="Times New Roman"/>
          <w:i/>
          <w:iCs/>
          <w:sz w:val="24"/>
        </w:rPr>
        <w:t>Act</w:t>
      </w:r>
      <w:proofErr w:type="spellEnd"/>
      <w:r>
        <w:rPr>
          <w:rFonts w:ascii="Times New Roman" w:hAnsi="Times New Roman"/>
          <w:i/>
          <w:iCs/>
          <w:sz w:val="24"/>
        </w:rPr>
        <w:t xml:space="preserve"> 1998</w:t>
      </w:r>
      <w:r>
        <w:rPr>
          <w:rFonts w:ascii="Times New Roman" w:hAnsi="Times New Roman"/>
          <w:sz w:val="24"/>
        </w:rPr>
        <w:t>] (turpmāk tekstā – “</w:t>
      </w:r>
      <w:proofErr w:type="spellStart"/>
      <w:r>
        <w:rPr>
          <w:rFonts w:ascii="Times New Roman" w:hAnsi="Times New Roman"/>
          <w:i/>
          <w:iCs/>
          <w:sz w:val="24"/>
        </w:rPr>
        <w:t>DPA</w:t>
      </w:r>
      <w:proofErr w:type="spellEnd"/>
      <w:r>
        <w:rPr>
          <w:rFonts w:ascii="Times New Roman" w:hAnsi="Times New Roman"/>
          <w:sz w:val="24"/>
        </w:rPr>
        <w:t>”)</w:t>
      </w:r>
      <w:bookmarkEnd w:id="92"/>
    </w:p>
    <w:p w14:paraId="75BE05B1" w14:textId="77777777" w:rsidR="002A5119" w:rsidRPr="002A5119" w:rsidRDefault="002A5119" w:rsidP="001F1E46">
      <w:pPr>
        <w:pStyle w:val="JuPara"/>
        <w:widowControl w:val="0"/>
        <w:rPr>
          <w:lang w:val="en-US"/>
        </w:rPr>
      </w:pPr>
    </w:p>
    <w:p w14:paraId="7CF67BC6" w14:textId="2A0B08EC" w:rsidR="000E3283" w:rsidRDefault="000E3283" w:rsidP="001F1E46">
      <w:pPr>
        <w:pStyle w:val="JuPara"/>
        <w:widowControl w:val="0"/>
        <w:ind w:firstLine="142"/>
        <w:rPr>
          <w:rFonts w:ascii="Times New Roman" w:hAnsi="Times New Roman"/>
          <w:noProof/>
        </w:rPr>
      </w:pPr>
      <w:bookmarkStart w:id="93" w:name="DPA"/>
      <w:r>
        <w:rPr>
          <w:rFonts w:ascii="Times New Roman" w:hAnsi="Times New Roman"/>
        </w:rPr>
        <w:t>113</w:t>
      </w:r>
      <w:bookmarkEnd w:id="93"/>
      <w:r>
        <w:rPr>
          <w:rFonts w:ascii="Times New Roman" w:hAnsi="Times New Roman"/>
        </w:rPr>
        <w:t xml:space="preserve">. </w:t>
      </w:r>
      <w:proofErr w:type="spellStart"/>
      <w:r>
        <w:rPr>
          <w:rFonts w:ascii="Times New Roman" w:hAnsi="Times New Roman"/>
          <w:i/>
          <w:iCs/>
        </w:rPr>
        <w:t>DPA</w:t>
      </w:r>
      <w:proofErr w:type="spellEnd"/>
      <w:r>
        <w:rPr>
          <w:rFonts w:ascii="Times New Roman" w:hAnsi="Times New Roman"/>
        </w:rPr>
        <w:t xml:space="preserve"> bija tiesiskais regulējums, ar ko Apvienotās Karalistes tiesību aktos transponēja Direktīvu 95/46/EK par personas datu aizsardzību. Katrs izlūkdienests </w:t>
      </w:r>
      <w:proofErr w:type="spellStart"/>
      <w:r>
        <w:rPr>
          <w:rFonts w:ascii="Times New Roman" w:hAnsi="Times New Roman"/>
          <w:i/>
          <w:iCs/>
        </w:rPr>
        <w:t>DPA</w:t>
      </w:r>
      <w:proofErr w:type="spellEnd"/>
      <w:r>
        <w:rPr>
          <w:rFonts w:ascii="Times New Roman" w:hAnsi="Times New Roman"/>
        </w:rPr>
        <w:t xml:space="preserve"> izpratnē bija “datu pārzinis”, tādēļ tiem bija jāatbilst 1. saraksta 1. daļā minētajiem datu aizsardzības principiem, ņemot vērā izņēmumu saskaņā ar ministra izdotu apliecinājumu, tostarp šādiem noteikumiem:</w:t>
      </w:r>
    </w:p>
    <w:p w14:paraId="2A4417DD" w14:textId="77777777" w:rsidR="002A5119" w:rsidRPr="008D031E" w:rsidRDefault="002A5119" w:rsidP="001F1E46">
      <w:pPr>
        <w:pStyle w:val="JuPara"/>
        <w:widowControl w:val="0"/>
        <w:ind w:firstLine="142"/>
        <w:rPr>
          <w:rFonts w:ascii="Times New Roman" w:hAnsi="Times New Roman"/>
          <w:noProof/>
          <w:lang w:val="en-US"/>
        </w:rPr>
      </w:pPr>
    </w:p>
    <w:p w14:paraId="16F75F8E" w14:textId="0B947D3E"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“5) Personas datus, kas tiek apstrādāti jebkuram nolūkam vai nolūkiem, nedrīkst glabāt ilgāk, nekā tas ir nepieciešams šim nolūkam vai šiem nolūkiem (..)”</w:t>
      </w:r>
    </w:p>
    <w:p w14:paraId="05042A68" w14:textId="77777777" w:rsidR="002A5119" w:rsidRPr="008D031E" w:rsidRDefault="002A5119" w:rsidP="001F1E46">
      <w:pPr>
        <w:pStyle w:val="JuQuot"/>
        <w:widowControl w:val="0"/>
        <w:spacing w:before="0" w:after="0"/>
        <w:ind w:left="284" w:firstLine="0"/>
        <w:rPr>
          <w:rFonts w:ascii="Times New Roman" w:hAnsi="Times New Roman"/>
          <w:noProof/>
          <w:sz w:val="24"/>
          <w:lang w:val="en-US"/>
        </w:rPr>
      </w:pPr>
    </w:p>
    <w:p w14:paraId="2B19918B" w14:textId="44A4D018" w:rsidR="000E3283" w:rsidRDefault="002A5119" w:rsidP="001F1E46">
      <w:pPr>
        <w:widowControl w:val="0"/>
        <w:ind w:left="284"/>
        <w:jc w:val="both"/>
        <w:rPr>
          <w:rFonts w:ascii="Times New Roman" w:hAnsi="Times New Roman"/>
          <w:noProof/>
        </w:rPr>
      </w:pPr>
      <w:r>
        <w:rPr>
          <w:rFonts w:ascii="Times New Roman" w:hAnsi="Times New Roman"/>
        </w:rPr>
        <w:t>un</w:t>
      </w:r>
    </w:p>
    <w:p w14:paraId="67319065" w14:textId="77777777" w:rsidR="002A5119" w:rsidRPr="008D031E" w:rsidRDefault="002A5119" w:rsidP="001F1E46">
      <w:pPr>
        <w:widowControl w:val="0"/>
        <w:ind w:left="284"/>
        <w:jc w:val="both"/>
        <w:rPr>
          <w:rFonts w:ascii="Times New Roman" w:hAnsi="Times New Roman"/>
          <w:noProof/>
          <w:lang w:val="en-US"/>
        </w:rPr>
      </w:pPr>
    </w:p>
    <w:p w14:paraId="0EF15BDD" w14:textId="2FE824D2"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“7) Jāveic atbilstoši tehniski un organizatoriski pasākumi, lai novērstu neatļautu vai nelikumīgu personas datu apstrādi un nejaušu personas datu nozaudēšanu, iznīcināšanu vai sabojāšanu.”</w:t>
      </w:r>
    </w:p>
    <w:p w14:paraId="02ECD876" w14:textId="77777777" w:rsidR="002A5119" w:rsidRPr="008D031E" w:rsidRDefault="002A5119" w:rsidP="001F1E46">
      <w:pPr>
        <w:pStyle w:val="JuQuot"/>
        <w:widowControl w:val="0"/>
        <w:spacing w:before="0" w:after="0"/>
        <w:ind w:left="0" w:firstLine="0"/>
        <w:rPr>
          <w:rFonts w:ascii="Times New Roman" w:hAnsi="Times New Roman"/>
          <w:noProof/>
          <w:sz w:val="24"/>
          <w:lang w:val="en-US"/>
        </w:rPr>
      </w:pPr>
    </w:p>
    <w:p w14:paraId="5C5DE302" w14:textId="1EDE9C85" w:rsidR="000E3283" w:rsidRDefault="009512FD" w:rsidP="001F1E46">
      <w:pPr>
        <w:pStyle w:val="JuHa0"/>
        <w:keepNext w:val="0"/>
        <w:keepLines w:val="0"/>
        <w:widowControl w:val="0"/>
        <w:numPr>
          <w:ilvl w:val="0"/>
          <w:numId w:val="0"/>
        </w:numPr>
        <w:spacing w:before="0" w:beforeAutospacing="0" w:after="0"/>
        <w:outlineLvl w:val="9"/>
        <w:rPr>
          <w:rFonts w:ascii="Times New Roman" w:hAnsi="Times New Roman"/>
          <w:noProof/>
          <w:sz w:val="24"/>
        </w:rPr>
      </w:pPr>
      <w:bookmarkStart w:id="94" w:name="_Toc516820737"/>
      <w:r>
        <w:rPr>
          <w:rFonts w:ascii="Times New Roman" w:hAnsi="Times New Roman"/>
          <w:sz w:val="24"/>
        </w:rPr>
        <w:t>f) 1989. gada Valsts noslēpumu likums [</w:t>
      </w:r>
      <w:proofErr w:type="spellStart"/>
      <w:r>
        <w:rPr>
          <w:rFonts w:ascii="Times New Roman" w:hAnsi="Times New Roman"/>
          <w:i/>
          <w:iCs/>
          <w:sz w:val="24"/>
        </w:rPr>
        <w:t>Official</w:t>
      </w:r>
      <w:proofErr w:type="spellEnd"/>
      <w:r>
        <w:rPr>
          <w:rFonts w:ascii="Times New Roman" w:hAnsi="Times New Roman"/>
          <w:i/>
          <w:iCs/>
          <w:sz w:val="24"/>
        </w:rPr>
        <w:t xml:space="preserve"> </w:t>
      </w:r>
      <w:proofErr w:type="spellStart"/>
      <w:r>
        <w:rPr>
          <w:rFonts w:ascii="Times New Roman" w:hAnsi="Times New Roman"/>
          <w:i/>
          <w:iCs/>
          <w:sz w:val="24"/>
        </w:rPr>
        <w:t>Secrets</w:t>
      </w:r>
      <w:proofErr w:type="spellEnd"/>
      <w:r>
        <w:rPr>
          <w:rFonts w:ascii="Times New Roman" w:hAnsi="Times New Roman"/>
          <w:i/>
          <w:iCs/>
          <w:sz w:val="24"/>
        </w:rPr>
        <w:t xml:space="preserve"> </w:t>
      </w:r>
      <w:proofErr w:type="spellStart"/>
      <w:r>
        <w:rPr>
          <w:rFonts w:ascii="Times New Roman" w:hAnsi="Times New Roman"/>
          <w:i/>
          <w:iCs/>
          <w:sz w:val="24"/>
        </w:rPr>
        <w:t>Act</w:t>
      </w:r>
      <w:proofErr w:type="spellEnd"/>
      <w:r>
        <w:rPr>
          <w:rFonts w:ascii="Times New Roman" w:hAnsi="Times New Roman"/>
          <w:i/>
          <w:iCs/>
          <w:sz w:val="24"/>
        </w:rPr>
        <w:t xml:space="preserve"> 1989</w:t>
      </w:r>
      <w:r>
        <w:rPr>
          <w:rFonts w:ascii="Times New Roman" w:hAnsi="Times New Roman"/>
          <w:sz w:val="24"/>
        </w:rPr>
        <w:t>] (turpmāk tekstā – “</w:t>
      </w:r>
      <w:r>
        <w:rPr>
          <w:rFonts w:ascii="Times New Roman" w:hAnsi="Times New Roman"/>
          <w:i/>
          <w:iCs/>
          <w:sz w:val="24"/>
        </w:rPr>
        <w:t>OSA</w:t>
      </w:r>
      <w:r>
        <w:rPr>
          <w:rFonts w:ascii="Times New Roman" w:hAnsi="Times New Roman"/>
          <w:sz w:val="24"/>
        </w:rPr>
        <w:t>”)</w:t>
      </w:r>
      <w:bookmarkEnd w:id="94"/>
    </w:p>
    <w:p w14:paraId="48F9E9BE" w14:textId="77777777" w:rsidR="009512FD" w:rsidRPr="009512FD" w:rsidRDefault="009512FD" w:rsidP="001F1E46">
      <w:pPr>
        <w:pStyle w:val="JuPara"/>
        <w:widowControl w:val="0"/>
        <w:rPr>
          <w:lang w:val="en-US"/>
        </w:rPr>
      </w:pPr>
    </w:p>
    <w:p w14:paraId="18DAA6A2" w14:textId="06D3FCF3" w:rsidR="000E3283" w:rsidRDefault="000E3283" w:rsidP="001F1E46">
      <w:pPr>
        <w:pStyle w:val="JuPara"/>
        <w:widowControl w:val="0"/>
        <w:ind w:firstLine="142"/>
        <w:rPr>
          <w:rFonts w:ascii="Times New Roman" w:hAnsi="Times New Roman"/>
          <w:noProof/>
        </w:rPr>
      </w:pPr>
      <w:bookmarkStart w:id="95" w:name="OSA"/>
      <w:r>
        <w:rPr>
          <w:rFonts w:ascii="Times New Roman" w:hAnsi="Times New Roman"/>
        </w:rPr>
        <w:t>114</w:t>
      </w:r>
      <w:bookmarkEnd w:id="95"/>
      <w:r>
        <w:rPr>
          <w:rFonts w:ascii="Times New Roman" w:hAnsi="Times New Roman"/>
        </w:rPr>
        <w:t xml:space="preserve">. Tiktu uzskatīts, ka izlūkdienesta darbinieks ir izdarījis noziedzīgu nodarījumu saskaņā ar </w:t>
      </w:r>
      <w:r>
        <w:rPr>
          <w:rFonts w:ascii="Times New Roman" w:hAnsi="Times New Roman"/>
          <w:i/>
          <w:iCs/>
        </w:rPr>
        <w:t>OSA</w:t>
      </w:r>
      <w:r>
        <w:rPr>
          <w:rFonts w:ascii="Times New Roman" w:hAnsi="Times New Roman"/>
        </w:rPr>
        <w:t xml:space="preserve"> 1. panta 1. punktu, ja viņš vai viņa bez likumīgām pilnvarām izpaudis jebkādu informāciju, dokumentu vai citus datus, kas attiecas uz drošību vai </w:t>
      </w:r>
      <w:proofErr w:type="spellStart"/>
      <w:r>
        <w:rPr>
          <w:rFonts w:ascii="Times New Roman" w:hAnsi="Times New Roman"/>
        </w:rPr>
        <w:t>izlūkdatiem</w:t>
      </w:r>
      <w:proofErr w:type="spellEnd"/>
      <w:r>
        <w:rPr>
          <w:rFonts w:ascii="Times New Roman" w:hAnsi="Times New Roman"/>
        </w:rPr>
        <w:t xml:space="preserve"> un kas bijuši viņa vai viņas rīcībā kā šā dienesta locekļa amata ietvaros.</w:t>
      </w:r>
    </w:p>
    <w:p w14:paraId="42400C70" w14:textId="77777777" w:rsidR="009512FD" w:rsidRPr="008D031E" w:rsidRDefault="009512FD" w:rsidP="001F1E46">
      <w:pPr>
        <w:pStyle w:val="JuPara"/>
        <w:widowControl w:val="0"/>
        <w:ind w:firstLine="0"/>
        <w:rPr>
          <w:rFonts w:ascii="Times New Roman" w:hAnsi="Times New Roman"/>
          <w:noProof/>
          <w:lang w:val="en-US"/>
        </w:rPr>
      </w:pPr>
    </w:p>
    <w:p w14:paraId="173765B4" w14:textId="26D97ECB" w:rsidR="000E3283" w:rsidRDefault="009512FD" w:rsidP="001F1E46">
      <w:pPr>
        <w:pStyle w:val="JuHa0"/>
        <w:keepNext w:val="0"/>
        <w:keepLines w:val="0"/>
        <w:widowControl w:val="0"/>
        <w:numPr>
          <w:ilvl w:val="0"/>
          <w:numId w:val="0"/>
        </w:numPr>
        <w:spacing w:before="0" w:beforeAutospacing="0" w:after="0"/>
        <w:outlineLvl w:val="9"/>
        <w:rPr>
          <w:rFonts w:ascii="Times New Roman" w:hAnsi="Times New Roman"/>
          <w:noProof/>
          <w:sz w:val="24"/>
        </w:rPr>
      </w:pPr>
      <w:bookmarkStart w:id="96" w:name="_Toc516820738"/>
      <w:r>
        <w:rPr>
          <w:rFonts w:ascii="Times New Roman" w:hAnsi="Times New Roman"/>
          <w:sz w:val="24"/>
        </w:rPr>
        <w:t>g) 1998. gada Cilvēktiesību aizsardzības likums [</w:t>
      </w:r>
      <w:proofErr w:type="spellStart"/>
      <w:r>
        <w:rPr>
          <w:rFonts w:ascii="Times New Roman" w:hAnsi="Times New Roman"/>
          <w:i/>
          <w:iCs/>
          <w:sz w:val="24"/>
        </w:rPr>
        <w:t>Human</w:t>
      </w:r>
      <w:proofErr w:type="spellEnd"/>
      <w:r>
        <w:rPr>
          <w:rFonts w:ascii="Times New Roman" w:hAnsi="Times New Roman"/>
          <w:i/>
          <w:iCs/>
          <w:sz w:val="24"/>
        </w:rPr>
        <w:t xml:space="preserve"> </w:t>
      </w:r>
      <w:proofErr w:type="spellStart"/>
      <w:r>
        <w:rPr>
          <w:rFonts w:ascii="Times New Roman" w:hAnsi="Times New Roman"/>
          <w:i/>
          <w:iCs/>
          <w:sz w:val="24"/>
        </w:rPr>
        <w:t>Rights</w:t>
      </w:r>
      <w:proofErr w:type="spellEnd"/>
      <w:r>
        <w:rPr>
          <w:rFonts w:ascii="Times New Roman" w:hAnsi="Times New Roman"/>
          <w:i/>
          <w:iCs/>
          <w:sz w:val="24"/>
        </w:rPr>
        <w:t xml:space="preserve"> </w:t>
      </w:r>
      <w:proofErr w:type="spellStart"/>
      <w:r>
        <w:rPr>
          <w:rFonts w:ascii="Times New Roman" w:hAnsi="Times New Roman"/>
          <w:i/>
          <w:iCs/>
          <w:sz w:val="24"/>
        </w:rPr>
        <w:t>Act</w:t>
      </w:r>
      <w:proofErr w:type="spellEnd"/>
      <w:r>
        <w:rPr>
          <w:rFonts w:ascii="Times New Roman" w:hAnsi="Times New Roman"/>
          <w:i/>
          <w:iCs/>
          <w:sz w:val="24"/>
        </w:rPr>
        <w:t xml:space="preserve"> 1998</w:t>
      </w:r>
      <w:r>
        <w:rPr>
          <w:rFonts w:ascii="Times New Roman" w:hAnsi="Times New Roman"/>
          <w:sz w:val="24"/>
        </w:rPr>
        <w:t>] (turpmāk tekstā – “</w:t>
      </w:r>
      <w:proofErr w:type="spellStart"/>
      <w:r>
        <w:rPr>
          <w:rFonts w:ascii="Times New Roman" w:hAnsi="Times New Roman"/>
          <w:i/>
          <w:iCs/>
          <w:sz w:val="24"/>
        </w:rPr>
        <w:t>HRA</w:t>
      </w:r>
      <w:proofErr w:type="spellEnd"/>
      <w:r>
        <w:rPr>
          <w:rFonts w:ascii="Times New Roman" w:hAnsi="Times New Roman"/>
          <w:sz w:val="24"/>
        </w:rPr>
        <w:t>”)</w:t>
      </w:r>
      <w:bookmarkEnd w:id="96"/>
    </w:p>
    <w:p w14:paraId="43AB6686" w14:textId="77777777" w:rsidR="009512FD" w:rsidRPr="009512FD" w:rsidRDefault="009512FD" w:rsidP="001F1E46">
      <w:pPr>
        <w:pStyle w:val="JuPara"/>
        <w:widowControl w:val="0"/>
        <w:rPr>
          <w:lang w:val="en-US"/>
        </w:rPr>
      </w:pPr>
    </w:p>
    <w:p w14:paraId="43455D7E" w14:textId="3D8A2E02" w:rsidR="000E3283" w:rsidRDefault="000E3283" w:rsidP="001F1E46">
      <w:pPr>
        <w:pStyle w:val="JuPara"/>
        <w:widowControl w:val="0"/>
        <w:ind w:firstLine="142"/>
        <w:rPr>
          <w:rFonts w:ascii="Times New Roman" w:hAnsi="Times New Roman"/>
          <w:noProof/>
        </w:rPr>
      </w:pPr>
      <w:bookmarkStart w:id="97" w:name="HRA"/>
      <w:r>
        <w:rPr>
          <w:rFonts w:ascii="Times New Roman" w:hAnsi="Times New Roman"/>
        </w:rPr>
        <w:t>115</w:t>
      </w:r>
      <w:bookmarkEnd w:id="97"/>
      <w:r>
        <w:rPr>
          <w:rFonts w:ascii="Times New Roman" w:hAnsi="Times New Roman"/>
        </w:rPr>
        <w:t xml:space="preserve">. Saskaņā ar </w:t>
      </w:r>
      <w:proofErr w:type="spellStart"/>
      <w:r>
        <w:rPr>
          <w:rFonts w:ascii="Times New Roman" w:hAnsi="Times New Roman"/>
          <w:i/>
          <w:iCs/>
        </w:rPr>
        <w:t>HRA</w:t>
      </w:r>
      <w:proofErr w:type="spellEnd"/>
      <w:r>
        <w:rPr>
          <w:rFonts w:ascii="Times New Roman" w:hAnsi="Times New Roman"/>
        </w:rPr>
        <w:t xml:space="preserve"> 6. pantu valsts iestāde nedrīkstēja rīkoties, pārkāpjot Konvencijā paredzētās tiesības.</w:t>
      </w:r>
    </w:p>
    <w:p w14:paraId="45EC408B" w14:textId="77777777" w:rsidR="009512FD" w:rsidRPr="008D031E" w:rsidRDefault="009512FD" w:rsidP="001F1E46">
      <w:pPr>
        <w:pStyle w:val="JuPara"/>
        <w:widowControl w:val="0"/>
        <w:ind w:firstLine="0"/>
        <w:rPr>
          <w:rFonts w:ascii="Times New Roman" w:hAnsi="Times New Roman"/>
          <w:noProof/>
          <w:lang w:val="en-US"/>
        </w:rPr>
      </w:pPr>
    </w:p>
    <w:p w14:paraId="57207FF7" w14:textId="77DA6FA1" w:rsidR="000E3283" w:rsidRDefault="005074E0" w:rsidP="001F1E46">
      <w:pPr>
        <w:pStyle w:val="JuH1"/>
        <w:keepNext w:val="0"/>
        <w:keepLines w:val="0"/>
        <w:widowControl w:val="0"/>
        <w:numPr>
          <w:ilvl w:val="0"/>
          <w:numId w:val="0"/>
        </w:numPr>
        <w:spacing w:before="0" w:beforeAutospacing="0" w:after="0"/>
        <w:outlineLvl w:val="9"/>
        <w:rPr>
          <w:rFonts w:ascii="Times New Roman" w:hAnsi="Times New Roman"/>
          <w:noProof/>
        </w:rPr>
      </w:pPr>
      <w:bookmarkStart w:id="98" w:name="_Toc516820739"/>
      <w:r>
        <w:rPr>
          <w:rFonts w:ascii="Times New Roman" w:hAnsi="Times New Roman"/>
        </w:rPr>
        <w:t>3. Sakaru pārtveršanas prakses kodekss</w:t>
      </w:r>
      <w:bookmarkEnd w:id="98"/>
    </w:p>
    <w:p w14:paraId="05C8E35C" w14:textId="77777777" w:rsidR="009512FD" w:rsidRPr="009512FD" w:rsidRDefault="009512FD" w:rsidP="001F1E46">
      <w:pPr>
        <w:pStyle w:val="JuPara"/>
        <w:widowControl w:val="0"/>
        <w:rPr>
          <w:lang w:val="en-US"/>
        </w:rPr>
      </w:pPr>
    </w:p>
    <w:p w14:paraId="581E7102" w14:textId="77777777" w:rsidR="006829DF" w:rsidRDefault="000E3283" w:rsidP="001F1E46">
      <w:pPr>
        <w:pStyle w:val="JuPara"/>
        <w:widowControl w:val="0"/>
        <w:ind w:firstLine="142"/>
        <w:rPr>
          <w:rFonts w:ascii="Times New Roman" w:hAnsi="Times New Roman"/>
          <w:noProof/>
        </w:rPr>
      </w:pPr>
      <w:bookmarkStart w:id="99" w:name="CH12"/>
      <w:r>
        <w:rPr>
          <w:rFonts w:ascii="Times New Roman" w:hAnsi="Times New Roman"/>
        </w:rPr>
        <w:t>116</w:t>
      </w:r>
      <w:bookmarkEnd w:id="99"/>
      <w:r>
        <w:rPr>
          <w:rFonts w:ascii="Times New Roman" w:hAnsi="Times New Roman"/>
        </w:rPr>
        <w:t>. Pēc “</w:t>
      </w:r>
      <w:proofErr w:type="spellStart"/>
      <w:r>
        <w:rPr>
          <w:rFonts w:ascii="Times New Roman" w:hAnsi="Times New Roman"/>
        </w:rPr>
        <w:t>Liberty</w:t>
      </w:r>
      <w:proofErr w:type="spellEnd"/>
      <w:r>
        <w:rPr>
          <w:rFonts w:ascii="Times New Roman" w:hAnsi="Times New Roman"/>
        </w:rPr>
        <w:t>” tiesvedības 9. oktobra paziņojumā ietvertā informācija (skat. iepriekš 33. un 36. punktu) tika iekļauta</w:t>
      </w:r>
      <w:r>
        <w:rPr>
          <w:rFonts w:ascii="Times New Roman" w:hAnsi="Times New Roman"/>
          <w:i/>
          <w:iCs/>
        </w:rPr>
        <w:t xml:space="preserve"> </w:t>
      </w:r>
      <w:proofErr w:type="spellStart"/>
      <w:r>
        <w:rPr>
          <w:rFonts w:ascii="Times New Roman" w:hAnsi="Times New Roman"/>
          <w:i/>
          <w:iCs/>
        </w:rPr>
        <w:t>IC</w:t>
      </w:r>
      <w:proofErr w:type="spellEnd"/>
      <w:r>
        <w:rPr>
          <w:rFonts w:ascii="Times New Roman" w:hAnsi="Times New Roman"/>
        </w:rPr>
        <w:t xml:space="preserve"> kodeksā:</w:t>
      </w:r>
    </w:p>
    <w:p w14:paraId="0D59EFED" w14:textId="60A9408E" w:rsidR="000E3283" w:rsidRDefault="000E3283" w:rsidP="001F1E46">
      <w:pPr>
        <w:pStyle w:val="JuPara"/>
        <w:widowControl w:val="0"/>
        <w:ind w:left="284" w:firstLine="0"/>
        <w:rPr>
          <w:rFonts w:ascii="Times New Roman" w:hAnsi="Times New Roman"/>
          <w:noProof/>
        </w:rPr>
      </w:pPr>
      <w:r>
        <w:rPr>
          <w:rFonts w:ascii="Times New Roman" w:hAnsi="Times New Roman"/>
        </w:rPr>
        <w:t>“12. NOTEIKUMI PAR NEANALIZĒTU PĀRTVERTU SAKARU PIEPRASĪŠANU NO KĀDAS ĀRVALSTS VALDĪBAS UN TO APSTRĀDI</w:t>
      </w:r>
    </w:p>
    <w:p w14:paraId="0C9F5767" w14:textId="77777777" w:rsidR="006829DF" w:rsidRPr="008D031E" w:rsidRDefault="006829DF" w:rsidP="001F1E46">
      <w:pPr>
        <w:pStyle w:val="JuQuot"/>
        <w:widowControl w:val="0"/>
        <w:spacing w:before="0" w:after="0"/>
        <w:ind w:left="284"/>
        <w:rPr>
          <w:rFonts w:ascii="Times New Roman" w:hAnsi="Times New Roman"/>
          <w:noProof/>
          <w:sz w:val="24"/>
          <w:lang w:val="en-US"/>
        </w:rPr>
      </w:pPr>
    </w:p>
    <w:p w14:paraId="4E560E18" w14:textId="77777777" w:rsidR="000E3283" w:rsidRDefault="000E3283" w:rsidP="001F1E46">
      <w:pPr>
        <w:pStyle w:val="JuQuot"/>
        <w:widowControl w:val="0"/>
        <w:spacing w:before="0" w:after="0"/>
        <w:ind w:left="284" w:firstLine="0"/>
        <w:rPr>
          <w:rFonts w:ascii="Times New Roman" w:hAnsi="Times New Roman"/>
          <w:b/>
          <w:noProof/>
          <w:sz w:val="24"/>
        </w:rPr>
      </w:pPr>
      <w:r>
        <w:rPr>
          <w:rFonts w:ascii="Times New Roman" w:hAnsi="Times New Roman"/>
          <w:b/>
          <w:sz w:val="24"/>
        </w:rPr>
        <w:t>Šīs nodaļas piemērošana</w:t>
      </w:r>
    </w:p>
    <w:p w14:paraId="1584FA7B" w14:textId="77777777" w:rsidR="006829DF" w:rsidRPr="008D031E" w:rsidRDefault="006829DF" w:rsidP="001F1E46">
      <w:pPr>
        <w:pStyle w:val="JuQuot"/>
        <w:widowControl w:val="0"/>
        <w:spacing w:before="0" w:after="0"/>
        <w:ind w:left="284"/>
        <w:rPr>
          <w:rFonts w:ascii="Times New Roman" w:hAnsi="Times New Roman"/>
          <w:b/>
          <w:noProof/>
          <w:sz w:val="24"/>
          <w:lang w:val="en-US"/>
        </w:rPr>
      </w:pPr>
    </w:p>
    <w:p w14:paraId="566794FF" w14:textId="54170A2D"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12.1. Šī nodaļa attiecas uz tām pārtveršanas aģentūrām, kuras veic pārtveršanu atbilstoši 8. panta 4. punktā noteiktajam orderim.</w:t>
      </w:r>
    </w:p>
    <w:p w14:paraId="2D237229" w14:textId="77777777" w:rsidR="006829DF" w:rsidRPr="008D031E" w:rsidRDefault="006829DF" w:rsidP="001F1E46">
      <w:pPr>
        <w:pStyle w:val="JuQuot"/>
        <w:widowControl w:val="0"/>
        <w:spacing w:before="0" w:after="0"/>
        <w:ind w:left="284"/>
        <w:rPr>
          <w:rFonts w:ascii="Times New Roman" w:hAnsi="Times New Roman"/>
          <w:noProof/>
          <w:sz w:val="24"/>
          <w:lang w:val="en-US"/>
        </w:rPr>
      </w:pPr>
    </w:p>
    <w:p w14:paraId="5ECBD227" w14:textId="77777777" w:rsidR="000E3283" w:rsidRDefault="000E3283" w:rsidP="001F1E46">
      <w:pPr>
        <w:pStyle w:val="JuQuot"/>
        <w:widowControl w:val="0"/>
        <w:spacing w:before="0" w:after="0"/>
        <w:ind w:left="284" w:firstLine="0"/>
        <w:rPr>
          <w:rFonts w:ascii="Times New Roman" w:hAnsi="Times New Roman"/>
          <w:b/>
          <w:noProof/>
          <w:sz w:val="24"/>
        </w:rPr>
      </w:pPr>
      <w:r>
        <w:rPr>
          <w:rFonts w:ascii="Times New Roman" w:hAnsi="Times New Roman"/>
          <w:b/>
          <w:sz w:val="24"/>
        </w:rPr>
        <w:lastRenderedPageBreak/>
        <w:t>Palīdzības lūgumi, kas nav iesniegti saskaņā ar starptautisku savstarpējās palīdzības līgumu</w:t>
      </w:r>
    </w:p>
    <w:p w14:paraId="6CCA6594" w14:textId="77777777" w:rsidR="006829DF" w:rsidRPr="008D031E" w:rsidRDefault="006829DF" w:rsidP="001F1E46">
      <w:pPr>
        <w:pStyle w:val="JuQuot"/>
        <w:widowControl w:val="0"/>
        <w:spacing w:before="0" w:after="0"/>
        <w:ind w:left="284"/>
        <w:rPr>
          <w:rFonts w:ascii="Times New Roman" w:hAnsi="Times New Roman"/>
          <w:b/>
          <w:noProof/>
          <w:sz w:val="24"/>
          <w:lang w:val="en-US"/>
        </w:rPr>
      </w:pPr>
    </w:p>
    <w:p w14:paraId="4C4A0200" w14:textId="5957A84E"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12.2. Šādu pieprasījumu attiecībā uz neanalizētiem pārtvertiem sakariem (un saistītajiem sakaru datiem), izņemot saskaņā ar kādu starptautisku savstarpējās tiesiskās palīdzības līgumu, pārtveršanas aģentūra var iesniegt ārpus Apvienotās Karalistes esošas valsts vai teritorijas valdībai vienīgi tad, ja:</w:t>
      </w:r>
    </w:p>
    <w:p w14:paraId="317DE4E5" w14:textId="77777777" w:rsidR="006829DF" w:rsidRPr="008D031E" w:rsidRDefault="006829DF" w:rsidP="001F1E46">
      <w:pPr>
        <w:pStyle w:val="JuQuot"/>
        <w:widowControl w:val="0"/>
        <w:spacing w:before="0" w:after="0"/>
        <w:ind w:left="284"/>
        <w:rPr>
          <w:rFonts w:ascii="Times New Roman" w:hAnsi="Times New Roman"/>
          <w:noProof/>
          <w:sz w:val="24"/>
          <w:lang w:val="en-US"/>
        </w:rPr>
      </w:pPr>
    </w:p>
    <w:p w14:paraId="4E3BA00D" w14:textId="77777777" w:rsidR="000E3283" w:rsidRPr="008D031E" w:rsidRDefault="000E3283" w:rsidP="001F1E46">
      <w:pPr>
        <w:pStyle w:val="JuQuot"/>
        <w:widowControl w:val="0"/>
        <w:numPr>
          <w:ilvl w:val="0"/>
          <w:numId w:val="23"/>
        </w:numPr>
        <w:spacing w:before="0" w:after="0"/>
        <w:ind w:left="851" w:hanging="284"/>
        <w:rPr>
          <w:rFonts w:ascii="Times New Roman" w:hAnsi="Times New Roman"/>
          <w:noProof/>
          <w:sz w:val="24"/>
        </w:rPr>
      </w:pPr>
      <w:r>
        <w:rPr>
          <w:rFonts w:ascii="Times New Roman" w:hAnsi="Times New Roman"/>
          <w:sz w:val="24"/>
        </w:rPr>
        <w:t xml:space="preserve">valsts sekretārs saskaņā ar </w:t>
      </w:r>
      <w:r>
        <w:rPr>
          <w:rFonts w:ascii="Times New Roman" w:hAnsi="Times New Roman"/>
          <w:i/>
          <w:iCs/>
          <w:sz w:val="24"/>
        </w:rPr>
        <w:t>RIPA</w:t>
      </w:r>
      <w:r>
        <w:rPr>
          <w:rFonts w:ascii="Times New Roman" w:hAnsi="Times New Roman"/>
          <w:sz w:val="24"/>
        </w:rPr>
        <w:t xml:space="preserve"> jau ir izdevis attiecīgu orderi par pārtveršanu, konkrēto sakaru iegūšanai ir nepieciešama ārvalsts valdības palīdzība, jo tos nav iespējams iegūt saskaņā ar attiecīgo </w:t>
      </w:r>
      <w:r>
        <w:rPr>
          <w:rFonts w:ascii="Times New Roman" w:hAnsi="Times New Roman"/>
          <w:i/>
          <w:iCs/>
          <w:sz w:val="24"/>
        </w:rPr>
        <w:t>RIPA</w:t>
      </w:r>
      <w:r>
        <w:rPr>
          <w:rFonts w:ascii="Times New Roman" w:hAnsi="Times New Roman"/>
          <w:sz w:val="24"/>
        </w:rPr>
        <w:t xml:space="preserve"> noteikto orderi par pārtveršanu, un šo sakaru iegūšana pārtveršanas aģentūras ieskatā ir nepieciešama un samērīga vai</w:t>
      </w:r>
    </w:p>
    <w:p w14:paraId="6077FBB2" w14:textId="77777777" w:rsidR="000E3283" w:rsidRDefault="000E3283" w:rsidP="001F1E46">
      <w:pPr>
        <w:pStyle w:val="JuQuot"/>
        <w:widowControl w:val="0"/>
        <w:numPr>
          <w:ilvl w:val="0"/>
          <w:numId w:val="23"/>
        </w:numPr>
        <w:spacing w:before="0" w:after="0"/>
        <w:ind w:left="851" w:hanging="284"/>
        <w:rPr>
          <w:rFonts w:ascii="Times New Roman" w:hAnsi="Times New Roman"/>
          <w:noProof/>
          <w:sz w:val="24"/>
        </w:rPr>
      </w:pPr>
      <w:r>
        <w:rPr>
          <w:rFonts w:ascii="Times New Roman" w:hAnsi="Times New Roman"/>
          <w:sz w:val="24"/>
        </w:rPr>
        <w:t xml:space="preserve">pieprasījuma iesniegšana saistībā ar konkrētajiem sakariem, ja nav izdots attiecīgais </w:t>
      </w:r>
      <w:r>
        <w:rPr>
          <w:rFonts w:ascii="Times New Roman" w:hAnsi="Times New Roman"/>
          <w:i/>
          <w:iCs/>
          <w:sz w:val="24"/>
        </w:rPr>
        <w:t>RIPA</w:t>
      </w:r>
      <w:r>
        <w:rPr>
          <w:rFonts w:ascii="Times New Roman" w:hAnsi="Times New Roman"/>
          <w:sz w:val="24"/>
        </w:rPr>
        <w:t xml:space="preserve"> noteiktais pārtveršanas orderis, nav uzskatāma par apzinātu </w:t>
      </w:r>
      <w:r>
        <w:rPr>
          <w:rFonts w:ascii="Times New Roman" w:hAnsi="Times New Roman"/>
          <w:i/>
          <w:iCs/>
          <w:sz w:val="24"/>
        </w:rPr>
        <w:t>RIPA</w:t>
      </w:r>
      <w:r>
        <w:rPr>
          <w:rFonts w:ascii="Times New Roman" w:hAnsi="Times New Roman"/>
          <w:sz w:val="24"/>
        </w:rPr>
        <w:t xml:space="preserve"> apiešanu un nekā citādi netraucē </w:t>
      </w:r>
      <w:r>
        <w:rPr>
          <w:rFonts w:ascii="Times New Roman" w:hAnsi="Times New Roman"/>
          <w:i/>
          <w:iCs/>
          <w:sz w:val="24"/>
        </w:rPr>
        <w:t>RIPA</w:t>
      </w:r>
      <w:r>
        <w:rPr>
          <w:rFonts w:ascii="Times New Roman" w:hAnsi="Times New Roman"/>
          <w:sz w:val="24"/>
        </w:rPr>
        <w:t xml:space="preserve"> mērķiem (piemēram, tādēļ, ka sakaru iegūšana saskaņā ar </w:t>
      </w:r>
      <w:r>
        <w:rPr>
          <w:rFonts w:ascii="Times New Roman" w:hAnsi="Times New Roman"/>
          <w:i/>
          <w:iCs/>
          <w:sz w:val="24"/>
        </w:rPr>
        <w:t>RIPA</w:t>
      </w:r>
      <w:r>
        <w:rPr>
          <w:rFonts w:ascii="Times New Roman" w:hAnsi="Times New Roman"/>
          <w:sz w:val="24"/>
        </w:rPr>
        <w:t xml:space="preserve"> noteikumiem par pārtveršanu tehniski nav iespējama) un šo sakaru iegūšana pārtveršanas aģentūras ieskatā ir nepieciešama un samērīga.</w:t>
      </w:r>
    </w:p>
    <w:p w14:paraId="56E29B9C" w14:textId="77777777" w:rsidR="006829DF" w:rsidRPr="008D031E" w:rsidRDefault="006829DF" w:rsidP="001F1E46">
      <w:pPr>
        <w:pStyle w:val="JuQuot"/>
        <w:widowControl w:val="0"/>
        <w:spacing w:before="0" w:after="0"/>
        <w:ind w:left="851" w:firstLine="0"/>
        <w:rPr>
          <w:rFonts w:ascii="Times New Roman" w:hAnsi="Times New Roman"/>
          <w:noProof/>
          <w:sz w:val="24"/>
          <w:lang w:val="en-US"/>
        </w:rPr>
      </w:pPr>
    </w:p>
    <w:p w14:paraId="75FFC7DC" w14:textId="4E5CE29C"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12.3. Pieprasījumu, uz ko attiecas 12.2. punkta otrais ievilkums, var iesniegt vienīgi ārkārtas apstākļos, un to valsts sekretārs izvērtē un izlemj personīgi.</w:t>
      </w:r>
    </w:p>
    <w:p w14:paraId="70A327D9" w14:textId="12CEF32F"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12.4. Atbilstoši tam ar “attiecīgo </w:t>
      </w:r>
      <w:r>
        <w:rPr>
          <w:rFonts w:ascii="Times New Roman" w:hAnsi="Times New Roman"/>
          <w:i/>
          <w:iCs/>
          <w:sz w:val="24"/>
        </w:rPr>
        <w:t>RIPA</w:t>
      </w:r>
      <w:r>
        <w:rPr>
          <w:rFonts w:ascii="Times New Roman" w:hAnsi="Times New Roman"/>
          <w:sz w:val="24"/>
        </w:rPr>
        <w:t xml:space="preserve"> noteikto pārtveršanas orderi” saprot: a) 8. panta 1. punktā noteikto orderi saistībā ar attiecīgo subjektu; ii) 8. panta 4. punktā noteikto orderi un tam pievienoto apliecinājumu, kurā iekļauts viens vai vairāki “pārtvertā materiāla apraksti” (</w:t>
      </w:r>
      <w:r>
        <w:rPr>
          <w:rFonts w:ascii="Times New Roman" w:hAnsi="Times New Roman"/>
          <w:i/>
          <w:iCs/>
          <w:sz w:val="24"/>
        </w:rPr>
        <w:t>RIPA</w:t>
      </w:r>
      <w:r>
        <w:rPr>
          <w:rFonts w:ascii="Times New Roman" w:hAnsi="Times New Roman"/>
          <w:sz w:val="24"/>
        </w:rPr>
        <w:t xml:space="preserve"> 8. panta 4. punkta b) apakšpunkta nozīmē), kas attiecas uz subjekta sakariem, ņemot vērā atbilstošās 16. panta 3. punktā noteiktās izmaiņas (attiecībā uz personām, par kurām zināms, ka tās atrodas Britu salās), vai iii) 8. panta 4. punktā noteikto orderi un tam pievienoto apliecinājumu, kurā iekļauts viens vai vairāki “pārtvertā materiāla apraksti”, kas attiecas uz subjekta sakariem (attiecībā uz citām personām).</w:t>
      </w:r>
    </w:p>
    <w:p w14:paraId="44AE6E2A" w14:textId="77777777" w:rsidR="006829DF" w:rsidRPr="008D031E" w:rsidRDefault="006829DF" w:rsidP="001F1E46">
      <w:pPr>
        <w:pStyle w:val="JuQuot"/>
        <w:widowControl w:val="0"/>
        <w:spacing w:before="0" w:after="0"/>
        <w:ind w:left="284"/>
        <w:rPr>
          <w:rFonts w:ascii="Times New Roman" w:hAnsi="Times New Roman"/>
          <w:noProof/>
          <w:sz w:val="24"/>
          <w:lang w:val="en-US"/>
        </w:rPr>
      </w:pPr>
    </w:p>
    <w:p w14:paraId="3E3CA372" w14:textId="77777777" w:rsidR="000E3283" w:rsidRDefault="000E3283" w:rsidP="001F1E46">
      <w:pPr>
        <w:pStyle w:val="JuQuot"/>
        <w:widowControl w:val="0"/>
        <w:spacing w:before="0" w:after="0"/>
        <w:ind w:left="284" w:firstLine="0"/>
        <w:rPr>
          <w:rFonts w:ascii="Times New Roman" w:hAnsi="Times New Roman"/>
          <w:b/>
          <w:noProof/>
          <w:sz w:val="24"/>
        </w:rPr>
      </w:pPr>
      <w:r>
        <w:rPr>
          <w:rFonts w:ascii="Times New Roman" w:hAnsi="Times New Roman"/>
          <w:b/>
          <w:sz w:val="24"/>
        </w:rPr>
        <w:t>Drošības pasākumi, kas piemērojami, apstrādājot neanalizētus pārtvertus sakarus no kādas ārvalsts valdības</w:t>
      </w:r>
    </w:p>
    <w:p w14:paraId="0E3A64EE" w14:textId="77777777" w:rsidR="006829DF" w:rsidRPr="008D031E" w:rsidRDefault="006829DF" w:rsidP="001F1E46">
      <w:pPr>
        <w:pStyle w:val="JuQuot"/>
        <w:widowControl w:val="0"/>
        <w:spacing w:before="0" w:after="0"/>
        <w:ind w:left="284"/>
        <w:rPr>
          <w:rFonts w:ascii="Times New Roman" w:hAnsi="Times New Roman"/>
          <w:b/>
          <w:noProof/>
          <w:sz w:val="24"/>
          <w:lang w:val="en-US"/>
        </w:rPr>
      </w:pPr>
    </w:p>
    <w:p w14:paraId="375730BE" w14:textId="3A7FA2BB"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12.5. Ja pieprasījumu, uz kuru attiecas 12.2. punkta otrais ievilkums, valsts sekretārs apstiprina nolūkiem, kas nav saistīti ar konkrētiem selektoriem, pārtveršanas aģentūra nedrīkst pārbaudīt nekādus saņemtos sakarus atbilstoši </w:t>
      </w:r>
      <w:r>
        <w:rPr>
          <w:rFonts w:ascii="Times New Roman" w:hAnsi="Times New Roman"/>
          <w:i/>
          <w:iCs/>
          <w:sz w:val="24"/>
        </w:rPr>
        <w:t>RIPA</w:t>
      </w:r>
      <w:r>
        <w:rPr>
          <w:rFonts w:ascii="Times New Roman" w:hAnsi="Times New Roman"/>
          <w:sz w:val="24"/>
        </w:rPr>
        <w:t xml:space="preserve"> 16. panta 2. punkta a) un b) apakšpunktā minētajiem faktoriem, ja vien valsts sekretārs nav personīgi izvērtējis un apstiprinājis šo sakaru pārbaudi, atsaucoties uz šādiem faktoriem.</w:t>
      </w:r>
      <w:r w:rsidRPr="008D031E">
        <w:rPr>
          <w:rStyle w:val="FootnoteReference"/>
          <w:rFonts w:ascii="Times New Roman" w:hAnsi="Times New Roman"/>
          <w:noProof/>
          <w:sz w:val="24"/>
          <w:lang w:val="en-US"/>
        </w:rPr>
        <w:footnoteReference w:id="1"/>
      </w:r>
    </w:p>
    <w:p w14:paraId="26F5CB2E" w14:textId="110D512F"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12.6. Ja pārtverto sakaru saturu vai sakaru datus iegūst pārtveršanas aģentūras, kā norādīts 12.2. punktā, vai tās tos kā citādi saņem no kādas ārpus Apvienotās Karalistes esošas valsts vai teritorijas valdības, apstākļos, kad materiāls sevi identificē kā pārtveršanas produktu (izņemot saskaņā ar starptautisku savstarpējās palīdzības līgumu), sakaru saturam un sakaru datiem ir jāpiemēro tādi paši iekšējie noteikumi un drošības pasākumi, kas attiecas uz tām pašām satura vai datu kategorijām, ja pārtveršanas aģentūras tos iegūst tieši, veicot pārtveršanu saskaņā ar </w:t>
      </w:r>
      <w:r>
        <w:rPr>
          <w:rFonts w:ascii="Times New Roman" w:hAnsi="Times New Roman"/>
          <w:i/>
          <w:iCs/>
          <w:sz w:val="24"/>
        </w:rPr>
        <w:t>RIPA</w:t>
      </w:r>
      <w:r>
        <w:rPr>
          <w:rFonts w:ascii="Times New Roman" w:hAnsi="Times New Roman"/>
          <w:sz w:val="24"/>
        </w:rPr>
        <w:t>.</w:t>
      </w:r>
    </w:p>
    <w:p w14:paraId="3E807B9A" w14:textId="05A6FEB4"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12.7. Ja nav saņemts attiecīgais </w:t>
      </w:r>
      <w:r>
        <w:rPr>
          <w:rFonts w:ascii="Times New Roman" w:hAnsi="Times New Roman"/>
          <w:i/>
          <w:iCs/>
          <w:sz w:val="24"/>
        </w:rPr>
        <w:t>RIPA</w:t>
      </w:r>
      <w:r>
        <w:rPr>
          <w:rFonts w:ascii="Times New Roman" w:hAnsi="Times New Roman"/>
          <w:sz w:val="24"/>
        </w:rPr>
        <w:t xml:space="preserve"> noteiktais pārtveršanas orderis, par visiem pieprasījumiem kādai ārpus Apvienotās Karalistes esošas valsts vai teritorijas valdībai </w:t>
      </w:r>
      <w:r>
        <w:rPr>
          <w:rFonts w:ascii="Times New Roman" w:hAnsi="Times New Roman"/>
          <w:sz w:val="24"/>
        </w:rPr>
        <w:lastRenderedPageBreak/>
        <w:t>saistībā ar neanalizētiem pārtvertiem sakariem (un saistītajiem sakaru datiem) tiks paziņots komisāram sakaru pārtveršanas jautājumos.</w:t>
      </w:r>
    </w:p>
    <w:p w14:paraId="01EA3EC1" w14:textId="77777777" w:rsidR="006829DF" w:rsidRPr="008D031E" w:rsidRDefault="006829DF" w:rsidP="001F1E46">
      <w:pPr>
        <w:pStyle w:val="JuQuot"/>
        <w:widowControl w:val="0"/>
        <w:spacing w:before="0" w:after="0"/>
        <w:ind w:left="284"/>
        <w:rPr>
          <w:rFonts w:ascii="Times New Roman" w:hAnsi="Times New Roman"/>
          <w:noProof/>
          <w:sz w:val="24"/>
          <w:lang w:val="en-US"/>
        </w:rPr>
      </w:pPr>
    </w:p>
    <w:p w14:paraId="62129F41" w14:textId="04E99DC2" w:rsidR="000E3283" w:rsidRDefault="006829DF" w:rsidP="001F1E46">
      <w:pPr>
        <w:pStyle w:val="JuHA"/>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C. Sakaru datu iegūšana</w:t>
      </w:r>
    </w:p>
    <w:p w14:paraId="219B5337" w14:textId="77777777" w:rsidR="006829DF" w:rsidRPr="006829DF" w:rsidRDefault="006829DF" w:rsidP="001F1E46">
      <w:pPr>
        <w:pStyle w:val="JuPara"/>
        <w:widowControl w:val="0"/>
        <w:rPr>
          <w:lang w:val="en-US"/>
        </w:rPr>
      </w:pPr>
    </w:p>
    <w:p w14:paraId="7F74786C" w14:textId="3E882347" w:rsidR="000E3283" w:rsidRPr="008D031E" w:rsidRDefault="000E3283" w:rsidP="001F1E46">
      <w:pPr>
        <w:pStyle w:val="JuPara"/>
        <w:widowControl w:val="0"/>
        <w:ind w:firstLine="142"/>
        <w:rPr>
          <w:rFonts w:ascii="Times New Roman" w:hAnsi="Times New Roman"/>
          <w:noProof/>
        </w:rPr>
      </w:pPr>
      <w:bookmarkStart w:id="100" w:name="ACDStart"/>
      <w:r>
        <w:rPr>
          <w:rFonts w:ascii="Times New Roman" w:hAnsi="Times New Roman"/>
        </w:rPr>
        <w:t>117</w:t>
      </w:r>
      <w:bookmarkEnd w:id="100"/>
      <w:r>
        <w:rPr>
          <w:rFonts w:ascii="Times New Roman" w:hAnsi="Times New Roman"/>
        </w:rPr>
        <w:t xml:space="preserve">. </w:t>
      </w:r>
      <w:r>
        <w:rPr>
          <w:rFonts w:ascii="Times New Roman" w:hAnsi="Times New Roman"/>
          <w:i/>
          <w:iCs/>
        </w:rPr>
        <w:t>RIPA</w:t>
      </w:r>
      <w:r>
        <w:rPr>
          <w:rFonts w:ascii="Times New Roman" w:hAnsi="Times New Roman"/>
        </w:rPr>
        <w:t xml:space="preserve"> 1. daļas II nodaļā ir ietverts tiesiskais regulējums, saskaņā ar kuru valsts iestādes varēja iegūt sakaru datus no </w:t>
      </w:r>
      <w:proofErr w:type="spellStart"/>
      <w:r>
        <w:rPr>
          <w:rFonts w:ascii="Times New Roman" w:hAnsi="Times New Roman"/>
        </w:rPr>
        <w:t>SPS</w:t>
      </w:r>
      <w:proofErr w:type="spellEnd"/>
      <w:r>
        <w:rPr>
          <w:rFonts w:ascii="Times New Roman" w:hAnsi="Times New Roman"/>
        </w:rPr>
        <w:t>.</w:t>
      </w:r>
    </w:p>
    <w:p w14:paraId="323CB215" w14:textId="598C3C7C" w:rsidR="000E3283" w:rsidRPr="008D031E" w:rsidRDefault="000E3283" w:rsidP="001F1E46">
      <w:pPr>
        <w:pStyle w:val="JuPara"/>
        <w:widowControl w:val="0"/>
        <w:ind w:firstLine="142"/>
        <w:rPr>
          <w:rFonts w:ascii="Times New Roman" w:hAnsi="Times New Roman"/>
          <w:noProof/>
        </w:rPr>
      </w:pPr>
      <w:r>
        <w:rPr>
          <w:rFonts w:ascii="Times New Roman" w:hAnsi="Times New Roman"/>
        </w:rPr>
        <w:t xml:space="preserve">118. Saskaņā ar 22. pantu atļauju sakaru datu iegūšanai no </w:t>
      </w:r>
      <w:proofErr w:type="spellStart"/>
      <w:r>
        <w:rPr>
          <w:rFonts w:ascii="Times New Roman" w:hAnsi="Times New Roman"/>
        </w:rPr>
        <w:t>SPS</w:t>
      </w:r>
      <w:proofErr w:type="spellEnd"/>
      <w:r>
        <w:rPr>
          <w:rFonts w:ascii="Times New Roman" w:hAnsi="Times New Roman"/>
        </w:rPr>
        <w:t xml:space="preserve"> piešķīra “izraudzītā persona” ar tādu profesiju, pakāpi vai amatu attiecīgajās valsts iestādēs, kā noteikts valsts sekretāra rīkojumā. Izraudzītā persona varēja vai nu piešķirt atļauju personām, kuras strādā tajā pašā “attiecīgajā valsts iestādē” kā šī persona, “veikt darbību, uz kuru attiecas šī nodaļa” (atļauja saskaņā ar 22. panta 3. punktu), vai arī, iesniedzot </w:t>
      </w:r>
      <w:proofErr w:type="spellStart"/>
      <w:r>
        <w:rPr>
          <w:rFonts w:ascii="Times New Roman" w:hAnsi="Times New Roman"/>
        </w:rPr>
        <w:t>SPS</w:t>
      </w:r>
      <w:proofErr w:type="spellEnd"/>
      <w:r>
        <w:rPr>
          <w:rFonts w:ascii="Times New Roman" w:hAnsi="Times New Roman"/>
        </w:rPr>
        <w:t xml:space="preserve"> paziņojumu, pieprasīt vai nu atklāt datus, kas jau ir tās rīcībā, vai arī iegūt un izpaust datus (paziņojums saskaņā ar 22. panta 4. punktu). Saskaņā ar 22. panta 3. punktu “attiecīgās valsts iestādes” ietvēra policiju, Valsts Noziedzības apkarošanas aģentūru, Apvienotās Karalistes Ieņēmumu un muitas dienestu, jebkurus izlūkdienestus un jebkuru šādu valsts iestādi, ko ar rīkojumu varētu noteikt valsts sekretārs.</w:t>
      </w:r>
    </w:p>
    <w:p w14:paraId="5D88AA5E" w14:textId="1CA8F3F4" w:rsidR="000E3283" w:rsidRDefault="000E3283" w:rsidP="001F1E46">
      <w:pPr>
        <w:pStyle w:val="JuPara"/>
        <w:widowControl w:val="0"/>
        <w:ind w:firstLine="142"/>
        <w:rPr>
          <w:rFonts w:ascii="Times New Roman" w:hAnsi="Times New Roman"/>
          <w:noProof/>
        </w:rPr>
      </w:pPr>
      <w:r>
        <w:rPr>
          <w:rFonts w:ascii="Times New Roman" w:hAnsi="Times New Roman"/>
        </w:rPr>
        <w:t>119. 22. panta 2. punktā ir paredzēts, ka izraudzītā persona varēja vienīgi dot 22. panta 3. punktā minēto atļauju vai iesniegt 22. panta 4. punktā minēto paziņojumu, ja tas šīs personas ieskatā bija nepieciešams:</w:t>
      </w:r>
    </w:p>
    <w:p w14:paraId="050A0B1A" w14:textId="77777777" w:rsidR="006829DF" w:rsidRPr="008D031E" w:rsidRDefault="006829DF" w:rsidP="001F1E46">
      <w:pPr>
        <w:pStyle w:val="JuPara"/>
        <w:widowControl w:val="0"/>
        <w:ind w:firstLine="142"/>
        <w:rPr>
          <w:rFonts w:ascii="Times New Roman" w:hAnsi="Times New Roman"/>
          <w:noProof/>
          <w:lang w:val="en-US"/>
        </w:rPr>
      </w:pPr>
    </w:p>
    <w:p w14:paraId="426309FB" w14:textId="77054804" w:rsidR="006829DF" w:rsidRPr="008D031E"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“a) valsts drošības interesēs;</w:t>
      </w:r>
    </w:p>
    <w:p w14:paraId="1F142AC8" w14:textId="32AB2F57" w:rsidR="000E3283" w:rsidRPr="008D031E"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b) nozieguma novēršanai vai atklāšanai vai arī nekārtību novēršanai;</w:t>
      </w:r>
    </w:p>
    <w:p w14:paraId="63BA0D60" w14:textId="04EAF541" w:rsidR="000E3283" w:rsidRPr="008D031E"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c) Apvienotās Karalistes ekonomiskās labklājības interesēs;</w:t>
      </w:r>
    </w:p>
    <w:p w14:paraId="73A00A17" w14:textId="67BFD259" w:rsidR="000E3283" w:rsidRPr="008D031E"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d) sabiedrības drošības interesēs;</w:t>
      </w:r>
    </w:p>
    <w:p w14:paraId="5DB01BF9" w14:textId="1E1C7972" w:rsidR="000E3283" w:rsidRPr="008D031E"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e) sabiedrības veselības aizsardzībai;</w:t>
      </w:r>
    </w:p>
    <w:p w14:paraId="482E16F8" w14:textId="514F6646" w:rsidR="000E3283" w:rsidRPr="008D031E"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f) valstij maksājamo nodokļu, nodevu, maksu vai citu maksājumu, iemaksu vai summu novērtēšanai un iekasēšanai;</w:t>
      </w:r>
    </w:p>
    <w:p w14:paraId="2B33F712" w14:textId="7CC42FD5" w:rsidR="000E3283" w:rsidRPr="008D031E"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g) personas nāves vai ievainojuma, vai tās fiziskās vai garīgās veselības kaitējuma novēršanai ārkārtas situācijā vai arī jebkura personas fiziskās vai garīgās veselības kaitējuma mazināšanai vai</w:t>
      </w:r>
    </w:p>
    <w:p w14:paraId="039A3241" w14:textId="04265F77"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h) jebkuriem nolūkiem (uz ko neattiecas a)–g) apakšpunkts), kas atbilstoši šim punktam noteikti ar valsts sekretāra rīkojumu.”</w:t>
      </w:r>
    </w:p>
    <w:p w14:paraId="399609E9" w14:textId="77777777" w:rsidR="006829DF" w:rsidRPr="008D031E" w:rsidRDefault="006829DF" w:rsidP="001F1E46">
      <w:pPr>
        <w:pStyle w:val="JuQuot"/>
        <w:widowControl w:val="0"/>
        <w:spacing w:before="0" w:after="0"/>
        <w:ind w:left="567" w:firstLine="0"/>
        <w:rPr>
          <w:rFonts w:ascii="Times New Roman" w:hAnsi="Times New Roman"/>
          <w:noProof/>
          <w:sz w:val="24"/>
          <w:lang w:val="en-US"/>
        </w:rPr>
      </w:pPr>
    </w:p>
    <w:p w14:paraId="4D868A61" w14:textId="6C3A2800" w:rsidR="000E3283" w:rsidRPr="008D031E" w:rsidRDefault="000E3283" w:rsidP="001F1E46">
      <w:pPr>
        <w:pStyle w:val="JuPara"/>
        <w:widowControl w:val="0"/>
        <w:ind w:firstLine="142"/>
        <w:rPr>
          <w:rFonts w:ascii="Times New Roman" w:hAnsi="Times New Roman"/>
          <w:noProof/>
        </w:rPr>
      </w:pPr>
      <w:r>
        <w:rPr>
          <w:rFonts w:ascii="Times New Roman" w:hAnsi="Times New Roman"/>
        </w:rPr>
        <w:t>120. Šai personai arī jāpārliecinās, ka datu iegūšana ir samērīga ar šādas rīcības mērķi.</w:t>
      </w:r>
    </w:p>
    <w:p w14:paraId="3D778FDE" w14:textId="1762A33A" w:rsidR="000E3283" w:rsidRDefault="000E3283" w:rsidP="001F1E46">
      <w:pPr>
        <w:pStyle w:val="JuPara"/>
        <w:widowControl w:val="0"/>
        <w:ind w:firstLine="142"/>
        <w:rPr>
          <w:rFonts w:ascii="Times New Roman" w:hAnsi="Times New Roman"/>
          <w:noProof/>
        </w:rPr>
      </w:pPr>
      <w:bookmarkStart w:id="101" w:name="ACDEnd"/>
      <w:r>
        <w:rPr>
          <w:rFonts w:ascii="Times New Roman" w:hAnsi="Times New Roman"/>
        </w:rPr>
        <w:t>121</w:t>
      </w:r>
      <w:bookmarkEnd w:id="101"/>
      <w:r>
        <w:rPr>
          <w:rFonts w:ascii="Times New Roman" w:hAnsi="Times New Roman"/>
        </w:rPr>
        <w:t xml:space="preserve">. </w:t>
      </w:r>
      <w:r>
        <w:rPr>
          <w:rFonts w:ascii="Times New Roman" w:hAnsi="Times New Roman"/>
          <w:i/>
          <w:iCs/>
        </w:rPr>
        <w:t>RIPA</w:t>
      </w:r>
      <w:r>
        <w:rPr>
          <w:rFonts w:ascii="Times New Roman" w:hAnsi="Times New Roman"/>
        </w:rPr>
        <w:t xml:space="preserve"> II nodaļa tika papildināta ar Sakaru datu iegūšanas un izpaušanas rīcības kodeksu [</w:t>
      </w:r>
      <w:proofErr w:type="spellStart"/>
      <w:r>
        <w:rPr>
          <w:rFonts w:ascii="Times New Roman" w:hAnsi="Times New Roman"/>
          <w:i/>
          <w:iCs/>
        </w:rPr>
        <w:t>Acquisition</w:t>
      </w:r>
      <w:proofErr w:type="spellEnd"/>
      <w:r>
        <w:rPr>
          <w:rFonts w:ascii="Times New Roman" w:hAnsi="Times New Roman"/>
          <w:i/>
          <w:iCs/>
        </w:rPr>
        <w:t xml:space="preserve"> </w:t>
      </w:r>
      <w:proofErr w:type="spellStart"/>
      <w:r>
        <w:rPr>
          <w:rFonts w:ascii="Times New Roman" w:hAnsi="Times New Roman"/>
          <w:i/>
          <w:iCs/>
        </w:rPr>
        <w:t>and</w:t>
      </w:r>
      <w:proofErr w:type="spellEnd"/>
      <w:r>
        <w:rPr>
          <w:rFonts w:ascii="Times New Roman" w:hAnsi="Times New Roman"/>
          <w:i/>
          <w:iCs/>
        </w:rPr>
        <w:t xml:space="preserve"> </w:t>
      </w:r>
      <w:proofErr w:type="spellStart"/>
      <w:r>
        <w:rPr>
          <w:rFonts w:ascii="Times New Roman" w:hAnsi="Times New Roman"/>
          <w:i/>
          <w:iCs/>
        </w:rPr>
        <w:t>Disclosure</w:t>
      </w:r>
      <w:proofErr w:type="spellEnd"/>
      <w:r>
        <w:rPr>
          <w:rFonts w:ascii="Times New Roman" w:hAnsi="Times New Roman"/>
          <w:i/>
          <w:iCs/>
        </w:rPr>
        <w:t xml:space="preserve"> </w:t>
      </w:r>
      <w:proofErr w:type="spellStart"/>
      <w:r>
        <w:rPr>
          <w:rFonts w:ascii="Times New Roman" w:hAnsi="Times New Roman"/>
          <w:i/>
          <w:iCs/>
        </w:rPr>
        <w:t>of</w:t>
      </w:r>
      <w:proofErr w:type="spellEnd"/>
      <w:r>
        <w:rPr>
          <w:rFonts w:ascii="Times New Roman" w:hAnsi="Times New Roman"/>
          <w:i/>
          <w:iCs/>
        </w:rPr>
        <w:t xml:space="preserve"> Communications </w:t>
      </w:r>
      <w:proofErr w:type="spellStart"/>
      <w:r>
        <w:rPr>
          <w:rFonts w:ascii="Times New Roman" w:hAnsi="Times New Roman"/>
          <w:i/>
          <w:iCs/>
        </w:rPr>
        <w:t>Data</w:t>
      </w:r>
      <w:proofErr w:type="spellEnd"/>
      <w:r>
        <w:rPr>
          <w:rFonts w:ascii="Times New Roman" w:hAnsi="Times New Roman"/>
          <w:i/>
          <w:iCs/>
        </w:rPr>
        <w:t>:</w:t>
      </w:r>
      <w:r>
        <w:rPr>
          <w:rFonts w:ascii="Times New Roman" w:hAnsi="Times New Roman"/>
        </w:rPr>
        <w:t xml:space="preserve"> </w:t>
      </w:r>
      <w:r>
        <w:rPr>
          <w:rFonts w:ascii="Times New Roman" w:hAnsi="Times New Roman"/>
          <w:i/>
          <w:iCs/>
        </w:rPr>
        <w:t xml:space="preserve">Code </w:t>
      </w:r>
      <w:proofErr w:type="spellStart"/>
      <w:r>
        <w:rPr>
          <w:rFonts w:ascii="Times New Roman" w:hAnsi="Times New Roman"/>
          <w:i/>
          <w:iCs/>
        </w:rPr>
        <w:t>of</w:t>
      </w:r>
      <w:proofErr w:type="spellEnd"/>
      <w:r>
        <w:rPr>
          <w:rFonts w:ascii="Times New Roman" w:hAnsi="Times New Roman"/>
          <w:i/>
          <w:iCs/>
        </w:rPr>
        <w:t xml:space="preserve"> </w:t>
      </w:r>
      <w:proofErr w:type="spellStart"/>
      <w:r>
        <w:rPr>
          <w:rFonts w:ascii="Times New Roman" w:hAnsi="Times New Roman"/>
          <w:i/>
          <w:iCs/>
        </w:rPr>
        <w:t>Practice</w:t>
      </w:r>
      <w:proofErr w:type="spellEnd"/>
      <w:r>
        <w:rPr>
          <w:rFonts w:ascii="Times New Roman" w:hAnsi="Times New Roman"/>
        </w:rPr>
        <w:t xml:space="preserve">], kas izdots saskaņā ar </w:t>
      </w:r>
      <w:r>
        <w:rPr>
          <w:rFonts w:ascii="Times New Roman" w:hAnsi="Times New Roman"/>
          <w:i/>
          <w:iCs/>
        </w:rPr>
        <w:t>RIPA</w:t>
      </w:r>
      <w:r>
        <w:rPr>
          <w:rFonts w:ascii="Times New Roman" w:hAnsi="Times New Roman"/>
        </w:rPr>
        <w:t xml:space="preserve"> 71. pantu.</w:t>
      </w:r>
    </w:p>
    <w:p w14:paraId="68C74A79" w14:textId="77777777" w:rsidR="006829DF" w:rsidRPr="008D031E" w:rsidRDefault="006829DF" w:rsidP="001F1E46">
      <w:pPr>
        <w:pStyle w:val="JuPara"/>
        <w:widowControl w:val="0"/>
        <w:ind w:firstLine="142"/>
        <w:rPr>
          <w:rFonts w:ascii="Times New Roman" w:hAnsi="Times New Roman"/>
          <w:noProof/>
          <w:lang w:val="en-US"/>
        </w:rPr>
      </w:pPr>
    </w:p>
    <w:p w14:paraId="2ED70F51" w14:textId="5AE7FD17" w:rsidR="000E3283" w:rsidRDefault="006829DF" w:rsidP="001F1E46">
      <w:pPr>
        <w:pStyle w:val="JuHA"/>
        <w:keepNext w:val="0"/>
        <w:keepLines w:val="0"/>
        <w:widowControl w:val="0"/>
        <w:numPr>
          <w:ilvl w:val="0"/>
          <w:numId w:val="0"/>
        </w:numPr>
        <w:spacing w:before="0" w:beforeAutospacing="0" w:after="0"/>
        <w:outlineLvl w:val="9"/>
        <w:rPr>
          <w:rFonts w:ascii="Times New Roman" w:hAnsi="Times New Roman"/>
          <w:noProof/>
        </w:rPr>
      </w:pPr>
      <w:bookmarkStart w:id="102" w:name="_Toc516820745"/>
      <w:r>
        <w:rPr>
          <w:rFonts w:ascii="Times New Roman" w:hAnsi="Times New Roman"/>
        </w:rPr>
        <w:t xml:space="preserve">D. </w:t>
      </w:r>
      <w:proofErr w:type="spellStart"/>
      <w:r>
        <w:rPr>
          <w:rFonts w:ascii="Times New Roman" w:hAnsi="Times New Roman"/>
          <w:i/>
          <w:iCs/>
        </w:rPr>
        <w:t>IPT</w:t>
      </w:r>
      <w:proofErr w:type="spellEnd"/>
      <w:r>
        <w:rPr>
          <w:rFonts w:ascii="Times New Roman" w:hAnsi="Times New Roman"/>
        </w:rPr>
        <w:t xml:space="preserve"> prakse un procedūra</w:t>
      </w:r>
      <w:bookmarkEnd w:id="102"/>
    </w:p>
    <w:p w14:paraId="4A384DA8" w14:textId="77777777" w:rsidR="006829DF" w:rsidRPr="006829DF" w:rsidRDefault="006829DF" w:rsidP="001F1E46">
      <w:pPr>
        <w:pStyle w:val="JuPara"/>
        <w:widowControl w:val="0"/>
        <w:rPr>
          <w:lang w:val="en-US"/>
        </w:rPr>
      </w:pPr>
    </w:p>
    <w:p w14:paraId="0B735DD6" w14:textId="46B60460" w:rsidR="000E3283" w:rsidRDefault="006829DF" w:rsidP="001F1E46">
      <w:pPr>
        <w:pStyle w:val="JuH1"/>
        <w:keepNext w:val="0"/>
        <w:keepLines w:val="0"/>
        <w:widowControl w:val="0"/>
        <w:numPr>
          <w:ilvl w:val="0"/>
          <w:numId w:val="0"/>
        </w:numPr>
        <w:spacing w:before="0" w:beforeAutospacing="0" w:after="0"/>
        <w:outlineLvl w:val="9"/>
        <w:rPr>
          <w:rFonts w:ascii="Times New Roman" w:hAnsi="Times New Roman"/>
          <w:noProof/>
        </w:rPr>
      </w:pPr>
      <w:bookmarkStart w:id="103" w:name="_Toc516820746"/>
      <w:r>
        <w:rPr>
          <w:rFonts w:ascii="Times New Roman" w:hAnsi="Times New Roman"/>
        </w:rPr>
        <w:t>1. RIPA</w:t>
      </w:r>
      <w:bookmarkEnd w:id="103"/>
    </w:p>
    <w:p w14:paraId="62591C90" w14:textId="77777777" w:rsidR="006829DF" w:rsidRPr="006829DF" w:rsidRDefault="006829DF" w:rsidP="001F1E46">
      <w:pPr>
        <w:pStyle w:val="JuPara"/>
        <w:widowControl w:val="0"/>
        <w:rPr>
          <w:lang w:val="en-US"/>
        </w:rPr>
      </w:pPr>
    </w:p>
    <w:p w14:paraId="63E39230" w14:textId="13CBB366" w:rsidR="000E3283" w:rsidRPr="008D031E" w:rsidRDefault="000E3283" w:rsidP="001F1E46">
      <w:pPr>
        <w:pStyle w:val="JuPara"/>
        <w:widowControl w:val="0"/>
        <w:ind w:firstLine="142"/>
        <w:rPr>
          <w:rFonts w:ascii="Times New Roman" w:eastAsia="Times New Roman" w:hAnsi="Times New Roman" w:cs="Times New Roman"/>
          <w:noProof/>
        </w:rPr>
      </w:pPr>
      <w:bookmarkStart w:id="104" w:name="IPTStart"/>
      <w:r>
        <w:rPr>
          <w:rFonts w:ascii="Times New Roman" w:hAnsi="Times New Roman"/>
        </w:rPr>
        <w:t>122</w:t>
      </w:r>
      <w:bookmarkEnd w:id="104"/>
      <w:r>
        <w:rPr>
          <w:rFonts w:ascii="Times New Roman" w:hAnsi="Times New Roman"/>
        </w:rPr>
        <w:t xml:space="preserve">. </w:t>
      </w:r>
      <w:proofErr w:type="spellStart"/>
      <w:r>
        <w:rPr>
          <w:rFonts w:ascii="Times New Roman" w:hAnsi="Times New Roman"/>
          <w:i/>
          <w:iCs/>
        </w:rPr>
        <w:t>IPT</w:t>
      </w:r>
      <w:proofErr w:type="spellEnd"/>
      <w:r>
        <w:rPr>
          <w:rFonts w:ascii="Times New Roman" w:hAnsi="Times New Roman"/>
        </w:rPr>
        <w:t xml:space="preserve"> tika izveidota saskaņā ar </w:t>
      </w:r>
      <w:r>
        <w:rPr>
          <w:rFonts w:ascii="Times New Roman" w:hAnsi="Times New Roman"/>
          <w:i/>
          <w:iCs/>
        </w:rPr>
        <w:t>RIPA</w:t>
      </w:r>
      <w:r>
        <w:rPr>
          <w:rFonts w:ascii="Times New Roman" w:hAnsi="Times New Roman"/>
        </w:rPr>
        <w:t xml:space="preserve"> 65. panta 1. punktu, lai uzklausītu pilsoņu apgalvojumus par iespējamu pretlikumīgu iejaukšanos viņu sakaros tādas rīcības dēļ, uz kuru attiecas šis likums. Tai bija ekskluzīva kompetence izskatīt jebkuru sūdzību par personas sakaru pārtveršanu un pārtveršanas gadījumā pārbaudīt šīs pārtveršanas pilnvaras.</w:t>
      </w:r>
    </w:p>
    <w:p w14:paraId="2C6C252A" w14:textId="3EB8C0EE" w:rsidR="000E3283" w:rsidRPr="008D031E" w:rsidRDefault="000E3283" w:rsidP="001F1E46">
      <w:pPr>
        <w:pStyle w:val="JuPara"/>
        <w:widowControl w:val="0"/>
        <w:ind w:firstLine="142"/>
        <w:rPr>
          <w:rFonts w:ascii="Times New Roman" w:hAnsi="Times New Roman"/>
          <w:noProof/>
        </w:rPr>
      </w:pPr>
      <w:bookmarkStart w:id="105" w:name="IPTAppt"/>
      <w:r>
        <w:rPr>
          <w:rFonts w:ascii="Times New Roman" w:hAnsi="Times New Roman"/>
        </w:rPr>
        <w:t>123</w:t>
      </w:r>
      <w:bookmarkEnd w:id="105"/>
      <w:r>
        <w:rPr>
          <w:rFonts w:ascii="Times New Roman" w:hAnsi="Times New Roman"/>
        </w:rPr>
        <w:t xml:space="preserve">. </w:t>
      </w:r>
      <w:proofErr w:type="spellStart"/>
      <w:r>
        <w:rPr>
          <w:rFonts w:ascii="Times New Roman" w:hAnsi="Times New Roman"/>
          <w:i/>
          <w:iCs/>
        </w:rPr>
        <w:t>IPT</w:t>
      </w:r>
      <w:proofErr w:type="spellEnd"/>
      <w:r>
        <w:rPr>
          <w:rFonts w:ascii="Times New Roman" w:hAnsi="Times New Roman"/>
        </w:rPr>
        <w:t xml:space="preserve"> pēc būtības bija iecelti tiesneši, taču tas bija atkarīgs no tā, vai izvirzītais kandidāts bija Anglijas un Velsas, Skotijas vai Ziemeļīrijas augstākā tiesas amatpersona (dēvēta par “tiesas iestādes locekli”) vai arī “</w:t>
      </w:r>
      <w:proofErr w:type="spellStart"/>
      <w:r>
        <w:rPr>
          <w:rFonts w:ascii="Times New Roman" w:hAnsi="Times New Roman"/>
        </w:rPr>
        <w:t>ārpustiesas</w:t>
      </w:r>
      <w:proofErr w:type="spellEnd"/>
      <w:r>
        <w:rPr>
          <w:rFonts w:ascii="Times New Roman" w:hAnsi="Times New Roman"/>
        </w:rPr>
        <w:t xml:space="preserve"> iestādes loceklis”. </w:t>
      </w:r>
      <w:proofErr w:type="spellStart"/>
      <w:r>
        <w:rPr>
          <w:rFonts w:ascii="Times New Roman" w:hAnsi="Times New Roman"/>
        </w:rPr>
        <w:t>Ārpustiesas</w:t>
      </w:r>
      <w:proofErr w:type="spellEnd"/>
      <w:r>
        <w:rPr>
          <w:rFonts w:ascii="Times New Roman" w:hAnsi="Times New Roman"/>
        </w:rPr>
        <w:t xml:space="preserve"> iestādes loceklis </w:t>
      </w:r>
      <w:r>
        <w:rPr>
          <w:rFonts w:ascii="Times New Roman" w:hAnsi="Times New Roman"/>
        </w:rPr>
        <w:lastRenderedPageBreak/>
        <w:t>varēja būt kādreizējais tiesas iestādes loceklis, kurš vairs šādu amatu neieņem, vai augstākā tiesas amatpersona ar vismaz desmit gadu darba stāžu, kura nebija pilna laika tiesnesis. Ja tiesas iestādes locekļi tika izvēlēti no Anglijas un Velsas tiesas amatpersonu vidus, Tiesu birojs Lorda Augstā tiesneša vārdā vadīja atlases procesu. Tiesu birojs aicināja Anglijas un Velsas Augstās tiesas tiesnešus izteikt ieinteresētību, un pieteikuma iesniedzējus intervēja grupa, kuru veidoja</w:t>
      </w:r>
      <w:r>
        <w:rPr>
          <w:rFonts w:ascii="Times New Roman" w:hAnsi="Times New Roman"/>
          <w:i/>
          <w:iCs/>
        </w:rPr>
        <w:t xml:space="preserve"> </w:t>
      </w:r>
      <w:proofErr w:type="spellStart"/>
      <w:r>
        <w:rPr>
          <w:rFonts w:ascii="Times New Roman" w:hAnsi="Times New Roman"/>
          <w:i/>
          <w:iCs/>
        </w:rPr>
        <w:t>IPT</w:t>
      </w:r>
      <w:proofErr w:type="spellEnd"/>
      <w:r>
        <w:rPr>
          <w:rFonts w:ascii="Times New Roman" w:hAnsi="Times New Roman"/>
        </w:rPr>
        <w:t xml:space="preserve"> priekšsēdētājs, </w:t>
      </w:r>
      <w:proofErr w:type="spellStart"/>
      <w:r>
        <w:rPr>
          <w:rFonts w:ascii="Times New Roman" w:hAnsi="Times New Roman"/>
        </w:rPr>
        <w:t>ārpustiesas</w:t>
      </w:r>
      <w:proofErr w:type="spellEnd"/>
      <w:r>
        <w:rPr>
          <w:rFonts w:ascii="Times New Roman" w:hAnsi="Times New Roman"/>
        </w:rPr>
        <w:t xml:space="preserve"> iestādes </w:t>
      </w:r>
      <w:proofErr w:type="spellStart"/>
      <w:r>
        <w:rPr>
          <w:rFonts w:ascii="Times New Roman" w:hAnsi="Times New Roman"/>
          <w:i/>
          <w:iCs/>
        </w:rPr>
        <w:t>IPT</w:t>
      </w:r>
      <w:proofErr w:type="spellEnd"/>
      <w:r>
        <w:rPr>
          <w:rFonts w:ascii="Times New Roman" w:hAnsi="Times New Roman"/>
        </w:rPr>
        <w:t xml:space="preserve"> loceklis un komisārs no Tiesnešu iecelšanas komisijas, kas ir savas jomas speciālists. Pēc tam minētā grupa ziņoja Lordam Augstajam tiesnesim, kurš </w:t>
      </w:r>
      <w:proofErr w:type="spellStart"/>
      <w:r>
        <w:rPr>
          <w:rFonts w:ascii="Times New Roman" w:hAnsi="Times New Roman"/>
        </w:rPr>
        <w:t>rakstveidā</w:t>
      </w:r>
      <w:proofErr w:type="spellEnd"/>
      <w:r>
        <w:rPr>
          <w:rFonts w:ascii="Times New Roman" w:hAnsi="Times New Roman"/>
        </w:rPr>
        <w:t xml:space="preserve"> vērsās pie </w:t>
      </w:r>
      <w:proofErr w:type="spellStart"/>
      <w:r>
        <w:rPr>
          <w:rFonts w:ascii="Times New Roman" w:hAnsi="Times New Roman"/>
        </w:rPr>
        <w:t>iekšlietu</w:t>
      </w:r>
      <w:proofErr w:type="spellEnd"/>
      <w:r>
        <w:rPr>
          <w:rFonts w:ascii="Times New Roman" w:hAnsi="Times New Roman"/>
        </w:rPr>
        <w:t xml:space="preserve"> sekretāra, sniedzot formālus ieteikumus par locekļu iecelšanu. Pēc tam </w:t>
      </w:r>
      <w:proofErr w:type="spellStart"/>
      <w:r>
        <w:rPr>
          <w:rFonts w:ascii="Times New Roman" w:hAnsi="Times New Roman"/>
        </w:rPr>
        <w:t>iekšlietu</w:t>
      </w:r>
      <w:proofErr w:type="spellEnd"/>
      <w:r>
        <w:rPr>
          <w:rFonts w:ascii="Times New Roman" w:hAnsi="Times New Roman"/>
        </w:rPr>
        <w:t xml:space="preserve"> sekretārs </w:t>
      </w:r>
      <w:proofErr w:type="spellStart"/>
      <w:r>
        <w:rPr>
          <w:rFonts w:ascii="Times New Roman" w:hAnsi="Times New Roman"/>
        </w:rPr>
        <w:t>rakstveidā</w:t>
      </w:r>
      <w:proofErr w:type="spellEnd"/>
      <w:r>
        <w:rPr>
          <w:rFonts w:ascii="Times New Roman" w:hAnsi="Times New Roman"/>
        </w:rPr>
        <w:t xml:space="preserve"> vērsās pie Ministru prezidenta, lūdzot Viņas Majestātes Karalienes atļauju izdot patenta apliecinājumu attiecībā uz rekomendēto(-</w:t>
      </w:r>
      <w:proofErr w:type="spellStart"/>
      <w:r>
        <w:rPr>
          <w:rFonts w:ascii="Times New Roman" w:hAnsi="Times New Roman"/>
        </w:rPr>
        <w:t>ajiem</w:t>
      </w:r>
      <w:proofErr w:type="spellEnd"/>
      <w:r>
        <w:rPr>
          <w:rFonts w:ascii="Times New Roman" w:hAnsi="Times New Roman"/>
        </w:rPr>
        <w:t>) kandidātu(-</w:t>
      </w:r>
      <w:proofErr w:type="spellStart"/>
      <w:r>
        <w:rPr>
          <w:rFonts w:ascii="Times New Roman" w:hAnsi="Times New Roman"/>
        </w:rPr>
        <w:t>iem</w:t>
      </w:r>
      <w:proofErr w:type="spellEnd"/>
      <w:r>
        <w:rPr>
          <w:rFonts w:ascii="Times New Roman" w:hAnsi="Times New Roman"/>
        </w:rPr>
        <w:t xml:space="preserve">). Ministru prezidents rekomendēja izvēlēto(-s) kandidātu(-s) Viņas Majestātei Karalienei, kura formalizēja iecelšanu, izdodot patenta apliecinājumu. </w:t>
      </w:r>
      <w:proofErr w:type="spellStart"/>
      <w:r>
        <w:rPr>
          <w:rFonts w:ascii="Times New Roman" w:hAnsi="Times New Roman"/>
        </w:rPr>
        <w:t>Ārpustiesas</w:t>
      </w:r>
      <w:proofErr w:type="spellEnd"/>
      <w:r>
        <w:rPr>
          <w:rFonts w:ascii="Times New Roman" w:hAnsi="Times New Roman"/>
        </w:rPr>
        <w:t xml:space="preserve"> iestādes locekļi tika iecelti atklāta konkursa kārtībā. </w:t>
      </w:r>
      <w:proofErr w:type="spellStart"/>
      <w:r>
        <w:rPr>
          <w:rFonts w:ascii="Times New Roman" w:hAnsi="Times New Roman"/>
          <w:i/>
          <w:iCs/>
        </w:rPr>
        <w:t>IPT</w:t>
      </w:r>
      <w:proofErr w:type="spellEnd"/>
      <w:r>
        <w:rPr>
          <w:rFonts w:ascii="Times New Roman" w:hAnsi="Times New Roman"/>
        </w:rPr>
        <w:t xml:space="preserve"> publicēja sludinājumus par </w:t>
      </w:r>
      <w:proofErr w:type="spellStart"/>
      <w:r>
        <w:rPr>
          <w:rFonts w:ascii="Times New Roman" w:hAnsi="Times New Roman"/>
        </w:rPr>
        <w:t>ārpustiesas</w:t>
      </w:r>
      <w:proofErr w:type="spellEnd"/>
      <w:r>
        <w:rPr>
          <w:rFonts w:ascii="Times New Roman" w:hAnsi="Times New Roman"/>
        </w:rPr>
        <w:t xml:space="preserve"> iestāžu locekļiem konkrētos valsts laikrakstos un personāla atlases vietnēs, lūdzot piemērotās personas ar atbilstošo kvalifikāciju paust interesi. Šis process atšķīrās no tiesas iestāžu locekļu iecelšanas tādējādi, ka netika iesaistīts Lords Augstais tiesnesis, taču visos pārējos aspektos tas bija tāds pats. Pašlaik darbojas pieci tiesas iestāžu locekļi (divi Anglijas Apelācijas tiesas locekļi (viens no tiem priekšsēdētājs), viens Anglijas Augstās tiesas loceklis un divi Skotijas Augstākās tiesas </w:t>
      </w:r>
      <w:proofErr w:type="spellStart"/>
      <w:r>
        <w:rPr>
          <w:rFonts w:ascii="Times New Roman" w:hAnsi="Times New Roman"/>
        </w:rPr>
        <w:t>ārpalātas</w:t>
      </w:r>
      <w:proofErr w:type="spellEnd"/>
      <w:r>
        <w:rPr>
          <w:rFonts w:ascii="Times New Roman" w:hAnsi="Times New Roman"/>
        </w:rPr>
        <w:t xml:space="preserve"> locekļi (viens no tiem priekšsēdētāja vietnieks)) un pieci </w:t>
      </w:r>
      <w:proofErr w:type="spellStart"/>
      <w:r>
        <w:rPr>
          <w:rFonts w:ascii="Times New Roman" w:hAnsi="Times New Roman"/>
        </w:rPr>
        <w:t>ārpustiesas</w:t>
      </w:r>
      <w:proofErr w:type="spellEnd"/>
      <w:r>
        <w:rPr>
          <w:rFonts w:ascii="Times New Roman" w:hAnsi="Times New Roman"/>
        </w:rPr>
        <w:t xml:space="preserve"> iestāžu locekļi (viens no tiem atvaļināts Ziemeļīrijas Augstās tiesas tiesnesis).</w:t>
      </w:r>
    </w:p>
    <w:p w14:paraId="4BDA7B0C" w14:textId="40D06F94" w:rsidR="000E3283" w:rsidRPr="008D031E" w:rsidRDefault="000E3283" w:rsidP="001F1E46">
      <w:pPr>
        <w:pStyle w:val="JuPara"/>
        <w:widowControl w:val="0"/>
        <w:ind w:firstLine="142"/>
        <w:rPr>
          <w:rFonts w:ascii="Times New Roman" w:hAnsi="Times New Roman"/>
          <w:noProof/>
        </w:rPr>
      </w:pPr>
      <w:r>
        <w:rPr>
          <w:rFonts w:ascii="Times New Roman" w:hAnsi="Times New Roman"/>
        </w:rPr>
        <w:t xml:space="preserve">124. Saskaņā ar 67. panta 2. punktu un 67. panta 3. punkta c) apakšpunktu </w:t>
      </w:r>
      <w:proofErr w:type="spellStart"/>
      <w:r>
        <w:rPr>
          <w:rFonts w:ascii="Times New Roman" w:hAnsi="Times New Roman"/>
          <w:i/>
          <w:iCs/>
        </w:rPr>
        <w:t>IPT</w:t>
      </w:r>
      <w:proofErr w:type="spellEnd"/>
      <w:r>
        <w:rPr>
          <w:rFonts w:ascii="Times New Roman" w:hAnsi="Times New Roman"/>
        </w:rPr>
        <w:t xml:space="preserve"> bija jāpiemēro principi, ko tiesa piemēro, veicot pārskatīšanu tiesā. Tomēr tā nebija pilnvarota iesniegt paziņojumu par nesaderību, ja tā atzina primāros tiesību aktus par nesaderīgiem ar Eiropas Cilvēktiesību konvenciju, jo tā nebija “tiesa” 1998. gada Cilvēktiesību likuma izpratnē.</w:t>
      </w:r>
    </w:p>
    <w:p w14:paraId="17AF5D71" w14:textId="56C5E13B" w:rsidR="000E3283" w:rsidRPr="008D031E" w:rsidRDefault="000E3283" w:rsidP="001F1E46">
      <w:pPr>
        <w:pStyle w:val="JuPara"/>
        <w:widowControl w:val="0"/>
        <w:ind w:firstLine="142"/>
        <w:rPr>
          <w:rFonts w:ascii="Times New Roman" w:hAnsi="Times New Roman"/>
          <w:noProof/>
        </w:rPr>
      </w:pPr>
      <w:bookmarkStart w:id="106" w:name="IPTDisclosure"/>
      <w:r>
        <w:rPr>
          <w:rFonts w:ascii="Times New Roman" w:hAnsi="Times New Roman"/>
        </w:rPr>
        <w:t>125</w:t>
      </w:r>
      <w:bookmarkEnd w:id="106"/>
      <w:r>
        <w:rPr>
          <w:rFonts w:ascii="Times New Roman" w:hAnsi="Times New Roman"/>
        </w:rPr>
        <w:t xml:space="preserve">. 68. panta 6. un 7. punkts noteica, ka pārtveršanas ordera atļaušanā un izpildē iesaistītajām personām ir jāatklāj vai jāiesniedz </w:t>
      </w:r>
      <w:proofErr w:type="spellStart"/>
      <w:r>
        <w:rPr>
          <w:rFonts w:ascii="Times New Roman" w:hAnsi="Times New Roman"/>
          <w:i/>
          <w:iCs/>
        </w:rPr>
        <w:t>IPT</w:t>
      </w:r>
      <w:proofErr w:type="spellEnd"/>
      <w:r>
        <w:rPr>
          <w:rFonts w:ascii="Times New Roman" w:hAnsi="Times New Roman"/>
        </w:rPr>
        <w:t xml:space="preserve"> visi tai nepieciešamie dokumenti un informācija.</w:t>
      </w:r>
    </w:p>
    <w:p w14:paraId="3DA088F9" w14:textId="46D9A730" w:rsidR="000E3283" w:rsidRPr="008D031E" w:rsidRDefault="000E3283" w:rsidP="001F1E46">
      <w:pPr>
        <w:pStyle w:val="JuPara"/>
        <w:widowControl w:val="0"/>
        <w:ind w:firstLine="142"/>
        <w:rPr>
          <w:rFonts w:ascii="Times New Roman" w:hAnsi="Times New Roman"/>
          <w:noProof/>
        </w:rPr>
      </w:pPr>
      <w:bookmarkStart w:id="107" w:name="IPTComp"/>
      <w:r>
        <w:rPr>
          <w:rFonts w:ascii="Times New Roman" w:hAnsi="Times New Roman"/>
        </w:rPr>
        <w:t>126</w:t>
      </w:r>
      <w:bookmarkEnd w:id="107"/>
      <w:r>
        <w:rPr>
          <w:rFonts w:ascii="Times New Roman" w:hAnsi="Times New Roman"/>
        </w:rPr>
        <w:t xml:space="preserve">. 68. panta 4. punkts noteica, ka tad, kad </w:t>
      </w:r>
      <w:proofErr w:type="spellStart"/>
      <w:r>
        <w:rPr>
          <w:rFonts w:ascii="Times New Roman" w:hAnsi="Times New Roman"/>
          <w:i/>
          <w:iCs/>
        </w:rPr>
        <w:t>IPT</w:t>
      </w:r>
      <w:proofErr w:type="spellEnd"/>
      <w:r>
        <w:rPr>
          <w:rFonts w:ascii="Times New Roman" w:hAnsi="Times New Roman"/>
        </w:rPr>
        <w:t xml:space="preserve"> izskatīja kādu sūdzību, tā bija pilnvarota piešķirt kompensāciju un izdot citus rīkojumus, ko tā uzskata par atbilstošiem, tostarp rīkojumus par jebkura ordera anulēšanu vai atcelšanu, kā arī rīkojumus par tā rezultātā iegūto jebkādu ierakstu iznīcināšanu (67. panta 7. punkts). Ja </w:t>
      </w:r>
      <w:proofErr w:type="spellStart"/>
      <w:r>
        <w:rPr>
          <w:rFonts w:ascii="Times New Roman" w:hAnsi="Times New Roman"/>
          <w:i/>
          <w:iCs/>
        </w:rPr>
        <w:t>IPT</w:t>
      </w:r>
      <w:proofErr w:type="spellEnd"/>
      <w:r>
        <w:rPr>
          <w:rFonts w:ascii="Times New Roman" w:hAnsi="Times New Roman"/>
        </w:rPr>
        <w:t xml:space="preserve"> izskatāmā prasība tika apmierināta, </w:t>
      </w:r>
      <w:proofErr w:type="spellStart"/>
      <w:r>
        <w:rPr>
          <w:rFonts w:ascii="Times New Roman" w:hAnsi="Times New Roman"/>
          <w:i/>
          <w:iCs/>
        </w:rPr>
        <w:t>IPT</w:t>
      </w:r>
      <w:proofErr w:type="spellEnd"/>
      <w:r>
        <w:rPr>
          <w:rFonts w:ascii="Times New Roman" w:hAnsi="Times New Roman"/>
        </w:rPr>
        <w:t xml:space="preserve"> bija par to jāziņo Ministru prezidentam (68. panta 5. punkts).</w:t>
      </w:r>
    </w:p>
    <w:p w14:paraId="52B398E4" w14:textId="2EE6C086" w:rsidR="000E3283" w:rsidRDefault="000E3283" w:rsidP="001F1E46">
      <w:pPr>
        <w:pStyle w:val="JuPara"/>
        <w:widowControl w:val="0"/>
        <w:ind w:firstLine="142"/>
        <w:rPr>
          <w:rFonts w:ascii="Times New Roman" w:hAnsi="Times New Roman"/>
          <w:noProof/>
        </w:rPr>
      </w:pPr>
      <w:r>
        <w:rPr>
          <w:rFonts w:ascii="Times New Roman" w:hAnsi="Times New Roman"/>
        </w:rPr>
        <w:t xml:space="preserve">127. Saskaņā ar 68. panta 1. punktu </w:t>
      </w:r>
      <w:proofErr w:type="spellStart"/>
      <w:r>
        <w:rPr>
          <w:rFonts w:ascii="Times New Roman" w:hAnsi="Times New Roman"/>
          <w:i/>
          <w:iCs/>
        </w:rPr>
        <w:t>IPT</w:t>
      </w:r>
      <w:proofErr w:type="spellEnd"/>
      <w:r>
        <w:rPr>
          <w:rFonts w:ascii="Times New Roman" w:hAnsi="Times New Roman"/>
        </w:rPr>
        <w:t xml:space="preserve"> varēja noteikt pati savu procedūru, lai gan 69. panta 1. punkts paredzēja, ka arī valsts sekretārs var noteikt procesuālos noteikumus.</w:t>
      </w:r>
    </w:p>
    <w:p w14:paraId="73EBB438" w14:textId="77777777" w:rsidR="006829DF" w:rsidRPr="008D031E" w:rsidRDefault="006829DF" w:rsidP="001F1E46">
      <w:pPr>
        <w:pStyle w:val="JuPara"/>
        <w:widowControl w:val="0"/>
        <w:ind w:firstLine="142"/>
        <w:rPr>
          <w:rFonts w:ascii="Times New Roman" w:hAnsi="Times New Roman"/>
          <w:noProof/>
          <w:lang w:val="en-US"/>
        </w:rPr>
      </w:pPr>
    </w:p>
    <w:p w14:paraId="4EFD33E6" w14:textId="7481A547" w:rsidR="000E3283" w:rsidRDefault="006829DF" w:rsidP="001F1E46">
      <w:pPr>
        <w:pStyle w:val="JuH1"/>
        <w:keepNext w:val="0"/>
        <w:keepLines w:val="0"/>
        <w:widowControl w:val="0"/>
        <w:numPr>
          <w:ilvl w:val="0"/>
          <w:numId w:val="0"/>
        </w:numPr>
        <w:spacing w:before="0" w:beforeAutospacing="0" w:after="0"/>
        <w:outlineLvl w:val="9"/>
        <w:rPr>
          <w:rFonts w:ascii="Times New Roman" w:hAnsi="Times New Roman"/>
          <w:noProof/>
        </w:rPr>
      </w:pPr>
      <w:bookmarkStart w:id="108" w:name="_Toc516820747"/>
      <w:r>
        <w:rPr>
          <w:rFonts w:ascii="Times New Roman" w:hAnsi="Times New Roman"/>
        </w:rPr>
        <w:t>2. 2000. gada Noteikumi par tiesas izmeklēšanas pilnvarām [</w:t>
      </w:r>
      <w:proofErr w:type="spellStart"/>
      <w:r>
        <w:rPr>
          <w:rFonts w:ascii="Times New Roman" w:hAnsi="Times New Roman"/>
        </w:rPr>
        <w:t>Investigatory</w:t>
      </w:r>
      <w:proofErr w:type="spellEnd"/>
      <w:r>
        <w:rPr>
          <w:rFonts w:ascii="Times New Roman" w:hAnsi="Times New Roman"/>
        </w:rPr>
        <w:t xml:space="preserve"> </w:t>
      </w:r>
      <w:proofErr w:type="spellStart"/>
      <w:r>
        <w:rPr>
          <w:rFonts w:ascii="Times New Roman" w:hAnsi="Times New Roman"/>
        </w:rPr>
        <w:t>Powers</w:t>
      </w:r>
      <w:proofErr w:type="spellEnd"/>
      <w:r>
        <w:rPr>
          <w:rFonts w:ascii="Times New Roman" w:hAnsi="Times New Roman"/>
        </w:rPr>
        <w:t xml:space="preserve"> </w:t>
      </w:r>
      <w:proofErr w:type="spellStart"/>
      <w:r>
        <w:rPr>
          <w:rFonts w:ascii="Times New Roman" w:hAnsi="Times New Roman"/>
        </w:rPr>
        <w:t>Tribunal</w:t>
      </w:r>
      <w:proofErr w:type="spellEnd"/>
      <w:r>
        <w:rPr>
          <w:rFonts w:ascii="Times New Roman" w:hAnsi="Times New Roman"/>
        </w:rPr>
        <w:t xml:space="preserve"> </w:t>
      </w:r>
      <w:proofErr w:type="spellStart"/>
      <w:r>
        <w:rPr>
          <w:rFonts w:ascii="Times New Roman" w:hAnsi="Times New Roman"/>
        </w:rPr>
        <w:t>Rules</w:t>
      </w:r>
      <w:proofErr w:type="spellEnd"/>
      <w:r>
        <w:rPr>
          <w:rFonts w:ascii="Times New Roman" w:hAnsi="Times New Roman"/>
        </w:rPr>
        <w:t xml:space="preserve"> 2000] (turpmāk tekstā – “Noteikumi”)</w:t>
      </w:r>
      <w:bookmarkEnd w:id="108"/>
    </w:p>
    <w:p w14:paraId="3DDF2BAE" w14:textId="77777777" w:rsidR="006829DF" w:rsidRPr="006829DF" w:rsidRDefault="006829DF" w:rsidP="001F1E46">
      <w:pPr>
        <w:pStyle w:val="JuPara"/>
        <w:widowControl w:val="0"/>
        <w:rPr>
          <w:lang w:val="en-US"/>
        </w:rPr>
      </w:pPr>
    </w:p>
    <w:p w14:paraId="62BCECEC" w14:textId="42A1999F" w:rsidR="000E3283" w:rsidRPr="008D031E" w:rsidRDefault="000E3283" w:rsidP="001F1E46">
      <w:pPr>
        <w:pStyle w:val="JuPara"/>
        <w:widowControl w:val="0"/>
        <w:ind w:firstLine="142"/>
        <w:rPr>
          <w:rFonts w:ascii="Times New Roman" w:hAnsi="Times New Roman"/>
          <w:noProof/>
        </w:rPr>
      </w:pPr>
      <w:bookmarkStart w:id="109" w:name="IPTrulesstart"/>
      <w:r>
        <w:rPr>
          <w:rFonts w:ascii="Times New Roman" w:hAnsi="Times New Roman"/>
        </w:rPr>
        <w:t>128</w:t>
      </w:r>
      <w:bookmarkEnd w:id="109"/>
      <w:r>
        <w:rPr>
          <w:rFonts w:ascii="Times New Roman" w:hAnsi="Times New Roman"/>
        </w:rPr>
        <w:t xml:space="preserve">. Noteikumus pieņēma valsts sekretārs, lai reglamentētu dažādus </w:t>
      </w:r>
      <w:proofErr w:type="spellStart"/>
      <w:r>
        <w:rPr>
          <w:rFonts w:ascii="Times New Roman" w:hAnsi="Times New Roman"/>
          <w:i/>
          <w:iCs/>
        </w:rPr>
        <w:t>IPT</w:t>
      </w:r>
      <w:proofErr w:type="spellEnd"/>
      <w:r>
        <w:rPr>
          <w:rFonts w:ascii="Times New Roman" w:hAnsi="Times New Roman"/>
        </w:rPr>
        <w:t xml:space="preserve"> procedūras aspektus.</w:t>
      </w:r>
    </w:p>
    <w:p w14:paraId="04DA08EF" w14:textId="529EE2A2" w:rsidR="000E3283" w:rsidRPr="008D031E" w:rsidRDefault="000E3283" w:rsidP="001F1E46">
      <w:pPr>
        <w:pStyle w:val="JuPara"/>
        <w:widowControl w:val="0"/>
        <w:ind w:firstLine="142"/>
        <w:rPr>
          <w:rFonts w:ascii="Times New Roman" w:hAnsi="Times New Roman"/>
          <w:noProof/>
        </w:rPr>
      </w:pPr>
      <w:bookmarkStart w:id="110" w:name="IPTOral"/>
      <w:r>
        <w:rPr>
          <w:rFonts w:ascii="Times New Roman" w:hAnsi="Times New Roman"/>
        </w:rPr>
        <w:t>129</w:t>
      </w:r>
      <w:bookmarkEnd w:id="110"/>
      <w:r>
        <w:rPr>
          <w:rFonts w:ascii="Times New Roman" w:hAnsi="Times New Roman"/>
        </w:rPr>
        <w:t xml:space="preserve">. 9. noteikums ļāva </w:t>
      </w:r>
      <w:proofErr w:type="spellStart"/>
      <w:r>
        <w:rPr>
          <w:rFonts w:ascii="Times New Roman" w:hAnsi="Times New Roman"/>
          <w:i/>
          <w:iCs/>
        </w:rPr>
        <w:t>IPT</w:t>
      </w:r>
      <w:proofErr w:type="spellEnd"/>
      <w:r>
        <w:rPr>
          <w:rFonts w:ascii="Times New Roman" w:hAnsi="Times New Roman"/>
        </w:rPr>
        <w:t xml:space="preserve"> jebkurā tiesvedības posmā rīkot mutvārdu paskaidrojumu uzklausīšanu, kurā sūdzības iesniedzējs varēja izteikties, sniegt liecības un izsaukt lieciniekus. Lai gan saskaņā ar 9. noteikumu</w:t>
      </w:r>
      <w:r>
        <w:rPr>
          <w:rFonts w:ascii="Times New Roman" w:hAnsi="Times New Roman"/>
          <w:i/>
          <w:iCs/>
        </w:rPr>
        <w:t xml:space="preserve"> </w:t>
      </w:r>
      <w:proofErr w:type="spellStart"/>
      <w:r>
        <w:rPr>
          <w:rFonts w:ascii="Times New Roman" w:hAnsi="Times New Roman"/>
          <w:i/>
          <w:iCs/>
        </w:rPr>
        <w:t>IPT</w:t>
      </w:r>
      <w:proofErr w:type="spellEnd"/>
      <w:r>
        <w:rPr>
          <w:rFonts w:ascii="Times New Roman" w:hAnsi="Times New Roman"/>
        </w:rPr>
        <w:t xml:space="preserve"> tiesvedībai, tostarp mutvārdu paskaidrojumu uzklausīšanai, bija jābūt slēgtai, lietās “</w:t>
      </w:r>
      <w:proofErr w:type="spellStart"/>
      <w:r>
        <w:rPr>
          <w:rFonts w:ascii="Times New Roman" w:hAnsi="Times New Roman"/>
        </w:rPr>
        <w:t>IPT</w:t>
      </w:r>
      <w:proofErr w:type="spellEnd"/>
      <w:r>
        <w:rPr>
          <w:rFonts w:ascii="Times New Roman" w:hAnsi="Times New Roman"/>
        </w:rPr>
        <w:t>/01/62” un “</w:t>
      </w:r>
      <w:proofErr w:type="spellStart"/>
      <w:r>
        <w:rPr>
          <w:rFonts w:ascii="Times New Roman" w:hAnsi="Times New Roman"/>
        </w:rPr>
        <w:t>IPT</w:t>
      </w:r>
      <w:proofErr w:type="spellEnd"/>
      <w:r>
        <w:rPr>
          <w:rFonts w:ascii="Times New Roman" w:hAnsi="Times New Roman"/>
        </w:rPr>
        <w:t xml:space="preserve">/01/77” </w:t>
      </w:r>
      <w:proofErr w:type="spellStart"/>
      <w:r>
        <w:rPr>
          <w:rFonts w:ascii="Times New Roman" w:hAnsi="Times New Roman"/>
          <w:i/>
          <w:iCs/>
        </w:rPr>
        <w:t>IPT</w:t>
      </w:r>
      <w:proofErr w:type="spellEnd"/>
      <w:r>
        <w:rPr>
          <w:rFonts w:ascii="Times New Roman" w:hAnsi="Times New Roman"/>
        </w:rPr>
        <w:t xml:space="preserve"> pati izlēma, ka atbilstoši vispārīgajam ar 6. noteikuma 1. punktu noteiktajam pienākumam novērst </w:t>
      </w:r>
      <w:proofErr w:type="spellStart"/>
      <w:r>
        <w:rPr>
          <w:rFonts w:ascii="Times New Roman" w:hAnsi="Times New Roman"/>
        </w:rPr>
        <w:t>sensitīvas</w:t>
      </w:r>
      <w:proofErr w:type="spellEnd"/>
      <w:r>
        <w:rPr>
          <w:rFonts w:ascii="Times New Roman" w:hAnsi="Times New Roman"/>
        </w:rPr>
        <w:t xml:space="preserve"> informācijas izpaušanu tā varēja īstenot savu rīcības brīvību, rīkojot atklātu paskaidrojumu uzklausīšanu. Ņemot vērā šo apņemšanos rīkot atklātu paskaidrojumu uzklausīšanu, kad vien tas iespējams, </w:t>
      </w:r>
      <w:proofErr w:type="spellStart"/>
      <w:r>
        <w:rPr>
          <w:rFonts w:ascii="Times New Roman" w:hAnsi="Times New Roman"/>
          <w:i/>
          <w:iCs/>
        </w:rPr>
        <w:t>IPT</w:t>
      </w:r>
      <w:proofErr w:type="spellEnd"/>
      <w:r>
        <w:rPr>
          <w:rFonts w:ascii="Times New Roman" w:hAnsi="Times New Roman"/>
        </w:rPr>
        <w:t xml:space="preserve"> ir publicējusi savus svarīgos nolēmumus savā tīmekļa vietnē, ja nepastāv risks, ka tiks atklāta jebkāda informācija, kas var radīt apdraudējumu.</w:t>
      </w:r>
    </w:p>
    <w:p w14:paraId="3B955B38" w14:textId="7D4A4887" w:rsidR="000E3283" w:rsidRPr="008D031E" w:rsidRDefault="000E3283" w:rsidP="001F1E46">
      <w:pPr>
        <w:pStyle w:val="JuPara"/>
        <w:widowControl w:val="0"/>
        <w:ind w:firstLine="142"/>
        <w:rPr>
          <w:rFonts w:ascii="Times New Roman" w:hAnsi="Times New Roman"/>
          <w:noProof/>
        </w:rPr>
      </w:pPr>
      <w:r>
        <w:rPr>
          <w:rFonts w:ascii="Times New Roman" w:hAnsi="Times New Roman"/>
        </w:rPr>
        <w:t xml:space="preserve">130. Saskaņā ar 11. noteikumu </w:t>
      </w:r>
      <w:proofErr w:type="spellStart"/>
      <w:r>
        <w:rPr>
          <w:rFonts w:ascii="Times New Roman" w:hAnsi="Times New Roman"/>
          <w:i/>
          <w:iCs/>
        </w:rPr>
        <w:t>IPT</w:t>
      </w:r>
      <w:proofErr w:type="spellEnd"/>
      <w:r>
        <w:rPr>
          <w:rFonts w:ascii="Times New Roman" w:hAnsi="Times New Roman"/>
        </w:rPr>
        <w:t xml:space="preserve"> varēja iegūt pierādījumus jebkādā formā, pat ja tiesā tie nebūtu pieņemami.</w:t>
      </w:r>
    </w:p>
    <w:p w14:paraId="6BD93521" w14:textId="08261821" w:rsidR="000E3283" w:rsidRDefault="000E3283" w:rsidP="001F1E46">
      <w:pPr>
        <w:pStyle w:val="JuPara"/>
        <w:widowControl w:val="0"/>
        <w:ind w:firstLine="142"/>
        <w:rPr>
          <w:rFonts w:ascii="Times New Roman" w:hAnsi="Times New Roman"/>
          <w:noProof/>
        </w:rPr>
      </w:pPr>
      <w:bookmarkStart w:id="111" w:name="IPTrulesend"/>
      <w:r>
        <w:rPr>
          <w:rFonts w:ascii="Times New Roman" w:hAnsi="Times New Roman"/>
        </w:rPr>
        <w:t>131</w:t>
      </w:r>
      <w:bookmarkEnd w:id="111"/>
      <w:r>
        <w:rPr>
          <w:rFonts w:ascii="Times New Roman" w:hAnsi="Times New Roman"/>
        </w:rPr>
        <w:t xml:space="preserve">. Saskaņā ar 6. noteikumu </w:t>
      </w:r>
      <w:proofErr w:type="spellStart"/>
      <w:r>
        <w:rPr>
          <w:rFonts w:ascii="Times New Roman" w:hAnsi="Times New Roman"/>
          <w:i/>
          <w:iCs/>
        </w:rPr>
        <w:t>IPT</w:t>
      </w:r>
      <w:proofErr w:type="spellEnd"/>
      <w:r>
        <w:rPr>
          <w:rFonts w:ascii="Times New Roman" w:hAnsi="Times New Roman"/>
        </w:rPr>
        <w:t xml:space="preserve"> bija jāpilda savas funkcijas tā, lai nodrošinātu, ka netiek </w:t>
      </w:r>
      <w:r>
        <w:rPr>
          <w:rFonts w:ascii="Times New Roman" w:hAnsi="Times New Roman"/>
        </w:rPr>
        <w:lastRenderedPageBreak/>
        <w:t>izpausta informācija, kas ir pretēja sabiedrības interesēm vai apdraud valsts drošību, kā arī nodrošinātu nopietnu noziegumu novēršanu un atklāšanu un Apvienotās Karalistes ekonomisko labklājību vai turpinātu pildīt jebkuru izlūkdienestu funkcijas.</w:t>
      </w:r>
    </w:p>
    <w:p w14:paraId="467312B8" w14:textId="77777777" w:rsidR="006829DF" w:rsidRPr="008D031E" w:rsidRDefault="006829DF" w:rsidP="001F1E46">
      <w:pPr>
        <w:pStyle w:val="JuPara"/>
        <w:widowControl w:val="0"/>
        <w:ind w:firstLine="142"/>
        <w:rPr>
          <w:rFonts w:ascii="Times New Roman" w:hAnsi="Times New Roman"/>
          <w:noProof/>
          <w:lang w:val="en-US"/>
        </w:rPr>
      </w:pPr>
    </w:p>
    <w:p w14:paraId="06D81F43" w14:textId="163A5166" w:rsidR="000E3283" w:rsidRDefault="006829DF" w:rsidP="001F1E46">
      <w:pPr>
        <w:pStyle w:val="JuH1"/>
        <w:keepNext w:val="0"/>
        <w:keepLines w:val="0"/>
        <w:widowControl w:val="0"/>
        <w:numPr>
          <w:ilvl w:val="0"/>
          <w:numId w:val="0"/>
        </w:numPr>
        <w:spacing w:before="0" w:beforeAutospacing="0" w:after="0"/>
        <w:outlineLvl w:val="9"/>
        <w:rPr>
          <w:rFonts w:ascii="Times New Roman" w:hAnsi="Times New Roman"/>
          <w:noProof/>
        </w:rPr>
      </w:pPr>
      <w:bookmarkStart w:id="112" w:name="_Toc516820749"/>
      <w:r>
        <w:rPr>
          <w:rFonts w:ascii="Times New Roman" w:hAnsi="Times New Roman"/>
        </w:rPr>
        <w:t>3. Tiesas padomnieks</w:t>
      </w:r>
      <w:bookmarkEnd w:id="112"/>
    </w:p>
    <w:p w14:paraId="7CC5780E" w14:textId="77777777" w:rsidR="006829DF" w:rsidRPr="006829DF" w:rsidRDefault="006829DF" w:rsidP="001F1E46">
      <w:pPr>
        <w:pStyle w:val="JuPara"/>
        <w:widowControl w:val="0"/>
        <w:rPr>
          <w:lang w:val="en-US"/>
        </w:rPr>
      </w:pPr>
    </w:p>
    <w:p w14:paraId="2C3412F3" w14:textId="0BDAF72B" w:rsidR="000E3283" w:rsidRDefault="000E3283" w:rsidP="001F1E46">
      <w:pPr>
        <w:pStyle w:val="JuPara"/>
        <w:widowControl w:val="0"/>
        <w:ind w:firstLine="142"/>
        <w:rPr>
          <w:rFonts w:ascii="Times New Roman" w:hAnsi="Times New Roman"/>
          <w:noProof/>
        </w:rPr>
      </w:pPr>
      <w:bookmarkStart w:id="113" w:name="CTTT"/>
      <w:r>
        <w:rPr>
          <w:rFonts w:ascii="Times New Roman" w:hAnsi="Times New Roman"/>
        </w:rPr>
        <w:t>132</w:t>
      </w:r>
      <w:bookmarkEnd w:id="113"/>
      <w:r>
        <w:rPr>
          <w:rFonts w:ascii="Times New Roman" w:hAnsi="Times New Roman"/>
        </w:rPr>
        <w:t xml:space="preserve">. </w:t>
      </w:r>
      <w:proofErr w:type="spellStart"/>
      <w:r>
        <w:rPr>
          <w:rFonts w:ascii="Times New Roman" w:hAnsi="Times New Roman"/>
          <w:i/>
          <w:iCs/>
        </w:rPr>
        <w:t>IPT</w:t>
      </w:r>
      <w:proofErr w:type="spellEnd"/>
      <w:r>
        <w:rPr>
          <w:rFonts w:ascii="Times New Roman" w:hAnsi="Times New Roman"/>
        </w:rPr>
        <w:t xml:space="preserve"> varēja iecelt tiesas padomnieku, kas izvirzītu argumentus pieteikumu iesniedzēju vārdā paskaidrojumu uzklausīšanā, kurā viņus nebija iespējams pārstāvēt. “</w:t>
      </w:r>
      <w:proofErr w:type="spellStart"/>
      <w:r>
        <w:rPr>
          <w:rFonts w:ascii="Times New Roman" w:hAnsi="Times New Roman"/>
        </w:rPr>
        <w:t>Liberty</w:t>
      </w:r>
      <w:proofErr w:type="spellEnd"/>
      <w:r>
        <w:rPr>
          <w:rFonts w:ascii="Times New Roman" w:hAnsi="Times New Roman"/>
        </w:rPr>
        <w:t>” tiesvedībā tiesas padomnieks savu funkciju raksturoja šādi:</w:t>
      </w:r>
    </w:p>
    <w:p w14:paraId="0AF1679A" w14:textId="77777777" w:rsidR="006829DF" w:rsidRPr="008D031E" w:rsidRDefault="006829DF" w:rsidP="001F1E46">
      <w:pPr>
        <w:pStyle w:val="JuPara"/>
        <w:widowControl w:val="0"/>
        <w:ind w:firstLine="0"/>
        <w:rPr>
          <w:rFonts w:ascii="Times New Roman" w:hAnsi="Times New Roman"/>
          <w:noProof/>
          <w:lang w:val="en-US"/>
        </w:rPr>
      </w:pPr>
    </w:p>
    <w:p w14:paraId="64C7C44D" w14:textId="77777777"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 xml:space="preserve">“Tiesas padomnieks pilda atšķirīgu funkciju [atšķirībā no īpašiem juriskonsultiem slēgtā tiesvedībā konkrētās tiesās] līdzīgi kā </w:t>
      </w:r>
      <w:proofErr w:type="spellStart"/>
      <w:r>
        <w:rPr>
          <w:rFonts w:ascii="Times New Roman" w:hAnsi="Times New Roman"/>
          <w:i/>
          <w:iCs/>
          <w:sz w:val="24"/>
        </w:rPr>
        <w:t>amicus</w:t>
      </w:r>
      <w:proofErr w:type="spellEnd"/>
      <w:r>
        <w:rPr>
          <w:rFonts w:ascii="Times New Roman" w:hAnsi="Times New Roman"/>
          <w:i/>
          <w:iCs/>
          <w:sz w:val="24"/>
        </w:rPr>
        <w:t xml:space="preserve"> </w:t>
      </w:r>
      <w:proofErr w:type="spellStart"/>
      <w:r>
        <w:rPr>
          <w:rFonts w:ascii="Times New Roman" w:hAnsi="Times New Roman"/>
          <w:i/>
          <w:iCs/>
          <w:sz w:val="24"/>
        </w:rPr>
        <w:t>curiae</w:t>
      </w:r>
      <w:proofErr w:type="spellEnd"/>
      <w:r>
        <w:rPr>
          <w:rFonts w:ascii="Times New Roman" w:hAnsi="Times New Roman"/>
          <w:sz w:val="24"/>
        </w:rPr>
        <w:t>. Viņa funkcija ir atbalstīt tiesu jebkādā veidā, ko tā uzskata par nepieciešamu. Dažkārt (piemēram, jautājumos, kuros ir pārstāvētas visas puses) tiesa neprecizē, no kādas perspektīvas argumenti tiek izvirzīti. Šādā gadījumā padomniekam ir jāizvirza argumenti, balstoties uz viņa paša veikto attiecīgo juridisko vai faktisko jautājumu analīzi, īpaši akcentējot aspektus, ko puses nav pilnībā precizējušas. Citos gadījumos (jo īpaši tad, ja nav pārstāvētas atsevišķas vai vairākas intereses) tiesa var lūgt padomnieku izvirzīt argumentus no kādas konkrētas perspektīvas (parasti no tās puses vai pušu perspektīvas, kuru intereses kā citādi nav pārstāvētas).”</w:t>
      </w:r>
    </w:p>
    <w:p w14:paraId="6F88F2EC" w14:textId="77777777" w:rsidR="006829DF" w:rsidRPr="008D031E" w:rsidRDefault="006829DF" w:rsidP="001F1E46">
      <w:pPr>
        <w:pStyle w:val="JuQuot"/>
        <w:widowControl w:val="0"/>
        <w:spacing w:before="0" w:after="0"/>
        <w:ind w:left="0" w:firstLine="0"/>
        <w:rPr>
          <w:rFonts w:ascii="Times New Roman" w:hAnsi="Times New Roman"/>
          <w:noProof/>
          <w:sz w:val="24"/>
          <w:lang w:val="en-US"/>
        </w:rPr>
      </w:pPr>
    </w:p>
    <w:p w14:paraId="5EC29783" w14:textId="777AAB4D" w:rsidR="000E3283" w:rsidRDefault="000E3283" w:rsidP="001F1E46">
      <w:pPr>
        <w:pStyle w:val="JuPara"/>
        <w:widowControl w:val="0"/>
        <w:ind w:firstLine="142"/>
        <w:rPr>
          <w:rFonts w:ascii="Times New Roman" w:hAnsi="Times New Roman"/>
          <w:noProof/>
        </w:rPr>
      </w:pPr>
      <w:bookmarkStart w:id="114" w:name="RIPAEnd"/>
      <w:r>
        <w:rPr>
          <w:rFonts w:ascii="Times New Roman" w:hAnsi="Times New Roman"/>
        </w:rPr>
        <w:t>133</w:t>
      </w:r>
      <w:bookmarkEnd w:id="114"/>
      <w:r>
        <w:rPr>
          <w:rFonts w:ascii="Times New Roman" w:hAnsi="Times New Roman"/>
        </w:rPr>
        <w:t xml:space="preserve">. </w:t>
      </w:r>
      <w:proofErr w:type="spellStart"/>
      <w:r>
        <w:rPr>
          <w:rFonts w:ascii="Times New Roman" w:hAnsi="Times New Roman"/>
          <w:i/>
          <w:iCs/>
        </w:rPr>
        <w:t>IPT</w:t>
      </w:r>
      <w:proofErr w:type="spellEnd"/>
      <w:r>
        <w:rPr>
          <w:rFonts w:ascii="Times New Roman" w:hAnsi="Times New Roman"/>
        </w:rPr>
        <w:t xml:space="preserve"> šo raksturojumu pieņēma un apstiprināja.</w:t>
      </w:r>
    </w:p>
    <w:p w14:paraId="7E0E832B" w14:textId="77777777" w:rsidR="006829DF" w:rsidRPr="008D031E" w:rsidRDefault="006829DF" w:rsidP="001F1E46">
      <w:pPr>
        <w:pStyle w:val="JuPara"/>
        <w:widowControl w:val="0"/>
        <w:ind w:firstLine="142"/>
        <w:rPr>
          <w:rFonts w:ascii="Times New Roman" w:hAnsi="Times New Roman"/>
          <w:noProof/>
          <w:lang w:val="en-US"/>
        </w:rPr>
      </w:pPr>
    </w:p>
    <w:p w14:paraId="6A3B58C0" w14:textId="2BAB1A32" w:rsidR="000E3283" w:rsidRDefault="006829DF" w:rsidP="001F1E46">
      <w:pPr>
        <w:pStyle w:val="JuH1"/>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4.</w:t>
      </w:r>
      <w:r>
        <w:rPr>
          <w:rFonts w:ascii="Times New Roman" w:hAnsi="Times New Roman"/>
          <w:i w:val="0"/>
        </w:rPr>
        <w:t xml:space="preserve"> </w:t>
      </w:r>
      <w:r>
        <w:rPr>
          <w:rFonts w:ascii="Times New Roman" w:hAnsi="Times New Roman"/>
        </w:rPr>
        <w:t>Spriedums lietā “R (par “</w:t>
      </w:r>
      <w:proofErr w:type="spellStart"/>
      <w:r>
        <w:rPr>
          <w:rFonts w:ascii="Times New Roman" w:hAnsi="Times New Roman"/>
        </w:rPr>
        <w:t>Privacy</w:t>
      </w:r>
      <w:proofErr w:type="spellEnd"/>
      <w:r>
        <w:rPr>
          <w:rFonts w:ascii="Times New Roman" w:hAnsi="Times New Roman"/>
        </w:rPr>
        <w:t xml:space="preserve"> </w:t>
      </w:r>
      <w:proofErr w:type="spellStart"/>
      <w:r>
        <w:rPr>
          <w:rFonts w:ascii="Times New Roman" w:hAnsi="Times New Roman"/>
        </w:rPr>
        <w:t>International</w:t>
      </w:r>
      <w:proofErr w:type="spellEnd"/>
      <w:r>
        <w:rPr>
          <w:rFonts w:ascii="Times New Roman" w:hAnsi="Times New Roman"/>
        </w:rPr>
        <w:t xml:space="preserve">” pieteikumu) pret Izmeklēšanas pilnvaru tiesu un citiem” [2019] </w:t>
      </w:r>
      <w:proofErr w:type="spellStart"/>
      <w:r>
        <w:rPr>
          <w:rFonts w:ascii="Times New Roman" w:hAnsi="Times New Roman"/>
        </w:rPr>
        <w:t>UKSC</w:t>
      </w:r>
      <w:proofErr w:type="spellEnd"/>
      <w:r>
        <w:rPr>
          <w:rFonts w:ascii="Times New Roman" w:hAnsi="Times New Roman"/>
        </w:rPr>
        <w:t> 22</w:t>
      </w:r>
    </w:p>
    <w:p w14:paraId="3F834AD1" w14:textId="77777777" w:rsidR="006829DF" w:rsidRPr="006829DF" w:rsidRDefault="006829DF" w:rsidP="001F1E46">
      <w:pPr>
        <w:pStyle w:val="JuPara"/>
        <w:widowControl w:val="0"/>
        <w:rPr>
          <w:lang w:val="en-US"/>
        </w:rPr>
      </w:pPr>
    </w:p>
    <w:p w14:paraId="01C8A7A1" w14:textId="62CB9930" w:rsidR="000E3283" w:rsidRDefault="000E3283" w:rsidP="001F1E46">
      <w:pPr>
        <w:pStyle w:val="JuPara"/>
        <w:widowControl w:val="0"/>
        <w:ind w:firstLine="142"/>
        <w:rPr>
          <w:rFonts w:ascii="Times New Roman" w:hAnsi="Times New Roman"/>
          <w:noProof/>
        </w:rPr>
      </w:pPr>
      <w:bookmarkStart w:id="115" w:name="IPTpandpend"/>
      <w:r>
        <w:rPr>
          <w:rFonts w:ascii="Times New Roman" w:hAnsi="Times New Roman"/>
        </w:rPr>
        <w:t>134</w:t>
      </w:r>
      <w:bookmarkEnd w:id="115"/>
      <w:r>
        <w:rPr>
          <w:rFonts w:ascii="Times New Roman" w:hAnsi="Times New Roman"/>
        </w:rPr>
        <w:t xml:space="preserve">. Šajā spriedumā, kas tika pasludināts 2019. gada 15. maijā, Augstākā tiesa nosprieda, ka </w:t>
      </w:r>
      <w:r>
        <w:rPr>
          <w:rFonts w:ascii="Times New Roman" w:hAnsi="Times New Roman"/>
          <w:i/>
          <w:iCs/>
        </w:rPr>
        <w:t>RIPA</w:t>
      </w:r>
      <w:r>
        <w:rPr>
          <w:rFonts w:ascii="Times New Roman" w:hAnsi="Times New Roman"/>
        </w:rPr>
        <w:t xml:space="preserve"> 67. panta 8. punkts nebija liedzis </w:t>
      </w:r>
      <w:proofErr w:type="spellStart"/>
      <w:r>
        <w:rPr>
          <w:rFonts w:ascii="Times New Roman" w:hAnsi="Times New Roman"/>
          <w:i/>
          <w:iCs/>
        </w:rPr>
        <w:t>IPT</w:t>
      </w:r>
      <w:proofErr w:type="spellEnd"/>
      <w:r>
        <w:rPr>
          <w:rFonts w:ascii="Times New Roman" w:hAnsi="Times New Roman"/>
        </w:rPr>
        <w:t xml:space="preserve"> pārskatīt lēmumu tiesā.</w:t>
      </w:r>
    </w:p>
    <w:p w14:paraId="47CBE8A4" w14:textId="77777777" w:rsidR="00904078" w:rsidRPr="008D031E" w:rsidRDefault="00904078" w:rsidP="001F1E46">
      <w:pPr>
        <w:pStyle w:val="JuPara"/>
        <w:widowControl w:val="0"/>
        <w:ind w:firstLine="0"/>
        <w:rPr>
          <w:rFonts w:ascii="Times New Roman" w:hAnsi="Times New Roman"/>
          <w:noProof/>
          <w:lang w:val="en-US"/>
        </w:rPr>
      </w:pPr>
    </w:p>
    <w:p w14:paraId="09D371DB" w14:textId="4AB16726" w:rsidR="000E3283" w:rsidRDefault="00320152" w:rsidP="001F1E46">
      <w:pPr>
        <w:pStyle w:val="JuHA"/>
        <w:keepNext w:val="0"/>
        <w:keepLines w:val="0"/>
        <w:widowControl w:val="0"/>
        <w:numPr>
          <w:ilvl w:val="0"/>
          <w:numId w:val="0"/>
        </w:numPr>
        <w:spacing w:before="0" w:beforeAutospacing="0" w:after="0"/>
        <w:outlineLvl w:val="9"/>
        <w:rPr>
          <w:rFonts w:ascii="Times New Roman" w:hAnsi="Times New Roman"/>
          <w:noProof/>
        </w:rPr>
      </w:pPr>
      <w:bookmarkStart w:id="116" w:name="_Toc516820750"/>
      <w:r>
        <w:rPr>
          <w:rFonts w:ascii="Times New Roman" w:hAnsi="Times New Roman"/>
        </w:rPr>
        <w:t>E. Pārraudzība</w:t>
      </w:r>
      <w:bookmarkEnd w:id="116"/>
    </w:p>
    <w:p w14:paraId="68136AAF" w14:textId="77777777" w:rsidR="00320152" w:rsidRPr="00320152" w:rsidRDefault="00320152" w:rsidP="001F1E46">
      <w:pPr>
        <w:pStyle w:val="JuPara"/>
        <w:widowControl w:val="0"/>
        <w:rPr>
          <w:lang w:val="en-US"/>
        </w:rPr>
      </w:pPr>
    </w:p>
    <w:p w14:paraId="0FC3920A" w14:textId="234B5CF8" w:rsidR="000E3283" w:rsidRPr="008D031E" w:rsidRDefault="000E3283" w:rsidP="001F1E46">
      <w:pPr>
        <w:pStyle w:val="JuPara"/>
        <w:widowControl w:val="0"/>
        <w:ind w:firstLine="142"/>
        <w:rPr>
          <w:rFonts w:ascii="Times New Roman" w:hAnsi="Times New Roman"/>
          <w:noProof/>
        </w:rPr>
      </w:pPr>
      <w:bookmarkStart w:id="117" w:name="Commissioner1"/>
      <w:r>
        <w:rPr>
          <w:rFonts w:ascii="Times New Roman" w:hAnsi="Times New Roman"/>
        </w:rPr>
        <w:t>135</w:t>
      </w:r>
      <w:bookmarkEnd w:id="117"/>
      <w:r>
        <w:rPr>
          <w:rFonts w:ascii="Times New Roman" w:hAnsi="Times New Roman"/>
        </w:rPr>
        <w:t xml:space="preserve">. </w:t>
      </w:r>
      <w:r>
        <w:rPr>
          <w:rFonts w:ascii="Times New Roman" w:hAnsi="Times New Roman"/>
          <w:i/>
          <w:iCs/>
        </w:rPr>
        <w:t>RIPA</w:t>
      </w:r>
      <w:r>
        <w:rPr>
          <w:rFonts w:ascii="Times New Roman" w:hAnsi="Times New Roman"/>
        </w:rPr>
        <w:t xml:space="preserve"> IV daļā bija paredzēts, ka Ministru prezidents ieceļ komisāru sakaru pārtveršanas jautājumos (“</w:t>
      </w:r>
      <w:proofErr w:type="spellStart"/>
      <w:r>
        <w:rPr>
          <w:rFonts w:ascii="Times New Roman" w:hAnsi="Times New Roman"/>
          <w:i/>
          <w:iCs/>
        </w:rPr>
        <w:t>IC</w:t>
      </w:r>
      <w:proofErr w:type="spellEnd"/>
      <w:r>
        <w:rPr>
          <w:rFonts w:ascii="Times New Roman" w:hAnsi="Times New Roman"/>
        </w:rPr>
        <w:t xml:space="preserve"> komisārs”) un izlūkošanas dienestu komisāru, kura uzdevums ir pārraudzīt izlūkdienestu darbības.</w:t>
      </w:r>
    </w:p>
    <w:p w14:paraId="5CC64BEF" w14:textId="68609E75" w:rsidR="000E3283" w:rsidRPr="008D031E" w:rsidRDefault="000E3283" w:rsidP="001F1E46">
      <w:pPr>
        <w:widowControl w:val="0"/>
        <w:ind w:firstLine="142"/>
        <w:jc w:val="both"/>
        <w:rPr>
          <w:rFonts w:ascii="Times New Roman" w:eastAsia="Times New Roman" w:hAnsi="Times New Roman" w:cs="Times New Roman"/>
          <w:noProof/>
        </w:rPr>
      </w:pPr>
      <w:bookmarkStart w:id="118" w:name="IOCCOPowers"/>
      <w:r>
        <w:rPr>
          <w:rStyle w:val="JuParaChar"/>
          <w:rFonts w:ascii="Times New Roman" w:hAnsi="Times New Roman"/>
        </w:rPr>
        <w:t>136</w:t>
      </w:r>
      <w:bookmarkEnd w:id="118"/>
      <w:r>
        <w:rPr>
          <w:rStyle w:val="JuParaChar"/>
          <w:rFonts w:ascii="Times New Roman" w:hAnsi="Times New Roman"/>
        </w:rPr>
        <w:t xml:space="preserve">. </w:t>
      </w:r>
      <w:proofErr w:type="spellStart"/>
      <w:r>
        <w:rPr>
          <w:rFonts w:ascii="Times New Roman" w:hAnsi="Times New Roman"/>
          <w:i/>
          <w:iCs/>
        </w:rPr>
        <w:t>IC</w:t>
      </w:r>
      <w:proofErr w:type="spellEnd"/>
      <w:r>
        <w:rPr>
          <w:rFonts w:ascii="Times New Roman" w:hAnsi="Times New Roman"/>
        </w:rPr>
        <w:t xml:space="preserve"> komisāra uzdevums bija pārskatīt izlūkdienestu, policijas un citu valsts iestāžu veikto sakaru pārtveršanu un sakaru datu iegūšanu un izpaušanu. Pārskatot uzraudzības praksi, </w:t>
      </w:r>
      <w:proofErr w:type="spellStart"/>
      <w:r>
        <w:rPr>
          <w:rFonts w:ascii="Times New Roman" w:hAnsi="Times New Roman"/>
          <w:i/>
          <w:iCs/>
        </w:rPr>
        <w:t>IC</w:t>
      </w:r>
      <w:proofErr w:type="spellEnd"/>
      <w:r>
        <w:rPr>
          <w:rFonts w:ascii="Times New Roman" w:hAnsi="Times New Roman"/>
        </w:rPr>
        <w:t xml:space="preserve"> komisāram un viņa inspektoriem bija piekļuve visiem atbilstošajiem dokumentiem, tostarp konfidenciāliem materiāliem, savukārt visām pārtveršanas darbībās iesaistītajām personām bija pienākums izpaust viņam jebkuru viņam nepieciešamo materiālu. Pārtveršanas aģentūru pienākums uzturēt reģistrus nodrošināja, ka </w:t>
      </w:r>
      <w:proofErr w:type="spellStart"/>
      <w:r>
        <w:rPr>
          <w:rFonts w:ascii="Times New Roman" w:hAnsi="Times New Roman"/>
          <w:i/>
          <w:iCs/>
        </w:rPr>
        <w:t>IC</w:t>
      </w:r>
      <w:proofErr w:type="spellEnd"/>
      <w:r>
        <w:rPr>
          <w:rFonts w:ascii="Times New Roman" w:hAnsi="Times New Roman"/>
        </w:rPr>
        <w:t xml:space="preserve"> komisārs varēja efektīvi piekļūt informācijai par veiktajām uzraudzības darbībām. Pēc katras pārbaudes attiecīgās valsts iestādes vadītājam tika nosūtīts ziņojums, kurā sniegti formāli ieteikumi un kurš uzlika valsts iestādei par pienākumu divu mēnešu laikā sniegt atbildi, lai apstiprinātu, vai un kādā apmērā ieteikumi tikuši īstenoti. Komisārs reizi pusgadā ziņoja Ministru prezidentam par savu funkciju izpildi un sagatavoja gada ziņojumu. Šis ziņojums bija publisks dokuments (ar nosacījumu, ka konfidenciālie pielikumi netiek izpausti), ko iesniedza parlamentam.</w:t>
      </w:r>
    </w:p>
    <w:p w14:paraId="3E5BF743" w14:textId="1AEE7947" w:rsidR="000E3283" w:rsidRPr="008D031E" w:rsidRDefault="000E3283" w:rsidP="001F1E46">
      <w:pPr>
        <w:pStyle w:val="JuPara"/>
        <w:widowControl w:val="0"/>
        <w:ind w:firstLine="142"/>
        <w:rPr>
          <w:rFonts w:ascii="Times New Roman" w:hAnsi="Times New Roman"/>
          <w:noProof/>
        </w:rPr>
      </w:pPr>
      <w:r>
        <w:rPr>
          <w:rFonts w:ascii="Times New Roman" w:hAnsi="Times New Roman"/>
        </w:rPr>
        <w:t>137. Izlūkdienestu komisārs pēc tam nodrošināja neatkarīgu ārēju pārraudzību attiecībā uz izlūkdienestu un Aizsardzības ministrijas struktūru iejaukšanās pilnvaru īstenošanu. Viņš arī iesniedza Ministru prezidentam gada ziņojumus, kas bija iesniegti parlamentam.</w:t>
      </w:r>
    </w:p>
    <w:p w14:paraId="6929A8FE" w14:textId="52ECFB82" w:rsidR="000E3283" w:rsidRDefault="000E3283" w:rsidP="001F1E46">
      <w:pPr>
        <w:pStyle w:val="JuPara"/>
        <w:widowControl w:val="0"/>
        <w:ind w:firstLine="142"/>
        <w:rPr>
          <w:rFonts w:ascii="Times New Roman" w:hAnsi="Times New Roman"/>
          <w:noProof/>
        </w:rPr>
      </w:pPr>
      <w:bookmarkStart w:id="119" w:name="IOCCORepeal"/>
      <w:r>
        <w:rPr>
          <w:rFonts w:ascii="Times New Roman" w:hAnsi="Times New Roman"/>
        </w:rPr>
        <w:t>138</w:t>
      </w:r>
      <w:bookmarkEnd w:id="119"/>
      <w:r>
        <w:rPr>
          <w:rFonts w:ascii="Times New Roman" w:hAnsi="Times New Roman"/>
        </w:rPr>
        <w:t xml:space="preserve">. Ar Izmeklēšanas pilnvaru likumu (skat. turpmāk 183.–190. punktu) šie noteikumi tika atcelti, ciktāl tie attiecās uz Angliju, Skotiju un Velsu, un 2017. gada septembrī izmeklēšanas </w:t>
      </w:r>
      <w:r>
        <w:rPr>
          <w:rFonts w:ascii="Times New Roman" w:hAnsi="Times New Roman"/>
        </w:rPr>
        <w:lastRenderedPageBreak/>
        <w:t>pilnvaru pārraudzības funkciju pārņēma Izmeklēšanas pilnvaru komisāra birojs (turpmāk tekstā – “</w:t>
      </w:r>
      <w:proofErr w:type="spellStart"/>
      <w:r>
        <w:rPr>
          <w:rFonts w:ascii="Times New Roman" w:hAnsi="Times New Roman"/>
          <w:i/>
          <w:iCs/>
        </w:rPr>
        <w:t>IPCO</w:t>
      </w:r>
      <w:proofErr w:type="spellEnd"/>
      <w:r>
        <w:rPr>
          <w:rFonts w:ascii="Times New Roman" w:hAnsi="Times New Roman"/>
        </w:rPr>
        <w:t xml:space="preserve">”). </w:t>
      </w:r>
      <w:proofErr w:type="spellStart"/>
      <w:r>
        <w:rPr>
          <w:rFonts w:ascii="Times New Roman" w:hAnsi="Times New Roman"/>
          <w:i/>
          <w:iCs/>
        </w:rPr>
        <w:t>IPCO</w:t>
      </w:r>
      <w:proofErr w:type="spellEnd"/>
      <w:r>
        <w:rPr>
          <w:rFonts w:ascii="Times New Roman" w:hAnsi="Times New Roman"/>
        </w:rPr>
        <w:t xml:space="preserve"> veido aptuveni piecpadsmit tiesas komisāri no pašreizējo un nesen atvaļināto Augstās tiesas, Apelācijas tiesas un Augstākās tiesas tiesnešu vidus, Tehnisko padomdevēju grupa, kuras sastāvā ir zinātniski eksperti, un gandrīz piecdesmit amatpersonas, tostarp inspektori, advokāti un sakaru eksperti.</w:t>
      </w:r>
    </w:p>
    <w:p w14:paraId="76F3A565" w14:textId="77777777" w:rsidR="00320152" w:rsidRPr="008D031E" w:rsidRDefault="00320152" w:rsidP="001F1E46">
      <w:pPr>
        <w:pStyle w:val="JuPara"/>
        <w:widowControl w:val="0"/>
        <w:ind w:firstLine="142"/>
        <w:rPr>
          <w:rFonts w:ascii="Times New Roman" w:hAnsi="Times New Roman"/>
          <w:noProof/>
          <w:lang w:val="en-US"/>
        </w:rPr>
      </w:pPr>
    </w:p>
    <w:p w14:paraId="7E450870" w14:textId="71F9058B" w:rsidR="000E3283" w:rsidRDefault="00320152" w:rsidP="001F1E46">
      <w:pPr>
        <w:pStyle w:val="JuHA"/>
        <w:keepNext w:val="0"/>
        <w:keepLines w:val="0"/>
        <w:widowControl w:val="0"/>
        <w:numPr>
          <w:ilvl w:val="0"/>
          <w:numId w:val="0"/>
        </w:numPr>
        <w:spacing w:before="0" w:beforeAutospacing="0" w:after="0"/>
        <w:outlineLvl w:val="9"/>
        <w:rPr>
          <w:rFonts w:ascii="Times New Roman" w:hAnsi="Times New Roman"/>
          <w:noProof/>
        </w:rPr>
      </w:pPr>
      <w:bookmarkStart w:id="120" w:name="_Toc516820751"/>
      <w:r>
        <w:rPr>
          <w:rFonts w:ascii="Times New Roman" w:hAnsi="Times New Roman"/>
        </w:rPr>
        <w:t>F. Izlūkdienestu pārtveršanas darbību pārskatīšana</w:t>
      </w:r>
      <w:bookmarkEnd w:id="120"/>
    </w:p>
    <w:p w14:paraId="56FCE0CA" w14:textId="77777777" w:rsidR="00320152" w:rsidRPr="00320152" w:rsidRDefault="00320152" w:rsidP="001F1E46">
      <w:pPr>
        <w:pStyle w:val="JuPara"/>
        <w:widowControl w:val="0"/>
        <w:rPr>
          <w:lang w:val="en-US"/>
        </w:rPr>
      </w:pPr>
    </w:p>
    <w:p w14:paraId="3961ADAB" w14:textId="0CED3025" w:rsidR="000E3283" w:rsidRDefault="00320152" w:rsidP="001F1E46">
      <w:pPr>
        <w:pStyle w:val="JuH1"/>
        <w:keepNext w:val="0"/>
        <w:keepLines w:val="0"/>
        <w:widowControl w:val="0"/>
        <w:numPr>
          <w:ilvl w:val="0"/>
          <w:numId w:val="0"/>
        </w:numPr>
        <w:spacing w:before="0" w:beforeAutospacing="0" w:after="0"/>
        <w:outlineLvl w:val="9"/>
        <w:rPr>
          <w:rFonts w:ascii="Times New Roman" w:hAnsi="Times New Roman"/>
          <w:noProof/>
        </w:rPr>
      </w:pPr>
      <w:bookmarkStart w:id="121" w:name="_Toc516820752"/>
      <w:r>
        <w:rPr>
          <w:rFonts w:ascii="Times New Roman" w:hAnsi="Times New Roman"/>
        </w:rPr>
        <w:t>1. Parlamenta Izlūkošanas un drošības komiteja (turpmāk tekstā – “</w:t>
      </w:r>
      <w:proofErr w:type="spellStart"/>
      <w:r>
        <w:rPr>
          <w:rFonts w:ascii="Times New Roman" w:hAnsi="Times New Roman"/>
        </w:rPr>
        <w:t>ISC</w:t>
      </w:r>
      <w:proofErr w:type="spellEnd"/>
      <w:r>
        <w:rPr>
          <w:rFonts w:ascii="Times New Roman" w:hAnsi="Times New Roman"/>
        </w:rPr>
        <w:t xml:space="preserve">”), 2013. gada jūlija paziņojums par </w:t>
      </w:r>
      <w:proofErr w:type="spellStart"/>
      <w:r>
        <w:rPr>
          <w:rFonts w:ascii="Times New Roman" w:hAnsi="Times New Roman"/>
        </w:rPr>
        <w:t>GCHQ</w:t>
      </w:r>
      <w:proofErr w:type="spellEnd"/>
      <w:r>
        <w:rPr>
          <w:rFonts w:ascii="Times New Roman" w:hAnsi="Times New Roman"/>
        </w:rPr>
        <w:t xml:space="preserve"> veikto iespējamo sakaru pārtveršanu, izmantojot ASV programmu “</w:t>
      </w:r>
      <w:proofErr w:type="spellStart"/>
      <w:r>
        <w:rPr>
          <w:rFonts w:ascii="Times New Roman" w:hAnsi="Times New Roman"/>
        </w:rPr>
        <w:t>PRISM</w:t>
      </w:r>
      <w:proofErr w:type="spellEnd"/>
      <w:r>
        <w:rPr>
          <w:rFonts w:ascii="Times New Roman" w:hAnsi="Times New Roman"/>
        </w:rPr>
        <w:t>” [</w:t>
      </w:r>
      <w:proofErr w:type="spellStart"/>
      <w:r>
        <w:rPr>
          <w:rFonts w:ascii="Times New Roman" w:hAnsi="Times New Roman"/>
        </w:rPr>
        <w:t>July</w:t>
      </w:r>
      <w:proofErr w:type="spellEnd"/>
      <w:r>
        <w:rPr>
          <w:rFonts w:ascii="Times New Roman" w:hAnsi="Times New Roman"/>
        </w:rPr>
        <w:t xml:space="preserve"> 2013 </w:t>
      </w:r>
      <w:proofErr w:type="spellStart"/>
      <w:r>
        <w:rPr>
          <w:rFonts w:ascii="Times New Roman" w:hAnsi="Times New Roman"/>
        </w:rPr>
        <w:t>Statement</w:t>
      </w:r>
      <w:proofErr w:type="spellEnd"/>
      <w:r>
        <w:rPr>
          <w:rFonts w:ascii="Times New Roman" w:hAnsi="Times New Roman"/>
        </w:rPr>
        <w:t xml:space="preserve"> </w:t>
      </w:r>
      <w:proofErr w:type="spellStart"/>
      <w:r>
        <w:rPr>
          <w:rFonts w:ascii="Times New Roman" w:hAnsi="Times New Roman"/>
        </w:rPr>
        <w:t>on</w:t>
      </w:r>
      <w:proofErr w:type="spellEnd"/>
      <w:r>
        <w:rPr>
          <w:rFonts w:ascii="Times New Roman" w:hAnsi="Times New Roman"/>
        </w:rPr>
        <w:t xml:space="preserve"> </w:t>
      </w:r>
      <w:proofErr w:type="spellStart"/>
      <w:r>
        <w:rPr>
          <w:rFonts w:ascii="Times New Roman" w:hAnsi="Times New Roman"/>
        </w:rPr>
        <w:t>GCHQ’s</w:t>
      </w:r>
      <w:proofErr w:type="spellEnd"/>
      <w:r>
        <w:rPr>
          <w:rFonts w:ascii="Times New Roman" w:hAnsi="Times New Roman"/>
        </w:rPr>
        <w:t xml:space="preserve"> </w:t>
      </w:r>
      <w:proofErr w:type="spellStart"/>
      <w:r>
        <w:rPr>
          <w:rFonts w:ascii="Times New Roman" w:hAnsi="Times New Roman"/>
        </w:rPr>
        <w:t>alleged</w:t>
      </w:r>
      <w:proofErr w:type="spellEnd"/>
      <w:r>
        <w:rPr>
          <w:rFonts w:ascii="Times New Roman" w:hAnsi="Times New Roman"/>
        </w:rPr>
        <w:t xml:space="preserve"> </w:t>
      </w:r>
      <w:proofErr w:type="spellStart"/>
      <w:r>
        <w:rPr>
          <w:rFonts w:ascii="Times New Roman" w:hAnsi="Times New Roman"/>
        </w:rPr>
        <w:t>interception</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communications</w:t>
      </w:r>
      <w:proofErr w:type="spellEnd"/>
      <w:r>
        <w:rPr>
          <w:rFonts w:ascii="Times New Roman" w:hAnsi="Times New Roman"/>
        </w:rPr>
        <w:t xml:space="preserve"> </w:t>
      </w:r>
      <w:proofErr w:type="spellStart"/>
      <w:r>
        <w:rPr>
          <w:rFonts w:ascii="Times New Roman" w:hAnsi="Times New Roman"/>
        </w:rPr>
        <w:t>under</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US</w:t>
      </w:r>
      <w:proofErr w:type="spellEnd"/>
      <w:r>
        <w:rPr>
          <w:rFonts w:ascii="Times New Roman" w:hAnsi="Times New Roman"/>
        </w:rPr>
        <w:t xml:space="preserve"> </w:t>
      </w:r>
      <w:proofErr w:type="spellStart"/>
      <w:r>
        <w:rPr>
          <w:rFonts w:ascii="Times New Roman" w:hAnsi="Times New Roman"/>
        </w:rPr>
        <w:t>PRISM</w:t>
      </w:r>
      <w:proofErr w:type="spellEnd"/>
      <w:r>
        <w:rPr>
          <w:rFonts w:ascii="Times New Roman" w:hAnsi="Times New Roman"/>
        </w:rPr>
        <w:t xml:space="preserve"> </w:t>
      </w:r>
      <w:proofErr w:type="spellStart"/>
      <w:r>
        <w:rPr>
          <w:rFonts w:ascii="Times New Roman" w:hAnsi="Times New Roman"/>
        </w:rPr>
        <w:t>programme</w:t>
      </w:r>
      <w:proofErr w:type="spellEnd"/>
      <w:r>
        <w:rPr>
          <w:rFonts w:ascii="Times New Roman" w:hAnsi="Times New Roman"/>
        </w:rPr>
        <w:t>]</w:t>
      </w:r>
      <w:bookmarkEnd w:id="121"/>
    </w:p>
    <w:p w14:paraId="3AF1050D" w14:textId="77777777" w:rsidR="00320152" w:rsidRPr="00320152" w:rsidRDefault="00320152" w:rsidP="001F1E46">
      <w:pPr>
        <w:pStyle w:val="JuPara"/>
        <w:widowControl w:val="0"/>
        <w:rPr>
          <w:lang w:val="en-US"/>
        </w:rPr>
      </w:pPr>
    </w:p>
    <w:p w14:paraId="7350520F" w14:textId="2F58CA67" w:rsidR="000E3283" w:rsidRPr="008D031E" w:rsidRDefault="000E3283" w:rsidP="001F1E46">
      <w:pPr>
        <w:pStyle w:val="JuPara"/>
        <w:widowControl w:val="0"/>
        <w:ind w:firstLine="142"/>
        <w:rPr>
          <w:rFonts w:ascii="Times New Roman" w:hAnsi="Times New Roman"/>
          <w:noProof/>
        </w:rPr>
      </w:pPr>
      <w:bookmarkStart w:id="122" w:name="ISCStart"/>
      <w:r>
        <w:rPr>
          <w:rFonts w:ascii="Times New Roman" w:hAnsi="Times New Roman"/>
        </w:rPr>
        <w:t>139</w:t>
      </w:r>
      <w:bookmarkEnd w:id="122"/>
      <w:r>
        <w:rPr>
          <w:rFonts w:ascii="Times New Roman" w:hAnsi="Times New Roman"/>
        </w:rPr>
        <w:t xml:space="preserve">. </w:t>
      </w:r>
      <w:proofErr w:type="spellStart"/>
      <w:r>
        <w:rPr>
          <w:rFonts w:ascii="Times New Roman" w:hAnsi="Times New Roman"/>
          <w:i/>
          <w:iCs/>
        </w:rPr>
        <w:t>ISC</w:t>
      </w:r>
      <w:proofErr w:type="spellEnd"/>
      <w:r>
        <w:rPr>
          <w:rFonts w:ascii="Times New Roman" w:hAnsi="Times New Roman"/>
        </w:rPr>
        <w:t xml:space="preserve"> sākotnēji izveidoja saskaņā ar </w:t>
      </w:r>
      <w:proofErr w:type="spellStart"/>
      <w:r>
        <w:rPr>
          <w:rFonts w:ascii="Times New Roman" w:hAnsi="Times New Roman"/>
          <w:i/>
          <w:iCs/>
        </w:rPr>
        <w:t>ISA</w:t>
      </w:r>
      <w:proofErr w:type="spellEnd"/>
      <w:r>
        <w:rPr>
          <w:rFonts w:ascii="Times New Roman" w:hAnsi="Times New Roman"/>
        </w:rPr>
        <w:t xml:space="preserve">, lai pārbaudītu </w:t>
      </w:r>
      <w:proofErr w:type="spellStart"/>
      <w:r>
        <w:rPr>
          <w:rFonts w:ascii="Times New Roman" w:hAnsi="Times New Roman"/>
          <w:i/>
          <w:iCs/>
        </w:rPr>
        <w:t>MI5</w:t>
      </w:r>
      <w:proofErr w:type="spellEnd"/>
      <w:r>
        <w:rPr>
          <w:rFonts w:ascii="Times New Roman" w:hAnsi="Times New Roman"/>
        </w:rPr>
        <w:t xml:space="preserve">, </w:t>
      </w:r>
      <w:proofErr w:type="spellStart"/>
      <w:r>
        <w:rPr>
          <w:rFonts w:ascii="Times New Roman" w:hAnsi="Times New Roman"/>
          <w:i/>
          <w:iCs/>
        </w:rPr>
        <w:t>MI6</w:t>
      </w:r>
      <w:proofErr w:type="spellEnd"/>
      <w:r>
        <w:rPr>
          <w:rFonts w:ascii="Times New Roman" w:hAnsi="Times New Roman"/>
        </w:rPr>
        <w:t xml:space="preserve"> un </w:t>
      </w:r>
      <w:proofErr w:type="spellStart"/>
      <w:r>
        <w:rPr>
          <w:rFonts w:ascii="Times New Roman" w:hAnsi="Times New Roman"/>
          <w:i/>
          <w:iCs/>
        </w:rPr>
        <w:t>GCHQ</w:t>
      </w:r>
      <w:proofErr w:type="spellEnd"/>
      <w:r>
        <w:rPr>
          <w:rFonts w:ascii="Times New Roman" w:hAnsi="Times New Roman"/>
        </w:rPr>
        <w:t xml:space="preserve"> politiku, pārvaldi un izdevumus. Tomēr kopš 2013. gada Likuma par tiesiskumu un drošību [</w:t>
      </w:r>
      <w:proofErr w:type="spellStart"/>
      <w:r>
        <w:rPr>
          <w:rFonts w:ascii="Times New Roman" w:hAnsi="Times New Roman"/>
          <w:i/>
          <w:iCs/>
        </w:rPr>
        <w:t>Justice</w:t>
      </w:r>
      <w:proofErr w:type="spellEnd"/>
      <w:r>
        <w:rPr>
          <w:rFonts w:ascii="Times New Roman" w:hAnsi="Times New Roman"/>
          <w:i/>
          <w:iCs/>
        </w:rPr>
        <w:t xml:space="preserve"> </w:t>
      </w:r>
      <w:proofErr w:type="spellStart"/>
      <w:r>
        <w:rPr>
          <w:rFonts w:ascii="Times New Roman" w:hAnsi="Times New Roman"/>
          <w:i/>
          <w:iCs/>
        </w:rPr>
        <w:t>and</w:t>
      </w:r>
      <w:proofErr w:type="spellEnd"/>
      <w:r>
        <w:rPr>
          <w:rFonts w:ascii="Times New Roman" w:hAnsi="Times New Roman"/>
          <w:i/>
          <w:iCs/>
        </w:rPr>
        <w:t xml:space="preserve"> </w:t>
      </w:r>
      <w:proofErr w:type="spellStart"/>
      <w:r>
        <w:rPr>
          <w:rFonts w:ascii="Times New Roman" w:hAnsi="Times New Roman"/>
          <w:i/>
          <w:iCs/>
        </w:rPr>
        <w:t>Security</w:t>
      </w:r>
      <w:proofErr w:type="spellEnd"/>
      <w:r>
        <w:rPr>
          <w:rFonts w:ascii="Times New Roman" w:hAnsi="Times New Roman"/>
          <w:i/>
          <w:iCs/>
        </w:rPr>
        <w:t xml:space="preserve"> </w:t>
      </w:r>
      <w:proofErr w:type="spellStart"/>
      <w:r>
        <w:rPr>
          <w:rFonts w:ascii="Times New Roman" w:hAnsi="Times New Roman"/>
          <w:i/>
          <w:iCs/>
        </w:rPr>
        <w:t>Act</w:t>
      </w:r>
      <w:proofErr w:type="spellEnd"/>
      <w:r>
        <w:rPr>
          <w:rFonts w:ascii="Times New Roman" w:hAnsi="Times New Roman"/>
          <w:i/>
          <w:iCs/>
        </w:rPr>
        <w:t xml:space="preserve"> 2013</w:t>
      </w:r>
      <w:r>
        <w:rPr>
          <w:rFonts w:ascii="Times New Roman" w:hAnsi="Times New Roman"/>
        </w:rPr>
        <w:t xml:space="preserve">] ieviešanas </w:t>
      </w:r>
      <w:proofErr w:type="spellStart"/>
      <w:r>
        <w:rPr>
          <w:rFonts w:ascii="Times New Roman" w:hAnsi="Times New Roman"/>
          <w:i/>
          <w:iCs/>
        </w:rPr>
        <w:t>ISC</w:t>
      </w:r>
      <w:proofErr w:type="spellEnd"/>
      <w:r>
        <w:rPr>
          <w:rFonts w:ascii="Times New Roman" w:hAnsi="Times New Roman"/>
        </w:rPr>
        <w:t xml:space="preserve"> tika nepārprotami piešķirts Parlamenta komitejas statuss, tai tika piešķirtas lielākas pilnvaras un tās kompetence tika izvērsta, iekļaujot tajā operatīvās darbības pārraudzību un plašākas Valdības izlūkošanas un drošības darbības. Saskaņā ar 2013. gada Likuma par tiesiskumu un drošību 1.–4. pantu tās sastāvā bija deviņi locekļi no abām Parlamenta palātām un šiem locekļiem, pildot savas funkcijas, tika nodrošināta piekļuve konfidenciālam materiālam.</w:t>
      </w:r>
    </w:p>
    <w:p w14:paraId="6B68FA97" w14:textId="6EA9D06A" w:rsidR="000E3283" w:rsidRPr="008D031E" w:rsidRDefault="000E3283" w:rsidP="001F1E46">
      <w:pPr>
        <w:pStyle w:val="JuPara"/>
        <w:widowControl w:val="0"/>
        <w:ind w:firstLine="142"/>
        <w:rPr>
          <w:rFonts w:ascii="Times New Roman" w:hAnsi="Times New Roman"/>
          <w:noProof/>
        </w:rPr>
      </w:pPr>
      <w:r>
        <w:rPr>
          <w:rFonts w:ascii="Times New Roman" w:hAnsi="Times New Roman"/>
        </w:rPr>
        <w:t xml:space="preserve">140. Pēc tam, kad Edvards </w:t>
      </w:r>
      <w:proofErr w:type="spellStart"/>
      <w:r>
        <w:rPr>
          <w:rFonts w:ascii="Times New Roman" w:hAnsi="Times New Roman"/>
        </w:rPr>
        <w:t>Snoudens</w:t>
      </w:r>
      <w:proofErr w:type="spellEnd"/>
      <w:r>
        <w:rPr>
          <w:rFonts w:ascii="Times New Roman" w:hAnsi="Times New Roman"/>
        </w:rPr>
        <w:t xml:space="preserve"> bija atklājis informāciju, </w:t>
      </w:r>
      <w:proofErr w:type="spellStart"/>
      <w:r>
        <w:rPr>
          <w:rFonts w:ascii="Times New Roman" w:hAnsi="Times New Roman"/>
          <w:i/>
          <w:iCs/>
        </w:rPr>
        <w:t>ISC</w:t>
      </w:r>
      <w:proofErr w:type="spellEnd"/>
      <w:r>
        <w:rPr>
          <w:rFonts w:ascii="Times New Roman" w:hAnsi="Times New Roman"/>
        </w:rPr>
        <w:t xml:space="preserve"> izmeklēja </w:t>
      </w:r>
      <w:proofErr w:type="spellStart"/>
      <w:r>
        <w:rPr>
          <w:rFonts w:ascii="Times New Roman" w:hAnsi="Times New Roman"/>
          <w:i/>
          <w:iCs/>
        </w:rPr>
        <w:t>GCHQ</w:t>
      </w:r>
      <w:proofErr w:type="spellEnd"/>
      <w:r>
        <w:rPr>
          <w:rFonts w:ascii="Times New Roman" w:hAnsi="Times New Roman"/>
        </w:rPr>
        <w:t xml:space="preserve"> piekļuvi to sakaru saturam, kas bija pārtverti, izmantojot Amerikas Savienoto Valstu programmu “</w:t>
      </w:r>
      <w:proofErr w:type="spellStart"/>
      <w:r>
        <w:rPr>
          <w:rFonts w:ascii="Times New Roman" w:hAnsi="Times New Roman"/>
        </w:rPr>
        <w:t>PRISM</w:t>
      </w:r>
      <w:proofErr w:type="spellEnd"/>
      <w:r>
        <w:rPr>
          <w:rFonts w:ascii="Times New Roman" w:hAnsi="Times New Roman"/>
        </w:rPr>
        <w:t xml:space="preserve">”, kā arī pārbaudīja tiesisko regulējumu, kas reglamentē šādu piekļuvi, un pasākumus, ko </w:t>
      </w:r>
      <w:proofErr w:type="spellStart"/>
      <w:r>
        <w:rPr>
          <w:rFonts w:ascii="Times New Roman" w:hAnsi="Times New Roman"/>
          <w:i/>
          <w:iCs/>
        </w:rPr>
        <w:t>GCHQ</w:t>
      </w:r>
      <w:proofErr w:type="spellEnd"/>
      <w:r>
        <w:rPr>
          <w:rFonts w:ascii="Times New Roman" w:hAnsi="Times New Roman"/>
        </w:rPr>
        <w:t xml:space="preserve"> īstenoja ar savu ārvalstu kolēģi saistībā ar informācijas apmaiņu. Izmeklēšanas gaitā </w:t>
      </w:r>
      <w:proofErr w:type="spellStart"/>
      <w:r>
        <w:rPr>
          <w:rFonts w:ascii="Times New Roman" w:hAnsi="Times New Roman"/>
          <w:i/>
          <w:iCs/>
        </w:rPr>
        <w:t>ISC</w:t>
      </w:r>
      <w:proofErr w:type="spellEnd"/>
      <w:r>
        <w:rPr>
          <w:rFonts w:ascii="Times New Roman" w:hAnsi="Times New Roman"/>
        </w:rPr>
        <w:t xml:space="preserve"> saņēma no </w:t>
      </w:r>
      <w:proofErr w:type="spellStart"/>
      <w:r>
        <w:rPr>
          <w:rFonts w:ascii="Times New Roman" w:hAnsi="Times New Roman"/>
          <w:i/>
          <w:iCs/>
        </w:rPr>
        <w:t>GCHQ</w:t>
      </w:r>
      <w:proofErr w:type="spellEnd"/>
      <w:r>
        <w:rPr>
          <w:rFonts w:ascii="Times New Roman" w:hAnsi="Times New Roman"/>
        </w:rPr>
        <w:t xml:space="preserve"> detalizētus pierādījumus un apsprieda programmu ar </w:t>
      </w:r>
      <w:proofErr w:type="spellStart"/>
      <w:r>
        <w:rPr>
          <w:rFonts w:ascii="Times New Roman" w:hAnsi="Times New Roman"/>
          <w:i/>
          <w:iCs/>
        </w:rPr>
        <w:t>NSA</w:t>
      </w:r>
      <w:proofErr w:type="spellEnd"/>
      <w:r>
        <w:rPr>
          <w:rFonts w:ascii="Times New Roman" w:hAnsi="Times New Roman"/>
        </w:rPr>
        <w:t>.</w:t>
      </w:r>
    </w:p>
    <w:p w14:paraId="3562577C" w14:textId="7F3DC068" w:rsidR="000E3283" w:rsidRDefault="000E3283" w:rsidP="001F1E46">
      <w:pPr>
        <w:pStyle w:val="JuPara"/>
        <w:widowControl w:val="0"/>
        <w:ind w:firstLine="142"/>
        <w:rPr>
          <w:rFonts w:ascii="Times New Roman" w:hAnsi="Times New Roman"/>
          <w:noProof/>
        </w:rPr>
      </w:pPr>
      <w:bookmarkStart w:id="123" w:name="iscstatend"/>
      <w:r>
        <w:rPr>
          <w:rFonts w:ascii="Times New Roman" w:hAnsi="Times New Roman"/>
        </w:rPr>
        <w:t>141</w:t>
      </w:r>
      <w:bookmarkEnd w:id="123"/>
      <w:r>
        <w:rPr>
          <w:rFonts w:ascii="Times New Roman" w:hAnsi="Times New Roman"/>
        </w:rPr>
        <w:t xml:space="preserve">. </w:t>
      </w:r>
      <w:proofErr w:type="spellStart"/>
      <w:r>
        <w:rPr>
          <w:rFonts w:ascii="Times New Roman" w:hAnsi="Times New Roman"/>
          <w:i/>
          <w:iCs/>
        </w:rPr>
        <w:t>ISC</w:t>
      </w:r>
      <w:proofErr w:type="spellEnd"/>
      <w:r>
        <w:rPr>
          <w:rFonts w:ascii="Times New Roman" w:hAnsi="Times New Roman"/>
        </w:rPr>
        <w:t xml:space="preserve"> secināja, ka apgalvojumi par to, ka </w:t>
      </w:r>
      <w:proofErr w:type="spellStart"/>
      <w:r>
        <w:rPr>
          <w:rFonts w:ascii="Times New Roman" w:hAnsi="Times New Roman"/>
          <w:i/>
          <w:iCs/>
        </w:rPr>
        <w:t>GCHQ</w:t>
      </w:r>
      <w:proofErr w:type="spellEnd"/>
      <w:r>
        <w:rPr>
          <w:rFonts w:ascii="Times New Roman" w:hAnsi="Times New Roman"/>
        </w:rPr>
        <w:t xml:space="preserve"> bija pārkāpusi Apvienotās Karalistes tiesību aktus, izmantojot programmu “</w:t>
      </w:r>
      <w:proofErr w:type="spellStart"/>
      <w:r>
        <w:rPr>
          <w:rFonts w:ascii="Times New Roman" w:hAnsi="Times New Roman"/>
        </w:rPr>
        <w:t>PRISM</w:t>
      </w:r>
      <w:proofErr w:type="spellEnd"/>
      <w:r>
        <w:rPr>
          <w:rFonts w:ascii="Times New Roman" w:hAnsi="Times New Roman"/>
        </w:rPr>
        <w:t>”, lai piekļūtu privātu sakaru saturam, bija nepamatoti, jo</w:t>
      </w:r>
      <w:r>
        <w:rPr>
          <w:rFonts w:ascii="Times New Roman" w:hAnsi="Times New Roman"/>
          <w:i/>
          <w:iCs/>
        </w:rPr>
        <w:t xml:space="preserve"> </w:t>
      </w:r>
      <w:proofErr w:type="spellStart"/>
      <w:r>
        <w:rPr>
          <w:rFonts w:ascii="Times New Roman" w:hAnsi="Times New Roman"/>
          <w:i/>
          <w:iCs/>
        </w:rPr>
        <w:t>GCHQ</w:t>
      </w:r>
      <w:proofErr w:type="spellEnd"/>
      <w:r>
        <w:rPr>
          <w:rFonts w:ascii="Times New Roman" w:hAnsi="Times New Roman"/>
        </w:rPr>
        <w:t xml:space="preserve"> bija izpildījusi tās likumā noteiktos pienākumus, kas paredzēti </w:t>
      </w:r>
      <w:proofErr w:type="spellStart"/>
      <w:r>
        <w:rPr>
          <w:rFonts w:ascii="Times New Roman" w:hAnsi="Times New Roman"/>
          <w:i/>
          <w:iCs/>
        </w:rPr>
        <w:t>ISA</w:t>
      </w:r>
      <w:proofErr w:type="spellEnd"/>
      <w:r>
        <w:rPr>
          <w:rFonts w:ascii="Times New Roman" w:hAnsi="Times New Roman"/>
        </w:rPr>
        <w:t xml:space="preserve">. Tā arī konstatēja, ka ik reizi, kad </w:t>
      </w:r>
      <w:proofErr w:type="spellStart"/>
      <w:r>
        <w:rPr>
          <w:rFonts w:ascii="Times New Roman" w:hAnsi="Times New Roman"/>
          <w:i/>
          <w:iCs/>
        </w:rPr>
        <w:t>GCHQ</w:t>
      </w:r>
      <w:proofErr w:type="spellEnd"/>
      <w:r>
        <w:rPr>
          <w:rFonts w:ascii="Times New Roman" w:hAnsi="Times New Roman"/>
        </w:rPr>
        <w:t xml:space="preserve"> pieprasīja informāciju no Amerikas Savienotajām Valstīm, jau bijis izdots Valdības ministra parakstīts pārtveršanas orderis.</w:t>
      </w:r>
    </w:p>
    <w:p w14:paraId="32BD8BCA" w14:textId="77777777" w:rsidR="00320152" w:rsidRPr="008D031E" w:rsidRDefault="00320152" w:rsidP="001F1E46">
      <w:pPr>
        <w:pStyle w:val="JuPara"/>
        <w:widowControl w:val="0"/>
        <w:ind w:firstLine="142"/>
        <w:rPr>
          <w:rFonts w:ascii="Times New Roman" w:hAnsi="Times New Roman"/>
          <w:noProof/>
          <w:lang w:val="en-US"/>
        </w:rPr>
      </w:pPr>
    </w:p>
    <w:p w14:paraId="18C307CA" w14:textId="0FFED06B" w:rsidR="000E3283" w:rsidRDefault="00320152" w:rsidP="001F1E46">
      <w:pPr>
        <w:pStyle w:val="JuH1"/>
        <w:keepNext w:val="0"/>
        <w:keepLines w:val="0"/>
        <w:widowControl w:val="0"/>
        <w:numPr>
          <w:ilvl w:val="0"/>
          <w:numId w:val="0"/>
        </w:numPr>
        <w:spacing w:before="0" w:beforeAutospacing="0" w:after="0"/>
        <w:outlineLvl w:val="9"/>
        <w:rPr>
          <w:rFonts w:ascii="Times New Roman" w:hAnsi="Times New Roman"/>
          <w:noProof/>
        </w:rPr>
      </w:pPr>
      <w:bookmarkStart w:id="124" w:name="_Toc516820753"/>
      <w:r>
        <w:rPr>
          <w:rFonts w:ascii="Times New Roman" w:hAnsi="Times New Roman"/>
        </w:rPr>
        <w:t>2. Privātums un drošība – moderns un pārskatāms tiesiskais regulējums</w:t>
      </w:r>
      <w:bookmarkEnd w:id="124"/>
    </w:p>
    <w:p w14:paraId="6C4D90FF" w14:textId="77777777" w:rsidR="00320152" w:rsidRPr="00320152" w:rsidRDefault="00320152" w:rsidP="001F1E46">
      <w:pPr>
        <w:pStyle w:val="JuPara"/>
        <w:widowControl w:val="0"/>
        <w:rPr>
          <w:lang w:val="en-US"/>
        </w:rPr>
      </w:pPr>
    </w:p>
    <w:p w14:paraId="0D0E9EC3" w14:textId="4EDEAF0C" w:rsidR="000E3283" w:rsidRPr="008D031E" w:rsidRDefault="000E3283" w:rsidP="001F1E46">
      <w:pPr>
        <w:pStyle w:val="JuPara"/>
        <w:widowControl w:val="0"/>
        <w:ind w:firstLine="142"/>
        <w:rPr>
          <w:rFonts w:ascii="Times New Roman" w:hAnsi="Times New Roman"/>
          <w:noProof/>
        </w:rPr>
      </w:pPr>
      <w:bookmarkStart w:id="125" w:name="PandSStart"/>
      <w:bookmarkStart w:id="126" w:name="ISC2015st"/>
      <w:r>
        <w:rPr>
          <w:rFonts w:ascii="Times New Roman" w:hAnsi="Times New Roman"/>
        </w:rPr>
        <w:t>142</w:t>
      </w:r>
      <w:bookmarkEnd w:id="125"/>
      <w:bookmarkEnd w:id="126"/>
      <w:r>
        <w:rPr>
          <w:rFonts w:ascii="Times New Roman" w:hAnsi="Times New Roman"/>
        </w:rPr>
        <w:t xml:space="preserve">. Balstoties uz 2013. gada jūlija paziņojumu, </w:t>
      </w:r>
      <w:proofErr w:type="spellStart"/>
      <w:r>
        <w:rPr>
          <w:rFonts w:ascii="Times New Roman" w:hAnsi="Times New Roman"/>
          <w:i/>
          <w:iCs/>
        </w:rPr>
        <w:t>ISC</w:t>
      </w:r>
      <w:proofErr w:type="spellEnd"/>
      <w:r>
        <w:rPr>
          <w:rFonts w:ascii="Times New Roman" w:hAnsi="Times New Roman"/>
        </w:rPr>
        <w:t xml:space="preserve"> veica padziļinātu izlūkdienestu spēju izmeklēšanu. Tās ziņojums, kurā bija iekļauts nepieredzēti daudz informācijas par izlūkdienestu iejaukšanās pilnvarām, tika publicēts 2015. gada 12. martā.</w:t>
      </w:r>
    </w:p>
    <w:p w14:paraId="04ED522B" w14:textId="2D7BA2B8" w:rsidR="000E3283" w:rsidRPr="008D031E" w:rsidRDefault="000E3283" w:rsidP="001F1E46">
      <w:pPr>
        <w:pStyle w:val="JuPara"/>
        <w:widowControl w:val="0"/>
        <w:ind w:firstLine="142"/>
        <w:rPr>
          <w:rFonts w:ascii="Times New Roman" w:hAnsi="Times New Roman"/>
          <w:noProof/>
        </w:rPr>
      </w:pPr>
      <w:bookmarkStart w:id="127" w:name="ISCPiecemeal"/>
      <w:r>
        <w:rPr>
          <w:rFonts w:ascii="Times New Roman" w:hAnsi="Times New Roman"/>
        </w:rPr>
        <w:t>143</w:t>
      </w:r>
      <w:bookmarkEnd w:id="127"/>
      <w:r>
        <w:rPr>
          <w:rFonts w:ascii="Times New Roman" w:hAnsi="Times New Roman"/>
        </w:rPr>
        <w:t xml:space="preserve">. </w:t>
      </w:r>
      <w:proofErr w:type="spellStart"/>
      <w:r>
        <w:rPr>
          <w:rFonts w:ascii="Times New Roman" w:hAnsi="Times New Roman"/>
          <w:i/>
          <w:iCs/>
        </w:rPr>
        <w:t>ISC</w:t>
      </w:r>
      <w:proofErr w:type="spellEnd"/>
      <w:r>
        <w:rPr>
          <w:rFonts w:ascii="Times New Roman" w:hAnsi="Times New Roman"/>
        </w:rPr>
        <w:t xml:space="preserve"> guva pārliecību, ka Apvienotās Karalistes izlūkdienestu un drošības dienestu mērķis nebija apiet likumu, tostarp 1998. gada Cilvēktiesību likumā noteiktās prasības, kuras reglamentēja visas to darbības. Tomēr tā uzskatīja, ka, tā kā tiesiskais regulējums izstrādāts fragmentāri, tas bija pārlieku sarežģīts. Tādēļ </w:t>
      </w:r>
      <w:proofErr w:type="spellStart"/>
      <w:r>
        <w:rPr>
          <w:rFonts w:ascii="Times New Roman" w:hAnsi="Times New Roman"/>
          <w:i/>
          <w:iCs/>
        </w:rPr>
        <w:t>ISC</w:t>
      </w:r>
      <w:proofErr w:type="spellEnd"/>
      <w:r>
        <w:rPr>
          <w:rFonts w:ascii="Times New Roman" w:hAnsi="Times New Roman"/>
        </w:rPr>
        <w:t xml:space="preserve"> bija nopietnas bažas par pārskatāmības trūkumu, kas nebija sabiedrības interesēs. Līdz ar to tās galvenais ieteikums bija aizstāt esošo tiesisko regulējumu ar jaunu parlamenta likumu, kurā skaidri izklāstītas izlūkdienestiem pieejamās iejaukšanās pilnvaras, nolūki, kādiem varētu tās īstenot, un atļauja, kas nepieciešama šādu pilnvaru īstenošanai.</w:t>
      </w:r>
    </w:p>
    <w:p w14:paraId="1F75FF5C" w14:textId="2029AC16" w:rsidR="000E3283" w:rsidRPr="008D031E" w:rsidRDefault="000E3283" w:rsidP="001F1E46">
      <w:pPr>
        <w:pStyle w:val="JuPara"/>
        <w:widowControl w:val="0"/>
        <w:ind w:firstLine="142"/>
        <w:rPr>
          <w:rFonts w:ascii="Times New Roman" w:hAnsi="Times New Roman"/>
          <w:noProof/>
        </w:rPr>
      </w:pPr>
      <w:r>
        <w:rPr>
          <w:rFonts w:ascii="Times New Roman" w:hAnsi="Times New Roman"/>
        </w:rPr>
        <w:t xml:space="preserve">144. Attiecībā uz </w:t>
      </w:r>
      <w:proofErr w:type="spellStart"/>
      <w:r>
        <w:rPr>
          <w:rFonts w:ascii="Times New Roman" w:hAnsi="Times New Roman"/>
          <w:i/>
          <w:iCs/>
        </w:rPr>
        <w:t>GCHQ</w:t>
      </w:r>
      <w:proofErr w:type="spellEnd"/>
      <w:r>
        <w:rPr>
          <w:rFonts w:ascii="Times New Roman" w:hAnsi="Times New Roman"/>
        </w:rPr>
        <w:t xml:space="preserve"> masveida pārtveršanas pilnvarām veiktā izmeklēšana liecināja, ka izlūkdienestiem nebija juridisku pilnvaru, resursu, tehnisko iespēju vai vēlmes pārtvert jebkurus Lielbritānijas pilsoņu sakarus vai interneta sakarus kopumā. Līdz ar to </w:t>
      </w:r>
      <w:proofErr w:type="spellStart"/>
      <w:r>
        <w:rPr>
          <w:rFonts w:ascii="Times New Roman" w:hAnsi="Times New Roman"/>
          <w:i/>
          <w:iCs/>
        </w:rPr>
        <w:t>GCHQ</w:t>
      </w:r>
      <w:proofErr w:type="spellEnd"/>
      <w:r>
        <w:rPr>
          <w:rFonts w:ascii="Times New Roman" w:hAnsi="Times New Roman"/>
        </w:rPr>
        <w:t xml:space="preserve"> nebija lasījusi katras Apvienotajā Karalistē esošās personas e-pasta ziņojumus. Gluži pretēji, </w:t>
      </w:r>
      <w:proofErr w:type="spellStart"/>
      <w:r>
        <w:rPr>
          <w:rFonts w:ascii="Times New Roman" w:hAnsi="Times New Roman"/>
          <w:i/>
          <w:iCs/>
        </w:rPr>
        <w:t>GCHQ</w:t>
      </w:r>
      <w:proofErr w:type="spellEnd"/>
      <w:r>
        <w:rPr>
          <w:rFonts w:ascii="Times New Roman" w:hAnsi="Times New Roman"/>
        </w:rPr>
        <w:t xml:space="preserve"> masveida pārtveršanas sistēmas tika izmantotas tikai ļoti mazai nesēju daļai, kas veidoja internetu, un </w:t>
      </w:r>
      <w:proofErr w:type="spellStart"/>
      <w:r>
        <w:rPr>
          <w:rFonts w:ascii="Times New Roman" w:hAnsi="Times New Roman"/>
          <w:i/>
          <w:iCs/>
        </w:rPr>
        <w:t>ISC</w:t>
      </w:r>
      <w:proofErr w:type="spellEnd"/>
      <w:r>
        <w:rPr>
          <w:rFonts w:ascii="Times New Roman" w:hAnsi="Times New Roman"/>
        </w:rPr>
        <w:t xml:space="preserve"> </w:t>
      </w:r>
      <w:r>
        <w:rPr>
          <w:rFonts w:ascii="Times New Roman" w:hAnsi="Times New Roman"/>
        </w:rPr>
        <w:lastRenderedPageBreak/>
        <w:t xml:space="preserve">guva pārliecību, ka </w:t>
      </w:r>
      <w:proofErr w:type="spellStart"/>
      <w:r>
        <w:rPr>
          <w:rFonts w:ascii="Times New Roman" w:hAnsi="Times New Roman"/>
          <w:i/>
          <w:iCs/>
        </w:rPr>
        <w:t>GCHQ</w:t>
      </w:r>
      <w:proofErr w:type="spellEnd"/>
      <w:r>
        <w:rPr>
          <w:rFonts w:ascii="Times New Roman" w:hAnsi="Times New Roman"/>
        </w:rPr>
        <w:t xml:space="preserve"> bija piemērojusi filtrēšanas un atlasīšanas līmeņus, tā ka tika savākts vienīgi noteikts daudzums materiāla saistībā ar šiem nesējiem. Turklāt turpmākie specifiskie meklējumi nodrošināja, ka analītiķiem pārbaudei tika nodota vienīgi informācija, kurai, visticamāk, bija visaugstākā izlūkošanas vērtība, tādēļ attiecīgās personas faktiski aplūkoja tikai niecīgu daļu no visas savāktās informācijas.</w:t>
      </w:r>
    </w:p>
    <w:p w14:paraId="0CD227B2" w14:textId="22B6292B" w:rsidR="000E3283" w:rsidRPr="008D031E" w:rsidRDefault="000E3283" w:rsidP="001F1E46">
      <w:pPr>
        <w:pStyle w:val="JuPara"/>
        <w:widowControl w:val="0"/>
        <w:ind w:firstLine="142"/>
        <w:rPr>
          <w:rFonts w:ascii="Times New Roman" w:hAnsi="Times New Roman"/>
          <w:noProof/>
        </w:rPr>
      </w:pPr>
      <w:bookmarkStart w:id="128" w:name="ISCintex"/>
      <w:r>
        <w:rPr>
          <w:rFonts w:ascii="Times New Roman" w:hAnsi="Times New Roman"/>
        </w:rPr>
        <w:t>145</w:t>
      </w:r>
      <w:bookmarkEnd w:id="128"/>
      <w:r>
        <w:rPr>
          <w:rFonts w:ascii="Times New Roman" w:hAnsi="Times New Roman"/>
        </w:rPr>
        <w:t xml:space="preserve">. Attiecībā uz interneta sakariem </w:t>
      </w:r>
      <w:proofErr w:type="spellStart"/>
      <w:r>
        <w:rPr>
          <w:rFonts w:ascii="Times New Roman" w:hAnsi="Times New Roman"/>
          <w:i/>
          <w:iCs/>
        </w:rPr>
        <w:t>ISC</w:t>
      </w:r>
      <w:proofErr w:type="spellEnd"/>
      <w:r>
        <w:rPr>
          <w:rFonts w:ascii="Times New Roman" w:hAnsi="Times New Roman"/>
        </w:rPr>
        <w:t xml:space="preserve"> uzskatīja, ka “iekšējo” un “ārējo” sakaru nodalīšana bija mulsinoša un tā nebija pārskatāma. Tādēļ tā ierosināja Valdībai publicēt paskaidrojumu par to, kuri interneta sakari ietilpa attiecīgajā kategorijā. Tomēr veiktā izmeklēšana liecināja, ka masveida pārtveršanu nevarēja izmantot, lai pārtvertu Apvienotajā Karalistē esošas personas sakarus, nesaņemot īpašu atļauju, kuru parakstījis valsts sekretārs un kurā norādīts attiecīgās personas vārds un uzvārds.</w:t>
      </w:r>
    </w:p>
    <w:p w14:paraId="75497EC6" w14:textId="78C7F6A8" w:rsidR="000E3283" w:rsidRPr="008D031E" w:rsidRDefault="000E3283" w:rsidP="001F1E46">
      <w:pPr>
        <w:pStyle w:val="JuPara"/>
        <w:widowControl w:val="0"/>
        <w:ind w:firstLine="142"/>
        <w:rPr>
          <w:rFonts w:ascii="Times New Roman" w:hAnsi="Times New Roman"/>
          <w:noProof/>
        </w:rPr>
      </w:pPr>
      <w:bookmarkStart w:id="129" w:name="ISCCertificatebrief"/>
      <w:r>
        <w:rPr>
          <w:rFonts w:ascii="Times New Roman" w:hAnsi="Times New Roman"/>
        </w:rPr>
        <w:t>146</w:t>
      </w:r>
      <w:bookmarkEnd w:id="129"/>
      <w:r>
        <w:rPr>
          <w:rFonts w:ascii="Times New Roman" w:hAnsi="Times New Roman"/>
        </w:rPr>
        <w:t xml:space="preserve">. </w:t>
      </w:r>
      <w:proofErr w:type="spellStart"/>
      <w:r>
        <w:rPr>
          <w:rFonts w:ascii="Times New Roman" w:hAnsi="Times New Roman"/>
          <w:i/>
          <w:iCs/>
        </w:rPr>
        <w:t>ISC</w:t>
      </w:r>
      <w:proofErr w:type="spellEnd"/>
      <w:r>
        <w:rPr>
          <w:rFonts w:ascii="Times New Roman" w:hAnsi="Times New Roman"/>
        </w:rPr>
        <w:t xml:space="preserve"> piebilda, ka 8. panta 4. punktā noteiktais orderis bijis ļoti rezumējošs. Ciktāl tam pievienotajā apliecinājumā bija norādītas to sakaru kategorijas, ko varētu pārbaudīt, šīs kategorijas bija formulētas ļoti vispārīgi (piemēram, “materiāls, kas sniedz </w:t>
      </w:r>
      <w:proofErr w:type="spellStart"/>
      <w:r>
        <w:rPr>
          <w:rFonts w:ascii="Times New Roman" w:hAnsi="Times New Roman"/>
        </w:rPr>
        <w:t>izlūkdatus</w:t>
      </w:r>
      <w:proofErr w:type="spellEnd"/>
      <w:r>
        <w:rPr>
          <w:rFonts w:ascii="Times New Roman" w:hAnsi="Times New Roman"/>
        </w:rPr>
        <w:t xml:space="preserve"> par terorismu (kā noteikts 2000. gada Terorisma apkarošanas likumā (ar attiecīgajiem grozījumiem)), tostarp, bet ne tikai, teroristu organizācijām, teroristiem, aktīviem piekritējiem, uzbrukumu plānošanu, līdzekļu vākšanu”). Tā kā apliecinājums bija formulēts tik vispārīgi, </w:t>
      </w:r>
      <w:proofErr w:type="spellStart"/>
      <w:r>
        <w:rPr>
          <w:rFonts w:ascii="Times New Roman" w:hAnsi="Times New Roman"/>
          <w:i/>
          <w:iCs/>
        </w:rPr>
        <w:t>ISC</w:t>
      </w:r>
      <w:proofErr w:type="spellEnd"/>
      <w:r>
        <w:rPr>
          <w:rFonts w:ascii="Times New Roman" w:hAnsi="Times New Roman"/>
        </w:rPr>
        <w:t xml:space="preserve"> šaubījās, vai to vajadzētu paturēt noslēpumā vai arī </w:t>
      </w:r>
      <w:proofErr w:type="spellStart"/>
      <w:r>
        <w:rPr>
          <w:rFonts w:ascii="Times New Roman" w:hAnsi="Times New Roman"/>
        </w:rPr>
        <w:t>pārredzamības</w:t>
      </w:r>
      <w:proofErr w:type="spellEnd"/>
      <w:r>
        <w:rPr>
          <w:rFonts w:ascii="Times New Roman" w:hAnsi="Times New Roman"/>
        </w:rPr>
        <w:t xml:space="preserve"> nolūkos publicēt.</w:t>
      </w:r>
    </w:p>
    <w:p w14:paraId="1F916B17" w14:textId="710AA997" w:rsidR="000E3283" w:rsidRPr="008D031E" w:rsidRDefault="000E3283" w:rsidP="001F1E46">
      <w:pPr>
        <w:pStyle w:val="JuPara"/>
        <w:widowControl w:val="0"/>
        <w:ind w:firstLine="142"/>
        <w:rPr>
          <w:rFonts w:ascii="Times New Roman" w:hAnsi="Times New Roman"/>
          <w:noProof/>
        </w:rPr>
      </w:pPr>
      <w:bookmarkStart w:id="130" w:name="ISCDesirable"/>
      <w:bookmarkStart w:id="131" w:name="ISCCertificate"/>
      <w:bookmarkStart w:id="132" w:name="ISCCertificateSelection"/>
      <w:r>
        <w:rPr>
          <w:rFonts w:ascii="Times New Roman" w:hAnsi="Times New Roman"/>
        </w:rPr>
        <w:t>147</w:t>
      </w:r>
      <w:bookmarkEnd w:id="130"/>
      <w:bookmarkEnd w:id="131"/>
      <w:bookmarkEnd w:id="132"/>
      <w:r>
        <w:rPr>
          <w:rFonts w:ascii="Times New Roman" w:hAnsi="Times New Roman"/>
        </w:rPr>
        <w:t xml:space="preserve">. Lai gan 8. panta 4. punktā minētajā apliecinājumā ir noteiktas vispārīgās informācijas kategorijas, kuras var pārbaudīt, </w:t>
      </w:r>
      <w:proofErr w:type="spellStart"/>
      <w:r>
        <w:rPr>
          <w:rFonts w:ascii="Times New Roman" w:hAnsi="Times New Roman"/>
          <w:i/>
          <w:iCs/>
        </w:rPr>
        <w:t>ISC</w:t>
      </w:r>
      <w:proofErr w:type="spellEnd"/>
      <w:r>
        <w:rPr>
          <w:rFonts w:ascii="Times New Roman" w:hAnsi="Times New Roman"/>
        </w:rPr>
        <w:t xml:space="preserve"> konstatēja, ka praksē pārbaudāmos sakarus noteica tieši datu nesēju atlase un vienkāršu selektoru un meklēšanas kritēriju piemērošana. Tādēļ </w:t>
      </w:r>
      <w:proofErr w:type="spellStart"/>
      <w:r>
        <w:rPr>
          <w:rFonts w:ascii="Times New Roman" w:hAnsi="Times New Roman"/>
          <w:i/>
          <w:iCs/>
        </w:rPr>
        <w:t>ISC</w:t>
      </w:r>
      <w:proofErr w:type="spellEnd"/>
      <w:r>
        <w:rPr>
          <w:rFonts w:ascii="Times New Roman" w:hAnsi="Times New Roman"/>
        </w:rPr>
        <w:t xml:space="preserve"> lūgusi ministrus un/vai komisārus šīs kategorijas rūpīgi pārbaudīt un pārskatīt. Tomēr </w:t>
      </w:r>
      <w:proofErr w:type="spellStart"/>
      <w:r>
        <w:rPr>
          <w:rFonts w:ascii="Times New Roman" w:hAnsi="Times New Roman"/>
          <w:i/>
          <w:iCs/>
        </w:rPr>
        <w:t>ISC</w:t>
      </w:r>
      <w:proofErr w:type="spellEnd"/>
      <w:r>
        <w:rPr>
          <w:rFonts w:ascii="Times New Roman" w:hAnsi="Times New Roman"/>
        </w:rPr>
        <w:t xml:space="preserve"> iesniegtie pierādījumi liecināja, ka ne ministriem, ne komisāriem šie jautājumi nav šķituši svarīgi. Tādēļ </w:t>
      </w:r>
      <w:proofErr w:type="spellStart"/>
      <w:r>
        <w:rPr>
          <w:rFonts w:ascii="Times New Roman" w:hAnsi="Times New Roman"/>
          <w:i/>
          <w:iCs/>
        </w:rPr>
        <w:t>ISC</w:t>
      </w:r>
      <w:proofErr w:type="spellEnd"/>
      <w:r>
        <w:rPr>
          <w:rFonts w:ascii="Times New Roman" w:hAnsi="Times New Roman"/>
        </w:rPr>
        <w:t xml:space="preserve"> ieteica noteikt </w:t>
      </w:r>
      <w:proofErr w:type="spellStart"/>
      <w:r>
        <w:rPr>
          <w:rFonts w:ascii="Times New Roman" w:hAnsi="Times New Roman"/>
          <w:i/>
          <w:iCs/>
        </w:rPr>
        <w:t>IC</w:t>
      </w:r>
      <w:proofErr w:type="spellEnd"/>
      <w:r>
        <w:rPr>
          <w:rFonts w:ascii="Times New Roman" w:hAnsi="Times New Roman"/>
        </w:rPr>
        <w:t xml:space="preserve"> komisāram likumā paredzētu pienākumu pārskatīt dažādos masveida pārtveršanā izmantotos atlases kritērijus, lai nodrošinātu, ka tie izriet tieši no apliecinājuma un spēkā esošajām valsts drošības prasībām.</w:t>
      </w:r>
    </w:p>
    <w:p w14:paraId="28C62042" w14:textId="274AC494" w:rsidR="000E3283" w:rsidRPr="008D031E" w:rsidRDefault="000E3283" w:rsidP="001F1E46">
      <w:pPr>
        <w:pStyle w:val="JuPara"/>
        <w:widowControl w:val="0"/>
        <w:ind w:firstLine="142"/>
        <w:rPr>
          <w:rFonts w:ascii="Times New Roman" w:hAnsi="Times New Roman"/>
          <w:noProof/>
        </w:rPr>
      </w:pPr>
      <w:bookmarkStart w:id="133" w:name="ISCCD"/>
      <w:r>
        <w:rPr>
          <w:rFonts w:ascii="Times New Roman" w:hAnsi="Times New Roman"/>
        </w:rPr>
        <w:t>148</w:t>
      </w:r>
      <w:bookmarkEnd w:id="133"/>
      <w:r>
        <w:rPr>
          <w:rFonts w:ascii="Times New Roman" w:hAnsi="Times New Roman"/>
        </w:rPr>
        <w:t xml:space="preserve">. </w:t>
      </w:r>
      <w:proofErr w:type="spellStart"/>
      <w:r>
        <w:rPr>
          <w:rFonts w:ascii="Times New Roman" w:hAnsi="Times New Roman"/>
          <w:i/>
          <w:iCs/>
        </w:rPr>
        <w:t>ISC</w:t>
      </w:r>
      <w:proofErr w:type="spellEnd"/>
      <w:r>
        <w:rPr>
          <w:rFonts w:ascii="Times New Roman" w:hAnsi="Times New Roman"/>
        </w:rPr>
        <w:t xml:space="preserve"> norādīja, ka sakaru datiem ir liela nozīme lielākajā daļā izlūkdienestu izmeklēšanas pasākumu, proti, tos bijis iespējams analizēt, lai noskaidrotu iezīmes konkrētai rīcībai internetā, kas saistīta ar tādām darbībām kā uzbrukumu plānošana, lai izveidotu saiknes, palīdzētu pastiprināti pievērst uzmanību personām, kuras varētu radīt draudus, nodrošinātu, ka ir atbilstoši noteikts pārtveršanas mērķis, un salīdzinoši ātri informētu tīklus un asociācijas. Tie bija īpaši noderīgi izmeklēšanas agrīnajos posmos, kad izlūkdienestiem bija jānoskaidro, vai ar mērķi asociētās personas bija saistītas ar attiecīgo plānu (un līdz ar to bija jāveic papildu izmeklēšana) vai arī tās bija nevainīgas. </w:t>
      </w:r>
      <w:proofErr w:type="spellStart"/>
      <w:r>
        <w:rPr>
          <w:rFonts w:ascii="Times New Roman" w:hAnsi="Times New Roman"/>
        </w:rPr>
        <w:t>Iekšlietu</w:t>
      </w:r>
      <w:proofErr w:type="spellEnd"/>
      <w:r>
        <w:rPr>
          <w:rFonts w:ascii="Times New Roman" w:hAnsi="Times New Roman"/>
        </w:rPr>
        <w:t xml:space="preserve"> departamenta valsts sekretārs apgalvoja, ka “tiem bijusi svarīga loma ikvienā Drošības dienesta terorisma apkarošanas operācijā, kas īstenota pēdējo desmit gadu laikā”. Tomēr </w:t>
      </w:r>
      <w:proofErr w:type="spellStart"/>
      <w:r>
        <w:rPr>
          <w:rFonts w:ascii="Times New Roman" w:hAnsi="Times New Roman"/>
          <w:i/>
          <w:iCs/>
        </w:rPr>
        <w:t>ISC</w:t>
      </w:r>
      <w:proofErr w:type="spellEnd"/>
      <w:r>
        <w:rPr>
          <w:rFonts w:ascii="Times New Roman" w:hAnsi="Times New Roman"/>
        </w:rPr>
        <w:t xml:space="preserve"> pauda bažas par jēdziena “sakaru dati” definīciju. Lai gan </w:t>
      </w:r>
      <w:proofErr w:type="spellStart"/>
      <w:r>
        <w:rPr>
          <w:rFonts w:ascii="Times New Roman" w:hAnsi="Times New Roman"/>
          <w:i/>
          <w:iCs/>
        </w:rPr>
        <w:t>ISC</w:t>
      </w:r>
      <w:proofErr w:type="spellEnd"/>
      <w:r>
        <w:rPr>
          <w:rFonts w:ascii="Times New Roman" w:hAnsi="Times New Roman"/>
        </w:rPr>
        <w:t xml:space="preserve"> atzina, ka ir noteikta sakaru datu kategorija, kura ir mazāk aizskaroša nekā saturs un kurai līdz ar to nav jānodrošina tāda paša līmeņa aizsardzība, tā uzskatīja, ka ir izveidotas konkrētas sakaru datu kategorijas, kuras var atklāt daudz aizskarošas informācijas par personas privāto dzīvi, tādēļ tām jāpiemēro nopietnāki drošības pasākumi.</w:t>
      </w:r>
    </w:p>
    <w:p w14:paraId="53D041B7" w14:textId="6DAD888A" w:rsidR="000E3283" w:rsidRDefault="000E3283" w:rsidP="001F1E46">
      <w:pPr>
        <w:pStyle w:val="JuPara"/>
        <w:widowControl w:val="0"/>
        <w:ind w:firstLine="142"/>
        <w:rPr>
          <w:rFonts w:ascii="Times New Roman" w:hAnsi="Times New Roman"/>
          <w:noProof/>
        </w:rPr>
      </w:pPr>
      <w:bookmarkStart w:id="134" w:name="PandSEnd"/>
      <w:bookmarkStart w:id="135" w:name="ISC2015end"/>
      <w:r>
        <w:rPr>
          <w:rFonts w:ascii="Times New Roman" w:hAnsi="Times New Roman"/>
        </w:rPr>
        <w:t>149</w:t>
      </w:r>
      <w:bookmarkEnd w:id="134"/>
      <w:bookmarkEnd w:id="135"/>
      <w:r>
        <w:rPr>
          <w:rFonts w:ascii="Times New Roman" w:hAnsi="Times New Roman"/>
        </w:rPr>
        <w:t xml:space="preserve">. Visbeidzot, </w:t>
      </w:r>
      <w:proofErr w:type="spellStart"/>
      <w:r>
        <w:rPr>
          <w:rFonts w:ascii="Times New Roman" w:hAnsi="Times New Roman"/>
          <w:i/>
          <w:iCs/>
        </w:rPr>
        <w:t>ISC</w:t>
      </w:r>
      <w:proofErr w:type="spellEnd"/>
      <w:r>
        <w:rPr>
          <w:rFonts w:ascii="Times New Roman" w:hAnsi="Times New Roman"/>
        </w:rPr>
        <w:t xml:space="preserve"> attiecībā uz</w:t>
      </w:r>
      <w:r>
        <w:rPr>
          <w:rFonts w:ascii="Times New Roman" w:hAnsi="Times New Roman"/>
          <w:i/>
          <w:iCs/>
        </w:rPr>
        <w:t xml:space="preserve"> </w:t>
      </w:r>
      <w:proofErr w:type="spellStart"/>
      <w:r>
        <w:rPr>
          <w:rFonts w:ascii="Times New Roman" w:hAnsi="Times New Roman"/>
          <w:i/>
          <w:iCs/>
        </w:rPr>
        <w:t>IPT</w:t>
      </w:r>
      <w:proofErr w:type="spellEnd"/>
      <w:r>
        <w:rPr>
          <w:rFonts w:ascii="Times New Roman" w:hAnsi="Times New Roman"/>
        </w:rPr>
        <w:t xml:space="preserve"> skaidri atzina, cik svarīgas ir valsts pārsūdzības tiesības.</w:t>
      </w:r>
    </w:p>
    <w:p w14:paraId="7CD47BD1" w14:textId="77777777" w:rsidR="00320152" w:rsidRPr="008D031E" w:rsidRDefault="00320152" w:rsidP="001F1E46">
      <w:pPr>
        <w:pStyle w:val="JuPara"/>
        <w:widowControl w:val="0"/>
        <w:ind w:firstLine="142"/>
        <w:rPr>
          <w:rFonts w:ascii="Times New Roman" w:hAnsi="Times New Roman"/>
          <w:noProof/>
          <w:lang w:val="en-US"/>
        </w:rPr>
      </w:pPr>
    </w:p>
    <w:p w14:paraId="7775FD17" w14:textId="7418E242" w:rsidR="000E3283" w:rsidRDefault="00320152" w:rsidP="001F1E46">
      <w:pPr>
        <w:pStyle w:val="JuH1"/>
        <w:keepNext w:val="0"/>
        <w:keepLines w:val="0"/>
        <w:widowControl w:val="0"/>
        <w:numPr>
          <w:ilvl w:val="0"/>
          <w:numId w:val="0"/>
        </w:numPr>
        <w:spacing w:before="0" w:beforeAutospacing="0" w:after="0"/>
        <w:outlineLvl w:val="9"/>
        <w:rPr>
          <w:rFonts w:ascii="Times New Roman" w:hAnsi="Times New Roman"/>
          <w:noProof/>
        </w:rPr>
      </w:pPr>
      <w:bookmarkStart w:id="136" w:name="_Toc516820754"/>
      <w:r>
        <w:rPr>
          <w:rFonts w:ascii="Times New Roman" w:hAnsi="Times New Roman"/>
        </w:rPr>
        <w:t xml:space="preserve">3. Ziņojums “Uzticības jautājums” – neatkarīgā terorisma apkarošanas tiesiskā regulējuma pārskatītāja ziņojums par izmeklēšanas pilnvaru pārskatīšanu“ [“A </w:t>
      </w:r>
      <w:proofErr w:type="spellStart"/>
      <w:r>
        <w:rPr>
          <w:rFonts w:ascii="Times New Roman" w:hAnsi="Times New Roman"/>
        </w:rPr>
        <w:t>Question</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Trust</w:t>
      </w:r>
      <w:proofErr w:type="spellEnd"/>
      <w:r>
        <w:rPr>
          <w:rFonts w:ascii="Times New Roman" w:hAnsi="Times New Roman"/>
        </w:rPr>
        <w:t xml:space="preserve">”: </w:t>
      </w:r>
      <w:proofErr w:type="spellStart"/>
      <w:r>
        <w:rPr>
          <w:rFonts w:ascii="Times New Roman" w:hAnsi="Times New Roman"/>
        </w:rPr>
        <w:t>Report</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Investigatory</w:t>
      </w:r>
      <w:proofErr w:type="spellEnd"/>
      <w:r>
        <w:rPr>
          <w:rFonts w:ascii="Times New Roman" w:hAnsi="Times New Roman"/>
        </w:rPr>
        <w:t xml:space="preserve"> </w:t>
      </w:r>
      <w:proofErr w:type="spellStart"/>
      <w:r>
        <w:rPr>
          <w:rFonts w:ascii="Times New Roman" w:hAnsi="Times New Roman"/>
        </w:rPr>
        <w:t>Powers</w:t>
      </w:r>
      <w:proofErr w:type="spellEnd"/>
      <w:r>
        <w:rPr>
          <w:rFonts w:ascii="Times New Roman" w:hAnsi="Times New Roman"/>
        </w:rPr>
        <w:t xml:space="preserve"> </w:t>
      </w:r>
      <w:proofErr w:type="spellStart"/>
      <w:r>
        <w:rPr>
          <w:rFonts w:ascii="Times New Roman" w:hAnsi="Times New Roman"/>
        </w:rPr>
        <w:t>Review</w:t>
      </w:r>
      <w:proofErr w:type="spellEnd"/>
      <w:r>
        <w:rPr>
          <w:rFonts w:ascii="Times New Roman" w:hAnsi="Times New Roman"/>
        </w:rPr>
        <w:t xml:space="preserve"> </w:t>
      </w:r>
      <w:proofErr w:type="spellStart"/>
      <w:r>
        <w:rPr>
          <w:rFonts w:ascii="Times New Roman" w:hAnsi="Times New Roman"/>
        </w:rPr>
        <w:t>by</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Independent</w:t>
      </w:r>
      <w:proofErr w:type="spellEnd"/>
      <w:r>
        <w:rPr>
          <w:rFonts w:ascii="Times New Roman" w:hAnsi="Times New Roman"/>
        </w:rPr>
        <w:t xml:space="preserve"> </w:t>
      </w:r>
      <w:proofErr w:type="spellStart"/>
      <w:r>
        <w:rPr>
          <w:rFonts w:ascii="Times New Roman" w:hAnsi="Times New Roman"/>
        </w:rPr>
        <w:t>Reviewer</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Terrorism</w:t>
      </w:r>
      <w:proofErr w:type="spellEnd"/>
      <w:r>
        <w:rPr>
          <w:rFonts w:ascii="Times New Roman" w:hAnsi="Times New Roman"/>
        </w:rPr>
        <w:t xml:space="preserve"> </w:t>
      </w:r>
      <w:proofErr w:type="spellStart"/>
      <w:r>
        <w:rPr>
          <w:rFonts w:ascii="Times New Roman" w:hAnsi="Times New Roman"/>
        </w:rPr>
        <w:t>Legislation</w:t>
      </w:r>
      <w:proofErr w:type="spellEnd"/>
      <w:r>
        <w:rPr>
          <w:rFonts w:ascii="Times New Roman" w:hAnsi="Times New Roman"/>
        </w:rPr>
        <w:t>] (turpmāk tekstā – “Andersona [Anderson] ziņojums”)</w:t>
      </w:r>
      <w:bookmarkEnd w:id="136"/>
    </w:p>
    <w:p w14:paraId="3ACC189C" w14:textId="77777777" w:rsidR="00320152" w:rsidRPr="00320152" w:rsidRDefault="00320152" w:rsidP="001F1E46">
      <w:pPr>
        <w:pStyle w:val="JuPara"/>
        <w:widowControl w:val="0"/>
        <w:rPr>
          <w:lang w:val="en-US"/>
        </w:rPr>
      </w:pPr>
    </w:p>
    <w:p w14:paraId="047B65FA" w14:textId="1952179A" w:rsidR="000E3283" w:rsidRPr="008D031E" w:rsidRDefault="000E3283" w:rsidP="001F1E46">
      <w:pPr>
        <w:pStyle w:val="JuPara"/>
        <w:widowControl w:val="0"/>
        <w:ind w:firstLine="142"/>
        <w:rPr>
          <w:rFonts w:ascii="Times New Roman" w:hAnsi="Times New Roman"/>
          <w:noProof/>
        </w:rPr>
      </w:pPr>
      <w:bookmarkStart w:id="137" w:name="QTStart"/>
      <w:r>
        <w:rPr>
          <w:rFonts w:ascii="Times New Roman" w:hAnsi="Times New Roman"/>
        </w:rPr>
        <w:t>150</w:t>
      </w:r>
      <w:bookmarkEnd w:id="137"/>
      <w:r>
        <w:rPr>
          <w:rFonts w:ascii="Times New Roman" w:hAnsi="Times New Roman"/>
        </w:rPr>
        <w:t xml:space="preserve">. Neatkarīgais terorisma apkarošanas tiesiskā regulējuma pārskatītājs ir persona, kura rīkojas pilnībā neatkarīgi no Valdības un kuru ieceļ </w:t>
      </w:r>
      <w:proofErr w:type="spellStart"/>
      <w:r>
        <w:rPr>
          <w:rFonts w:ascii="Times New Roman" w:hAnsi="Times New Roman"/>
        </w:rPr>
        <w:t>iekšlietu</w:t>
      </w:r>
      <w:proofErr w:type="spellEnd"/>
      <w:r>
        <w:rPr>
          <w:rFonts w:ascii="Times New Roman" w:hAnsi="Times New Roman"/>
        </w:rPr>
        <w:t xml:space="preserve"> sekretārs un valsts kase uz trīs gadu termiņu, ko iespējams atjaunot. Viņa uzdevums ir ziņot </w:t>
      </w:r>
      <w:proofErr w:type="spellStart"/>
      <w:r>
        <w:rPr>
          <w:rFonts w:ascii="Times New Roman" w:hAnsi="Times New Roman"/>
        </w:rPr>
        <w:t>iekšlietu</w:t>
      </w:r>
      <w:proofErr w:type="spellEnd"/>
      <w:r>
        <w:rPr>
          <w:rFonts w:ascii="Times New Roman" w:hAnsi="Times New Roman"/>
        </w:rPr>
        <w:t xml:space="preserve"> sekretāram un </w:t>
      </w:r>
      <w:r>
        <w:rPr>
          <w:rFonts w:ascii="Times New Roman" w:hAnsi="Times New Roman"/>
        </w:rPr>
        <w:lastRenderedPageBreak/>
        <w:t>parlamentam par terorisma apkarošanas tiesību aktu darbību Apvienotajā Karalistē. Šos ziņojumus iesniedz parlamentam, lai informētu sabiedrību un sniegtu informāciju politiskajām debatēm.</w:t>
      </w:r>
    </w:p>
    <w:p w14:paraId="0D03DCCC" w14:textId="53823B9D" w:rsidR="000E3283" w:rsidRPr="008D031E" w:rsidRDefault="000E3283" w:rsidP="001F1E46">
      <w:pPr>
        <w:pStyle w:val="JuPara"/>
        <w:widowControl w:val="0"/>
        <w:ind w:firstLine="142"/>
        <w:rPr>
          <w:rFonts w:ascii="Times New Roman" w:hAnsi="Times New Roman"/>
          <w:noProof/>
        </w:rPr>
      </w:pPr>
      <w:r>
        <w:rPr>
          <w:rFonts w:ascii="Times New Roman" w:hAnsi="Times New Roman"/>
        </w:rPr>
        <w:t xml:space="preserve">151. Andersona ziņojumā, kas tika iesniegts parlamentam un publicēts 2015. gada 11. jūnijā un tika nosaukts par godu </w:t>
      </w:r>
      <w:proofErr w:type="spellStart"/>
      <w:r>
        <w:rPr>
          <w:rFonts w:ascii="Times New Roman" w:hAnsi="Times New Roman"/>
        </w:rPr>
        <w:t>tābrīža</w:t>
      </w:r>
      <w:proofErr w:type="spellEnd"/>
      <w:r>
        <w:rPr>
          <w:rFonts w:ascii="Times New Roman" w:hAnsi="Times New Roman"/>
        </w:rPr>
        <w:t xml:space="preserve"> neatkarīgajam terorisma apkarošanas tiesiskā regulējuma pārskatītājam Deividam Andersonam [</w:t>
      </w:r>
      <w:proofErr w:type="spellStart"/>
      <w:r>
        <w:rPr>
          <w:rFonts w:ascii="Times New Roman" w:hAnsi="Times New Roman"/>
          <w:i/>
          <w:iCs/>
        </w:rPr>
        <w:t>David</w:t>
      </w:r>
      <w:proofErr w:type="spellEnd"/>
      <w:r>
        <w:rPr>
          <w:rFonts w:ascii="Times New Roman" w:hAnsi="Times New Roman"/>
          <w:i/>
          <w:iCs/>
        </w:rPr>
        <w:t xml:space="preserve"> Anderson</w:t>
      </w:r>
      <w:r>
        <w:rPr>
          <w:rFonts w:ascii="Times New Roman" w:hAnsi="Times New Roman"/>
        </w:rPr>
        <w:t>] Q. C., bija izvirzīts konkrēts mērķis, proti, informēt sabiedrību un sniegt informāciju politiskajām debatēm par draudiem Apvienotajai Karalistei, pasākumiem, kas nepieciešami šo apdraudējumu novēršanai, ieviestajiem drošības pasākumiem, lai aizsargātu personas tiesības uz privātās dzīves neaizskaramību, izaicinājumiem mainīgo tehnoloģiju kontekstā, problēmām saistībā ar pārskatāmību un pārraudzību, kā arī par nepieciešamību izstrādāt jaunu vai grozīt jau esošo tiesisko regulējumu. Veicot pārskatīšanu, neatkarīgajam pārskatītājam bija neierobežota piekļuve atbildīgajiem Valdības departamentiem un valsts iestādēm visaugstākajā drošības pielaides līmenī. Viņš arī sadarbojās ar pakalpojumu sniedzējiem, neatkarīgajiem tehniskajiem ekspertiem, nevalstiskajām organizācijām, akadēmiķiem, advokātiem, tiesnešiem un reglamentējošajām institūcijām.</w:t>
      </w:r>
    </w:p>
    <w:p w14:paraId="683A41B1" w14:textId="4DFBD860" w:rsidR="000E3283" w:rsidRPr="008D031E" w:rsidRDefault="000E3283" w:rsidP="001F1E46">
      <w:pPr>
        <w:pStyle w:val="JuPara"/>
        <w:widowControl w:val="0"/>
        <w:ind w:firstLine="142"/>
        <w:rPr>
          <w:rFonts w:ascii="Times New Roman" w:hAnsi="Times New Roman"/>
          <w:noProof/>
        </w:rPr>
      </w:pPr>
      <w:bookmarkStart w:id="138" w:name="DAMultitude"/>
      <w:bookmarkStart w:id="139" w:name="IRPiecemeal"/>
      <w:r>
        <w:rPr>
          <w:rFonts w:ascii="Times New Roman" w:hAnsi="Times New Roman"/>
        </w:rPr>
        <w:t>152</w:t>
      </w:r>
      <w:bookmarkEnd w:id="138"/>
      <w:bookmarkEnd w:id="139"/>
      <w:r>
        <w:rPr>
          <w:rFonts w:ascii="Times New Roman" w:hAnsi="Times New Roman"/>
        </w:rPr>
        <w:t xml:space="preserve">. Neatkarīgais pārskatītājs bija norādījis, ka izmeklēšanas pilnvaras reglamentējošais tiesiskais regulējums “izstrādāts fragmentāri”, līdz ar to “tikai daži [tiesību akti] ir vēl grūtāk uztverami nekā </w:t>
      </w:r>
      <w:r>
        <w:rPr>
          <w:rFonts w:ascii="Times New Roman" w:hAnsi="Times New Roman"/>
          <w:i/>
          <w:iCs/>
        </w:rPr>
        <w:t>RIPA</w:t>
      </w:r>
      <w:r>
        <w:rPr>
          <w:rFonts w:ascii="Times New Roman" w:hAnsi="Times New Roman"/>
        </w:rPr>
        <w:t xml:space="preserve"> un ap tiem “riņķojošie satelīti””.</w:t>
      </w:r>
    </w:p>
    <w:p w14:paraId="5F18F465" w14:textId="78FEF40B" w:rsidR="00320152" w:rsidRPr="008D031E" w:rsidRDefault="000E3283" w:rsidP="001F1E46">
      <w:pPr>
        <w:pStyle w:val="JuPara"/>
        <w:widowControl w:val="0"/>
        <w:ind w:firstLine="142"/>
        <w:rPr>
          <w:rFonts w:ascii="Times New Roman" w:hAnsi="Times New Roman"/>
          <w:noProof/>
        </w:rPr>
      </w:pPr>
      <w:bookmarkStart w:id="140" w:name="DACD1"/>
      <w:bookmarkStart w:id="141" w:name="IRCD1"/>
      <w:r>
        <w:rPr>
          <w:rFonts w:ascii="Times New Roman" w:hAnsi="Times New Roman"/>
        </w:rPr>
        <w:t>153</w:t>
      </w:r>
      <w:bookmarkEnd w:id="140"/>
      <w:bookmarkEnd w:id="141"/>
      <w:r>
        <w:rPr>
          <w:rFonts w:ascii="Times New Roman" w:hAnsi="Times New Roman"/>
        </w:rPr>
        <w:t>. Attiecībā uz sakaru datu nozīmi viņš norādīja, ka tie ļāva izlūkdienestiem gūt priekšstatu par attiecīgā subjekta darbībām un bija ārkārtīgi svarīgi, sniedzot informāciju par noziedzīgām un terorisma darbībām. Ar tiem bija iespējams identificēt mērķus turpmākajam darbam, kā arī tie palīdzēja noteikt, vai attiecīgā persona bija pilnībā nevainīga. Īpaši svarīga bija spēja izmantot sakaru datus (ja tas atzīts par nepieciešamu un samērīgu), lai:</w:t>
      </w:r>
    </w:p>
    <w:p w14:paraId="2C2E2824" w14:textId="2ABB2908" w:rsidR="000E3283" w:rsidRPr="008D031E" w:rsidRDefault="00320152" w:rsidP="001F1E46">
      <w:pPr>
        <w:pStyle w:val="JuPara"/>
        <w:widowControl w:val="0"/>
        <w:ind w:left="567" w:hanging="283"/>
        <w:rPr>
          <w:rFonts w:ascii="Times New Roman" w:hAnsi="Times New Roman"/>
          <w:noProof/>
        </w:rPr>
      </w:pPr>
      <w:r>
        <w:rPr>
          <w:rFonts w:ascii="Times New Roman" w:hAnsi="Times New Roman"/>
        </w:rPr>
        <w:t xml:space="preserve">a) sasaistītu kādu personu ar kādu kontu vai darbību (piemēram, tīmekļa vietnes apmeklēšana vai e-pasta ziņojuma nosūtīšana), noskaidrojot </w:t>
      </w:r>
      <w:proofErr w:type="spellStart"/>
      <w:r>
        <w:rPr>
          <w:rFonts w:ascii="Times New Roman" w:hAnsi="Times New Roman"/>
        </w:rPr>
        <w:t>IP</w:t>
      </w:r>
      <w:proofErr w:type="spellEnd"/>
      <w:r>
        <w:rPr>
          <w:rFonts w:ascii="Times New Roman" w:hAnsi="Times New Roman"/>
        </w:rPr>
        <w:t xml:space="preserve"> adresi;</w:t>
      </w:r>
    </w:p>
    <w:p w14:paraId="01C6BF21" w14:textId="02BEAAB6" w:rsidR="000E3283" w:rsidRPr="008D031E" w:rsidRDefault="00320152" w:rsidP="001F1E46">
      <w:pPr>
        <w:pStyle w:val="JuPara"/>
        <w:widowControl w:val="0"/>
        <w:ind w:left="567" w:hanging="283"/>
        <w:rPr>
          <w:rFonts w:ascii="Times New Roman" w:hAnsi="Times New Roman"/>
          <w:noProof/>
        </w:rPr>
      </w:pPr>
      <w:r>
        <w:rPr>
          <w:rFonts w:ascii="Times New Roman" w:hAnsi="Times New Roman"/>
        </w:rPr>
        <w:t xml:space="preserve">b) noskaidrotu kādas personas atrašanās vietu, parasti ar mobilā tālruņa vai </w:t>
      </w:r>
      <w:proofErr w:type="spellStart"/>
      <w:r>
        <w:rPr>
          <w:rFonts w:ascii="Times New Roman" w:hAnsi="Times New Roman"/>
          <w:i/>
          <w:iCs/>
        </w:rPr>
        <w:t>GPRS</w:t>
      </w:r>
      <w:proofErr w:type="spellEnd"/>
      <w:r>
        <w:rPr>
          <w:rFonts w:ascii="Times New Roman" w:hAnsi="Times New Roman"/>
        </w:rPr>
        <w:t xml:space="preserve"> datu palīdzību;</w:t>
      </w:r>
    </w:p>
    <w:p w14:paraId="409F047E" w14:textId="14C803FD" w:rsidR="000E3283" w:rsidRPr="008D031E" w:rsidRDefault="00320152" w:rsidP="001F1E46">
      <w:pPr>
        <w:pStyle w:val="JuPara"/>
        <w:widowControl w:val="0"/>
        <w:ind w:left="567" w:hanging="283"/>
        <w:rPr>
          <w:rFonts w:ascii="Times New Roman" w:hAnsi="Times New Roman"/>
          <w:noProof/>
        </w:rPr>
      </w:pPr>
      <w:r>
        <w:rPr>
          <w:rFonts w:ascii="Times New Roman" w:hAnsi="Times New Roman"/>
        </w:rPr>
        <w:t>c) noskaidrotu, kā aizdomās turamie vai cietušie sazinājušies (proti, ar kādu lietotņu vai pakalpojumu starpniecību);</w:t>
      </w:r>
    </w:p>
    <w:p w14:paraId="2F7C35C3" w14:textId="370802E6" w:rsidR="000E3283" w:rsidRPr="008D031E" w:rsidRDefault="00320152" w:rsidP="001F1E46">
      <w:pPr>
        <w:pStyle w:val="JuPara"/>
        <w:widowControl w:val="0"/>
        <w:ind w:left="567" w:hanging="283"/>
        <w:rPr>
          <w:rFonts w:ascii="Times New Roman" w:hAnsi="Times New Roman"/>
          <w:noProof/>
        </w:rPr>
      </w:pPr>
      <w:r>
        <w:rPr>
          <w:rFonts w:ascii="Times New Roman" w:hAnsi="Times New Roman"/>
        </w:rPr>
        <w:t>d) novērotu noziedzību tiešsaistē (piemēram, noskaidrojot tīmekļa vietnes, kuras apmeklētas terorisma, bērnu seksuālas izmantošanas vai šaujamieroču vai nelegālo narkotiku iegādes nolūkos) un</w:t>
      </w:r>
    </w:p>
    <w:p w14:paraId="3FA5C51C" w14:textId="79F6DFCE" w:rsidR="00320152" w:rsidRPr="008D031E" w:rsidRDefault="00320152" w:rsidP="001F1E46">
      <w:pPr>
        <w:pStyle w:val="JuPara"/>
        <w:widowControl w:val="0"/>
        <w:ind w:left="567" w:hanging="283"/>
        <w:rPr>
          <w:rFonts w:ascii="Times New Roman" w:hAnsi="Times New Roman"/>
          <w:noProof/>
        </w:rPr>
      </w:pPr>
      <w:r>
        <w:rPr>
          <w:rFonts w:ascii="Times New Roman" w:hAnsi="Times New Roman"/>
        </w:rPr>
        <w:t xml:space="preserve">e) mērķtiecīgi izmantotu datus (piemēram, lai noskaidrotu, kur, kad un ar ko kāda persona sazinājusies vai ko tā paziņojusi, kā tikusi piegādāta </w:t>
      </w:r>
      <w:proofErr w:type="spellStart"/>
      <w:r>
        <w:rPr>
          <w:rFonts w:ascii="Times New Roman" w:hAnsi="Times New Roman"/>
        </w:rPr>
        <w:t>ļaunprogrammatūra</w:t>
      </w:r>
      <w:proofErr w:type="spellEnd"/>
      <w:r>
        <w:rPr>
          <w:rFonts w:ascii="Times New Roman" w:hAnsi="Times New Roman"/>
        </w:rPr>
        <w:t xml:space="preserve"> vai noticis </w:t>
      </w:r>
      <w:proofErr w:type="spellStart"/>
      <w:r>
        <w:rPr>
          <w:rFonts w:ascii="Times New Roman" w:hAnsi="Times New Roman"/>
        </w:rPr>
        <w:t>pakalpojumatteices</w:t>
      </w:r>
      <w:proofErr w:type="spellEnd"/>
      <w:r>
        <w:rPr>
          <w:rFonts w:ascii="Times New Roman" w:hAnsi="Times New Roman"/>
        </w:rPr>
        <w:t xml:space="preserve"> uzbrukums, un lai apstiprinātu citus pierādījumus).</w:t>
      </w:r>
    </w:p>
    <w:p w14:paraId="3AA03B7A" w14:textId="401CB835" w:rsidR="000E3283" w:rsidRPr="008D031E" w:rsidRDefault="000E3283" w:rsidP="001F1E46">
      <w:pPr>
        <w:pStyle w:val="JuPara"/>
        <w:widowControl w:val="0"/>
        <w:ind w:firstLine="142"/>
        <w:rPr>
          <w:rFonts w:ascii="Times New Roman" w:hAnsi="Times New Roman"/>
          <w:noProof/>
        </w:rPr>
      </w:pPr>
      <w:bookmarkStart w:id="142" w:name="IRCD2"/>
      <w:r>
        <w:rPr>
          <w:rFonts w:ascii="Times New Roman" w:hAnsi="Times New Roman"/>
        </w:rPr>
        <w:t>154</w:t>
      </w:r>
      <w:bookmarkEnd w:id="142"/>
      <w:r>
        <w:rPr>
          <w:rFonts w:ascii="Times New Roman" w:hAnsi="Times New Roman"/>
        </w:rPr>
        <w:t>. Turklāt sakaru datus varēja analizēt ātri, līdz ar to padarot tos ārkārtīgi noderīgus ātras reaģēšanas operācijās, un sakaru datu izmantošana varētu vai nu radīt nepieciešamību īstenot daudz aizskarošākus pasākumus, vai arī sniegt informāciju, kuras dēļ citi pasākumi nebūtu vajadzīgi.</w:t>
      </w:r>
    </w:p>
    <w:p w14:paraId="30167EBA" w14:textId="30BF584D" w:rsidR="000E3283" w:rsidRPr="008D031E" w:rsidRDefault="000E3283" w:rsidP="001F1E46">
      <w:pPr>
        <w:pStyle w:val="JuPara"/>
        <w:widowControl w:val="0"/>
        <w:ind w:firstLine="142"/>
        <w:rPr>
          <w:rFonts w:ascii="Times New Roman" w:hAnsi="Times New Roman"/>
          <w:noProof/>
        </w:rPr>
      </w:pPr>
      <w:bookmarkStart w:id="143" w:name="QTEnd"/>
      <w:bookmarkStart w:id="144" w:name="IRCertificate"/>
      <w:r>
        <w:rPr>
          <w:rFonts w:ascii="Times New Roman" w:hAnsi="Times New Roman"/>
        </w:rPr>
        <w:t>155</w:t>
      </w:r>
      <w:bookmarkEnd w:id="143"/>
      <w:bookmarkEnd w:id="144"/>
      <w:r>
        <w:rPr>
          <w:rFonts w:ascii="Times New Roman" w:hAnsi="Times New Roman"/>
        </w:rPr>
        <w:t>. Neatkarīgā pārskatītāja priekšlikumus reformai var apkopot šādi:</w:t>
      </w:r>
    </w:p>
    <w:p w14:paraId="6A088361" w14:textId="6FCD6EBB" w:rsidR="000E3283" w:rsidRPr="008D031E" w:rsidRDefault="00320152" w:rsidP="001F1E46">
      <w:pPr>
        <w:pStyle w:val="JuPara"/>
        <w:widowControl w:val="0"/>
        <w:ind w:left="567" w:hanging="283"/>
        <w:rPr>
          <w:rFonts w:ascii="Times New Roman" w:hAnsi="Times New Roman"/>
          <w:noProof/>
        </w:rPr>
      </w:pPr>
      <w:r>
        <w:rPr>
          <w:rFonts w:ascii="Times New Roman" w:hAnsi="Times New Roman"/>
        </w:rPr>
        <w:t>a) izstrādāt visaptverošu un saprotamu jaunu tiesību aktu, kas aizstāj “pašreizējo pilnvaru pārpilnību” un paredz skaidrus ierobežojumus un drošības pasākumus jebkādām iejaukšanās pilnvarām, kuras valsts iestādēm, iespējams, nāktos izmantot;</w:t>
      </w:r>
    </w:p>
    <w:p w14:paraId="63A509F6" w14:textId="59F3786F" w:rsidR="000E3283" w:rsidRPr="008D031E" w:rsidRDefault="00FA666A" w:rsidP="001F1E46">
      <w:pPr>
        <w:pStyle w:val="JuPara"/>
        <w:widowControl w:val="0"/>
        <w:ind w:left="567" w:hanging="283"/>
        <w:rPr>
          <w:rFonts w:ascii="Times New Roman" w:hAnsi="Times New Roman"/>
          <w:noProof/>
        </w:rPr>
      </w:pPr>
      <w:r>
        <w:rPr>
          <w:rFonts w:ascii="Times New Roman" w:hAnsi="Times New Roman"/>
        </w:rPr>
        <w:t>b) pārskatīt un precizēt jēdzienu “saturs” un “sakaru dati” definīcijas;</w:t>
      </w:r>
    </w:p>
    <w:p w14:paraId="4D7C0785" w14:textId="14FD683D" w:rsidR="000E3283" w:rsidRPr="008D031E" w:rsidRDefault="00FA666A" w:rsidP="001F1E46">
      <w:pPr>
        <w:pStyle w:val="JuPara"/>
        <w:widowControl w:val="0"/>
        <w:ind w:left="567" w:hanging="283"/>
        <w:rPr>
          <w:rFonts w:ascii="Times New Roman" w:hAnsi="Times New Roman"/>
          <w:noProof/>
        </w:rPr>
      </w:pPr>
      <w:r>
        <w:rPr>
          <w:rFonts w:ascii="Times New Roman" w:hAnsi="Times New Roman"/>
        </w:rPr>
        <w:t>c) saglabāt drošības dienestu un izlūkdienestu pilnvaras masveidā apkopot pārtverto materiālu un saistītos sakaru datus, taču vienīgi atbilstoši stingriem papildu drošības pasākumiem, tostarp jaunās Neatkarīgās uzraudzības un izlūkošanas komisijas (turpmāk tekstā – “</w:t>
      </w:r>
      <w:proofErr w:type="spellStart"/>
      <w:r>
        <w:rPr>
          <w:rFonts w:ascii="Times New Roman" w:hAnsi="Times New Roman"/>
          <w:i/>
          <w:iCs/>
        </w:rPr>
        <w:t>ISIC</w:t>
      </w:r>
      <w:proofErr w:type="spellEnd"/>
      <w:r>
        <w:rPr>
          <w:rFonts w:ascii="Times New Roman" w:hAnsi="Times New Roman"/>
        </w:rPr>
        <w:t>”) tiesas komisāra atļaujai attiecībā uz visiem orderiem;</w:t>
      </w:r>
    </w:p>
    <w:p w14:paraId="2A395B66" w14:textId="1325DBF6" w:rsidR="000E3283" w:rsidRPr="008D031E" w:rsidRDefault="00FA666A" w:rsidP="001F1E46">
      <w:pPr>
        <w:pStyle w:val="JuPara"/>
        <w:widowControl w:val="0"/>
        <w:ind w:left="567" w:hanging="283"/>
        <w:rPr>
          <w:rFonts w:ascii="Times New Roman" w:hAnsi="Times New Roman"/>
          <w:noProof/>
        </w:rPr>
      </w:pPr>
      <w:r>
        <w:rPr>
          <w:rFonts w:ascii="Times New Roman" w:hAnsi="Times New Roman"/>
        </w:rPr>
        <w:t xml:space="preserve">d) orderim pievienotajā apliecinājumā formulēt mērķus, kādiem materiāls vai dati </w:t>
      </w:r>
      <w:r>
        <w:rPr>
          <w:rFonts w:ascii="Times New Roman" w:hAnsi="Times New Roman"/>
        </w:rPr>
        <w:lastRenderedPageBreak/>
        <w:t>nepieciešami, atsaucoties uz konkrētām operācijām vai misijas nolūkiem (piemēram, “</w:t>
      </w:r>
      <w:proofErr w:type="spellStart"/>
      <w:r>
        <w:rPr>
          <w:rFonts w:ascii="Times New Roman" w:hAnsi="Times New Roman"/>
          <w:i/>
          <w:iCs/>
        </w:rPr>
        <w:t>ISIL</w:t>
      </w:r>
      <w:proofErr w:type="spellEnd"/>
      <w:r>
        <w:rPr>
          <w:rFonts w:ascii="Times New Roman" w:hAnsi="Times New Roman"/>
        </w:rPr>
        <w:t xml:space="preserve"> uzbrukuma plānošana Irākā/Sīrijā pret Apvienoto Karalisti”);</w:t>
      </w:r>
    </w:p>
    <w:p w14:paraId="757428F9" w14:textId="64A112C8" w:rsidR="000E3283" w:rsidRPr="008D031E" w:rsidRDefault="00FA666A" w:rsidP="001F1E46">
      <w:pPr>
        <w:pStyle w:val="JuPara"/>
        <w:widowControl w:val="0"/>
        <w:ind w:left="567" w:hanging="283"/>
        <w:rPr>
          <w:rFonts w:ascii="Times New Roman" w:hAnsi="Times New Roman"/>
          <w:noProof/>
        </w:rPr>
      </w:pPr>
      <w:r>
        <w:rPr>
          <w:rFonts w:ascii="Times New Roman" w:hAnsi="Times New Roman"/>
        </w:rPr>
        <w:t>e) izveidot jaunu masveida pārtveršanas ordera formu, kas attiektos vienīgi uz sakaru datu ieguvi un konkrētos gadījumos būtu samērīgs risinājums;</w:t>
      </w:r>
    </w:p>
    <w:p w14:paraId="0454DF42" w14:textId="7030E0E6" w:rsidR="000E3283" w:rsidRPr="008D031E" w:rsidRDefault="00FA666A" w:rsidP="001F1E46">
      <w:pPr>
        <w:pStyle w:val="JuPara"/>
        <w:widowControl w:val="0"/>
        <w:ind w:left="567" w:hanging="283"/>
        <w:rPr>
          <w:rFonts w:ascii="Times New Roman" w:hAnsi="Times New Roman"/>
          <w:noProof/>
        </w:rPr>
      </w:pPr>
      <w:r>
        <w:rPr>
          <w:rFonts w:ascii="Times New Roman" w:hAnsi="Times New Roman"/>
        </w:rPr>
        <w:t xml:space="preserve">f) </w:t>
      </w:r>
      <w:proofErr w:type="spellStart"/>
      <w:r>
        <w:rPr>
          <w:rFonts w:ascii="Times New Roman" w:hAnsi="Times New Roman"/>
          <w:i/>
          <w:iCs/>
        </w:rPr>
        <w:t>ISIC</w:t>
      </w:r>
      <w:proofErr w:type="spellEnd"/>
      <w:r>
        <w:rPr>
          <w:rFonts w:ascii="Times New Roman" w:hAnsi="Times New Roman"/>
        </w:rPr>
        <w:t xml:space="preserve"> jāpārņem izlūkošanas pārraudzības funkcijas, un tai jābūt publiski pieejamai, pārredzamai un pieejamai plašsaziņas līdzekļiem un</w:t>
      </w:r>
    </w:p>
    <w:p w14:paraId="470591C3" w14:textId="53FA0B06" w:rsidR="000E3283" w:rsidRDefault="00FA666A" w:rsidP="001F1E46">
      <w:pPr>
        <w:pStyle w:val="JuPara"/>
        <w:widowControl w:val="0"/>
        <w:ind w:left="567" w:hanging="283"/>
        <w:rPr>
          <w:rFonts w:ascii="Times New Roman" w:hAnsi="Times New Roman"/>
          <w:noProof/>
        </w:rPr>
      </w:pPr>
      <w:r>
        <w:rPr>
          <w:rFonts w:ascii="Times New Roman" w:hAnsi="Times New Roman"/>
        </w:rPr>
        <w:t>g)</w:t>
      </w:r>
      <w:r>
        <w:rPr>
          <w:rFonts w:ascii="Times New Roman" w:hAnsi="Times New Roman"/>
          <w:i/>
          <w:iCs/>
        </w:rPr>
        <w:t xml:space="preserve"> </w:t>
      </w:r>
      <w:proofErr w:type="spellStart"/>
      <w:r>
        <w:rPr>
          <w:rFonts w:ascii="Times New Roman" w:hAnsi="Times New Roman"/>
          <w:i/>
          <w:iCs/>
        </w:rPr>
        <w:t>IPT</w:t>
      </w:r>
      <w:proofErr w:type="spellEnd"/>
      <w:r>
        <w:rPr>
          <w:rFonts w:ascii="Times New Roman" w:hAnsi="Times New Roman"/>
        </w:rPr>
        <w:t xml:space="preserve"> jābūt iespējai iesniegt paziņojumus par neatbilstību, un tās nolēmumi jāpārbauda kasācijas kārtībā.</w:t>
      </w:r>
    </w:p>
    <w:p w14:paraId="3C002652" w14:textId="77777777" w:rsidR="00FA666A" w:rsidRPr="008D031E" w:rsidRDefault="00FA666A" w:rsidP="001F1E46">
      <w:pPr>
        <w:pStyle w:val="JuPara"/>
        <w:widowControl w:val="0"/>
        <w:ind w:firstLine="0"/>
        <w:rPr>
          <w:rFonts w:ascii="Times New Roman" w:hAnsi="Times New Roman"/>
          <w:noProof/>
          <w:lang w:val="en-US"/>
        </w:rPr>
      </w:pPr>
    </w:p>
    <w:p w14:paraId="3BB5B4D1" w14:textId="59E620C4" w:rsidR="000E3283" w:rsidRDefault="00FA666A" w:rsidP="001F1E46">
      <w:pPr>
        <w:pStyle w:val="JuH1"/>
        <w:keepNext w:val="0"/>
        <w:keepLines w:val="0"/>
        <w:widowControl w:val="0"/>
        <w:numPr>
          <w:ilvl w:val="0"/>
          <w:numId w:val="0"/>
        </w:numPr>
        <w:spacing w:before="0" w:beforeAutospacing="0" w:after="0"/>
        <w:outlineLvl w:val="9"/>
        <w:rPr>
          <w:rFonts w:ascii="Times New Roman" w:hAnsi="Times New Roman"/>
          <w:noProof/>
        </w:rPr>
      </w:pPr>
      <w:bookmarkStart w:id="145" w:name="_Toc516820755"/>
      <w:r>
        <w:rPr>
          <w:rFonts w:ascii="Times New Roman" w:hAnsi="Times New Roman"/>
        </w:rPr>
        <w:t xml:space="preserve">4. Ziņojums “Demokrātiska atļauja rīkoties – ziņojums par neatkarīgas uzraudzības pārskatīšanu” [A </w:t>
      </w:r>
      <w:proofErr w:type="spellStart"/>
      <w:r>
        <w:rPr>
          <w:rFonts w:ascii="Times New Roman" w:hAnsi="Times New Roman"/>
        </w:rPr>
        <w:t>Democratic</w:t>
      </w:r>
      <w:proofErr w:type="spellEnd"/>
      <w:r>
        <w:rPr>
          <w:rFonts w:ascii="Times New Roman" w:hAnsi="Times New Roman"/>
        </w:rPr>
        <w:t xml:space="preserve"> Licence to </w:t>
      </w:r>
      <w:proofErr w:type="spellStart"/>
      <w:r>
        <w:rPr>
          <w:rFonts w:ascii="Times New Roman" w:hAnsi="Times New Roman"/>
        </w:rPr>
        <w:t>Operate</w:t>
      </w:r>
      <w:proofErr w:type="spellEnd"/>
      <w:r>
        <w:rPr>
          <w:rFonts w:ascii="Times New Roman" w:hAnsi="Times New Roman"/>
        </w:rPr>
        <w:t xml:space="preserve">: </w:t>
      </w:r>
      <w:proofErr w:type="spellStart"/>
      <w:r>
        <w:rPr>
          <w:rFonts w:ascii="Times New Roman" w:hAnsi="Times New Roman"/>
        </w:rPr>
        <w:t>Report</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Independent</w:t>
      </w:r>
      <w:proofErr w:type="spellEnd"/>
      <w:r>
        <w:rPr>
          <w:rFonts w:ascii="Times New Roman" w:hAnsi="Times New Roman"/>
        </w:rPr>
        <w:t xml:space="preserve"> </w:t>
      </w:r>
      <w:proofErr w:type="spellStart"/>
      <w:r>
        <w:rPr>
          <w:rFonts w:ascii="Times New Roman" w:hAnsi="Times New Roman"/>
        </w:rPr>
        <w:t>Surveillance</w:t>
      </w:r>
      <w:proofErr w:type="spellEnd"/>
      <w:r>
        <w:rPr>
          <w:rFonts w:ascii="Times New Roman" w:hAnsi="Times New Roman"/>
        </w:rPr>
        <w:t xml:space="preserve"> </w:t>
      </w:r>
      <w:proofErr w:type="spellStart"/>
      <w:r>
        <w:rPr>
          <w:rFonts w:ascii="Times New Roman" w:hAnsi="Times New Roman"/>
        </w:rPr>
        <w:t>Review</w:t>
      </w:r>
      <w:proofErr w:type="spellEnd"/>
      <w:r>
        <w:rPr>
          <w:rFonts w:ascii="Times New Roman" w:hAnsi="Times New Roman"/>
        </w:rPr>
        <w:t>] (turpmāk tekstā – “</w:t>
      </w:r>
      <w:proofErr w:type="spellStart"/>
      <w:r>
        <w:rPr>
          <w:rFonts w:ascii="Times New Roman" w:hAnsi="Times New Roman"/>
        </w:rPr>
        <w:t>ISR</w:t>
      </w:r>
      <w:proofErr w:type="spellEnd"/>
      <w:r>
        <w:rPr>
          <w:rFonts w:ascii="Times New Roman" w:hAnsi="Times New Roman"/>
        </w:rPr>
        <w:t>”)</w:t>
      </w:r>
      <w:bookmarkEnd w:id="145"/>
    </w:p>
    <w:p w14:paraId="3E90B716" w14:textId="77777777" w:rsidR="00FA666A" w:rsidRPr="00FA666A" w:rsidRDefault="00FA666A" w:rsidP="001F1E46">
      <w:pPr>
        <w:pStyle w:val="JuPara"/>
        <w:widowControl w:val="0"/>
        <w:rPr>
          <w:lang w:val="en-US"/>
        </w:rPr>
      </w:pPr>
    </w:p>
    <w:p w14:paraId="44E67AA3" w14:textId="30A36813" w:rsidR="000E3283" w:rsidRPr="008D031E" w:rsidRDefault="000E3283" w:rsidP="001F1E46">
      <w:pPr>
        <w:pStyle w:val="JuPara"/>
        <w:widowControl w:val="0"/>
        <w:ind w:firstLine="142"/>
        <w:rPr>
          <w:rFonts w:ascii="Times New Roman" w:hAnsi="Times New Roman"/>
          <w:noProof/>
        </w:rPr>
      </w:pPr>
      <w:bookmarkStart w:id="146" w:name="ISRStart"/>
      <w:r>
        <w:rPr>
          <w:rFonts w:ascii="Times New Roman" w:hAnsi="Times New Roman"/>
        </w:rPr>
        <w:t>156</w:t>
      </w:r>
      <w:bookmarkEnd w:id="146"/>
      <w:r>
        <w:rPr>
          <w:rFonts w:ascii="Times New Roman" w:hAnsi="Times New Roman"/>
        </w:rPr>
        <w:t xml:space="preserve">. </w:t>
      </w:r>
      <w:proofErr w:type="spellStart"/>
      <w:r>
        <w:rPr>
          <w:rFonts w:ascii="Times New Roman" w:hAnsi="Times New Roman"/>
          <w:i/>
          <w:iCs/>
        </w:rPr>
        <w:t>ISR</w:t>
      </w:r>
      <w:proofErr w:type="spellEnd"/>
      <w:r>
        <w:rPr>
          <w:rFonts w:ascii="Times New Roman" w:hAnsi="Times New Roman"/>
        </w:rPr>
        <w:t xml:space="preserve"> pēc toreizējā Ministru prezidenta vietnieka lūguma sagatavoja neatkarīgā ideju laboratorija “</w:t>
      </w:r>
      <w:proofErr w:type="spellStart"/>
      <w:r>
        <w:rPr>
          <w:rFonts w:ascii="Times New Roman" w:hAnsi="Times New Roman"/>
        </w:rPr>
        <w:t>Royal</w:t>
      </w:r>
      <w:proofErr w:type="spellEnd"/>
      <w:r>
        <w:rPr>
          <w:rFonts w:ascii="Times New Roman" w:hAnsi="Times New Roman"/>
        </w:rPr>
        <w:t xml:space="preserve"> </w:t>
      </w:r>
      <w:proofErr w:type="spellStart"/>
      <w:r>
        <w:rPr>
          <w:rFonts w:ascii="Times New Roman" w:hAnsi="Times New Roman"/>
        </w:rPr>
        <w:t>United</w:t>
      </w:r>
      <w:proofErr w:type="spellEnd"/>
      <w:r>
        <w:rPr>
          <w:rFonts w:ascii="Times New Roman" w:hAnsi="Times New Roman"/>
        </w:rPr>
        <w:t xml:space="preserve"> Services </w:t>
      </w:r>
      <w:proofErr w:type="spellStart"/>
      <w:r>
        <w:rPr>
          <w:rFonts w:ascii="Times New Roman" w:hAnsi="Times New Roman"/>
        </w:rPr>
        <w:t>Institute</w:t>
      </w:r>
      <w:proofErr w:type="spellEnd"/>
      <w:r>
        <w:rPr>
          <w:rFonts w:ascii="Times New Roman" w:hAnsi="Times New Roman"/>
        </w:rPr>
        <w:t xml:space="preserve">”, daļēji atbildot uz </w:t>
      </w:r>
      <w:proofErr w:type="spellStart"/>
      <w:r>
        <w:rPr>
          <w:rFonts w:ascii="Times New Roman" w:hAnsi="Times New Roman"/>
        </w:rPr>
        <w:t>Edvarda</w:t>
      </w:r>
      <w:proofErr w:type="spellEnd"/>
      <w:r>
        <w:rPr>
          <w:rFonts w:ascii="Times New Roman" w:hAnsi="Times New Roman"/>
        </w:rPr>
        <w:t xml:space="preserve"> </w:t>
      </w:r>
      <w:proofErr w:type="spellStart"/>
      <w:r>
        <w:rPr>
          <w:rFonts w:ascii="Times New Roman" w:hAnsi="Times New Roman"/>
        </w:rPr>
        <w:t>Snoudena</w:t>
      </w:r>
      <w:proofErr w:type="spellEnd"/>
      <w:r>
        <w:rPr>
          <w:rFonts w:ascii="Times New Roman" w:hAnsi="Times New Roman"/>
        </w:rPr>
        <w:t xml:space="preserve"> atklāto informāciju. Tās uzdevums bija aplūkot Apvienotās Karalistes uzraudzības programmu likumību un to režīmu efektivitāti, kas tās pārvaldīja, kā arī ierosināt reformas, kas varētu būt nepieciešamas, lai aizsargātu gan personas tiesības uz privātās dzīves neaizskaramību, gan nepieciešamās policijas, drošības dienestu un izlūkdienestu pilnvaras.</w:t>
      </w:r>
    </w:p>
    <w:p w14:paraId="58FB8858" w14:textId="07860F66" w:rsidR="000E3283" w:rsidRPr="008D031E" w:rsidRDefault="000E3283" w:rsidP="001F1E46">
      <w:pPr>
        <w:pStyle w:val="JuPara"/>
        <w:widowControl w:val="0"/>
        <w:ind w:firstLine="142"/>
        <w:rPr>
          <w:rFonts w:ascii="Times New Roman" w:hAnsi="Times New Roman"/>
          <w:noProof/>
        </w:rPr>
      </w:pPr>
      <w:bookmarkStart w:id="147" w:name="ISRClarity"/>
      <w:r>
        <w:rPr>
          <w:rFonts w:ascii="Times New Roman" w:hAnsi="Times New Roman"/>
        </w:rPr>
        <w:t>157</w:t>
      </w:r>
      <w:bookmarkEnd w:id="147"/>
      <w:r>
        <w:rPr>
          <w:rFonts w:ascii="Times New Roman" w:hAnsi="Times New Roman"/>
        </w:rPr>
        <w:t xml:space="preserve">. Pēc pārskatīšanas veikšanas </w:t>
      </w:r>
      <w:proofErr w:type="spellStart"/>
      <w:r>
        <w:rPr>
          <w:rFonts w:ascii="Times New Roman" w:hAnsi="Times New Roman"/>
          <w:i/>
          <w:iCs/>
        </w:rPr>
        <w:t>ISR</w:t>
      </w:r>
      <w:proofErr w:type="spellEnd"/>
      <w:r>
        <w:rPr>
          <w:rFonts w:ascii="Times New Roman" w:hAnsi="Times New Roman"/>
        </w:rPr>
        <w:t xml:space="preserve"> nesniedza pierādījumus tam, ka Lielbritānijas valdība apzināti rīkojās pretlikumīgi, pārtverot privātos sakarus, vai ka Valdība izmantojusi iespēju apkopot datus masveidā, lai nodrošinātu tai pastāvīgu iejaukšanos Lielbritānijas pilsoņu tiesībās uz privātās dzīves neaizskaramību. Tomēr tā sniedza pierādījumus, ka pašreizējais tiesiskais regulējums, kas pieļāva sakaru pārtveršanu, bija neskaidrs, atpalicis no sasniegumiem sakaru tehnoloģiju jomā un nebija apmierinošs ne Valdībai, ne sabiedrībai. Tādēļ tajā secināja, ka nepieciešams jauns, visaptverošs un skaidrāks tiesiskais regulējums.</w:t>
      </w:r>
    </w:p>
    <w:p w14:paraId="44AA7C99" w14:textId="243A269B" w:rsidR="000E3283" w:rsidRPr="008D031E" w:rsidRDefault="000E3283" w:rsidP="001F1E46">
      <w:pPr>
        <w:pStyle w:val="JuPara"/>
        <w:widowControl w:val="0"/>
        <w:ind w:firstLine="142"/>
        <w:rPr>
          <w:rFonts w:ascii="Times New Roman" w:hAnsi="Times New Roman"/>
          <w:noProof/>
        </w:rPr>
      </w:pPr>
      <w:r>
        <w:rPr>
          <w:rFonts w:ascii="Times New Roman" w:hAnsi="Times New Roman"/>
        </w:rPr>
        <w:t xml:space="preserve">158. Tajā īpaši atbalstīts gan </w:t>
      </w:r>
      <w:proofErr w:type="spellStart"/>
      <w:r>
        <w:rPr>
          <w:rFonts w:ascii="Times New Roman" w:hAnsi="Times New Roman"/>
          <w:i/>
          <w:iCs/>
        </w:rPr>
        <w:t>ISC</w:t>
      </w:r>
      <w:proofErr w:type="spellEnd"/>
      <w:r>
        <w:rPr>
          <w:rFonts w:ascii="Times New Roman" w:hAnsi="Times New Roman"/>
        </w:rPr>
        <w:t>, gan Andersona ziņojumā izklāstītais viedoklis, ka, lai gan pašreizējās uzraudzības pilnvaras ir nepieciešamas, ir vajadzīgs gan jauns tiesiskais regulējums, gan pārraudzības režīms. Tajā arī norādīts, ka jēdzienu “saturs” un “sakaru dati” definīcijas jaunā tiesiskā regulējuma izstrādes ietvaros ir jāpārskata, lai tās varētu skaidri noteikt šajā tiesību aktā.</w:t>
      </w:r>
    </w:p>
    <w:p w14:paraId="5B7AD13F" w14:textId="2FE767B3" w:rsidR="000E3283" w:rsidRPr="008D031E" w:rsidRDefault="000E3283" w:rsidP="001F1E46">
      <w:pPr>
        <w:pStyle w:val="JuPara"/>
        <w:widowControl w:val="0"/>
        <w:ind w:firstLine="142"/>
        <w:rPr>
          <w:rFonts w:ascii="Times New Roman" w:hAnsi="Times New Roman"/>
          <w:noProof/>
        </w:rPr>
      </w:pPr>
      <w:bookmarkStart w:id="148" w:name="ISRCD"/>
      <w:r>
        <w:rPr>
          <w:rFonts w:ascii="Times New Roman" w:hAnsi="Times New Roman"/>
        </w:rPr>
        <w:t>159</w:t>
      </w:r>
      <w:bookmarkEnd w:id="148"/>
      <w:r>
        <w:rPr>
          <w:rFonts w:ascii="Times New Roman" w:hAnsi="Times New Roman"/>
        </w:rPr>
        <w:t>. Attiecībā uz sakaru datiem ziņojumā norādīts, ka personai bija pieejami lielāki apjomi salīdzinājumā ar saturu, jo katru satura daļu aptver vairākas sakaru datu vienības. Turklāt datu kopu apkopošana varētu sniegt ļoti precīzu priekšstatu par personas dzīvi, ņemot vērā, ka ar pietiekami daudz neapstrādātiem datiem, algoritmiem un jaudīgiem datoriem iespējams ģenerēt skaidru priekšstatu par personu un tās rīcības iezīmēm, pat nepiekļūstot saturam. Tāpat arvien sarežģītāku šifrēšanas metožu izmantošana padarījusi saturu arvien grūtāk pieejamu.</w:t>
      </w:r>
    </w:p>
    <w:p w14:paraId="11BA4BA9" w14:textId="3720EE08" w:rsidR="000E3283" w:rsidRPr="008D031E" w:rsidRDefault="000E3283" w:rsidP="001F1E46">
      <w:pPr>
        <w:pStyle w:val="JuPara"/>
        <w:widowControl w:val="0"/>
        <w:ind w:firstLine="142"/>
        <w:rPr>
          <w:rFonts w:ascii="Times New Roman" w:hAnsi="Times New Roman"/>
          <w:noProof/>
        </w:rPr>
      </w:pPr>
      <w:r>
        <w:rPr>
          <w:rFonts w:ascii="Times New Roman" w:hAnsi="Times New Roman"/>
        </w:rPr>
        <w:t>160. Ziņojumā arī norādīts, ka ir jāsaglabā drošības dienestu un izlūkdienestu pilnvaras vākt un analizēt pārtverto materiālu masveidā, taču ar stingrākiem aizsardzības pasākumiem, kā rekomendēts Andersona ziņojumā. Jo īpaši tajā atzīts, ka masveida pārtveršanas orderos jāietver daudz detalizētāka informācija un ka attiecībā uz tiem jāsaņem tiesas atļauja, izņemot tad, kad pieprasījums iesniegts steidzamības kārtā.</w:t>
      </w:r>
    </w:p>
    <w:p w14:paraId="32F549D8" w14:textId="1B1DD081" w:rsidR="000E3283" w:rsidRPr="008D031E" w:rsidRDefault="000E3283" w:rsidP="001F1E46">
      <w:pPr>
        <w:pStyle w:val="JuPara"/>
        <w:widowControl w:val="0"/>
        <w:ind w:firstLine="142"/>
        <w:rPr>
          <w:rFonts w:ascii="Times New Roman" w:hAnsi="Times New Roman"/>
          <w:noProof/>
        </w:rPr>
      </w:pPr>
      <w:r>
        <w:rPr>
          <w:rFonts w:ascii="Times New Roman" w:hAnsi="Times New Roman"/>
        </w:rPr>
        <w:t xml:space="preserve">161. Papildus tajā atbalstīts gan </w:t>
      </w:r>
      <w:proofErr w:type="spellStart"/>
      <w:r>
        <w:rPr>
          <w:rFonts w:ascii="Times New Roman" w:hAnsi="Times New Roman"/>
          <w:i/>
          <w:iCs/>
        </w:rPr>
        <w:t>ISC</w:t>
      </w:r>
      <w:proofErr w:type="spellEnd"/>
      <w:r>
        <w:rPr>
          <w:rFonts w:ascii="Times New Roman" w:hAnsi="Times New Roman"/>
        </w:rPr>
        <w:t>, gan Andersona ziņojumā apgalvotais, ka jāparedz dažādi orderu veidi sakaru un saistīto datu pārtveršanai un iegūšanai. Tajā ierosināts, ka orderi, ko izdod smagu noziegumu un organizētas noziedzības atklāšanai vai novēršanai, vienmēr jāapstiprina tiesas komisāram, savukārt orderi, ko izdod valsts drošības interesēs, jāapstiprina valsts sekretāram un tiesā jāpārskata tiesas komisāram.</w:t>
      </w:r>
      <w:bookmarkStart w:id="149" w:name="DAEnd"/>
    </w:p>
    <w:p w14:paraId="071EA6D5" w14:textId="3C7E423B" w:rsidR="000E3283" w:rsidRDefault="000E3283" w:rsidP="001F1E46">
      <w:pPr>
        <w:pStyle w:val="JuPara"/>
        <w:widowControl w:val="0"/>
        <w:ind w:firstLine="142"/>
        <w:rPr>
          <w:rFonts w:ascii="Times New Roman" w:hAnsi="Times New Roman"/>
          <w:noProof/>
        </w:rPr>
      </w:pPr>
      <w:r>
        <w:rPr>
          <w:rFonts w:ascii="Times New Roman" w:hAnsi="Times New Roman"/>
        </w:rPr>
        <w:t>162</w:t>
      </w:r>
      <w:bookmarkEnd w:id="149"/>
      <w:r>
        <w:rPr>
          <w:rFonts w:ascii="Times New Roman" w:hAnsi="Times New Roman"/>
        </w:rPr>
        <w:t xml:space="preserve">. </w:t>
      </w:r>
      <w:proofErr w:type="spellStart"/>
      <w:r>
        <w:rPr>
          <w:rFonts w:ascii="Times New Roman" w:hAnsi="Times New Roman"/>
          <w:i/>
          <w:iCs/>
        </w:rPr>
        <w:t>ISR</w:t>
      </w:r>
      <w:proofErr w:type="spellEnd"/>
      <w:r>
        <w:rPr>
          <w:rFonts w:ascii="Times New Roman" w:hAnsi="Times New Roman"/>
        </w:rPr>
        <w:t xml:space="preserve"> attiecībā uz </w:t>
      </w:r>
      <w:proofErr w:type="spellStart"/>
      <w:r>
        <w:rPr>
          <w:rFonts w:ascii="Times New Roman" w:hAnsi="Times New Roman"/>
          <w:i/>
          <w:iCs/>
        </w:rPr>
        <w:t>IPT</w:t>
      </w:r>
      <w:proofErr w:type="spellEnd"/>
      <w:r>
        <w:rPr>
          <w:rFonts w:ascii="Times New Roman" w:hAnsi="Times New Roman"/>
        </w:rPr>
        <w:t xml:space="preserve"> ieteica rīkot atklātu paskaidrojumu uzklausīšanu, izņemot tad, kad tās ieskatā privāta vai slēgta paskaidrojumu uzklausīšana ir nepieciešama taisnīguma vai citu apzināmu sabiedrības interešu dēļ. Turklāt </w:t>
      </w:r>
      <w:proofErr w:type="spellStart"/>
      <w:r>
        <w:rPr>
          <w:rFonts w:ascii="Times New Roman" w:hAnsi="Times New Roman"/>
          <w:i/>
          <w:iCs/>
        </w:rPr>
        <w:t>IPT</w:t>
      </w:r>
      <w:proofErr w:type="spellEnd"/>
      <w:r>
        <w:rPr>
          <w:rFonts w:ascii="Times New Roman" w:hAnsi="Times New Roman"/>
        </w:rPr>
        <w:t xml:space="preserve"> jābūt iespējai pārbaudīt tai iesniegtos slepenos </w:t>
      </w:r>
      <w:r>
        <w:rPr>
          <w:rFonts w:ascii="Times New Roman" w:hAnsi="Times New Roman"/>
        </w:rPr>
        <w:lastRenderedPageBreak/>
        <w:t xml:space="preserve">pierādījumus, iespējams, ieceļot īpašo padomnieku. Visbeidzot, tajā atbalstīts </w:t>
      </w:r>
      <w:proofErr w:type="spellStart"/>
      <w:r>
        <w:rPr>
          <w:rFonts w:ascii="Times New Roman" w:hAnsi="Times New Roman"/>
          <w:i/>
          <w:iCs/>
        </w:rPr>
        <w:t>ISC</w:t>
      </w:r>
      <w:proofErr w:type="spellEnd"/>
      <w:r>
        <w:rPr>
          <w:rFonts w:ascii="Times New Roman" w:hAnsi="Times New Roman"/>
        </w:rPr>
        <w:t xml:space="preserve"> un Andersona ziņojumā apgalvotais, ka valsts pārsūdzības tiesības ir svarīgas un ir jāņem vērā turpmākajā tiesiskajā regulējumā.</w:t>
      </w:r>
    </w:p>
    <w:p w14:paraId="5CB146B0" w14:textId="77777777" w:rsidR="00CE3392" w:rsidRPr="008D031E" w:rsidRDefault="00CE3392" w:rsidP="001F1E46">
      <w:pPr>
        <w:pStyle w:val="JuPara"/>
        <w:widowControl w:val="0"/>
        <w:ind w:firstLine="142"/>
        <w:rPr>
          <w:rFonts w:ascii="Times New Roman" w:hAnsi="Times New Roman"/>
          <w:noProof/>
          <w:lang w:val="en-US"/>
        </w:rPr>
      </w:pPr>
    </w:p>
    <w:p w14:paraId="3DF2F82B" w14:textId="02B34CC3" w:rsidR="000E3283" w:rsidRDefault="00CE3392" w:rsidP="001F1E46">
      <w:pPr>
        <w:pStyle w:val="JuH1"/>
        <w:keepNext w:val="0"/>
        <w:keepLines w:val="0"/>
        <w:widowControl w:val="0"/>
        <w:numPr>
          <w:ilvl w:val="0"/>
          <w:numId w:val="0"/>
        </w:numPr>
        <w:spacing w:before="0" w:beforeAutospacing="0" w:after="0"/>
        <w:outlineLvl w:val="9"/>
        <w:rPr>
          <w:rFonts w:ascii="Times New Roman" w:hAnsi="Times New Roman"/>
          <w:noProof/>
        </w:rPr>
      </w:pPr>
      <w:bookmarkStart w:id="150" w:name="_Toc516820756"/>
      <w:r>
        <w:rPr>
          <w:rFonts w:ascii="Times New Roman" w:hAnsi="Times New Roman"/>
        </w:rPr>
        <w:t>5. Ziņojums par masveida pārtveršanas pilnvaru pārskatīšanu</w:t>
      </w:r>
      <w:bookmarkEnd w:id="150"/>
    </w:p>
    <w:p w14:paraId="64CA953B" w14:textId="77777777" w:rsidR="00CE3392" w:rsidRPr="00CE3392" w:rsidRDefault="00CE3392" w:rsidP="001F1E46">
      <w:pPr>
        <w:pStyle w:val="JuPara"/>
        <w:widowControl w:val="0"/>
        <w:rPr>
          <w:lang w:val="en-US"/>
        </w:rPr>
      </w:pPr>
    </w:p>
    <w:p w14:paraId="2D276BB4" w14:textId="11B72B62" w:rsidR="000E3283" w:rsidRPr="008D031E" w:rsidRDefault="000E3283" w:rsidP="001F1E46">
      <w:pPr>
        <w:pStyle w:val="JuPara"/>
        <w:widowControl w:val="0"/>
        <w:ind w:firstLine="142"/>
        <w:rPr>
          <w:rFonts w:ascii="Times New Roman" w:hAnsi="Times New Roman"/>
          <w:noProof/>
        </w:rPr>
      </w:pPr>
      <w:bookmarkStart w:id="151" w:name="DABPStart"/>
      <w:r>
        <w:rPr>
          <w:rFonts w:ascii="Times New Roman" w:hAnsi="Times New Roman"/>
        </w:rPr>
        <w:t>163</w:t>
      </w:r>
      <w:bookmarkEnd w:id="151"/>
      <w:r>
        <w:rPr>
          <w:rFonts w:ascii="Times New Roman" w:hAnsi="Times New Roman"/>
        </w:rPr>
        <w:t>. Masveida pārtveršanas pilnvaru pārskatīšana tika veikta 2016. gada maijā, lai izvērtētu operatīvo pamatojumu četrām masveida pārtveršanas pilnvarām, ko paredzēja toreizējais Izmeklēšanas pilnvaru likumprojekts [</w:t>
      </w:r>
      <w:proofErr w:type="spellStart"/>
      <w:r>
        <w:rPr>
          <w:rFonts w:ascii="Times New Roman" w:hAnsi="Times New Roman"/>
          <w:i/>
          <w:iCs/>
        </w:rPr>
        <w:t>Investigatory</w:t>
      </w:r>
      <w:proofErr w:type="spellEnd"/>
      <w:r>
        <w:rPr>
          <w:rFonts w:ascii="Times New Roman" w:hAnsi="Times New Roman"/>
          <w:i/>
          <w:iCs/>
        </w:rPr>
        <w:t xml:space="preserve"> </w:t>
      </w:r>
      <w:proofErr w:type="spellStart"/>
      <w:r>
        <w:rPr>
          <w:rFonts w:ascii="Times New Roman" w:hAnsi="Times New Roman"/>
          <w:i/>
          <w:iCs/>
        </w:rPr>
        <w:t>Powers</w:t>
      </w:r>
      <w:proofErr w:type="spellEnd"/>
      <w:r>
        <w:rPr>
          <w:rFonts w:ascii="Times New Roman" w:hAnsi="Times New Roman"/>
          <w:i/>
          <w:iCs/>
        </w:rPr>
        <w:t xml:space="preserve"> </w:t>
      </w:r>
      <w:proofErr w:type="spellStart"/>
      <w:r>
        <w:rPr>
          <w:rFonts w:ascii="Times New Roman" w:hAnsi="Times New Roman"/>
          <w:i/>
          <w:iCs/>
        </w:rPr>
        <w:t>Bill</w:t>
      </w:r>
      <w:proofErr w:type="spellEnd"/>
      <w:r>
        <w:rPr>
          <w:rFonts w:ascii="Times New Roman" w:hAnsi="Times New Roman"/>
        </w:rPr>
        <w:t>] (tagad 2016. gada Izmeklēšanas pilnvaru likums, skat. turpmāk 183.–190. punktu). Šīs pilnvaras attiecās uz sakaru datu masveida pārtveršanu un iegūšanu, masveida pārtveršanas iekārtu traucējumiem un personas datu kopu masveida iegūšanu.</w:t>
      </w:r>
    </w:p>
    <w:p w14:paraId="5C5BA950" w14:textId="6CBDAC0E" w:rsidR="000E3283" w:rsidRPr="008D031E" w:rsidRDefault="000E3283" w:rsidP="001F1E46">
      <w:pPr>
        <w:pStyle w:val="JuPara"/>
        <w:widowControl w:val="0"/>
        <w:ind w:firstLine="142"/>
        <w:rPr>
          <w:rFonts w:ascii="Times New Roman" w:hAnsi="Times New Roman"/>
          <w:noProof/>
        </w:rPr>
      </w:pPr>
      <w:r>
        <w:rPr>
          <w:rFonts w:ascii="Times New Roman" w:hAnsi="Times New Roman"/>
        </w:rPr>
        <w:t xml:space="preserve">164. Neatkarīgais terorisma apkarošanas tiesiskā regulējuma pārskatītājs veica atkārtotu pārskatīšanu. Lai veiktu šo pārskatīšanu, viņš piesaistīja trīs komandas locekļus, kuriem visiem bija nepieciešamā drošības pielaide, lai piekļūtu ļoti konfidenciāliem materiāliem, tostarp personu ar nepieciešamo tehnisko pieredzi, lai izprastu </w:t>
      </w:r>
      <w:proofErr w:type="spellStart"/>
      <w:r>
        <w:rPr>
          <w:rFonts w:ascii="Times New Roman" w:hAnsi="Times New Roman"/>
          <w:i/>
          <w:iCs/>
        </w:rPr>
        <w:t>GCHQ</w:t>
      </w:r>
      <w:proofErr w:type="spellEnd"/>
      <w:r>
        <w:rPr>
          <w:rFonts w:ascii="Times New Roman" w:hAnsi="Times New Roman"/>
        </w:rPr>
        <w:t xml:space="preserve"> izmantotās sistēmas, paņēmienus un to izmantošanas veidus, kā arī izmeklētāju ar slepenu, tostarp </w:t>
      </w:r>
      <w:proofErr w:type="spellStart"/>
      <w:r>
        <w:rPr>
          <w:rFonts w:ascii="Times New Roman" w:hAnsi="Times New Roman"/>
          <w:i/>
          <w:iCs/>
        </w:rPr>
        <w:t>GCHQ</w:t>
      </w:r>
      <w:proofErr w:type="spellEnd"/>
      <w:r>
        <w:rPr>
          <w:rFonts w:ascii="Times New Roman" w:hAnsi="Times New Roman"/>
        </w:rPr>
        <w:t xml:space="preserve"> radītu, </w:t>
      </w:r>
      <w:proofErr w:type="spellStart"/>
      <w:r>
        <w:rPr>
          <w:rFonts w:ascii="Times New Roman" w:hAnsi="Times New Roman"/>
        </w:rPr>
        <w:t>izlūkdatu</w:t>
      </w:r>
      <w:proofErr w:type="spellEnd"/>
      <w:r>
        <w:rPr>
          <w:rFonts w:ascii="Times New Roman" w:hAnsi="Times New Roman"/>
        </w:rPr>
        <w:t xml:space="preserve"> lietotāja pieredzi un vecāko neatkarīgo konsultantu ar nepieciešamajām prasmēm un pieredzi, lai </w:t>
      </w:r>
      <w:proofErr w:type="spellStart"/>
      <w:r>
        <w:rPr>
          <w:rFonts w:ascii="Times New Roman" w:hAnsi="Times New Roman"/>
        </w:rPr>
        <w:t>kriminālistiskā</w:t>
      </w:r>
      <w:proofErr w:type="spellEnd"/>
      <w:r>
        <w:rPr>
          <w:rFonts w:ascii="Times New Roman" w:hAnsi="Times New Roman"/>
        </w:rPr>
        <w:t xml:space="preserve"> veidā izpētītu pierādījumus un situāciju analīzi, ko iesnieguši drošības dienesti un izlūkdienesti.</w:t>
      </w:r>
    </w:p>
    <w:p w14:paraId="437B427F" w14:textId="2EC2E06A" w:rsidR="000E3283" w:rsidRPr="008D031E" w:rsidRDefault="000E3283" w:rsidP="001F1E46">
      <w:pPr>
        <w:pStyle w:val="JuPara"/>
        <w:widowControl w:val="0"/>
        <w:ind w:firstLine="142"/>
        <w:rPr>
          <w:rFonts w:ascii="Times New Roman" w:hAnsi="Times New Roman"/>
          <w:noProof/>
        </w:rPr>
      </w:pPr>
      <w:r>
        <w:rPr>
          <w:rFonts w:ascii="Times New Roman" w:hAnsi="Times New Roman"/>
        </w:rPr>
        <w:t xml:space="preserve">165. Šīs pārskatīšanas gaitā grupa aktīvi un detalizēti kontaktējās ar izlūkdienestiem visos līmeņos, kā arī ar attiecīgajām pārraudzības iestādēm (tostarp </w:t>
      </w:r>
      <w:proofErr w:type="spellStart"/>
      <w:r>
        <w:rPr>
          <w:rFonts w:ascii="Times New Roman" w:hAnsi="Times New Roman"/>
          <w:i/>
          <w:iCs/>
        </w:rPr>
        <w:t>IPT</w:t>
      </w:r>
      <w:proofErr w:type="spellEnd"/>
      <w:r>
        <w:rPr>
          <w:rFonts w:ascii="Times New Roman" w:hAnsi="Times New Roman"/>
        </w:rPr>
        <w:t xml:space="preserve"> un tiesas padomnieku), NVO un neatkarīgiem tehniskajiem ekspertiem.</w:t>
      </w:r>
    </w:p>
    <w:p w14:paraId="6AB2D335" w14:textId="0B9E92E9" w:rsidR="000E3283" w:rsidRDefault="000E3283" w:rsidP="001F1E46">
      <w:pPr>
        <w:pStyle w:val="JuPara"/>
        <w:widowControl w:val="0"/>
        <w:ind w:firstLine="142"/>
        <w:rPr>
          <w:rFonts w:ascii="Times New Roman" w:hAnsi="Times New Roman"/>
          <w:noProof/>
        </w:rPr>
      </w:pPr>
      <w:bookmarkStart w:id="152" w:name="DABPEnd"/>
      <w:r>
        <w:rPr>
          <w:rFonts w:ascii="Times New Roman" w:hAnsi="Times New Roman"/>
        </w:rPr>
        <w:t>166</w:t>
      </w:r>
      <w:bookmarkEnd w:id="152"/>
      <w:r>
        <w:rPr>
          <w:rFonts w:ascii="Times New Roman" w:hAnsi="Times New Roman"/>
        </w:rPr>
        <w:t xml:space="preserve">. Lai gan Izmeklēšanas pilnvaru likumprojekts tika pārskatīts, vairāki tā konstatējumi saistībā ar masveida pārtveršanu attiecās uz šo lietu. Pārbaudot lielu apjomu konfidenciāla materiāla, pēc pārskatīšanas tika secināts, ka masveida pārtveršana ir svarīga pilnvara, pirmkārt, tāpēc, ka teroristu, noziedzīgo un naidīgo ārvalstu izlūkdienestu rīcība ir kļuvusi daudz rafinētāka, lai tos nevarētu atklāt ar tradicionāliem līdzekļiem, un, otrkārt, tāpēc, ka globālā interneta iezīmju dēļ maršruts, pa kuru konkrētie sakari tiek pārraidīti, bija kļuvis ļoti neparedzams. Pārskatīšanas grupa izvērtēja masveida pārtveršanas alternatīvas (tostarp mērķētu pārtveršanu, kā arī cilvēkresursu un komerciālo </w:t>
      </w:r>
      <w:proofErr w:type="spellStart"/>
      <w:r>
        <w:rPr>
          <w:rFonts w:ascii="Times New Roman" w:hAnsi="Times New Roman"/>
        </w:rPr>
        <w:t>kiberaizsardzības</w:t>
      </w:r>
      <w:proofErr w:type="spellEnd"/>
      <w:r>
        <w:rPr>
          <w:rFonts w:ascii="Times New Roman" w:hAnsi="Times New Roman"/>
        </w:rPr>
        <w:t xml:space="preserve"> produktu izmantošanu), taču tā secināja, ka neviena alternatīva vai alternatīvu kombinācija nebūtu pietiekama, lai aizstātu masveida pārtveršanas pilnvaras kā nepieciešamo </w:t>
      </w:r>
      <w:proofErr w:type="spellStart"/>
      <w:r>
        <w:rPr>
          <w:rFonts w:ascii="Times New Roman" w:hAnsi="Times New Roman"/>
        </w:rPr>
        <w:t>izlūkdatu</w:t>
      </w:r>
      <w:proofErr w:type="spellEnd"/>
      <w:r>
        <w:rPr>
          <w:rFonts w:ascii="Times New Roman" w:hAnsi="Times New Roman"/>
        </w:rPr>
        <w:t xml:space="preserve"> iegūšanas metodi.</w:t>
      </w:r>
    </w:p>
    <w:p w14:paraId="2F2A8A74" w14:textId="77777777" w:rsidR="00CE3392" w:rsidRPr="008D031E" w:rsidRDefault="00CE3392" w:rsidP="001F1E46">
      <w:pPr>
        <w:pStyle w:val="JuPara"/>
        <w:widowControl w:val="0"/>
        <w:ind w:firstLine="142"/>
        <w:rPr>
          <w:rFonts w:ascii="Times New Roman" w:hAnsi="Times New Roman"/>
          <w:noProof/>
          <w:lang w:val="en-US"/>
        </w:rPr>
      </w:pPr>
    </w:p>
    <w:p w14:paraId="695D869F" w14:textId="0D7BED8A" w:rsidR="000E3283" w:rsidRDefault="00CE3392" w:rsidP="001F1E46">
      <w:pPr>
        <w:pStyle w:val="JuH1"/>
        <w:keepNext w:val="0"/>
        <w:keepLines w:val="0"/>
        <w:widowControl w:val="0"/>
        <w:numPr>
          <w:ilvl w:val="0"/>
          <w:numId w:val="0"/>
        </w:numPr>
        <w:spacing w:before="0" w:beforeAutospacing="0" w:after="0"/>
        <w:outlineLvl w:val="9"/>
        <w:rPr>
          <w:rFonts w:ascii="Times New Roman" w:hAnsi="Times New Roman"/>
          <w:noProof/>
        </w:rPr>
      </w:pPr>
      <w:bookmarkStart w:id="153" w:name="_Toc516820757"/>
      <w:r>
        <w:rPr>
          <w:rFonts w:ascii="Times New Roman" w:hAnsi="Times New Roman"/>
        </w:rPr>
        <w:t xml:space="preserve">6. Uzbrukumi Londonā un Mančestrā no 2017. gada marta līdz 2017. gada jūnijam – </w:t>
      </w:r>
      <w:proofErr w:type="spellStart"/>
      <w:r>
        <w:rPr>
          <w:rFonts w:ascii="Times New Roman" w:hAnsi="Times New Roman"/>
        </w:rPr>
        <w:t>MI5</w:t>
      </w:r>
      <w:proofErr w:type="spellEnd"/>
      <w:r>
        <w:rPr>
          <w:rFonts w:ascii="Times New Roman" w:hAnsi="Times New Roman"/>
        </w:rPr>
        <w:t xml:space="preserve"> un policijas iekšējo pārskatu neatkarīgs novērtējums</w:t>
      </w:r>
      <w:bookmarkEnd w:id="153"/>
    </w:p>
    <w:p w14:paraId="5F401FB2" w14:textId="77777777" w:rsidR="00CE3392" w:rsidRPr="00CE3392" w:rsidRDefault="00CE3392" w:rsidP="001F1E46">
      <w:pPr>
        <w:pStyle w:val="JuPara"/>
        <w:widowControl w:val="0"/>
        <w:rPr>
          <w:lang w:val="en-US"/>
        </w:rPr>
      </w:pPr>
    </w:p>
    <w:p w14:paraId="440270F5" w14:textId="2685BBE8" w:rsidR="000E3283" w:rsidRDefault="000E3283" w:rsidP="001F1E46">
      <w:pPr>
        <w:pStyle w:val="JuPara"/>
        <w:widowControl w:val="0"/>
        <w:ind w:firstLine="142"/>
        <w:rPr>
          <w:rFonts w:ascii="Times New Roman" w:hAnsi="Times New Roman"/>
          <w:noProof/>
        </w:rPr>
      </w:pPr>
      <w:r>
        <w:rPr>
          <w:rFonts w:ascii="Times New Roman" w:hAnsi="Times New Roman"/>
        </w:rPr>
        <w:t xml:space="preserve">167. Pēc četriem teroristu uzbrukumiem īsā laika posmā no 2017. gada marta līdz jūnijam, kuros gāja bojā aptuveni trīsdesmit seši nevainīgi cilvēki un vēl gandrīz 200 tika ievainoti, </w:t>
      </w:r>
      <w:proofErr w:type="spellStart"/>
      <w:r>
        <w:rPr>
          <w:rFonts w:ascii="Times New Roman" w:hAnsi="Times New Roman"/>
        </w:rPr>
        <w:t>iekšlietu</w:t>
      </w:r>
      <w:proofErr w:type="spellEnd"/>
      <w:r>
        <w:rPr>
          <w:rFonts w:ascii="Times New Roman" w:hAnsi="Times New Roman"/>
        </w:rPr>
        <w:t xml:space="preserve"> sekretārs lūdza nesen atvaļināto neatkarīgo terorisma apkarošanas tiesiskā regulējuma pārskatītāju Deividu Andersonu Q. C. iesaistīties, lai izvērtētu iesaistītās policijas un izlūkdienestu slepenos iekšējos pārskatus. Uzbrukumu kontekstā ziņojumā bija norādīts turpmāk minētais:</w:t>
      </w:r>
    </w:p>
    <w:p w14:paraId="2FABC193" w14:textId="77777777" w:rsidR="00CE3392" w:rsidRPr="008D031E" w:rsidRDefault="00CE3392" w:rsidP="001F1E46">
      <w:pPr>
        <w:pStyle w:val="JuPara"/>
        <w:widowControl w:val="0"/>
        <w:ind w:firstLine="142"/>
        <w:rPr>
          <w:rFonts w:ascii="Times New Roman" w:hAnsi="Times New Roman"/>
          <w:noProof/>
          <w:lang w:val="en-US"/>
        </w:rPr>
      </w:pPr>
    </w:p>
    <w:p w14:paraId="2CB42FC3" w14:textId="5F4FE71D"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“1.4. Pirmkārt, Apvienotais terorisma analīzes centrs (turpmāk tekstā – “</w:t>
      </w:r>
      <w:proofErr w:type="spellStart"/>
      <w:r>
        <w:rPr>
          <w:rFonts w:ascii="Times New Roman" w:hAnsi="Times New Roman"/>
          <w:i/>
          <w:iCs/>
          <w:sz w:val="24"/>
        </w:rPr>
        <w:t>JTAC</w:t>
      </w:r>
      <w:proofErr w:type="spellEnd"/>
      <w:r>
        <w:rPr>
          <w:rFonts w:ascii="Times New Roman" w:hAnsi="Times New Roman"/>
          <w:sz w:val="24"/>
        </w:rPr>
        <w:t>”)</w:t>
      </w:r>
      <w:r>
        <w:rPr>
          <w:rFonts w:ascii="Times New Roman" w:hAnsi="Times New Roman"/>
          <w:b/>
          <w:bCs/>
          <w:sz w:val="24"/>
        </w:rPr>
        <w:t xml:space="preserve"> </w:t>
      </w:r>
      <w:r>
        <w:rPr>
          <w:rFonts w:ascii="Times New Roman" w:hAnsi="Times New Roman"/>
          <w:b/>
          <w:bCs/>
          <w:i/>
          <w:iCs/>
          <w:sz w:val="24"/>
        </w:rPr>
        <w:t>apdraudējuma līmeni</w:t>
      </w:r>
      <w:r>
        <w:rPr>
          <w:rFonts w:ascii="Times New Roman" w:hAnsi="Times New Roman"/>
          <w:sz w:val="24"/>
        </w:rPr>
        <w:t xml:space="preserve"> Apvienotajā Karalistē no tā dēvētās “starptautiskā terorisma” perspektīvas (praksē </w:t>
      </w:r>
      <w:proofErr w:type="spellStart"/>
      <w:r>
        <w:rPr>
          <w:rFonts w:ascii="Times New Roman" w:hAnsi="Times New Roman"/>
          <w:sz w:val="24"/>
        </w:rPr>
        <w:t>islāmistu</w:t>
      </w:r>
      <w:proofErr w:type="spellEnd"/>
      <w:r>
        <w:rPr>
          <w:rFonts w:ascii="Times New Roman" w:hAnsi="Times New Roman"/>
          <w:sz w:val="24"/>
        </w:rPr>
        <w:t xml:space="preserve"> terorisma neatkarīgi no tā, vai tas ir radīts iekšzemē vai ārvalstīs) no 2014. gada augusta novērtējis kā NOPIETNU, norādot, ka </w:t>
      </w:r>
      <w:proofErr w:type="spellStart"/>
      <w:r>
        <w:rPr>
          <w:rFonts w:ascii="Times New Roman" w:hAnsi="Times New Roman"/>
          <w:sz w:val="24"/>
        </w:rPr>
        <w:t>islāmistu</w:t>
      </w:r>
      <w:proofErr w:type="spellEnd"/>
      <w:r>
        <w:rPr>
          <w:rFonts w:ascii="Times New Roman" w:hAnsi="Times New Roman"/>
          <w:sz w:val="24"/>
        </w:rPr>
        <w:t xml:space="preserve"> teroristu uzbrukumi Apvienotajā Karalistē ir “ļoti iespējami”. Komentētājiem, kuriem ir piekļuve attiecīgajiem </w:t>
      </w:r>
      <w:proofErr w:type="spellStart"/>
      <w:r>
        <w:rPr>
          <w:rFonts w:ascii="Times New Roman" w:hAnsi="Times New Roman"/>
          <w:sz w:val="24"/>
        </w:rPr>
        <w:t>izlūkdatiem</w:t>
      </w:r>
      <w:proofErr w:type="spellEnd"/>
      <w:r>
        <w:rPr>
          <w:rFonts w:ascii="Times New Roman" w:hAnsi="Times New Roman"/>
          <w:sz w:val="24"/>
        </w:rPr>
        <w:t xml:space="preserve">, vienmēr ir bijis skaidrs, ka šis novērtējums ir reālistisks. Tas </w:t>
      </w:r>
      <w:r>
        <w:rPr>
          <w:rFonts w:ascii="Times New Roman" w:hAnsi="Times New Roman"/>
          <w:sz w:val="24"/>
        </w:rPr>
        <w:lastRenderedPageBreak/>
        <w:t>atsaucies arī uz mazākiem, bet joprojām nāvējošiem galēji labējā spārna (“</w:t>
      </w:r>
      <w:proofErr w:type="spellStart"/>
      <w:r>
        <w:rPr>
          <w:rFonts w:ascii="Times New Roman" w:hAnsi="Times New Roman"/>
          <w:i/>
          <w:iCs/>
          <w:sz w:val="24"/>
        </w:rPr>
        <w:t>XRW</w:t>
      </w:r>
      <w:proofErr w:type="spellEnd"/>
      <w:r>
        <w:rPr>
          <w:rFonts w:ascii="Times New Roman" w:hAnsi="Times New Roman"/>
          <w:sz w:val="24"/>
        </w:rPr>
        <w:t xml:space="preserve">”) terorisma draudiem, kā piemēru minot parlamenta deputāta </w:t>
      </w:r>
      <w:proofErr w:type="spellStart"/>
      <w:r>
        <w:rPr>
          <w:rFonts w:ascii="Times New Roman" w:hAnsi="Times New Roman"/>
          <w:sz w:val="24"/>
        </w:rPr>
        <w:t>Džo</w:t>
      </w:r>
      <w:proofErr w:type="spellEnd"/>
      <w:r>
        <w:rPr>
          <w:rFonts w:ascii="Times New Roman" w:hAnsi="Times New Roman"/>
          <w:sz w:val="24"/>
        </w:rPr>
        <w:t xml:space="preserve"> Koksa [</w:t>
      </w:r>
      <w:r>
        <w:rPr>
          <w:rFonts w:ascii="Times New Roman" w:hAnsi="Times New Roman"/>
          <w:i/>
          <w:iCs/>
          <w:sz w:val="24"/>
        </w:rPr>
        <w:t xml:space="preserve">Jo </w:t>
      </w:r>
      <w:proofErr w:type="spellStart"/>
      <w:r>
        <w:rPr>
          <w:rFonts w:ascii="Times New Roman" w:hAnsi="Times New Roman"/>
          <w:i/>
          <w:iCs/>
          <w:sz w:val="24"/>
        </w:rPr>
        <w:t>Cox</w:t>
      </w:r>
      <w:proofErr w:type="spellEnd"/>
      <w:r>
        <w:rPr>
          <w:rFonts w:ascii="Times New Roman" w:hAnsi="Times New Roman"/>
          <w:sz w:val="24"/>
        </w:rPr>
        <w:t xml:space="preserve">] slepkavību 2016. gada jūnijā un neonacistu grupas “National </w:t>
      </w:r>
      <w:proofErr w:type="spellStart"/>
      <w:r>
        <w:rPr>
          <w:rFonts w:ascii="Times New Roman" w:hAnsi="Times New Roman"/>
          <w:sz w:val="24"/>
        </w:rPr>
        <w:t>Action</w:t>
      </w:r>
      <w:proofErr w:type="spellEnd"/>
      <w:r>
        <w:rPr>
          <w:rFonts w:ascii="Times New Roman" w:hAnsi="Times New Roman"/>
          <w:sz w:val="24"/>
        </w:rPr>
        <w:t>” aizliegšanu 2016. gada decembrī.</w:t>
      </w:r>
    </w:p>
    <w:p w14:paraId="5ADC2319" w14:textId="77777777" w:rsidR="00CE3392" w:rsidRPr="008D031E" w:rsidRDefault="00CE3392" w:rsidP="001F1E46">
      <w:pPr>
        <w:pStyle w:val="JuQuot"/>
        <w:widowControl w:val="0"/>
        <w:spacing w:before="0" w:after="0"/>
        <w:ind w:left="284"/>
        <w:rPr>
          <w:rFonts w:ascii="Times New Roman" w:hAnsi="Times New Roman"/>
          <w:noProof/>
          <w:sz w:val="24"/>
          <w:lang w:val="en-US"/>
        </w:rPr>
      </w:pPr>
    </w:p>
    <w:p w14:paraId="17990DA1" w14:textId="29E85F3B"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1.5. Otrkārt, </w:t>
      </w:r>
      <w:r>
        <w:rPr>
          <w:rFonts w:ascii="Times New Roman" w:hAnsi="Times New Roman"/>
          <w:b/>
          <w:bCs/>
          <w:i/>
          <w:iCs/>
          <w:sz w:val="24"/>
        </w:rPr>
        <w:t>pieaugošais</w:t>
      </w:r>
      <w:r>
        <w:rPr>
          <w:rFonts w:ascii="Times New Roman" w:hAnsi="Times New Roman"/>
          <w:sz w:val="24"/>
        </w:rPr>
        <w:t xml:space="preserve"> </w:t>
      </w:r>
      <w:proofErr w:type="spellStart"/>
      <w:r>
        <w:rPr>
          <w:rFonts w:ascii="Times New Roman" w:hAnsi="Times New Roman"/>
          <w:sz w:val="24"/>
        </w:rPr>
        <w:t>islāmistu</w:t>
      </w:r>
      <w:proofErr w:type="spellEnd"/>
      <w:r>
        <w:rPr>
          <w:rFonts w:ascii="Times New Roman" w:hAnsi="Times New Roman"/>
          <w:sz w:val="24"/>
        </w:rPr>
        <w:t xml:space="preserve"> terorisma </w:t>
      </w:r>
      <w:r>
        <w:rPr>
          <w:rFonts w:ascii="Times New Roman" w:hAnsi="Times New Roman"/>
          <w:b/>
          <w:bCs/>
          <w:i/>
          <w:iCs/>
          <w:sz w:val="24"/>
        </w:rPr>
        <w:t>draudu līmenis</w:t>
      </w:r>
      <w:r>
        <w:rPr>
          <w:rFonts w:ascii="Times New Roman" w:hAnsi="Times New Roman"/>
          <w:sz w:val="24"/>
        </w:rPr>
        <w:t xml:space="preserve"> ir pārsteidzošs. </w:t>
      </w:r>
      <w:proofErr w:type="spellStart"/>
      <w:r>
        <w:rPr>
          <w:rFonts w:ascii="Times New Roman" w:hAnsi="Times New Roman"/>
          <w:i/>
          <w:iCs/>
          <w:sz w:val="24"/>
        </w:rPr>
        <w:t>MI5</w:t>
      </w:r>
      <w:proofErr w:type="spellEnd"/>
      <w:r>
        <w:rPr>
          <w:rFonts w:ascii="Times New Roman" w:hAnsi="Times New Roman"/>
          <w:sz w:val="24"/>
        </w:rPr>
        <w:t xml:space="preserve"> ģenerāldirektors Endrjū Pārkers [</w:t>
      </w:r>
      <w:proofErr w:type="spellStart"/>
      <w:r>
        <w:rPr>
          <w:rFonts w:ascii="Times New Roman" w:hAnsi="Times New Roman"/>
          <w:i/>
          <w:iCs/>
          <w:sz w:val="24"/>
        </w:rPr>
        <w:t>Andrew</w:t>
      </w:r>
      <w:proofErr w:type="spellEnd"/>
      <w:r>
        <w:rPr>
          <w:rFonts w:ascii="Times New Roman" w:hAnsi="Times New Roman"/>
          <w:i/>
          <w:iCs/>
          <w:sz w:val="24"/>
        </w:rPr>
        <w:t xml:space="preserve"> </w:t>
      </w:r>
      <w:proofErr w:type="spellStart"/>
      <w:r>
        <w:rPr>
          <w:rFonts w:ascii="Times New Roman" w:hAnsi="Times New Roman"/>
          <w:i/>
          <w:iCs/>
          <w:sz w:val="24"/>
        </w:rPr>
        <w:t>Parker</w:t>
      </w:r>
      <w:proofErr w:type="spellEnd"/>
      <w:r>
        <w:rPr>
          <w:rFonts w:ascii="Times New Roman" w:hAnsi="Times New Roman"/>
          <w:sz w:val="24"/>
        </w:rPr>
        <w:t xml:space="preserve">] 2017. gada oktobrī runāja par “dramatisku draudu pieaugumu šajā gadā”, kas ir “vislielākais temps, kāds manos 34 karjeras gados piedzīvots”. Lai gan </w:t>
      </w:r>
      <w:proofErr w:type="spellStart"/>
      <w:r>
        <w:rPr>
          <w:rFonts w:ascii="Times New Roman" w:hAnsi="Times New Roman"/>
          <w:sz w:val="24"/>
        </w:rPr>
        <w:t>islāmistu</w:t>
      </w:r>
      <w:proofErr w:type="spellEnd"/>
      <w:r>
        <w:rPr>
          <w:rFonts w:ascii="Times New Roman" w:hAnsi="Times New Roman"/>
          <w:sz w:val="24"/>
        </w:rPr>
        <w:t xml:space="preserve"> terorisma izraisītie nāves gadījumi galvenokārt novērojami Āfrikā, Tuvajos Austrumos un Dienvidāzijā, draudi pēdējā laikā ir pieauguši visā Rietumu pasaulē un tiek raksturoti kā “īpaši izkliedēti un daudzveidīgi Apvienotajā Karalistē”. Vēl nav zināms, vai tā dēvētās Islāma valsts fiziskais sabrukums Sīrijā un Irākā šo tendenci ietekmēs pozitīvi vai negatīvi.</w:t>
      </w:r>
    </w:p>
    <w:p w14:paraId="63ABFD6B" w14:textId="77777777" w:rsidR="00CE3392" w:rsidRPr="008D031E" w:rsidRDefault="00CE3392" w:rsidP="001F1E46">
      <w:pPr>
        <w:pStyle w:val="JuQuot"/>
        <w:widowControl w:val="0"/>
        <w:spacing w:before="0" w:after="0"/>
        <w:ind w:left="284"/>
        <w:rPr>
          <w:rFonts w:ascii="Times New Roman" w:hAnsi="Times New Roman"/>
          <w:noProof/>
          <w:sz w:val="24"/>
          <w:lang w:val="en-US"/>
        </w:rPr>
      </w:pPr>
    </w:p>
    <w:p w14:paraId="65AC9F65" w14:textId="7D4ABBD6"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1.6. Treškārt, </w:t>
      </w:r>
      <w:r>
        <w:rPr>
          <w:rFonts w:ascii="Times New Roman" w:hAnsi="Times New Roman"/>
          <w:b/>
          <w:bCs/>
          <w:i/>
          <w:iCs/>
          <w:sz w:val="24"/>
        </w:rPr>
        <w:t>uzbrucējiem</w:t>
      </w:r>
      <w:r>
        <w:rPr>
          <w:rFonts w:ascii="Times New Roman" w:hAnsi="Times New Roman"/>
          <w:sz w:val="24"/>
        </w:rPr>
        <w:t xml:space="preserve"> ir daudz kopīgu iezīmju. (..)</w:t>
      </w:r>
    </w:p>
    <w:p w14:paraId="3E8BC533" w14:textId="77777777" w:rsidR="00CE3392" w:rsidRPr="008D031E" w:rsidRDefault="00CE3392" w:rsidP="001F1E46">
      <w:pPr>
        <w:pStyle w:val="JuQuot"/>
        <w:widowControl w:val="0"/>
        <w:spacing w:before="0" w:after="0"/>
        <w:ind w:left="284"/>
        <w:rPr>
          <w:rFonts w:ascii="Times New Roman" w:hAnsi="Times New Roman"/>
          <w:noProof/>
          <w:sz w:val="24"/>
          <w:lang w:val="en-US"/>
        </w:rPr>
      </w:pPr>
    </w:p>
    <w:p w14:paraId="2A6BD197" w14:textId="3AD2413F"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1.7. Ceturtkārt, lai gan pirmo trīs uzbrukumu </w:t>
      </w:r>
      <w:r>
        <w:rPr>
          <w:rFonts w:ascii="Times New Roman" w:hAnsi="Times New Roman"/>
          <w:b/>
          <w:bCs/>
          <w:i/>
          <w:iCs/>
          <w:sz w:val="24"/>
        </w:rPr>
        <w:t xml:space="preserve">mērķi </w:t>
      </w:r>
      <w:r>
        <w:rPr>
          <w:rFonts w:ascii="Times New Roman" w:hAnsi="Times New Roman"/>
          <w:sz w:val="24"/>
        </w:rPr>
        <w:t xml:space="preserve">neizpaudās to pašreizējā apmērā, tiem bija ļoti līdzīgas iezīmes ar citu neseno uzbrukumu mērķiem Rietumos, proti, politiskie centri (piemēram, Oslo 2011. gadā, Otava 2014. gadā, Brisele 2016. gadā), koncertu apmeklētāji, skaļu pasākumu apmeklētāji un pūļi (piemēram, </w:t>
      </w:r>
      <w:proofErr w:type="spellStart"/>
      <w:r>
        <w:rPr>
          <w:rFonts w:ascii="Times New Roman" w:hAnsi="Times New Roman"/>
          <w:sz w:val="24"/>
        </w:rPr>
        <w:t>Orlando</w:t>
      </w:r>
      <w:proofErr w:type="spellEnd"/>
      <w:r>
        <w:rPr>
          <w:rFonts w:ascii="Times New Roman" w:hAnsi="Times New Roman"/>
          <w:sz w:val="24"/>
        </w:rPr>
        <w:t xml:space="preserve"> 2016. gadā, Parīze 2016. gadā, Barselona 2017. gadā), kā arī policisti (piemēram, Melburna 2014. gadā, Berlīne 2015. gadā un </w:t>
      </w:r>
      <w:proofErr w:type="spellStart"/>
      <w:r>
        <w:rPr>
          <w:rFonts w:ascii="Times New Roman" w:hAnsi="Times New Roman"/>
          <w:sz w:val="24"/>
        </w:rPr>
        <w:t>Čarleroja</w:t>
      </w:r>
      <w:proofErr w:type="spellEnd"/>
      <w:r>
        <w:rPr>
          <w:rFonts w:ascii="Times New Roman" w:hAnsi="Times New Roman"/>
          <w:sz w:val="24"/>
        </w:rPr>
        <w:t xml:space="preserve"> 2016. gadā). Ir precedenti arī uzbrukumiem ticīgiem musulmaņiem, pārejot no naida noziegumiem uz terorismu, piemēram, Muhameda Salēma [</w:t>
      </w:r>
      <w:proofErr w:type="spellStart"/>
      <w:r>
        <w:rPr>
          <w:rFonts w:ascii="Times New Roman" w:hAnsi="Times New Roman"/>
          <w:i/>
          <w:iCs/>
          <w:sz w:val="24"/>
        </w:rPr>
        <w:t>Mohammed</w:t>
      </w:r>
      <w:proofErr w:type="spellEnd"/>
      <w:r>
        <w:rPr>
          <w:rFonts w:ascii="Times New Roman" w:hAnsi="Times New Roman"/>
          <w:i/>
          <w:iCs/>
          <w:sz w:val="24"/>
        </w:rPr>
        <w:t xml:space="preserve"> </w:t>
      </w:r>
      <w:proofErr w:type="spellStart"/>
      <w:r>
        <w:rPr>
          <w:rFonts w:ascii="Times New Roman" w:hAnsi="Times New Roman"/>
          <w:i/>
          <w:iCs/>
          <w:sz w:val="24"/>
        </w:rPr>
        <w:t>Saleem</w:t>
      </w:r>
      <w:proofErr w:type="spellEnd"/>
      <w:r>
        <w:rPr>
          <w:rFonts w:ascii="Times New Roman" w:hAnsi="Times New Roman"/>
          <w:sz w:val="24"/>
        </w:rPr>
        <w:t xml:space="preserve">] nogalināšana </w:t>
      </w:r>
      <w:proofErr w:type="spellStart"/>
      <w:r>
        <w:rPr>
          <w:rFonts w:ascii="Times New Roman" w:hAnsi="Times New Roman"/>
          <w:sz w:val="24"/>
        </w:rPr>
        <w:t>Rietummidlendā</w:t>
      </w:r>
      <w:proofErr w:type="spellEnd"/>
      <w:r>
        <w:rPr>
          <w:rFonts w:ascii="Times New Roman" w:hAnsi="Times New Roman"/>
          <w:sz w:val="24"/>
        </w:rPr>
        <w:t xml:space="preserve"> 2013. gadā.</w:t>
      </w:r>
    </w:p>
    <w:p w14:paraId="459D01BB" w14:textId="77777777" w:rsidR="00CE3392" w:rsidRPr="008D031E" w:rsidRDefault="00CE3392" w:rsidP="001F1E46">
      <w:pPr>
        <w:pStyle w:val="JuQuot"/>
        <w:widowControl w:val="0"/>
        <w:spacing w:before="0" w:after="0"/>
        <w:ind w:left="284"/>
        <w:rPr>
          <w:rFonts w:ascii="Times New Roman" w:hAnsi="Times New Roman"/>
          <w:noProof/>
          <w:sz w:val="24"/>
          <w:lang w:val="en-US"/>
        </w:rPr>
      </w:pPr>
    </w:p>
    <w:p w14:paraId="055456EA" w14:textId="28CE4210"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1.8. Piektkārt, teroristu uzbrukumu </w:t>
      </w:r>
      <w:r>
        <w:rPr>
          <w:rFonts w:ascii="Times New Roman" w:hAnsi="Times New Roman"/>
          <w:b/>
          <w:bCs/>
          <w:i/>
          <w:iCs/>
          <w:sz w:val="24"/>
        </w:rPr>
        <w:t>modus operandi</w:t>
      </w:r>
      <w:r>
        <w:rPr>
          <w:rFonts w:ascii="Times New Roman" w:hAnsi="Times New Roman"/>
          <w:sz w:val="24"/>
        </w:rPr>
        <w:t xml:space="preserve"> (</w:t>
      </w:r>
      <w:proofErr w:type="spellStart"/>
      <w:r>
        <w:rPr>
          <w:rFonts w:ascii="Times New Roman" w:hAnsi="Times New Roman"/>
          <w:sz w:val="24"/>
        </w:rPr>
        <w:t>MO</w:t>
      </w:r>
      <w:proofErr w:type="spellEnd"/>
      <w:r>
        <w:rPr>
          <w:rFonts w:ascii="Times New Roman" w:hAnsi="Times New Roman"/>
          <w:sz w:val="24"/>
        </w:rPr>
        <w:t>) gadu gaitā ir dažādojies un vienkāršojies, jo “</w:t>
      </w:r>
      <w:proofErr w:type="spellStart"/>
      <w:r>
        <w:rPr>
          <w:rFonts w:ascii="Times New Roman" w:hAnsi="Times New Roman"/>
          <w:sz w:val="24"/>
        </w:rPr>
        <w:t>Daesh</w:t>
      </w:r>
      <w:proofErr w:type="spellEnd"/>
      <w:r>
        <w:rPr>
          <w:rFonts w:ascii="Times New Roman" w:hAnsi="Times New Roman"/>
          <w:sz w:val="24"/>
        </w:rPr>
        <w:t>” ir izmantojis savus plašos propagandas centienus, lai iedvesmotu, nevis vadītu teroraktus Rietumos. Aplūkotie uzbrukumi bija tipiski laikam un vietai.</w:t>
      </w:r>
    </w:p>
    <w:p w14:paraId="5BFABFC5" w14:textId="77777777" w:rsidR="00CE3392" w:rsidRPr="008D031E" w:rsidRDefault="00CE3392" w:rsidP="001F1E46">
      <w:pPr>
        <w:pStyle w:val="JuQuot"/>
        <w:widowControl w:val="0"/>
        <w:spacing w:before="0" w:after="0"/>
        <w:ind w:left="284"/>
        <w:rPr>
          <w:rFonts w:ascii="Times New Roman" w:hAnsi="Times New Roman"/>
          <w:noProof/>
          <w:sz w:val="24"/>
          <w:lang w:val="en-US"/>
        </w:rPr>
      </w:pPr>
    </w:p>
    <w:p w14:paraId="0F97064F" w14:textId="40AFF91C" w:rsidR="000E3283" w:rsidRPr="008D031E" w:rsidRDefault="000E3283" w:rsidP="001F1E46">
      <w:pPr>
        <w:pStyle w:val="JuQuot"/>
        <w:widowControl w:val="0"/>
        <w:spacing w:before="0" w:after="0"/>
        <w:ind w:left="851" w:hanging="284"/>
        <w:rPr>
          <w:rFonts w:ascii="Times New Roman" w:hAnsi="Times New Roman"/>
          <w:noProof/>
          <w:sz w:val="24"/>
        </w:rPr>
      </w:pPr>
      <w:r>
        <w:rPr>
          <w:rFonts w:ascii="Times New Roman" w:hAnsi="Times New Roman"/>
          <w:sz w:val="24"/>
        </w:rPr>
        <w:t xml:space="preserve">a) Atšķirībā no pēdējā desmitgadē raksturīgajām vērienīgajām organizētajām </w:t>
      </w:r>
      <w:proofErr w:type="spellStart"/>
      <w:r>
        <w:rPr>
          <w:rFonts w:ascii="Times New Roman" w:hAnsi="Times New Roman"/>
          <w:sz w:val="24"/>
        </w:rPr>
        <w:t>islāmistu</w:t>
      </w:r>
      <w:proofErr w:type="spellEnd"/>
      <w:r>
        <w:rPr>
          <w:rFonts w:ascii="Times New Roman" w:hAnsi="Times New Roman"/>
          <w:sz w:val="24"/>
        </w:rPr>
        <w:t xml:space="preserve"> sazvērestībām, visus četrus uzbrukumus pastrādāja </w:t>
      </w:r>
      <w:r>
        <w:rPr>
          <w:rFonts w:ascii="Times New Roman" w:hAnsi="Times New Roman"/>
          <w:b/>
          <w:bCs/>
          <w:i/>
          <w:iCs/>
          <w:sz w:val="24"/>
        </w:rPr>
        <w:t>atsevišķas personas</w:t>
      </w:r>
      <w:r>
        <w:rPr>
          <w:rFonts w:ascii="Times New Roman" w:hAnsi="Times New Roman"/>
          <w:sz w:val="24"/>
        </w:rPr>
        <w:t xml:space="preserve"> vai </w:t>
      </w:r>
      <w:r>
        <w:rPr>
          <w:rFonts w:ascii="Times New Roman" w:hAnsi="Times New Roman"/>
          <w:b/>
          <w:bCs/>
          <w:i/>
          <w:iCs/>
          <w:sz w:val="24"/>
        </w:rPr>
        <w:t>mazas grupas</w:t>
      </w:r>
      <w:r>
        <w:rPr>
          <w:rFonts w:ascii="Times New Roman" w:hAnsi="Times New Roman"/>
          <w:sz w:val="24"/>
        </w:rPr>
        <w:t>, kas maz liecina par detalizētu plānošanu vai precīzu mērķa izraudzīšanu.</w:t>
      </w:r>
    </w:p>
    <w:p w14:paraId="2FD9BA20" w14:textId="72AA5168" w:rsidR="000E3283" w:rsidRPr="008D031E" w:rsidRDefault="000E3283" w:rsidP="001F1E46">
      <w:pPr>
        <w:pStyle w:val="JuQuot"/>
        <w:widowControl w:val="0"/>
        <w:spacing w:before="0" w:after="0"/>
        <w:ind w:left="851" w:hanging="284"/>
        <w:rPr>
          <w:rFonts w:ascii="Times New Roman" w:hAnsi="Times New Roman"/>
          <w:noProof/>
          <w:sz w:val="24"/>
        </w:rPr>
      </w:pPr>
      <w:r>
        <w:rPr>
          <w:rFonts w:ascii="Times New Roman" w:hAnsi="Times New Roman"/>
          <w:sz w:val="24"/>
        </w:rPr>
        <w:t xml:space="preserve">b) Stingrie šaujamieroču kontroles pasākumi Apvienotajā Karalistē ir iemesls tam, ka kriminālu grupējumu un teroristu noziegumos biežāk tiek izmantoti </w:t>
      </w:r>
      <w:r>
        <w:rPr>
          <w:rFonts w:ascii="Times New Roman" w:hAnsi="Times New Roman"/>
          <w:b/>
          <w:bCs/>
          <w:i/>
          <w:iCs/>
          <w:sz w:val="24"/>
        </w:rPr>
        <w:t>aukstie ieroči</w:t>
      </w:r>
      <w:r>
        <w:rPr>
          <w:rFonts w:ascii="Times New Roman" w:hAnsi="Times New Roman"/>
          <w:sz w:val="24"/>
        </w:rPr>
        <w:t>, nevis šaujamieroči.</w:t>
      </w:r>
    </w:p>
    <w:p w14:paraId="4EC624A8" w14:textId="6725301F" w:rsidR="000E3283" w:rsidRPr="008D031E" w:rsidRDefault="000E3283" w:rsidP="001F1E46">
      <w:pPr>
        <w:pStyle w:val="JuQuot"/>
        <w:widowControl w:val="0"/>
        <w:spacing w:before="0" w:after="0"/>
        <w:ind w:left="851" w:hanging="284"/>
        <w:rPr>
          <w:rFonts w:ascii="Times New Roman" w:hAnsi="Times New Roman"/>
          <w:noProof/>
          <w:sz w:val="24"/>
        </w:rPr>
      </w:pPr>
      <w:r>
        <w:rPr>
          <w:rFonts w:ascii="Times New Roman" w:hAnsi="Times New Roman"/>
          <w:sz w:val="24"/>
        </w:rPr>
        <w:t>c) Kopš kravas automobilis Nicā (2016. gada jūlijā) nogalināja 86 nevainīgus cilvēkus, kā ieročus arvien vairāk izmanto</w:t>
      </w:r>
      <w:r>
        <w:rPr>
          <w:rFonts w:ascii="Times New Roman" w:hAnsi="Times New Roman"/>
          <w:b/>
          <w:bCs/>
          <w:i/>
          <w:iCs/>
          <w:sz w:val="24"/>
        </w:rPr>
        <w:t xml:space="preserve"> transportlīdzekļus</w:t>
      </w:r>
      <w:r>
        <w:rPr>
          <w:rFonts w:ascii="Times New Roman" w:hAnsi="Times New Roman"/>
          <w:sz w:val="24"/>
        </w:rPr>
        <w:t>, ko izmantoja trīs no četriem aplūkotajiem uzbrukumiem.</w:t>
      </w:r>
    </w:p>
    <w:p w14:paraId="2279225D" w14:textId="4E29F91A" w:rsidR="000E3283" w:rsidRPr="008D031E" w:rsidRDefault="000E3283" w:rsidP="001F1E46">
      <w:pPr>
        <w:pStyle w:val="JuQuot"/>
        <w:widowControl w:val="0"/>
        <w:spacing w:before="0" w:after="0"/>
        <w:ind w:left="851" w:hanging="284"/>
        <w:rPr>
          <w:rFonts w:ascii="Times New Roman" w:hAnsi="Times New Roman"/>
          <w:noProof/>
          <w:sz w:val="24"/>
        </w:rPr>
      </w:pPr>
      <w:r>
        <w:rPr>
          <w:rFonts w:ascii="Times New Roman" w:hAnsi="Times New Roman"/>
          <w:sz w:val="24"/>
        </w:rPr>
        <w:t xml:space="preserve">d) Transportlīdzekli </w:t>
      </w:r>
      <w:r>
        <w:rPr>
          <w:rFonts w:ascii="Times New Roman" w:hAnsi="Times New Roman"/>
          <w:b/>
          <w:bCs/>
          <w:i/>
          <w:iCs/>
          <w:sz w:val="24"/>
        </w:rPr>
        <w:t>apvienojumā</w:t>
      </w:r>
      <w:r>
        <w:rPr>
          <w:rFonts w:ascii="Times New Roman" w:hAnsi="Times New Roman"/>
          <w:sz w:val="24"/>
        </w:rPr>
        <w:t xml:space="preserve"> ar aukstajiem ieročiem, kā tas notika uz </w:t>
      </w:r>
      <w:proofErr w:type="spellStart"/>
      <w:r>
        <w:rPr>
          <w:rFonts w:ascii="Times New Roman" w:hAnsi="Times New Roman"/>
          <w:sz w:val="24"/>
        </w:rPr>
        <w:t>Vestminsteres</w:t>
      </w:r>
      <w:proofErr w:type="spellEnd"/>
      <w:r>
        <w:rPr>
          <w:rFonts w:ascii="Times New Roman" w:hAnsi="Times New Roman"/>
          <w:sz w:val="24"/>
        </w:rPr>
        <w:t xml:space="preserve"> un Londonas tilta, izmantoja, lai nogalinātu kareivi </w:t>
      </w:r>
      <w:proofErr w:type="spellStart"/>
      <w:r>
        <w:rPr>
          <w:rFonts w:ascii="Times New Roman" w:hAnsi="Times New Roman"/>
          <w:sz w:val="24"/>
        </w:rPr>
        <w:t>Lī</w:t>
      </w:r>
      <w:proofErr w:type="spellEnd"/>
      <w:r>
        <w:rPr>
          <w:rFonts w:ascii="Times New Roman" w:hAnsi="Times New Roman"/>
          <w:sz w:val="24"/>
        </w:rPr>
        <w:t xml:space="preserve"> </w:t>
      </w:r>
      <w:proofErr w:type="spellStart"/>
      <w:r>
        <w:rPr>
          <w:rFonts w:ascii="Times New Roman" w:hAnsi="Times New Roman"/>
          <w:sz w:val="24"/>
        </w:rPr>
        <w:t>Rigbiju</w:t>
      </w:r>
      <w:proofErr w:type="spellEnd"/>
      <w:r>
        <w:rPr>
          <w:rFonts w:ascii="Times New Roman" w:hAnsi="Times New Roman"/>
          <w:sz w:val="24"/>
        </w:rPr>
        <w:t xml:space="preserve"> [</w:t>
      </w:r>
      <w:proofErr w:type="spellStart"/>
      <w:r>
        <w:rPr>
          <w:rFonts w:ascii="Times New Roman" w:hAnsi="Times New Roman"/>
          <w:i/>
          <w:iCs/>
          <w:sz w:val="24"/>
        </w:rPr>
        <w:t>Lee</w:t>
      </w:r>
      <w:proofErr w:type="spellEnd"/>
      <w:r>
        <w:rPr>
          <w:rFonts w:ascii="Times New Roman" w:hAnsi="Times New Roman"/>
          <w:i/>
          <w:iCs/>
          <w:sz w:val="24"/>
        </w:rPr>
        <w:t xml:space="preserve"> </w:t>
      </w:r>
      <w:proofErr w:type="spellStart"/>
      <w:r>
        <w:rPr>
          <w:rFonts w:ascii="Times New Roman" w:hAnsi="Times New Roman"/>
          <w:i/>
          <w:iCs/>
          <w:sz w:val="24"/>
        </w:rPr>
        <w:t>Rigby</w:t>
      </w:r>
      <w:proofErr w:type="spellEnd"/>
      <w:r>
        <w:rPr>
          <w:rFonts w:ascii="Times New Roman" w:hAnsi="Times New Roman"/>
          <w:sz w:val="24"/>
        </w:rPr>
        <w:t>] (</w:t>
      </w:r>
      <w:proofErr w:type="spellStart"/>
      <w:r>
        <w:rPr>
          <w:rFonts w:ascii="Times New Roman" w:hAnsi="Times New Roman"/>
          <w:sz w:val="24"/>
        </w:rPr>
        <w:t>Vūlvičā</w:t>
      </w:r>
      <w:proofErr w:type="spellEnd"/>
      <w:r>
        <w:rPr>
          <w:rFonts w:ascii="Times New Roman" w:hAnsi="Times New Roman"/>
          <w:sz w:val="24"/>
        </w:rPr>
        <w:t xml:space="preserve"> 2013. gadā).</w:t>
      </w:r>
    </w:p>
    <w:p w14:paraId="1C2821C1" w14:textId="10E5F3F6" w:rsidR="000E3283" w:rsidRDefault="000E3283" w:rsidP="001F1E46">
      <w:pPr>
        <w:pStyle w:val="JuQuot"/>
        <w:widowControl w:val="0"/>
        <w:spacing w:before="0" w:after="0"/>
        <w:ind w:left="851" w:hanging="284"/>
        <w:rPr>
          <w:rFonts w:ascii="Times New Roman" w:hAnsi="Times New Roman"/>
          <w:noProof/>
          <w:sz w:val="24"/>
        </w:rPr>
      </w:pPr>
      <w:r>
        <w:rPr>
          <w:rFonts w:ascii="Times New Roman" w:hAnsi="Times New Roman"/>
          <w:sz w:val="24"/>
        </w:rPr>
        <w:t xml:space="preserve">e) </w:t>
      </w:r>
      <w:r>
        <w:rPr>
          <w:rFonts w:ascii="Times New Roman" w:hAnsi="Times New Roman"/>
          <w:b/>
          <w:bCs/>
          <w:i/>
          <w:iCs/>
          <w:sz w:val="24"/>
        </w:rPr>
        <w:t>Sprāgstvielas</w:t>
      </w:r>
      <w:r>
        <w:rPr>
          <w:rFonts w:ascii="Times New Roman" w:hAnsi="Times New Roman"/>
          <w:sz w:val="24"/>
        </w:rPr>
        <w:t xml:space="preserve">, kas tika izmantotas Mančestrā, bija vispopulārākais ierocis, ko </w:t>
      </w:r>
      <w:proofErr w:type="spellStart"/>
      <w:r>
        <w:rPr>
          <w:rFonts w:ascii="Times New Roman" w:hAnsi="Times New Roman"/>
          <w:sz w:val="24"/>
        </w:rPr>
        <w:t>islāmistu</w:t>
      </w:r>
      <w:proofErr w:type="spellEnd"/>
      <w:r>
        <w:rPr>
          <w:rFonts w:ascii="Times New Roman" w:hAnsi="Times New Roman"/>
          <w:sz w:val="24"/>
        </w:rPr>
        <w:t xml:space="preserve"> teroristi izmantoja uzbrukumos Eiropā no 2014. līdz 2017. gadam. Pierādīts, ka sprāgstvielu </w:t>
      </w:r>
      <w:proofErr w:type="spellStart"/>
      <w:r>
        <w:rPr>
          <w:rFonts w:ascii="Times New Roman" w:hAnsi="Times New Roman"/>
          <w:i/>
          <w:iCs/>
          <w:sz w:val="24"/>
        </w:rPr>
        <w:t>TATP</w:t>
      </w:r>
      <w:proofErr w:type="spellEnd"/>
      <w:r>
        <w:rPr>
          <w:rFonts w:ascii="Times New Roman" w:hAnsi="Times New Roman"/>
          <w:sz w:val="24"/>
        </w:rPr>
        <w:t xml:space="preserve"> iespējams izgatavot (to sekmē pirkumi un montāžas instrukcijas tiešsaistē) vieglāk, nekā reiz tika uzskatīts.”</w:t>
      </w:r>
    </w:p>
    <w:p w14:paraId="023A4596" w14:textId="77777777" w:rsidR="00CE3392" w:rsidRPr="008D031E" w:rsidRDefault="00CE3392" w:rsidP="001F1E46">
      <w:pPr>
        <w:pStyle w:val="JuQuot"/>
        <w:widowControl w:val="0"/>
        <w:spacing w:before="0" w:after="0"/>
        <w:ind w:left="0" w:firstLine="0"/>
        <w:rPr>
          <w:rFonts w:ascii="Times New Roman" w:hAnsi="Times New Roman"/>
          <w:noProof/>
          <w:sz w:val="24"/>
          <w:lang w:val="en-US"/>
        </w:rPr>
      </w:pPr>
    </w:p>
    <w:p w14:paraId="4AA3A608" w14:textId="0F518665" w:rsidR="000E3283" w:rsidRDefault="00CE3392" w:rsidP="001F1E46">
      <w:pPr>
        <w:pStyle w:val="JuH1"/>
        <w:keepNext w:val="0"/>
        <w:keepLines w:val="0"/>
        <w:widowControl w:val="0"/>
        <w:numPr>
          <w:ilvl w:val="0"/>
          <w:numId w:val="0"/>
        </w:numPr>
        <w:spacing w:before="0" w:beforeAutospacing="0" w:after="0"/>
        <w:outlineLvl w:val="9"/>
        <w:rPr>
          <w:rFonts w:ascii="Times New Roman" w:hAnsi="Times New Roman"/>
          <w:noProof/>
        </w:rPr>
      </w:pPr>
      <w:bookmarkStart w:id="154" w:name="_Toc516820758"/>
      <w:r>
        <w:rPr>
          <w:rFonts w:ascii="Times New Roman" w:hAnsi="Times New Roman"/>
        </w:rPr>
        <w:t>7. 2016. gada Komisāra sakaru pārtveršanas jautājumos ziņojums</w:t>
      </w:r>
      <w:bookmarkEnd w:id="154"/>
    </w:p>
    <w:p w14:paraId="45D8E352" w14:textId="77777777" w:rsidR="00CE3392" w:rsidRPr="00CE3392" w:rsidRDefault="00CE3392" w:rsidP="001F1E46">
      <w:pPr>
        <w:pStyle w:val="JuPara"/>
        <w:widowControl w:val="0"/>
        <w:rPr>
          <w:lang w:val="en-US"/>
        </w:rPr>
      </w:pPr>
    </w:p>
    <w:p w14:paraId="03254E3C" w14:textId="2B67CDB9" w:rsidR="000E3283" w:rsidRPr="008D031E" w:rsidRDefault="000E3283" w:rsidP="001F1E46">
      <w:pPr>
        <w:pStyle w:val="JuPara"/>
        <w:widowControl w:val="0"/>
        <w:ind w:firstLine="142"/>
        <w:rPr>
          <w:rFonts w:ascii="Times New Roman" w:hAnsi="Times New Roman"/>
          <w:noProof/>
        </w:rPr>
      </w:pPr>
      <w:bookmarkStart w:id="155" w:name="IOCCSelectionBearers"/>
      <w:bookmarkStart w:id="156" w:name="IOCCrepstart"/>
      <w:r>
        <w:rPr>
          <w:rFonts w:ascii="Times New Roman" w:hAnsi="Times New Roman"/>
        </w:rPr>
        <w:t>168</w:t>
      </w:r>
      <w:bookmarkEnd w:id="155"/>
      <w:bookmarkEnd w:id="156"/>
      <w:r>
        <w:rPr>
          <w:rFonts w:ascii="Times New Roman" w:hAnsi="Times New Roman"/>
        </w:rPr>
        <w:t xml:space="preserve">. </w:t>
      </w:r>
      <w:proofErr w:type="spellStart"/>
      <w:r>
        <w:rPr>
          <w:rFonts w:ascii="Times New Roman" w:hAnsi="Times New Roman"/>
          <w:i/>
          <w:iCs/>
        </w:rPr>
        <w:t>IC</w:t>
      </w:r>
      <w:proofErr w:type="spellEnd"/>
      <w:r>
        <w:rPr>
          <w:rFonts w:ascii="Times New Roman" w:hAnsi="Times New Roman"/>
        </w:rPr>
        <w:t xml:space="preserve"> komisārs norādīja, ka, veicot pārtveršanu atbilstoši 8. panta 4. punktā noteiktajam orderim, pārtveršanas aģentūrai ir jāizmanto savas zināšanas par veidu, kādā tiek maršrutēti starptautiskie sakari, kā arī regulāri jāpārbauda attiecīgie sakaru kanāli, lai apzinātu tos </w:t>
      </w:r>
      <w:r>
        <w:rPr>
          <w:rFonts w:ascii="Times New Roman" w:hAnsi="Times New Roman"/>
        </w:rPr>
        <w:lastRenderedPageBreak/>
        <w:t>individuālos sakaru nesējus, kuri, visticamāk, saturēs ārējos sakarus, kas atbildīs valsts sekretāra apliecinātajiem materiāla aprakstiem saskaņā ar 8. panta 4. punktu. Tai arī jāveic pārtveršana tā, lai ierobežotu tādu sakaru apkopošanu, kas nav ārēji sakari, līdz minimumam, kas atbilst nepieciešamo ārējo sakaru pārtveršanas mērķim.</w:t>
      </w:r>
    </w:p>
    <w:p w14:paraId="493718A8" w14:textId="7A17DE62" w:rsidR="000E3283" w:rsidRPr="008D031E" w:rsidRDefault="000E3283" w:rsidP="001F1E46">
      <w:pPr>
        <w:pStyle w:val="JuPara"/>
        <w:widowControl w:val="0"/>
        <w:ind w:firstLine="142"/>
        <w:rPr>
          <w:rFonts w:ascii="Times New Roman" w:hAnsi="Times New Roman"/>
          <w:noProof/>
        </w:rPr>
      </w:pPr>
      <w:bookmarkStart w:id="157" w:name="IOCCSelectionCriteria"/>
      <w:r>
        <w:rPr>
          <w:rFonts w:ascii="Times New Roman" w:hAnsi="Times New Roman"/>
        </w:rPr>
        <w:t>169</w:t>
      </w:r>
      <w:bookmarkEnd w:id="157"/>
      <w:r>
        <w:rPr>
          <w:rFonts w:ascii="Times New Roman" w:hAnsi="Times New Roman"/>
        </w:rPr>
        <w:t>. Viņš piebilda, ka, pirms analītiķi var lasīt, aplūkot vai klausīties materiālu, ir jāpamato, kāpēc šāda piekļuve materiālam ir nepieciešama un atbilstoša 16. pantam un kādēļ šāda piekļuve ir samērīga. Pārbaudes un auditi liecināja, ka, lai gan atlasīšanas procedūra bija veikta piesardzīgi un apzinīgi, tā balstījās uz analītiķu profesionālu spriedumu, viņu mācībām un vadības pārraudzību.</w:t>
      </w:r>
    </w:p>
    <w:p w14:paraId="61B9BC19" w14:textId="67280848" w:rsidR="000E3283" w:rsidRPr="008D031E" w:rsidRDefault="000E3283" w:rsidP="001F1E46">
      <w:pPr>
        <w:pStyle w:val="JuPara"/>
        <w:widowControl w:val="0"/>
        <w:ind w:firstLine="142"/>
        <w:rPr>
          <w:rFonts w:ascii="Times New Roman" w:hAnsi="Times New Roman"/>
          <w:noProof/>
        </w:rPr>
      </w:pPr>
      <w:bookmarkStart w:id="158" w:name="CQA"/>
      <w:bookmarkStart w:id="159" w:name="CommissionerWGD"/>
      <w:r>
        <w:rPr>
          <w:rFonts w:ascii="Times New Roman" w:hAnsi="Times New Roman"/>
        </w:rPr>
        <w:t>170</w:t>
      </w:r>
      <w:bookmarkEnd w:id="158"/>
      <w:bookmarkEnd w:id="159"/>
      <w:r>
        <w:rPr>
          <w:rFonts w:ascii="Times New Roman" w:hAnsi="Times New Roman"/>
        </w:rPr>
        <w:t xml:space="preserve">. Saskaņā ar ziņojumu 2016. gadā tika izdoti 3007 orderi un valsts sekretārs noraidīja piecus pieteikumus. </w:t>
      </w:r>
      <w:proofErr w:type="spellStart"/>
      <w:r>
        <w:rPr>
          <w:rFonts w:ascii="Times New Roman" w:hAnsi="Times New Roman"/>
          <w:i/>
          <w:iCs/>
        </w:rPr>
        <w:t>IC</w:t>
      </w:r>
      <w:proofErr w:type="spellEnd"/>
      <w:r>
        <w:rPr>
          <w:rFonts w:ascii="Times New Roman" w:hAnsi="Times New Roman"/>
        </w:rPr>
        <w:t xml:space="preserve"> komisāra ieskatā šie skaitļi neraksturo kritiski svarīgo kvalitātes nodrošināšanas funkciju, ko sākotnēji pildījušas pārtveršanas aģentūras vai orderi piešķirošās nodaļas darbinieki un juristi (orderi piešķirošās nodaļas sniegušas valsts sekretāram neatkarīgu viedokli un pārbaudījušas pieteikumus ordera saņemšanai un atjaunošanai pirms atļaujas došanas, lai nodrošinātu, ka tie ir (un paliek) nepieciešami un samērīgi). Pamatojoties uz šīm pārbaudēm, viņš guva pārliecību, ka nelielais noraidīto pieteikumu skaits liecināja par pārdomātu pilnvaru izmantošanu.</w:t>
      </w:r>
    </w:p>
    <w:p w14:paraId="30942628" w14:textId="7AF687BC" w:rsidR="00CE3392" w:rsidRPr="008D031E" w:rsidRDefault="000E3283" w:rsidP="001F1E46">
      <w:pPr>
        <w:pStyle w:val="JuPara"/>
        <w:widowControl w:val="0"/>
        <w:ind w:firstLine="142"/>
        <w:rPr>
          <w:rFonts w:ascii="Times New Roman" w:hAnsi="Times New Roman"/>
          <w:noProof/>
        </w:rPr>
      </w:pPr>
      <w:bookmarkStart w:id="160" w:name="CommissionerOversight"/>
      <w:r>
        <w:rPr>
          <w:rFonts w:ascii="Times New Roman" w:hAnsi="Times New Roman"/>
        </w:rPr>
        <w:t>171</w:t>
      </w:r>
      <w:bookmarkEnd w:id="160"/>
      <w:r>
        <w:rPr>
          <w:rFonts w:ascii="Times New Roman" w:hAnsi="Times New Roman"/>
        </w:rPr>
        <w:t>. Ierasta pārtveršanas aģentūras pārbaude paredzēja:</w:t>
      </w:r>
    </w:p>
    <w:p w14:paraId="093C374F" w14:textId="77777777" w:rsidR="000E3283" w:rsidRPr="008D031E" w:rsidRDefault="000E3283" w:rsidP="001F1E46">
      <w:pPr>
        <w:pStyle w:val="JuPara"/>
        <w:widowControl w:val="0"/>
        <w:numPr>
          <w:ilvl w:val="0"/>
          <w:numId w:val="26"/>
        </w:numPr>
        <w:ind w:left="567" w:hanging="284"/>
        <w:rPr>
          <w:rFonts w:ascii="Times New Roman" w:hAnsi="Times New Roman"/>
          <w:noProof/>
        </w:rPr>
      </w:pPr>
      <w:r>
        <w:rPr>
          <w:rFonts w:ascii="Times New Roman" w:hAnsi="Times New Roman"/>
        </w:rPr>
        <w:t>pārskatīt rīcības punktus vai ieteikumus, ņemot vērā iepriekšējo pārbaudi un tās īstenošanu;</w:t>
      </w:r>
    </w:p>
    <w:p w14:paraId="662292E3" w14:textId="77777777" w:rsidR="000E3283" w:rsidRPr="008D031E" w:rsidRDefault="000E3283" w:rsidP="001F1E46">
      <w:pPr>
        <w:pStyle w:val="JuPara"/>
        <w:widowControl w:val="0"/>
        <w:numPr>
          <w:ilvl w:val="0"/>
          <w:numId w:val="26"/>
        </w:numPr>
        <w:ind w:left="567" w:hanging="284"/>
        <w:rPr>
          <w:rFonts w:ascii="Times New Roman" w:hAnsi="Times New Roman"/>
          <w:noProof/>
        </w:rPr>
      </w:pPr>
      <w:r>
        <w:rPr>
          <w:rFonts w:ascii="Times New Roman" w:hAnsi="Times New Roman"/>
        </w:rPr>
        <w:t xml:space="preserve">izvērtēt ieviestās sakaru pārtveršanas sistēmas, lai nodrošinātu, ka tās atbilst </w:t>
      </w:r>
      <w:r>
        <w:rPr>
          <w:rFonts w:ascii="Times New Roman" w:hAnsi="Times New Roman"/>
          <w:i/>
          <w:iCs/>
        </w:rPr>
        <w:t>RIPA</w:t>
      </w:r>
      <w:r>
        <w:rPr>
          <w:rFonts w:ascii="Times New Roman" w:hAnsi="Times New Roman"/>
        </w:rPr>
        <w:t xml:space="preserve"> 1. daļas 1. nodaļas nolūkiem un ka tiek uzturēti visi attiecīgie reģistri;</w:t>
      </w:r>
    </w:p>
    <w:p w14:paraId="5769E95A" w14:textId="77777777" w:rsidR="000E3283" w:rsidRPr="008D031E" w:rsidRDefault="000E3283" w:rsidP="001F1E46">
      <w:pPr>
        <w:pStyle w:val="JuPara"/>
        <w:widowControl w:val="0"/>
        <w:numPr>
          <w:ilvl w:val="0"/>
          <w:numId w:val="26"/>
        </w:numPr>
        <w:ind w:left="567" w:hanging="284"/>
        <w:rPr>
          <w:rFonts w:ascii="Times New Roman" w:hAnsi="Times New Roman"/>
          <w:noProof/>
        </w:rPr>
      </w:pPr>
      <w:r>
        <w:rPr>
          <w:rFonts w:ascii="Times New Roman" w:hAnsi="Times New Roman"/>
        </w:rPr>
        <w:t>pārbaudīt atlasītos pieteikumus pārtveršanas veikšanai, lai izvērtētu, vai tie vispār bija nepieciešami un vai pieprasījumi atbilda nepieciešamības un samērīguma prasībām;</w:t>
      </w:r>
    </w:p>
    <w:p w14:paraId="152A0833" w14:textId="77777777" w:rsidR="000E3283" w:rsidRPr="008D031E" w:rsidRDefault="000E3283" w:rsidP="001F1E46">
      <w:pPr>
        <w:pStyle w:val="JuPara"/>
        <w:widowControl w:val="0"/>
        <w:numPr>
          <w:ilvl w:val="0"/>
          <w:numId w:val="26"/>
        </w:numPr>
        <w:ind w:left="567" w:hanging="284"/>
        <w:rPr>
          <w:rFonts w:ascii="Times New Roman" w:hAnsi="Times New Roman"/>
          <w:noProof/>
        </w:rPr>
      </w:pPr>
      <w:r>
        <w:rPr>
          <w:rFonts w:ascii="Times New Roman" w:hAnsi="Times New Roman"/>
        </w:rPr>
        <w:t>intervēt par attiecīgo lietu atbildīgās amatpersonas, analītiķus un/vai lingvistus, kas bija iesaistīti izmeklēšanā vai operācijās, lai izvērtētu, vai pārtveršana un visa materiāla iegūšanas pamatojums bija samērīgi;</w:t>
      </w:r>
    </w:p>
    <w:p w14:paraId="08895297" w14:textId="77777777" w:rsidR="000E3283" w:rsidRPr="008D031E" w:rsidRDefault="000E3283" w:rsidP="001F1E46">
      <w:pPr>
        <w:pStyle w:val="JuPara"/>
        <w:widowControl w:val="0"/>
        <w:numPr>
          <w:ilvl w:val="0"/>
          <w:numId w:val="26"/>
        </w:numPr>
        <w:ind w:left="567" w:hanging="284"/>
        <w:rPr>
          <w:rFonts w:ascii="Times New Roman" w:hAnsi="Times New Roman"/>
          <w:noProof/>
        </w:rPr>
      </w:pPr>
      <w:r>
        <w:rPr>
          <w:rFonts w:ascii="Times New Roman" w:hAnsi="Times New Roman"/>
        </w:rPr>
        <w:t>pārbaudīt jebkurus steidzamības kārtā sniegtos mutvārdu apstiprinājumus, lai pārliecinātos, ka process bija pamatots un atbilstošs;</w:t>
      </w:r>
    </w:p>
    <w:p w14:paraId="173217F7" w14:textId="77777777" w:rsidR="000E3283" w:rsidRPr="008D031E" w:rsidRDefault="000E3283" w:rsidP="001F1E46">
      <w:pPr>
        <w:pStyle w:val="JuPara"/>
        <w:widowControl w:val="0"/>
        <w:numPr>
          <w:ilvl w:val="0"/>
          <w:numId w:val="26"/>
        </w:numPr>
        <w:ind w:left="567" w:hanging="284"/>
        <w:rPr>
          <w:rFonts w:ascii="Times New Roman" w:hAnsi="Times New Roman"/>
          <w:noProof/>
        </w:rPr>
      </w:pPr>
      <w:r>
        <w:rPr>
          <w:rFonts w:ascii="Times New Roman" w:hAnsi="Times New Roman"/>
        </w:rPr>
        <w:t>pārskatīt tos gadījumus, kad sakari, uz ko attiecas juridiska konfidencialitāte vai kas ir citādi konfidenciāla informācija, ir pārtverti un saglabāti, kā arī jebkādus gadījumus, kad attiecībā pret advokātu bija uzsākta izmeklēšana;</w:t>
      </w:r>
    </w:p>
    <w:p w14:paraId="77CE1F8A" w14:textId="77777777" w:rsidR="000E3283" w:rsidRPr="008D031E" w:rsidRDefault="000E3283" w:rsidP="001F1E46">
      <w:pPr>
        <w:pStyle w:val="JuPara"/>
        <w:widowControl w:val="0"/>
        <w:numPr>
          <w:ilvl w:val="0"/>
          <w:numId w:val="26"/>
        </w:numPr>
        <w:ind w:left="567" w:hanging="284"/>
        <w:rPr>
          <w:rFonts w:ascii="Times New Roman" w:hAnsi="Times New Roman"/>
          <w:noProof/>
        </w:rPr>
      </w:pPr>
      <w:r>
        <w:rPr>
          <w:rFonts w:ascii="Times New Roman" w:hAnsi="Times New Roman"/>
        </w:rPr>
        <w:t xml:space="preserve">pārskatīt </w:t>
      </w:r>
      <w:r>
        <w:rPr>
          <w:rFonts w:ascii="Times New Roman" w:hAnsi="Times New Roman"/>
          <w:i/>
          <w:iCs/>
        </w:rPr>
        <w:t>RIPA</w:t>
      </w:r>
      <w:r>
        <w:rPr>
          <w:rFonts w:ascii="Times New Roman" w:hAnsi="Times New Roman"/>
        </w:rPr>
        <w:t xml:space="preserve"> 15. un 16. pantā noteikto drošības pasākumu un citu pasākumu atbilstību;</w:t>
      </w:r>
    </w:p>
    <w:p w14:paraId="399CF5E8" w14:textId="77777777" w:rsidR="000E3283" w:rsidRPr="008D031E" w:rsidRDefault="000E3283" w:rsidP="001F1E46">
      <w:pPr>
        <w:pStyle w:val="JuPara"/>
        <w:widowControl w:val="0"/>
        <w:numPr>
          <w:ilvl w:val="0"/>
          <w:numId w:val="26"/>
        </w:numPr>
        <w:ind w:left="567" w:hanging="284"/>
        <w:rPr>
          <w:rFonts w:ascii="Times New Roman" w:hAnsi="Times New Roman"/>
          <w:noProof/>
        </w:rPr>
      </w:pPr>
      <w:r>
        <w:rPr>
          <w:rFonts w:ascii="Times New Roman" w:hAnsi="Times New Roman"/>
        </w:rPr>
        <w:t>izmeklēt ieviestās pārtvertā materiāla un saistīto sakaru datu saglabāšanas, uzglabāšanas un iznīcināšanas procedūras un</w:t>
      </w:r>
    </w:p>
    <w:p w14:paraId="55929A06" w14:textId="77777777" w:rsidR="000E3283" w:rsidRPr="008D031E" w:rsidRDefault="000E3283" w:rsidP="001F1E46">
      <w:pPr>
        <w:pStyle w:val="JuPara"/>
        <w:widowControl w:val="0"/>
        <w:numPr>
          <w:ilvl w:val="0"/>
          <w:numId w:val="26"/>
        </w:numPr>
        <w:ind w:left="567" w:hanging="284"/>
        <w:rPr>
          <w:rFonts w:ascii="Times New Roman" w:hAnsi="Times New Roman"/>
          <w:noProof/>
        </w:rPr>
      </w:pPr>
      <w:r>
        <w:rPr>
          <w:rFonts w:ascii="Times New Roman" w:hAnsi="Times New Roman"/>
        </w:rPr>
        <w:t>pārskatīt ziņotās kļūmes, tostarp pārliecināties, vai ieviestie pasākumi, ar kuriem paredzēts novērst šo kļūmju atkārtošanos, bija pietiekami.</w:t>
      </w:r>
    </w:p>
    <w:p w14:paraId="742BC2BA" w14:textId="757E4FCB" w:rsidR="000E3283" w:rsidRPr="008D031E" w:rsidRDefault="000E3283" w:rsidP="001F1E46">
      <w:pPr>
        <w:pStyle w:val="JuPara"/>
        <w:widowControl w:val="0"/>
        <w:ind w:firstLine="142"/>
        <w:rPr>
          <w:rFonts w:ascii="Times New Roman" w:hAnsi="Times New Roman"/>
          <w:noProof/>
        </w:rPr>
      </w:pPr>
      <w:bookmarkStart w:id="161" w:name="CommissionerOversight2"/>
      <w:r>
        <w:rPr>
          <w:rFonts w:ascii="Times New Roman" w:hAnsi="Times New Roman"/>
        </w:rPr>
        <w:t>172</w:t>
      </w:r>
      <w:bookmarkEnd w:id="161"/>
      <w:r>
        <w:rPr>
          <w:rFonts w:ascii="Times New Roman" w:hAnsi="Times New Roman"/>
        </w:rPr>
        <w:t>. Pēc katras pārbaudes inspektori iesniedza ziņojumu, tostarp:</w:t>
      </w:r>
    </w:p>
    <w:p w14:paraId="4DDA3EA6" w14:textId="77777777" w:rsidR="000E3283" w:rsidRPr="008D031E" w:rsidRDefault="000E3283" w:rsidP="001F1E46">
      <w:pPr>
        <w:pStyle w:val="JuPara"/>
        <w:widowControl w:val="0"/>
        <w:numPr>
          <w:ilvl w:val="0"/>
          <w:numId w:val="27"/>
        </w:numPr>
        <w:ind w:left="567" w:hanging="283"/>
        <w:rPr>
          <w:rFonts w:ascii="Times New Roman" w:hAnsi="Times New Roman"/>
          <w:noProof/>
        </w:rPr>
      </w:pPr>
      <w:r>
        <w:rPr>
          <w:rFonts w:ascii="Times New Roman" w:hAnsi="Times New Roman"/>
        </w:rPr>
        <w:t>novērtējumu par to, ciktāl ir ieviesti iepriekšējās novērtēšanas laikā sniegtie ieteikumi;</w:t>
      </w:r>
    </w:p>
    <w:p w14:paraId="48A2417E" w14:textId="77777777" w:rsidR="000E3283" w:rsidRPr="008D031E" w:rsidRDefault="000E3283" w:rsidP="001F1E46">
      <w:pPr>
        <w:pStyle w:val="JuPara"/>
        <w:widowControl w:val="0"/>
        <w:numPr>
          <w:ilvl w:val="0"/>
          <w:numId w:val="27"/>
        </w:numPr>
        <w:ind w:left="567" w:hanging="283"/>
        <w:rPr>
          <w:rFonts w:ascii="Times New Roman" w:hAnsi="Times New Roman"/>
          <w:noProof/>
        </w:rPr>
      </w:pPr>
      <w:r>
        <w:rPr>
          <w:rFonts w:ascii="Times New Roman" w:hAnsi="Times New Roman"/>
        </w:rPr>
        <w:t>pārbaudei atlasīto pārtveršanas dokumentu skaita un veida kopsavilkums, tostarp detalizētu šo orderu sarakstu;</w:t>
      </w:r>
    </w:p>
    <w:p w14:paraId="13B75ACA" w14:textId="77777777" w:rsidR="000E3283" w:rsidRPr="008D031E" w:rsidRDefault="000E3283" w:rsidP="001F1E46">
      <w:pPr>
        <w:pStyle w:val="JuPara"/>
        <w:widowControl w:val="0"/>
        <w:numPr>
          <w:ilvl w:val="0"/>
          <w:numId w:val="27"/>
        </w:numPr>
        <w:ind w:left="567" w:hanging="283"/>
        <w:rPr>
          <w:rFonts w:ascii="Times New Roman" w:hAnsi="Times New Roman"/>
          <w:noProof/>
        </w:rPr>
      </w:pPr>
      <w:r>
        <w:rPr>
          <w:rFonts w:ascii="Times New Roman" w:hAnsi="Times New Roman"/>
        </w:rPr>
        <w:t>detalizētus komentārus par visiem orderiem, kas izraudzīti turpmākai pārbaudei un apspriešanai pārbaudes gaitā;</w:t>
      </w:r>
    </w:p>
    <w:p w14:paraId="7C22ACF4" w14:textId="77777777" w:rsidR="000E3283" w:rsidRPr="008D031E" w:rsidRDefault="000E3283" w:rsidP="001F1E46">
      <w:pPr>
        <w:pStyle w:val="JuPara"/>
        <w:widowControl w:val="0"/>
        <w:numPr>
          <w:ilvl w:val="0"/>
          <w:numId w:val="27"/>
        </w:numPr>
        <w:ind w:left="567" w:hanging="283"/>
        <w:rPr>
          <w:rFonts w:ascii="Times New Roman" w:hAnsi="Times New Roman"/>
          <w:noProof/>
        </w:rPr>
      </w:pPr>
      <w:r>
        <w:rPr>
          <w:rFonts w:ascii="Times New Roman" w:hAnsi="Times New Roman"/>
        </w:rPr>
        <w:t xml:space="preserve">novērtējumu par kļūmēm, par kurām </w:t>
      </w:r>
      <w:proofErr w:type="spellStart"/>
      <w:r>
        <w:rPr>
          <w:rFonts w:ascii="Times New Roman" w:hAnsi="Times New Roman"/>
          <w:i/>
          <w:iCs/>
        </w:rPr>
        <w:t>IC</w:t>
      </w:r>
      <w:proofErr w:type="spellEnd"/>
      <w:r>
        <w:rPr>
          <w:rFonts w:ascii="Times New Roman" w:hAnsi="Times New Roman"/>
        </w:rPr>
        <w:t xml:space="preserve"> komisāra birojam ziņots pārbaudes periodā;</w:t>
      </w:r>
    </w:p>
    <w:p w14:paraId="595207F9" w14:textId="77777777" w:rsidR="000E3283" w:rsidRPr="008D031E" w:rsidRDefault="000E3283" w:rsidP="001F1E46">
      <w:pPr>
        <w:pStyle w:val="JuPara"/>
        <w:widowControl w:val="0"/>
        <w:numPr>
          <w:ilvl w:val="0"/>
          <w:numId w:val="27"/>
        </w:numPr>
        <w:ind w:left="567" w:hanging="283"/>
        <w:rPr>
          <w:rFonts w:ascii="Times New Roman" w:hAnsi="Times New Roman"/>
          <w:noProof/>
        </w:rPr>
      </w:pPr>
      <w:r>
        <w:rPr>
          <w:rFonts w:ascii="Times New Roman" w:hAnsi="Times New Roman"/>
        </w:rPr>
        <w:t>pārskatu par datu saglabāšanas, uzglabāšanas un iznīcināšanas procedūru pārbaudi;</w:t>
      </w:r>
    </w:p>
    <w:p w14:paraId="3B08B4B2" w14:textId="77777777" w:rsidR="000E3283" w:rsidRPr="008D031E" w:rsidRDefault="000E3283" w:rsidP="001F1E46">
      <w:pPr>
        <w:pStyle w:val="JuPara"/>
        <w:widowControl w:val="0"/>
        <w:numPr>
          <w:ilvl w:val="0"/>
          <w:numId w:val="27"/>
        </w:numPr>
        <w:ind w:left="567" w:hanging="283"/>
        <w:rPr>
          <w:rFonts w:ascii="Times New Roman" w:hAnsi="Times New Roman"/>
          <w:noProof/>
        </w:rPr>
      </w:pPr>
      <w:r>
        <w:rPr>
          <w:rFonts w:ascii="Times New Roman" w:hAnsi="Times New Roman"/>
        </w:rPr>
        <w:t>pārskatu par citiem politikas vai operatīviem jautājumiem, ko aģentūra vai orderus piešķirošās nodaļas izvirzījušas pārbaudes laikā;</w:t>
      </w:r>
    </w:p>
    <w:p w14:paraId="5808F751" w14:textId="77777777" w:rsidR="000E3283" w:rsidRPr="008D031E" w:rsidRDefault="000E3283" w:rsidP="001F1E46">
      <w:pPr>
        <w:pStyle w:val="JuPara"/>
        <w:widowControl w:val="0"/>
        <w:numPr>
          <w:ilvl w:val="0"/>
          <w:numId w:val="27"/>
        </w:numPr>
        <w:ind w:left="567" w:hanging="283"/>
        <w:rPr>
          <w:rFonts w:ascii="Times New Roman" w:hAnsi="Times New Roman"/>
          <w:noProof/>
        </w:rPr>
      </w:pPr>
      <w:r>
        <w:rPr>
          <w:rFonts w:ascii="Times New Roman" w:hAnsi="Times New Roman"/>
        </w:rPr>
        <w:t>novērtējumu par to, kā ticis apstrādāts materiāls, uz ko attiecas advokāta un klienta saziņas konfidencialitāte (vai kāds cits konfidenciāls materiāls), un</w:t>
      </w:r>
    </w:p>
    <w:p w14:paraId="6B04B26B" w14:textId="77777777" w:rsidR="000E3283" w:rsidRPr="008D031E" w:rsidRDefault="000E3283" w:rsidP="001F1E46">
      <w:pPr>
        <w:pStyle w:val="JuPara"/>
        <w:widowControl w:val="0"/>
        <w:numPr>
          <w:ilvl w:val="0"/>
          <w:numId w:val="27"/>
        </w:numPr>
        <w:ind w:left="567" w:hanging="283"/>
        <w:rPr>
          <w:rFonts w:ascii="Times New Roman" w:hAnsi="Times New Roman"/>
          <w:noProof/>
        </w:rPr>
      </w:pPr>
      <w:r>
        <w:rPr>
          <w:rFonts w:ascii="Times New Roman" w:hAnsi="Times New Roman"/>
        </w:rPr>
        <w:lastRenderedPageBreak/>
        <w:t>vairākus ieteikumus, kuru mērķis ir uzlabot atbilstību un sniegumu.</w:t>
      </w:r>
    </w:p>
    <w:p w14:paraId="2E3DA477" w14:textId="263B6BC4" w:rsidR="000E3283" w:rsidRPr="008D031E" w:rsidRDefault="000E3283" w:rsidP="001F1E46">
      <w:pPr>
        <w:pStyle w:val="JuPara"/>
        <w:widowControl w:val="0"/>
        <w:ind w:firstLine="142"/>
        <w:rPr>
          <w:rFonts w:ascii="Times New Roman" w:hAnsi="Times New Roman"/>
          <w:noProof/>
        </w:rPr>
      </w:pPr>
      <w:bookmarkStart w:id="162" w:name="Agencies"/>
      <w:bookmarkStart w:id="163" w:name="Commissioner2016"/>
      <w:r>
        <w:rPr>
          <w:rFonts w:ascii="Times New Roman" w:hAnsi="Times New Roman"/>
        </w:rPr>
        <w:t>173</w:t>
      </w:r>
      <w:bookmarkEnd w:id="162"/>
      <w:bookmarkEnd w:id="163"/>
      <w:r>
        <w:rPr>
          <w:rFonts w:ascii="Times New Roman" w:hAnsi="Times New Roman"/>
        </w:rPr>
        <w:t xml:space="preserve">. 2016. gadā </w:t>
      </w:r>
      <w:proofErr w:type="spellStart"/>
      <w:r>
        <w:rPr>
          <w:rFonts w:ascii="Times New Roman" w:hAnsi="Times New Roman"/>
          <w:i/>
          <w:iCs/>
        </w:rPr>
        <w:t>IC</w:t>
      </w:r>
      <w:proofErr w:type="spellEnd"/>
      <w:r>
        <w:rPr>
          <w:rFonts w:ascii="Times New Roman" w:hAnsi="Times New Roman"/>
        </w:rPr>
        <w:t xml:space="preserve"> komisāra birojs vienu reizi pārbaudīja visas deviņas pārtveršanas aģentūras un divas reizes – četras galvenās orderus piešķirošās nodaļas. Tas kopā ar papildu apmeklējumiem </w:t>
      </w:r>
      <w:proofErr w:type="spellStart"/>
      <w:r>
        <w:rPr>
          <w:rFonts w:ascii="Times New Roman" w:hAnsi="Times New Roman"/>
          <w:i/>
          <w:iCs/>
        </w:rPr>
        <w:t>GCHQ</w:t>
      </w:r>
      <w:proofErr w:type="spellEnd"/>
      <w:r>
        <w:rPr>
          <w:rFonts w:ascii="Times New Roman" w:hAnsi="Times New Roman"/>
        </w:rPr>
        <w:t xml:space="preserve"> telpās kopā veidoja divdesmit divus pārbaudes apmeklējumus. Turklāt komisārs un viņa inspektori rīkoja </w:t>
      </w:r>
      <w:proofErr w:type="spellStart"/>
      <w:r>
        <w:rPr>
          <w:rFonts w:ascii="Times New Roman" w:hAnsi="Times New Roman"/>
          <w:i/>
          <w:iCs/>
        </w:rPr>
        <w:t>ad</w:t>
      </w:r>
      <w:proofErr w:type="spellEnd"/>
      <w:r>
        <w:rPr>
          <w:rFonts w:ascii="Times New Roman" w:hAnsi="Times New Roman"/>
          <w:i/>
          <w:iCs/>
        </w:rPr>
        <w:t> </w:t>
      </w:r>
      <w:proofErr w:type="spellStart"/>
      <w:r>
        <w:rPr>
          <w:rFonts w:ascii="Times New Roman" w:hAnsi="Times New Roman"/>
          <w:i/>
          <w:iCs/>
        </w:rPr>
        <w:t>hoc</w:t>
      </w:r>
      <w:proofErr w:type="spellEnd"/>
      <w:r>
        <w:rPr>
          <w:rFonts w:ascii="Times New Roman" w:hAnsi="Times New Roman"/>
        </w:rPr>
        <w:t xml:space="preserve"> apmeklējumus aģentūrās.</w:t>
      </w:r>
    </w:p>
    <w:p w14:paraId="0DDB2ACC" w14:textId="6124A2E4" w:rsidR="000E3283" w:rsidRPr="008D031E" w:rsidRDefault="000E3283" w:rsidP="001F1E46">
      <w:pPr>
        <w:pStyle w:val="JuPara"/>
        <w:widowControl w:val="0"/>
        <w:ind w:firstLine="142"/>
        <w:rPr>
          <w:rFonts w:ascii="Times New Roman" w:hAnsi="Times New Roman"/>
          <w:noProof/>
        </w:rPr>
      </w:pPr>
      <w:bookmarkStart w:id="164" w:name="Commissioner20162"/>
      <w:bookmarkStart w:id="165" w:name="Commissioner3stage"/>
      <w:r>
        <w:rPr>
          <w:rFonts w:ascii="Times New Roman" w:hAnsi="Times New Roman"/>
        </w:rPr>
        <w:t>174</w:t>
      </w:r>
      <w:bookmarkEnd w:id="164"/>
      <w:bookmarkEnd w:id="165"/>
      <w:r>
        <w:rPr>
          <w:rFonts w:ascii="Times New Roman" w:hAnsi="Times New Roman"/>
        </w:rPr>
        <w:t xml:space="preserve">. Ieviestās sistēmas pārtveršanas orderu pieprasīšanai un atļaušanai parasti tika pārbaudītas trīs posmos. Pirmkārt, lai iegūtu orderu reprezentatīvo paraugu, inspektori tos atlasīja, ņemot vērā dažādus noziegumu veidus un valsts drošības draudus. Turklāt inspektori galveno uzmanību pievērsa īpaši interesējošiem vai </w:t>
      </w:r>
      <w:proofErr w:type="spellStart"/>
      <w:r>
        <w:rPr>
          <w:rFonts w:ascii="Times New Roman" w:hAnsi="Times New Roman"/>
        </w:rPr>
        <w:t>sensitīviem</w:t>
      </w:r>
      <w:proofErr w:type="spellEnd"/>
      <w:r>
        <w:rPr>
          <w:rFonts w:ascii="Times New Roman" w:hAnsi="Times New Roman"/>
        </w:rPr>
        <w:t xml:space="preserve"> orderiem (piemēram, tiem, kuri radīja būtisku netiešu iejaukšanos, bija spēkā ievērojami ilgu laiku, bija apstiprināti mutiski, attiecās uz juridisku vai kā citādi konfidenciālu sakaru pārtveršanu, kā arī tā dēvētajiem “tematiskajiem” orderiem). Otrkārt, inspektori detalizēti pārbaudīja atlasītos orderus un saistīto dokumentāciju, ar to rūpīgi iepazīstoties pirms pārbaudes veikšanas. Šajā posmā inspektori varēja pārbaudīt analītiķu apgalvojumus par nepieciešamību un samērīgumu, pievienojot selektoru visai pārbaudes sistēmai. Katrs apgalvojums tika analizēts atsevišķi, un tam bija jāatsaucas uz vispārējo prasību par </w:t>
      </w:r>
      <w:proofErr w:type="spellStart"/>
      <w:r>
        <w:rPr>
          <w:rFonts w:ascii="Times New Roman" w:hAnsi="Times New Roman"/>
        </w:rPr>
        <w:t>izlūkdatu</w:t>
      </w:r>
      <w:proofErr w:type="spellEnd"/>
      <w:r>
        <w:rPr>
          <w:rFonts w:ascii="Times New Roman" w:hAnsi="Times New Roman"/>
        </w:rPr>
        <w:t xml:space="preserve"> vākšanas prioritātēm. Treškārt, viņi apzināja tos orderus, darbības vai procesa jomas, kurās bija nepieciešama papildu informācija vai precizējumi, un organizēja attiecīgā operatīvā, juridiskā vai tehniskā personāla intervijas. Ja nepieciešams, viņi pārbaudīja papildu dokumentāciju vai sistēmas, kas saistītas ar šiem orderiem.</w:t>
      </w:r>
    </w:p>
    <w:p w14:paraId="2C05851D" w14:textId="25FF226F" w:rsidR="000E3283" w:rsidRPr="008D031E" w:rsidRDefault="000E3283" w:rsidP="001F1E46">
      <w:pPr>
        <w:pStyle w:val="JuPara"/>
        <w:widowControl w:val="0"/>
        <w:ind w:firstLine="142"/>
        <w:rPr>
          <w:rFonts w:ascii="Times New Roman" w:hAnsi="Times New Roman"/>
          <w:noProof/>
        </w:rPr>
      </w:pPr>
      <w:bookmarkStart w:id="166" w:name="Warrants970"/>
      <w:bookmarkStart w:id="167" w:name="nineseventy"/>
      <w:r>
        <w:rPr>
          <w:rFonts w:ascii="Times New Roman" w:hAnsi="Times New Roman"/>
        </w:rPr>
        <w:t>175</w:t>
      </w:r>
      <w:bookmarkEnd w:id="166"/>
      <w:bookmarkEnd w:id="167"/>
      <w:r>
        <w:rPr>
          <w:rFonts w:ascii="Times New Roman" w:hAnsi="Times New Roman"/>
        </w:rPr>
        <w:t>. Divdesmit divās pārtveršanas pārbaudēs tika pārbaudīti kopumā deviņi simti septiņdesmit orderi (sešdesmit viens procents no gada beigās spēkā esošo orderu skaita un trīsdesmit divi procenti no 2016. gadā izdoto jauno orderu kopskaita).</w:t>
      </w:r>
    </w:p>
    <w:p w14:paraId="6AD07B6E" w14:textId="53A36B76" w:rsidR="000E3283" w:rsidRPr="008D031E" w:rsidRDefault="000E3283" w:rsidP="001F1E46">
      <w:pPr>
        <w:pStyle w:val="JuPara"/>
        <w:widowControl w:val="0"/>
        <w:ind w:firstLine="142"/>
        <w:rPr>
          <w:rFonts w:ascii="Times New Roman" w:hAnsi="Times New Roman"/>
          <w:noProof/>
        </w:rPr>
      </w:pPr>
      <w:bookmarkStart w:id="168" w:name="IOCCORepRet"/>
      <w:r>
        <w:rPr>
          <w:rFonts w:ascii="Times New Roman" w:hAnsi="Times New Roman"/>
        </w:rPr>
        <w:t>176</w:t>
      </w:r>
      <w:bookmarkEnd w:id="168"/>
      <w:r>
        <w:rPr>
          <w:rFonts w:ascii="Times New Roman" w:hAnsi="Times New Roman"/>
        </w:rPr>
        <w:t xml:space="preserve">. Saglabāšanas periodi tiesiskajā regulējumā nebija noteikti, taču aģentūrām bija jāņem vērā </w:t>
      </w:r>
      <w:r>
        <w:rPr>
          <w:rFonts w:ascii="Times New Roman" w:hAnsi="Times New Roman"/>
          <w:i/>
          <w:iCs/>
        </w:rPr>
        <w:t>RIPA</w:t>
      </w:r>
      <w:r>
        <w:rPr>
          <w:rFonts w:ascii="Times New Roman" w:hAnsi="Times New Roman"/>
        </w:rPr>
        <w:t xml:space="preserve"> 15. panta 3. punkts, kas paredzēja, ka materiāls vai dati ir jāiznīcina, tiklīdz to saglabāšana vairs nav nepieciešama kādam no 15. panta 4. punktā atļautajiem nolūkiem. Ziņojums liecina, ka katrai pārtveršanas aģentūrai bija atšķirīgs viedoklis par to, kas ir atbilstošs pārtvertā materiāla un saistīto sakaru datu saglabāšanas periods. Tāpēc saglabāšanas periodi dažādās pārtveršanas aģentūrās bija atšķirīgi, proti, attiecībā uz saturu tie svārstījās no trīsdesmit dienām līdz vienam gadam, bet attiecībā uz saistītajiem sakaru datiem – no sešiem mēnešiem līdz vienam gadam. Tomēr praksē lielākā daļa satura tika pārskatīta un automātiski dzēsta pēc ļoti īsa laika perioda, ja vien netika veikts īpašs pasākums, lai saturu saglabātu ilgāk tādēļ, ka tas bija nepieciešams.</w:t>
      </w:r>
    </w:p>
    <w:p w14:paraId="5B1C1941" w14:textId="4BA63552" w:rsidR="000E3283" w:rsidRPr="008D031E" w:rsidRDefault="000E3283" w:rsidP="001F1E46">
      <w:pPr>
        <w:pStyle w:val="JuPara"/>
        <w:widowControl w:val="0"/>
        <w:ind w:firstLine="142"/>
        <w:rPr>
          <w:rFonts w:ascii="Times New Roman" w:hAnsi="Times New Roman"/>
          <w:noProof/>
        </w:rPr>
      </w:pPr>
      <w:bookmarkStart w:id="169" w:name="CommissionerQualityNPstatements"/>
      <w:r>
        <w:rPr>
          <w:rFonts w:ascii="Times New Roman" w:hAnsi="Times New Roman"/>
        </w:rPr>
        <w:t>177</w:t>
      </w:r>
      <w:bookmarkEnd w:id="169"/>
      <w:r>
        <w:rPr>
          <w:rFonts w:ascii="Times New Roman" w:hAnsi="Times New Roman"/>
        </w:rPr>
        <w:t xml:space="preserve">. </w:t>
      </w:r>
      <w:proofErr w:type="spellStart"/>
      <w:r>
        <w:rPr>
          <w:rFonts w:ascii="Times New Roman" w:hAnsi="Times New Roman"/>
          <w:i/>
          <w:iCs/>
        </w:rPr>
        <w:t>IC</w:t>
      </w:r>
      <w:proofErr w:type="spellEnd"/>
      <w:r>
        <w:rPr>
          <w:rFonts w:ascii="Times New Roman" w:hAnsi="Times New Roman"/>
        </w:rPr>
        <w:t xml:space="preserve"> komisārs uzsvēra, ka viņu “pārsteidza kvalitāte” saistībā ar paziņojumiem par nepieciešamību un samērīgumu, ko analītiķi sniedza, pievienojot selektoru visai pārbaudes sistēmai.</w:t>
      </w:r>
    </w:p>
    <w:p w14:paraId="6001BAD6" w14:textId="0D4AB48A" w:rsidR="000E3283" w:rsidRPr="008D031E" w:rsidRDefault="000E3283" w:rsidP="001F1E46">
      <w:pPr>
        <w:pStyle w:val="JuPara"/>
        <w:widowControl w:val="0"/>
        <w:ind w:firstLine="142"/>
        <w:rPr>
          <w:rFonts w:ascii="Times New Roman" w:hAnsi="Times New Roman"/>
          <w:noProof/>
        </w:rPr>
      </w:pPr>
      <w:r>
        <w:rPr>
          <w:rFonts w:ascii="Times New Roman" w:hAnsi="Times New Roman"/>
        </w:rPr>
        <w:t xml:space="preserve">178. Inspektori pārbaužu ziņojumos kopumā sniedza divdesmit astoņus ieteikumus, no kuriem astoņpadsmit attiecās uz pieteikšanās procesu. Vairums ieteikumu šajā kategorijā attiecās uz nepieciešamības, samērīguma un/vai netiešas iejaukšanās pamatojumu pieteikumos vai uz juridiski konfidenciāla vai citādi konfidenciāla materiāla apstrādi, kas saistīts </w:t>
      </w:r>
      <w:proofErr w:type="spellStart"/>
      <w:r>
        <w:rPr>
          <w:rFonts w:ascii="Times New Roman" w:hAnsi="Times New Roman"/>
        </w:rPr>
        <w:t>sensitīvām</w:t>
      </w:r>
      <w:proofErr w:type="spellEnd"/>
      <w:r>
        <w:rPr>
          <w:rFonts w:ascii="Times New Roman" w:hAnsi="Times New Roman"/>
        </w:rPr>
        <w:t xml:space="preserve"> profesijām.</w:t>
      </w:r>
    </w:p>
    <w:p w14:paraId="3D6996FB" w14:textId="6CA17155" w:rsidR="000E3283" w:rsidRPr="008D031E" w:rsidRDefault="000E3283" w:rsidP="001F1E46">
      <w:pPr>
        <w:pStyle w:val="JuPara"/>
        <w:widowControl w:val="0"/>
        <w:ind w:firstLine="142"/>
        <w:rPr>
          <w:rFonts w:ascii="Times New Roman" w:hAnsi="Times New Roman"/>
          <w:noProof/>
        </w:rPr>
      </w:pPr>
      <w:r>
        <w:rPr>
          <w:rFonts w:ascii="Times New Roman" w:hAnsi="Times New Roman"/>
        </w:rPr>
        <w:t xml:space="preserve">179. 2016. gadā </w:t>
      </w:r>
      <w:proofErr w:type="spellStart"/>
      <w:r>
        <w:rPr>
          <w:rFonts w:ascii="Times New Roman" w:hAnsi="Times New Roman"/>
          <w:i/>
          <w:iCs/>
        </w:rPr>
        <w:t>IC</w:t>
      </w:r>
      <w:proofErr w:type="spellEnd"/>
      <w:r>
        <w:rPr>
          <w:rFonts w:ascii="Times New Roman" w:hAnsi="Times New Roman"/>
        </w:rPr>
        <w:t xml:space="preserve"> komisāram kopumā bija ziņots par 108 pārtveršanas kļūmēm. Galvenie pārtveršanas kļūmju cēloņi bija pārmērīga datu apkopošana (parasti tehniskas programmatūras vai aparatūras kļūmes, kas bija par pamatu pārtvertā materiāla un saistīto sakaru datu pārmērīgai apkopošanai), neatļauta atlase/pārbaude, neatbilstoša izplatīšana, pārtveršanas neatcelšana un nepareizo sakaru adreses vai personas pārtveršana.</w:t>
      </w:r>
    </w:p>
    <w:p w14:paraId="16D202F6" w14:textId="5A0D5F5E" w:rsidR="000E3283" w:rsidRDefault="000E3283" w:rsidP="001F1E46">
      <w:pPr>
        <w:pStyle w:val="JuPara"/>
        <w:widowControl w:val="0"/>
        <w:ind w:firstLine="142"/>
        <w:rPr>
          <w:rFonts w:ascii="Times New Roman" w:hAnsi="Times New Roman"/>
          <w:noProof/>
        </w:rPr>
      </w:pPr>
      <w:bookmarkStart w:id="170" w:name="CommissionerFiveEyes"/>
      <w:r>
        <w:rPr>
          <w:rFonts w:ascii="Times New Roman" w:hAnsi="Times New Roman"/>
        </w:rPr>
        <w:t>180</w:t>
      </w:r>
      <w:bookmarkEnd w:id="170"/>
      <w:r>
        <w:rPr>
          <w:rFonts w:ascii="Times New Roman" w:hAnsi="Times New Roman"/>
        </w:rPr>
        <w:t xml:space="preserve">. Visbeidzot attiecībā uz </w:t>
      </w:r>
      <w:proofErr w:type="spellStart"/>
      <w:r>
        <w:rPr>
          <w:rFonts w:ascii="Times New Roman" w:hAnsi="Times New Roman"/>
        </w:rPr>
        <w:t>izlūkdatiem</w:t>
      </w:r>
      <w:proofErr w:type="spellEnd"/>
      <w:r>
        <w:rPr>
          <w:rFonts w:ascii="Times New Roman" w:hAnsi="Times New Roman"/>
        </w:rPr>
        <w:t xml:space="preserve"> </w:t>
      </w:r>
      <w:proofErr w:type="spellStart"/>
      <w:r>
        <w:rPr>
          <w:rFonts w:ascii="Times New Roman" w:hAnsi="Times New Roman"/>
          <w:i/>
          <w:iCs/>
        </w:rPr>
        <w:t>IC</w:t>
      </w:r>
      <w:proofErr w:type="spellEnd"/>
      <w:r>
        <w:rPr>
          <w:rFonts w:ascii="Times New Roman" w:hAnsi="Times New Roman"/>
        </w:rPr>
        <w:t xml:space="preserve"> komisārs norādīja:</w:t>
      </w:r>
    </w:p>
    <w:p w14:paraId="12F0EC99" w14:textId="77777777" w:rsidR="00883284" w:rsidRPr="008D031E" w:rsidRDefault="00883284" w:rsidP="001F1E46">
      <w:pPr>
        <w:pStyle w:val="JuPara"/>
        <w:widowControl w:val="0"/>
        <w:ind w:firstLine="142"/>
        <w:rPr>
          <w:rFonts w:ascii="Times New Roman" w:hAnsi="Times New Roman"/>
          <w:noProof/>
          <w:lang w:val="en-US"/>
        </w:rPr>
      </w:pPr>
    </w:p>
    <w:p w14:paraId="11C860CD" w14:textId="77777777"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w:t>
      </w:r>
      <w:proofErr w:type="spellStart"/>
      <w:r>
        <w:rPr>
          <w:rFonts w:ascii="Times New Roman" w:hAnsi="Times New Roman"/>
          <w:i/>
          <w:iCs/>
          <w:sz w:val="24"/>
        </w:rPr>
        <w:t>GCHQ</w:t>
      </w:r>
      <w:proofErr w:type="spellEnd"/>
      <w:r>
        <w:rPr>
          <w:rFonts w:ascii="Times New Roman" w:hAnsi="Times New Roman"/>
          <w:sz w:val="24"/>
        </w:rPr>
        <w:t xml:space="preserve"> sniedza visaptverošu informāciju par apmaiņas pasākumiem, saskaņā ar kuriem “</w:t>
      </w:r>
      <w:proofErr w:type="spellStart"/>
      <w:r>
        <w:rPr>
          <w:rFonts w:ascii="Times New Roman" w:hAnsi="Times New Roman"/>
          <w:sz w:val="24"/>
        </w:rPr>
        <w:t>Five</w:t>
      </w:r>
      <w:proofErr w:type="spellEnd"/>
      <w:r>
        <w:rPr>
          <w:rFonts w:ascii="Times New Roman" w:hAnsi="Times New Roman"/>
          <w:sz w:val="24"/>
        </w:rPr>
        <w:t xml:space="preserve"> </w:t>
      </w:r>
      <w:proofErr w:type="spellStart"/>
      <w:r>
        <w:rPr>
          <w:rFonts w:ascii="Times New Roman" w:hAnsi="Times New Roman"/>
          <w:sz w:val="24"/>
        </w:rPr>
        <w:t>Eyes</w:t>
      </w:r>
      <w:proofErr w:type="spellEnd"/>
      <w:r>
        <w:rPr>
          <w:rFonts w:ascii="Times New Roman" w:hAnsi="Times New Roman"/>
          <w:sz w:val="24"/>
        </w:rPr>
        <w:t xml:space="preserve">” partneri savās sistēmās var piekļūt </w:t>
      </w:r>
      <w:proofErr w:type="spellStart"/>
      <w:r>
        <w:rPr>
          <w:rFonts w:ascii="Times New Roman" w:hAnsi="Times New Roman"/>
          <w:i/>
          <w:iCs/>
          <w:sz w:val="24"/>
        </w:rPr>
        <w:t>GCHQ</w:t>
      </w:r>
      <w:proofErr w:type="spellEnd"/>
      <w:r>
        <w:rPr>
          <w:rFonts w:ascii="Times New Roman" w:hAnsi="Times New Roman"/>
          <w:sz w:val="24"/>
        </w:rPr>
        <w:t xml:space="preserve"> pārtveršanas ordera produkta elementiem. Mani inspektori arī tikās ar “</w:t>
      </w:r>
      <w:proofErr w:type="spellStart"/>
      <w:r>
        <w:rPr>
          <w:rFonts w:ascii="Times New Roman" w:hAnsi="Times New Roman"/>
          <w:sz w:val="24"/>
        </w:rPr>
        <w:t>Five</w:t>
      </w:r>
      <w:proofErr w:type="spellEnd"/>
      <w:r>
        <w:rPr>
          <w:rFonts w:ascii="Times New Roman" w:hAnsi="Times New Roman"/>
          <w:sz w:val="24"/>
        </w:rPr>
        <w:t xml:space="preserve"> </w:t>
      </w:r>
      <w:proofErr w:type="spellStart"/>
      <w:r>
        <w:rPr>
          <w:rFonts w:ascii="Times New Roman" w:hAnsi="Times New Roman"/>
          <w:sz w:val="24"/>
        </w:rPr>
        <w:t>Eyes</w:t>
      </w:r>
      <w:proofErr w:type="spellEnd"/>
      <w:r>
        <w:rPr>
          <w:rFonts w:ascii="Times New Roman" w:hAnsi="Times New Roman"/>
          <w:sz w:val="24"/>
        </w:rPr>
        <w:t xml:space="preserve">” kopienas pārstāvjiem, un viņiem tika </w:t>
      </w:r>
      <w:r>
        <w:rPr>
          <w:rFonts w:ascii="Times New Roman" w:hAnsi="Times New Roman"/>
          <w:sz w:val="24"/>
        </w:rPr>
        <w:lastRenderedPageBreak/>
        <w:t>uzskatāmi parādīts, kā citi “</w:t>
      </w:r>
      <w:proofErr w:type="spellStart"/>
      <w:r>
        <w:rPr>
          <w:rFonts w:ascii="Times New Roman" w:hAnsi="Times New Roman"/>
          <w:sz w:val="24"/>
        </w:rPr>
        <w:t>Five</w:t>
      </w:r>
      <w:proofErr w:type="spellEnd"/>
      <w:r>
        <w:rPr>
          <w:rFonts w:ascii="Times New Roman" w:hAnsi="Times New Roman"/>
          <w:sz w:val="24"/>
        </w:rPr>
        <w:t xml:space="preserve"> </w:t>
      </w:r>
      <w:proofErr w:type="spellStart"/>
      <w:r>
        <w:rPr>
          <w:rFonts w:ascii="Times New Roman" w:hAnsi="Times New Roman"/>
          <w:sz w:val="24"/>
        </w:rPr>
        <w:t>Eyes</w:t>
      </w:r>
      <w:proofErr w:type="spellEnd"/>
      <w:r>
        <w:rPr>
          <w:rFonts w:ascii="Times New Roman" w:hAnsi="Times New Roman"/>
          <w:sz w:val="24"/>
        </w:rPr>
        <w:t xml:space="preserve">” locekļi var pieprasīt piekļuvi </w:t>
      </w:r>
      <w:proofErr w:type="spellStart"/>
      <w:r>
        <w:rPr>
          <w:rFonts w:ascii="Times New Roman" w:hAnsi="Times New Roman"/>
          <w:i/>
          <w:iCs/>
          <w:sz w:val="24"/>
        </w:rPr>
        <w:t>GCHQ</w:t>
      </w:r>
      <w:proofErr w:type="spellEnd"/>
      <w:r>
        <w:rPr>
          <w:rFonts w:ascii="Times New Roman" w:hAnsi="Times New Roman"/>
          <w:sz w:val="24"/>
        </w:rPr>
        <w:t xml:space="preserve"> datiem. Piekļuve</w:t>
      </w:r>
      <w:r>
        <w:rPr>
          <w:rFonts w:ascii="Times New Roman" w:hAnsi="Times New Roman"/>
          <w:i/>
          <w:iCs/>
          <w:sz w:val="24"/>
        </w:rPr>
        <w:t xml:space="preserve"> </w:t>
      </w:r>
      <w:proofErr w:type="spellStart"/>
      <w:r>
        <w:rPr>
          <w:rFonts w:ascii="Times New Roman" w:hAnsi="Times New Roman"/>
          <w:i/>
          <w:iCs/>
          <w:sz w:val="24"/>
        </w:rPr>
        <w:t>GCHQ</w:t>
      </w:r>
      <w:proofErr w:type="spellEnd"/>
      <w:r>
        <w:rPr>
          <w:rFonts w:ascii="Times New Roman" w:hAnsi="Times New Roman"/>
          <w:sz w:val="24"/>
        </w:rPr>
        <w:t xml:space="preserve"> sistēmām tiek stingri kontrolēta, un tai ir jābūt pamatotai saskaņā ar uzņēmējas valsts tiesību aktiem un 15./16. pantā noteiktajiem norādījumiem par drošības pasākumiem. Pirms piekļūt </w:t>
      </w:r>
      <w:proofErr w:type="spellStart"/>
      <w:r>
        <w:rPr>
          <w:rFonts w:ascii="Times New Roman" w:hAnsi="Times New Roman"/>
          <w:i/>
          <w:iCs/>
          <w:sz w:val="24"/>
        </w:rPr>
        <w:t>GCHQ</w:t>
      </w:r>
      <w:proofErr w:type="spellEnd"/>
      <w:r>
        <w:rPr>
          <w:rFonts w:ascii="Times New Roman" w:hAnsi="Times New Roman"/>
          <w:sz w:val="24"/>
        </w:rPr>
        <w:t xml:space="preserve"> datiem, “</w:t>
      </w:r>
      <w:proofErr w:type="spellStart"/>
      <w:r>
        <w:rPr>
          <w:rFonts w:ascii="Times New Roman" w:hAnsi="Times New Roman"/>
          <w:sz w:val="24"/>
        </w:rPr>
        <w:t>Five</w:t>
      </w:r>
      <w:proofErr w:type="spellEnd"/>
      <w:r>
        <w:rPr>
          <w:rFonts w:ascii="Times New Roman" w:hAnsi="Times New Roman"/>
          <w:sz w:val="24"/>
        </w:rPr>
        <w:t xml:space="preserve"> </w:t>
      </w:r>
      <w:proofErr w:type="spellStart"/>
      <w:r>
        <w:rPr>
          <w:rFonts w:ascii="Times New Roman" w:hAnsi="Times New Roman"/>
          <w:sz w:val="24"/>
        </w:rPr>
        <w:t>Eyes</w:t>
      </w:r>
      <w:proofErr w:type="spellEnd"/>
      <w:r>
        <w:rPr>
          <w:rFonts w:ascii="Times New Roman" w:hAnsi="Times New Roman"/>
          <w:sz w:val="24"/>
        </w:rPr>
        <w:t xml:space="preserve">” analītiķiem ir jāpabeidz tādas pašas mācības par juridiskajiem aspektiem kā </w:t>
      </w:r>
      <w:proofErr w:type="spellStart"/>
      <w:r>
        <w:rPr>
          <w:rFonts w:ascii="Times New Roman" w:hAnsi="Times New Roman"/>
          <w:i/>
          <w:iCs/>
          <w:sz w:val="24"/>
        </w:rPr>
        <w:t>GCHQ</w:t>
      </w:r>
      <w:proofErr w:type="spellEnd"/>
      <w:r>
        <w:rPr>
          <w:rFonts w:ascii="Times New Roman" w:hAnsi="Times New Roman"/>
          <w:sz w:val="24"/>
        </w:rPr>
        <w:t xml:space="preserve"> darbiniekiem.</w:t>
      </w:r>
    </w:p>
    <w:p w14:paraId="18800722" w14:textId="77777777" w:rsidR="00883284" w:rsidRPr="008D031E" w:rsidRDefault="00883284" w:rsidP="001F1E46">
      <w:pPr>
        <w:pStyle w:val="JuQuot"/>
        <w:widowControl w:val="0"/>
        <w:spacing w:before="0" w:after="0"/>
        <w:ind w:left="0"/>
        <w:rPr>
          <w:rFonts w:ascii="Times New Roman" w:hAnsi="Times New Roman"/>
          <w:noProof/>
          <w:sz w:val="24"/>
          <w:lang w:val="en-US"/>
        </w:rPr>
      </w:pPr>
    </w:p>
    <w:p w14:paraId="4F364C3F" w14:textId="677EBFE4" w:rsidR="000E3283" w:rsidRDefault="00883284" w:rsidP="001F1E46">
      <w:pPr>
        <w:pStyle w:val="JuH1"/>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8. 2016. gada Izlūkdienestu komisāra gada ziņojums</w:t>
      </w:r>
    </w:p>
    <w:p w14:paraId="562EA87C" w14:textId="77777777" w:rsidR="00883284" w:rsidRPr="00883284" w:rsidRDefault="00883284" w:rsidP="001F1E46">
      <w:pPr>
        <w:pStyle w:val="JuPara"/>
        <w:widowControl w:val="0"/>
        <w:rPr>
          <w:lang w:val="en-US"/>
        </w:rPr>
      </w:pPr>
    </w:p>
    <w:p w14:paraId="7117FA6E" w14:textId="63809244" w:rsidR="000E3283" w:rsidRDefault="000E3283" w:rsidP="001F1E46">
      <w:pPr>
        <w:pStyle w:val="JuPara"/>
        <w:widowControl w:val="0"/>
        <w:ind w:firstLine="142"/>
        <w:rPr>
          <w:rFonts w:ascii="Times New Roman" w:hAnsi="Times New Roman"/>
          <w:noProof/>
        </w:rPr>
      </w:pPr>
      <w:r>
        <w:rPr>
          <w:rFonts w:ascii="Times New Roman" w:hAnsi="Times New Roman"/>
        </w:rPr>
        <w:t xml:space="preserve">181. Izlūkdienestu komisārs savā ziņojumā par atbilstību Konsolidētajiem norādījumiem izlūkdienestiem un dienesta personālam par aizturēto personu aizturēšanu un nopratināšanu ārvalstīs, kā arī par </w:t>
      </w:r>
      <w:proofErr w:type="spellStart"/>
      <w:r>
        <w:rPr>
          <w:rFonts w:ascii="Times New Roman" w:hAnsi="Times New Roman"/>
        </w:rPr>
        <w:t>izlūkdatu</w:t>
      </w:r>
      <w:proofErr w:type="spellEnd"/>
      <w:r>
        <w:rPr>
          <w:rFonts w:ascii="Times New Roman" w:hAnsi="Times New Roman"/>
        </w:rPr>
        <w:t xml:space="preserve"> nodošanu un saņemšanu saistībā ar aizturētajām personām [</w:t>
      </w:r>
      <w:proofErr w:type="spellStart"/>
      <w:r>
        <w:rPr>
          <w:rFonts w:ascii="Times New Roman" w:hAnsi="Times New Roman"/>
          <w:i/>
          <w:iCs/>
        </w:rPr>
        <w:t>Consolidated</w:t>
      </w:r>
      <w:proofErr w:type="spellEnd"/>
      <w:r>
        <w:rPr>
          <w:rFonts w:ascii="Times New Roman" w:hAnsi="Times New Roman"/>
          <w:i/>
          <w:iCs/>
        </w:rPr>
        <w:t xml:space="preserve"> </w:t>
      </w:r>
      <w:proofErr w:type="spellStart"/>
      <w:r>
        <w:rPr>
          <w:rFonts w:ascii="Times New Roman" w:hAnsi="Times New Roman"/>
          <w:i/>
          <w:iCs/>
        </w:rPr>
        <w:t>Guidance</w:t>
      </w:r>
      <w:proofErr w:type="spellEnd"/>
      <w:r>
        <w:rPr>
          <w:rFonts w:ascii="Times New Roman" w:hAnsi="Times New Roman"/>
          <w:i/>
          <w:iCs/>
        </w:rPr>
        <w:t xml:space="preserve"> to </w:t>
      </w:r>
      <w:proofErr w:type="spellStart"/>
      <w:r>
        <w:rPr>
          <w:rFonts w:ascii="Times New Roman" w:hAnsi="Times New Roman"/>
          <w:i/>
          <w:iCs/>
        </w:rPr>
        <w:t>Intelligence</w:t>
      </w:r>
      <w:proofErr w:type="spellEnd"/>
      <w:r>
        <w:rPr>
          <w:rFonts w:ascii="Times New Roman" w:hAnsi="Times New Roman"/>
          <w:i/>
          <w:iCs/>
        </w:rPr>
        <w:t xml:space="preserve"> </w:t>
      </w:r>
      <w:proofErr w:type="spellStart"/>
      <w:r>
        <w:rPr>
          <w:rFonts w:ascii="Times New Roman" w:hAnsi="Times New Roman"/>
          <w:i/>
          <w:iCs/>
        </w:rPr>
        <w:t>Officers</w:t>
      </w:r>
      <w:proofErr w:type="spellEnd"/>
      <w:r>
        <w:rPr>
          <w:rFonts w:ascii="Times New Roman" w:hAnsi="Times New Roman"/>
          <w:i/>
          <w:iCs/>
        </w:rPr>
        <w:t xml:space="preserve"> </w:t>
      </w:r>
      <w:proofErr w:type="spellStart"/>
      <w:r>
        <w:rPr>
          <w:rFonts w:ascii="Times New Roman" w:hAnsi="Times New Roman"/>
          <w:i/>
          <w:iCs/>
        </w:rPr>
        <w:t>and</w:t>
      </w:r>
      <w:proofErr w:type="spellEnd"/>
      <w:r>
        <w:rPr>
          <w:rFonts w:ascii="Times New Roman" w:hAnsi="Times New Roman"/>
          <w:i/>
          <w:iCs/>
        </w:rPr>
        <w:t xml:space="preserve"> </w:t>
      </w:r>
      <w:proofErr w:type="spellStart"/>
      <w:r>
        <w:rPr>
          <w:rFonts w:ascii="Times New Roman" w:hAnsi="Times New Roman"/>
          <w:i/>
          <w:iCs/>
        </w:rPr>
        <w:t>Service</w:t>
      </w:r>
      <w:proofErr w:type="spellEnd"/>
      <w:r>
        <w:rPr>
          <w:rFonts w:ascii="Times New Roman" w:hAnsi="Times New Roman"/>
          <w:i/>
          <w:iCs/>
        </w:rPr>
        <w:t xml:space="preserve"> </w:t>
      </w:r>
      <w:proofErr w:type="spellStart"/>
      <w:r>
        <w:rPr>
          <w:rFonts w:ascii="Times New Roman" w:hAnsi="Times New Roman"/>
          <w:i/>
          <w:iCs/>
        </w:rPr>
        <w:t>Personnel</w:t>
      </w:r>
      <w:proofErr w:type="spellEnd"/>
      <w:r>
        <w:rPr>
          <w:rFonts w:ascii="Times New Roman" w:hAnsi="Times New Roman"/>
          <w:i/>
          <w:iCs/>
        </w:rPr>
        <w:t xml:space="preserve"> </w:t>
      </w:r>
      <w:proofErr w:type="spellStart"/>
      <w:r>
        <w:rPr>
          <w:rFonts w:ascii="Times New Roman" w:hAnsi="Times New Roman"/>
          <w:i/>
          <w:iCs/>
        </w:rPr>
        <w:t>on</w:t>
      </w:r>
      <w:proofErr w:type="spellEnd"/>
      <w:r>
        <w:rPr>
          <w:rFonts w:ascii="Times New Roman" w:hAnsi="Times New Roman"/>
          <w:i/>
          <w:iCs/>
        </w:rPr>
        <w:t xml:space="preserve"> </w:t>
      </w:r>
      <w:proofErr w:type="spellStart"/>
      <w:r>
        <w:rPr>
          <w:rFonts w:ascii="Times New Roman" w:hAnsi="Times New Roman"/>
          <w:i/>
          <w:iCs/>
        </w:rPr>
        <w:t>the</w:t>
      </w:r>
      <w:proofErr w:type="spellEnd"/>
      <w:r>
        <w:rPr>
          <w:rFonts w:ascii="Times New Roman" w:hAnsi="Times New Roman"/>
          <w:i/>
          <w:iCs/>
        </w:rPr>
        <w:t xml:space="preserve"> </w:t>
      </w:r>
      <w:proofErr w:type="spellStart"/>
      <w:r>
        <w:rPr>
          <w:rFonts w:ascii="Times New Roman" w:hAnsi="Times New Roman"/>
          <w:i/>
          <w:iCs/>
        </w:rPr>
        <w:t>Detention</w:t>
      </w:r>
      <w:proofErr w:type="spellEnd"/>
      <w:r>
        <w:rPr>
          <w:rFonts w:ascii="Times New Roman" w:hAnsi="Times New Roman"/>
          <w:i/>
          <w:iCs/>
        </w:rPr>
        <w:t xml:space="preserve"> </w:t>
      </w:r>
      <w:proofErr w:type="spellStart"/>
      <w:r>
        <w:rPr>
          <w:rFonts w:ascii="Times New Roman" w:hAnsi="Times New Roman"/>
          <w:i/>
          <w:iCs/>
        </w:rPr>
        <w:t>and</w:t>
      </w:r>
      <w:proofErr w:type="spellEnd"/>
      <w:r>
        <w:rPr>
          <w:rFonts w:ascii="Times New Roman" w:hAnsi="Times New Roman"/>
          <w:i/>
          <w:iCs/>
        </w:rPr>
        <w:t xml:space="preserve"> </w:t>
      </w:r>
      <w:proofErr w:type="spellStart"/>
      <w:r>
        <w:rPr>
          <w:rFonts w:ascii="Times New Roman" w:hAnsi="Times New Roman"/>
          <w:i/>
          <w:iCs/>
        </w:rPr>
        <w:t>Interviewing</w:t>
      </w:r>
      <w:proofErr w:type="spellEnd"/>
      <w:r>
        <w:rPr>
          <w:rFonts w:ascii="Times New Roman" w:hAnsi="Times New Roman"/>
          <w:i/>
          <w:iCs/>
        </w:rPr>
        <w:t xml:space="preserve"> </w:t>
      </w:r>
      <w:proofErr w:type="spellStart"/>
      <w:r>
        <w:rPr>
          <w:rFonts w:ascii="Times New Roman" w:hAnsi="Times New Roman"/>
          <w:i/>
          <w:iCs/>
        </w:rPr>
        <w:t>of</w:t>
      </w:r>
      <w:proofErr w:type="spellEnd"/>
      <w:r>
        <w:rPr>
          <w:rFonts w:ascii="Times New Roman" w:hAnsi="Times New Roman"/>
          <w:i/>
          <w:iCs/>
        </w:rPr>
        <w:t xml:space="preserve"> </w:t>
      </w:r>
      <w:proofErr w:type="spellStart"/>
      <w:r>
        <w:rPr>
          <w:rFonts w:ascii="Times New Roman" w:hAnsi="Times New Roman"/>
          <w:i/>
          <w:iCs/>
        </w:rPr>
        <w:t>Detainees</w:t>
      </w:r>
      <w:proofErr w:type="spellEnd"/>
      <w:r>
        <w:rPr>
          <w:rFonts w:ascii="Times New Roman" w:hAnsi="Times New Roman"/>
          <w:i/>
          <w:iCs/>
        </w:rPr>
        <w:t xml:space="preserve"> </w:t>
      </w:r>
      <w:proofErr w:type="spellStart"/>
      <w:r>
        <w:rPr>
          <w:rFonts w:ascii="Times New Roman" w:hAnsi="Times New Roman"/>
          <w:i/>
          <w:iCs/>
        </w:rPr>
        <w:t>Overseas</w:t>
      </w:r>
      <w:proofErr w:type="spellEnd"/>
      <w:r>
        <w:rPr>
          <w:rFonts w:ascii="Times New Roman" w:hAnsi="Times New Roman"/>
          <w:i/>
          <w:iCs/>
        </w:rPr>
        <w:t xml:space="preserve">, </w:t>
      </w:r>
      <w:proofErr w:type="spellStart"/>
      <w:r>
        <w:rPr>
          <w:rFonts w:ascii="Times New Roman" w:hAnsi="Times New Roman"/>
          <w:i/>
          <w:iCs/>
        </w:rPr>
        <w:t>and</w:t>
      </w:r>
      <w:proofErr w:type="spellEnd"/>
      <w:r>
        <w:rPr>
          <w:rFonts w:ascii="Times New Roman" w:hAnsi="Times New Roman"/>
          <w:i/>
          <w:iCs/>
        </w:rPr>
        <w:t xml:space="preserve"> </w:t>
      </w:r>
      <w:proofErr w:type="spellStart"/>
      <w:r>
        <w:rPr>
          <w:rFonts w:ascii="Times New Roman" w:hAnsi="Times New Roman"/>
          <w:i/>
          <w:iCs/>
        </w:rPr>
        <w:t>on</w:t>
      </w:r>
      <w:proofErr w:type="spellEnd"/>
      <w:r>
        <w:rPr>
          <w:rFonts w:ascii="Times New Roman" w:hAnsi="Times New Roman"/>
          <w:i/>
          <w:iCs/>
        </w:rPr>
        <w:t xml:space="preserve"> </w:t>
      </w:r>
      <w:proofErr w:type="spellStart"/>
      <w:r>
        <w:rPr>
          <w:rFonts w:ascii="Times New Roman" w:hAnsi="Times New Roman"/>
          <w:i/>
          <w:iCs/>
        </w:rPr>
        <w:t>the</w:t>
      </w:r>
      <w:proofErr w:type="spellEnd"/>
      <w:r>
        <w:rPr>
          <w:rFonts w:ascii="Times New Roman" w:hAnsi="Times New Roman"/>
          <w:i/>
          <w:iCs/>
        </w:rPr>
        <w:t xml:space="preserve"> </w:t>
      </w:r>
      <w:proofErr w:type="spellStart"/>
      <w:r>
        <w:rPr>
          <w:rFonts w:ascii="Times New Roman" w:hAnsi="Times New Roman"/>
          <w:i/>
          <w:iCs/>
        </w:rPr>
        <w:t>Passing</w:t>
      </w:r>
      <w:proofErr w:type="spellEnd"/>
      <w:r>
        <w:rPr>
          <w:rFonts w:ascii="Times New Roman" w:hAnsi="Times New Roman"/>
          <w:i/>
          <w:iCs/>
        </w:rPr>
        <w:t xml:space="preserve"> </w:t>
      </w:r>
      <w:proofErr w:type="spellStart"/>
      <w:r>
        <w:rPr>
          <w:rFonts w:ascii="Times New Roman" w:hAnsi="Times New Roman"/>
          <w:i/>
          <w:iCs/>
        </w:rPr>
        <w:t>and</w:t>
      </w:r>
      <w:proofErr w:type="spellEnd"/>
      <w:r>
        <w:rPr>
          <w:rFonts w:ascii="Times New Roman" w:hAnsi="Times New Roman"/>
          <w:i/>
          <w:iCs/>
        </w:rPr>
        <w:t xml:space="preserve"> </w:t>
      </w:r>
      <w:proofErr w:type="spellStart"/>
      <w:r>
        <w:rPr>
          <w:rFonts w:ascii="Times New Roman" w:hAnsi="Times New Roman"/>
          <w:i/>
          <w:iCs/>
        </w:rPr>
        <w:t>Receipt</w:t>
      </w:r>
      <w:proofErr w:type="spellEnd"/>
      <w:r>
        <w:rPr>
          <w:rFonts w:ascii="Times New Roman" w:hAnsi="Times New Roman"/>
          <w:i/>
          <w:iCs/>
        </w:rPr>
        <w:t xml:space="preserve"> </w:t>
      </w:r>
      <w:proofErr w:type="spellStart"/>
      <w:r>
        <w:rPr>
          <w:rFonts w:ascii="Times New Roman" w:hAnsi="Times New Roman"/>
          <w:i/>
          <w:iCs/>
        </w:rPr>
        <w:t>of</w:t>
      </w:r>
      <w:proofErr w:type="spellEnd"/>
      <w:r>
        <w:rPr>
          <w:rFonts w:ascii="Times New Roman" w:hAnsi="Times New Roman"/>
          <w:i/>
          <w:iCs/>
        </w:rPr>
        <w:t xml:space="preserve"> </w:t>
      </w:r>
      <w:proofErr w:type="spellStart"/>
      <w:r>
        <w:rPr>
          <w:rFonts w:ascii="Times New Roman" w:hAnsi="Times New Roman"/>
          <w:i/>
          <w:iCs/>
        </w:rPr>
        <w:t>Intelligence</w:t>
      </w:r>
      <w:proofErr w:type="spellEnd"/>
      <w:r>
        <w:rPr>
          <w:rFonts w:ascii="Times New Roman" w:hAnsi="Times New Roman"/>
          <w:i/>
          <w:iCs/>
        </w:rPr>
        <w:t xml:space="preserve"> </w:t>
      </w:r>
      <w:proofErr w:type="spellStart"/>
      <w:r>
        <w:rPr>
          <w:rFonts w:ascii="Times New Roman" w:hAnsi="Times New Roman"/>
          <w:i/>
          <w:iCs/>
        </w:rPr>
        <w:t>Relating</w:t>
      </w:r>
      <w:proofErr w:type="spellEnd"/>
      <w:r>
        <w:rPr>
          <w:rFonts w:ascii="Times New Roman" w:hAnsi="Times New Roman"/>
          <w:i/>
          <w:iCs/>
        </w:rPr>
        <w:t xml:space="preserve"> to </w:t>
      </w:r>
      <w:proofErr w:type="spellStart"/>
      <w:r>
        <w:rPr>
          <w:rFonts w:ascii="Times New Roman" w:hAnsi="Times New Roman"/>
          <w:i/>
          <w:iCs/>
        </w:rPr>
        <w:t>Detainees</w:t>
      </w:r>
      <w:proofErr w:type="spellEnd"/>
      <w:r>
        <w:rPr>
          <w:rFonts w:ascii="Times New Roman" w:hAnsi="Times New Roman"/>
        </w:rPr>
        <w:t>] norādīja:</w:t>
      </w:r>
    </w:p>
    <w:p w14:paraId="2C266C0F" w14:textId="77777777" w:rsidR="004813F7" w:rsidRPr="008D031E" w:rsidRDefault="004813F7" w:rsidP="001F1E46">
      <w:pPr>
        <w:pStyle w:val="JuPara"/>
        <w:widowControl w:val="0"/>
        <w:ind w:firstLine="142"/>
        <w:rPr>
          <w:rFonts w:ascii="Times New Roman" w:hAnsi="Times New Roman"/>
          <w:noProof/>
          <w:lang w:val="en-US"/>
        </w:rPr>
      </w:pPr>
    </w:p>
    <w:p w14:paraId="3FEF3D3B" w14:textId="77777777"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 xml:space="preserve">“Katra aģentūra sava darba gaitā cieši sadarbojas ar ārvalstu sadarbības partneriem. Tas ietver ikdienas </w:t>
      </w:r>
      <w:proofErr w:type="spellStart"/>
      <w:r>
        <w:rPr>
          <w:rFonts w:ascii="Times New Roman" w:hAnsi="Times New Roman"/>
          <w:sz w:val="24"/>
        </w:rPr>
        <w:t>izlūkdatu</w:t>
      </w:r>
      <w:proofErr w:type="spellEnd"/>
      <w:r>
        <w:rPr>
          <w:rFonts w:ascii="Times New Roman" w:hAnsi="Times New Roman"/>
          <w:sz w:val="24"/>
        </w:rPr>
        <w:t xml:space="preserve"> apmaiņu un dažkārt arī sadarbības operācijas. Esmu guvis pārliecību, ka aģentūras apzinās ietekmi, ko rada darbs ar partneriem, kuri darbojas saskaņā ar dažādām tiesību sistēmām, un jāpiebilst, ka [Apvienotās Karalistes izlūkdienesti], kas darbojas ārvalstīs, rūpīgi piemēro Apvienotās Karalistes tiesību aktu principus, cik vien tas iespējams.</w:t>
      </w:r>
    </w:p>
    <w:p w14:paraId="49506822" w14:textId="77777777" w:rsidR="004813F7" w:rsidRPr="008D031E" w:rsidRDefault="004813F7" w:rsidP="001F1E46">
      <w:pPr>
        <w:pStyle w:val="JuQuot"/>
        <w:widowControl w:val="0"/>
        <w:spacing w:before="0" w:after="0"/>
        <w:ind w:left="284" w:firstLine="0"/>
        <w:rPr>
          <w:rFonts w:ascii="Times New Roman" w:hAnsi="Times New Roman"/>
          <w:noProof/>
          <w:sz w:val="24"/>
          <w:lang w:val="en-US"/>
        </w:rPr>
      </w:pPr>
    </w:p>
    <w:p w14:paraId="580CD03B" w14:textId="77777777"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w:t>
      </w:r>
    </w:p>
    <w:p w14:paraId="1E522847" w14:textId="77777777" w:rsidR="004813F7" w:rsidRPr="008D031E" w:rsidRDefault="004813F7" w:rsidP="001F1E46">
      <w:pPr>
        <w:pStyle w:val="JuQuot"/>
        <w:widowControl w:val="0"/>
        <w:spacing w:before="0" w:after="0"/>
        <w:ind w:left="284" w:firstLine="0"/>
        <w:rPr>
          <w:rFonts w:ascii="Times New Roman" w:hAnsi="Times New Roman"/>
          <w:noProof/>
          <w:sz w:val="24"/>
          <w:lang w:val="en-US"/>
        </w:rPr>
      </w:pPr>
    </w:p>
    <w:p w14:paraId="7E9D526D" w14:textId="77777777" w:rsidR="000E3283" w:rsidRDefault="000E3283" w:rsidP="001F1E46">
      <w:pPr>
        <w:pStyle w:val="JuQuot"/>
        <w:widowControl w:val="0"/>
        <w:spacing w:before="0" w:after="0"/>
        <w:ind w:left="284" w:firstLine="0"/>
        <w:rPr>
          <w:rFonts w:ascii="Times New Roman" w:hAnsi="Times New Roman"/>
          <w:noProof/>
          <w:sz w:val="24"/>
        </w:rPr>
      </w:pPr>
      <w:proofErr w:type="spellStart"/>
      <w:r>
        <w:rPr>
          <w:rFonts w:ascii="Times New Roman" w:hAnsi="Times New Roman"/>
          <w:i/>
          <w:iCs/>
          <w:sz w:val="24"/>
        </w:rPr>
        <w:t>GCHQ</w:t>
      </w:r>
      <w:proofErr w:type="spellEnd"/>
      <w:r>
        <w:rPr>
          <w:rFonts w:ascii="Times New Roman" w:hAnsi="Times New Roman"/>
          <w:sz w:val="24"/>
        </w:rPr>
        <w:t xml:space="preserve"> cieši sadarbojas ar sadarbības partneriem un iesaistās regulārā </w:t>
      </w:r>
      <w:proofErr w:type="spellStart"/>
      <w:r>
        <w:rPr>
          <w:rFonts w:ascii="Times New Roman" w:hAnsi="Times New Roman"/>
          <w:sz w:val="24"/>
        </w:rPr>
        <w:t>izlūkdatu</w:t>
      </w:r>
      <w:proofErr w:type="spellEnd"/>
      <w:r>
        <w:rPr>
          <w:rFonts w:ascii="Times New Roman" w:hAnsi="Times New Roman"/>
          <w:sz w:val="24"/>
        </w:rPr>
        <w:t xml:space="preserve"> apmaiņā un dažkārt arī kopējā darbā. Šī joma ir sarežģīta gan </w:t>
      </w:r>
      <w:proofErr w:type="spellStart"/>
      <w:r>
        <w:rPr>
          <w:rFonts w:ascii="Times New Roman" w:hAnsi="Times New Roman"/>
          <w:i/>
          <w:iCs/>
          <w:sz w:val="24"/>
        </w:rPr>
        <w:t>GCHQ</w:t>
      </w:r>
      <w:proofErr w:type="spellEnd"/>
      <w:r>
        <w:rPr>
          <w:rFonts w:ascii="Times New Roman" w:hAnsi="Times New Roman"/>
          <w:sz w:val="24"/>
        </w:rPr>
        <w:t xml:space="preserve">, gan </w:t>
      </w:r>
      <w:r>
        <w:rPr>
          <w:rFonts w:ascii="Times New Roman" w:hAnsi="Times New Roman"/>
          <w:i/>
          <w:iCs/>
          <w:sz w:val="24"/>
        </w:rPr>
        <w:t>SIS</w:t>
      </w:r>
      <w:r>
        <w:rPr>
          <w:rFonts w:ascii="Times New Roman" w:hAnsi="Times New Roman"/>
          <w:sz w:val="24"/>
        </w:rPr>
        <w:t xml:space="preserve">, kur aģentūru darbinieki sadarbojas ar partneriem, kas piemēro atšķirīgus un dažkārt pat nesaderīgus tiesiskos regulējumus. Mani patīkami pārsteidza </w:t>
      </w:r>
      <w:proofErr w:type="spellStart"/>
      <w:r>
        <w:rPr>
          <w:rFonts w:ascii="Times New Roman" w:hAnsi="Times New Roman"/>
          <w:i/>
          <w:iCs/>
          <w:sz w:val="24"/>
        </w:rPr>
        <w:t>GCHQ</w:t>
      </w:r>
      <w:proofErr w:type="spellEnd"/>
      <w:r>
        <w:rPr>
          <w:rFonts w:ascii="Times New Roman" w:hAnsi="Times New Roman"/>
          <w:sz w:val="24"/>
        </w:rPr>
        <w:t xml:space="preserve"> darbinieku centieni gūt pārliecību no partneriem, jo ​​īpaši attiecībā uz konsolidētajiem norādījumiem. Esmu aicinājis </w:t>
      </w:r>
      <w:proofErr w:type="spellStart"/>
      <w:r>
        <w:rPr>
          <w:rFonts w:ascii="Times New Roman" w:hAnsi="Times New Roman"/>
          <w:i/>
          <w:iCs/>
          <w:sz w:val="24"/>
        </w:rPr>
        <w:t>GCHQ</w:t>
      </w:r>
      <w:proofErr w:type="spellEnd"/>
      <w:r>
        <w:rPr>
          <w:rFonts w:ascii="Times New Roman" w:hAnsi="Times New Roman"/>
          <w:sz w:val="24"/>
        </w:rPr>
        <w:t xml:space="preserve"> apsvērt iespēju attiecīgajos pieteikumos atsaukties uz vietējiem tiesību aktiem, kas ietekmēs jebkuru partnera darbību.</w:t>
      </w:r>
    </w:p>
    <w:p w14:paraId="3B1A227C" w14:textId="77777777" w:rsidR="004813F7" w:rsidRPr="008D031E" w:rsidRDefault="004813F7" w:rsidP="001F1E46">
      <w:pPr>
        <w:pStyle w:val="JuQuot"/>
        <w:widowControl w:val="0"/>
        <w:spacing w:before="0" w:after="0"/>
        <w:ind w:left="284" w:firstLine="0"/>
        <w:rPr>
          <w:rFonts w:ascii="Times New Roman" w:hAnsi="Times New Roman"/>
          <w:noProof/>
          <w:sz w:val="24"/>
          <w:lang w:val="en-US"/>
        </w:rPr>
      </w:pPr>
    </w:p>
    <w:p w14:paraId="74702E7C" w14:textId="77777777"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 xml:space="preserve">Es guvu pārliecību, ka </w:t>
      </w:r>
      <w:proofErr w:type="spellStart"/>
      <w:r>
        <w:rPr>
          <w:rFonts w:ascii="Times New Roman" w:hAnsi="Times New Roman"/>
          <w:i/>
          <w:iCs/>
          <w:sz w:val="24"/>
        </w:rPr>
        <w:t>GCHQ</w:t>
      </w:r>
      <w:proofErr w:type="spellEnd"/>
      <w:r>
        <w:rPr>
          <w:rFonts w:ascii="Times New Roman" w:hAnsi="Times New Roman"/>
          <w:sz w:val="24"/>
        </w:rPr>
        <w:t xml:space="preserve"> piesardzīgi piemēro konsolidēto vadlīniju principus, un esmu gandarīts, ka izmaiņas, kas veiktas visu diennakti strādājošā personāla mācībās, paaugstina jau tā augsto nosūtīšanas procesa standartu. Jāpiebilst, ka dažkārt </w:t>
      </w:r>
      <w:proofErr w:type="spellStart"/>
      <w:r>
        <w:rPr>
          <w:rFonts w:ascii="Times New Roman" w:hAnsi="Times New Roman"/>
          <w:i/>
          <w:iCs/>
          <w:sz w:val="24"/>
        </w:rPr>
        <w:t>GCHQ</w:t>
      </w:r>
      <w:proofErr w:type="spellEnd"/>
      <w:r>
        <w:rPr>
          <w:rFonts w:ascii="Times New Roman" w:hAnsi="Times New Roman"/>
          <w:sz w:val="24"/>
        </w:rPr>
        <w:t xml:space="preserve"> darbinieki vēlāk atjaunināja konsolidētu vadlīniju reģistru, lai precizētu spriedumus vai informāciju. Lai gan ir svarīgi atspoguļot vispilnīgākos pieejamos faktus, es aicināju </w:t>
      </w:r>
      <w:proofErr w:type="spellStart"/>
      <w:r>
        <w:rPr>
          <w:rFonts w:ascii="Times New Roman" w:hAnsi="Times New Roman"/>
          <w:i/>
          <w:iCs/>
          <w:sz w:val="24"/>
        </w:rPr>
        <w:t>GCHQ</w:t>
      </w:r>
      <w:proofErr w:type="spellEnd"/>
      <w:r>
        <w:rPr>
          <w:rFonts w:ascii="Times New Roman" w:hAnsi="Times New Roman"/>
          <w:sz w:val="24"/>
        </w:rPr>
        <w:t xml:space="preserve"> ietvert precizējuma punktus papildus reģistra ierakstam, nevis grozīt sākotnējo reģistra ierakstu. </w:t>
      </w:r>
      <w:proofErr w:type="spellStart"/>
      <w:r>
        <w:rPr>
          <w:rFonts w:ascii="Times New Roman" w:hAnsi="Times New Roman"/>
          <w:i/>
          <w:iCs/>
          <w:sz w:val="24"/>
        </w:rPr>
        <w:t>GCHQ</w:t>
      </w:r>
      <w:proofErr w:type="spellEnd"/>
      <w:r>
        <w:rPr>
          <w:rFonts w:ascii="Times New Roman" w:hAnsi="Times New Roman"/>
          <w:sz w:val="24"/>
        </w:rPr>
        <w:t xml:space="preserve"> pēc tam apstiprināja, ka šis ieteikums ticis īstenots.</w:t>
      </w:r>
    </w:p>
    <w:p w14:paraId="2EF170A2" w14:textId="77777777" w:rsidR="004813F7" w:rsidRPr="008D031E" w:rsidRDefault="004813F7" w:rsidP="001F1E46">
      <w:pPr>
        <w:pStyle w:val="JuQuot"/>
        <w:widowControl w:val="0"/>
        <w:spacing w:before="0" w:after="0"/>
        <w:ind w:left="284" w:firstLine="0"/>
        <w:rPr>
          <w:rFonts w:ascii="Times New Roman" w:hAnsi="Times New Roman"/>
          <w:noProof/>
          <w:sz w:val="24"/>
          <w:lang w:val="en-US"/>
        </w:rPr>
      </w:pPr>
    </w:p>
    <w:p w14:paraId="0EB433E0" w14:textId="77777777"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w:t>
      </w:r>
    </w:p>
    <w:p w14:paraId="21EA92E9" w14:textId="77777777" w:rsidR="004813F7" w:rsidRPr="008D031E" w:rsidRDefault="004813F7" w:rsidP="001F1E46">
      <w:pPr>
        <w:pStyle w:val="JuQuot"/>
        <w:widowControl w:val="0"/>
        <w:spacing w:before="0" w:after="0"/>
        <w:ind w:left="284" w:firstLine="0"/>
        <w:rPr>
          <w:rFonts w:ascii="Times New Roman" w:hAnsi="Times New Roman"/>
          <w:noProof/>
          <w:sz w:val="24"/>
          <w:lang w:val="en-US"/>
        </w:rPr>
      </w:pPr>
    </w:p>
    <w:p w14:paraId="3236D059" w14:textId="77777777"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 xml:space="preserve">Ārlietu sekretārs arī ir atbildīgs par ministru pārraudzību gadījumos, kad izmantotas konsolidētās vadlīnijas un aģentūras to plāno turpināt, apmainoties ar </w:t>
      </w:r>
      <w:proofErr w:type="spellStart"/>
      <w:r>
        <w:rPr>
          <w:rFonts w:ascii="Times New Roman" w:hAnsi="Times New Roman"/>
          <w:sz w:val="24"/>
        </w:rPr>
        <w:t>izlūkdatiem</w:t>
      </w:r>
      <w:proofErr w:type="spellEnd"/>
      <w:r>
        <w:rPr>
          <w:rFonts w:ascii="Times New Roman" w:hAnsi="Times New Roman"/>
          <w:sz w:val="24"/>
        </w:rPr>
        <w:t xml:space="preserve"> vai veicot tiešu operāciju. Esmu sniedzis ieteikumu nodrošināt, lai [Ārlietu un sadraudzības lietu birojs] saņemtu jebkuru tādu paziņojumu kopiju, ko </w:t>
      </w:r>
      <w:r>
        <w:rPr>
          <w:rFonts w:ascii="Times New Roman" w:hAnsi="Times New Roman"/>
          <w:i/>
          <w:iCs/>
          <w:sz w:val="24"/>
        </w:rPr>
        <w:t>SIS</w:t>
      </w:r>
      <w:r>
        <w:rPr>
          <w:rFonts w:ascii="Times New Roman" w:hAnsi="Times New Roman"/>
          <w:sz w:val="24"/>
        </w:rPr>
        <w:t xml:space="preserve"> ieguvis no sadarbības partnera. Es iesaku tos iesniegt ārlietu sekretāram rūpīgai pārbaudei, ņemot vērā visus konsolidētos, ar norādījumiem saistītos argumentus.”</w:t>
      </w:r>
    </w:p>
    <w:p w14:paraId="4D8E537B" w14:textId="77777777" w:rsidR="004813F7" w:rsidRPr="008D031E" w:rsidRDefault="004813F7" w:rsidP="001F1E46">
      <w:pPr>
        <w:pStyle w:val="JuQuot"/>
        <w:widowControl w:val="0"/>
        <w:spacing w:before="0" w:after="0"/>
        <w:ind w:left="0" w:firstLine="0"/>
        <w:rPr>
          <w:rFonts w:ascii="Times New Roman" w:hAnsi="Times New Roman"/>
          <w:noProof/>
          <w:sz w:val="24"/>
          <w:lang w:val="en-US"/>
        </w:rPr>
      </w:pPr>
    </w:p>
    <w:p w14:paraId="7BE3B41B" w14:textId="06C094E6" w:rsidR="000E3283" w:rsidRDefault="000E3283" w:rsidP="001F1E46">
      <w:pPr>
        <w:pStyle w:val="JuPara"/>
        <w:widowControl w:val="0"/>
        <w:ind w:firstLine="142"/>
        <w:rPr>
          <w:rFonts w:ascii="Times New Roman" w:hAnsi="Times New Roman"/>
          <w:noProof/>
        </w:rPr>
      </w:pPr>
      <w:r>
        <w:rPr>
          <w:rFonts w:ascii="Times New Roman" w:hAnsi="Times New Roman"/>
        </w:rPr>
        <w:t xml:space="preserve">182. Konsolidēto vadlīniju ievērošanas pārraudzība tagad ir jaunā izmeklēšanas pilnvaru </w:t>
      </w:r>
      <w:r>
        <w:rPr>
          <w:rFonts w:ascii="Times New Roman" w:hAnsi="Times New Roman"/>
        </w:rPr>
        <w:lastRenderedPageBreak/>
        <w:t>komisāra kompetencē. Vadlīnijas pašlaik tiek pārskatītas, jo izlūkdienestu komisārs savā 2015. gada ziņojumā norādīja, ka, lai gan viņš neuzskatīja, ka “konsolidētajās vadlīnijās ir būtiski trūkumi un ka tās neatbilst mērķim”, viņš tomēr norādīja, ka tās “to pašreizējā formā ir izmantotas vairākus gadus un ka tās var uzlabot”.</w:t>
      </w:r>
    </w:p>
    <w:p w14:paraId="3C23452D" w14:textId="77777777" w:rsidR="004813F7" w:rsidRPr="008D031E" w:rsidRDefault="004813F7" w:rsidP="001F1E46">
      <w:pPr>
        <w:pStyle w:val="JuPara"/>
        <w:widowControl w:val="0"/>
        <w:ind w:firstLine="142"/>
        <w:rPr>
          <w:rFonts w:ascii="Times New Roman" w:hAnsi="Times New Roman"/>
          <w:noProof/>
          <w:lang w:val="en-US"/>
        </w:rPr>
      </w:pPr>
    </w:p>
    <w:p w14:paraId="69815E7A" w14:textId="1546D969" w:rsidR="000E3283" w:rsidRDefault="00060323" w:rsidP="001F1E46">
      <w:pPr>
        <w:pStyle w:val="JuHA"/>
        <w:keepNext w:val="0"/>
        <w:keepLines w:val="0"/>
        <w:widowControl w:val="0"/>
        <w:numPr>
          <w:ilvl w:val="0"/>
          <w:numId w:val="0"/>
        </w:numPr>
        <w:spacing w:before="0" w:beforeAutospacing="0" w:after="0"/>
        <w:outlineLvl w:val="9"/>
        <w:rPr>
          <w:rFonts w:ascii="Times New Roman" w:hAnsi="Times New Roman"/>
          <w:noProof/>
        </w:rPr>
      </w:pPr>
      <w:bookmarkStart w:id="171" w:name="_Toc516820761"/>
      <w:r>
        <w:rPr>
          <w:rFonts w:ascii="Times New Roman" w:hAnsi="Times New Roman"/>
        </w:rPr>
        <w:t xml:space="preserve">G. </w:t>
      </w:r>
      <w:r w:rsidR="004813F7">
        <w:rPr>
          <w:rFonts w:ascii="Times New Roman" w:hAnsi="Times New Roman"/>
        </w:rPr>
        <w:t>2016. gada Izmeklēšanas pilnvaru likums</w:t>
      </w:r>
      <w:bookmarkEnd w:id="171"/>
    </w:p>
    <w:p w14:paraId="13C6A63F" w14:textId="77777777" w:rsidR="004813F7" w:rsidRPr="004813F7" w:rsidRDefault="004813F7" w:rsidP="001F1E46">
      <w:pPr>
        <w:pStyle w:val="JuPara"/>
        <w:widowControl w:val="0"/>
        <w:rPr>
          <w:lang w:val="en-US"/>
        </w:rPr>
      </w:pPr>
    </w:p>
    <w:p w14:paraId="2312531A" w14:textId="114AE2FF" w:rsidR="000E3283" w:rsidRPr="008D031E" w:rsidRDefault="000E3283" w:rsidP="001F1E46">
      <w:pPr>
        <w:pStyle w:val="JuPara"/>
        <w:widowControl w:val="0"/>
        <w:ind w:firstLine="142"/>
        <w:rPr>
          <w:rFonts w:ascii="Times New Roman" w:hAnsi="Times New Roman"/>
          <w:noProof/>
        </w:rPr>
      </w:pPr>
      <w:bookmarkStart w:id="172" w:name="IPAStart"/>
      <w:r>
        <w:rPr>
          <w:rFonts w:ascii="Times New Roman" w:hAnsi="Times New Roman"/>
        </w:rPr>
        <w:t>183</w:t>
      </w:r>
      <w:bookmarkEnd w:id="172"/>
      <w:r>
        <w:rPr>
          <w:rFonts w:ascii="Times New Roman" w:hAnsi="Times New Roman"/>
        </w:rPr>
        <w:t>. Valdība 2016. gada 29. novembrī sniedza oficiālu piekrišanu 2016. gada Izmeklēšanas pilnvaru likumam.</w:t>
      </w:r>
      <w:bookmarkStart w:id="173" w:name="seriouscrime"/>
      <w:bookmarkStart w:id="174" w:name="IPAHC"/>
      <w:r>
        <w:rPr>
          <w:rFonts w:ascii="Times New Roman" w:hAnsi="Times New Roman"/>
        </w:rPr>
        <w:t xml:space="preserve"> Jaunais režīms, kas tika ieviests ar šo likumu, tagad lielākoties darbojas, un lielākā daļa likumā noteikto pilnvaru ir stājušās spēkā 2018. gada laikā.</w:t>
      </w:r>
    </w:p>
    <w:p w14:paraId="110ACBB0" w14:textId="63A4CC05" w:rsidR="000E3283" w:rsidRPr="008D031E" w:rsidRDefault="000E3283" w:rsidP="001F1E46">
      <w:pPr>
        <w:pStyle w:val="JuPara"/>
        <w:widowControl w:val="0"/>
        <w:ind w:firstLine="142"/>
        <w:rPr>
          <w:rFonts w:ascii="Times New Roman" w:hAnsi="Times New Roman"/>
          <w:noProof/>
        </w:rPr>
      </w:pPr>
      <w:r>
        <w:rPr>
          <w:rFonts w:ascii="Times New Roman" w:hAnsi="Times New Roman"/>
        </w:rPr>
        <w:t xml:space="preserve">184. Saskaņā ar 2016. gada likumu masveida pārtveršanas orderis, kas var attiekties gan uz sakaru “saturu”, gan uz “sekundārajiem datiem”, ir jāizdod vismaz valsts drošības interesēs (taču to var izdot arī nozieguma novēršanai vai atklāšanai vai arī Apvienotās Karalistes ekonomiskās labklājības interesēs, ciktāl šīs intereses sasaucas ar valsts drošību). Orderī jānorāda “operatīvie nolūki”, kuriem jebkuru atbilstoši orderim iegūto materiālu var atlasīt, lai to pārbaudītu. Ir izstrādāti detalizēti noteikumi par “operatīvo nolūku” saraksta izveidi, ko veic izlūkdienestu vadītāji. Operatīvo nolūku šajā sarakstā var norādīt tikai ar valsts sekretāra apstiprinājumu. Operatīvo nolūku saraksts jāiesniedz </w:t>
      </w:r>
      <w:proofErr w:type="spellStart"/>
      <w:r>
        <w:rPr>
          <w:rFonts w:ascii="Times New Roman" w:hAnsi="Times New Roman"/>
          <w:i/>
          <w:iCs/>
        </w:rPr>
        <w:t>ISC</w:t>
      </w:r>
      <w:proofErr w:type="spellEnd"/>
      <w:r>
        <w:rPr>
          <w:rFonts w:ascii="Times New Roman" w:hAnsi="Times New Roman"/>
        </w:rPr>
        <w:t xml:space="preserve"> reizi trijos mēnešos, bet Ministru prezidentam tas ir jāpārskata vismaz reizi gadā.</w:t>
      </w:r>
    </w:p>
    <w:p w14:paraId="6634DE1A" w14:textId="1901479D" w:rsidR="000E3283" w:rsidRPr="008D031E" w:rsidRDefault="000E3283" w:rsidP="001F1E46">
      <w:pPr>
        <w:pStyle w:val="JuPara"/>
        <w:widowControl w:val="0"/>
        <w:ind w:firstLine="142"/>
        <w:rPr>
          <w:rFonts w:ascii="Times New Roman" w:hAnsi="Times New Roman"/>
          <w:noProof/>
        </w:rPr>
      </w:pPr>
      <w:r>
        <w:rPr>
          <w:rFonts w:ascii="Times New Roman" w:hAnsi="Times New Roman"/>
        </w:rPr>
        <w:t>185. Pieteikumu masveida pārtveršanas ordera saņemšanai iesniedz izlūkdienesta vadītājs vai arī tas tiek iesniegts izlūkdienesta vadītāja vārdā. Pilnvaras izdot orderi ir jāīsteno valsts sekretāram(-</w:t>
      </w:r>
      <w:proofErr w:type="spellStart"/>
      <w:r>
        <w:rPr>
          <w:rFonts w:ascii="Times New Roman" w:hAnsi="Times New Roman"/>
        </w:rPr>
        <w:t>ei</w:t>
      </w:r>
      <w:proofErr w:type="spellEnd"/>
      <w:r>
        <w:rPr>
          <w:rFonts w:ascii="Times New Roman" w:hAnsi="Times New Roman"/>
        </w:rPr>
        <w:t>) personīgi, un, lemjot par masveida pārtveršanas ordera izdošanu, viņam vai viņai ir jāpiemēro nepieciešamības un samērīguma principi. Ordera izdošanu iepriekš apstiprina tiesas komisārs, kuram ir jāpiemēro tiesas pārskatīšanas (tā dēvētās “dubultās bloķēšanas”) principi. Tāpēc tiesas komisāram pašam jāizvērtē, vai iejaukšanās ir pamatojama kā samērīga saskaņā ar Konvencijas 8. panta 2. punktu.</w:t>
      </w:r>
    </w:p>
    <w:p w14:paraId="15396A02" w14:textId="245311BD" w:rsidR="000E3283" w:rsidRPr="008D031E" w:rsidRDefault="000E3283" w:rsidP="001F1E46">
      <w:pPr>
        <w:pStyle w:val="JuPara"/>
        <w:widowControl w:val="0"/>
        <w:ind w:firstLine="142"/>
        <w:rPr>
          <w:rFonts w:ascii="Times New Roman" w:hAnsi="Times New Roman"/>
          <w:noProof/>
        </w:rPr>
      </w:pPr>
      <w:r>
        <w:rPr>
          <w:rFonts w:ascii="Times New Roman" w:hAnsi="Times New Roman"/>
        </w:rPr>
        <w:t>186. Orderis ir spēkā sešus mēnešus, ja vien tas netiek atcelts vai atjaunots. Ordera atjaunošanu apstiprina tiesas komisārs.</w:t>
      </w:r>
    </w:p>
    <w:p w14:paraId="56A48B0B" w14:textId="09F41F76" w:rsidR="000E3283" w:rsidRPr="008D031E" w:rsidRDefault="000E3283" w:rsidP="001F1E46">
      <w:pPr>
        <w:pStyle w:val="JuPara"/>
        <w:widowControl w:val="0"/>
        <w:ind w:firstLine="142"/>
        <w:rPr>
          <w:rFonts w:ascii="Times New Roman" w:hAnsi="Times New Roman"/>
          <w:noProof/>
        </w:rPr>
      </w:pPr>
      <w:r>
        <w:rPr>
          <w:rFonts w:ascii="Times New Roman" w:hAnsi="Times New Roman"/>
        </w:rPr>
        <w:t xml:space="preserve">187. Ordera “galvenajam nolūkam” ir jābūt “ar ārvalstīm saistītu sakaru” iegūšanai. Tas ir saziņu saturs, ko personas </w:t>
      </w:r>
      <w:proofErr w:type="spellStart"/>
      <w:r>
        <w:rPr>
          <w:rFonts w:ascii="Times New Roman" w:hAnsi="Times New Roman"/>
        </w:rPr>
        <w:t>nosūta</w:t>
      </w:r>
      <w:proofErr w:type="spellEnd"/>
      <w:r>
        <w:rPr>
          <w:rFonts w:ascii="Times New Roman" w:hAnsi="Times New Roman"/>
        </w:rPr>
        <w:t xml:space="preserve"> vai saņem ārpus Britu salām. Uz pārbaudes nolūkos pārtvertā satura vai “aizsargājamā materiāla” atlasi attiecas “Britu salu drošības pasākumi”, kas nozīmē, ka to jebkurā laikā nevar atlasīt pārbaudei, ja kādi kritēriji, kas izmantoti pārtvertā satura atlasei pārbaudes nolūkos, attiecināmi uz personu, par kuru zināms, ka tā attiecīgajā brīdī atrodas Britu salās, un šo kritēriju izmantošanas mērķis ir identificēt šīs personas nosūtīto vai tai paredzēto sakaru saturu.</w:t>
      </w:r>
    </w:p>
    <w:p w14:paraId="0177074E" w14:textId="632F293F" w:rsidR="000E3283" w:rsidRPr="008D031E" w:rsidRDefault="000E3283" w:rsidP="001F1E46">
      <w:pPr>
        <w:pStyle w:val="JuPara"/>
        <w:widowControl w:val="0"/>
        <w:ind w:firstLine="142"/>
        <w:rPr>
          <w:rFonts w:ascii="Times New Roman" w:hAnsi="Times New Roman"/>
          <w:noProof/>
        </w:rPr>
      </w:pPr>
      <w:r>
        <w:rPr>
          <w:rFonts w:ascii="Times New Roman" w:hAnsi="Times New Roman"/>
        </w:rPr>
        <w:t xml:space="preserve">188. Ar 2016. gada likumu arī tika noteiktas </w:t>
      </w:r>
      <w:proofErr w:type="spellStart"/>
      <w:r>
        <w:rPr>
          <w:rFonts w:ascii="Times New Roman" w:hAnsi="Times New Roman"/>
          <w:i/>
          <w:iCs/>
        </w:rPr>
        <w:t>IPT</w:t>
      </w:r>
      <w:proofErr w:type="spellEnd"/>
      <w:r>
        <w:rPr>
          <w:rFonts w:ascii="Times New Roman" w:hAnsi="Times New Roman"/>
        </w:rPr>
        <w:t xml:space="preserve"> pārsūdzības tiesības, savukārt komisāru sakaru pārtveršanas jautājumos aizstāja jaunais izmeklēšanas pilnvaru komisārs (skat. iepriekš 138. punktu).</w:t>
      </w:r>
    </w:p>
    <w:p w14:paraId="4E5FFACD" w14:textId="77CAAF21" w:rsidR="000E3283" w:rsidRPr="008D031E" w:rsidRDefault="000E3283" w:rsidP="001F1E46">
      <w:pPr>
        <w:pStyle w:val="JuPara"/>
        <w:widowControl w:val="0"/>
        <w:ind w:firstLine="142"/>
        <w:rPr>
          <w:rFonts w:ascii="Times New Roman" w:hAnsi="Times New Roman"/>
          <w:noProof/>
        </w:rPr>
      </w:pPr>
      <w:r>
        <w:rPr>
          <w:rFonts w:ascii="Times New Roman" w:hAnsi="Times New Roman"/>
        </w:rPr>
        <w:t>189. 2018. gada 8. martā spēkā stājās vairāki jauni prakses kodeksi, tostarp jaunais Sakaru pārtveršanas prakses kodekss (skat. iepriekš 102. punktu).</w:t>
      </w:r>
    </w:p>
    <w:p w14:paraId="53255E8B" w14:textId="70B9E421" w:rsidR="000E3283" w:rsidRDefault="000E3283" w:rsidP="001F1E46">
      <w:pPr>
        <w:pStyle w:val="JuPara"/>
        <w:widowControl w:val="0"/>
        <w:ind w:firstLine="142"/>
        <w:rPr>
          <w:rFonts w:ascii="Times New Roman" w:hAnsi="Times New Roman"/>
          <w:noProof/>
        </w:rPr>
      </w:pPr>
      <w:bookmarkStart w:id="175" w:name="IPAend"/>
      <w:r>
        <w:rPr>
          <w:rFonts w:ascii="Times New Roman" w:hAnsi="Times New Roman"/>
        </w:rPr>
        <w:t>190</w:t>
      </w:r>
      <w:bookmarkEnd w:id="173"/>
      <w:bookmarkEnd w:id="174"/>
      <w:bookmarkEnd w:id="175"/>
      <w:r>
        <w:rPr>
          <w:rFonts w:ascii="Times New Roman" w:hAnsi="Times New Roman"/>
        </w:rPr>
        <w:t xml:space="preserve">. 2016. gada likuma 4. daļa, kas stājās spēkā 2016. gada 30. decembrī, paredzēja pilnvaras izdot “paziņojumus par saglabāšanu” telekomunikāciju operatoriem, kas pieprasa datu saglabāšanu. Pēc “ </w:t>
      </w:r>
      <w:proofErr w:type="spellStart"/>
      <w:r>
        <w:rPr>
          <w:rFonts w:ascii="Times New Roman" w:hAnsi="Times New Roman"/>
        </w:rPr>
        <w:t>Liberty</w:t>
      </w:r>
      <w:proofErr w:type="spellEnd"/>
      <w:r>
        <w:rPr>
          <w:rFonts w:ascii="Times New Roman" w:hAnsi="Times New Roman"/>
        </w:rPr>
        <w:t xml:space="preserve">” tiesvedības Valdība atzina, ka 2016. gada likuma 4. daļa tās pašreizējā formā neatbilst Eiropas Savienības tiesību aktu prasībām. 4. daļa netika grozīta, un 2018. gada 27. aprīlī Augstā tiesa atzina, ka 4. daļa nav saderīga ar Eiropas Savienības tiesību aktos garantētajām </w:t>
      </w:r>
      <w:proofErr w:type="spellStart"/>
      <w:r>
        <w:rPr>
          <w:rFonts w:ascii="Times New Roman" w:hAnsi="Times New Roman"/>
        </w:rPr>
        <w:t>pamattiesībām</w:t>
      </w:r>
      <w:proofErr w:type="spellEnd"/>
      <w:r>
        <w:rPr>
          <w:rFonts w:ascii="Times New Roman" w:hAnsi="Times New Roman"/>
        </w:rPr>
        <w:t>, jo krimināltiesību jomā uz piekļuvi saglabātajiem datiem neattiecās vienīgi mērķis apkarot “smagu noziegumu”, turklāt piekļuvi saglabātajiem datiem iepriekš nepārskatīja tiesa vai kāda neatkarīga pārvaldes iestāde.</w:t>
      </w:r>
    </w:p>
    <w:p w14:paraId="170A945E" w14:textId="77777777" w:rsidR="004813F7" w:rsidRPr="008D031E" w:rsidRDefault="004813F7" w:rsidP="001F1E46">
      <w:pPr>
        <w:pStyle w:val="JuPara"/>
        <w:widowControl w:val="0"/>
        <w:ind w:firstLine="142"/>
        <w:rPr>
          <w:rFonts w:ascii="Times New Roman" w:hAnsi="Times New Roman"/>
          <w:noProof/>
          <w:lang w:val="en-US"/>
        </w:rPr>
      </w:pPr>
    </w:p>
    <w:p w14:paraId="5BA8D828" w14:textId="366AAEBD" w:rsidR="000E3283" w:rsidRDefault="00C76005" w:rsidP="00EF5BB1">
      <w:pPr>
        <w:pStyle w:val="JuHIRoman"/>
        <w:widowControl w:val="0"/>
        <w:numPr>
          <w:ilvl w:val="0"/>
          <w:numId w:val="0"/>
        </w:numPr>
        <w:spacing w:before="0" w:beforeAutospacing="0" w:after="0"/>
        <w:outlineLvl w:val="9"/>
        <w:rPr>
          <w:rFonts w:ascii="Times New Roman" w:hAnsi="Times New Roman"/>
          <w:caps w:val="0"/>
          <w:noProof/>
        </w:rPr>
      </w:pPr>
      <w:bookmarkStart w:id="176" w:name="_Toc516820762"/>
      <w:r>
        <w:rPr>
          <w:rFonts w:ascii="Times New Roman" w:hAnsi="Times New Roman"/>
          <w:caps w:val="0"/>
        </w:rPr>
        <w:lastRenderedPageBreak/>
        <w:t>II. PIEMĒROJAMIE STARPTAUTISKIE TIESĪBU AKTI</w:t>
      </w:r>
      <w:bookmarkEnd w:id="176"/>
    </w:p>
    <w:p w14:paraId="59A31405" w14:textId="77777777" w:rsidR="004813F7" w:rsidRPr="004813F7" w:rsidRDefault="004813F7" w:rsidP="00EF5BB1">
      <w:pPr>
        <w:pStyle w:val="JuPara"/>
        <w:keepNext/>
        <w:keepLines/>
        <w:widowControl w:val="0"/>
        <w:rPr>
          <w:lang w:val="en-US"/>
        </w:rPr>
      </w:pPr>
    </w:p>
    <w:p w14:paraId="77795251" w14:textId="7118E2C6" w:rsidR="000E3283" w:rsidRDefault="00C76005" w:rsidP="00EF5BB1">
      <w:pPr>
        <w:pStyle w:val="JuHA"/>
        <w:widowControl w:val="0"/>
        <w:numPr>
          <w:ilvl w:val="0"/>
          <w:numId w:val="0"/>
        </w:numPr>
        <w:spacing w:before="0" w:beforeAutospacing="0" w:after="0"/>
        <w:outlineLvl w:val="9"/>
        <w:rPr>
          <w:rFonts w:ascii="Times New Roman" w:hAnsi="Times New Roman"/>
          <w:noProof/>
        </w:rPr>
      </w:pPr>
      <w:bookmarkStart w:id="177" w:name="_Toc516820763"/>
      <w:r>
        <w:rPr>
          <w:rFonts w:ascii="Times New Roman" w:hAnsi="Times New Roman"/>
        </w:rPr>
        <w:t>A. Apvienoto Nāciju Organizācija</w:t>
      </w:r>
      <w:bookmarkEnd w:id="177"/>
    </w:p>
    <w:p w14:paraId="147897E1" w14:textId="77777777" w:rsidR="00C76005" w:rsidRPr="00C76005" w:rsidRDefault="00C76005" w:rsidP="001F1E46">
      <w:pPr>
        <w:pStyle w:val="JuPara"/>
        <w:widowControl w:val="0"/>
        <w:rPr>
          <w:lang w:val="en-US"/>
        </w:rPr>
      </w:pPr>
    </w:p>
    <w:p w14:paraId="0457DAD3" w14:textId="6C7DF0C2" w:rsidR="000E3283" w:rsidRDefault="000E3283" w:rsidP="001F1E46">
      <w:pPr>
        <w:pStyle w:val="JuPara"/>
        <w:widowControl w:val="0"/>
        <w:ind w:firstLine="142"/>
        <w:rPr>
          <w:rFonts w:ascii="Times New Roman" w:hAnsi="Times New Roman"/>
          <w:noProof/>
        </w:rPr>
      </w:pPr>
      <w:r>
        <w:rPr>
          <w:rFonts w:ascii="Times New Roman" w:hAnsi="Times New Roman"/>
        </w:rPr>
        <w:t>191. Ģenerālās asamblejas 2013. gada 18. decembra rezolūcijā Nr. 68/167 noteikts:</w:t>
      </w:r>
    </w:p>
    <w:p w14:paraId="14C0A33E" w14:textId="77777777" w:rsidR="00C76005" w:rsidRPr="008D031E" w:rsidRDefault="00C76005" w:rsidP="001F1E46">
      <w:pPr>
        <w:pStyle w:val="JuPara"/>
        <w:widowControl w:val="0"/>
        <w:ind w:firstLine="0"/>
        <w:rPr>
          <w:rFonts w:ascii="Times New Roman" w:hAnsi="Times New Roman"/>
          <w:noProof/>
          <w:lang w:val="en-US"/>
        </w:rPr>
      </w:pPr>
    </w:p>
    <w:p w14:paraId="39728B9F" w14:textId="77777777"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“Ģenerālā asambleja,</w:t>
      </w:r>
    </w:p>
    <w:p w14:paraId="570A2A86" w14:textId="77777777" w:rsidR="00C76005" w:rsidRPr="008D031E" w:rsidRDefault="00C76005" w:rsidP="001F1E46">
      <w:pPr>
        <w:pStyle w:val="JuQuot"/>
        <w:widowControl w:val="0"/>
        <w:spacing w:before="0" w:after="0"/>
        <w:ind w:left="284" w:firstLine="0"/>
        <w:rPr>
          <w:rFonts w:ascii="Times New Roman" w:hAnsi="Times New Roman"/>
          <w:noProof/>
          <w:sz w:val="24"/>
          <w:lang w:val="en-US"/>
        </w:rPr>
      </w:pPr>
    </w:p>
    <w:p w14:paraId="7A632AB9" w14:textId="77777777"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w:t>
      </w:r>
    </w:p>
    <w:p w14:paraId="08AD0161" w14:textId="77777777" w:rsidR="00C76005" w:rsidRPr="008D031E" w:rsidRDefault="00C76005" w:rsidP="001F1E46">
      <w:pPr>
        <w:pStyle w:val="JuQuot"/>
        <w:widowControl w:val="0"/>
        <w:spacing w:before="0" w:after="0"/>
        <w:ind w:left="284" w:firstLine="0"/>
        <w:rPr>
          <w:rFonts w:ascii="Times New Roman" w:hAnsi="Times New Roman"/>
          <w:noProof/>
          <w:sz w:val="24"/>
          <w:lang w:val="en-US"/>
        </w:rPr>
      </w:pPr>
    </w:p>
    <w:p w14:paraId="496B04DA" w14:textId="286B9F34"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 xml:space="preserve">4. </w:t>
      </w:r>
      <w:r>
        <w:rPr>
          <w:rFonts w:ascii="Times New Roman" w:hAnsi="Times New Roman"/>
          <w:i/>
          <w:sz w:val="24"/>
        </w:rPr>
        <w:t>aicina</w:t>
      </w:r>
      <w:r>
        <w:rPr>
          <w:rFonts w:ascii="Times New Roman" w:hAnsi="Times New Roman"/>
          <w:sz w:val="24"/>
        </w:rPr>
        <w:t xml:space="preserve"> visas valstis:</w:t>
      </w:r>
    </w:p>
    <w:p w14:paraId="46AA7D1C" w14:textId="77777777" w:rsidR="00C76005" w:rsidRPr="008D031E" w:rsidRDefault="00C76005" w:rsidP="001F1E46">
      <w:pPr>
        <w:pStyle w:val="JuQuot"/>
        <w:widowControl w:val="0"/>
        <w:spacing w:before="0" w:after="0"/>
        <w:ind w:left="284" w:firstLine="0"/>
        <w:rPr>
          <w:rFonts w:ascii="Times New Roman" w:hAnsi="Times New Roman"/>
          <w:noProof/>
          <w:sz w:val="24"/>
          <w:lang w:val="en-US"/>
        </w:rPr>
      </w:pPr>
    </w:p>
    <w:p w14:paraId="29A5EC99" w14:textId="77777777"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w:t>
      </w:r>
    </w:p>
    <w:p w14:paraId="16ACF46F" w14:textId="77777777" w:rsidR="00C76005" w:rsidRPr="008D031E" w:rsidRDefault="00C76005" w:rsidP="001F1E46">
      <w:pPr>
        <w:pStyle w:val="JuQuot"/>
        <w:widowControl w:val="0"/>
        <w:spacing w:before="0" w:after="0"/>
        <w:ind w:left="284" w:firstLine="0"/>
        <w:rPr>
          <w:rFonts w:ascii="Times New Roman" w:hAnsi="Times New Roman"/>
          <w:noProof/>
          <w:sz w:val="24"/>
          <w:lang w:val="en-US"/>
        </w:rPr>
      </w:pPr>
    </w:p>
    <w:p w14:paraId="5D727568" w14:textId="5120226B"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i/>
          <w:iCs/>
          <w:sz w:val="24"/>
        </w:rPr>
        <w:t>c)</w:t>
      </w:r>
      <w:r>
        <w:rPr>
          <w:rFonts w:ascii="Times New Roman" w:hAnsi="Times New Roman"/>
          <w:sz w:val="24"/>
        </w:rPr>
        <w:t xml:space="preserve"> pārskatīt savas procedūras, praksi un tiesību aktus attiecībā uz sakaru uzraudzību, pārtveršanu un personas datu vākšanu, tostarp masveida uzraudzību, pārtveršanu un vākšanu, lai ievērotu tiesības uz privātās dzīves neaizskaramību, nodrošinot visu savu pienākumu pilnīgu un efektīvu izpildi saskaņā ar starptautiskajām cilvēktiesībām;</w:t>
      </w:r>
    </w:p>
    <w:p w14:paraId="5CCAD7D4" w14:textId="77777777" w:rsidR="00C76005" w:rsidRPr="008D031E" w:rsidRDefault="00C76005" w:rsidP="001F1E46">
      <w:pPr>
        <w:pStyle w:val="JuQuot"/>
        <w:widowControl w:val="0"/>
        <w:spacing w:before="0" w:after="0"/>
        <w:ind w:left="284" w:firstLine="0"/>
        <w:rPr>
          <w:rFonts w:ascii="Times New Roman" w:hAnsi="Times New Roman"/>
          <w:noProof/>
          <w:sz w:val="24"/>
          <w:lang w:val="en-US"/>
        </w:rPr>
      </w:pPr>
    </w:p>
    <w:p w14:paraId="0B0F1018" w14:textId="09E84860"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i/>
          <w:iCs/>
          <w:sz w:val="24"/>
        </w:rPr>
        <w:t>d)</w:t>
      </w:r>
      <w:r>
        <w:rPr>
          <w:rFonts w:ascii="Times New Roman" w:hAnsi="Times New Roman"/>
          <w:sz w:val="24"/>
        </w:rPr>
        <w:t xml:space="preserve"> izveidot jaunus vai uzturēt pašreizējos neatkarīgos, efektīvos valsts pārraudzības mehānismus, kas pēc vajadzības spēj nodrošināt </w:t>
      </w:r>
      <w:proofErr w:type="spellStart"/>
      <w:r>
        <w:rPr>
          <w:rFonts w:ascii="Times New Roman" w:hAnsi="Times New Roman"/>
          <w:sz w:val="24"/>
        </w:rPr>
        <w:t>pārredzamību</w:t>
      </w:r>
      <w:proofErr w:type="spellEnd"/>
      <w:r>
        <w:rPr>
          <w:rFonts w:ascii="Times New Roman" w:hAnsi="Times New Roman"/>
          <w:sz w:val="24"/>
        </w:rPr>
        <w:t xml:space="preserve"> un atbildību par valsts sakaru uzraudzību, to pārtveršanu un personas datu vākšanu. (..)”</w:t>
      </w:r>
    </w:p>
    <w:p w14:paraId="20BD823F" w14:textId="77777777" w:rsidR="00C76005" w:rsidRPr="008D031E" w:rsidRDefault="00C76005" w:rsidP="001F1E46">
      <w:pPr>
        <w:pStyle w:val="JuQuot"/>
        <w:widowControl w:val="0"/>
        <w:spacing w:before="0" w:after="0"/>
        <w:ind w:left="0" w:firstLine="0"/>
        <w:rPr>
          <w:rFonts w:ascii="Times New Roman" w:hAnsi="Times New Roman"/>
          <w:noProof/>
          <w:sz w:val="24"/>
          <w:lang w:val="en-US"/>
        </w:rPr>
      </w:pPr>
    </w:p>
    <w:p w14:paraId="5BE91F1E" w14:textId="0FD40233" w:rsidR="000E3283" w:rsidRDefault="00C76005" w:rsidP="001F1E46">
      <w:pPr>
        <w:pStyle w:val="JuHA"/>
        <w:keepNext w:val="0"/>
        <w:keepLines w:val="0"/>
        <w:widowControl w:val="0"/>
        <w:numPr>
          <w:ilvl w:val="0"/>
          <w:numId w:val="0"/>
        </w:numPr>
        <w:spacing w:before="0" w:beforeAutospacing="0" w:after="0"/>
        <w:outlineLvl w:val="9"/>
        <w:rPr>
          <w:rFonts w:ascii="Times New Roman" w:hAnsi="Times New Roman"/>
          <w:noProof/>
        </w:rPr>
      </w:pPr>
      <w:bookmarkStart w:id="178" w:name="_Toc516820767"/>
      <w:r>
        <w:rPr>
          <w:rFonts w:ascii="Times New Roman" w:hAnsi="Times New Roman"/>
        </w:rPr>
        <w:t>B. Eiropas Padome</w:t>
      </w:r>
      <w:bookmarkEnd w:id="178"/>
    </w:p>
    <w:p w14:paraId="3919D0F1" w14:textId="77777777" w:rsidR="00C76005" w:rsidRPr="00C76005" w:rsidRDefault="00C76005" w:rsidP="001F1E46">
      <w:pPr>
        <w:pStyle w:val="JuPara"/>
        <w:widowControl w:val="0"/>
        <w:rPr>
          <w:lang w:val="en-US"/>
        </w:rPr>
      </w:pPr>
    </w:p>
    <w:p w14:paraId="195B96CB" w14:textId="1AB782B1" w:rsidR="000E3283" w:rsidRDefault="00C76005" w:rsidP="001F1E46">
      <w:pPr>
        <w:pStyle w:val="JuH1"/>
        <w:keepNext w:val="0"/>
        <w:keepLines w:val="0"/>
        <w:widowControl w:val="0"/>
        <w:numPr>
          <w:ilvl w:val="0"/>
          <w:numId w:val="0"/>
        </w:numPr>
        <w:spacing w:before="0" w:beforeAutospacing="0" w:after="0"/>
        <w:outlineLvl w:val="9"/>
        <w:rPr>
          <w:rFonts w:ascii="Times New Roman" w:hAnsi="Times New Roman"/>
          <w:noProof/>
        </w:rPr>
      </w:pPr>
      <w:bookmarkStart w:id="179" w:name="_Toc516820768"/>
      <w:r>
        <w:rPr>
          <w:rFonts w:ascii="Times New Roman" w:hAnsi="Times New Roman"/>
        </w:rPr>
        <w:t>1. Eiropas Padomes 1981. gada Konvencija par personu aizsardzību attiecībā uz personas datu automātisko apstrādi</w:t>
      </w:r>
      <w:bookmarkEnd w:id="179"/>
    </w:p>
    <w:p w14:paraId="3D70F0A8" w14:textId="77777777" w:rsidR="00C76005" w:rsidRPr="00C76005" w:rsidRDefault="00C76005" w:rsidP="001F1E46">
      <w:pPr>
        <w:pStyle w:val="JuPara"/>
        <w:widowControl w:val="0"/>
        <w:rPr>
          <w:lang w:val="en-US"/>
        </w:rPr>
      </w:pPr>
    </w:p>
    <w:p w14:paraId="69B4BBDE" w14:textId="3C24EB7C" w:rsidR="000E3283" w:rsidRDefault="000E3283" w:rsidP="001F1E46">
      <w:pPr>
        <w:pStyle w:val="JuPara"/>
        <w:widowControl w:val="0"/>
        <w:ind w:firstLine="142"/>
        <w:rPr>
          <w:rFonts w:ascii="Times New Roman" w:hAnsi="Times New Roman"/>
          <w:noProof/>
        </w:rPr>
      </w:pPr>
      <w:r>
        <w:rPr>
          <w:rFonts w:ascii="Times New Roman" w:hAnsi="Times New Roman"/>
        </w:rPr>
        <w:t>192. Konvencija, kas attiecībā uz Apvienoto Karalisti stājās spēkā 1987. gada 1. decembrī, nosaka datu aizsardzības standartus automātiskās personas datu apstrādes jomā publiskajā un privātajā sektorā. Ciktāl tas attiecas uz šo lietu, Konvencijā noteikts:</w:t>
      </w:r>
    </w:p>
    <w:p w14:paraId="5FE35D1D" w14:textId="77777777" w:rsidR="00C76005" w:rsidRPr="008D031E" w:rsidRDefault="00C76005" w:rsidP="001F1E46">
      <w:pPr>
        <w:pStyle w:val="JuPara"/>
        <w:widowControl w:val="0"/>
        <w:ind w:firstLine="142"/>
        <w:rPr>
          <w:rFonts w:ascii="Times New Roman" w:hAnsi="Times New Roman"/>
          <w:noProof/>
          <w:lang w:val="en-US"/>
        </w:rPr>
      </w:pPr>
    </w:p>
    <w:p w14:paraId="5598107C" w14:textId="77777777" w:rsidR="000E3283" w:rsidRDefault="000E3283" w:rsidP="001F1E46">
      <w:pPr>
        <w:pStyle w:val="JuQuot"/>
        <w:widowControl w:val="0"/>
        <w:spacing w:before="0" w:after="0"/>
        <w:ind w:left="284" w:firstLine="0"/>
        <w:jc w:val="center"/>
        <w:rPr>
          <w:rFonts w:ascii="Times New Roman" w:hAnsi="Times New Roman"/>
          <w:b/>
          <w:noProof/>
          <w:sz w:val="24"/>
        </w:rPr>
      </w:pPr>
      <w:r>
        <w:rPr>
          <w:rFonts w:ascii="Times New Roman" w:hAnsi="Times New Roman"/>
          <w:b/>
          <w:sz w:val="24"/>
        </w:rPr>
        <w:t>Preambula</w:t>
      </w:r>
    </w:p>
    <w:p w14:paraId="2568B9A0" w14:textId="77777777" w:rsidR="00C76005" w:rsidRPr="008D031E" w:rsidRDefault="00C76005" w:rsidP="001F1E46">
      <w:pPr>
        <w:pStyle w:val="JuQuot"/>
        <w:widowControl w:val="0"/>
        <w:spacing w:before="0" w:after="0"/>
        <w:ind w:left="284" w:firstLine="0"/>
        <w:jc w:val="center"/>
        <w:rPr>
          <w:rFonts w:ascii="Times New Roman" w:hAnsi="Times New Roman"/>
          <w:b/>
          <w:noProof/>
          <w:sz w:val="24"/>
          <w:lang w:val="en-US"/>
        </w:rPr>
      </w:pPr>
    </w:p>
    <w:p w14:paraId="45BD40E9" w14:textId="77777777"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“Eiropas Padomes dalībvalstis, kas parakstījušas šo Konvenciju,</w:t>
      </w:r>
    </w:p>
    <w:p w14:paraId="086FF8A6" w14:textId="77777777"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uzskatīdamas, ka Eiropas Padomes mērķis ir panākt lielāku vienotību tās dalībnieku starpā, it īpaši balstoties uz tiesiskas valsts principiem, kā arī cilvēktiesību un pamatbrīvību ievērošanu;</w:t>
      </w:r>
    </w:p>
    <w:p w14:paraId="4AA2AF27" w14:textId="77777777"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uzskatīdamas, ka ir vēlams paplašināt katras personas tiesību un pamatbrīvību aizsardzību, it īpaši tiesības uz privātās dzīves neaizskaramību, ņemot vērā arvien pieaugošo automātiski apstrādāto personas datu plūsmu pāri robežām;</w:t>
      </w:r>
    </w:p>
    <w:p w14:paraId="5E264382" w14:textId="77777777"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vēlreiz vienlaicīgi apstiprinādamas savu apņemšanos nodrošināt informācijas brīvību neatkarīgi no robežām;</w:t>
      </w:r>
    </w:p>
    <w:p w14:paraId="7CF8B1FB" w14:textId="77777777"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atzīdamas, ka ir nepieciešams saskaņot privātuma neaizskaramības pamatvērtības un informācijas brīvu plūsmu starp cilvēkiem,</w:t>
      </w:r>
    </w:p>
    <w:p w14:paraId="6BD0EFA1" w14:textId="77777777"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ir vienojušās:”</w:t>
      </w:r>
    </w:p>
    <w:p w14:paraId="21A7B194" w14:textId="77777777" w:rsidR="00156945" w:rsidRPr="008D031E" w:rsidRDefault="00156945" w:rsidP="001F1E46">
      <w:pPr>
        <w:pStyle w:val="JuQuot"/>
        <w:widowControl w:val="0"/>
        <w:spacing w:before="0" w:after="0"/>
        <w:ind w:left="284" w:firstLine="0"/>
        <w:rPr>
          <w:rFonts w:ascii="Times New Roman" w:hAnsi="Times New Roman"/>
          <w:noProof/>
          <w:sz w:val="24"/>
          <w:lang w:val="en-US"/>
        </w:rPr>
      </w:pPr>
    </w:p>
    <w:p w14:paraId="4985E0A9" w14:textId="77777777" w:rsidR="000E3283" w:rsidRDefault="000E3283" w:rsidP="001756F6">
      <w:pPr>
        <w:pStyle w:val="JuQuot"/>
        <w:keepNext/>
        <w:keepLines/>
        <w:widowControl w:val="0"/>
        <w:spacing w:before="0" w:after="0"/>
        <w:ind w:left="284" w:firstLine="0"/>
        <w:jc w:val="center"/>
        <w:rPr>
          <w:rFonts w:ascii="Times New Roman" w:hAnsi="Times New Roman"/>
          <w:b/>
          <w:noProof/>
          <w:sz w:val="24"/>
        </w:rPr>
      </w:pPr>
      <w:r>
        <w:rPr>
          <w:rFonts w:ascii="Times New Roman" w:hAnsi="Times New Roman"/>
          <w:b/>
          <w:sz w:val="24"/>
        </w:rPr>
        <w:lastRenderedPageBreak/>
        <w:t>1. pants. Mērķis un nolūks</w:t>
      </w:r>
    </w:p>
    <w:p w14:paraId="0B068BB7" w14:textId="77777777" w:rsidR="00156945" w:rsidRPr="008D031E" w:rsidRDefault="00156945" w:rsidP="001756F6">
      <w:pPr>
        <w:pStyle w:val="JuQuot"/>
        <w:keepNext/>
        <w:keepLines/>
        <w:widowControl w:val="0"/>
        <w:spacing w:before="0" w:after="0"/>
        <w:ind w:left="284" w:firstLine="0"/>
        <w:rPr>
          <w:rFonts w:ascii="Times New Roman" w:hAnsi="Times New Roman"/>
          <w:b/>
          <w:noProof/>
          <w:sz w:val="24"/>
          <w:lang w:val="en-US"/>
        </w:rPr>
      </w:pPr>
    </w:p>
    <w:p w14:paraId="30087FE6" w14:textId="77777777" w:rsidR="000E3283" w:rsidRDefault="000E3283" w:rsidP="001756F6">
      <w:pPr>
        <w:pStyle w:val="JuQuot"/>
        <w:keepNext/>
        <w:keepLines/>
        <w:widowControl w:val="0"/>
        <w:spacing w:before="0" w:after="0"/>
        <w:ind w:left="284"/>
        <w:rPr>
          <w:rFonts w:ascii="Times New Roman" w:hAnsi="Times New Roman"/>
          <w:noProof/>
          <w:sz w:val="24"/>
        </w:rPr>
      </w:pPr>
      <w:r>
        <w:rPr>
          <w:rFonts w:ascii="Times New Roman" w:hAnsi="Times New Roman"/>
          <w:sz w:val="24"/>
        </w:rPr>
        <w:t>“Šīs Konvencijas mērķis ir katras Puses teritorijā nodrošināt jebkurai personai neatkarīgi no nacionalitātes [pilsonības] vai dzīves vietas [pastāvīgās dzīvesvietas] tās tiesību un pamatbrīvību, it īpaši tiesību uz privātumu, ievērošanu attiecībā uz personas datu automātisko apstrādi (“datu aizsardzība”).”</w:t>
      </w:r>
    </w:p>
    <w:p w14:paraId="2B10B6A8" w14:textId="77777777" w:rsidR="00156945" w:rsidRPr="008D031E" w:rsidRDefault="00156945" w:rsidP="001F1E46">
      <w:pPr>
        <w:pStyle w:val="JuQuot"/>
        <w:widowControl w:val="0"/>
        <w:spacing w:before="0" w:after="0"/>
        <w:ind w:left="284" w:firstLine="0"/>
        <w:rPr>
          <w:rFonts w:ascii="Times New Roman" w:hAnsi="Times New Roman"/>
          <w:noProof/>
          <w:sz w:val="24"/>
          <w:lang w:val="en-US"/>
        </w:rPr>
      </w:pPr>
    </w:p>
    <w:p w14:paraId="511F5F7D" w14:textId="77777777"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w:t>
      </w:r>
    </w:p>
    <w:p w14:paraId="51444897" w14:textId="77777777" w:rsidR="00156945" w:rsidRPr="008D031E" w:rsidRDefault="00156945" w:rsidP="001F1E46">
      <w:pPr>
        <w:pStyle w:val="JuQuot"/>
        <w:widowControl w:val="0"/>
        <w:spacing w:before="0" w:after="0"/>
        <w:ind w:left="284" w:firstLine="0"/>
        <w:rPr>
          <w:rFonts w:ascii="Times New Roman" w:hAnsi="Times New Roman"/>
          <w:noProof/>
          <w:sz w:val="24"/>
          <w:lang w:val="en-US"/>
        </w:rPr>
      </w:pPr>
    </w:p>
    <w:p w14:paraId="3B9F1C72" w14:textId="77777777" w:rsidR="000E3283" w:rsidRDefault="000E3283" w:rsidP="001F1E46">
      <w:pPr>
        <w:pStyle w:val="JuQuot"/>
        <w:widowControl w:val="0"/>
        <w:spacing w:before="0" w:after="0"/>
        <w:ind w:left="284" w:firstLine="0"/>
        <w:jc w:val="center"/>
        <w:rPr>
          <w:rFonts w:ascii="Times New Roman" w:hAnsi="Times New Roman"/>
          <w:b/>
          <w:noProof/>
          <w:sz w:val="24"/>
        </w:rPr>
      </w:pPr>
      <w:r>
        <w:rPr>
          <w:rFonts w:ascii="Times New Roman" w:hAnsi="Times New Roman"/>
          <w:b/>
          <w:sz w:val="24"/>
        </w:rPr>
        <w:t>8. pants. Datu subjekta papildu aizsardzība</w:t>
      </w:r>
    </w:p>
    <w:p w14:paraId="2BC74317" w14:textId="77777777" w:rsidR="00156945" w:rsidRPr="008D031E" w:rsidRDefault="00156945" w:rsidP="001F1E46">
      <w:pPr>
        <w:pStyle w:val="JuQuot"/>
        <w:widowControl w:val="0"/>
        <w:spacing w:before="0" w:after="0"/>
        <w:ind w:left="284" w:firstLine="0"/>
        <w:rPr>
          <w:rFonts w:ascii="Times New Roman" w:hAnsi="Times New Roman"/>
          <w:b/>
          <w:noProof/>
          <w:sz w:val="24"/>
          <w:lang w:val="en-US"/>
        </w:rPr>
      </w:pPr>
    </w:p>
    <w:p w14:paraId="621319AE" w14:textId="77777777"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“Jebkurai personai ir iespēja:</w:t>
      </w:r>
    </w:p>
    <w:p w14:paraId="0910410B" w14:textId="77777777" w:rsidR="00156945" w:rsidRPr="008D031E" w:rsidRDefault="00156945" w:rsidP="001F1E46">
      <w:pPr>
        <w:pStyle w:val="JuQuot"/>
        <w:widowControl w:val="0"/>
        <w:spacing w:before="0" w:after="0"/>
        <w:ind w:left="284" w:firstLine="0"/>
        <w:rPr>
          <w:rFonts w:ascii="Times New Roman" w:hAnsi="Times New Roman"/>
          <w:noProof/>
          <w:sz w:val="24"/>
          <w:lang w:val="en-US"/>
        </w:rPr>
      </w:pPr>
    </w:p>
    <w:p w14:paraId="11CD0101" w14:textId="21BE39BD"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a) noskaidrot automātiskā personas datu faila esību, tā galvenos nolūkus, kā arī faila pārziņa identitāti un ierasto uzturēšanās vietu vai galveno uzņēmējdarbības veikšanas vietu;</w:t>
      </w:r>
    </w:p>
    <w:p w14:paraId="00AC4036" w14:textId="096ECFCC"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b) saprātīgos intervālos un bez pārmērīgas novilcināšanas vai izdevumiem saņemt apstiprinājumu par to, vai ar šo personu saistītie personas dati tiek uzglabāti automātiskā datu failā, kā arī iepazīties ar šiem datiem saprotamā formā;</w:t>
      </w:r>
    </w:p>
    <w:p w14:paraId="6B27F79C" w14:textId="108D85E8"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c) panākt, ja tas nepieciešams, šādu datu labošanu vai dzēšanu, ja tie ir tikuši apstrādāti pretēji nacionālo normatīvo [valsts tiesību] aktu noteikumiem, kas ievieš šīs Konvencijas 5. un 6. pantā paredzētos [noteiktos] pamatprincipus;</w:t>
      </w:r>
    </w:p>
    <w:p w14:paraId="77530B03" w14:textId="3B8615FA"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d) izmantot tiesiskās aizsardzības līdzekļus, ja netiek izpildīts lūgums sniegt apstiprinājumu, vai, attiecīgā gadījumā, iepazīties, labot vai dzēst datus, kā noteikts šī panta b) un c) apakšpunktos [lūgums pēc apstiprinājuma vai attiecīgi paziņošanas, labošanas vai dzēšanas, kā noteikts šā panta b) un c) apakšpunktā].”</w:t>
      </w:r>
    </w:p>
    <w:p w14:paraId="06480F29" w14:textId="77777777" w:rsidR="008C394C" w:rsidRPr="008D031E" w:rsidRDefault="008C394C" w:rsidP="001F1E46">
      <w:pPr>
        <w:pStyle w:val="JuQuot"/>
        <w:widowControl w:val="0"/>
        <w:spacing w:before="0" w:after="0"/>
        <w:ind w:left="284" w:firstLine="0"/>
        <w:rPr>
          <w:rFonts w:ascii="Times New Roman" w:hAnsi="Times New Roman"/>
          <w:noProof/>
          <w:sz w:val="24"/>
          <w:lang w:val="en-US"/>
        </w:rPr>
      </w:pPr>
    </w:p>
    <w:p w14:paraId="47DA7AAF" w14:textId="77777777" w:rsidR="000E3283" w:rsidRDefault="000E3283" w:rsidP="001F1E46">
      <w:pPr>
        <w:pStyle w:val="JuQuot"/>
        <w:widowControl w:val="0"/>
        <w:spacing w:before="0" w:after="0"/>
        <w:ind w:left="284" w:firstLine="0"/>
        <w:jc w:val="center"/>
        <w:rPr>
          <w:rFonts w:ascii="Times New Roman" w:hAnsi="Times New Roman"/>
          <w:b/>
          <w:noProof/>
          <w:sz w:val="24"/>
        </w:rPr>
      </w:pPr>
      <w:r>
        <w:rPr>
          <w:rFonts w:ascii="Times New Roman" w:hAnsi="Times New Roman"/>
          <w:b/>
          <w:sz w:val="24"/>
        </w:rPr>
        <w:t>9. pants. Izņēmumi un ierobežojumi</w:t>
      </w:r>
    </w:p>
    <w:p w14:paraId="10A741CE" w14:textId="77777777" w:rsidR="008C394C" w:rsidRPr="008D031E" w:rsidRDefault="008C394C" w:rsidP="001F1E46">
      <w:pPr>
        <w:pStyle w:val="JuQuot"/>
        <w:widowControl w:val="0"/>
        <w:spacing w:before="0" w:after="0"/>
        <w:ind w:left="284" w:firstLine="0"/>
        <w:rPr>
          <w:rFonts w:ascii="Times New Roman" w:hAnsi="Times New Roman"/>
          <w:b/>
          <w:noProof/>
          <w:sz w:val="24"/>
          <w:lang w:val="en-US"/>
        </w:rPr>
      </w:pPr>
    </w:p>
    <w:p w14:paraId="23A16A83" w14:textId="59F4E7FA"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“1. Nav pieļaujami nekādi izņēmumi attiecībā uz šīs Konvencijas 5., 6. un 8. panta noteikumiem, izņemot šajā pantā noteiktajos.</w:t>
      </w:r>
    </w:p>
    <w:p w14:paraId="027FDC64" w14:textId="40A26BB8"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2. Atkāpšanās no šīs Konvencijas 5., 6., un 8. panta noteikumiem var tikt pieļauta, ja šāda atkāpšanās ir paredzēta Puses normatīvajos aktos un ir uzskatāma par demokrātiskā sabiedrībā nepieciešamu pasākumu, lai:</w:t>
      </w:r>
    </w:p>
    <w:p w14:paraId="7E368FA9" w14:textId="735B2D29"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a) aizsargātu Valsts drošību, sabiedrisko drošību, Valsts monetārās intereses vai cīnītos ar noziedzību;</w:t>
      </w:r>
    </w:p>
    <w:p w14:paraId="0E325477" w14:textId="3E46D759"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b) aizsargātu datu subjektu vai citu personu tiesības un brīvības.</w:t>
      </w:r>
    </w:p>
    <w:p w14:paraId="0EF62030" w14:textId="77777777" w:rsidR="008C394C" w:rsidRPr="008D031E" w:rsidRDefault="008C394C" w:rsidP="001F1E46">
      <w:pPr>
        <w:pStyle w:val="JuQuot"/>
        <w:widowControl w:val="0"/>
        <w:spacing w:before="0" w:after="0"/>
        <w:ind w:left="284" w:firstLine="0"/>
        <w:rPr>
          <w:rFonts w:ascii="Times New Roman" w:hAnsi="Times New Roman"/>
          <w:noProof/>
          <w:sz w:val="24"/>
          <w:lang w:val="en-US"/>
        </w:rPr>
      </w:pPr>
    </w:p>
    <w:p w14:paraId="3BDF0C68" w14:textId="77777777"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w:t>
      </w:r>
    </w:p>
    <w:p w14:paraId="3C823B43" w14:textId="77777777" w:rsidR="008C394C" w:rsidRPr="008D031E" w:rsidRDefault="008C394C" w:rsidP="001F1E46">
      <w:pPr>
        <w:pStyle w:val="JuQuot"/>
        <w:widowControl w:val="0"/>
        <w:spacing w:before="0" w:after="0"/>
        <w:ind w:left="284" w:firstLine="0"/>
        <w:rPr>
          <w:rFonts w:ascii="Times New Roman" w:hAnsi="Times New Roman"/>
          <w:noProof/>
          <w:sz w:val="24"/>
          <w:lang w:val="en-US"/>
        </w:rPr>
      </w:pPr>
    </w:p>
    <w:p w14:paraId="76EBCDF1" w14:textId="77777777" w:rsidR="000E3283" w:rsidRDefault="000E3283" w:rsidP="001F1E46">
      <w:pPr>
        <w:pStyle w:val="JuQuot"/>
        <w:widowControl w:val="0"/>
        <w:spacing w:before="0" w:after="0"/>
        <w:ind w:left="284" w:firstLine="0"/>
        <w:jc w:val="center"/>
        <w:rPr>
          <w:rFonts w:ascii="Times New Roman" w:hAnsi="Times New Roman"/>
          <w:b/>
          <w:noProof/>
          <w:sz w:val="24"/>
        </w:rPr>
      </w:pPr>
      <w:r>
        <w:rPr>
          <w:rFonts w:ascii="Times New Roman" w:hAnsi="Times New Roman"/>
          <w:b/>
          <w:sz w:val="24"/>
        </w:rPr>
        <w:t>10. pants. Sankcijas un tiesiskās aizsardzības līdzekļi</w:t>
      </w:r>
    </w:p>
    <w:p w14:paraId="01AA810D" w14:textId="77777777" w:rsidR="008C394C" w:rsidRPr="008D031E" w:rsidRDefault="008C394C" w:rsidP="001F1E46">
      <w:pPr>
        <w:pStyle w:val="JuQuot"/>
        <w:widowControl w:val="0"/>
        <w:spacing w:before="0" w:after="0"/>
        <w:ind w:left="284" w:firstLine="0"/>
        <w:rPr>
          <w:rFonts w:ascii="Times New Roman" w:hAnsi="Times New Roman"/>
          <w:b/>
          <w:noProof/>
          <w:sz w:val="24"/>
          <w:lang w:val="en-US"/>
        </w:rPr>
      </w:pPr>
    </w:p>
    <w:p w14:paraId="4F48806D" w14:textId="77777777"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“Katra Puse apņemas noteikt atbilstošas sankcijas un tiesiskās aizsardzības līdzekļus gadījumiem, ja tiek pārkāpti nacionālo normatīvo [valsts tiesību] aktu noteikumi, ar kuriem ieviesti šajā nodaļā paredzētie datu aizsardzības pamatprincipi.”</w:t>
      </w:r>
    </w:p>
    <w:p w14:paraId="63B2924C" w14:textId="77777777" w:rsidR="000A45F4" w:rsidRPr="008D031E" w:rsidRDefault="000A45F4" w:rsidP="001F1E46">
      <w:pPr>
        <w:pStyle w:val="JuQuot"/>
        <w:widowControl w:val="0"/>
        <w:spacing w:before="0" w:after="0"/>
        <w:ind w:left="284" w:firstLine="0"/>
        <w:rPr>
          <w:rFonts w:ascii="Times New Roman" w:hAnsi="Times New Roman"/>
          <w:noProof/>
          <w:sz w:val="24"/>
          <w:lang w:val="en-US"/>
        </w:rPr>
      </w:pPr>
    </w:p>
    <w:p w14:paraId="2B73A267" w14:textId="21706751" w:rsidR="000E3283" w:rsidRDefault="000E3283" w:rsidP="001F1E46">
      <w:pPr>
        <w:pStyle w:val="JuPara"/>
        <w:widowControl w:val="0"/>
        <w:ind w:firstLine="142"/>
        <w:rPr>
          <w:rFonts w:ascii="Times New Roman" w:hAnsi="Times New Roman"/>
          <w:noProof/>
        </w:rPr>
      </w:pPr>
      <w:r>
        <w:rPr>
          <w:rFonts w:ascii="Times New Roman" w:hAnsi="Times New Roman"/>
        </w:rPr>
        <w:t>193. Iepriekšminētās konvencijas paskaidrojuma rakstā ir precizēts turpmākais.</w:t>
      </w:r>
    </w:p>
    <w:p w14:paraId="1AD5ABF7" w14:textId="77777777" w:rsidR="000A45F4" w:rsidRPr="008D031E" w:rsidRDefault="000A45F4" w:rsidP="001F1E46">
      <w:pPr>
        <w:pStyle w:val="JuPara"/>
        <w:widowControl w:val="0"/>
        <w:ind w:firstLine="0"/>
        <w:rPr>
          <w:rFonts w:ascii="Times New Roman" w:hAnsi="Times New Roman"/>
          <w:noProof/>
          <w:lang w:val="en-US"/>
        </w:rPr>
      </w:pPr>
    </w:p>
    <w:p w14:paraId="0E2A03DE" w14:textId="77777777" w:rsidR="000E3283" w:rsidRDefault="000E3283" w:rsidP="001756F6">
      <w:pPr>
        <w:pStyle w:val="JuQuot"/>
        <w:keepNext/>
        <w:keepLines/>
        <w:widowControl w:val="0"/>
        <w:spacing w:before="0" w:after="0"/>
        <w:ind w:left="284" w:firstLine="0"/>
        <w:jc w:val="center"/>
        <w:rPr>
          <w:rFonts w:ascii="Times New Roman" w:hAnsi="Times New Roman"/>
          <w:b/>
          <w:noProof/>
          <w:sz w:val="24"/>
        </w:rPr>
      </w:pPr>
      <w:r>
        <w:rPr>
          <w:rFonts w:ascii="Times New Roman" w:hAnsi="Times New Roman"/>
          <w:b/>
          <w:sz w:val="24"/>
        </w:rPr>
        <w:lastRenderedPageBreak/>
        <w:t>9. pants. Izņēmumi un ierobežojumi</w:t>
      </w:r>
    </w:p>
    <w:p w14:paraId="2FF1E463" w14:textId="77777777" w:rsidR="000A45F4" w:rsidRPr="008D031E" w:rsidRDefault="000A45F4" w:rsidP="001756F6">
      <w:pPr>
        <w:pStyle w:val="JuQuot"/>
        <w:keepNext/>
        <w:keepLines/>
        <w:widowControl w:val="0"/>
        <w:spacing w:before="0" w:after="0"/>
        <w:ind w:left="284" w:firstLine="0"/>
        <w:rPr>
          <w:rFonts w:ascii="Times New Roman" w:hAnsi="Times New Roman"/>
          <w:b/>
          <w:noProof/>
          <w:sz w:val="24"/>
          <w:lang w:val="en-US"/>
        </w:rPr>
      </w:pPr>
    </w:p>
    <w:p w14:paraId="7CE302D5" w14:textId="2BD0D9E5" w:rsidR="000E3283" w:rsidRPr="008D031E" w:rsidRDefault="000E3283" w:rsidP="001756F6">
      <w:pPr>
        <w:pStyle w:val="JuQuot"/>
        <w:keepNext/>
        <w:keepLines/>
        <w:widowControl w:val="0"/>
        <w:spacing w:before="0" w:after="0"/>
        <w:ind w:left="284"/>
        <w:rPr>
          <w:rFonts w:ascii="Times New Roman" w:hAnsi="Times New Roman"/>
          <w:noProof/>
          <w:sz w:val="24"/>
        </w:rPr>
      </w:pPr>
      <w:r>
        <w:rPr>
          <w:rFonts w:ascii="Times New Roman" w:hAnsi="Times New Roman"/>
          <w:sz w:val="24"/>
        </w:rPr>
        <w:t>“55. Izņēmumi attiecībā uz datu aizsardzības pamatprincipiem attiecas tikai uz tiem principiem, kas ir nepieciešami pamatvērtību aizsardzībai demokrātiskā sabiedrībā. Šā panta otrā punkta teksts ir veidots pēc Eiropas Cilvēktiesību konvencijas 6., 8., 10. un 11. panta otrā punkta teksta parauga. No Komisijas un Cilvēktiesību tiesas lēmumiem saistībā ar jēdzienu “nepieciešamie pasākumi” izriet, ka šā jēdziena kritērijus nevar noteikt visām valstīm un uz visiem laikiem, bet tie ir jāapsver, ņemot vērā attiecīgo situāciju katrā valstī.</w:t>
      </w:r>
    </w:p>
    <w:p w14:paraId="2BF0A582" w14:textId="769A48EA"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56. 2. punkta a) apakšpunktā ir uzskaitītas galvenās valsts intereses, kurām, iespējams, jāpiemēro izņēmumi. Šie izņēmumi ir ļoti specifiski, lai izvairītos no tā, ka attiecībā uz konvencijas vispārējo piemērošanu valstīm būtu pārmērīgi liela rīcības brīvība.</w:t>
      </w:r>
    </w:p>
    <w:p w14:paraId="4A0A3714" w14:textId="77777777"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Saskaņā ar 16. pantu valstis saglabā iespēju atsevišķos gadījumos atteikties piemērot konvenciju svarīgu iemeslu dēļ, tostarp 9. pantā uzskaitīto iemeslu dēļ.</w:t>
      </w:r>
    </w:p>
    <w:p w14:paraId="04EFE5B7" w14:textId="77777777"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Jēdziens “valsts drošība” ir jāsaprot tradicionālajā nozīmē kā nacionālās [valsts] suverenitātes aizsardzība pret iekšējiem vai ārējiem apdraudējumiem, tostarp valsts starptautisko attiecību aizsardzība.”</w:t>
      </w:r>
    </w:p>
    <w:p w14:paraId="7152CD61" w14:textId="77777777" w:rsidR="000A45F4" w:rsidRPr="008D031E" w:rsidRDefault="000A45F4" w:rsidP="001F1E46">
      <w:pPr>
        <w:pStyle w:val="JuQuot"/>
        <w:widowControl w:val="0"/>
        <w:spacing w:before="0" w:after="0"/>
        <w:ind w:left="284" w:firstLine="0"/>
        <w:rPr>
          <w:rFonts w:ascii="Times New Roman" w:hAnsi="Times New Roman"/>
          <w:noProof/>
          <w:sz w:val="24"/>
          <w:lang w:val="en-US"/>
        </w:rPr>
      </w:pPr>
    </w:p>
    <w:p w14:paraId="024C6318" w14:textId="26E8CA42" w:rsidR="000E3283" w:rsidRDefault="000A45F4" w:rsidP="001F1E46">
      <w:pPr>
        <w:pStyle w:val="JuH1"/>
        <w:keepNext w:val="0"/>
        <w:keepLines w:val="0"/>
        <w:widowControl w:val="0"/>
        <w:numPr>
          <w:ilvl w:val="0"/>
          <w:numId w:val="0"/>
        </w:numPr>
        <w:spacing w:before="0" w:beforeAutospacing="0" w:after="0"/>
        <w:outlineLvl w:val="9"/>
        <w:rPr>
          <w:rFonts w:ascii="Times New Roman" w:hAnsi="Times New Roman"/>
          <w:noProof/>
        </w:rPr>
      </w:pPr>
      <w:bookmarkStart w:id="180" w:name="_Toc516820769"/>
      <w:r>
        <w:rPr>
          <w:rFonts w:ascii="Times New Roman" w:hAnsi="Times New Roman"/>
        </w:rPr>
        <w:t>2. 2001. gada 8. novembra Konvencijas par personu aizsardzību attiecībā uz personas datu automātisko apstrādi Papildu protokols par pārraudzības institūcijām un pārrobežu datu plūsmām (</w:t>
      </w:r>
      <w:proofErr w:type="spellStart"/>
      <w:r>
        <w:rPr>
          <w:rFonts w:ascii="Times New Roman" w:hAnsi="Times New Roman"/>
        </w:rPr>
        <w:t>CETS</w:t>
      </w:r>
      <w:proofErr w:type="spellEnd"/>
      <w:r>
        <w:rPr>
          <w:rFonts w:ascii="Times New Roman" w:hAnsi="Times New Roman"/>
        </w:rPr>
        <w:t xml:space="preserve"> Nr. 181)</w:t>
      </w:r>
      <w:bookmarkEnd w:id="180"/>
    </w:p>
    <w:p w14:paraId="5F5D3D7C" w14:textId="77777777" w:rsidR="000A45F4" w:rsidRPr="000A45F4" w:rsidRDefault="000A45F4" w:rsidP="001F1E46">
      <w:pPr>
        <w:pStyle w:val="JuPara"/>
        <w:widowControl w:val="0"/>
        <w:rPr>
          <w:lang w:val="en-US"/>
        </w:rPr>
      </w:pPr>
    </w:p>
    <w:p w14:paraId="47823961" w14:textId="207680D7" w:rsidR="000E3283" w:rsidRDefault="000E3283" w:rsidP="001F1E46">
      <w:pPr>
        <w:pStyle w:val="JuPara"/>
        <w:widowControl w:val="0"/>
        <w:ind w:firstLine="0"/>
        <w:rPr>
          <w:rFonts w:ascii="Times New Roman" w:hAnsi="Times New Roman"/>
          <w:noProof/>
        </w:rPr>
      </w:pPr>
      <w:r>
        <w:rPr>
          <w:rFonts w:ascii="Times New Roman" w:hAnsi="Times New Roman"/>
        </w:rPr>
        <w:t>194. Ciktāl tas attiecas uz šo lietu, protokols, ko Apvienotā Karaliste vēl nav ratificējusi, paredz turpmāko.</w:t>
      </w:r>
    </w:p>
    <w:p w14:paraId="7254275F" w14:textId="77777777" w:rsidR="000A45F4" w:rsidRPr="008D031E" w:rsidRDefault="000A45F4" w:rsidP="001F1E46">
      <w:pPr>
        <w:pStyle w:val="JuPara"/>
        <w:widowControl w:val="0"/>
        <w:ind w:firstLine="0"/>
        <w:rPr>
          <w:rFonts w:ascii="Times New Roman" w:hAnsi="Times New Roman"/>
          <w:noProof/>
          <w:lang w:val="en-US"/>
        </w:rPr>
      </w:pPr>
    </w:p>
    <w:p w14:paraId="69E017C7" w14:textId="77777777" w:rsidR="000E3283" w:rsidRDefault="000E3283" w:rsidP="001F1E46">
      <w:pPr>
        <w:pStyle w:val="JuQuot"/>
        <w:widowControl w:val="0"/>
        <w:spacing w:before="0" w:after="0"/>
        <w:ind w:left="284" w:firstLine="0"/>
        <w:jc w:val="center"/>
        <w:rPr>
          <w:rFonts w:ascii="Times New Roman" w:hAnsi="Times New Roman"/>
          <w:b/>
          <w:noProof/>
          <w:sz w:val="24"/>
        </w:rPr>
      </w:pPr>
      <w:r>
        <w:rPr>
          <w:rFonts w:ascii="Times New Roman" w:hAnsi="Times New Roman"/>
          <w:b/>
          <w:sz w:val="24"/>
        </w:rPr>
        <w:t>1. pants. Pārraudzības institūcijas</w:t>
      </w:r>
    </w:p>
    <w:p w14:paraId="7AB6418A" w14:textId="77777777" w:rsidR="000A45F4" w:rsidRPr="008D031E" w:rsidRDefault="000A45F4" w:rsidP="001F1E46">
      <w:pPr>
        <w:pStyle w:val="JuQuot"/>
        <w:widowControl w:val="0"/>
        <w:spacing w:before="0" w:after="0"/>
        <w:ind w:left="284" w:firstLine="0"/>
        <w:rPr>
          <w:rFonts w:ascii="Times New Roman" w:hAnsi="Times New Roman"/>
          <w:b/>
          <w:noProof/>
          <w:sz w:val="24"/>
          <w:lang w:val="en-US"/>
        </w:rPr>
      </w:pPr>
    </w:p>
    <w:p w14:paraId="54FD2075" w14:textId="2F866BB4"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“1. Katra Puse nosaka vienu vai vairākas institūcijas, kuras ir atbildīgas par to, lai tiktu nodrošināta to valsts iekšējās tiesībās paredzēto pasākumu ievērošana, ar kuriem tiek ieviesti Konvencijas II un III sadaļas un šī [šā] Protokola principi.</w:t>
      </w:r>
    </w:p>
    <w:p w14:paraId="0DD30951" w14:textId="4151D6AC"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2. a) Šajā sakarā [Šādā nolūkā] minētajām institūcijām ir jāpiešķir izmeklēšanas un iejaukšanās pilnvaras, kā arī pilnvaras iesaistīties tiesvedībā vai pievērst kompetentu tiesu iestāžu uzmanību to valsts iekšējo tiesību noteikumu pārkāpumiem, ar kuriem tiek ieviesti šī [šā] Protokola 1. panta 1. punktā minētie principi.</w:t>
      </w:r>
    </w:p>
    <w:p w14:paraId="74190F9C" w14:textId="0F6BA6FF" w:rsidR="000E3283" w:rsidRPr="008D031E" w:rsidRDefault="000E3283" w:rsidP="001F1E46">
      <w:pPr>
        <w:widowControl w:val="0"/>
        <w:ind w:left="284" w:firstLine="142"/>
        <w:jc w:val="both"/>
        <w:rPr>
          <w:rFonts w:ascii="Times New Roman" w:hAnsi="Times New Roman"/>
          <w:noProof/>
        </w:rPr>
      </w:pPr>
      <w:r>
        <w:rPr>
          <w:rFonts w:ascii="Times New Roman" w:hAnsi="Times New Roman"/>
        </w:rPr>
        <w:t>b) Katra pārraudzības institūcija savas kompetences robežās izskata jebkuras personas iesniegtās prasības saistībā ar minētās personas tiesību un pamatbrīvību aizsardzību attiecībā uz personas datu apstrādi.</w:t>
      </w:r>
    </w:p>
    <w:p w14:paraId="0078D3CE" w14:textId="79AD4A39"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3. Pārraudzības institūcijas ir pilnīgi neatkarīgas attiecībā uz savu funkciju izpildi.</w:t>
      </w:r>
    </w:p>
    <w:p w14:paraId="36622A54" w14:textId="512A8FAB"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4. Par pārraudzības institūcijas lēmumiem var iesniegt sūdzību tiesā.</w:t>
      </w:r>
    </w:p>
    <w:p w14:paraId="29BE80FC" w14:textId="77777777" w:rsidR="001D14B9" w:rsidRPr="008D031E" w:rsidRDefault="001D14B9" w:rsidP="001F1E46">
      <w:pPr>
        <w:pStyle w:val="JuQuot"/>
        <w:widowControl w:val="0"/>
        <w:spacing w:before="0" w:after="0"/>
        <w:ind w:left="284"/>
        <w:rPr>
          <w:rFonts w:ascii="Times New Roman" w:hAnsi="Times New Roman"/>
          <w:noProof/>
          <w:sz w:val="24"/>
          <w:lang w:val="en-US"/>
        </w:rPr>
      </w:pPr>
    </w:p>
    <w:p w14:paraId="6EFE9D99" w14:textId="77777777"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w:t>
      </w:r>
    </w:p>
    <w:p w14:paraId="0E6AA55D" w14:textId="77777777" w:rsidR="001D14B9" w:rsidRPr="008D031E" w:rsidRDefault="001D14B9" w:rsidP="001F1E46">
      <w:pPr>
        <w:pStyle w:val="JuQuot"/>
        <w:widowControl w:val="0"/>
        <w:spacing w:before="0" w:after="0"/>
        <w:ind w:left="284" w:firstLine="0"/>
        <w:rPr>
          <w:rFonts w:ascii="Times New Roman" w:hAnsi="Times New Roman"/>
          <w:noProof/>
          <w:sz w:val="24"/>
          <w:lang w:val="en-US"/>
        </w:rPr>
      </w:pPr>
    </w:p>
    <w:p w14:paraId="38F0EE05" w14:textId="77777777" w:rsidR="000E3283" w:rsidRDefault="000E3283" w:rsidP="001F1E46">
      <w:pPr>
        <w:pStyle w:val="JuQuot"/>
        <w:widowControl w:val="0"/>
        <w:spacing w:before="0" w:after="0"/>
        <w:ind w:left="284" w:firstLine="0"/>
        <w:jc w:val="center"/>
        <w:rPr>
          <w:rFonts w:ascii="Times New Roman" w:hAnsi="Times New Roman"/>
          <w:b/>
          <w:noProof/>
          <w:sz w:val="24"/>
        </w:rPr>
      </w:pPr>
      <w:r>
        <w:rPr>
          <w:rFonts w:ascii="Times New Roman" w:hAnsi="Times New Roman"/>
          <w:b/>
          <w:sz w:val="24"/>
        </w:rPr>
        <w:t>2. pants. Personas datu pārrobežu plūsma saņēmējam, kurš neatrodas Konvencijas Līgumslēdzējas Puses jurisdikcijā</w:t>
      </w:r>
    </w:p>
    <w:p w14:paraId="3A1768B3" w14:textId="77777777" w:rsidR="00390FE1" w:rsidRPr="008D031E" w:rsidRDefault="00390FE1" w:rsidP="001F1E46">
      <w:pPr>
        <w:pStyle w:val="JuQuot"/>
        <w:widowControl w:val="0"/>
        <w:spacing w:before="0" w:after="0"/>
        <w:ind w:left="284" w:firstLine="0"/>
        <w:rPr>
          <w:rFonts w:ascii="Times New Roman" w:hAnsi="Times New Roman"/>
          <w:b/>
          <w:noProof/>
          <w:sz w:val="24"/>
          <w:lang w:val="en-US"/>
        </w:rPr>
      </w:pPr>
    </w:p>
    <w:p w14:paraId="0DE7FDFA" w14:textId="0807698C"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“1. Katra Puse nodrošina, ka personas datu pārsūtīšana tādam saņēmējam, kurš atrodas tādas valsts vai tādas organizācijas jurisdikcijā, kas nav šīs Konvencijas Līgumslēdzēja Puse, ir atļauta tikai tādā gadījumā, ja šāda valsts vai organizācija nodrošina adekvātu </w:t>
      </w:r>
      <w:proofErr w:type="spellStart"/>
      <w:r>
        <w:rPr>
          <w:rFonts w:ascii="Times New Roman" w:hAnsi="Times New Roman"/>
          <w:sz w:val="24"/>
        </w:rPr>
        <w:t>pārsūtāmo</w:t>
      </w:r>
      <w:proofErr w:type="spellEnd"/>
      <w:r>
        <w:rPr>
          <w:rFonts w:ascii="Times New Roman" w:hAnsi="Times New Roman"/>
          <w:sz w:val="24"/>
        </w:rPr>
        <w:t xml:space="preserve"> datu aizsardzības līmeni.</w:t>
      </w:r>
    </w:p>
    <w:p w14:paraId="1807103A" w14:textId="1474B0ED" w:rsidR="000E3283" w:rsidRDefault="000E3283" w:rsidP="000A7B13">
      <w:pPr>
        <w:pStyle w:val="JuQuot"/>
        <w:keepNext/>
        <w:keepLines/>
        <w:widowControl w:val="0"/>
        <w:spacing w:before="0" w:after="0"/>
        <w:ind w:left="284"/>
        <w:rPr>
          <w:rFonts w:ascii="Times New Roman" w:hAnsi="Times New Roman"/>
          <w:noProof/>
          <w:sz w:val="24"/>
        </w:rPr>
      </w:pPr>
      <w:r>
        <w:rPr>
          <w:rFonts w:ascii="Times New Roman" w:hAnsi="Times New Roman"/>
          <w:sz w:val="24"/>
        </w:rPr>
        <w:lastRenderedPageBreak/>
        <w:t>2. Atkāpjoties no šī [šā] Protokola 2. panta 1. punkta noteikumiem, katra Puse var atļaut pārsūtīt personas datus:</w:t>
      </w:r>
    </w:p>
    <w:p w14:paraId="25E67879" w14:textId="77777777" w:rsidR="001D14B9" w:rsidRPr="008D031E" w:rsidRDefault="001D14B9" w:rsidP="000A7B13">
      <w:pPr>
        <w:pStyle w:val="JuQuot"/>
        <w:keepNext/>
        <w:keepLines/>
        <w:widowControl w:val="0"/>
        <w:spacing w:before="0" w:after="0"/>
        <w:ind w:left="284"/>
        <w:rPr>
          <w:rFonts w:ascii="Times New Roman" w:hAnsi="Times New Roman"/>
          <w:noProof/>
          <w:sz w:val="24"/>
          <w:lang w:val="en-US"/>
        </w:rPr>
      </w:pPr>
    </w:p>
    <w:p w14:paraId="62064195" w14:textId="288D2D84" w:rsidR="000E3283" w:rsidRPr="008D031E" w:rsidRDefault="000E3283" w:rsidP="000A7B13">
      <w:pPr>
        <w:pStyle w:val="JuQuot"/>
        <w:keepNext/>
        <w:keepLines/>
        <w:widowControl w:val="0"/>
        <w:spacing w:before="0" w:after="0"/>
        <w:ind w:left="567" w:firstLine="0"/>
        <w:rPr>
          <w:rFonts w:ascii="Times New Roman" w:hAnsi="Times New Roman"/>
          <w:noProof/>
          <w:sz w:val="24"/>
        </w:rPr>
      </w:pPr>
      <w:r>
        <w:rPr>
          <w:rFonts w:ascii="Times New Roman" w:hAnsi="Times New Roman"/>
          <w:sz w:val="24"/>
        </w:rPr>
        <w:t>a) ja valsts iekšējās tiesības paredz datu pārsūtīšanu:</w:t>
      </w:r>
    </w:p>
    <w:p w14:paraId="250EDA08" w14:textId="7102FAAB" w:rsidR="000E3283" w:rsidRPr="008D031E" w:rsidRDefault="000E3283" w:rsidP="001F1E46">
      <w:pPr>
        <w:pStyle w:val="JuQuot"/>
        <w:widowControl w:val="0"/>
        <w:spacing w:before="0" w:after="0"/>
        <w:ind w:left="567" w:firstLine="0"/>
        <w:rPr>
          <w:rFonts w:ascii="Times New Roman" w:hAnsi="Times New Roman"/>
          <w:noProof/>
          <w:sz w:val="24"/>
        </w:rPr>
      </w:pPr>
      <w:r>
        <w:rPr>
          <w:rFonts w:ascii="Times New Roman" w:hAnsi="Times New Roman"/>
          <w:sz w:val="24"/>
        </w:rPr>
        <w:t>– lai aizsargātu noteiktas datu subjekta intereses, vai [intereses vai]</w:t>
      </w:r>
    </w:p>
    <w:p w14:paraId="45CF23C5" w14:textId="23F57814" w:rsidR="000E3283" w:rsidRPr="008D031E" w:rsidRDefault="000E3283" w:rsidP="001F1E46">
      <w:pPr>
        <w:pStyle w:val="JuQuot"/>
        <w:widowControl w:val="0"/>
        <w:spacing w:before="0" w:after="0"/>
        <w:ind w:left="567" w:firstLine="0"/>
        <w:rPr>
          <w:rFonts w:ascii="Times New Roman" w:hAnsi="Times New Roman"/>
          <w:noProof/>
          <w:sz w:val="24"/>
        </w:rPr>
      </w:pPr>
      <w:r>
        <w:rPr>
          <w:rFonts w:ascii="Times New Roman" w:hAnsi="Times New Roman"/>
          <w:sz w:val="24"/>
        </w:rPr>
        <w:t>– tādās [tādas] likumīgas intereses, kurām ir augstāks juridiskais spēks, it īpaši svarīgas sabiedrības intereses, vai</w:t>
      </w:r>
    </w:p>
    <w:p w14:paraId="369C259E" w14:textId="41824DDC" w:rsidR="000E3283" w:rsidRDefault="000E3283" w:rsidP="001F1E46">
      <w:pPr>
        <w:pStyle w:val="JuQuot"/>
        <w:widowControl w:val="0"/>
        <w:spacing w:before="0" w:after="0"/>
        <w:ind w:left="567" w:firstLine="0"/>
        <w:rPr>
          <w:rFonts w:ascii="Times New Roman" w:hAnsi="Times New Roman"/>
          <w:noProof/>
          <w:sz w:val="24"/>
        </w:rPr>
      </w:pPr>
      <w:r>
        <w:rPr>
          <w:rFonts w:ascii="Times New Roman" w:hAnsi="Times New Roman"/>
          <w:sz w:val="24"/>
        </w:rPr>
        <w:t>b) [ja] par datu pārsūtīšanu atbildīgais datu pārzinis piemēro aizsardzības pasākumus, kurus kompetentas institūcijas saskaņā ar valsts iekšējām tiesībām ir atzinušas par adekvātiem aizsardzības pasākumiem.”</w:t>
      </w:r>
    </w:p>
    <w:p w14:paraId="56E1EEAE" w14:textId="77777777" w:rsidR="000A45F4" w:rsidRPr="008D031E" w:rsidRDefault="000A45F4" w:rsidP="001F1E46">
      <w:pPr>
        <w:pStyle w:val="JuQuot"/>
        <w:widowControl w:val="0"/>
        <w:spacing w:before="0" w:after="0"/>
        <w:ind w:left="284" w:firstLine="0"/>
        <w:rPr>
          <w:rFonts w:ascii="Times New Roman" w:hAnsi="Times New Roman"/>
          <w:noProof/>
          <w:sz w:val="24"/>
          <w:lang w:val="en-US"/>
        </w:rPr>
      </w:pPr>
    </w:p>
    <w:p w14:paraId="1F5BEB34" w14:textId="1A67C425" w:rsidR="000E3283" w:rsidRDefault="00390FE1" w:rsidP="001F1E46">
      <w:pPr>
        <w:pStyle w:val="JuH1"/>
        <w:keepNext w:val="0"/>
        <w:keepLines w:val="0"/>
        <w:widowControl w:val="0"/>
        <w:numPr>
          <w:ilvl w:val="0"/>
          <w:numId w:val="0"/>
        </w:numPr>
        <w:spacing w:before="0" w:beforeAutospacing="0" w:after="0"/>
        <w:outlineLvl w:val="9"/>
        <w:rPr>
          <w:rFonts w:ascii="Times New Roman" w:hAnsi="Times New Roman"/>
          <w:noProof/>
        </w:rPr>
      </w:pPr>
      <w:bookmarkStart w:id="181" w:name="_Toc516820770"/>
      <w:r>
        <w:rPr>
          <w:rFonts w:ascii="Times New Roman" w:hAnsi="Times New Roman"/>
        </w:rPr>
        <w:t>3. Ministru komitejas ieteikums par personas datu aizsardzību telekomunikāciju pakalpojumu jomā</w:t>
      </w:r>
      <w:bookmarkEnd w:id="181"/>
    </w:p>
    <w:p w14:paraId="19F8B686" w14:textId="77777777" w:rsidR="000A45F4" w:rsidRPr="000A45F4" w:rsidRDefault="000A45F4" w:rsidP="001F1E46">
      <w:pPr>
        <w:pStyle w:val="JuPara"/>
        <w:widowControl w:val="0"/>
        <w:rPr>
          <w:lang w:val="en-US"/>
        </w:rPr>
      </w:pPr>
    </w:p>
    <w:p w14:paraId="245AE456" w14:textId="78FC2DB3" w:rsidR="000E3283" w:rsidRDefault="000E3283" w:rsidP="001F1E46">
      <w:pPr>
        <w:pStyle w:val="JuPara"/>
        <w:widowControl w:val="0"/>
        <w:ind w:firstLine="142"/>
        <w:rPr>
          <w:rFonts w:ascii="Times New Roman" w:hAnsi="Times New Roman"/>
          <w:noProof/>
        </w:rPr>
      </w:pPr>
      <w:r>
        <w:rPr>
          <w:rFonts w:ascii="Times New Roman" w:hAnsi="Times New Roman"/>
        </w:rPr>
        <w:t>195. Ciktāl tas attiecas uz šo lietu, Ministru komitejas ieteikumā Nr. R (95) 4, kas tika pieņemts 1995. gada 7. februārī, noteikts turpmākais:</w:t>
      </w:r>
    </w:p>
    <w:p w14:paraId="7F774161" w14:textId="77777777" w:rsidR="00FD2E1F" w:rsidRPr="008D031E" w:rsidRDefault="00FD2E1F" w:rsidP="001F1E46">
      <w:pPr>
        <w:pStyle w:val="JuPara"/>
        <w:widowControl w:val="0"/>
        <w:ind w:firstLine="0"/>
        <w:rPr>
          <w:rFonts w:ascii="Times New Roman" w:hAnsi="Times New Roman"/>
          <w:noProof/>
          <w:lang w:val="en-US"/>
        </w:rPr>
      </w:pPr>
    </w:p>
    <w:p w14:paraId="4DF684CB" w14:textId="6E2C54BE"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“2.4. Valsts iestāžu iejaukšanās sakaru saturā, tostarp noklausīšanās vai sarunu ierakstīšanas ierīču vai arī citu uzraudzības vai sakaru pārtveršanas līdzekļu izmantošana, ir pieļaujama vienīgi tad, ja tas paredzēts likumā un nepieciešams demokrātiskā sabiedrībā, lai:</w:t>
      </w:r>
    </w:p>
    <w:p w14:paraId="05513984" w14:textId="0678BCA2"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a) aizsargātu valsts drošību, sabiedrisko drošību, valsts monetārās intereses vai cīnītos ar noziedzību;</w:t>
      </w:r>
    </w:p>
    <w:p w14:paraId="1818214C" w14:textId="71022D43"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b) aizsargātu datu subjektu vai citu personu tiesības un brīvības.</w:t>
      </w:r>
    </w:p>
    <w:p w14:paraId="70C217C1" w14:textId="447AD962"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2.5. Ja valsts iestādes iejaucas sakaru saturā, valsts tiesību aktiem jāregulē:</w:t>
      </w:r>
    </w:p>
    <w:p w14:paraId="61163B53" w14:textId="662F7CF7"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a) veids, kādā datu subjekts īsteno savas tiesības uz piekļuvi datiem vai datu labošanu;</w:t>
      </w:r>
    </w:p>
    <w:p w14:paraId="2CEED4DE" w14:textId="338E78EF"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b) kādos apstākļos atbildīgās valsts iestādes ir tiesīgas atteikties sniegt informāciju attiecīgajai personai vai kavēt tās sniegšanu;</w:t>
      </w:r>
    </w:p>
    <w:p w14:paraId="616909D6" w14:textId="63316BB5"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c) veids, kādā dati tiek uzglabāti vai iznīcināti.</w:t>
      </w:r>
    </w:p>
    <w:p w14:paraId="15AB31A2" w14:textId="77777777"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Ja valsts iestāde ir devusi norādījumus tīkla operatoram vai pakalpojumu sniedzējam iejaukties, šādi savāktie dati būtu jāpaziņo vienīgi tai iestādei, kas norādīta atļaujā par šādu iejaukšanos.”</w:t>
      </w:r>
    </w:p>
    <w:p w14:paraId="13422493" w14:textId="77777777" w:rsidR="00FD2E1F" w:rsidRPr="008D031E" w:rsidRDefault="00FD2E1F" w:rsidP="001F1E46">
      <w:pPr>
        <w:pStyle w:val="JuQuot"/>
        <w:widowControl w:val="0"/>
        <w:spacing w:before="0" w:after="0"/>
        <w:ind w:left="284"/>
        <w:rPr>
          <w:rFonts w:ascii="Times New Roman" w:hAnsi="Times New Roman"/>
          <w:noProof/>
          <w:sz w:val="24"/>
          <w:lang w:val="en-US"/>
        </w:rPr>
      </w:pPr>
    </w:p>
    <w:p w14:paraId="639BD3FD" w14:textId="3F332730" w:rsidR="000E3283" w:rsidRDefault="00FD2E1F" w:rsidP="001F1E46">
      <w:pPr>
        <w:pStyle w:val="JuH1"/>
        <w:keepNext w:val="0"/>
        <w:keepLines w:val="0"/>
        <w:widowControl w:val="0"/>
        <w:numPr>
          <w:ilvl w:val="0"/>
          <w:numId w:val="0"/>
        </w:numPr>
        <w:spacing w:before="0" w:beforeAutospacing="0" w:after="0"/>
        <w:outlineLvl w:val="9"/>
        <w:rPr>
          <w:rFonts w:ascii="Times New Roman" w:hAnsi="Times New Roman"/>
          <w:noProof/>
        </w:rPr>
      </w:pPr>
      <w:bookmarkStart w:id="182" w:name="_Toc516820772"/>
      <w:r>
        <w:rPr>
          <w:rFonts w:ascii="Times New Roman" w:hAnsi="Times New Roman"/>
        </w:rPr>
        <w:t>4. Eiropas Komisijas demokrātijas tiesiskai nostiprināšanai (“Venēcijas komisijas”) 2015. gada Ziņojums par sakaru izlūkošanas aģentūru demokrātisku pārraudzību</w:t>
      </w:r>
      <w:bookmarkEnd w:id="182"/>
    </w:p>
    <w:p w14:paraId="648EEF23" w14:textId="77777777" w:rsidR="00FD2E1F" w:rsidRPr="00FD2E1F" w:rsidRDefault="00FD2E1F" w:rsidP="001F1E46">
      <w:pPr>
        <w:pStyle w:val="JuPara"/>
        <w:widowControl w:val="0"/>
        <w:rPr>
          <w:lang w:val="en-US"/>
        </w:rPr>
      </w:pPr>
    </w:p>
    <w:p w14:paraId="6C207D54" w14:textId="0FE22CAF" w:rsidR="000E3283" w:rsidRPr="008D031E" w:rsidRDefault="000E3283" w:rsidP="001F1E46">
      <w:pPr>
        <w:pStyle w:val="JuPara"/>
        <w:widowControl w:val="0"/>
        <w:ind w:firstLine="142"/>
        <w:rPr>
          <w:rFonts w:ascii="Times New Roman" w:hAnsi="Times New Roman"/>
          <w:noProof/>
        </w:rPr>
      </w:pPr>
      <w:bookmarkStart w:id="183" w:name="VeniceValue"/>
      <w:bookmarkStart w:id="184" w:name="VeniceInteference"/>
      <w:r>
        <w:rPr>
          <w:rFonts w:ascii="Times New Roman" w:hAnsi="Times New Roman"/>
        </w:rPr>
        <w:t>196</w:t>
      </w:r>
      <w:bookmarkEnd w:id="183"/>
      <w:r>
        <w:rPr>
          <w:rFonts w:ascii="Times New Roman" w:hAnsi="Times New Roman"/>
        </w:rPr>
        <w:t xml:space="preserve">. </w:t>
      </w:r>
      <w:bookmarkEnd w:id="184"/>
      <w:r>
        <w:rPr>
          <w:rFonts w:ascii="Times New Roman" w:hAnsi="Times New Roman"/>
        </w:rPr>
        <w:t xml:space="preserve">Venēcijas komisija jau sākotnēji norādīja, kāda vērtība masveida pārtveršanai varētu būt attiecībā uz drošības operācijām, jo tā ļāva drošības dienestiem pieņemt </w:t>
      </w:r>
      <w:proofErr w:type="spellStart"/>
      <w:r>
        <w:rPr>
          <w:rFonts w:ascii="Times New Roman" w:hAnsi="Times New Roman"/>
        </w:rPr>
        <w:t>proaktīvu</w:t>
      </w:r>
      <w:proofErr w:type="spellEnd"/>
      <w:r>
        <w:rPr>
          <w:rFonts w:ascii="Times New Roman" w:hAnsi="Times New Roman"/>
        </w:rPr>
        <w:t xml:space="preserve"> pieeju, meklējot līdz šim nezināmas briesmas, nevis izmeklējot jau zināmās. Tomēr tā arī norādīja, ka masveida datu pārtveršana datu pārraidē vai prasības par to, ka telekomunikāciju uzņēmumiem jāuzglabā un pēc tam jāsniedz telekomunikāciju satura dati vai metadati tiesībaizsardzības vai drošības aģentūrām, ir saistīta ar pasaules iedzīvotāju lielākās daļas tiesību uz privātās dzīves neaizskaramību un citu cilvēktiesību pārkāpumu. Šajā ziņā Venēcijas komisija uzskatīja, ka galvenā iejaukšanās personas tiesībās uz privātās dzīves neaizskaramību notika tad, kad aģentūras piekļuva saglabātajiem personas datiem un/vai tos apstrādāja. Tādēļ </w:t>
      </w:r>
      <w:proofErr w:type="spellStart"/>
      <w:r>
        <w:rPr>
          <w:rFonts w:ascii="Times New Roman" w:hAnsi="Times New Roman"/>
        </w:rPr>
        <w:t>datoranalīze</w:t>
      </w:r>
      <w:proofErr w:type="spellEnd"/>
      <w:r>
        <w:rPr>
          <w:rFonts w:ascii="Times New Roman" w:hAnsi="Times New Roman"/>
        </w:rPr>
        <w:t xml:space="preserve"> (parasti ar selektoru palīdzību) bija viens no svarīgajiem posmiem, lai nodrošinātu līdzsvaru starp personas rūpēm par integritāti un citām interesēm.</w:t>
      </w:r>
    </w:p>
    <w:p w14:paraId="3574F95A" w14:textId="75F878D3" w:rsidR="000E3283" w:rsidRPr="008D031E" w:rsidRDefault="000E3283" w:rsidP="001F1E46">
      <w:pPr>
        <w:pStyle w:val="JuPara"/>
        <w:widowControl w:val="0"/>
        <w:ind w:firstLine="142"/>
        <w:rPr>
          <w:rFonts w:ascii="Times New Roman" w:hAnsi="Times New Roman"/>
          <w:noProof/>
        </w:rPr>
      </w:pPr>
      <w:bookmarkStart w:id="185" w:name="VeniceAuthOsight"/>
      <w:r>
        <w:rPr>
          <w:rFonts w:ascii="Times New Roman" w:hAnsi="Times New Roman"/>
        </w:rPr>
        <w:t>197</w:t>
      </w:r>
      <w:bookmarkEnd w:id="185"/>
      <w:r>
        <w:rPr>
          <w:rFonts w:ascii="Times New Roman" w:hAnsi="Times New Roman"/>
        </w:rPr>
        <w:t xml:space="preserve">. Saskaņā ar ziņojumu divi svarīgākie drošības pasākumi bija atļauja (datu savākšanai un piekļuvei) un procesa pārraudzība. No Tiesas judikatūras izriet, ka pēdējais no minētajiem jāveic neatkarīgai ārējai struktūrai. Lai gan Tiesa deva priekšroku tiesas atļaujai, tā to nebija atzinusi par obligātu prasību. Sistēma drīzāk bija jāvērtē kopumā, un tad, kad atļaujas </w:t>
      </w:r>
      <w:r>
        <w:rPr>
          <w:rFonts w:ascii="Times New Roman" w:hAnsi="Times New Roman"/>
        </w:rPr>
        <w:lastRenderedPageBreak/>
        <w:t xml:space="preserve">izsniegšanas posmā trūka neatkarīgu kontroles pasākumu, pārraudzības posmā bija jāīsteno īpaši stingri drošības pasākumi. Šajā ziņā Venēcijas komisija izskatīja Amerikas Savienoto Valstu sistēmas piemēru, kur atļauju piešķīra </w:t>
      </w:r>
      <w:proofErr w:type="spellStart"/>
      <w:r>
        <w:rPr>
          <w:rFonts w:ascii="Times New Roman" w:hAnsi="Times New Roman"/>
          <w:i/>
          <w:iCs/>
        </w:rPr>
        <w:t>FISC</w:t>
      </w:r>
      <w:proofErr w:type="spellEnd"/>
      <w:r>
        <w:rPr>
          <w:rFonts w:ascii="Times New Roman" w:hAnsi="Times New Roman"/>
        </w:rPr>
        <w:t>. Tomēr, lai gan tiesas atļauja ir paredzēta, neatkarīgas pārraudzības trūkums attiecībā uz tiesas noteiktajiem nosacījumiem un ierobežojumiem sagādāja problēmas.</w:t>
      </w:r>
      <w:bookmarkStart w:id="186" w:name="VeniceNotif"/>
    </w:p>
    <w:p w14:paraId="638EB2A8" w14:textId="78ABC8ED" w:rsidR="000E3283" w:rsidRPr="008D031E" w:rsidRDefault="000E3283" w:rsidP="001F1E46">
      <w:pPr>
        <w:pStyle w:val="JuPara"/>
        <w:widowControl w:val="0"/>
        <w:ind w:firstLine="142"/>
        <w:rPr>
          <w:rFonts w:ascii="Times New Roman" w:hAnsi="Times New Roman"/>
          <w:noProof/>
        </w:rPr>
      </w:pPr>
      <w:r>
        <w:rPr>
          <w:rFonts w:ascii="Times New Roman" w:hAnsi="Times New Roman"/>
        </w:rPr>
        <w:t>198</w:t>
      </w:r>
      <w:bookmarkEnd w:id="186"/>
      <w:r>
        <w:rPr>
          <w:rFonts w:ascii="Times New Roman" w:hAnsi="Times New Roman"/>
        </w:rPr>
        <w:t>. Tāpat Komisija norādīja, ka uzraudzības subjekta informēšana nebija absolūta Konvencijas 8. pantā noteikta prasība, jo vispārēja sūdzību procedūra neatkarīgai pārraudzības iestādei varētu kompensēt neinformēšanu.</w:t>
      </w:r>
    </w:p>
    <w:p w14:paraId="7468C360" w14:textId="3F3D7AF8" w:rsidR="000E3283" w:rsidRPr="008D031E" w:rsidRDefault="000E3283" w:rsidP="001F1E46">
      <w:pPr>
        <w:pStyle w:val="JuPara"/>
        <w:widowControl w:val="0"/>
        <w:ind w:firstLine="142"/>
        <w:rPr>
          <w:rFonts w:ascii="Times New Roman" w:hAnsi="Times New Roman"/>
          <w:noProof/>
        </w:rPr>
      </w:pPr>
      <w:bookmarkStart w:id="187" w:name="VeniceInternalConts"/>
      <w:r>
        <w:rPr>
          <w:rFonts w:ascii="Times New Roman" w:hAnsi="Times New Roman"/>
        </w:rPr>
        <w:t>199</w:t>
      </w:r>
      <w:bookmarkEnd w:id="187"/>
      <w:r>
        <w:rPr>
          <w:rFonts w:ascii="Times New Roman" w:hAnsi="Times New Roman"/>
        </w:rPr>
        <w:t>. Ziņojumā iekšējie kontroles pasākumi arī bija norādīti kā “primārie drošības pasākumi”. Personu piesaistīšana un mācības bija galvenie jautājumi; turklāt bija svarīgi, lai aģentūras, izsludinot iekšējos noteikumus, balstītos uz tiesībām uz personas privātās dzīves neaizskaramību un citām cilvēktiesībām.</w:t>
      </w:r>
    </w:p>
    <w:p w14:paraId="721C2CBD" w14:textId="10148D13" w:rsidR="000E3283" w:rsidRPr="008D031E" w:rsidRDefault="000E3283" w:rsidP="001F1E46">
      <w:pPr>
        <w:pStyle w:val="JuPara"/>
        <w:widowControl w:val="0"/>
        <w:ind w:firstLine="142"/>
        <w:rPr>
          <w:rFonts w:ascii="Times New Roman" w:hAnsi="Times New Roman"/>
          <w:noProof/>
        </w:rPr>
      </w:pPr>
      <w:bookmarkStart w:id="188" w:name="VeniceJournos"/>
      <w:r>
        <w:rPr>
          <w:rFonts w:ascii="Times New Roman" w:hAnsi="Times New Roman"/>
        </w:rPr>
        <w:t>200</w:t>
      </w:r>
      <w:bookmarkEnd w:id="188"/>
      <w:r>
        <w:rPr>
          <w:rFonts w:ascii="Times New Roman" w:hAnsi="Times New Roman"/>
        </w:rPr>
        <w:t>. Ziņojumā atzina, ka žurnālisti ir grupa, kurai nepieciešama īpaša aizsardzība, jo viņu kontaktu meklēšana varētu atklāt viņu avotus (un atklāšanas risks varētu būt spēcīgs trauksmes cēlējus atturošs faktors). Tomēr tā uzskatīja, ka nav absolūta aizlieguma meklēt žurnālistu kontaktus, ja ir ļoti nopietni iemesli šādi rīkoties. Ziņojumā norādīts, ka žurnālista profesija nav viegli identificējama, jo NVO iesaistās arī sabiedriskās domas veidošanā un pat emuāru autori var apgalvot, ka viņiem ir tiesības uz līdzvērtīgu aizsardzību.</w:t>
      </w:r>
    </w:p>
    <w:p w14:paraId="3DED3A08" w14:textId="2ABA39BA" w:rsidR="000E3283" w:rsidRDefault="000E3283" w:rsidP="001F1E46">
      <w:pPr>
        <w:pStyle w:val="JuPara"/>
        <w:widowControl w:val="0"/>
        <w:ind w:firstLine="142"/>
        <w:rPr>
          <w:rFonts w:ascii="Times New Roman" w:hAnsi="Times New Roman"/>
          <w:noProof/>
        </w:rPr>
      </w:pPr>
      <w:bookmarkStart w:id="189" w:name="VeniceIS"/>
      <w:r>
        <w:rPr>
          <w:rFonts w:ascii="Times New Roman" w:hAnsi="Times New Roman"/>
        </w:rPr>
        <w:t>201</w:t>
      </w:r>
      <w:bookmarkEnd w:id="189"/>
      <w:r>
        <w:rPr>
          <w:rFonts w:ascii="Times New Roman" w:hAnsi="Times New Roman"/>
        </w:rPr>
        <w:t xml:space="preserve">. Visbeidzot, ziņojumā īsumā aplūkots jautājums par </w:t>
      </w:r>
      <w:proofErr w:type="spellStart"/>
      <w:r>
        <w:rPr>
          <w:rFonts w:ascii="Times New Roman" w:hAnsi="Times New Roman"/>
        </w:rPr>
        <w:t>izlūkdatu</w:t>
      </w:r>
      <w:proofErr w:type="spellEnd"/>
      <w:r>
        <w:rPr>
          <w:rFonts w:ascii="Times New Roman" w:hAnsi="Times New Roman"/>
        </w:rPr>
        <w:t xml:space="preserve"> apmaiņu un jo īpaši risku, ka valstis tādējādi varētu apiet stingrākas vietējās uzraudzības procedūras un/vai jebkādus juridiskus ierobežojumus, kas varētu attiekties uz aģentūrām attiecībā uz iekšzemes izlūkošanas operācijām. Tās ieskatā atbilstošs drošības pasākums būtu nodrošināt, ka pārraidīto masveida materiālu varētu pārbaudīt vienīgi tad, ja ir izpildītas visas galvenās valsts līmeņa meklēšanas prasības un tas atbilstoši atļauts tāpat kā tāda masveida materiāla pārbaude, ko sakaru </w:t>
      </w:r>
      <w:r w:rsidRPr="005E75F4">
        <w:rPr>
          <w:rFonts w:ascii="Times New Roman" w:hAnsi="Times New Roman"/>
        </w:rPr>
        <w:t>izlūkošanas aģentūra ieguvusi, izmantojot savas metodes.</w:t>
      </w:r>
    </w:p>
    <w:p w14:paraId="319F068C" w14:textId="77777777" w:rsidR="00FD2E1F" w:rsidRDefault="00FD2E1F" w:rsidP="001F1E46">
      <w:pPr>
        <w:pStyle w:val="JuPara"/>
        <w:widowControl w:val="0"/>
        <w:ind w:firstLine="142"/>
        <w:rPr>
          <w:rFonts w:ascii="Times New Roman" w:hAnsi="Times New Roman"/>
          <w:noProof/>
          <w:lang w:val="en-US"/>
        </w:rPr>
      </w:pPr>
    </w:p>
    <w:p w14:paraId="3339DAC0" w14:textId="77777777" w:rsidR="00F82F2D" w:rsidRDefault="00F82F2D" w:rsidP="00F82F2D">
      <w:pPr>
        <w:pStyle w:val="JuHIRoman"/>
        <w:keepNext w:val="0"/>
        <w:keepLines w:val="0"/>
        <w:widowControl w:val="0"/>
        <w:numPr>
          <w:ilvl w:val="0"/>
          <w:numId w:val="0"/>
        </w:numPr>
        <w:spacing w:before="0" w:beforeAutospacing="0" w:after="0"/>
        <w:outlineLvl w:val="9"/>
        <w:rPr>
          <w:rFonts w:ascii="Times New Roman" w:hAnsi="Times New Roman"/>
          <w:caps w:val="0"/>
          <w:noProof/>
        </w:rPr>
      </w:pPr>
      <w:bookmarkStart w:id="190" w:name="_Toc516820773"/>
      <w:r>
        <w:rPr>
          <w:rFonts w:ascii="Times New Roman" w:hAnsi="Times New Roman"/>
          <w:caps w:val="0"/>
        </w:rPr>
        <w:t>III. EIROPAS SAVIENĪBAS</w:t>
      </w:r>
      <w:bookmarkEnd w:id="190"/>
      <w:r>
        <w:rPr>
          <w:rFonts w:ascii="Times New Roman" w:hAnsi="Times New Roman"/>
          <w:caps w:val="0"/>
        </w:rPr>
        <w:t xml:space="preserve"> TIESĪBU AKTI</w:t>
      </w:r>
    </w:p>
    <w:p w14:paraId="4D89C9F2" w14:textId="77777777" w:rsidR="00F82F2D" w:rsidRPr="00FD2E1F" w:rsidRDefault="00F82F2D" w:rsidP="00F82F2D">
      <w:pPr>
        <w:pStyle w:val="JuPara"/>
        <w:widowControl w:val="0"/>
        <w:rPr>
          <w:lang w:val="en-US"/>
        </w:rPr>
      </w:pPr>
    </w:p>
    <w:p w14:paraId="3A152CB8" w14:textId="77777777" w:rsidR="00F82F2D" w:rsidRDefault="00F82F2D" w:rsidP="00F82F2D">
      <w:pPr>
        <w:pStyle w:val="JuHA"/>
        <w:keepNext w:val="0"/>
        <w:keepLines w:val="0"/>
        <w:widowControl w:val="0"/>
        <w:numPr>
          <w:ilvl w:val="0"/>
          <w:numId w:val="0"/>
        </w:numPr>
        <w:spacing w:before="0" w:beforeAutospacing="0" w:after="0"/>
        <w:outlineLvl w:val="9"/>
        <w:rPr>
          <w:rFonts w:ascii="Times New Roman" w:hAnsi="Times New Roman"/>
          <w:noProof/>
        </w:rPr>
      </w:pPr>
      <w:bookmarkStart w:id="191" w:name="_Toc516820774"/>
      <w:r>
        <w:rPr>
          <w:rFonts w:ascii="Times New Roman" w:hAnsi="Times New Roman"/>
        </w:rPr>
        <w:t xml:space="preserve">A. Eiropas Savienības </w:t>
      </w:r>
      <w:proofErr w:type="spellStart"/>
      <w:r>
        <w:rPr>
          <w:rFonts w:ascii="Times New Roman" w:hAnsi="Times New Roman"/>
        </w:rPr>
        <w:t>Pamattiesību</w:t>
      </w:r>
      <w:proofErr w:type="spellEnd"/>
      <w:r>
        <w:rPr>
          <w:rFonts w:ascii="Times New Roman" w:hAnsi="Times New Roman"/>
        </w:rPr>
        <w:t xml:space="preserve"> harta</w:t>
      </w:r>
      <w:bookmarkEnd w:id="191"/>
    </w:p>
    <w:p w14:paraId="59616695" w14:textId="77777777" w:rsidR="00F82F2D" w:rsidRPr="00FD2E1F" w:rsidRDefault="00F82F2D" w:rsidP="00F82F2D">
      <w:pPr>
        <w:pStyle w:val="JuPara"/>
        <w:widowControl w:val="0"/>
        <w:rPr>
          <w:lang w:val="en-US"/>
        </w:rPr>
      </w:pPr>
    </w:p>
    <w:p w14:paraId="08A956DF" w14:textId="77777777" w:rsidR="00F82F2D" w:rsidRDefault="00F82F2D" w:rsidP="00F82F2D">
      <w:pPr>
        <w:pStyle w:val="JuPara"/>
        <w:widowControl w:val="0"/>
        <w:ind w:firstLine="142"/>
        <w:rPr>
          <w:rFonts w:ascii="Times New Roman" w:hAnsi="Times New Roman"/>
          <w:noProof/>
        </w:rPr>
      </w:pPr>
      <w:r>
        <w:rPr>
          <w:rFonts w:ascii="Times New Roman" w:hAnsi="Times New Roman"/>
        </w:rPr>
        <w:t>202. Hartas 7., 8. un 11. pantā ir noteikts:</w:t>
      </w:r>
    </w:p>
    <w:p w14:paraId="63765C56" w14:textId="77777777" w:rsidR="00F82F2D" w:rsidRPr="008D031E" w:rsidRDefault="00F82F2D" w:rsidP="00F82F2D">
      <w:pPr>
        <w:pStyle w:val="JuPara"/>
        <w:widowControl w:val="0"/>
        <w:ind w:firstLine="0"/>
        <w:rPr>
          <w:rFonts w:ascii="Times New Roman" w:hAnsi="Times New Roman"/>
          <w:noProof/>
          <w:lang w:val="en-US"/>
        </w:rPr>
      </w:pPr>
    </w:p>
    <w:p w14:paraId="4EC13957" w14:textId="77777777" w:rsidR="00F82F2D" w:rsidRDefault="00F82F2D" w:rsidP="00F82F2D">
      <w:pPr>
        <w:pStyle w:val="JuQuot"/>
        <w:widowControl w:val="0"/>
        <w:spacing w:before="0" w:after="0"/>
        <w:ind w:left="284" w:firstLine="0"/>
        <w:jc w:val="center"/>
        <w:rPr>
          <w:rFonts w:ascii="Times New Roman" w:hAnsi="Times New Roman"/>
          <w:b/>
          <w:noProof/>
          <w:sz w:val="24"/>
        </w:rPr>
      </w:pPr>
      <w:r>
        <w:rPr>
          <w:rFonts w:ascii="Times New Roman" w:hAnsi="Times New Roman"/>
          <w:b/>
          <w:sz w:val="24"/>
        </w:rPr>
        <w:t>7. pants. Privātās un ģimenes dzīves neaizskaramība</w:t>
      </w:r>
    </w:p>
    <w:p w14:paraId="65C1A03C" w14:textId="77777777" w:rsidR="00F82F2D" w:rsidRPr="008D031E" w:rsidRDefault="00F82F2D" w:rsidP="00F82F2D">
      <w:pPr>
        <w:pStyle w:val="JuQuot"/>
        <w:widowControl w:val="0"/>
        <w:spacing w:before="0" w:after="0"/>
        <w:ind w:left="284" w:firstLine="0"/>
        <w:rPr>
          <w:rFonts w:ascii="Times New Roman" w:hAnsi="Times New Roman"/>
          <w:b/>
          <w:noProof/>
          <w:sz w:val="24"/>
          <w:lang w:val="en-US"/>
        </w:rPr>
      </w:pPr>
    </w:p>
    <w:p w14:paraId="502D11A3" w14:textId="77777777" w:rsidR="00F82F2D" w:rsidRDefault="00F82F2D" w:rsidP="00F82F2D">
      <w:pPr>
        <w:pStyle w:val="JuQuot"/>
        <w:widowControl w:val="0"/>
        <w:spacing w:before="0" w:after="0"/>
        <w:ind w:left="284"/>
        <w:rPr>
          <w:rFonts w:ascii="Times New Roman" w:hAnsi="Times New Roman"/>
          <w:noProof/>
          <w:sz w:val="24"/>
        </w:rPr>
      </w:pPr>
      <w:r>
        <w:rPr>
          <w:rFonts w:ascii="Times New Roman" w:hAnsi="Times New Roman"/>
          <w:sz w:val="24"/>
        </w:rPr>
        <w:t>“Ikvienai personai ir tiesības uz savas privātās un ģimenes dzīves, dzīvokļa un saziņas neaizskaramību.”</w:t>
      </w:r>
    </w:p>
    <w:p w14:paraId="6C0A6D02" w14:textId="77777777" w:rsidR="00F82F2D" w:rsidRPr="008D031E" w:rsidRDefault="00F82F2D" w:rsidP="00F82F2D">
      <w:pPr>
        <w:pStyle w:val="JuQuot"/>
        <w:widowControl w:val="0"/>
        <w:spacing w:before="0" w:after="0"/>
        <w:ind w:left="284" w:firstLine="0"/>
        <w:rPr>
          <w:rFonts w:ascii="Times New Roman" w:hAnsi="Times New Roman"/>
          <w:noProof/>
          <w:sz w:val="24"/>
          <w:lang w:val="en-US"/>
        </w:rPr>
      </w:pPr>
    </w:p>
    <w:p w14:paraId="6704DAEA" w14:textId="77777777" w:rsidR="00F82F2D" w:rsidRDefault="00F82F2D" w:rsidP="00F82F2D">
      <w:pPr>
        <w:pStyle w:val="JuQuot"/>
        <w:widowControl w:val="0"/>
        <w:spacing w:before="0" w:after="0"/>
        <w:ind w:left="284" w:firstLine="0"/>
        <w:jc w:val="center"/>
        <w:rPr>
          <w:rFonts w:ascii="Times New Roman" w:hAnsi="Times New Roman"/>
          <w:b/>
          <w:noProof/>
          <w:sz w:val="24"/>
        </w:rPr>
      </w:pPr>
      <w:r>
        <w:rPr>
          <w:rFonts w:ascii="Times New Roman" w:hAnsi="Times New Roman"/>
          <w:b/>
          <w:sz w:val="24"/>
        </w:rPr>
        <w:t>8. pants. Personas datu aizsardzība</w:t>
      </w:r>
    </w:p>
    <w:p w14:paraId="404F2025" w14:textId="77777777" w:rsidR="00F82F2D" w:rsidRPr="008D031E" w:rsidRDefault="00F82F2D" w:rsidP="00F82F2D">
      <w:pPr>
        <w:pStyle w:val="JuQuot"/>
        <w:widowControl w:val="0"/>
        <w:spacing w:before="0" w:after="0"/>
        <w:ind w:left="284" w:firstLine="0"/>
        <w:rPr>
          <w:rFonts w:ascii="Times New Roman" w:hAnsi="Times New Roman"/>
          <w:b/>
          <w:noProof/>
          <w:sz w:val="24"/>
          <w:lang w:val="en-US"/>
        </w:rPr>
      </w:pPr>
    </w:p>
    <w:p w14:paraId="3690FCD0" w14:textId="77777777" w:rsidR="00F82F2D" w:rsidRPr="008D031E" w:rsidRDefault="00F82F2D" w:rsidP="00F82F2D">
      <w:pPr>
        <w:pStyle w:val="JuQuot"/>
        <w:widowControl w:val="0"/>
        <w:spacing w:before="0" w:after="0"/>
        <w:ind w:left="284"/>
        <w:rPr>
          <w:rFonts w:ascii="Times New Roman" w:hAnsi="Times New Roman"/>
          <w:noProof/>
          <w:sz w:val="24"/>
        </w:rPr>
      </w:pPr>
      <w:r>
        <w:rPr>
          <w:rFonts w:ascii="Times New Roman" w:hAnsi="Times New Roman"/>
          <w:sz w:val="24"/>
        </w:rPr>
        <w:t>“1. Ikvienai personai ir tiesības uz savu personas datu aizsardzību.</w:t>
      </w:r>
    </w:p>
    <w:p w14:paraId="733F9B70" w14:textId="77777777" w:rsidR="00F82F2D" w:rsidRPr="008D031E" w:rsidRDefault="00F82F2D" w:rsidP="00F82F2D">
      <w:pPr>
        <w:pStyle w:val="JuQuot"/>
        <w:widowControl w:val="0"/>
        <w:spacing w:before="0" w:after="0"/>
        <w:ind w:left="284"/>
        <w:rPr>
          <w:rFonts w:ascii="Times New Roman" w:hAnsi="Times New Roman"/>
          <w:noProof/>
          <w:sz w:val="24"/>
        </w:rPr>
      </w:pPr>
      <w:r>
        <w:rPr>
          <w:rFonts w:ascii="Times New Roman" w:hAnsi="Times New Roman"/>
          <w:sz w:val="24"/>
        </w:rPr>
        <w:t>2. Šādi dati ir jāapstrādā godprātīgi, noteiktiem mērķiem un ar attiecīgās personas piekrišanu vai ar citu likumīgu pamatojumu, kas paredzēts tiesību aktos. Ikvienam ir pieejas tiesības datiem, kas par viņu savākti, un tiesības ieviest labojumus šajos datos.</w:t>
      </w:r>
    </w:p>
    <w:p w14:paraId="6A3B1CC2" w14:textId="77777777" w:rsidR="00F82F2D" w:rsidRDefault="00F82F2D" w:rsidP="00F82F2D">
      <w:pPr>
        <w:pStyle w:val="JuQuot"/>
        <w:widowControl w:val="0"/>
        <w:spacing w:before="0" w:after="0"/>
        <w:ind w:left="284"/>
        <w:rPr>
          <w:rFonts w:ascii="Times New Roman" w:hAnsi="Times New Roman" w:cs="Times New Roman"/>
          <w:noProof/>
          <w:sz w:val="24"/>
        </w:rPr>
      </w:pPr>
      <w:r>
        <w:rPr>
          <w:rFonts w:ascii="Times New Roman" w:hAnsi="Times New Roman"/>
          <w:sz w:val="24"/>
        </w:rPr>
        <w:t>3. Atbilstību šiem noteikumiem kontrolē neatkarīga iestāde.”</w:t>
      </w:r>
    </w:p>
    <w:p w14:paraId="78CB2F17" w14:textId="77777777" w:rsidR="00F82F2D" w:rsidRPr="008D031E" w:rsidRDefault="00F82F2D" w:rsidP="00F82F2D">
      <w:pPr>
        <w:pStyle w:val="JuQuot"/>
        <w:widowControl w:val="0"/>
        <w:spacing w:before="0" w:after="0"/>
        <w:ind w:left="284" w:firstLine="0"/>
        <w:rPr>
          <w:rFonts w:ascii="Times New Roman" w:hAnsi="Times New Roman"/>
          <w:noProof/>
          <w:sz w:val="24"/>
          <w:lang w:val="en-US"/>
        </w:rPr>
      </w:pPr>
    </w:p>
    <w:p w14:paraId="25DA85C9" w14:textId="77777777" w:rsidR="00F82F2D" w:rsidRDefault="00F82F2D" w:rsidP="00F82F2D">
      <w:pPr>
        <w:pStyle w:val="JuQuot"/>
        <w:widowControl w:val="0"/>
        <w:spacing w:before="0" w:after="0"/>
        <w:ind w:left="284" w:firstLine="0"/>
        <w:jc w:val="center"/>
        <w:rPr>
          <w:rFonts w:ascii="Times New Roman" w:hAnsi="Times New Roman"/>
          <w:b/>
          <w:noProof/>
          <w:sz w:val="24"/>
        </w:rPr>
      </w:pPr>
      <w:r>
        <w:rPr>
          <w:rFonts w:ascii="Times New Roman" w:hAnsi="Times New Roman"/>
          <w:b/>
          <w:sz w:val="24"/>
        </w:rPr>
        <w:t>11. pants. Vārda un informācijas brīvība</w:t>
      </w:r>
    </w:p>
    <w:p w14:paraId="4B4B3062" w14:textId="77777777" w:rsidR="00F82F2D" w:rsidRPr="008D031E" w:rsidRDefault="00F82F2D" w:rsidP="00F82F2D">
      <w:pPr>
        <w:pStyle w:val="JuQuot"/>
        <w:widowControl w:val="0"/>
        <w:spacing w:before="0" w:after="0"/>
        <w:ind w:left="284" w:firstLine="0"/>
        <w:rPr>
          <w:rFonts w:ascii="Times New Roman" w:hAnsi="Times New Roman"/>
          <w:b/>
          <w:noProof/>
          <w:sz w:val="24"/>
          <w:lang w:val="en-US"/>
        </w:rPr>
      </w:pPr>
    </w:p>
    <w:p w14:paraId="1E8BFA91" w14:textId="77777777" w:rsidR="00F82F2D" w:rsidRPr="008D031E" w:rsidRDefault="00F82F2D" w:rsidP="00F82F2D">
      <w:pPr>
        <w:pStyle w:val="JuQuot"/>
        <w:widowControl w:val="0"/>
        <w:spacing w:before="0" w:after="0"/>
        <w:ind w:left="284"/>
        <w:rPr>
          <w:rFonts w:ascii="Times New Roman" w:hAnsi="Times New Roman"/>
          <w:noProof/>
          <w:sz w:val="24"/>
        </w:rPr>
      </w:pPr>
      <w:r>
        <w:rPr>
          <w:rFonts w:ascii="Times New Roman" w:hAnsi="Times New Roman"/>
          <w:sz w:val="24"/>
        </w:rPr>
        <w:t>“1. Ikvienai personai ir tiesības uz vārda brīvību. Šīs tiesības ietver uzskatu brīvību un brīvību saņemt un izplatīt informāciju vai [un] idejas bez valsts iestāžu iejaukšanās un neatkarīgi no valstu robežām.</w:t>
      </w:r>
    </w:p>
    <w:p w14:paraId="7B1853C8" w14:textId="77777777" w:rsidR="00F82F2D" w:rsidRDefault="00F82F2D" w:rsidP="00F82F2D">
      <w:pPr>
        <w:pStyle w:val="JuQuot"/>
        <w:widowControl w:val="0"/>
        <w:spacing w:before="0" w:after="0"/>
        <w:ind w:left="284"/>
        <w:rPr>
          <w:rFonts w:ascii="Times New Roman" w:hAnsi="Times New Roman"/>
          <w:noProof/>
          <w:sz w:val="24"/>
        </w:rPr>
      </w:pPr>
      <w:r>
        <w:rPr>
          <w:rFonts w:ascii="Times New Roman" w:hAnsi="Times New Roman"/>
          <w:sz w:val="24"/>
        </w:rPr>
        <w:lastRenderedPageBreak/>
        <w:t>2. Tiek ievērota plašsaziņas līdzekļu brīvība un plurālisms.”</w:t>
      </w:r>
    </w:p>
    <w:p w14:paraId="6F5307F4" w14:textId="77777777" w:rsidR="00F82F2D" w:rsidRPr="008D031E" w:rsidRDefault="00F82F2D" w:rsidP="00F82F2D">
      <w:pPr>
        <w:pStyle w:val="JuQuot"/>
        <w:widowControl w:val="0"/>
        <w:spacing w:before="0" w:after="0"/>
        <w:ind w:left="284"/>
        <w:rPr>
          <w:rFonts w:ascii="Times New Roman" w:hAnsi="Times New Roman"/>
          <w:noProof/>
          <w:sz w:val="24"/>
          <w:lang w:val="en-US"/>
        </w:rPr>
      </w:pPr>
    </w:p>
    <w:p w14:paraId="5F6515D9" w14:textId="77777777" w:rsidR="00F82F2D" w:rsidRDefault="00F82F2D" w:rsidP="00F82F2D">
      <w:pPr>
        <w:pStyle w:val="JuHA"/>
        <w:keepNext w:val="0"/>
        <w:keepLines w:val="0"/>
        <w:widowControl w:val="0"/>
        <w:numPr>
          <w:ilvl w:val="0"/>
          <w:numId w:val="0"/>
        </w:numPr>
        <w:spacing w:before="0" w:beforeAutospacing="0" w:after="0"/>
        <w:outlineLvl w:val="9"/>
        <w:rPr>
          <w:rFonts w:ascii="Times New Roman" w:hAnsi="Times New Roman"/>
          <w:noProof/>
        </w:rPr>
      </w:pPr>
      <w:bookmarkStart w:id="192" w:name="_Toc516820775"/>
      <w:r>
        <w:rPr>
          <w:rFonts w:ascii="Times New Roman" w:hAnsi="Times New Roman"/>
        </w:rPr>
        <w:t>B. Eiropas Savienības direktīvas un regulas saistībā ar personas datu aizsardzību un apstrādi</w:t>
      </w:r>
      <w:bookmarkEnd w:id="192"/>
    </w:p>
    <w:p w14:paraId="44040990" w14:textId="77777777" w:rsidR="00F82F2D" w:rsidRPr="00FD2E1F" w:rsidRDefault="00F82F2D" w:rsidP="00F82F2D">
      <w:pPr>
        <w:pStyle w:val="JuPara"/>
        <w:widowControl w:val="0"/>
        <w:rPr>
          <w:lang w:val="en-US"/>
        </w:rPr>
      </w:pPr>
    </w:p>
    <w:p w14:paraId="69EFAA15"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203. 1995. gada 24. oktobrī pieņemtā Datu aizsardzības direktīva (Direktīva 95/46/EK par personu aizsardzību attiecībā uz personas datu apstrādi un šādu datu brīvu apriti) daudzus gadus regulēja personas datu aizsardzību un apstrādi Eiropas Savienībā. Tā kā Kopienu tiesību akti neattiecās uz dalībvalstu darbībām saistībā ar sabiedrisko drošību, aizsardzību un valsts drošību, šī direktīva šīm darbībām nebija piemērojama (3. panta 2. punkts).</w:t>
      </w:r>
    </w:p>
    <w:p w14:paraId="2A5CE07D"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204. Vispārīgā datu aizsardzības regula, kas pieņemta 2016. gada aprīlī, aizstāja Datu aizsardzības direktīvu un stājās spēkā 2018. gada 25. maijā. Regula, kas ir tieši piemērojama dalībvalstīs,</w:t>
      </w:r>
      <w:r w:rsidRPr="008D031E">
        <w:rPr>
          <w:rFonts w:ascii="Times New Roman" w:hAnsi="Times New Roman"/>
          <w:noProof/>
          <w:vertAlign w:val="superscript"/>
          <w:lang w:val="en-US"/>
        </w:rPr>
        <w:footnoteReference w:id="2"/>
      </w:r>
      <w:r>
        <w:rPr>
          <w:rFonts w:ascii="Times New Roman" w:hAnsi="Times New Roman"/>
        </w:rPr>
        <w:t xml:space="preserve"> paredz noteikumus un prasības par datu subjektu personu identificējošas informācijas apstrādi Eiropas Savienībā, un tā attiecas uz visiem uzņēmumiem neatkarīgi no to atrašanās vietas, kuri veic uzņēmējdarbību Eiropas Ekonomikas zonā. Uzņēmējdarbības procesiem, kuros tiek apstrādāti personas dati, ir jāparedz integrēta datu aizsardzība un datu aizsardzība pēc noklusējuma, proti, personas dati ir jāuzglabā, tos </w:t>
      </w:r>
      <w:proofErr w:type="spellStart"/>
      <w:r>
        <w:rPr>
          <w:rFonts w:ascii="Times New Roman" w:hAnsi="Times New Roman"/>
        </w:rPr>
        <w:t>pseidonimizējot</w:t>
      </w:r>
      <w:proofErr w:type="spellEnd"/>
      <w:r>
        <w:rPr>
          <w:rFonts w:ascii="Times New Roman" w:hAnsi="Times New Roman"/>
        </w:rPr>
        <w:t xml:space="preserve"> vai pilnībā </w:t>
      </w:r>
      <w:proofErr w:type="spellStart"/>
      <w:r>
        <w:rPr>
          <w:rFonts w:ascii="Times New Roman" w:hAnsi="Times New Roman"/>
        </w:rPr>
        <w:t>anonimizējot</w:t>
      </w:r>
      <w:proofErr w:type="spellEnd"/>
      <w:r>
        <w:rPr>
          <w:rFonts w:ascii="Times New Roman" w:hAnsi="Times New Roman"/>
        </w:rPr>
        <w:t>, kā arī jāizmanto pēc iespējas stingrāki privātuma noklusējuma iestatījumi, lai dati nebūtu publiski pieejami, ja datu subjekts nav sniedzis nepārprotamu piekrišanu, un lai tos nevarētu izmantot subjekta identificēšanai bez papildu informācijas uzglabāšanas. Personas datus nedrīkst apstrādāt, ja vien tas netiek darīts saskaņā ar likumīgu pamatu, kas noteikts regulā, vai ja datu pārzinis vai apstrādātājs ir saņēmis nepārprotamu piekrišanu, ko datu īpašnieks devis pēc savas izvēles. Datu īpašniekam ir tiesības jebkurā brīdī atsaukt šo atļauju.</w:t>
      </w:r>
    </w:p>
    <w:p w14:paraId="481CF4B9"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205. Personas datu apstrādātājam ir skaidri jāatklāj jebkura datu vākšana, jānorāda datu apstrādes likumīgais pamats un nolūks un jāprecizē, cik ilgi dati tiek saglabāti un vai ar tiem apmainās ar jebkurām </w:t>
      </w:r>
      <w:proofErr w:type="spellStart"/>
      <w:r>
        <w:rPr>
          <w:rFonts w:ascii="Times New Roman" w:hAnsi="Times New Roman"/>
        </w:rPr>
        <w:t>trešām</w:t>
      </w:r>
      <w:proofErr w:type="spellEnd"/>
      <w:r>
        <w:rPr>
          <w:rFonts w:ascii="Times New Roman" w:hAnsi="Times New Roman"/>
        </w:rPr>
        <w:t xml:space="preserve"> personām vai ārpus Eiropas Savienības. Lietotājiem ir tiesības pieprasīt apstrādātāja savākto datu pārnēsājamu kopiju vienotā formātā, kā arī viņu datu dzēšanu noteiktos apstākļos. Valsts iestādēs un uzņēmumos, kuru pamatdarbība ir saistīta ar personas datu regulāru un sistemātisku apstrādi, ir jābūt datu aizsardzības speciālistam (turpmāk tekstā – “</w:t>
      </w:r>
      <w:proofErr w:type="spellStart"/>
      <w:r>
        <w:rPr>
          <w:rFonts w:ascii="Times New Roman" w:hAnsi="Times New Roman"/>
        </w:rPr>
        <w:t>DAS</w:t>
      </w:r>
      <w:proofErr w:type="spellEnd"/>
      <w:r>
        <w:rPr>
          <w:rFonts w:ascii="Times New Roman" w:hAnsi="Times New Roman"/>
        </w:rPr>
        <w:t xml:space="preserve">”), kura pienākums ir nodrošināt atbilstību </w:t>
      </w:r>
      <w:proofErr w:type="spellStart"/>
      <w:r>
        <w:rPr>
          <w:rFonts w:ascii="Times New Roman" w:hAnsi="Times New Roman"/>
        </w:rPr>
        <w:t>VDAR</w:t>
      </w:r>
      <w:proofErr w:type="spellEnd"/>
      <w:r>
        <w:rPr>
          <w:rFonts w:ascii="Times New Roman" w:hAnsi="Times New Roman"/>
        </w:rPr>
        <w:t>. Uzņēmumiem ir jāziņo par datu aizsardzības pārkāpumiem 72 stundu laikā, ja tie negatīvi ietekmē lietotāja privātumu.</w:t>
      </w:r>
    </w:p>
    <w:p w14:paraId="19E54AD4" w14:textId="77777777" w:rsidR="00F82F2D" w:rsidRDefault="00F82F2D" w:rsidP="00F82F2D">
      <w:pPr>
        <w:pStyle w:val="JuPara"/>
        <w:widowControl w:val="0"/>
        <w:ind w:firstLine="142"/>
        <w:rPr>
          <w:rFonts w:ascii="Times New Roman" w:hAnsi="Times New Roman"/>
          <w:noProof/>
        </w:rPr>
      </w:pPr>
      <w:r>
        <w:rPr>
          <w:rFonts w:ascii="Times New Roman" w:hAnsi="Times New Roman"/>
        </w:rPr>
        <w:t>206. 2. un 11. apsvērumā Direktīvā par privāto dzīvi un elektronisko komunikāciju (Direktīvā 2002/58/EK par personas datu apstrādi un privātās dzīves aizsardzību elektronisko komunikāciju nozarē), kas tika pieņemta 2002. gada 12. jūlijā, ir noteikts:</w:t>
      </w:r>
    </w:p>
    <w:p w14:paraId="0C7476E5" w14:textId="77777777" w:rsidR="00F82F2D" w:rsidRPr="008D031E" w:rsidRDefault="00F82F2D" w:rsidP="00F82F2D">
      <w:pPr>
        <w:pStyle w:val="JuPara"/>
        <w:widowControl w:val="0"/>
        <w:ind w:firstLine="142"/>
        <w:rPr>
          <w:rFonts w:ascii="Times New Roman" w:hAnsi="Times New Roman"/>
          <w:noProof/>
          <w:lang w:val="en-US"/>
        </w:rPr>
      </w:pPr>
    </w:p>
    <w:p w14:paraId="6B01D46E" w14:textId="77777777" w:rsidR="00F82F2D" w:rsidRDefault="00F82F2D" w:rsidP="00F82F2D">
      <w:pPr>
        <w:pStyle w:val="JuQuot"/>
        <w:widowControl w:val="0"/>
        <w:spacing w:before="0" w:after="0"/>
        <w:ind w:left="284"/>
        <w:rPr>
          <w:rFonts w:ascii="Times New Roman" w:hAnsi="Times New Roman"/>
          <w:noProof/>
          <w:sz w:val="24"/>
        </w:rPr>
      </w:pPr>
      <w:r>
        <w:rPr>
          <w:rFonts w:ascii="Times New Roman" w:hAnsi="Times New Roman"/>
          <w:sz w:val="24"/>
        </w:rPr>
        <w:t xml:space="preserve">“(2) Šī direktīva respektē </w:t>
      </w:r>
      <w:proofErr w:type="spellStart"/>
      <w:r>
        <w:rPr>
          <w:rFonts w:ascii="Times New Roman" w:hAnsi="Times New Roman"/>
          <w:sz w:val="24"/>
        </w:rPr>
        <w:t>pamattiesības</w:t>
      </w:r>
      <w:proofErr w:type="spellEnd"/>
      <w:r>
        <w:rPr>
          <w:rFonts w:ascii="Times New Roman" w:hAnsi="Times New Roman"/>
          <w:sz w:val="24"/>
        </w:rPr>
        <w:t xml:space="preserve"> un ievēro principus, kas jo īpaši ir atzīti Eiropas Savienības </w:t>
      </w:r>
      <w:proofErr w:type="spellStart"/>
      <w:r>
        <w:rPr>
          <w:rFonts w:ascii="Times New Roman" w:hAnsi="Times New Roman"/>
          <w:sz w:val="24"/>
        </w:rPr>
        <w:t>Pamattiesību</w:t>
      </w:r>
      <w:proofErr w:type="spellEnd"/>
      <w:r>
        <w:rPr>
          <w:rFonts w:ascii="Times New Roman" w:hAnsi="Times New Roman"/>
          <w:sz w:val="24"/>
        </w:rPr>
        <w:t xml:space="preserve"> hartā. Šī direktīva jo īpaši nodrošina pilnībā tiesības, kas izklāstītas minētās hartas 7. un 8. pantā [Šīs direktīvas mērķis jo īpaši ir nodrošināt minētās hartas 7. un 8. pantā noteikto tiesību pilnīgu ievērošanu].</w:t>
      </w:r>
    </w:p>
    <w:p w14:paraId="403F645D" w14:textId="77777777" w:rsidR="00F82F2D" w:rsidRPr="008D031E" w:rsidRDefault="00F82F2D" w:rsidP="00F82F2D">
      <w:pPr>
        <w:pStyle w:val="JuQuot"/>
        <w:widowControl w:val="0"/>
        <w:spacing w:before="0" w:after="0"/>
        <w:ind w:left="284"/>
        <w:rPr>
          <w:rFonts w:ascii="Times New Roman" w:hAnsi="Times New Roman"/>
          <w:noProof/>
          <w:sz w:val="24"/>
          <w:lang w:val="en-US"/>
        </w:rPr>
      </w:pPr>
    </w:p>
    <w:p w14:paraId="5AFA2CE9" w14:textId="77777777" w:rsidR="00F82F2D" w:rsidRDefault="00F82F2D" w:rsidP="00F82F2D">
      <w:pPr>
        <w:pStyle w:val="JuQuot"/>
        <w:widowControl w:val="0"/>
        <w:spacing w:before="0" w:after="0"/>
        <w:ind w:left="284"/>
        <w:rPr>
          <w:rFonts w:ascii="Times New Roman" w:hAnsi="Times New Roman"/>
          <w:noProof/>
          <w:sz w:val="24"/>
        </w:rPr>
      </w:pPr>
      <w:r>
        <w:rPr>
          <w:rFonts w:ascii="Times New Roman" w:hAnsi="Times New Roman"/>
          <w:sz w:val="24"/>
        </w:rPr>
        <w:t>(..) (..) (..)</w:t>
      </w:r>
    </w:p>
    <w:p w14:paraId="4A99BA6A" w14:textId="77777777" w:rsidR="00F82F2D" w:rsidRPr="008D031E" w:rsidRDefault="00F82F2D" w:rsidP="00F82F2D">
      <w:pPr>
        <w:pStyle w:val="JuQuot"/>
        <w:widowControl w:val="0"/>
        <w:spacing w:before="0" w:after="0"/>
        <w:ind w:left="284"/>
        <w:rPr>
          <w:rFonts w:ascii="Times New Roman" w:hAnsi="Times New Roman"/>
          <w:noProof/>
          <w:sz w:val="24"/>
          <w:lang w:val="en-US"/>
        </w:rPr>
      </w:pPr>
    </w:p>
    <w:p w14:paraId="06915133" w14:textId="77777777" w:rsidR="00F82F2D" w:rsidRDefault="00F82F2D" w:rsidP="00F82F2D">
      <w:pPr>
        <w:pStyle w:val="JuQuot"/>
        <w:widowControl w:val="0"/>
        <w:spacing w:before="0" w:after="0"/>
        <w:ind w:left="284"/>
        <w:rPr>
          <w:rFonts w:ascii="Times New Roman" w:hAnsi="Times New Roman"/>
          <w:noProof/>
          <w:sz w:val="24"/>
        </w:rPr>
      </w:pPr>
      <w:r>
        <w:rPr>
          <w:rFonts w:ascii="Times New Roman" w:hAnsi="Times New Roman"/>
          <w:sz w:val="24"/>
        </w:rPr>
        <w:t xml:space="preserve">(11) Tāpat kā Direktīva 95/46/EK, arī šī direktīva neattiecas uz </w:t>
      </w:r>
      <w:proofErr w:type="spellStart"/>
      <w:r>
        <w:rPr>
          <w:rFonts w:ascii="Times New Roman" w:hAnsi="Times New Roman"/>
          <w:sz w:val="24"/>
        </w:rPr>
        <w:t>pamattiesību</w:t>
      </w:r>
      <w:proofErr w:type="spellEnd"/>
      <w:r>
        <w:rPr>
          <w:rFonts w:ascii="Times New Roman" w:hAnsi="Times New Roman"/>
          <w:sz w:val="24"/>
        </w:rPr>
        <w:t xml:space="preserve"> un pamatbrīvību aizsardzības jautājumiem, kas saistīti ar darbībām, kuras neregulē Kopienas tiesību akti. Tāpēc tā nemaina esošo līdzsvaru starp fizisku personu tiesībām uz privāto dzīvi un iespēju dalībvalstīm pieņemt šīs direktīvas 15. panta 1. punktā minētos pasākumus, kas </w:t>
      </w:r>
      <w:r>
        <w:rPr>
          <w:rFonts w:ascii="Times New Roman" w:hAnsi="Times New Roman"/>
          <w:sz w:val="24"/>
        </w:rPr>
        <w:lastRenderedPageBreak/>
        <w:t>nepieciešami sabiedrības drošībai, aizsardzībai, valsts drošībai (tostarp valsts ekonomisko labklājību [ekonomiskajai labklājībai], ja darbības attiecas uz valsts drošības jautājumiem) un krimināltiesību aktu piemērošanai. Tādējādi šī direktīva neietekmē dalībvalstu iespēju veikt komunikāciju likumīgu pārtraukšanu vai pieņemt citus pasākumus, ja tie nepieciešami jebkuram no šiem nolūkiem un ir saskaņā ar Eiropas Cilvēktiesību un pamatbrīvību aizsardzības konvenciju, kā skaidrots Eiropas Cilvēktiesību tiesas nolēmumos. Šādiem pasākumiem jābūt atbilstošiem, stingri samērīgiem ar paredzēto nolūku un nepieciešamiem demokrātiskā sabiedrībā, un tiem jāatbilst attiecīgajiem drošības pasākumiem saskaņā ar Eiropas Cilvēktiesību un pamatbrīvību aizsardzības konvenciju.”</w:t>
      </w:r>
    </w:p>
    <w:p w14:paraId="0FE4B918" w14:textId="77777777" w:rsidR="00F82F2D" w:rsidRPr="008D031E" w:rsidRDefault="00F82F2D" w:rsidP="00F82F2D">
      <w:pPr>
        <w:pStyle w:val="JuQuot"/>
        <w:widowControl w:val="0"/>
        <w:spacing w:before="0" w:after="0"/>
        <w:ind w:left="284"/>
        <w:rPr>
          <w:rFonts w:ascii="Times New Roman" w:hAnsi="Times New Roman"/>
          <w:noProof/>
          <w:sz w:val="24"/>
          <w:lang w:val="en-US"/>
        </w:rPr>
      </w:pPr>
    </w:p>
    <w:p w14:paraId="549D7D99" w14:textId="77777777" w:rsidR="00F82F2D" w:rsidRDefault="00F82F2D" w:rsidP="00F82F2D">
      <w:pPr>
        <w:pStyle w:val="JuPara"/>
        <w:widowControl w:val="0"/>
        <w:ind w:firstLine="142"/>
        <w:rPr>
          <w:rFonts w:ascii="Times New Roman" w:hAnsi="Times New Roman"/>
          <w:noProof/>
        </w:rPr>
      </w:pPr>
      <w:r>
        <w:rPr>
          <w:rFonts w:ascii="Times New Roman" w:hAnsi="Times New Roman"/>
        </w:rPr>
        <w:t>207. Ciktāl tas attiecas uz šo lietu, direktīvā arī noteikts:</w:t>
      </w:r>
    </w:p>
    <w:p w14:paraId="38E8330B" w14:textId="77777777" w:rsidR="00F82F2D" w:rsidRPr="008D031E" w:rsidRDefault="00F82F2D" w:rsidP="00F82F2D">
      <w:pPr>
        <w:pStyle w:val="JuPara"/>
        <w:widowControl w:val="0"/>
        <w:ind w:firstLine="0"/>
        <w:rPr>
          <w:rFonts w:ascii="Times New Roman" w:hAnsi="Times New Roman"/>
          <w:noProof/>
          <w:lang w:val="en-US"/>
        </w:rPr>
      </w:pPr>
    </w:p>
    <w:p w14:paraId="3EFB0C61" w14:textId="77777777" w:rsidR="00F82F2D" w:rsidRDefault="00F82F2D" w:rsidP="00F82F2D">
      <w:pPr>
        <w:pStyle w:val="JuQuot"/>
        <w:widowControl w:val="0"/>
        <w:spacing w:before="0" w:after="0"/>
        <w:ind w:left="284" w:firstLine="0"/>
        <w:jc w:val="center"/>
        <w:rPr>
          <w:rFonts w:ascii="Times New Roman" w:eastAsia="Times New Roman" w:hAnsi="Times New Roman"/>
          <w:b/>
          <w:noProof/>
          <w:sz w:val="24"/>
        </w:rPr>
      </w:pPr>
      <w:r>
        <w:rPr>
          <w:rFonts w:ascii="Times New Roman" w:hAnsi="Times New Roman"/>
          <w:b/>
          <w:sz w:val="24"/>
        </w:rPr>
        <w:t>1. pants. Darbības joma un mērķis</w:t>
      </w:r>
    </w:p>
    <w:p w14:paraId="4016C7D8" w14:textId="77777777" w:rsidR="00F82F2D" w:rsidRPr="008D031E" w:rsidRDefault="00F82F2D" w:rsidP="00F82F2D">
      <w:pPr>
        <w:pStyle w:val="JuQuot"/>
        <w:widowControl w:val="0"/>
        <w:spacing w:before="0" w:after="0"/>
        <w:ind w:left="284" w:firstLine="0"/>
        <w:rPr>
          <w:rFonts w:ascii="Times New Roman" w:eastAsia="Times New Roman" w:hAnsi="Times New Roman"/>
          <w:b/>
          <w:noProof/>
          <w:sz w:val="24"/>
          <w:lang w:val="en-US"/>
        </w:rPr>
      </w:pPr>
    </w:p>
    <w:p w14:paraId="44FD84CE" w14:textId="77777777" w:rsidR="00F82F2D" w:rsidRPr="008D031E" w:rsidRDefault="00F82F2D" w:rsidP="00F82F2D">
      <w:pPr>
        <w:pStyle w:val="JuQuot"/>
        <w:widowControl w:val="0"/>
        <w:spacing w:before="0" w:after="0"/>
        <w:ind w:left="284"/>
        <w:rPr>
          <w:rFonts w:ascii="Times New Roman" w:eastAsia="Times New Roman" w:hAnsi="Times New Roman"/>
          <w:noProof/>
          <w:sz w:val="24"/>
        </w:rPr>
      </w:pPr>
      <w:r>
        <w:rPr>
          <w:rFonts w:ascii="Times New Roman" w:hAnsi="Times New Roman"/>
          <w:sz w:val="24"/>
        </w:rPr>
        <w:t xml:space="preserve">“1. Šajā direktīvā paredzēta dalībvalstu to noteikumu saskaņošana, ar kuriem jānodrošina </w:t>
      </w:r>
      <w:proofErr w:type="spellStart"/>
      <w:r>
        <w:rPr>
          <w:rFonts w:ascii="Times New Roman" w:hAnsi="Times New Roman"/>
          <w:sz w:val="24"/>
        </w:rPr>
        <w:t>pamattiesību</w:t>
      </w:r>
      <w:proofErr w:type="spellEnd"/>
      <w:r>
        <w:rPr>
          <w:rFonts w:ascii="Times New Roman" w:hAnsi="Times New Roman"/>
          <w:sz w:val="24"/>
        </w:rPr>
        <w:t xml:space="preserve"> un pamatbrīvību līdzvērtīgs aizsardzības līmenis, un jo īpaši attiecībā uz tiesībām uz privāto dzīvi saistībā ar personas datu apstrādi elektronisko komunikāciju nozarē, kā arī jānodrošina šo datu un elektronisko komunikāciju iekārtu un pakalpojumu brīva aprite Kopienā.</w:t>
      </w:r>
    </w:p>
    <w:p w14:paraId="4CDCBCC9" w14:textId="77777777" w:rsidR="00F82F2D" w:rsidRPr="008D031E" w:rsidRDefault="00F82F2D" w:rsidP="00F82F2D">
      <w:pPr>
        <w:pStyle w:val="JuQuot"/>
        <w:widowControl w:val="0"/>
        <w:spacing w:before="0" w:after="0"/>
        <w:ind w:left="284"/>
        <w:rPr>
          <w:rFonts w:ascii="Times New Roman" w:hAnsi="Times New Roman"/>
          <w:noProof/>
          <w:sz w:val="24"/>
        </w:rPr>
      </w:pPr>
      <w:r>
        <w:rPr>
          <w:rFonts w:ascii="Times New Roman" w:hAnsi="Times New Roman"/>
          <w:sz w:val="24"/>
        </w:rPr>
        <w:t>2. Šīs direktīvas noteikumi precizē un papildina Direktīvas [Direktīvu] 95/46/EK 1. punktā minētajam nolūkam. Turklāt ar tiem paredz to abonentu likumīgo interešu aizsardzību, kuri ir juridiskas personas.</w:t>
      </w:r>
    </w:p>
    <w:p w14:paraId="4B433EB7" w14:textId="77777777" w:rsidR="00F82F2D" w:rsidRDefault="00F82F2D" w:rsidP="00F82F2D">
      <w:pPr>
        <w:pStyle w:val="JuQuot"/>
        <w:widowControl w:val="0"/>
        <w:spacing w:before="0" w:after="0"/>
        <w:ind w:left="284"/>
        <w:rPr>
          <w:rFonts w:ascii="Times New Roman" w:hAnsi="Times New Roman"/>
          <w:noProof/>
          <w:sz w:val="24"/>
        </w:rPr>
      </w:pPr>
      <w:r>
        <w:rPr>
          <w:rFonts w:ascii="Times New Roman" w:hAnsi="Times New Roman"/>
          <w:sz w:val="24"/>
        </w:rPr>
        <w:t>3. Šī direktīva neattiecas uz darbībām, uz kurām neattiecas Eiropas Kopienas dibināšanas līgums, tādām kā tās, kas iekļautas Līguma par Eiropas Savienību V un VI sadaļā, un jebkurā gadījumā uz darbībām, kas attiecas uz sabiedrības drošību, aizsardzību, valsts drošību (tostarp valsts ekonomisko labklājību, ja darbības attiecas uz valsts drošības jautājumiem) un uz valsts darbībām krimināltiesību jomā.”</w:t>
      </w:r>
    </w:p>
    <w:p w14:paraId="6DC9C832" w14:textId="77777777" w:rsidR="00F82F2D" w:rsidRPr="008D031E" w:rsidRDefault="00F82F2D" w:rsidP="00F82F2D">
      <w:pPr>
        <w:pStyle w:val="JuQuot"/>
        <w:widowControl w:val="0"/>
        <w:spacing w:before="0" w:after="0"/>
        <w:ind w:left="284" w:firstLine="0"/>
        <w:rPr>
          <w:rFonts w:ascii="Times New Roman" w:hAnsi="Times New Roman"/>
          <w:noProof/>
          <w:sz w:val="24"/>
          <w:lang w:val="en-US"/>
        </w:rPr>
      </w:pPr>
    </w:p>
    <w:p w14:paraId="71121E92" w14:textId="77777777" w:rsidR="00F82F2D" w:rsidRDefault="00F82F2D" w:rsidP="00F82F2D">
      <w:pPr>
        <w:pStyle w:val="JuQuot"/>
        <w:widowControl w:val="0"/>
        <w:spacing w:before="0" w:after="0"/>
        <w:ind w:left="284" w:firstLine="0"/>
        <w:jc w:val="center"/>
        <w:rPr>
          <w:rFonts w:ascii="Times New Roman" w:eastAsia="Times New Roman" w:hAnsi="Times New Roman"/>
          <w:b/>
          <w:noProof/>
          <w:sz w:val="24"/>
        </w:rPr>
      </w:pPr>
      <w:r>
        <w:rPr>
          <w:rFonts w:ascii="Times New Roman" w:hAnsi="Times New Roman"/>
          <w:b/>
          <w:sz w:val="24"/>
        </w:rPr>
        <w:t>15. pants. Direktīvas 95/46/EK dažu noteikumu piemērošana</w:t>
      </w:r>
    </w:p>
    <w:p w14:paraId="5F2BC358" w14:textId="77777777" w:rsidR="00F82F2D" w:rsidRPr="008D031E" w:rsidRDefault="00F82F2D" w:rsidP="00F82F2D">
      <w:pPr>
        <w:pStyle w:val="JuQuot"/>
        <w:widowControl w:val="0"/>
        <w:spacing w:before="0" w:after="0"/>
        <w:ind w:left="284" w:firstLine="0"/>
        <w:rPr>
          <w:rFonts w:ascii="Times New Roman" w:eastAsia="Times New Roman" w:hAnsi="Times New Roman"/>
          <w:b/>
          <w:noProof/>
          <w:sz w:val="24"/>
          <w:lang w:val="en-US"/>
        </w:rPr>
      </w:pPr>
    </w:p>
    <w:p w14:paraId="2CF1EDFF" w14:textId="77777777" w:rsidR="00F82F2D" w:rsidRDefault="00F82F2D" w:rsidP="00F82F2D">
      <w:pPr>
        <w:pStyle w:val="JuQuot"/>
        <w:widowControl w:val="0"/>
        <w:spacing w:before="0" w:after="0"/>
        <w:ind w:left="284"/>
        <w:rPr>
          <w:rFonts w:ascii="Times New Roman" w:eastAsia="Times New Roman" w:hAnsi="Times New Roman"/>
          <w:noProof/>
          <w:sz w:val="24"/>
        </w:rPr>
      </w:pPr>
      <w:r>
        <w:rPr>
          <w:rFonts w:ascii="Times New Roman" w:hAnsi="Times New Roman"/>
          <w:sz w:val="24"/>
        </w:rPr>
        <w:t>“1. Dalībvalstis var pieņemt tiesību aktus, lai ierobežotu šīs direktīvas 5. un 6. pantā, 8. panta 1., 2., 3. un 4. punktā un 9. pantā minēto tiesību un pienākumu darbības jomu, ja šādi ierobežojumi ir vajadzīgi saskaņā ar nepieciešamiem, atbilstīgiem un samērīgiem pasākumiem demokrātiskā sabiedrībā, lai garantētu valsts drošību, aizsardzību, sabiedrības drošību un kriminālpārkāpumu vai elektroniskās komunikāciju sistēmas nevēlamas izmantošanas novēršanu, izmeklēšanu, noteikšanu un kriminālvajāšanu, kā noteikts Direktīvas 95/46/EK 13. panta 1. punktā. Tālab dalībvalstis, cita starpā [</w:t>
      </w:r>
      <w:proofErr w:type="spellStart"/>
      <w:r>
        <w:rPr>
          <w:rFonts w:ascii="Times New Roman" w:hAnsi="Times New Roman"/>
          <w:i/>
          <w:iCs/>
          <w:sz w:val="24"/>
        </w:rPr>
        <w:t>inter</w:t>
      </w:r>
      <w:proofErr w:type="spellEnd"/>
      <w:r>
        <w:rPr>
          <w:rFonts w:ascii="Times New Roman" w:hAnsi="Times New Roman"/>
          <w:i/>
          <w:iCs/>
          <w:sz w:val="24"/>
        </w:rPr>
        <w:t xml:space="preserve"> </w:t>
      </w:r>
      <w:proofErr w:type="spellStart"/>
      <w:r>
        <w:rPr>
          <w:rFonts w:ascii="Times New Roman" w:hAnsi="Times New Roman"/>
          <w:i/>
          <w:iCs/>
          <w:sz w:val="24"/>
        </w:rPr>
        <w:t>alia</w:t>
      </w:r>
      <w:proofErr w:type="spellEnd"/>
      <w:r>
        <w:rPr>
          <w:rFonts w:ascii="Times New Roman" w:hAnsi="Times New Roman"/>
          <w:sz w:val="24"/>
        </w:rPr>
        <w:t>], var pieņemt tiesību aktus, paredzot datu saglabāšanu ierobežotā laikposmā, kas pamatots ar šajā punktā noteiktajiem iemesliem. Visi šajā punktā minētie pasākumi ir saskaņā ar Kopienas tiesību aktu vispārējiem principiem, tostarp tie [tiem], kas minēti Eiropas Savienības dibināšanas līguma [Eiropas Savienības līguma] 6. panta 1. un 2. punktā.”</w:t>
      </w:r>
    </w:p>
    <w:p w14:paraId="5844201C" w14:textId="77777777" w:rsidR="00F82F2D" w:rsidRPr="008D031E" w:rsidRDefault="00F82F2D" w:rsidP="00F82F2D">
      <w:pPr>
        <w:pStyle w:val="JuQuot"/>
        <w:widowControl w:val="0"/>
        <w:spacing w:before="0" w:after="0"/>
        <w:ind w:left="284"/>
        <w:rPr>
          <w:rFonts w:ascii="Times New Roman" w:eastAsia="Times New Roman" w:hAnsi="Times New Roman"/>
          <w:noProof/>
          <w:sz w:val="24"/>
          <w:lang w:val="en-US"/>
        </w:rPr>
      </w:pPr>
    </w:p>
    <w:p w14:paraId="4890AF28" w14:textId="77777777" w:rsidR="00F82F2D" w:rsidRDefault="00F82F2D" w:rsidP="00F82F2D">
      <w:pPr>
        <w:pStyle w:val="JuPara"/>
        <w:widowControl w:val="0"/>
        <w:ind w:firstLine="142"/>
        <w:rPr>
          <w:rFonts w:ascii="Times New Roman" w:hAnsi="Times New Roman"/>
          <w:noProof/>
        </w:rPr>
      </w:pPr>
      <w:r>
        <w:rPr>
          <w:rFonts w:ascii="Times New Roman" w:hAnsi="Times New Roman"/>
        </w:rPr>
        <w:t>208. 2006. gada 15. martā tika pieņemta Datu saglabāšanas direktīva (Direktīva 2006/24/EK par tādu datu saglabāšanu, kurus iegūst vai apstrādā saistībā ar publiski pieejamu elektronisko komunikāciju pakalpojumu sniegšanu vai publiski pieejamu komunikāciju tīklu nodrošināšanu, un par grozījumiem Direktīvā 2002/58/EK). Pirms 2014. gadā tika pasludināts spriedums, ar kuru šī direktīva tika atzīta par spēkā neesošu (skat. turpmāk 209. punktu), tajā bija noteikts turpmākais, ciktāl tas attiecas uz šo lietu:</w:t>
      </w:r>
    </w:p>
    <w:p w14:paraId="719C7B54" w14:textId="77777777" w:rsidR="00F82F2D" w:rsidRPr="008D031E" w:rsidRDefault="00F82F2D" w:rsidP="00F82F2D">
      <w:pPr>
        <w:pStyle w:val="JuPara"/>
        <w:widowControl w:val="0"/>
        <w:ind w:firstLine="142"/>
        <w:rPr>
          <w:rFonts w:ascii="Times New Roman" w:eastAsia="Times New Roman" w:hAnsi="Times New Roman"/>
          <w:noProof/>
          <w:lang w:val="en-US"/>
        </w:rPr>
      </w:pPr>
    </w:p>
    <w:p w14:paraId="1B3431A4" w14:textId="77777777" w:rsidR="00F82F2D" w:rsidRDefault="00F82F2D" w:rsidP="000A7B13">
      <w:pPr>
        <w:pStyle w:val="JuQuot"/>
        <w:keepNext/>
        <w:keepLines/>
        <w:widowControl w:val="0"/>
        <w:spacing w:before="0" w:after="0"/>
        <w:ind w:left="284" w:firstLine="0"/>
        <w:jc w:val="center"/>
        <w:rPr>
          <w:rFonts w:ascii="Times New Roman" w:hAnsi="Times New Roman"/>
          <w:b/>
          <w:noProof/>
          <w:sz w:val="24"/>
        </w:rPr>
      </w:pPr>
      <w:r>
        <w:rPr>
          <w:rFonts w:ascii="Times New Roman" w:hAnsi="Times New Roman"/>
          <w:b/>
          <w:sz w:val="24"/>
        </w:rPr>
        <w:lastRenderedPageBreak/>
        <w:t>1. pants. Priekšmets un darbības joma</w:t>
      </w:r>
    </w:p>
    <w:p w14:paraId="3C611840" w14:textId="77777777" w:rsidR="00F82F2D" w:rsidRPr="008D031E" w:rsidRDefault="00F82F2D" w:rsidP="000A7B13">
      <w:pPr>
        <w:pStyle w:val="JuQuot"/>
        <w:keepNext/>
        <w:keepLines/>
        <w:widowControl w:val="0"/>
        <w:spacing w:before="0" w:after="0"/>
        <w:ind w:left="284" w:firstLine="0"/>
        <w:rPr>
          <w:rFonts w:ascii="Times New Roman" w:hAnsi="Times New Roman"/>
          <w:b/>
          <w:noProof/>
          <w:sz w:val="24"/>
          <w:lang w:val="en-US"/>
        </w:rPr>
      </w:pPr>
    </w:p>
    <w:p w14:paraId="73EC2783" w14:textId="77777777" w:rsidR="00F82F2D" w:rsidRPr="008D031E" w:rsidRDefault="00F82F2D" w:rsidP="000A7B13">
      <w:pPr>
        <w:pStyle w:val="JuQuot"/>
        <w:keepNext/>
        <w:keepLines/>
        <w:widowControl w:val="0"/>
        <w:spacing w:before="0" w:after="0"/>
        <w:ind w:left="284"/>
        <w:rPr>
          <w:rFonts w:ascii="Times New Roman" w:hAnsi="Times New Roman"/>
          <w:noProof/>
          <w:sz w:val="24"/>
        </w:rPr>
      </w:pPr>
      <w:r>
        <w:rPr>
          <w:rFonts w:ascii="Times New Roman" w:hAnsi="Times New Roman"/>
          <w:sz w:val="24"/>
        </w:rPr>
        <w:t>“1. Šīs direktīvas mērķis ir saskaņot dalībvalstu noteikumus attiecībā uz publiski pieejamu elektronisko komunikāciju pakalpojumu sniedzēju vai publiski pieejamu komunikāciju tīklu operatoru pienākumiem, kas attiecas uz noteiktu datu, kurus tie iegūst vai apstrādā, saglabāšanu, lai nodrošinātu, ka šie dati ir pieejami smagu noziegumu, kas katrā dalībvalstī noteikti tiesību aktos, izmeklēšanas, atklāšanas un kriminālvajāšanas mērķiem.</w:t>
      </w:r>
    </w:p>
    <w:p w14:paraId="45B4CBBE" w14:textId="77777777" w:rsidR="00F82F2D" w:rsidRDefault="00F82F2D" w:rsidP="00F82F2D">
      <w:pPr>
        <w:pStyle w:val="JuQuot"/>
        <w:widowControl w:val="0"/>
        <w:spacing w:before="0" w:after="0"/>
        <w:ind w:left="284"/>
        <w:rPr>
          <w:rFonts w:ascii="Times New Roman" w:hAnsi="Times New Roman"/>
          <w:noProof/>
          <w:sz w:val="24"/>
        </w:rPr>
      </w:pPr>
      <w:r>
        <w:rPr>
          <w:rFonts w:ascii="Times New Roman" w:hAnsi="Times New Roman"/>
          <w:sz w:val="24"/>
        </w:rPr>
        <w:t>2. Šī direktīva attiecas uz noslodzes datiem un atrašanās vietas datiem par juridiskām personām un fiziskām personām un uz datiem, kas ar tiem saistīti, kuri ir nepieciešami abonenta vai reģistrēta lietotāja identificēšanai. To nepiemēro elektronisko komunikāciju saturam, tostarp informācijai, kura skatīta, izmantojot elektronisko komunikāciju tīklu.”</w:t>
      </w:r>
    </w:p>
    <w:p w14:paraId="43F91B4E" w14:textId="77777777" w:rsidR="00F82F2D" w:rsidRPr="008D031E" w:rsidRDefault="00F82F2D" w:rsidP="00F82F2D">
      <w:pPr>
        <w:pStyle w:val="JuQuot"/>
        <w:widowControl w:val="0"/>
        <w:spacing w:before="0" w:after="0"/>
        <w:ind w:left="284" w:firstLine="0"/>
        <w:rPr>
          <w:rFonts w:ascii="Times New Roman" w:hAnsi="Times New Roman"/>
          <w:noProof/>
          <w:sz w:val="24"/>
          <w:lang w:val="en-US"/>
        </w:rPr>
      </w:pPr>
    </w:p>
    <w:p w14:paraId="46994CA9" w14:textId="77777777" w:rsidR="00F82F2D" w:rsidRDefault="00F82F2D" w:rsidP="00F82F2D">
      <w:pPr>
        <w:pStyle w:val="JuQuot"/>
        <w:widowControl w:val="0"/>
        <w:spacing w:before="0" w:after="0"/>
        <w:ind w:left="284" w:firstLine="0"/>
        <w:jc w:val="center"/>
        <w:rPr>
          <w:rFonts w:ascii="Times New Roman" w:hAnsi="Times New Roman"/>
          <w:b/>
          <w:noProof/>
          <w:sz w:val="24"/>
        </w:rPr>
      </w:pPr>
      <w:r>
        <w:rPr>
          <w:rFonts w:ascii="Times New Roman" w:hAnsi="Times New Roman"/>
          <w:b/>
          <w:sz w:val="24"/>
        </w:rPr>
        <w:t>3. pants. Pienākums saglabāt datus</w:t>
      </w:r>
    </w:p>
    <w:p w14:paraId="021EDA9F" w14:textId="77777777" w:rsidR="00F82F2D" w:rsidRPr="008D031E" w:rsidRDefault="00F82F2D" w:rsidP="00F82F2D">
      <w:pPr>
        <w:pStyle w:val="JuQuot"/>
        <w:widowControl w:val="0"/>
        <w:spacing w:before="0" w:after="0"/>
        <w:ind w:left="284" w:firstLine="0"/>
        <w:rPr>
          <w:rFonts w:ascii="Times New Roman" w:hAnsi="Times New Roman"/>
          <w:b/>
          <w:noProof/>
          <w:sz w:val="24"/>
          <w:lang w:val="en-US"/>
        </w:rPr>
      </w:pPr>
    </w:p>
    <w:p w14:paraId="74B5B676" w14:textId="77777777" w:rsidR="00F82F2D" w:rsidRDefault="00F82F2D" w:rsidP="00F82F2D">
      <w:pPr>
        <w:pStyle w:val="JuQuot"/>
        <w:widowControl w:val="0"/>
        <w:spacing w:before="0" w:after="0"/>
        <w:ind w:left="284"/>
        <w:rPr>
          <w:rFonts w:ascii="Times New Roman" w:hAnsi="Times New Roman"/>
          <w:noProof/>
          <w:sz w:val="24"/>
        </w:rPr>
      </w:pPr>
      <w:r>
        <w:rPr>
          <w:rFonts w:ascii="Times New Roman" w:hAnsi="Times New Roman"/>
          <w:sz w:val="24"/>
        </w:rPr>
        <w:t>“1. Atkāpjoties no Direktīvas 2002/58/EK 5., 6. un 9. panta, dalībvalstis pieņem pasākumus, lai nodrošinātu, ka šīs direktīvas 5. panta [pantā] minētie dati tiek saglabāti saskaņā ar šīs direktīvas noteikumiem tiktāl, ciktāl tos ir ieguvuši vai apstrādājuši publiski pieejamu elektronisko komunikāciju pakalpojumu sniedzēji vai publiski pieejamu komunikāciju tīklu operatori, sniedzot attiecīgos komunikāciju pakalpojumus šo valstu jurisdikcijā.”</w:t>
      </w:r>
    </w:p>
    <w:p w14:paraId="7A25CF9E" w14:textId="77777777" w:rsidR="00F82F2D" w:rsidRPr="008D031E" w:rsidRDefault="00F82F2D" w:rsidP="00F82F2D">
      <w:pPr>
        <w:pStyle w:val="JuQuot"/>
        <w:widowControl w:val="0"/>
        <w:spacing w:before="0" w:after="0"/>
        <w:ind w:left="284" w:firstLine="0"/>
        <w:rPr>
          <w:rFonts w:ascii="Times New Roman" w:hAnsi="Times New Roman"/>
          <w:noProof/>
          <w:sz w:val="24"/>
          <w:lang w:val="en-US"/>
        </w:rPr>
      </w:pPr>
    </w:p>
    <w:p w14:paraId="179ACFD2" w14:textId="77777777" w:rsidR="00F82F2D" w:rsidRDefault="00F82F2D" w:rsidP="00F82F2D">
      <w:pPr>
        <w:pStyle w:val="JuHA"/>
        <w:keepNext w:val="0"/>
        <w:keepLines w:val="0"/>
        <w:widowControl w:val="0"/>
        <w:numPr>
          <w:ilvl w:val="0"/>
          <w:numId w:val="0"/>
        </w:numPr>
        <w:spacing w:before="0" w:beforeAutospacing="0" w:after="0"/>
        <w:outlineLvl w:val="9"/>
        <w:rPr>
          <w:rFonts w:ascii="Times New Roman" w:hAnsi="Times New Roman"/>
          <w:noProof/>
        </w:rPr>
      </w:pPr>
      <w:bookmarkStart w:id="193" w:name="_Toc516820776"/>
      <w:r>
        <w:rPr>
          <w:rFonts w:ascii="Times New Roman" w:hAnsi="Times New Roman"/>
        </w:rPr>
        <w:t>C. Attiecīgā Eiropas Savienības Tiesas (turpmāk tekstā – “</w:t>
      </w:r>
      <w:proofErr w:type="spellStart"/>
      <w:r>
        <w:rPr>
          <w:rFonts w:ascii="Times New Roman" w:hAnsi="Times New Roman"/>
        </w:rPr>
        <w:t>EST</w:t>
      </w:r>
      <w:proofErr w:type="spellEnd"/>
      <w:r>
        <w:rPr>
          <w:rFonts w:ascii="Times New Roman" w:hAnsi="Times New Roman"/>
        </w:rPr>
        <w:t>”) judikatūra</w:t>
      </w:r>
      <w:bookmarkEnd w:id="193"/>
    </w:p>
    <w:p w14:paraId="292362AA" w14:textId="77777777" w:rsidR="00F82F2D" w:rsidRPr="000A2AD4" w:rsidRDefault="00F82F2D" w:rsidP="00F82F2D">
      <w:pPr>
        <w:pStyle w:val="JuPara"/>
        <w:widowControl w:val="0"/>
        <w:rPr>
          <w:lang w:val="en-US"/>
        </w:rPr>
      </w:pPr>
    </w:p>
    <w:p w14:paraId="4D8CD026" w14:textId="77777777" w:rsidR="00F82F2D" w:rsidRDefault="00F82F2D" w:rsidP="00F82F2D">
      <w:pPr>
        <w:pStyle w:val="JuH1"/>
        <w:keepNext w:val="0"/>
        <w:keepLines w:val="0"/>
        <w:widowControl w:val="0"/>
        <w:numPr>
          <w:ilvl w:val="0"/>
          <w:numId w:val="0"/>
        </w:numPr>
        <w:spacing w:before="0" w:beforeAutospacing="0" w:after="0"/>
        <w:outlineLvl w:val="9"/>
        <w:rPr>
          <w:rFonts w:ascii="Times New Roman" w:hAnsi="Times New Roman"/>
          <w:noProof/>
        </w:rPr>
      </w:pPr>
      <w:bookmarkStart w:id="194" w:name="_Toc516820777"/>
      <w:r>
        <w:rPr>
          <w:rFonts w:ascii="Times New Roman" w:hAnsi="Times New Roman"/>
        </w:rPr>
        <w:t>1.</w:t>
      </w:r>
      <w:r>
        <w:rPr>
          <w:rFonts w:ascii="Times New Roman" w:hAnsi="Times New Roman"/>
          <w:i w:val="0"/>
        </w:rPr>
        <w:t xml:space="preserve"> </w:t>
      </w:r>
      <w:r>
        <w:rPr>
          <w:rFonts w:ascii="Times New Roman" w:hAnsi="Times New Roman"/>
          <w:i w:val="0"/>
          <w:iCs w:val="0"/>
        </w:rPr>
        <w:t>Spriedums lietā ““</w:t>
      </w:r>
      <w:proofErr w:type="spellStart"/>
      <w:r>
        <w:rPr>
          <w:rFonts w:ascii="Times New Roman" w:hAnsi="Times New Roman"/>
          <w:i w:val="0"/>
          <w:iCs w:val="0"/>
        </w:rPr>
        <w:t>Digital</w:t>
      </w:r>
      <w:proofErr w:type="spellEnd"/>
      <w:r>
        <w:rPr>
          <w:rFonts w:ascii="Times New Roman" w:hAnsi="Times New Roman"/>
          <w:i w:val="0"/>
          <w:iCs w:val="0"/>
        </w:rPr>
        <w:t xml:space="preserve"> </w:t>
      </w:r>
      <w:proofErr w:type="spellStart"/>
      <w:r>
        <w:rPr>
          <w:rFonts w:ascii="Times New Roman" w:hAnsi="Times New Roman"/>
          <w:i w:val="0"/>
          <w:iCs w:val="0"/>
        </w:rPr>
        <w:t>Rights</w:t>
      </w:r>
      <w:proofErr w:type="spellEnd"/>
      <w:r>
        <w:rPr>
          <w:rFonts w:ascii="Times New Roman" w:hAnsi="Times New Roman"/>
          <w:i w:val="0"/>
          <w:iCs w:val="0"/>
        </w:rPr>
        <w:t xml:space="preserve"> </w:t>
      </w:r>
      <w:proofErr w:type="spellStart"/>
      <w:r>
        <w:rPr>
          <w:rFonts w:ascii="Times New Roman" w:hAnsi="Times New Roman"/>
          <w:i w:val="0"/>
          <w:iCs w:val="0"/>
        </w:rPr>
        <w:t>Ireland</w:t>
      </w:r>
      <w:proofErr w:type="spellEnd"/>
      <w:r>
        <w:rPr>
          <w:rFonts w:ascii="Times New Roman" w:hAnsi="Times New Roman"/>
          <w:i w:val="0"/>
          <w:iCs w:val="0"/>
        </w:rPr>
        <w:t xml:space="preserve"> </w:t>
      </w:r>
      <w:proofErr w:type="spellStart"/>
      <w:r>
        <w:rPr>
          <w:rFonts w:ascii="Times New Roman" w:hAnsi="Times New Roman"/>
          <w:i w:val="0"/>
          <w:iCs w:val="0"/>
        </w:rPr>
        <w:t>Ltd</w:t>
      </w:r>
      <w:proofErr w:type="spellEnd"/>
      <w:r>
        <w:rPr>
          <w:rFonts w:ascii="Times New Roman" w:hAnsi="Times New Roman"/>
          <w:i w:val="0"/>
          <w:iCs w:val="0"/>
        </w:rPr>
        <w:t xml:space="preserve">” pret komunikāciju, jūras un dabas resursu ministru un citiem, un </w:t>
      </w:r>
      <w:proofErr w:type="spellStart"/>
      <w:r>
        <w:rPr>
          <w:rFonts w:ascii="Times New Roman" w:hAnsi="Times New Roman"/>
          <w:i w:val="0"/>
          <w:iCs w:val="0"/>
        </w:rPr>
        <w:t>Karintijas</w:t>
      </w:r>
      <w:proofErr w:type="spellEnd"/>
      <w:r>
        <w:rPr>
          <w:rFonts w:ascii="Times New Roman" w:hAnsi="Times New Roman"/>
          <w:i w:val="0"/>
          <w:iCs w:val="0"/>
        </w:rPr>
        <w:t xml:space="preserve"> Federālās zemes valdību un citiem”</w:t>
      </w:r>
      <w:r>
        <w:rPr>
          <w:rFonts w:ascii="Times New Roman" w:hAnsi="Times New Roman"/>
        </w:rPr>
        <w:t xml:space="preserve"> (lietas C‑293/12 un C‑594/12; </w:t>
      </w:r>
      <w:proofErr w:type="spellStart"/>
      <w:r>
        <w:rPr>
          <w:rFonts w:ascii="Times New Roman" w:hAnsi="Times New Roman"/>
        </w:rPr>
        <w:t>ECLI:EU:C:2014:238</w:t>
      </w:r>
      <w:proofErr w:type="spellEnd"/>
      <w:r>
        <w:rPr>
          <w:rFonts w:ascii="Times New Roman" w:hAnsi="Times New Roman"/>
        </w:rPr>
        <w:t>)</w:t>
      </w:r>
      <w:bookmarkEnd w:id="194"/>
    </w:p>
    <w:p w14:paraId="2E1A2B15" w14:textId="77777777" w:rsidR="00F82F2D" w:rsidRPr="000A2AD4" w:rsidRDefault="00F82F2D" w:rsidP="00F82F2D">
      <w:pPr>
        <w:pStyle w:val="JuPara"/>
        <w:widowControl w:val="0"/>
        <w:rPr>
          <w:lang w:val="en-US"/>
        </w:rPr>
      </w:pPr>
    </w:p>
    <w:p w14:paraId="3CF37FF9" w14:textId="77777777" w:rsidR="00F82F2D" w:rsidRPr="008D031E" w:rsidRDefault="00F82F2D" w:rsidP="00F82F2D">
      <w:pPr>
        <w:pStyle w:val="JuPara"/>
        <w:widowControl w:val="0"/>
        <w:ind w:firstLine="142"/>
        <w:rPr>
          <w:rFonts w:ascii="Times New Roman" w:hAnsi="Times New Roman"/>
          <w:noProof/>
        </w:rPr>
      </w:pPr>
      <w:bookmarkStart w:id="195" w:name="DRI"/>
      <w:r>
        <w:rPr>
          <w:rFonts w:ascii="Times New Roman" w:hAnsi="Times New Roman"/>
        </w:rPr>
        <w:t>209</w:t>
      </w:r>
      <w:bookmarkEnd w:id="195"/>
      <w:r>
        <w:rPr>
          <w:rFonts w:ascii="Times New Roman" w:hAnsi="Times New Roman"/>
        </w:rPr>
        <w:t xml:space="preserve">. 2014. gada 8. aprīļa spriedumā </w:t>
      </w:r>
      <w:proofErr w:type="spellStart"/>
      <w:r>
        <w:rPr>
          <w:rFonts w:ascii="Times New Roman" w:hAnsi="Times New Roman"/>
        </w:rPr>
        <w:t>EST</w:t>
      </w:r>
      <w:proofErr w:type="spellEnd"/>
      <w:r>
        <w:rPr>
          <w:rFonts w:ascii="Times New Roman" w:hAnsi="Times New Roman"/>
        </w:rPr>
        <w:t xml:space="preserve"> pasludināja par spēkā neesošu Datu saglabāšanas direktīvu 2006/24/EK, kurā noteikts publiski pieejamu elektronisko sakaru pakalpojumu sniedzēju vai publiski pieejamu sakaru tīklu operatoru pienākums saglabāt visus datplūsmas datus un atrašanās vietas datus uz laiku no sešiem mēnešiem līdz diviem gadiem, lai nodrošinātu, ka šie dati ir pieejami katrā valstī attiecīgajos tiesību aktos noteiktu smagu noziegumu izmeklēšanas, atklāšanas un kriminālvajāšanas nolūkam. </w:t>
      </w:r>
      <w:proofErr w:type="spellStart"/>
      <w:r>
        <w:rPr>
          <w:rFonts w:ascii="Times New Roman" w:hAnsi="Times New Roman"/>
        </w:rPr>
        <w:t>EST</w:t>
      </w:r>
      <w:proofErr w:type="spellEnd"/>
      <w:r>
        <w:rPr>
          <w:rFonts w:ascii="Times New Roman" w:hAnsi="Times New Roman"/>
        </w:rPr>
        <w:t xml:space="preserve"> norādīja, ka, lai gan sakaru satura saglabāšana saskaņā ar šo direktīvu nebija atļauta, datplūsmas un atrašanās vietas dati, uz kuriem šī direktīva attiecās, varēja ļaut ļoti precīzi secināt par to personu privāto dzīvi, kuru dati tikuši saglabāti. Līdz ar to pats pienākums saglabāt šos datus uzskatāms par iejaukšanos personas tiesībās uz privātās dzīves neaizskaramību un saziņas sakaros, kas garantētas Eiropas Savienības </w:t>
      </w:r>
      <w:proofErr w:type="spellStart"/>
      <w:r>
        <w:rPr>
          <w:rFonts w:ascii="Times New Roman" w:hAnsi="Times New Roman"/>
        </w:rPr>
        <w:t>Pamattiesību</w:t>
      </w:r>
      <w:proofErr w:type="spellEnd"/>
      <w:r>
        <w:rPr>
          <w:rFonts w:ascii="Times New Roman" w:hAnsi="Times New Roman"/>
        </w:rPr>
        <w:t xml:space="preserve"> hartas 7. pantā, un tiesībās uz personas datu aizsardzību, kas paredzētas minētās hartas 8. pantā.</w:t>
      </w:r>
    </w:p>
    <w:p w14:paraId="648147E6"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210. Kompetento valsts iestāžu piekļuve datiem radīja papildu iejaukšanos šajās </w:t>
      </w:r>
      <w:proofErr w:type="spellStart"/>
      <w:r>
        <w:rPr>
          <w:rFonts w:ascii="Times New Roman" w:hAnsi="Times New Roman"/>
        </w:rPr>
        <w:t>pamattiesībās</w:t>
      </w:r>
      <w:proofErr w:type="spellEnd"/>
      <w:r>
        <w:rPr>
          <w:rFonts w:ascii="Times New Roman" w:hAnsi="Times New Roman"/>
        </w:rPr>
        <w:t xml:space="preserve">, ko </w:t>
      </w:r>
      <w:proofErr w:type="spellStart"/>
      <w:r>
        <w:rPr>
          <w:rFonts w:ascii="Times New Roman" w:hAnsi="Times New Roman"/>
        </w:rPr>
        <w:t>EST</w:t>
      </w:r>
      <w:proofErr w:type="spellEnd"/>
      <w:r>
        <w:rPr>
          <w:rFonts w:ascii="Times New Roman" w:hAnsi="Times New Roman"/>
        </w:rPr>
        <w:t xml:space="preserve"> uzskatīja par “īpaši būtisku”. Tas, ka datu saglabāšana un to vēlāka izmantošana notika, abonentu vai reģistrēto lietotāju par to neinformējot, varēja, kā to norādījusi </w:t>
      </w:r>
      <w:proofErr w:type="spellStart"/>
      <w:r>
        <w:rPr>
          <w:rFonts w:ascii="Times New Roman" w:hAnsi="Times New Roman"/>
        </w:rPr>
        <w:t>EST</w:t>
      </w:r>
      <w:proofErr w:type="spellEnd"/>
      <w:r>
        <w:rPr>
          <w:rFonts w:ascii="Times New Roman" w:hAnsi="Times New Roman"/>
        </w:rPr>
        <w:t>, attiecīgajām personām radīt sajūtu, ka viņu privātā dzīve tiek pastāvīgi novērota. Tā arī norādīja, ka šī iejaukšanās atbilda vispārējo interešu mērķim, proti, sekmēt smagu noziegumu un terorisma apkarošanu un līdz ar to arī sekmēt sabiedrisko drošību. Tomēr tā neatbilda samērīguma prasībai.</w:t>
      </w:r>
    </w:p>
    <w:p w14:paraId="4EB03798"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211. Pirmkārt, šī direktīva vispārīgā veidā aptvēra visas personas un visus elektronisko sakaru līdzekļus, kā arī visus datplūsmas datus bez jebkādām atšķirībām, ierobežojumiem vai izņēmumiem saistībā ar mērķi apkarot smagus noziegumus. Tādējādi tā radīja iejaukšanos gandrīz visu Eiropas iedzīvotāju </w:t>
      </w:r>
      <w:proofErr w:type="spellStart"/>
      <w:r>
        <w:rPr>
          <w:rFonts w:ascii="Times New Roman" w:hAnsi="Times New Roman"/>
        </w:rPr>
        <w:t>pamattiesībās</w:t>
      </w:r>
      <w:proofErr w:type="spellEnd"/>
      <w:r>
        <w:rPr>
          <w:rFonts w:ascii="Times New Roman" w:hAnsi="Times New Roman"/>
        </w:rPr>
        <w:t xml:space="preserve">, kā norādījusi </w:t>
      </w:r>
      <w:proofErr w:type="spellStart"/>
      <w:r>
        <w:rPr>
          <w:rFonts w:ascii="Times New Roman" w:hAnsi="Times New Roman"/>
        </w:rPr>
        <w:t>EST</w:t>
      </w:r>
      <w:proofErr w:type="spellEnd"/>
      <w:r>
        <w:rPr>
          <w:rFonts w:ascii="Times New Roman" w:hAnsi="Times New Roman"/>
        </w:rPr>
        <w:t xml:space="preserve">. Tā attiecās pat uz personām, </w:t>
      </w:r>
      <w:r>
        <w:rPr>
          <w:rFonts w:ascii="Times New Roman" w:hAnsi="Times New Roman"/>
        </w:rPr>
        <w:lastRenderedPageBreak/>
        <w:t>attiecībā uz kurām nebija nekādas norādes, kas ļautu uzskatīt, ka viņu rīcībai varētu būt sakars – kaut vai netiešs vai attāls – ar smagiem noziegumiem.</w:t>
      </w:r>
    </w:p>
    <w:p w14:paraId="5951916B"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212. Otrkārt, direktīvā nebija ietverti atbilstošie materiālie un procesuālie nosacījumi saistībā ar kompetento valsts iestāžu piekļuvi datiem un to turpmāko izmantošanu. Vispārīgi atsaucoties uz smagu noziegumu, ko katra dalībvalsts definējusi savos valsts tiesību aktos, direktīvā nebija paredzēti nekādi objektīvi kritēriji, kas nosaka, kādus noziedzīgus nodarījumus varētu uzskatīt par pietiekami smagiem, lai attaisnotu šādu plašu iejaukšanos Hartas 7. un 8. pantā garantētajās </w:t>
      </w:r>
      <w:proofErr w:type="spellStart"/>
      <w:r>
        <w:rPr>
          <w:rFonts w:ascii="Times New Roman" w:hAnsi="Times New Roman"/>
        </w:rPr>
        <w:t>pamattiesībās</w:t>
      </w:r>
      <w:proofErr w:type="spellEnd"/>
      <w:r>
        <w:rPr>
          <w:rFonts w:ascii="Times New Roman" w:hAnsi="Times New Roman"/>
        </w:rPr>
        <w:t>. Turklāt attiecībā uz kompetento valsts iestāžu piekļuvi saglabātajiem datiem nebija noteikta iepriekšēja pārskatīšana, ko veiktu vai nu tiesa, vai kāda neatkarīga administratīva struktūra, kuras lēmums paredzētu ierobežot piekļuvi datiem un to izmantošanu ar to, kas ir absolūti nepieciešams izvirzītā mērķa sasniegšanai.</w:t>
      </w:r>
    </w:p>
    <w:p w14:paraId="29448F7D" w14:textId="77777777" w:rsidR="00F82F2D" w:rsidRDefault="00F82F2D" w:rsidP="00F82F2D">
      <w:pPr>
        <w:pStyle w:val="JuPara"/>
        <w:widowControl w:val="0"/>
        <w:ind w:firstLine="142"/>
        <w:rPr>
          <w:rFonts w:ascii="Times New Roman" w:hAnsi="Times New Roman"/>
          <w:noProof/>
        </w:rPr>
      </w:pPr>
      <w:bookmarkStart w:id="196" w:name="DRIend"/>
      <w:r>
        <w:rPr>
          <w:rFonts w:ascii="Times New Roman" w:hAnsi="Times New Roman"/>
        </w:rPr>
        <w:t>213</w:t>
      </w:r>
      <w:bookmarkEnd w:id="196"/>
      <w:r>
        <w:rPr>
          <w:rFonts w:ascii="Times New Roman" w:hAnsi="Times New Roman"/>
        </w:rPr>
        <w:t xml:space="preserve">. Treškārt, direktīvā bija noteikts pienākums saglabāt visus datus vismaz sešus mēnešus, nenosakot nekādas atšķirības starp datu kategorijām atkarībā no to iespējamā noderīguma izvirzītā mērķa sasniegšanai vai personām, uz kurām tie attiecas. </w:t>
      </w:r>
      <w:proofErr w:type="spellStart"/>
      <w:r>
        <w:rPr>
          <w:rFonts w:ascii="Times New Roman" w:hAnsi="Times New Roman"/>
        </w:rPr>
        <w:t>EST</w:t>
      </w:r>
      <w:proofErr w:type="spellEnd"/>
      <w:r>
        <w:rPr>
          <w:rFonts w:ascii="Times New Roman" w:hAnsi="Times New Roman"/>
        </w:rPr>
        <w:t xml:space="preserve"> secināja, ka ar direktīvu tika pieļauta plaša apjoma un īpaši būtiska iejaukšanās Hartas 7. un 8. pantā paredzētajās </w:t>
      </w:r>
      <w:proofErr w:type="spellStart"/>
      <w:r>
        <w:rPr>
          <w:rFonts w:ascii="Times New Roman" w:hAnsi="Times New Roman"/>
        </w:rPr>
        <w:t>pamattiesībās</w:t>
      </w:r>
      <w:proofErr w:type="spellEnd"/>
      <w:r>
        <w:rPr>
          <w:rFonts w:ascii="Times New Roman" w:hAnsi="Times New Roman"/>
        </w:rPr>
        <w:t xml:space="preserve"> un ka šī iejaukšanās nebija precīzi reglamentēta ar noteikumiem, lai nodrošinātu, ka tā patiešām attiecas vienīgi uz absolūti nepieciešamo. </w:t>
      </w:r>
      <w:proofErr w:type="spellStart"/>
      <w:r>
        <w:rPr>
          <w:rFonts w:ascii="Times New Roman" w:hAnsi="Times New Roman"/>
        </w:rPr>
        <w:t>EST</w:t>
      </w:r>
      <w:proofErr w:type="spellEnd"/>
      <w:r>
        <w:rPr>
          <w:rFonts w:ascii="Times New Roman" w:hAnsi="Times New Roman"/>
        </w:rPr>
        <w:t xml:space="preserve"> arī norādīja, ka direktīvā nebija paredzēti pietiekami drošības pasākumi, piemēram, tehniski vai organizatoriski pasākumi, lai nodrošinātu saglabāto datu efektīvu aizsardzību pret ļaunprātīgas izmantošanas risku, kā arī pret jebkādu nelikumīgu piekļuvi šiem datiem un to nelikumīgu izmantošanu.</w:t>
      </w:r>
    </w:p>
    <w:p w14:paraId="46416B2D" w14:textId="77777777" w:rsidR="00F82F2D" w:rsidRPr="008D031E" w:rsidRDefault="00F82F2D" w:rsidP="00F82F2D">
      <w:pPr>
        <w:pStyle w:val="JuPara"/>
        <w:widowControl w:val="0"/>
        <w:ind w:firstLine="142"/>
        <w:rPr>
          <w:rFonts w:ascii="Times New Roman" w:hAnsi="Times New Roman"/>
          <w:noProof/>
          <w:lang w:val="en-US"/>
        </w:rPr>
      </w:pPr>
    </w:p>
    <w:p w14:paraId="56B98319" w14:textId="77777777" w:rsidR="00F82F2D" w:rsidRDefault="00F82F2D" w:rsidP="00F82F2D">
      <w:pPr>
        <w:pStyle w:val="JuH1"/>
        <w:keepNext w:val="0"/>
        <w:keepLines w:val="0"/>
        <w:widowControl w:val="0"/>
        <w:numPr>
          <w:ilvl w:val="0"/>
          <w:numId w:val="0"/>
        </w:numPr>
        <w:spacing w:before="0" w:beforeAutospacing="0" w:after="0"/>
        <w:outlineLvl w:val="9"/>
        <w:rPr>
          <w:rFonts w:ascii="Times New Roman" w:hAnsi="Times New Roman"/>
          <w:noProof/>
        </w:rPr>
      </w:pPr>
      <w:bookmarkStart w:id="197" w:name="_Toc516820778"/>
      <w:r>
        <w:rPr>
          <w:rFonts w:ascii="Times New Roman" w:hAnsi="Times New Roman"/>
        </w:rPr>
        <w:t>2.</w:t>
      </w:r>
      <w:r>
        <w:rPr>
          <w:rFonts w:ascii="Times New Roman" w:hAnsi="Times New Roman"/>
          <w:i w:val="0"/>
        </w:rPr>
        <w:t xml:space="preserve"> Spriedumi lietās ““</w:t>
      </w:r>
      <w:proofErr w:type="spellStart"/>
      <w:r>
        <w:rPr>
          <w:rFonts w:ascii="Times New Roman" w:hAnsi="Times New Roman"/>
          <w:i w:val="0"/>
        </w:rPr>
        <w:t>Tele2</w:t>
      </w:r>
      <w:proofErr w:type="spellEnd"/>
      <w:r>
        <w:rPr>
          <w:rFonts w:ascii="Times New Roman" w:hAnsi="Times New Roman"/>
          <w:i w:val="0"/>
        </w:rPr>
        <w:t xml:space="preserve"> </w:t>
      </w:r>
      <w:proofErr w:type="spellStart"/>
      <w:r>
        <w:rPr>
          <w:rFonts w:ascii="Times New Roman" w:hAnsi="Times New Roman"/>
          <w:i w:val="0"/>
        </w:rPr>
        <w:t>Sverige</w:t>
      </w:r>
      <w:proofErr w:type="spellEnd"/>
      <w:r>
        <w:rPr>
          <w:rFonts w:ascii="Times New Roman" w:hAnsi="Times New Roman"/>
          <w:i w:val="0"/>
        </w:rPr>
        <w:t xml:space="preserve"> AB” pret “Post- </w:t>
      </w:r>
      <w:proofErr w:type="spellStart"/>
      <w:r>
        <w:rPr>
          <w:rFonts w:ascii="Times New Roman" w:hAnsi="Times New Roman"/>
          <w:i w:val="0"/>
        </w:rPr>
        <w:t>och</w:t>
      </w:r>
      <w:proofErr w:type="spellEnd"/>
      <w:r>
        <w:rPr>
          <w:rFonts w:ascii="Times New Roman" w:hAnsi="Times New Roman"/>
          <w:i w:val="0"/>
        </w:rPr>
        <w:t xml:space="preserve"> </w:t>
      </w:r>
      <w:proofErr w:type="spellStart"/>
      <w:r>
        <w:rPr>
          <w:rFonts w:ascii="Times New Roman" w:hAnsi="Times New Roman"/>
          <w:i w:val="0"/>
        </w:rPr>
        <w:t>telestyrelsen</w:t>
      </w:r>
      <w:proofErr w:type="spellEnd"/>
      <w:r>
        <w:rPr>
          <w:rFonts w:ascii="Times New Roman" w:hAnsi="Times New Roman"/>
          <w:i w:val="0"/>
        </w:rPr>
        <w:t>”” un “</w:t>
      </w:r>
      <w:proofErr w:type="spellStart"/>
      <w:r>
        <w:rPr>
          <w:rFonts w:ascii="Times New Roman" w:hAnsi="Times New Roman"/>
          <w:i w:val="0"/>
        </w:rPr>
        <w:t>Iekšlietu</w:t>
      </w:r>
      <w:proofErr w:type="spellEnd"/>
      <w:r>
        <w:rPr>
          <w:rFonts w:ascii="Times New Roman" w:hAnsi="Times New Roman"/>
          <w:i w:val="0"/>
        </w:rPr>
        <w:t xml:space="preserve"> valsts sekretārs pret Tomu Vatsonu [</w:t>
      </w:r>
      <w:r>
        <w:rPr>
          <w:rFonts w:ascii="Times New Roman" w:hAnsi="Times New Roman"/>
        </w:rPr>
        <w:t xml:space="preserve">Tom </w:t>
      </w:r>
      <w:proofErr w:type="spellStart"/>
      <w:r>
        <w:rPr>
          <w:rFonts w:ascii="Times New Roman" w:hAnsi="Times New Roman"/>
        </w:rPr>
        <w:t>Watson</w:t>
      </w:r>
      <w:proofErr w:type="spellEnd"/>
      <w:r>
        <w:rPr>
          <w:rFonts w:ascii="Times New Roman" w:hAnsi="Times New Roman"/>
          <w:i w:val="0"/>
        </w:rPr>
        <w:t xml:space="preserve">] un citiem” </w:t>
      </w:r>
      <w:r>
        <w:rPr>
          <w:rFonts w:ascii="Times New Roman" w:hAnsi="Times New Roman"/>
        </w:rPr>
        <w:t>(lietas C</w:t>
      </w:r>
      <w:r>
        <w:rPr>
          <w:rFonts w:ascii="Times New Roman" w:hAnsi="Times New Roman"/>
        </w:rPr>
        <w:noBreakHyphen/>
        <w:t>203/15 un C</w:t>
      </w:r>
      <w:r>
        <w:rPr>
          <w:rFonts w:ascii="Times New Roman" w:hAnsi="Times New Roman"/>
        </w:rPr>
        <w:noBreakHyphen/>
        <w:t xml:space="preserve">698/15; </w:t>
      </w:r>
      <w:proofErr w:type="spellStart"/>
      <w:r>
        <w:rPr>
          <w:rFonts w:ascii="Times New Roman" w:hAnsi="Times New Roman"/>
        </w:rPr>
        <w:t>ECLI:EU:C:2016:970</w:t>
      </w:r>
      <w:proofErr w:type="spellEnd"/>
      <w:r>
        <w:rPr>
          <w:rFonts w:ascii="Times New Roman" w:hAnsi="Times New Roman"/>
        </w:rPr>
        <w:t>)</w:t>
      </w:r>
      <w:bookmarkEnd w:id="197"/>
    </w:p>
    <w:p w14:paraId="25E7498C" w14:textId="77777777" w:rsidR="00F82F2D" w:rsidRPr="000A2AD4" w:rsidRDefault="00F82F2D" w:rsidP="00F82F2D">
      <w:pPr>
        <w:pStyle w:val="JuPara"/>
        <w:widowControl w:val="0"/>
        <w:rPr>
          <w:lang w:val="en-US"/>
        </w:rPr>
      </w:pPr>
    </w:p>
    <w:p w14:paraId="34FD562E"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214. Lietā “</w:t>
      </w:r>
      <w:proofErr w:type="spellStart"/>
      <w:r>
        <w:rPr>
          <w:rFonts w:ascii="Times New Roman" w:hAnsi="Times New Roman"/>
        </w:rPr>
        <w:t>Iekšlietu</w:t>
      </w:r>
      <w:proofErr w:type="spellEnd"/>
      <w:r>
        <w:rPr>
          <w:rFonts w:ascii="Times New Roman" w:hAnsi="Times New Roman"/>
        </w:rPr>
        <w:t xml:space="preserve"> valsts sekretārs pret Vatsonu [</w:t>
      </w:r>
      <w:proofErr w:type="spellStart"/>
      <w:r>
        <w:rPr>
          <w:rFonts w:ascii="Times New Roman" w:hAnsi="Times New Roman"/>
          <w:i/>
          <w:iCs/>
        </w:rPr>
        <w:t>Watson</w:t>
      </w:r>
      <w:proofErr w:type="spellEnd"/>
      <w:r>
        <w:rPr>
          <w:rFonts w:ascii="Times New Roman" w:hAnsi="Times New Roman"/>
        </w:rPr>
        <w:t>] un citiem” pieteikuma iesniedzēji lūdza tiesu izvērtēt 2014. gada Datu saglabāšanas un izmeklēšanas pilnvaru likuma [</w:t>
      </w:r>
      <w:proofErr w:type="spellStart"/>
      <w:r>
        <w:rPr>
          <w:rFonts w:ascii="Times New Roman" w:hAnsi="Times New Roman"/>
          <w:i/>
          <w:iCs/>
        </w:rPr>
        <w:t>Data</w:t>
      </w:r>
      <w:proofErr w:type="spellEnd"/>
      <w:r>
        <w:rPr>
          <w:rFonts w:ascii="Times New Roman" w:hAnsi="Times New Roman"/>
          <w:i/>
          <w:iCs/>
        </w:rPr>
        <w:t xml:space="preserve"> </w:t>
      </w:r>
      <w:proofErr w:type="spellStart"/>
      <w:r>
        <w:rPr>
          <w:rFonts w:ascii="Times New Roman" w:hAnsi="Times New Roman"/>
          <w:i/>
          <w:iCs/>
        </w:rPr>
        <w:t>Retention</w:t>
      </w:r>
      <w:proofErr w:type="spellEnd"/>
      <w:r>
        <w:rPr>
          <w:rFonts w:ascii="Times New Roman" w:hAnsi="Times New Roman"/>
          <w:i/>
          <w:iCs/>
        </w:rPr>
        <w:t xml:space="preserve"> </w:t>
      </w:r>
      <w:proofErr w:type="spellStart"/>
      <w:r>
        <w:rPr>
          <w:rFonts w:ascii="Times New Roman" w:hAnsi="Times New Roman"/>
          <w:i/>
          <w:iCs/>
        </w:rPr>
        <w:t>and</w:t>
      </w:r>
      <w:proofErr w:type="spellEnd"/>
      <w:r>
        <w:rPr>
          <w:rFonts w:ascii="Times New Roman" w:hAnsi="Times New Roman"/>
          <w:i/>
          <w:iCs/>
        </w:rPr>
        <w:t xml:space="preserve"> </w:t>
      </w:r>
      <w:proofErr w:type="spellStart"/>
      <w:r>
        <w:rPr>
          <w:rFonts w:ascii="Times New Roman" w:hAnsi="Times New Roman"/>
          <w:i/>
          <w:iCs/>
        </w:rPr>
        <w:t>Investigatory</w:t>
      </w:r>
      <w:proofErr w:type="spellEnd"/>
      <w:r>
        <w:rPr>
          <w:rFonts w:ascii="Times New Roman" w:hAnsi="Times New Roman"/>
          <w:i/>
          <w:iCs/>
        </w:rPr>
        <w:t xml:space="preserve"> </w:t>
      </w:r>
      <w:proofErr w:type="spellStart"/>
      <w:r>
        <w:rPr>
          <w:rFonts w:ascii="Times New Roman" w:hAnsi="Times New Roman"/>
          <w:i/>
          <w:iCs/>
        </w:rPr>
        <w:t>Powers</w:t>
      </w:r>
      <w:proofErr w:type="spellEnd"/>
      <w:r>
        <w:rPr>
          <w:rFonts w:ascii="Times New Roman" w:hAnsi="Times New Roman"/>
          <w:i/>
          <w:iCs/>
        </w:rPr>
        <w:t xml:space="preserve"> </w:t>
      </w:r>
      <w:proofErr w:type="spellStart"/>
      <w:r>
        <w:rPr>
          <w:rFonts w:ascii="Times New Roman" w:hAnsi="Times New Roman"/>
          <w:i/>
          <w:iCs/>
        </w:rPr>
        <w:t>Act</w:t>
      </w:r>
      <w:proofErr w:type="spellEnd"/>
      <w:r>
        <w:rPr>
          <w:rFonts w:ascii="Times New Roman" w:hAnsi="Times New Roman"/>
          <w:i/>
          <w:iCs/>
        </w:rPr>
        <w:t xml:space="preserve"> 2014</w:t>
      </w:r>
      <w:r>
        <w:rPr>
          <w:rFonts w:ascii="Times New Roman" w:hAnsi="Times New Roman"/>
        </w:rPr>
        <w:t>] (turpmāk tekstā – “</w:t>
      </w:r>
      <w:proofErr w:type="spellStart"/>
      <w:r>
        <w:rPr>
          <w:rFonts w:ascii="Times New Roman" w:hAnsi="Times New Roman"/>
          <w:i/>
          <w:iCs/>
        </w:rPr>
        <w:t>DRIPA</w:t>
      </w:r>
      <w:proofErr w:type="spellEnd"/>
      <w:r>
        <w:rPr>
          <w:rFonts w:ascii="Times New Roman" w:hAnsi="Times New Roman"/>
        </w:rPr>
        <w:t xml:space="preserve">”) 1. panta likumību. Saskaņā ar šo pantu valsts sekretārs varēja pieprasīt publisko telekomunikāciju operatoram saglabāt attiecīgos sakaru datus, ja viņš to uzskatīja par nepieciešamu un samērīgu vienam vai vairākiem nolūkiem, ko paredz </w:t>
      </w:r>
      <w:r>
        <w:rPr>
          <w:rFonts w:ascii="Times New Roman" w:hAnsi="Times New Roman"/>
          <w:i/>
          <w:iCs/>
        </w:rPr>
        <w:t>RIPA</w:t>
      </w:r>
      <w:r>
        <w:rPr>
          <w:rFonts w:ascii="Times New Roman" w:hAnsi="Times New Roman"/>
        </w:rPr>
        <w:t xml:space="preserve"> 22. panta 2. punkta a)–h) apakšpunkts. Pieteikuma iesniedzēji </w:t>
      </w:r>
      <w:proofErr w:type="spellStart"/>
      <w:r>
        <w:rPr>
          <w:rFonts w:ascii="Times New Roman" w:hAnsi="Times New Roman"/>
          <w:i/>
          <w:iCs/>
        </w:rPr>
        <w:t>inter</w:t>
      </w:r>
      <w:proofErr w:type="spellEnd"/>
      <w:r>
        <w:rPr>
          <w:rFonts w:ascii="Times New Roman" w:hAnsi="Times New Roman"/>
          <w:i/>
          <w:iCs/>
        </w:rPr>
        <w:t xml:space="preserve"> </w:t>
      </w:r>
      <w:proofErr w:type="spellStart"/>
      <w:r>
        <w:rPr>
          <w:rFonts w:ascii="Times New Roman" w:hAnsi="Times New Roman"/>
          <w:i/>
          <w:iCs/>
        </w:rPr>
        <w:t>alia</w:t>
      </w:r>
      <w:proofErr w:type="spellEnd"/>
      <w:r>
        <w:rPr>
          <w:rFonts w:ascii="Times New Roman" w:hAnsi="Times New Roman"/>
        </w:rPr>
        <w:t xml:space="preserve"> apgalvoja, ka 1. pants neatbilda Hartas 7. un 8. pantam un Konvencijas 8. pantam.</w:t>
      </w:r>
    </w:p>
    <w:p w14:paraId="75DFDFC6"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215. 2015. gada 17. jūlijā Augstā tiesa nosprieda, ka ar lietā “</w:t>
      </w:r>
      <w:proofErr w:type="spellStart"/>
      <w:r>
        <w:rPr>
          <w:rFonts w:ascii="Times New Roman" w:hAnsi="Times New Roman"/>
        </w:rPr>
        <w:t>Digital</w:t>
      </w:r>
      <w:proofErr w:type="spellEnd"/>
      <w:r>
        <w:rPr>
          <w:rFonts w:ascii="Times New Roman" w:hAnsi="Times New Roman"/>
        </w:rPr>
        <w:t xml:space="preserve"> </w:t>
      </w:r>
      <w:proofErr w:type="spellStart"/>
      <w:r>
        <w:rPr>
          <w:rFonts w:ascii="Times New Roman" w:hAnsi="Times New Roman"/>
        </w:rPr>
        <w:t>Rights</w:t>
      </w:r>
      <w:proofErr w:type="spellEnd"/>
      <w:r>
        <w:rPr>
          <w:rFonts w:ascii="Times New Roman" w:hAnsi="Times New Roman"/>
        </w:rPr>
        <w:t xml:space="preserve">” pasludināto spriedumu bija noteiktas “obligātās ES tiesību aktu prasības”, kas attiecas uz dalībvalstu tiesību aktiem par sakaru datu saglabāšanu un piekļuvi šiem datiem. Tā kā </w:t>
      </w:r>
      <w:proofErr w:type="spellStart"/>
      <w:r>
        <w:rPr>
          <w:rFonts w:ascii="Times New Roman" w:hAnsi="Times New Roman"/>
        </w:rPr>
        <w:t>EST</w:t>
      </w:r>
      <w:proofErr w:type="spellEnd"/>
      <w:r>
        <w:rPr>
          <w:rFonts w:ascii="Times New Roman" w:hAnsi="Times New Roman"/>
        </w:rPr>
        <w:t xml:space="preserve"> šajā spriedumā nosprieda, ka Direktīva 2006/24 neatbilda samērīguma principam, arī valsts tiesību akti ar tādiem pašiem noteikumiem kā minētajā direktīvā nevarēja atbilst šim principam. Patiesībā no sprieduma lietā “</w:t>
      </w:r>
      <w:proofErr w:type="spellStart"/>
      <w:r>
        <w:rPr>
          <w:rFonts w:ascii="Times New Roman" w:hAnsi="Times New Roman"/>
        </w:rPr>
        <w:t>Digital</w:t>
      </w:r>
      <w:proofErr w:type="spellEnd"/>
      <w:r>
        <w:rPr>
          <w:rFonts w:ascii="Times New Roman" w:hAnsi="Times New Roman"/>
        </w:rPr>
        <w:t xml:space="preserve"> </w:t>
      </w:r>
      <w:proofErr w:type="spellStart"/>
      <w:r>
        <w:rPr>
          <w:rFonts w:ascii="Times New Roman" w:hAnsi="Times New Roman"/>
        </w:rPr>
        <w:t>Rights</w:t>
      </w:r>
      <w:proofErr w:type="spellEnd"/>
      <w:r>
        <w:rPr>
          <w:rFonts w:ascii="Times New Roman" w:hAnsi="Times New Roman"/>
        </w:rPr>
        <w:t xml:space="preserve">” pamatā esošās loģikas izrietēja, ka ar tiesību aktiem, kas nosaka vispārēju regulējumu par sakaru datu saglabāšanu, tika pārkāptas Hartas 7. un 8. pantā garantētās tiesības, ja vien šos tiesību aktus nepapildināja vispārējs regulējums par piekļuvi datiem, ko definējuši valsts tiesību akti, kas paredz pietiekamus drošības pasākumus šo tiesību aizsardzībai. Līdz ar to </w:t>
      </w:r>
      <w:proofErr w:type="spellStart"/>
      <w:r>
        <w:rPr>
          <w:rFonts w:ascii="Times New Roman" w:hAnsi="Times New Roman"/>
          <w:i/>
          <w:iCs/>
        </w:rPr>
        <w:t>DRIPA</w:t>
      </w:r>
      <w:proofErr w:type="spellEnd"/>
      <w:r>
        <w:rPr>
          <w:rFonts w:ascii="Times New Roman" w:hAnsi="Times New Roman"/>
        </w:rPr>
        <w:t xml:space="preserve"> 1. pants neatbilda Hartas 7. un 8. pantam, jo tajā nebija iekļauti skaidri un precīzi noteikumi, kas paredz piekļuvi saglabātajiem datiem un to izmantošanu, turklāt attiecībā uz piekļuvi šiem datiem nebija noteikta iepriekšēja pārskatīšana, ko veiktu vai nu tiesa, vai arī kāda neatkarīga administratīva struktūra.</w:t>
      </w:r>
    </w:p>
    <w:p w14:paraId="2898B08F"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216. Valsts sekretāram iesniedzot apelācijas sūdzību, Apelācijas tiesa lūdza </w:t>
      </w:r>
      <w:proofErr w:type="spellStart"/>
      <w:r>
        <w:rPr>
          <w:rFonts w:ascii="Times New Roman" w:hAnsi="Times New Roman"/>
        </w:rPr>
        <w:t>EST</w:t>
      </w:r>
      <w:proofErr w:type="spellEnd"/>
      <w:r>
        <w:rPr>
          <w:rFonts w:ascii="Times New Roman" w:hAnsi="Times New Roman"/>
        </w:rPr>
        <w:t xml:space="preserve"> sniegt prejudiciālu nolēmumu.</w:t>
      </w:r>
    </w:p>
    <w:p w14:paraId="04BA1AB8"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217. </w:t>
      </w:r>
      <w:proofErr w:type="spellStart"/>
      <w:r>
        <w:rPr>
          <w:rFonts w:ascii="Times New Roman" w:hAnsi="Times New Roman"/>
        </w:rPr>
        <w:t>EST</w:t>
      </w:r>
      <w:proofErr w:type="spellEnd"/>
      <w:r>
        <w:rPr>
          <w:rFonts w:ascii="Times New Roman" w:hAnsi="Times New Roman"/>
        </w:rPr>
        <w:t xml:space="preserve"> šī lieta tika apvienota ar Stokholmas Apelācijas tiesas [</w:t>
      </w:r>
      <w:proofErr w:type="spellStart"/>
      <w:r>
        <w:rPr>
          <w:rFonts w:ascii="Times New Roman" w:hAnsi="Times New Roman"/>
          <w:i/>
          <w:iCs/>
        </w:rPr>
        <w:t>Kammarrätten</w:t>
      </w:r>
      <w:proofErr w:type="spellEnd"/>
      <w:r>
        <w:rPr>
          <w:rFonts w:ascii="Times New Roman" w:hAnsi="Times New Roman"/>
          <w:i/>
          <w:iCs/>
        </w:rPr>
        <w:t xml:space="preserve"> i </w:t>
      </w:r>
      <w:proofErr w:type="spellStart"/>
      <w:r>
        <w:rPr>
          <w:rFonts w:ascii="Times New Roman" w:hAnsi="Times New Roman"/>
          <w:i/>
          <w:iCs/>
        </w:rPr>
        <w:t>Stockholm</w:t>
      </w:r>
      <w:proofErr w:type="spellEnd"/>
      <w:r>
        <w:rPr>
          <w:rFonts w:ascii="Times New Roman" w:hAnsi="Times New Roman"/>
        </w:rPr>
        <w:t>] lūgumu sniegt prejudiciālu nolēmumu lietā C‑203/15 ““</w:t>
      </w:r>
      <w:proofErr w:type="spellStart"/>
      <w:r>
        <w:rPr>
          <w:rFonts w:ascii="Times New Roman" w:hAnsi="Times New Roman"/>
        </w:rPr>
        <w:t>Tele2</w:t>
      </w:r>
      <w:proofErr w:type="spellEnd"/>
      <w:r>
        <w:rPr>
          <w:rFonts w:ascii="Times New Roman" w:hAnsi="Times New Roman"/>
        </w:rPr>
        <w:t xml:space="preserve"> </w:t>
      </w:r>
      <w:proofErr w:type="spellStart"/>
      <w:r>
        <w:rPr>
          <w:rFonts w:ascii="Times New Roman" w:hAnsi="Times New Roman"/>
        </w:rPr>
        <w:t>Sverige</w:t>
      </w:r>
      <w:proofErr w:type="spellEnd"/>
      <w:r>
        <w:rPr>
          <w:rFonts w:ascii="Times New Roman" w:hAnsi="Times New Roman"/>
        </w:rPr>
        <w:t xml:space="preserve"> AB” pret “Post- </w:t>
      </w:r>
      <w:proofErr w:type="spellStart"/>
      <w:r>
        <w:rPr>
          <w:rFonts w:ascii="Times New Roman" w:hAnsi="Times New Roman"/>
        </w:rPr>
        <w:t>och</w:t>
      </w:r>
      <w:proofErr w:type="spellEnd"/>
      <w:r>
        <w:rPr>
          <w:rFonts w:ascii="Times New Roman" w:hAnsi="Times New Roman"/>
        </w:rPr>
        <w:t xml:space="preserve"> </w:t>
      </w:r>
      <w:proofErr w:type="spellStart"/>
      <w:r>
        <w:rPr>
          <w:rFonts w:ascii="Times New Roman" w:hAnsi="Times New Roman"/>
        </w:rPr>
        <w:lastRenderedPageBreak/>
        <w:t>telestyrelsen</w:t>
      </w:r>
      <w:proofErr w:type="spellEnd"/>
      <w:r>
        <w:rPr>
          <w:rFonts w:ascii="Times New Roman" w:hAnsi="Times New Roman"/>
        </w:rPr>
        <w:t xml:space="preserve">””. Pēc mutvārdu paskaidrojumu uzklausīšanas, kurā iesaistījās aptuveni piecpadsmit Eiropas Savienības dalībvalstis, </w:t>
      </w:r>
      <w:proofErr w:type="spellStart"/>
      <w:r>
        <w:rPr>
          <w:rFonts w:ascii="Times New Roman" w:hAnsi="Times New Roman"/>
        </w:rPr>
        <w:t>EST</w:t>
      </w:r>
      <w:proofErr w:type="spellEnd"/>
      <w:r>
        <w:rPr>
          <w:rFonts w:ascii="Times New Roman" w:hAnsi="Times New Roman"/>
        </w:rPr>
        <w:t xml:space="preserve"> 2016. gada 21. decembrī pasludināja spriedumu. </w:t>
      </w:r>
      <w:proofErr w:type="spellStart"/>
      <w:r>
        <w:rPr>
          <w:rFonts w:ascii="Times New Roman" w:hAnsi="Times New Roman"/>
        </w:rPr>
        <w:t>EST</w:t>
      </w:r>
      <w:proofErr w:type="spellEnd"/>
      <w:r>
        <w:rPr>
          <w:rFonts w:ascii="Times New Roman" w:hAnsi="Times New Roman"/>
        </w:rPr>
        <w:t xml:space="preserve"> nosprieda, ka Direktīvas 2002/58 15. panta 1. punkts, to aplūkojot kopā ar Hartas 7., 8. un 11. pantu un 52. panta 1. punktu, ir interpretējams tādējādi, ka tas aizliedz valsts tiesību aktus, kas regulē datplūsmas un atrašanās vietas datu aizsardzību, jo īpaši kompetento valsts iestāžu piekļuvi saglabātajiem datiem, ja šīs piekļuves mērķis noziegumu apkarošanas kontekstā nav vienīgi smagu noziegumu apkarošana, kad attiecībā uz piekļuvi nav noteikta iepriekšēja pārskatīšana, ko veiktu vai nu tiesa, vai arī kāda neatkarīga administratīva iestāde, un kad nav prasības, ka attiecīgie dati ir jāsaglabā Eiropas Savienībā.</w:t>
      </w:r>
    </w:p>
    <w:p w14:paraId="729FC43B"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218. Apelācijas tiesas jautājumu par to, vai Hartas 7. un 8. pantā paredzētā aizsardzība ir plašāka nekā Konvencijas 8. pantā paredzētā aizsardzība, </w:t>
      </w:r>
      <w:proofErr w:type="spellStart"/>
      <w:r>
        <w:rPr>
          <w:rFonts w:ascii="Times New Roman" w:hAnsi="Times New Roman"/>
        </w:rPr>
        <w:t>EST</w:t>
      </w:r>
      <w:proofErr w:type="spellEnd"/>
      <w:r>
        <w:rPr>
          <w:rFonts w:ascii="Times New Roman" w:hAnsi="Times New Roman"/>
        </w:rPr>
        <w:t xml:space="preserve"> atzina par nepieņemamu.</w:t>
      </w:r>
    </w:p>
    <w:p w14:paraId="7637FEE5" w14:textId="77777777" w:rsidR="00F82F2D" w:rsidRDefault="00F82F2D" w:rsidP="00F82F2D">
      <w:pPr>
        <w:pStyle w:val="JuPara"/>
        <w:widowControl w:val="0"/>
        <w:ind w:firstLine="142"/>
        <w:rPr>
          <w:rFonts w:ascii="Times New Roman" w:hAnsi="Times New Roman"/>
          <w:noProof/>
        </w:rPr>
      </w:pPr>
      <w:bookmarkStart w:id="198" w:name="Watson"/>
      <w:r>
        <w:rPr>
          <w:rFonts w:ascii="Times New Roman" w:hAnsi="Times New Roman"/>
        </w:rPr>
        <w:t>219</w:t>
      </w:r>
      <w:bookmarkEnd w:id="198"/>
      <w:r>
        <w:rPr>
          <w:rFonts w:ascii="Times New Roman" w:hAnsi="Times New Roman"/>
        </w:rPr>
        <w:t xml:space="preserve">. Pēc </w:t>
      </w:r>
      <w:proofErr w:type="spellStart"/>
      <w:r>
        <w:rPr>
          <w:rFonts w:ascii="Times New Roman" w:hAnsi="Times New Roman"/>
        </w:rPr>
        <w:t>EST</w:t>
      </w:r>
      <w:proofErr w:type="spellEnd"/>
      <w:r>
        <w:rPr>
          <w:rFonts w:ascii="Times New Roman" w:hAnsi="Times New Roman"/>
        </w:rPr>
        <w:t xml:space="preserve"> sprieduma pasludināšanas lietu nodeva atpakaļ izskatīšanai Apelācijas tiesai. 2018. gada 31. janvārī tā pasludināja konstatējošu spriedumu, proti, ka </w:t>
      </w:r>
      <w:proofErr w:type="spellStart"/>
      <w:r>
        <w:rPr>
          <w:rFonts w:ascii="Times New Roman" w:hAnsi="Times New Roman"/>
          <w:i/>
          <w:iCs/>
        </w:rPr>
        <w:t>DRIPA</w:t>
      </w:r>
      <w:proofErr w:type="spellEnd"/>
      <w:r>
        <w:rPr>
          <w:rFonts w:ascii="Times New Roman" w:hAnsi="Times New Roman"/>
        </w:rPr>
        <w:t xml:space="preserve"> 1. pants bija pretrunā ar Eiropas Savienības tiesību aktiem, ciktāl tas ļāva piekļūt saglabātajiem datiem, ja piekļuves mērķis nebija vienīgi smaga nozieguma apkarošana vai attiecībā uz piekļuvi nebija noteikta iepriekšēja pārskatīšana, ko veiktu vai nu tiesa, vai arī kāda neatkarīga administratīva iestāde.</w:t>
      </w:r>
    </w:p>
    <w:p w14:paraId="5D3A93F2" w14:textId="77777777" w:rsidR="00F82F2D" w:rsidRPr="008D031E" w:rsidRDefault="00F82F2D" w:rsidP="00F82F2D">
      <w:pPr>
        <w:pStyle w:val="JuPara"/>
        <w:widowControl w:val="0"/>
        <w:ind w:firstLine="142"/>
        <w:rPr>
          <w:rFonts w:ascii="Times New Roman" w:hAnsi="Times New Roman"/>
          <w:noProof/>
          <w:lang w:val="en-US"/>
        </w:rPr>
      </w:pPr>
    </w:p>
    <w:p w14:paraId="2B4A9564" w14:textId="77777777" w:rsidR="00F82F2D" w:rsidRDefault="00F82F2D" w:rsidP="00F82F2D">
      <w:pPr>
        <w:pStyle w:val="JuH1"/>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3.</w:t>
      </w:r>
      <w:r>
        <w:rPr>
          <w:rFonts w:ascii="Times New Roman" w:hAnsi="Times New Roman"/>
          <w:i w:val="0"/>
        </w:rPr>
        <w:t xml:space="preserve"> Spriedums lietā “</w:t>
      </w:r>
      <w:proofErr w:type="spellStart"/>
      <w:r>
        <w:rPr>
          <w:rFonts w:ascii="Times New Roman" w:hAnsi="Times New Roman"/>
          <w:i w:val="0"/>
        </w:rPr>
        <w:t>Ministerio</w:t>
      </w:r>
      <w:proofErr w:type="spellEnd"/>
      <w:r>
        <w:rPr>
          <w:rFonts w:ascii="Times New Roman" w:hAnsi="Times New Roman"/>
          <w:i w:val="0"/>
        </w:rPr>
        <w:t xml:space="preserve"> </w:t>
      </w:r>
      <w:proofErr w:type="spellStart"/>
      <w:r>
        <w:rPr>
          <w:rFonts w:ascii="Times New Roman" w:hAnsi="Times New Roman"/>
          <w:i w:val="0"/>
        </w:rPr>
        <w:t>Fiscal</w:t>
      </w:r>
      <w:proofErr w:type="spellEnd"/>
      <w:r>
        <w:rPr>
          <w:rFonts w:ascii="Times New Roman" w:hAnsi="Times New Roman"/>
          <w:i w:val="0"/>
        </w:rPr>
        <w:t xml:space="preserve">” </w:t>
      </w:r>
      <w:r>
        <w:rPr>
          <w:rFonts w:ascii="Times New Roman" w:hAnsi="Times New Roman"/>
        </w:rPr>
        <w:t xml:space="preserve">(lieta C-207/16; </w:t>
      </w:r>
      <w:proofErr w:type="spellStart"/>
      <w:r>
        <w:rPr>
          <w:rFonts w:ascii="Times New Roman" w:hAnsi="Times New Roman"/>
        </w:rPr>
        <w:t>ECLI:EU:C:2018:788</w:t>
      </w:r>
      <w:proofErr w:type="spellEnd"/>
      <w:r>
        <w:rPr>
          <w:rFonts w:ascii="Times New Roman" w:hAnsi="Times New Roman"/>
        </w:rPr>
        <w:t>)</w:t>
      </w:r>
    </w:p>
    <w:p w14:paraId="6751D513" w14:textId="77777777" w:rsidR="00F82F2D" w:rsidRPr="000A2AD4" w:rsidRDefault="00F82F2D" w:rsidP="00F82F2D">
      <w:pPr>
        <w:pStyle w:val="JuPara"/>
        <w:widowControl w:val="0"/>
        <w:rPr>
          <w:lang w:val="en-US"/>
        </w:rPr>
      </w:pPr>
    </w:p>
    <w:p w14:paraId="49681923"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220. Šis lūgums sniegt prejudiciālu nolēmumu tika iesniegts pēc tam, kad Spānijas policija, izmeklējot naudas maka un mobilā tālruņa zādzību, lūdza izmeklēšanas tiesnesi piešķirt tai piekļuvi datiem, ar ko var identificēt lietotājus, kuriem pieder tālruņa numuri, kas aktivizēti ar nozagtu mobilo tālruni divpadsmit dienu laikā pirms zādzības. Izmeklēšanas tiesnesis noraidīja šo lūgumu, </w:t>
      </w:r>
      <w:proofErr w:type="spellStart"/>
      <w:r>
        <w:rPr>
          <w:rFonts w:ascii="Times New Roman" w:hAnsi="Times New Roman"/>
          <w:i/>
          <w:iCs/>
        </w:rPr>
        <w:t>inter</w:t>
      </w:r>
      <w:proofErr w:type="spellEnd"/>
      <w:r>
        <w:rPr>
          <w:rFonts w:ascii="Times New Roman" w:hAnsi="Times New Roman"/>
          <w:i/>
          <w:iCs/>
        </w:rPr>
        <w:t xml:space="preserve"> </w:t>
      </w:r>
      <w:proofErr w:type="spellStart"/>
      <w:r>
        <w:rPr>
          <w:rFonts w:ascii="Times New Roman" w:hAnsi="Times New Roman"/>
          <w:i/>
          <w:iCs/>
        </w:rPr>
        <w:t>alia</w:t>
      </w:r>
      <w:proofErr w:type="spellEnd"/>
      <w:r>
        <w:rPr>
          <w:rFonts w:ascii="Times New Roman" w:hAnsi="Times New Roman"/>
        </w:rPr>
        <w:t xml:space="preserve"> to pamatojot ar argumentu, ka apstākļi, kas bija par pamatu </w:t>
      </w:r>
      <w:proofErr w:type="spellStart"/>
      <w:r>
        <w:rPr>
          <w:rFonts w:ascii="Times New Roman" w:hAnsi="Times New Roman"/>
        </w:rPr>
        <w:t>kriminālizmeklēšanas</w:t>
      </w:r>
      <w:proofErr w:type="spellEnd"/>
      <w:r>
        <w:rPr>
          <w:rFonts w:ascii="Times New Roman" w:hAnsi="Times New Roman"/>
        </w:rPr>
        <w:t xml:space="preserve"> uzsākšanai, nebija “smags” noziedzīgs nodarījums. </w:t>
      </w:r>
      <w:proofErr w:type="spellStart"/>
      <w:r>
        <w:rPr>
          <w:rFonts w:ascii="Times New Roman" w:hAnsi="Times New Roman"/>
        </w:rPr>
        <w:t>Iesniedzējtiesa</w:t>
      </w:r>
      <w:proofErr w:type="spellEnd"/>
      <w:r>
        <w:rPr>
          <w:rFonts w:ascii="Times New Roman" w:hAnsi="Times New Roman"/>
        </w:rPr>
        <w:t xml:space="preserve"> pēc tam vērsās </w:t>
      </w:r>
      <w:proofErr w:type="spellStart"/>
      <w:r>
        <w:rPr>
          <w:rFonts w:ascii="Times New Roman" w:hAnsi="Times New Roman"/>
        </w:rPr>
        <w:t>EST</w:t>
      </w:r>
      <w:proofErr w:type="spellEnd"/>
      <w:r>
        <w:rPr>
          <w:rFonts w:ascii="Times New Roman" w:hAnsi="Times New Roman"/>
        </w:rPr>
        <w:t xml:space="preserve">, lūdzot sniegt norādījumus par noziedzīga nodarījuma smaguma sliekšņa noteikšanu, kuru pārsniedzot ir attaisnojama iejaukšanās personas </w:t>
      </w:r>
      <w:proofErr w:type="spellStart"/>
      <w:r>
        <w:rPr>
          <w:rFonts w:ascii="Times New Roman" w:hAnsi="Times New Roman"/>
        </w:rPr>
        <w:t>pamattiesībās</w:t>
      </w:r>
      <w:proofErr w:type="spellEnd"/>
      <w:r>
        <w:rPr>
          <w:rFonts w:ascii="Times New Roman" w:hAnsi="Times New Roman"/>
        </w:rPr>
        <w:t>, piemēram, kompetento valsts iestāžu piekļuve elektronisko sakaru pakalpojumu sniedzēju saglabātajiem personas datiem.</w:t>
      </w:r>
    </w:p>
    <w:p w14:paraId="39992862" w14:textId="77777777" w:rsidR="00F82F2D" w:rsidRDefault="00F82F2D" w:rsidP="00F82F2D">
      <w:pPr>
        <w:pStyle w:val="JuPara"/>
        <w:widowControl w:val="0"/>
        <w:ind w:firstLine="142"/>
        <w:rPr>
          <w:rFonts w:ascii="Times New Roman" w:hAnsi="Times New Roman"/>
          <w:noProof/>
        </w:rPr>
      </w:pPr>
      <w:r>
        <w:rPr>
          <w:rFonts w:ascii="Times New Roman" w:hAnsi="Times New Roman"/>
        </w:rPr>
        <w:t xml:space="preserve">221. 2018. gada 2. oktobrī </w:t>
      </w:r>
      <w:proofErr w:type="spellStart"/>
      <w:r>
        <w:rPr>
          <w:rFonts w:ascii="Times New Roman" w:hAnsi="Times New Roman"/>
        </w:rPr>
        <w:t>EST</w:t>
      </w:r>
      <w:proofErr w:type="spellEnd"/>
      <w:r>
        <w:rPr>
          <w:rFonts w:ascii="Times New Roman" w:hAnsi="Times New Roman"/>
        </w:rPr>
        <w:t xml:space="preserve"> Lielā palāta nosprieda, ka Direktīvas 2002/58/EK 15. panta 1. punkts, to aplūkojot kopā ar Eiropas Savienības </w:t>
      </w:r>
      <w:proofErr w:type="spellStart"/>
      <w:r>
        <w:rPr>
          <w:rFonts w:ascii="Times New Roman" w:hAnsi="Times New Roman"/>
        </w:rPr>
        <w:t>Pamattiesību</w:t>
      </w:r>
      <w:proofErr w:type="spellEnd"/>
      <w:r>
        <w:rPr>
          <w:rFonts w:ascii="Times New Roman" w:hAnsi="Times New Roman"/>
        </w:rPr>
        <w:t xml:space="preserve"> hartas 7. un 8. pantu, ir interpretējams tādējādi, ka valsts iestāžu piekļuve datiem nolūkā identificēt to SIM karšu īpašniekus, kas aktivizētas ar zagtu mobilo tālruni, piemēram, īpašnieku uzvārdiem, vārdiem un, ja nepieciešams,, viņu adresēm, ir radījusi iejaukšanos viņu </w:t>
      </w:r>
      <w:proofErr w:type="spellStart"/>
      <w:r>
        <w:rPr>
          <w:rFonts w:ascii="Times New Roman" w:hAnsi="Times New Roman"/>
        </w:rPr>
        <w:t>pamattiesībās</w:t>
      </w:r>
      <w:proofErr w:type="spellEnd"/>
      <w:r>
        <w:rPr>
          <w:rFonts w:ascii="Times New Roman" w:hAnsi="Times New Roman"/>
        </w:rPr>
        <w:t>, kas nebija tik būtiska, lai šī piekļuve noziedzīgu nodarījumu novēršanas, izmeklēšanas, atklāšanas un kriminālvajāšanas jomās attiektos vienīgi uz smagu noziegumu apkarošanu. Tā jo īpaši norādīja:</w:t>
      </w:r>
    </w:p>
    <w:p w14:paraId="43AF1B2E" w14:textId="77777777" w:rsidR="00F82F2D" w:rsidRPr="008D031E" w:rsidRDefault="00F82F2D" w:rsidP="00F82F2D">
      <w:pPr>
        <w:pStyle w:val="JuPara"/>
        <w:widowControl w:val="0"/>
        <w:ind w:firstLine="142"/>
        <w:rPr>
          <w:rFonts w:ascii="Times New Roman" w:hAnsi="Times New Roman"/>
          <w:noProof/>
          <w:lang w:val="en-US"/>
        </w:rPr>
      </w:pPr>
    </w:p>
    <w:p w14:paraId="2FB29CE9" w14:textId="77777777" w:rsidR="00F82F2D" w:rsidRPr="008D031E" w:rsidRDefault="00F82F2D" w:rsidP="00F82F2D">
      <w:pPr>
        <w:pStyle w:val="JuQuot"/>
        <w:widowControl w:val="0"/>
        <w:spacing w:before="0" w:after="0"/>
        <w:ind w:left="284"/>
        <w:rPr>
          <w:rFonts w:ascii="Times New Roman" w:hAnsi="Times New Roman"/>
          <w:noProof/>
          <w:sz w:val="24"/>
        </w:rPr>
      </w:pPr>
      <w:r>
        <w:rPr>
          <w:rFonts w:ascii="Times New Roman" w:hAnsi="Times New Roman"/>
          <w:sz w:val="24"/>
        </w:rPr>
        <w:t>“Atbilstoši samērīguma principam noziedzīgu nodarījumu novēršanas, izmeklēšanas, atklāšanas un kriminālvajāšanas jomā būtisku iejaukšanos var pamatot ar cīņu pret noziegumu, kas kvalificējams kā “smags”.</w:t>
      </w:r>
    </w:p>
    <w:p w14:paraId="723A7161" w14:textId="77777777" w:rsidR="00F82F2D" w:rsidRDefault="00F82F2D" w:rsidP="00F82F2D">
      <w:pPr>
        <w:pStyle w:val="JuQuot"/>
        <w:widowControl w:val="0"/>
        <w:spacing w:before="0" w:after="0"/>
        <w:ind w:left="284"/>
        <w:rPr>
          <w:rFonts w:ascii="Times New Roman" w:hAnsi="Times New Roman"/>
          <w:noProof/>
          <w:sz w:val="24"/>
        </w:rPr>
      </w:pPr>
      <w:r>
        <w:rPr>
          <w:rFonts w:ascii="Times New Roman" w:hAnsi="Times New Roman"/>
          <w:sz w:val="24"/>
        </w:rPr>
        <w:t>Savukārt, ja šādas piekļuves radīta iejaukšanās nav būtiska, minēto piekļuvi var pamatot ar “noziedzīgu nodarījumu” novēršanas, izmeklēšanas, atklāšanas un kriminālvajāšanas nolūku vispārīgā veidā.”</w:t>
      </w:r>
    </w:p>
    <w:p w14:paraId="471C952B" w14:textId="77777777" w:rsidR="00F82F2D" w:rsidRPr="008D031E" w:rsidRDefault="00F82F2D" w:rsidP="00F82F2D">
      <w:pPr>
        <w:pStyle w:val="JuQuot"/>
        <w:widowControl w:val="0"/>
        <w:spacing w:before="0" w:after="0"/>
        <w:ind w:left="0"/>
        <w:rPr>
          <w:rFonts w:ascii="Times New Roman" w:hAnsi="Times New Roman"/>
          <w:noProof/>
          <w:sz w:val="24"/>
          <w:lang w:val="en-US"/>
        </w:rPr>
      </w:pPr>
    </w:p>
    <w:p w14:paraId="2E936113" w14:textId="77777777" w:rsidR="00F82F2D" w:rsidRDefault="00F82F2D" w:rsidP="00F82F2D">
      <w:pPr>
        <w:pStyle w:val="JuPara"/>
        <w:widowControl w:val="0"/>
        <w:ind w:firstLine="142"/>
        <w:rPr>
          <w:rFonts w:ascii="Times New Roman" w:hAnsi="Times New Roman"/>
          <w:noProof/>
        </w:rPr>
      </w:pPr>
      <w:r>
        <w:rPr>
          <w:rFonts w:ascii="Times New Roman" w:hAnsi="Times New Roman"/>
        </w:rPr>
        <w:t>222. Tā neuzskatīja, ka ar piekļuvi pieprasītajiem datiem tiek pieļauta īpaši būtiska iejaukšanās, jo</w:t>
      </w:r>
    </w:p>
    <w:p w14:paraId="66FFD032" w14:textId="77777777" w:rsidR="00F82F2D" w:rsidRPr="008D031E" w:rsidRDefault="00F82F2D" w:rsidP="00F82F2D">
      <w:pPr>
        <w:pStyle w:val="JuPara"/>
        <w:widowControl w:val="0"/>
        <w:ind w:firstLine="142"/>
        <w:rPr>
          <w:rFonts w:ascii="Times New Roman" w:hAnsi="Times New Roman"/>
          <w:noProof/>
          <w:lang w:val="en-US"/>
        </w:rPr>
      </w:pPr>
    </w:p>
    <w:p w14:paraId="7EE2F423" w14:textId="77777777" w:rsidR="00F82F2D" w:rsidRDefault="00F82F2D" w:rsidP="00F82F2D">
      <w:pPr>
        <w:pStyle w:val="JuQuot"/>
        <w:widowControl w:val="0"/>
        <w:spacing w:before="0" w:after="0"/>
        <w:ind w:left="284" w:firstLine="0"/>
        <w:rPr>
          <w:rFonts w:ascii="Times New Roman" w:hAnsi="Times New Roman"/>
          <w:noProof/>
          <w:sz w:val="24"/>
        </w:rPr>
      </w:pPr>
      <w:r>
        <w:rPr>
          <w:rFonts w:ascii="Times New Roman" w:hAnsi="Times New Roman"/>
          <w:sz w:val="24"/>
        </w:rPr>
        <w:t xml:space="preserve">“tie paredzēti vienīgi tam, lai noteiktā laikposmā ar zagto mobilo tālruni aktivizētās SIM </w:t>
      </w:r>
      <w:r>
        <w:rPr>
          <w:rFonts w:ascii="Times New Roman" w:hAnsi="Times New Roman"/>
          <w:sz w:val="24"/>
        </w:rPr>
        <w:lastRenderedPageBreak/>
        <w:t>kartes varētu sasaistīt ar šo SIM karšu īpašnieku identitāti. Neveicot kontrolpārbaudes ar datiem par sakariem ar šīm SIM kartēm un atrašanās vietas datiem, šie dati neļauj noskaidrot nedz ar vienu vai vairākām attiecīgajām SIM kartēm pārraidīto sakaru datumu, laiku, ilgumu un adresātus, nedz šo sakaru vietu vai to biežumu ar noteiktām personām konkrētā laika posmā. Tādējādi pēc minētajiem datiem nevar precīzi secināt par to personu privāto dzīvi, kuru dati tikuši aizskarti.”</w:t>
      </w:r>
    </w:p>
    <w:p w14:paraId="63BCEB15" w14:textId="77777777" w:rsidR="00F82F2D" w:rsidRPr="008D031E" w:rsidRDefault="00F82F2D" w:rsidP="00F82F2D">
      <w:pPr>
        <w:pStyle w:val="JuQuot"/>
        <w:widowControl w:val="0"/>
        <w:spacing w:before="0" w:after="0"/>
        <w:ind w:left="0"/>
        <w:rPr>
          <w:rFonts w:ascii="Times New Roman" w:hAnsi="Times New Roman"/>
          <w:noProof/>
          <w:sz w:val="24"/>
          <w:lang w:val="en-US"/>
        </w:rPr>
      </w:pPr>
    </w:p>
    <w:p w14:paraId="619374F2" w14:textId="77777777" w:rsidR="00F82F2D" w:rsidRDefault="00F82F2D" w:rsidP="00F82F2D">
      <w:pPr>
        <w:pStyle w:val="JuH1"/>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4.</w:t>
      </w:r>
      <w:r>
        <w:rPr>
          <w:rFonts w:ascii="Times New Roman" w:hAnsi="Times New Roman"/>
          <w:i w:val="0"/>
        </w:rPr>
        <w:t xml:space="preserve"> Spriedums lietā “</w:t>
      </w:r>
      <w:proofErr w:type="spellStart"/>
      <w:r>
        <w:rPr>
          <w:rFonts w:ascii="Times New Roman" w:hAnsi="Times New Roman"/>
          <w:i w:val="0"/>
        </w:rPr>
        <w:t>Maksimilians</w:t>
      </w:r>
      <w:proofErr w:type="spellEnd"/>
      <w:r>
        <w:rPr>
          <w:rFonts w:ascii="Times New Roman" w:hAnsi="Times New Roman"/>
          <w:i w:val="0"/>
        </w:rPr>
        <w:t xml:space="preserve"> </w:t>
      </w:r>
      <w:proofErr w:type="spellStart"/>
      <w:r>
        <w:rPr>
          <w:rFonts w:ascii="Times New Roman" w:hAnsi="Times New Roman"/>
          <w:i w:val="0"/>
        </w:rPr>
        <w:t>Šrēmss</w:t>
      </w:r>
      <w:proofErr w:type="spellEnd"/>
      <w:r>
        <w:rPr>
          <w:rFonts w:ascii="Times New Roman" w:hAnsi="Times New Roman"/>
          <w:i w:val="0"/>
        </w:rPr>
        <w:t xml:space="preserve"> [</w:t>
      </w:r>
      <w:proofErr w:type="spellStart"/>
      <w:r>
        <w:rPr>
          <w:rFonts w:ascii="Times New Roman" w:hAnsi="Times New Roman"/>
        </w:rPr>
        <w:t>Maximillian</w:t>
      </w:r>
      <w:proofErr w:type="spellEnd"/>
      <w:r>
        <w:rPr>
          <w:rFonts w:ascii="Times New Roman" w:hAnsi="Times New Roman"/>
        </w:rPr>
        <w:t xml:space="preserve"> </w:t>
      </w:r>
      <w:proofErr w:type="spellStart"/>
      <w:r>
        <w:rPr>
          <w:rFonts w:ascii="Times New Roman" w:hAnsi="Times New Roman"/>
        </w:rPr>
        <w:t>Schrems</w:t>
      </w:r>
      <w:proofErr w:type="spellEnd"/>
      <w:r>
        <w:rPr>
          <w:rFonts w:ascii="Times New Roman" w:hAnsi="Times New Roman"/>
          <w:i w:val="0"/>
        </w:rPr>
        <w:t xml:space="preserve">] pret datu aizsardzības komisāru </w:t>
      </w:r>
      <w:r>
        <w:rPr>
          <w:rFonts w:ascii="Times New Roman" w:hAnsi="Times New Roman"/>
        </w:rPr>
        <w:t>(lieta C</w:t>
      </w:r>
      <w:r>
        <w:rPr>
          <w:rFonts w:ascii="Times New Roman" w:hAnsi="Times New Roman"/>
        </w:rPr>
        <w:noBreakHyphen/>
        <w:t xml:space="preserve">362/14; </w:t>
      </w:r>
      <w:proofErr w:type="spellStart"/>
      <w:r>
        <w:rPr>
          <w:rFonts w:ascii="Times New Roman" w:hAnsi="Times New Roman"/>
        </w:rPr>
        <w:t>ECLI:EU:C:2015:650</w:t>
      </w:r>
      <w:proofErr w:type="spellEnd"/>
      <w:r>
        <w:rPr>
          <w:rFonts w:ascii="Times New Roman" w:hAnsi="Times New Roman"/>
        </w:rPr>
        <w:t>)</w:t>
      </w:r>
    </w:p>
    <w:p w14:paraId="70FA4C77" w14:textId="77777777" w:rsidR="00F82F2D" w:rsidRPr="000A2AD4" w:rsidRDefault="00F82F2D" w:rsidP="00F82F2D">
      <w:pPr>
        <w:pStyle w:val="JuPara"/>
        <w:widowControl w:val="0"/>
        <w:rPr>
          <w:lang w:val="en-US"/>
        </w:rPr>
      </w:pPr>
    </w:p>
    <w:p w14:paraId="4D54684B"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223. Šis lūgums sniegt prejudiciālu nolēmumu izrietēja no sūdzības pret “</w:t>
      </w:r>
      <w:proofErr w:type="spellStart"/>
      <w:r>
        <w:rPr>
          <w:rFonts w:ascii="Times New Roman" w:hAnsi="Times New Roman"/>
        </w:rPr>
        <w:t>Facebook</w:t>
      </w:r>
      <w:proofErr w:type="spellEnd"/>
      <w:r>
        <w:rPr>
          <w:rFonts w:ascii="Times New Roman" w:hAnsi="Times New Roman"/>
        </w:rPr>
        <w:t xml:space="preserve"> </w:t>
      </w:r>
      <w:proofErr w:type="spellStart"/>
      <w:r>
        <w:rPr>
          <w:rFonts w:ascii="Times New Roman" w:hAnsi="Times New Roman"/>
        </w:rPr>
        <w:t>Ireland</w:t>
      </w:r>
      <w:proofErr w:type="spellEnd"/>
      <w:r>
        <w:rPr>
          <w:rFonts w:ascii="Times New Roman" w:hAnsi="Times New Roman"/>
        </w:rPr>
        <w:t xml:space="preserve"> </w:t>
      </w:r>
      <w:proofErr w:type="spellStart"/>
      <w:r>
        <w:rPr>
          <w:rFonts w:ascii="Times New Roman" w:hAnsi="Times New Roman"/>
        </w:rPr>
        <w:t>Ltd</w:t>
      </w:r>
      <w:proofErr w:type="spellEnd"/>
      <w:r>
        <w:rPr>
          <w:rFonts w:ascii="Times New Roman" w:hAnsi="Times New Roman"/>
        </w:rPr>
        <w:t xml:space="preserve">”, ko pret Īrijas datu aizsardzības komisāru bija iesniedzis </w:t>
      </w:r>
      <w:proofErr w:type="spellStart"/>
      <w:r>
        <w:rPr>
          <w:rFonts w:ascii="Times New Roman" w:hAnsi="Times New Roman"/>
        </w:rPr>
        <w:t>Šrēmss</w:t>
      </w:r>
      <w:proofErr w:type="spellEnd"/>
      <w:r>
        <w:rPr>
          <w:rFonts w:ascii="Times New Roman" w:hAnsi="Times New Roman"/>
        </w:rPr>
        <w:t xml:space="preserve">, privātās dzīves neaizskaramības atbalstītājs no Austrijas. </w:t>
      </w:r>
      <w:proofErr w:type="spellStart"/>
      <w:r>
        <w:rPr>
          <w:rFonts w:ascii="Times New Roman" w:hAnsi="Times New Roman"/>
        </w:rPr>
        <w:t>Šrēmss</w:t>
      </w:r>
      <w:proofErr w:type="spellEnd"/>
      <w:r>
        <w:rPr>
          <w:rFonts w:ascii="Times New Roman" w:hAnsi="Times New Roman"/>
        </w:rPr>
        <w:t xml:space="preserve"> apstrīdēja “</w:t>
      </w:r>
      <w:proofErr w:type="spellStart"/>
      <w:r>
        <w:rPr>
          <w:rFonts w:ascii="Times New Roman" w:hAnsi="Times New Roman"/>
        </w:rPr>
        <w:t>Facebook</w:t>
      </w:r>
      <w:proofErr w:type="spellEnd"/>
      <w:r>
        <w:rPr>
          <w:rFonts w:ascii="Times New Roman" w:hAnsi="Times New Roman"/>
        </w:rPr>
        <w:t xml:space="preserve"> </w:t>
      </w:r>
      <w:proofErr w:type="spellStart"/>
      <w:r>
        <w:rPr>
          <w:rFonts w:ascii="Times New Roman" w:hAnsi="Times New Roman"/>
        </w:rPr>
        <w:t>Ireland</w:t>
      </w:r>
      <w:proofErr w:type="spellEnd"/>
      <w:r>
        <w:rPr>
          <w:rFonts w:ascii="Times New Roman" w:hAnsi="Times New Roman"/>
        </w:rPr>
        <w:t>” veikto viņa datu pārsūtīšanu Amerikas Savienotajām Valstīm un šo datu saglabāšanu serveros, kas atrodas šajā valstī. Datu aizsardzības komisārs noraidīja sūdzību, jo Eiropas Komisija savā 2000. gada 26. jūlija lēmumā bija atzinusi, ka Amerikas Savienotās Valstis ir nodrošinājušas atbilstošu pārsūtīto personas datu aizsardzības līmeni (turpmāk tekstā – “drošības zonas lēmums”).</w:t>
      </w:r>
    </w:p>
    <w:p w14:paraId="3A31D0D9"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224. </w:t>
      </w:r>
      <w:proofErr w:type="spellStart"/>
      <w:r>
        <w:rPr>
          <w:rFonts w:ascii="Times New Roman" w:hAnsi="Times New Roman"/>
        </w:rPr>
        <w:t>EST</w:t>
      </w:r>
      <w:proofErr w:type="spellEnd"/>
      <w:r>
        <w:rPr>
          <w:rFonts w:ascii="Times New Roman" w:hAnsi="Times New Roman"/>
        </w:rPr>
        <w:t xml:space="preserve"> savā 2015. gada 6. oktobra nolēmumā norādīja, ka ar Komisijas lēmumu, kurā atzīts, ka trešā valsts ir nodrošinājusi atbilstošu pārsūtīto personas datu aizsardzības līmeni, nav bijis iespējams anulēt vai pat mazināt pilnvaras, kas valsts pārraudzības iestādēm pieejamas saskaņā ar Hartu vai Datu aizsardzības direktīvu. Līdz ar to pat tad, ja Komisija būtu pieņēmusi lēmumu, valsts pārraudzības iestādēm bija jābūt iespējai pilnīgi neatkarīgi izvērtēt, vai personas datu pārsūtīšana </w:t>
      </w:r>
      <w:proofErr w:type="spellStart"/>
      <w:r>
        <w:rPr>
          <w:rFonts w:ascii="Times New Roman" w:hAnsi="Times New Roman"/>
        </w:rPr>
        <w:t>trešai</w:t>
      </w:r>
      <w:proofErr w:type="spellEnd"/>
      <w:r>
        <w:rPr>
          <w:rFonts w:ascii="Times New Roman" w:hAnsi="Times New Roman"/>
        </w:rPr>
        <w:t xml:space="preserve"> valstij atbildusi direktīvā noteiktajām prasībām.</w:t>
      </w:r>
    </w:p>
    <w:p w14:paraId="2425F93D"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225. Tomēr vienīgi </w:t>
      </w:r>
      <w:proofErr w:type="spellStart"/>
      <w:r>
        <w:rPr>
          <w:rFonts w:ascii="Times New Roman" w:hAnsi="Times New Roman"/>
        </w:rPr>
        <w:t>EST</w:t>
      </w:r>
      <w:proofErr w:type="spellEnd"/>
      <w:r>
        <w:rPr>
          <w:rFonts w:ascii="Times New Roman" w:hAnsi="Times New Roman"/>
        </w:rPr>
        <w:t xml:space="preserve"> var atzīt Komisijas lēmumu par spēkā neesošu. Tā šajā ziņā norādīja, ka drošības zonas sistēma attiekusies vienīgi uz Amerikas Savienoto Valstu uzņēmumiem, kas to ievēro, un ka tā uz Amerikas Savienoto Valstu valsts iestādēm nav attiekusies. Turklāt Amerikas Savienoto Valstu valsts drošības, sabiedrības interešu un tiesībaizsardzības prasības bijušas pārākas par drošības zonas sistēmu, tādēļ Amerikas Savienoto Valstu uzņēmumiem bija pienākums bez ierobežojumiem atstāt bez ievērības šajā sistēmā paredzētos aizsardzības noteikumus, ja tie ir pretrunā ar šīm prasībām. Līdz ar to drošības zonas sistēma ļāva Amerikas Savienoto Valstu publiskajām iestādēm iejaukties personu </w:t>
      </w:r>
      <w:proofErr w:type="spellStart"/>
      <w:r>
        <w:rPr>
          <w:rFonts w:ascii="Times New Roman" w:hAnsi="Times New Roman"/>
        </w:rPr>
        <w:t>pamattiesībās</w:t>
      </w:r>
      <w:proofErr w:type="spellEnd"/>
      <w:r>
        <w:rPr>
          <w:rFonts w:ascii="Times New Roman" w:hAnsi="Times New Roman"/>
        </w:rPr>
        <w:t>, un Komisija drošības zonas lēmumā nebija atsaukusies uz šādu iejaukšanos ierobežojošu noteikumu esību Amerikas Savienotajās Valstīs vai efektīvu tiesisko aizsardzību pret šādu iejaukšanos.</w:t>
      </w:r>
    </w:p>
    <w:p w14:paraId="5FD75BEB"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226. Izvērtējot, vai aizsardzības līmenis Amerikas Savienotajās Valstīs pamatā bijis līdzvērtīgs Eiropas Savienībā garantētajām </w:t>
      </w:r>
      <w:proofErr w:type="spellStart"/>
      <w:r>
        <w:rPr>
          <w:rFonts w:ascii="Times New Roman" w:hAnsi="Times New Roman"/>
        </w:rPr>
        <w:t>pamattiesībām</w:t>
      </w:r>
      <w:proofErr w:type="spellEnd"/>
      <w:r>
        <w:rPr>
          <w:rFonts w:ascii="Times New Roman" w:hAnsi="Times New Roman"/>
        </w:rPr>
        <w:t xml:space="preserve"> un brīvībām, </w:t>
      </w:r>
      <w:proofErr w:type="spellStart"/>
      <w:r>
        <w:rPr>
          <w:rFonts w:ascii="Times New Roman" w:hAnsi="Times New Roman"/>
        </w:rPr>
        <w:t>EST</w:t>
      </w:r>
      <w:proofErr w:type="spellEnd"/>
      <w:r>
        <w:rPr>
          <w:rFonts w:ascii="Times New Roman" w:hAnsi="Times New Roman"/>
        </w:rPr>
        <w:t xml:space="preserve"> atzina, ka tiesiskais regulējums neattiecās vienīgi uz absolūti nepieciešamo, ja tas vispārīgi pieļauj visu to personu personas datu saglabāšanu, kuru dati no Eiropas Savienības ir pārsūtīti uz Amerikas Savienotajām Valstīm bez šķirošanas, ierobežojumiem vai izņēmumiem saistībā ar nolūku, kam tie kalpo, vai bez objektīva kritērija, kas ļauj ierobežot valsts iestāžu piekļuvi datiem un to vēlāku izmantošanu. Tāpēc saskaņā ar </w:t>
      </w:r>
      <w:bookmarkStart w:id="199" w:name="_Hlk51952131"/>
      <w:r>
        <w:rPr>
          <w:rFonts w:ascii="Times New Roman" w:hAnsi="Times New Roman"/>
        </w:rPr>
        <w:t>Eiropas Savienības</w:t>
      </w:r>
      <w:bookmarkEnd w:id="199"/>
      <w:r>
        <w:rPr>
          <w:rFonts w:ascii="Times New Roman" w:hAnsi="Times New Roman"/>
        </w:rPr>
        <w:t xml:space="preserve"> tiesību aktiem tiesiskais regulējums, saskaņā ar kuru valsts iestādēm vispārīgi tiek ļauts piekļūt elektronisko sakaru saturam, bijis jāuzskata par tādu, kas apdraud </w:t>
      </w:r>
      <w:proofErr w:type="spellStart"/>
      <w:r>
        <w:rPr>
          <w:rFonts w:ascii="Times New Roman" w:hAnsi="Times New Roman"/>
        </w:rPr>
        <w:t>pamattiesību</w:t>
      </w:r>
      <w:proofErr w:type="spellEnd"/>
      <w:r>
        <w:rPr>
          <w:rFonts w:ascii="Times New Roman" w:hAnsi="Times New Roman"/>
        </w:rPr>
        <w:t xml:space="preserve"> uz privātās dzīves neaizskaramību būtību. Tāpat tiesiskais regulējums, kurā personām nav paredzētas nekādas iespējas izmantot tiesiskās aizsardzības līdzekļus, lai piekļūtu personas datiem, kas uz tiem attiecas, vai panākt šādu datu labošanu vai dzēšanu, ir apdraudējis </w:t>
      </w:r>
      <w:proofErr w:type="spellStart"/>
      <w:r>
        <w:rPr>
          <w:rFonts w:ascii="Times New Roman" w:hAnsi="Times New Roman"/>
        </w:rPr>
        <w:t>pamattiesību</w:t>
      </w:r>
      <w:proofErr w:type="spellEnd"/>
      <w:r>
        <w:rPr>
          <w:rFonts w:ascii="Times New Roman" w:hAnsi="Times New Roman"/>
        </w:rPr>
        <w:t xml:space="preserve"> uz efektīvu tiesisko aizsardzību būtību.</w:t>
      </w:r>
    </w:p>
    <w:p w14:paraId="63EE4081" w14:textId="77777777" w:rsidR="00F82F2D" w:rsidRDefault="00F82F2D" w:rsidP="00F82F2D">
      <w:pPr>
        <w:pStyle w:val="JuPara"/>
        <w:widowControl w:val="0"/>
        <w:ind w:firstLine="142"/>
        <w:rPr>
          <w:rFonts w:ascii="Times New Roman" w:hAnsi="Times New Roman"/>
          <w:noProof/>
        </w:rPr>
      </w:pPr>
      <w:r>
        <w:rPr>
          <w:rFonts w:ascii="Times New Roman" w:hAnsi="Times New Roman"/>
        </w:rPr>
        <w:t xml:space="preserve">227. Visbeidzot Tiesa atzina, ka ar drošības zonas lēmumu valsts pārraudzības iestādēm tiek atņemtas pilnvaras tad, kad persona apšauba lēmuma saderīgumu ar privātās dzīves neaizskaramības un personu pamatbrīvību un </w:t>
      </w:r>
      <w:proofErr w:type="spellStart"/>
      <w:r>
        <w:rPr>
          <w:rFonts w:ascii="Times New Roman" w:hAnsi="Times New Roman"/>
        </w:rPr>
        <w:t>pamattiesību</w:t>
      </w:r>
      <w:proofErr w:type="spellEnd"/>
      <w:r>
        <w:rPr>
          <w:rFonts w:ascii="Times New Roman" w:hAnsi="Times New Roman"/>
        </w:rPr>
        <w:t xml:space="preserve"> aizsardzību. Komisijai nebija pilnvaru, lai ierobežotu valsts pārraudzības iestāžu pilnvaras, līdz ar to </w:t>
      </w:r>
      <w:proofErr w:type="spellStart"/>
      <w:r>
        <w:rPr>
          <w:rFonts w:ascii="Times New Roman" w:hAnsi="Times New Roman"/>
        </w:rPr>
        <w:t>EST</w:t>
      </w:r>
      <w:proofErr w:type="spellEnd"/>
      <w:r>
        <w:rPr>
          <w:rFonts w:ascii="Times New Roman" w:hAnsi="Times New Roman"/>
        </w:rPr>
        <w:t xml:space="preserve"> atzina drošības zonas lēmumu par spēkā neesošu.</w:t>
      </w:r>
    </w:p>
    <w:p w14:paraId="462D718D" w14:textId="77777777" w:rsidR="00F82F2D" w:rsidRPr="008D031E" w:rsidRDefault="00F82F2D" w:rsidP="00F82F2D">
      <w:pPr>
        <w:pStyle w:val="JuPara"/>
        <w:widowControl w:val="0"/>
        <w:ind w:firstLine="142"/>
        <w:rPr>
          <w:rFonts w:ascii="Times New Roman" w:hAnsi="Times New Roman"/>
          <w:noProof/>
          <w:lang w:val="en-US"/>
        </w:rPr>
      </w:pPr>
    </w:p>
    <w:p w14:paraId="5869FC26" w14:textId="77777777" w:rsidR="00F82F2D" w:rsidRDefault="00F82F2D" w:rsidP="00F82F2D">
      <w:pPr>
        <w:pStyle w:val="JuH1"/>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5.</w:t>
      </w:r>
      <w:r>
        <w:rPr>
          <w:rFonts w:ascii="Times New Roman" w:hAnsi="Times New Roman"/>
          <w:i w:val="0"/>
        </w:rPr>
        <w:t xml:space="preserve"> Spriedums lietās “Datu aizsardzības komisārs pret “</w:t>
      </w:r>
      <w:proofErr w:type="spellStart"/>
      <w:r>
        <w:rPr>
          <w:rFonts w:ascii="Times New Roman" w:hAnsi="Times New Roman"/>
          <w:i w:val="0"/>
        </w:rPr>
        <w:t>Facebook</w:t>
      </w:r>
      <w:proofErr w:type="spellEnd"/>
      <w:r>
        <w:rPr>
          <w:rFonts w:ascii="Times New Roman" w:hAnsi="Times New Roman"/>
          <w:i w:val="0"/>
        </w:rPr>
        <w:t xml:space="preserve"> </w:t>
      </w:r>
      <w:proofErr w:type="spellStart"/>
      <w:r>
        <w:rPr>
          <w:rFonts w:ascii="Times New Roman" w:hAnsi="Times New Roman"/>
          <w:i w:val="0"/>
        </w:rPr>
        <w:t>Ireland</w:t>
      </w:r>
      <w:proofErr w:type="spellEnd"/>
      <w:r>
        <w:rPr>
          <w:rFonts w:ascii="Times New Roman" w:hAnsi="Times New Roman"/>
          <w:i w:val="0"/>
        </w:rPr>
        <w:t>”” un “</w:t>
      </w:r>
      <w:proofErr w:type="spellStart"/>
      <w:r>
        <w:rPr>
          <w:rFonts w:ascii="Times New Roman" w:hAnsi="Times New Roman"/>
          <w:i w:val="0"/>
        </w:rPr>
        <w:t>Maksimilians</w:t>
      </w:r>
      <w:proofErr w:type="spellEnd"/>
      <w:r>
        <w:rPr>
          <w:rFonts w:ascii="Times New Roman" w:hAnsi="Times New Roman"/>
          <w:i w:val="0"/>
        </w:rPr>
        <w:t xml:space="preserve"> </w:t>
      </w:r>
      <w:proofErr w:type="spellStart"/>
      <w:r>
        <w:rPr>
          <w:rFonts w:ascii="Times New Roman" w:hAnsi="Times New Roman"/>
          <w:i w:val="0"/>
        </w:rPr>
        <w:t>Šrēmss</w:t>
      </w:r>
      <w:proofErr w:type="spellEnd"/>
      <w:r>
        <w:rPr>
          <w:rFonts w:ascii="Times New Roman" w:hAnsi="Times New Roman"/>
          <w:i w:val="0"/>
        </w:rPr>
        <w:t xml:space="preserve">” </w:t>
      </w:r>
      <w:r>
        <w:rPr>
          <w:rFonts w:ascii="Times New Roman" w:hAnsi="Times New Roman"/>
        </w:rPr>
        <w:t xml:space="preserve">(lieta C-311/18; </w:t>
      </w:r>
      <w:proofErr w:type="spellStart"/>
      <w:r>
        <w:rPr>
          <w:rFonts w:ascii="Times New Roman" w:hAnsi="Times New Roman"/>
        </w:rPr>
        <w:t>ECLI:EU:C:2020:559</w:t>
      </w:r>
      <w:proofErr w:type="spellEnd"/>
      <w:r>
        <w:rPr>
          <w:rFonts w:ascii="Times New Roman" w:hAnsi="Times New Roman"/>
        </w:rPr>
        <w:t>)</w:t>
      </w:r>
    </w:p>
    <w:p w14:paraId="74FB140B" w14:textId="77777777" w:rsidR="00F82F2D" w:rsidRPr="00F6232E" w:rsidRDefault="00F82F2D" w:rsidP="00F82F2D">
      <w:pPr>
        <w:pStyle w:val="JuPara"/>
        <w:widowControl w:val="0"/>
        <w:rPr>
          <w:lang w:val="en-US"/>
        </w:rPr>
      </w:pPr>
    </w:p>
    <w:p w14:paraId="5F3CECD2"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228. Pēc tam, kad </w:t>
      </w:r>
      <w:proofErr w:type="spellStart"/>
      <w:r>
        <w:rPr>
          <w:rFonts w:ascii="Times New Roman" w:hAnsi="Times New Roman"/>
        </w:rPr>
        <w:t>EST</w:t>
      </w:r>
      <w:proofErr w:type="spellEnd"/>
      <w:r>
        <w:rPr>
          <w:rFonts w:ascii="Times New Roman" w:hAnsi="Times New Roman"/>
        </w:rPr>
        <w:t xml:space="preserve"> 2015. gada 6. oktobrī bija pasludinājusi spriedumu, </w:t>
      </w:r>
      <w:proofErr w:type="spellStart"/>
      <w:r>
        <w:rPr>
          <w:rFonts w:ascii="Times New Roman" w:hAnsi="Times New Roman"/>
        </w:rPr>
        <w:t>iesniedzējtiesa</w:t>
      </w:r>
      <w:proofErr w:type="spellEnd"/>
      <w:r>
        <w:rPr>
          <w:rFonts w:ascii="Times New Roman" w:hAnsi="Times New Roman"/>
        </w:rPr>
        <w:t xml:space="preserve"> atcēla lēmumu, ar kuru tika noraidīta </w:t>
      </w:r>
      <w:proofErr w:type="spellStart"/>
      <w:r>
        <w:rPr>
          <w:rFonts w:ascii="Times New Roman" w:hAnsi="Times New Roman"/>
        </w:rPr>
        <w:t>Šrēmsa</w:t>
      </w:r>
      <w:proofErr w:type="spellEnd"/>
      <w:r>
        <w:rPr>
          <w:rFonts w:ascii="Times New Roman" w:hAnsi="Times New Roman"/>
        </w:rPr>
        <w:t xml:space="preserve"> sūdzība, un nodeva to atpakaļ izskatīšanai komisāram. Komisāra veiktās izmeklēšanas gaitā “</w:t>
      </w:r>
      <w:proofErr w:type="spellStart"/>
      <w:r>
        <w:rPr>
          <w:rFonts w:ascii="Times New Roman" w:hAnsi="Times New Roman"/>
        </w:rPr>
        <w:t>Facebook</w:t>
      </w:r>
      <w:proofErr w:type="spellEnd"/>
      <w:r>
        <w:rPr>
          <w:rFonts w:ascii="Times New Roman" w:hAnsi="Times New Roman"/>
        </w:rPr>
        <w:t xml:space="preserve"> </w:t>
      </w:r>
      <w:proofErr w:type="spellStart"/>
      <w:r>
        <w:rPr>
          <w:rFonts w:ascii="Times New Roman" w:hAnsi="Times New Roman"/>
        </w:rPr>
        <w:t>Ireland</w:t>
      </w:r>
      <w:proofErr w:type="spellEnd"/>
      <w:r>
        <w:rPr>
          <w:rFonts w:ascii="Times New Roman" w:hAnsi="Times New Roman"/>
        </w:rPr>
        <w:t>” paskaidroja, ka liela daļa personas datu bija pārsūtīta “</w:t>
      </w:r>
      <w:proofErr w:type="spellStart"/>
      <w:r>
        <w:rPr>
          <w:rFonts w:ascii="Times New Roman" w:hAnsi="Times New Roman"/>
        </w:rPr>
        <w:t>Facebook</w:t>
      </w:r>
      <w:proofErr w:type="spellEnd"/>
      <w:r>
        <w:rPr>
          <w:rFonts w:ascii="Times New Roman" w:hAnsi="Times New Roman"/>
        </w:rPr>
        <w:t> </w:t>
      </w:r>
      <w:proofErr w:type="spellStart"/>
      <w:r>
        <w:rPr>
          <w:rFonts w:ascii="Times New Roman" w:hAnsi="Times New Roman"/>
        </w:rPr>
        <w:t>Inc</w:t>
      </w:r>
      <w:proofErr w:type="spellEnd"/>
      <w:r>
        <w:rPr>
          <w:rFonts w:ascii="Times New Roman" w:hAnsi="Times New Roman"/>
        </w:rPr>
        <w:t xml:space="preserve">.”, pamatojoties uz datu aizsardzības </w:t>
      </w:r>
      <w:proofErr w:type="spellStart"/>
      <w:r>
        <w:rPr>
          <w:rFonts w:ascii="Times New Roman" w:hAnsi="Times New Roman"/>
        </w:rPr>
        <w:t>standartklauzulām</w:t>
      </w:r>
      <w:proofErr w:type="spellEnd"/>
      <w:r>
        <w:rPr>
          <w:rFonts w:ascii="Times New Roman" w:hAnsi="Times New Roman"/>
        </w:rPr>
        <w:t>, kas ietvertas Komisijas Lēmuma 2010/87/ES pielikumā un tā grozījumos.</w:t>
      </w:r>
    </w:p>
    <w:p w14:paraId="3F5613D3"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229. </w:t>
      </w:r>
      <w:proofErr w:type="spellStart"/>
      <w:r>
        <w:rPr>
          <w:rFonts w:ascii="Times New Roman" w:hAnsi="Times New Roman"/>
        </w:rPr>
        <w:t>Šrēmss</w:t>
      </w:r>
      <w:proofErr w:type="spellEnd"/>
      <w:r>
        <w:rPr>
          <w:rFonts w:ascii="Times New Roman" w:hAnsi="Times New Roman"/>
        </w:rPr>
        <w:t xml:space="preserve"> pārformulēja šo sūdzību, </w:t>
      </w:r>
      <w:proofErr w:type="spellStart"/>
      <w:r>
        <w:rPr>
          <w:rFonts w:ascii="Times New Roman" w:hAnsi="Times New Roman"/>
          <w:i/>
          <w:iCs/>
        </w:rPr>
        <w:t>inter</w:t>
      </w:r>
      <w:proofErr w:type="spellEnd"/>
      <w:r>
        <w:rPr>
          <w:rFonts w:ascii="Times New Roman" w:hAnsi="Times New Roman"/>
          <w:i/>
          <w:iCs/>
        </w:rPr>
        <w:t xml:space="preserve"> </w:t>
      </w:r>
      <w:proofErr w:type="spellStart"/>
      <w:r>
        <w:rPr>
          <w:rFonts w:ascii="Times New Roman" w:hAnsi="Times New Roman"/>
          <w:i/>
          <w:iCs/>
        </w:rPr>
        <w:t>alia</w:t>
      </w:r>
      <w:proofErr w:type="spellEnd"/>
      <w:r>
        <w:rPr>
          <w:rFonts w:ascii="Times New Roman" w:hAnsi="Times New Roman"/>
        </w:rPr>
        <w:t xml:space="preserve"> apgalvojot, ka Amerikas Savienoto Valstu tiesību akti uzlikuši “</w:t>
      </w:r>
      <w:proofErr w:type="spellStart"/>
      <w:r>
        <w:rPr>
          <w:rFonts w:ascii="Times New Roman" w:hAnsi="Times New Roman"/>
        </w:rPr>
        <w:t>Facebook</w:t>
      </w:r>
      <w:proofErr w:type="spellEnd"/>
      <w:r>
        <w:rPr>
          <w:rFonts w:ascii="Times New Roman" w:hAnsi="Times New Roman"/>
        </w:rPr>
        <w:t> </w:t>
      </w:r>
      <w:proofErr w:type="spellStart"/>
      <w:r>
        <w:rPr>
          <w:rFonts w:ascii="Times New Roman" w:hAnsi="Times New Roman"/>
        </w:rPr>
        <w:t>Inc</w:t>
      </w:r>
      <w:proofErr w:type="spellEnd"/>
      <w:r>
        <w:rPr>
          <w:rFonts w:ascii="Times New Roman" w:hAnsi="Times New Roman"/>
        </w:rPr>
        <w:t xml:space="preserve">.” par pienākumu nodrošināt tam pārsūtītos personas datus pieejamus konkrētām Amerikas Savienoto Valstu iestādēm, piemēram, </w:t>
      </w:r>
      <w:proofErr w:type="spellStart"/>
      <w:r>
        <w:rPr>
          <w:rFonts w:ascii="Times New Roman" w:hAnsi="Times New Roman"/>
          <w:i/>
          <w:iCs/>
        </w:rPr>
        <w:t>NSA</w:t>
      </w:r>
      <w:proofErr w:type="spellEnd"/>
      <w:r>
        <w:rPr>
          <w:rFonts w:ascii="Times New Roman" w:hAnsi="Times New Roman"/>
        </w:rPr>
        <w:t xml:space="preserve"> un Federālajam izmeklēšanas birojam. Tā kā šie dati tika izmantoti dažādu novērošanas programmu kontekstā pretēji Hartas 7., 8. un 47. pantam, ar Lēmumu 2010/87/ES nebija iespējams pamatot minēto datu pārsūtīšanu uz Amerikas Savienotajām Valstīm. Šādos apstākļos viņš lūdza komisāru aizliegt vai apturēt šo personas datu pārsūtīšanu “</w:t>
      </w:r>
      <w:proofErr w:type="spellStart"/>
      <w:r>
        <w:rPr>
          <w:rFonts w:ascii="Times New Roman" w:hAnsi="Times New Roman"/>
        </w:rPr>
        <w:t>Facebook</w:t>
      </w:r>
      <w:proofErr w:type="spellEnd"/>
      <w:r>
        <w:rPr>
          <w:rFonts w:ascii="Times New Roman" w:hAnsi="Times New Roman"/>
        </w:rPr>
        <w:t> </w:t>
      </w:r>
      <w:proofErr w:type="spellStart"/>
      <w:r>
        <w:rPr>
          <w:rFonts w:ascii="Times New Roman" w:hAnsi="Times New Roman"/>
        </w:rPr>
        <w:t>Inc</w:t>
      </w:r>
      <w:proofErr w:type="spellEnd"/>
      <w:r>
        <w:rPr>
          <w:rFonts w:ascii="Times New Roman" w:hAnsi="Times New Roman"/>
        </w:rPr>
        <w:t>.”.</w:t>
      </w:r>
    </w:p>
    <w:p w14:paraId="64434FD4"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230. 2016. gada 24. maijā publicētajā lēmumprojektā komisārs provizoriski uzskatīja, ka pastāv risks, ka ar Eiropas Savienības pilsoņu personas datiem, kurus pārsūtīja uz Amerikas Savienotajām Valstīm, var iepazīties Amerikas Savienoto Valstu iestādes un tās tos var apstrādāt veidā, kas nav saderīgs ar Hartas 7. un 8. pantu, un ka Amerikas Savienoto Valstu tiesību aktos šiem pilsoņiem nav paredzēti tiesiskās aizsardzības līdzekļi, kas atbilst Hartas 47. pantam. Komisārs uzskatīja, ka ar Lēmuma 2010/87/ES pielikumā ietvertajām datu aizsardzības </w:t>
      </w:r>
      <w:proofErr w:type="spellStart"/>
      <w:r>
        <w:rPr>
          <w:rFonts w:ascii="Times New Roman" w:hAnsi="Times New Roman"/>
        </w:rPr>
        <w:t>standartklauzulām</w:t>
      </w:r>
      <w:proofErr w:type="spellEnd"/>
      <w:r>
        <w:rPr>
          <w:rFonts w:ascii="Times New Roman" w:hAnsi="Times New Roman"/>
        </w:rPr>
        <w:t xml:space="preserve"> nevar izlabot šo trūkumu, jo tās nav saistošas Amerikas Savienoto Valstu iestādēm.</w:t>
      </w:r>
    </w:p>
    <w:p w14:paraId="055A717A"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231. Ņemot vērā Amerikas Savienoto Valstu izlūkošanas darbības, kas noteiktas </w:t>
      </w:r>
      <w:proofErr w:type="spellStart"/>
      <w:r>
        <w:rPr>
          <w:rFonts w:ascii="Times New Roman" w:hAnsi="Times New Roman"/>
          <w:i/>
          <w:iCs/>
        </w:rPr>
        <w:t>FISA</w:t>
      </w:r>
      <w:proofErr w:type="spellEnd"/>
      <w:r>
        <w:rPr>
          <w:rFonts w:ascii="Times New Roman" w:hAnsi="Times New Roman"/>
        </w:rPr>
        <w:t xml:space="preserve"> 702. pantā un </w:t>
      </w:r>
      <w:proofErr w:type="spellStart"/>
      <w:r>
        <w:rPr>
          <w:rFonts w:ascii="Times New Roman" w:hAnsi="Times New Roman"/>
        </w:rPr>
        <w:t>izpildrīkojumā</w:t>
      </w:r>
      <w:proofErr w:type="spellEnd"/>
      <w:r>
        <w:rPr>
          <w:rFonts w:ascii="Times New Roman" w:hAnsi="Times New Roman"/>
        </w:rPr>
        <w:t xml:space="preserve"> Nr. 12333, Augstā tiesa secināja, ka Amerikas Savienotās Valstis veica personas datu masveida apstrādi, nenodrošinot Hartas 7. un 8. pantā garantētajam aizsardzības līmenim būtībā līdzvērtīgu aizsardzības līmeni, un ka Eiropas Savienības pilsoņiem nebija pieejami tādi paši līdzekļi, kādi ir Amerikas Savienoto Valstu pilsoņiem, jo Amerikas Savienoto Valstu tiesību akti neparedz Eiropas Savienības pilsoņiem Hartas 47. pantā garantētajam aizsardzības līmenim būtībā līdzvērtīgu aizsardzības līmeni. Tā apturēja tiesvedību un uzdeva </w:t>
      </w:r>
      <w:proofErr w:type="spellStart"/>
      <w:r>
        <w:rPr>
          <w:rFonts w:ascii="Times New Roman" w:hAnsi="Times New Roman"/>
        </w:rPr>
        <w:t>EST</w:t>
      </w:r>
      <w:proofErr w:type="spellEnd"/>
      <w:r>
        <w:rPr>
          <w:rFonts w:ascii="Times New Roman" w:hAnsi="Times New Roman"/>
        </w:rPr>
        <w:t xml:space="preserve"> vairākus prejudiciālus jautājumus. Tā </w:t>
      </w:r>
      <w:proofErr w:type="spellStart"/>
      <w:r>
        <w:rPr>
          <w:rFonts w:ascii="Times New Roman" w:hAnsi="Times New Roman"/>
          <w:i/>
          <w:iCs/>
        </w:rPr>
        <w:t>inter</w:t>
      </w:r>
      <w:proofErr w:type="spellEnd"/>
      <w:r>
        <w:rPr>
          <w:rFonts w:ascii="Times New Roman" w:hAnsi="Times New Roman"/>
          <w:i/>
          <w:iCs/>
        </w:rPr>
        <w:t xml:space="preserve"> </w:t>
      </w:r>
      <w:proofErr w:type="spellStart"/>
      <w:r>
        <w:rPr>
          <w:rFonts w:ascii="Times New Roman" w:hAnsi="Times New Roman"/>
          <w:i/>
          <w:iCs/>
        </w:rPr>
        <w:t>alia</w:t>
      </w:r>
      <w:proofErr w:type="spellEnd"/>
      <w:r>
        <w:rPr>
          <w:rFonts w:ascii="Times New Roman" w:hAnsi="Times New Roman"/>
        </w:rPr>
        <w:t xml:space="preserve"> jautāja, vai Eiropas Savienības tiesību akti attiekušies uz personas datu pārsūtīšanu no privāta uzņēmuma Eiropas Savienībā uz privātu uzņēmumu trešā valstī; ja tas tā ir, kā jānovērtē drošības līmenis trešā valstī un vai ar Amerikas Savienoto Valstu nodrošināto aizsardzības līmeni tika ievērota Hartas 47. pantā garantēto tiesību būtība.</w:t>
      </w:r>
    </w:p>
    <w:p w14:paraId="79C019A7"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232. </w:t>
      </w:r>
      <w:proofErr w:type="spellStart"/>
      <w:r>
        <w:rPr>
          <w:rFonts w:ascii="Times New Roman" w:hAnsi="Times New Roman"/>
        </w:rPr>
        <w:t>EST</w:t>
      </w:r>
      <w:proofErr w:type="spellEnd"/>
      <w:r>
        <w:rPr>
          <w:rFonts w:ascii="Times New Roman" w:hAnsi="Times New Roman"/>
        </w:rPr>
        <w:t xml:space="preserve"> savā 2020. gada 16. jūlija spriedumā atzina, ka Vispārīgā datu aizsardzības regula (turpmāk tekstā – “</w:t>
      </w:r>
      <w:proofErr w:type="spellStart"/>
      <w:r>
        <w:rPr>
          <w:rFonts w:ascii="Times New Roman" w:hAnsi="Times New Roman"/>
        </w:rPr>
        <w:t>VDAR</w:t>
      </w:r>
      <w:proofErr w:type="spellEnd"/>
      <w:r>
        <w:rPr>
          <w:rFonts w:ascii="Times New Roman" w:hAnsi="Times New Roman"/>
        </w:rPr>
        <w:t xml:space="preserve">”) attiecas uz personas datu pārsūtīšanu, ko kādā dalībvalstī reģistrēts tirgus dalībnieks veic citam tirgus dalībniekam, kurš ir reģistrēts trešā valstī, neatkarīgi no tā, vai šīs pārsūtīšanas laikā vai pēc tam attiecīgās trešās valsts iestādes šos datus apstrādā sabiedriskās drošības, aizsardzības un valsts drošības nolūkā. Turklāt </w:t>
      </w:r>
      <w:proofErr w:type="spellStart"/>
      <w:r>
        <w:rPr>
          <w:rFonts w:ascii="Times New Roman" w:hAnsi="Times New Roman"/>
        </w:rPr>
        <w:t>VDAR</w:t>
      </w:r>
      <w:proofErr w:type="spellEnd"/>
      <w:r>
        <w:rPr>
          <w:rFonts w:ascii="Times New Roman" w:hAnsi="Times New Roman"/>
        </w:rPr>
        <w:t xml:space="preserve"> noteiktajiem atbilstošajiem drošības pasākumiem, izmantojamajām tiesībām un efektīvajiem tiesiskās aizsardzības līdzekļiem jānodrošina, lai tiem tiesību subjektiem, kuru personas dati tiek pārsūtīti uz trešo valsti, pamatojoties uz datu aizsardzības </w:t>
      </w:r>
      <w:proofErr w:type="spellStart"/>
      <w:r>
        <w:rPr>
          <w:rFonts w:ascii="Times New Roman" w:hAnsi="Times New Roman"/>
        </w:rPr>
        <w:t>standartklauzulām</w:t>
      </w:r>
      <w:proofErr w:type="spellEnd"/>
      <w:r>
        <w:rPr>
          <w:rFonts w:ascii="Times New Roman" w:hAnsi="Times New Roman"/>
        </w:rPr>
        <w:t>, tiktu piemērots būtībā līdzvērtīgs aizsardzības līmenis tam, kāds ir garantēts Eiropas Savienībā. Tālab, novērtējot aizsardzības līmeni, kāds tiek nodrošināts šādas pārsūtīšanas kontekstā, it īpaši ir jāņem vērā gan līguma noteikumi, par kuriem ir panākta vienošanās starp personas datu pārzini vai apstrādātāju, kas reģistrēts Eiropas Savienībā, un attiecīgajā trešajā valstī reģistrēto saņēmēju, gan – attiecībā uz iespējamu šīs trešās valsts publisko iestāžu piekļuvi šādi pārsūtītajiem personas datiem – šīs trešās valsts tiesību sistēmas būtiskie elementi.</w:t>
      </w:r>
    </w:p>
    <w:p w14:paraId="59A50EAF"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lastRenderedPageBreak/>
        <w:t xml:space="preserve">233. Turklāt ja vien pastāv likumīgi pieņemts Komisijas lēmums par aizsardzības līmeņa atbilstību, kompetentajai pārraudzības iestādei bija jāaptur vai jāaizliedz personas datu pārsūtīšana uz trešo valsti, ja šīs pārraudzības iestādes ieskatā un visu šīs pārsūtīšanas specifisko apstākļu kontekstā Komisijas pieņemtās datu aizsardzības </w:t>
      </w:r>
      <w:proofErr w:type="spellStart"/>
      <w:r>
        <w:rPr>
          <w:rFonts w:ascii="Times New Roman" w:hAnsi="Times New Roman"/>
        </w:rPr>
        <w:t>standartklauzulas</w:t>
      </w:r>
      <w:proofErr w:type="spellEnd"/>
      <w:r>
        <w:rPr>
          <w:rFonts w:ascii="Times New Roman" w:hAnsi="Times New Roman"/>
        </w:rPr>
        <w:t xml:space="preserve"> šajā trešā valstī netiek vai nevar tikt ievērotas un ja pārsūtīto datu aizsardzība (kā to nosaka Eiropas Savienības tiesību akti) nevar tikt nodrošināta ar citiem līdzekļiem.</w:t>
      </w:r>
    </w:p>
    <w:p w14:paraId="2C312285" w14:textId="77777777" w:rsidR="00F82F2D" w:rsidRDefault="00F82F2D" w:rsidP="00F82F2D">
      <w:pPr>
        <w:pStyle w:val="JuPara"/>
        <w:widowControl w:val="0"/>
        <w:ind w:firstLine="142"/>
        <w:rPr>
          <w:rFonts w:ascii="Times New Roman" w:hAnsi="Times New Roman"/>
          <w:noProof/>
        </w:rPr>
      </w:pPr>
      <w:r>
        <w:rPr>
          <w:rFonts w:ascii="Times New Roman" w:hAnsi="Times New Roman"/>
        </w:rPr>
        <w:t xml:space="preserve">234. Lai Komisija pieņemtu lēmumu par aizsardzības līmeņa atbilstību, tai, atbilstoši minot attiecīgos iemeslus, bija jākonstatē, ka attiecīgā trešā valsts, pamatojoties uz saviem iekšējiem tiesību aktiem vai savām starptautiskajām saistībām, nodrošināja būtībā līdzvērtīgu </w:t>
      </w:r>
      <w:proofErr w:type="spellStart"/>
      <w:r>
        <w:rPr>
          <w:rFonts w:ascii="Times New Roman" w:hAnsi="Times New Roman"/>
        </w:rPr>
        <w:t>pamattiesību</w:t>
      </w:r>
      <w:proofErr w:type="spellEnd"/>
      <w:r>
        <w:rPr>
          <w:rFonts w:ascii="Times New Roman" w:hAnsi="Times New Roman"/>
        </w:rPr>
        <w:t xml:space="preserve"> aizsardzības līmeni tam, kāds tiek garantēts Eiropas Savienības tiesiskajā kārtībā. </w:t>
      </w:r>
      <w:proofErr w:type="spellStart"/>
      <w:r>
        <w:rPr>
          <w:rFonts w:ascii="Times New Roman" w:hAnsi="Times New Roman"/>
        </w:rPr>
        <w:t>EST</w:t>
      </w:r>
      <w:proofErr w:type="spellEnd"/>
      <w:r>
        <w:rPr>
          <w:rFonts w:ascii="Times New Roman" w:hAnsi="Times New Roman"/>
        </w:rPr>
        <w:t xml:space="preserve"> ieskatā drošības zonas lēmums bija spēkā neesošs. No </w:t>
      </w:r>
      <w:proofErr w:type="spellStart"/>
      <w:r>
        <w:rPr>
          <w:rFonts w:ascii="Times New Roman" w:hAnsi="Times New Roman"/>
          <w:i/>
          <w:iCs/>
        </w:rPr>
        <w:t>FISA</w:t>
      </w:r>
      <w:proofErr w:type="spellEnd"/>
      <w:r>
        <w:rPr>
          <w:rFonts w:ascii="Times New Roman" w:hAnsi="Times New Roman"/>
        </w:rPr>
        <w:t xml:space="preserve"> 702. panta nekādā veidā neizriet ne tas, ka pastāv tajā paredzētie pilnvaru ierobežojumi attiecībā uz uzraudzības programmu īstenošanu ārējās izlūkošanas nolūkos, ne arī garantiju esība personām, kuras nav Amerikas Savienoto Valstu pilsoņi un kuras potenciāli skar šīs programmas. Šajos apstākļos ar to nevar nodrošināt tādu aizsardzības līmeni, kas būtībā būtu līdzvērtīgs Hartā garantētajam aizsardzības līmenim. Turklāt attiecībā uz pārraudzības programmām, kas balstītas uz </w:t>
      </w:r>
      <w:proofErr w:type="spellStart"/>
      <w:r>
        <w:rPr>
          <w:rFonts w:ascii="Times New Roman" w:hAnsi="Times New Roman"/>
        </w:rPr>
        <w:t>izpildrīkojumu</w:t>
      </w:r>
      <w:proofErr w:type="spellEnd"/>
      <w:r>
        <w:rPr>
          <w:rFonts w:ascii="Times New Roman" w:hAnsi="Times New Roman"/>
        </w:rPr>
        <w:t xml:space="preserve"> Nr. 12333, bija skaidrs, ka arī šis rīkojums nav paredzējis tiesības, ko tiesā varētu īstenot pret Amerikas Savienoto Valstu iestādēm.</w:t>
      </w:r>
    </w:p>
    <w:p w14:paraId="74062513" w14:textId="77777777" w:rsidR="00F82F2D" w:rsidRPr="008D031E" w:rsidRDefault="00F82F2D" w:rsidP="00F82F2D">
      <w:pPr>
        <w:pStyle w:val="JuPara"/>
        <w:widowControl w:val="0"/>
        <w:ind w:firstLine="142"/>
        <w:rPr>
          <w:rFonts w:ascii="Times New Roman" w:hAnsi="Times New Roman"/>
          <w:noProof/>
          <w:lang w:val="en-US"/>
        </w:rPr>
      </w:pPr>
    </w:p>
    <w:p w14:paraId="2AC94529" w14:textId="77777777" w:rsidR="00F82F2D" w:rsidRDefault="00F82F2D" w:rsidP="00F82F2D">
      <w:pPr>
        <w:pStyle w:val="JuH1"/>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6.</w:t>
      </w:r>
      <w:r>
        <w:rPr>
          <w:rFonts w:ascii="Times New Roman" w:hAnsi="Times New Roman"/>
          <w:i w:val="0"/>
        </w:rPr>
        <w:t xml:space="preserve"> Spriedumi lietās ““</w:t>
      </w:r>
      <w:proofErr w:type="spellStart"/>
      <w:r>
        <w:rPr>
          <w:rFonts w:ascii="Times New Roman" w:hAnsi="Times New Roman"/>
          <w:i w:val="0"/>
        </w:rPr>
        <w:t>Privacy</w:t>
      </w:r>
      <w:proofErr w:type="spellEnd"/>
      <w:r>
        <w:rPr>
          <w:rFonts w:ascii="Times New Roman" w:hAnsi="Times New Roman"/>
          <w:i w:val="0"/>
        </w:rPr>
        <w:t xml:space="preserve"> </w:t>
      </w:r>
      <w:proofErr w:type="spellStart"/>
      <w:r>
        <w:rPr>
          <w:rFonts w:ascii="Times New Roman" w:hAnsi="Times New Roman"/>
          <w:i w:val="0"/>
        </w:rPr>
        <w:t>International</w:t>
      </w:r>
      <w:proofErr w:type="spellEnd"/>
      <w:r>
        <w:rPr>
          <w:rFonts w:ascii="Times New Roman" w:hAnsi="Times New Roman"/>
          <w:i w:val="0"/>
        </w:rPr>
        <w:t xml:space="preserve">” pret valsts sekretāru ārlietās un sadraudzības lietās un citiem” (lieta C-623/17; </w:t>
      </w:r>
      <w:proofErr w:type="spellStart"/>
      <w:r>
        <w:rPr>
          <w:rFonts w:ascii="Times New Roman" w:hAnsi="Times New Roman"/>
          <w:i w:val="0"/>
        </w:rPr>
        <w:t>ECLI:EU:C:2020:790</w:t>
      </w:r>
      <w:proofErr w:type="spellEnd"/>
      <w:r>
        <w:rPr>
          <w:rFonts w:ascii="Times New Roman" w:hAnsi="Times New Roman"/>
          <w:i w:val="0"/>
        </w:rPr>
        <w:t>), ““</w:t>
      </w:r>
      <w:proofErr w:type="spellStart"/>
      <w:r>
        <w:rPr>
          <w:rFonts w:ascii="Times New Roman" w:hAnsi="Times New Roman"/>
          <w:i w:val="0"/>
        </w:rPr>
        <w:t>La</w:t>
      </w:r>
      <w:proofErr w:type="spellEnd"/>
      <w:r>
        <w:rPr>
          <w:rFonts w:ascii="Times New Roman" w:hAnsi="Times New Roman"/>
          <w:i w:val="0"/>
        </w:rPr>
        <w:t xml:space="preserve"> </w:t>
      </w:r>
      <w:proofErr w:type="spellStart"/>
      <w:r>
        <w:rPr>
          <w:rFonts w:ascii="Times New Roman" w:hAnsi="Times New Roman"/>
          <w:i w:val="0"/>
        </w:rPr>
        <w:t>Quadrature</w:t>
      </w:r>
      <w:proofErr w:type="spellEnd"/>
      <w:r>
        <w:rPr>
          <w:rFonts w:ascii="Times New Roman" w:hAnsi="Times New Roman"/>
          <w:i w:val="0"/>
        </w:rPr>
        <w:t xml:space="preserve"> </w:t>
      </w:r>
      <w:proofErr w:type="spellStart"/>
      <w:r>
        <w:rPr>
          <w:rFonts w:ascii="Times New Roman" w:hAnsi="Times New Roman"/>
          <w:i w:val="0"/>
        </w:rPr>
        <w:t>du</w:t>
      </w:r>
      <w:proofErr w:type="spellEnd"/>
      <w:r>
        <w:rPr>
          <w:rFonts w:ascii="Times New Roman" w:hAnsi="Times New Roman"/>
          <w:i w:val="0"/>
        </w:rPr>
        <w:t xml:space="preserve"> Net” un citi”, ““</w:t>
      </w:r>
      <w:proofErr w:type="spellStart"/>
      <w:r>
        <w:rPr>
          <w:rFonts w:ascii="Times New Roman" w:hAnsi="Times New Roman"/>
          <w:i w:val="0"/>
        </w:rPr>
        <w:t>French</w:t>
      </w:r>
      <w:proofErr w:type="spellEnd"/>
      <w:r>
        <w:rPr>
          <w:rFonts w:ascii="Times New Roman" w:hAnsi="Times New Roman"/>
          <w:i w:val="0"/>
        </w:rPr>
        <w:t xml:space="preserve"> </w:t>
      </w:r>
      <w:proofErr w:type="spellStart"/>
      <w:r>
        <w:rPr>
          <w:rFonts w:ascii="Times New Roman" w:hAnsi="Times New Roman"/>
          <w:i w:val="0"/>
        </w:rPr>
        <w:t>Data</w:t>
      </w:r>
      <w:proofErr w:type="spellEnd"/>
      <w:r>
        <w:rPr>
          <w:rFonts w:ascii="Times New Roman" w:hAnsi="Times New Roman"/>
          <w:i w:val="0"/>
        </w:rPr>
        <w:t xml:space="preserve"> </w:t>
      </w:r>
      <w:proofErr w:type="spellStart"/>
      <w:r>
        <w:rPr>
          <w:rFonts w:ascii="Times New Roman" w:hAnsi="Times New Roman"/>
          <w:i w:val="0"/>
        </w:rPr>
        <w:t>Network</w:t>
      </w:r>
      <w:proofErr w:type="spellEnd"/>
      <w:r>
        <w:rPr>
          <w:rFonts w:ascii="Times New Roman" w:hAnsi="Times New Roman"/>
          <w:i w:val="0"/>
        </w:rPr>
        <w:t>” un citi” un ““</w:t>
      </w:r>
      <w:proofErr w:type="spellStart"/>
      <w:r>
        <w:rPr>
          <w:rFonts w:ascii="Times New Roman" w:hAnsi="Times New Roman"/>
          <w:i w:val="0"/>
        </w:rPr>
        <w:t>Ordre</w:t>
      </w:r>
      <w:proofErr w:type="spellEnd"/>
      <w:r>
        <w:rPr>
          <w:rFonts w:ascii="Times New Roman" w:hAnsi="Times New Roman"/>
          <w:i w:val="0"/>
        </w:rPr>
        <w:t xml:space="preserve"> </w:t>
      </w:r>
      <w:proofErr w:type="spellStart"/>
      <w:r>
        <w:rPr>
          <w:rFonts w:ascii="Times New Roman" w:hAnsi="Times New Roman"/>
          <w:i w:val="0"/>
        </w:rPr>
        <w:t>des</w:t>
      </w:r>
      <w:proofErr w:type="spellEnd"/>
      <w:r>
        <w:rPr>
          <w:rFonts w:ascii="Times New Roman" w:hAnsi="Times New Roman"/>
          <w:i w:val="0"/>
        </w:rPr>
        <w:t xml:space="preserve"> </w:t>
      </w:r>
      <w:proofErr w:type="spellStart"/>
      <w:r>
        <w:rPr>
          <w:rFonts w:ascii="Times New Roman" w:hAnsi="Times New Roman"/>
          <w:i w:val="0"/>
        </w:rPr>
        <w:t>barreaux</w:t>
      </w:r>
      <w:proofErr w:type="spellEnd"/>
      <w:r>
        <w:rPr>
          <w:rFonts w:ascii="Times New Roman" w:hAnsi="Times New Roman"/>
          <w:i w:val="0"/>
        </w:rPr>
        <w:t xml:space="preserve"> </w:t>
      </w:r>
      <w:proofErr w:type="spellStart"/>
      <w:r>
        <w:rPr>
          <w:rFonts w:ascii="Times New Roman" w:hAnsi="Times New Roman"/>
          <w:i w:val="0"/>
        </w:rPr>
        <w:t>francophones</w:t>
      </w:r>
      <w:proofErr w:type="spellEnd"/>
      <w:r>
        <w:rPr>
          <w:rFonts w:ascii="Times New Roman" w:hAnsi="Times New Roman"/>
          <w:i w:val="0"/>
        </w:rPr>
        <w:t xml:space="preserve"> </w:t>
      </w:r>
      <w:proofErr w:type="spellStart"/>
      <w:r>
        <w:rPr>
          <w:rFonts w:ascii="Times New Roman" w:hAnsi="Times New Roman"/>
          <w:i w:val="0"/>
        </w:rPr>
        <w:t>et</w:t>
      </w:r>
      <w:proofErr w:type="spellEnd"/>
      <w:r>
        <w:rPr>
          <w:rFonts w:ascii="Times New Roman" w:hAnsi="Times New Roman"/>
          <w:i w:val="0"/>
        </w:rPr>
        <w:t xml:space="preserve"> </w:t>
      </w:r>
      <w:proofErr w:type="spellStart"/>
      <w:r>
        <w:rPr>
          <w:rFonts w:ascii="Times New Roman" w:hAnsi="Times New Roman"/>
          <w:i w:val="0"/>
        </w:rPr>
        <w:t>germanophone</w:t>
      </w:r>
      <w:proofErr w:type="spellEnd"/>
      <w:r>
        <w:rPr>
          <w:rFonts w:ascii="Times New Roman" w:hAnsi="Times New Roman"/>
          <w:i w:val="0"/>
        </w:rPr>
        <w:t xml:space="preserve">” un citi” </w:t>
      </w:r>
      <w:r>
        <w:rPr>
          <w:rFonts w:ascii="Times New Roman" w:hAnsi="Times New Roman"/>
        </w:rPr>
        <w:t>(lietas C</w:t>
      </w:r>
      <w:r>
        <w:rPr>
          <w:rFonts w:ascii="Times New Roman" w:hAnsi="Times New Roman"/>
        </w:rPr>
        <w:noBreakHyphen/>
        <w:t>511/18, C</w:t>
      </w:r>
      <w:r>
        <w:rPr>
          <w:rFonts w:ascii="Times New Roman" w:hAnsi="Times New Roman"/>
        </w:rPr>
        <w:noBreakHyphen/>
        <w:t xml:space="preserve">512/18 un C-520/18; </w:t>
      </w:r>
      <w:proofErr w:type="spellStart"/>
      <w:r>
        <w:rPr>
          <w:rFonts w:ascii="Times New Roman" w:hAnsi="Times New Roman"/>
        </w:rPr>
        <w:t>ECLI:EU:C:2020:791</w:t>
      </w:r>
      <w:proofErr w:type="spellEnd"/>
      <w:r>
        <w:rPr>
          <w:rFonts w:ascii="Times New Roman" w:hAnsi="Times New Roman"/>
        </w:rPr>
        <w:t>)</w:t>
      </w:r>
    </w:p>
    <w:p w14:paraId="066F0818" w14:textId="77777777" w:rsidR="00F82F2D" w:rsidRPr="00F6232E" w:rsidRDefault="00F82F2D" w:rsidP="00F82F2D">
      <w:pPr>
        <w:pStyle w:val="JuPara"/>
        <w:widowControl w:val="0"/>
        <w:rPr>
          <w:lang w:val="en-US"/>
        </w:rPr>
      </w:pPr>
    </w:p>
    <w:p w14:paraId="6C963E28"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235. 2017. gada 8. septembrī </w:t>
      </w:r>
      <w:proofErr w:type="spellStart"/>
      <w:r>
        <w:rPr>
          <w:rFonts w:ascii="Times New Roman" w:hAnsi="Times New Roman"/>
          <w:i/>
          <w:iCs/>
        </w:rPr>
        <w:t>IPT</w:t>
      </w:r>
      <w:proofErr w:type="spellEnd"/>
      <w:r>
        <w:rPr>
          <w:rFonts w:ascii="Times New Roman" w:hAnsi="Times New Roman"/>
        </w:rPr>
        <w:t xml:space="preserve"> pasludināja spriedumu lietā “</w:t>
      </w:r>
      <w:proofErr w:type="spellStart"/>
      <w:r>
        <w:rPr>
          <w:rFonts w:ascii="Times New Roman" w:hAnsi="Times New Roman"/>
        </w:rPr>
        <w:t>Privacy</w:t>
      </w:r>
      <w:proofErr w:type="spellEnd"/>
      <w:r>
        <w:rPr>
          <w:rFonts w:ascii="Times New Roman" w:hAnsi="Times New Roman"/>
        </w:rPr>
        <w:t xml:space="preserve"> </w:t>
      </w:r>
      <w:proofErr w:type="spellStart"/>
      <w:r>
        <w:rPr>
          <w:rFonts w:ascii="Times New Roman" w:hAnsi="Times New Roman"/>
        </w:rPr>
        <w:t>International</w:t>
      </w:r>
      <w:proofErr w:type="spellEnd"/>
      <w:r>
        <w:rPr>
          <w:rFonts w:ascii="Times New Roman" w:hAnsi="Times New Roman"/>
        </w:rPr>
        <w:t>”, kas attiecās uz faktu, ka izlūkdienesti ir ieguvuši masveida sakaru datus saskaņā ar 1984. gada Telekomunikāciju likuma [</w:t>
      </w:r>
      <w:r>
        <w:rPr>
          <w:rFonts w:ascii="Times New Roman" w:hAnsi="Times New Roman"/>
          <w:i/>
          <w:iCs/>
        </w:rPr>
        <w:t xml:space="preserve">Telecommunications </w:t>
      </w:r>
      <w:proofErr w:type="spellStart"/>
      <w:r>
        <w:rPr>
          <w:rFonts w:ascii="Times New Roman" w:hAnsi="Times New Roman"/>
          <w:i/>
          <w:iCs/>
        </w:rPr>
        <w:t>Act</w:t>
      </w:r>
      <w:proofErr w:type="spellEnd"/>
      <w:r>
        <w:rPr>
          <w:rFonts w:ascii="Times New Roman" w:hAnsi="Times New Roman"/>
          <w:i/>
          <w:iCs/>
        </w:rPr>
        <w:t xml:space="preserve"> 1984</w:t>
      </w:r>
      <w:r>
        <w:rPr>
          <w:rFonts w:ascii="Times New Roman" w:hAnsi="Times New Roman"/>
        </w:rPr>
        <w:t xml:space="preserve">] 94. pantu un masveida personas datus. </w:t>
      </w:r>
      <w:proofErr w:type="spellStart"/>
      <w:r>
        <w:rPr>
          <w:rFonts w:ascii="Times New Roman" w:hAnsi="Times New Roman"/>
          <w:i/>
          <w:iCs/>
        </w:rPr>
        <w:t>IPT</w:t>
      </w:r>
      <w:proofErr w:type="spellEnd"/>
      <w:r>
        <w:rPr>
          <w:rFonts w:ascii="Times New Roman" w:hAnsi="Times New Roman"/>
        </w:rPr>
        <w:t xml:space="preserve"> nosprieda, ka, pamatojoties uz tās atzinumu, režīmi atbilda Konvencijas 8. pantam. Tomēr tā noteica šādas četras prasības, kas, šķiet, izrietējušas no </w:t>
      </w:r>
      <w:proofErr w:type="spellStart"/>
      <w:r>
        <w:rPr>
          <w:rFonts w:ascii="Times New Roman" w:hAnsi="Times New Roman"/>
        </w:rPr>
        <w:t>EST</w:t>
      </w:r>
      <w:proofErr w:type="spellEnd"/>
      <w:r>
        <w:rPr>
          <w:rFonts w:ascii="Times New Roman" w:hAnsi="Times New Roman"/>
        </w:rPr>
        <w:t xml:space="preserve"> sprieduma lietā “Vatsons [</w:t>
      </w:r>
      <w:proofErr w:type="spellStart"/>
      <w:r>
        <w:rPr>
          <w:rFonts w:ascii="Times New Roman" w:hAnsi="Times New Roman"/>
          <w:i/>
          <w:iCs/>
        </w:rPr>
        <w:t>Watson</w:t>
      </w:r>
      <w:proofErr w:type="spellEnd"/>
      <w:r>
        <w:rPr>
          <w:rFonts w:ascii="Times New Roman" w:hAnsi="Times New Roman"/>
        </w:rPr>
        <w:t>] un citi” un pārsniedz Konvencijas 8. pantā noteiktās prasības, proti, nemērķētas piekļuves masveida datiem ierobežošana, nepieciešamība saņemt iepriekšēju atļauju (izņemot gadījumus, kad pamatoti konstatēti ārkārtas apstākļi) pirms piekļuves datiem, turpmāka skarto personu informēšana un visu datu saglabāšana Eiropas Savienībā.</w:t>
      </w:r>
    </w:p>
    <w:p w14:paraId="5ADB82A2"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236. 2017. gada 30. oktobrī </w:t>
      </w:r>
      <w:proofErr w:type="spellStart"/>
      <w:r>
        <w:rPr>
          <w:rFonts w:ascii="Times New Roman" w:hAnsi="Times New Roman"/>
          <w:i/>
          <w:iCs/>
        </w:rPr>
        <w:t>IPT</w:t>
      </w:r>
      <w:proofErr w:type="spellEnd"/>
      <w:r>
        <w:rPr>
          <w:rFonts w:ascii="Times New Roman" w:hAnsi="Times New Roman"/>
        </w:rPr>
        <w:t xml:space="preserve"> vērsās </w:t>
      </w:r>
      <w:proofErr w:type="spellStart"/>
      <w:r>
        <w:rPr>
          <w:rFonts w:ascii="Times New Roman" w:hAnsi="Times New Roman"/>
        </w:rPr>
        <w:t>EST</w:t>
      </w:r>
      <w:proofErr w:type="spellEnd"/>
      <w:r>
        <w:rPr>
          <w:rFonts w:ascii="Times New Roman" w:hAnsi="Times New Roman"/>
        </w:rPr>
        <w:t xml:space="preserve"> ar lūgumu sniegt prejudiciālu nolēmumu, lūdzot precizēt apmēru, kādā varētu piemērot spriedumā lietā “Vatsons” noteiktās prasības tad, kad jāizmanto datu masveida iegūšanas un automātiskās apstrādes metodes, lai aizsargātu valsts drošību. Šādi rīkojoties, tā pauda nopietnas bažas par to, ka tad, ja spriedumā lietā “Vatsons” noteiktās prasības piemērotu pasākumiem, ko veic, lai garantētu valsts drošību, tās šos pasākumus padarītu neefektīvus un pakļautu dalībvalstu valsts drošību riskam. Tā īpaši uzsvēra datu masveida iegūšanas ieguvumus valsts drošības kontekstā, risku, ka iepriekšējas atļaujas nepieciešamība varētu traucēt izlūkdienestu spēju kontrolēt noteiktus draudus valsts drošībai, bīstamību un </w:t>
      </w:r>
      <w:proofErr w:type="spellStart"/>
      <w:r>
        <w:rPr>
          <w:rFonts w:ascii="Times New Roman" w:hAnsi="Times New Roman"/>
        </w:rPr>
        <w:t>nepraktiskumu</w:t>
      </w:r>
      <w:proofErr w:type="spellEnd"/>
      <w:r>
        <w:rPr>
          <w:rFonts w:ascii="Times New Roman" w:hAnsi="Times New Roman"/>
        </w:rPr>
        <w:t>, kas rodas, izpildot prasību ziņot par masveida datubāzes iegūšanu vai izmantošanu, jo īpaši tad, kad apdraudēta valsts drošība, kā arī to, kā kāds absolūts šķērslis datu pārsūtīšanai ārpus Eiropas Savienībai varētu ietekmēt dalībvalstu līgumsaistības.</w:t>
      </w:r>
    </w:p>
    <w:p w14:paraId="322F75AA"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237. 2019. gada 9. septembrī notika publiska paskaidrojumu uzklausīšana. Lieta “</w:t>
      </w:r>
      <w:proofErr w:type="spellStart"/>
      <w:r>
        <w:rPr>
          <w:rFonts w:ascii="Times New Roman" w:hAnsi="Times New Roman"/>
        </w:rPr>
        <w:t>Privacy</w:t>
      </w:r>
      <w:proofErr w:type="spellEnd"/>
      <w:r>
        <w:rPr>
          <w:rFonts w:ascii="Times New Roman" w:hAnsi="Times New Roman"/>
        </w:rPr>
        <w:t xml:space="preserve"> </w:t>
      </w:r>
      <w:proofErr w:type="spellStart"/>
      <w:r>
        <w:rPr>
          <w:rFonts w:ascii="Times New Roman" w:hAnsi="Times New Roman"/>
        </w:rPr>
        <w:t>International</w:t>
      </w:r>
      <w:proofErr w:type="spellEnd"/>
      <w:r>
        <w:rPr>
          <w:rFonts w:ascii="Times New Roman" w:hAnsi="Times New Roman"/>
        </w:rPr>
        <w:t>” tika izskatīta kopā ar lietām C‑511/18 un C‑512/18 ““</w:t>
      </w:r>
      <w:proofErr w:type="spellStart"/>
      <w:r>
        <w:rPr>
          <w:rFonts w:ascii="Times New Roman" w:hAnsi="Times New Roman"/>
        </w:rPr>
        <w:t>La</w:t>
      </w:r>
      <w:proofErr w:type="spellEnd"/>
      <w:r>
        <w:rPr>
          <w:rFonts w:ascii="Times New Roman" w:hAnsi="Times New Roman"/>
        </w:rPr>
        <w:t xml:space="preserve"> </w:t>
      </w:r>
      <w:proofErr w:type="spellStart"/>
      <w:r>
        <w:rPr>
          <w:rFonts w:ascii="Times New Roman" w:hAnsi="Times New Roman"/>
        </w:rPr>
        <w:t>Quadrature</w:t>
      </w:r>
      <w:proofErr w:type="spellEnd"/>
      <w:r>
        <w:rPr>
          <w:rFonts w:ascii="Times New Roman" w:hAnsi="Times New Roman"/>
        </w:rPr>
        <w:t xml:space="preserve"> </w:t>
      </w:r>
      <w:proofErr w:type="spellStart"/>
      <w:r>
        <w:rPr>
          <w:rFonts w:ascii="Times New Roman" w:hAnsi="Times New Roman"/>
        </w:rPr>
        <w:t>du</w:t>
      </w:r>
      <w:proofErr w:type="spellEnd"/>
      <w:r>
        <w:rPr>
          <w:rFonts w:ascii="Times New Roman" w:hAnsi="Times New Roman"/>
        </w:rPr>
        <w:t xml:space="preserve"> Net” un citi” un C‑520/18 ““</w:t>
      </w:r>
      <w:proofErr w:type="spellStart"/>
      <w:r>
        <w:rPr>
          <w:rFonts w:ascii="Times New Roman" w:hAnsi="Times New Roman"/>
        </w:rPr>
        <w:t>Ordre</w:t>
      </w:r>
      <w:proofErr w:type="spellEnd"/>
      <w:r>
        <w:rPr>
          <w:rFonts w:ascii="Times New Roman" w:hAnsi="Times New Roman"/>
        </w:rPr>
        <w:t xml:space="preserve"> </w:t>
      </w:r>
      <w:proofErr w:type="spellStart"/>
      <w:r>
        <w:rPr>
          <w:rFonts w:ascii="Times New Roman" w:hAnsi="Times New Roman"/>
        </w:rPr>
        <w:t>des</w:t>
      </w:r>
      <w:proofErr w:type="spellEnd"/>
      <w:r>
        <w:rPr>
          <w:rFonts w:ascii="Times New Roman" w:hAnsi="Times New Roman"/>
        </w:rPr>
        <w:t xml:space="preserve"> </w:t>
      </w:r>
      <w:proofErr w:type="spellStart"/>
      <w:r>
        <w:rPr>
          <w:rFonts w:ascii="Times New Roman" w:hAnsi="Times New Roman"/>
        </w:rPr>
        <w:t>barreaux</w:t>
      </w:r>
      <w:proofErr w:type="spellEnd"/>
      <w:r>
        <w:rPr>
          <w:rFonts w:ascii="Times New Roman" w:hAnsi="Times New Roman"/>
        </w:rPr>
        <w:t xml:space="preserve"> </w:t>
      </w:r>
      <w:proofErr w:type="spellStart"/>
      <w:r>
        <w:rPr>
          <w:rFonts w:ascii="Times New Roman" w:hAnsi="Times New Roman"/>
        </w:rPr>
        <w:t>francophones</w:t>
      </w:r>
      <w:proofErr w:type="spellEnd"/>
      <w:r>
        <w:rPr>
          <w:rFonts w:ascii="Times New Roman" w:hAnsi="Times New Roman"/>
        </w:rPr>
        <w:t xml:space="preserve"> </w:t>
      </w:r>
      <w:proofErr w:type="spellStart"/>
      <w:r>
        <w:rPr>
          <w:rFonts w:ascii="Times New Roman" w:hAnsi="Times New Roman"/>
        </w:rPr>
        <w:t>et</w:t>
      </w:r>
      <w:proofErr w:type="spellEnd"/>
      <w:r>
        <w:rPr>
          <w:rFonts w:ascii="Times New Roman" w:hAnsi="Times New Roman"/>
        </w:rPr>
        <w:t xml:space="preserve"> </w:t>
      </w:r>
      <w:proofErr w:type="spellStart"/>
      <w:r>
        <w:rPr>
          <w:rFonts w:ascii="Times New Roman" w:hAnsi="Times New Roman"/>
        </w:rPr>
        <w:t>germanophone</w:t>
      </w:r>
      <w:proofErr w:type="spellEnd"/>
      <w:r>
        <w:rPr>
          <w:rFonts w:ascii="Times New Roman" w:hAnsi="Times New Roman"/>
        </w:rPr>
        <w:t>” un citi”, kas tāpat attiecās uz Direktīvas 2002/58 piemērošanu darbībām, kas saistītas ar valsts drošību un terorisma apkarošanu. Tiesvedībā attiecīgo valstu atbalstam iesaistījās trīspadsmit valstis.</w:t>
      </w:r>
    </w:p>
    <w:p w14:paraId="61C1DB6A"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238. Divi atsevišķi spriedumi tika pasludināti 2020. gada 6. oktobrī. Spriedumā lietā “</w:t>
      </w:r>
      <w:proofErr w:type="spellStart"/>
      <w:r>
        <w:rPr>
          <w:rFonts w:ascii="Times New Roman" w:hAnsi="Times New Roman"/>
        </w:rPr>
        <w:t>Privacy</w:t>
      </w:r>
      <w:proofErr w:type="spellEnd"/>
      <w:r>
        <w:rPr>
          <w:rFonts w:ascii="Times New Roman" w:hAnsi="Times New Roman"/>
        </w:rPr>
        <w:t xml:space="preserve"> </w:t>
      </w:r>
      <w:proofErr w:type="spellStart"/>
      <w:r>
        <w:rPr>
          <w:rFonts w:ascii="Times New Roman" w:hAnsi="Times New Roman"/>
        </w:rPr>
        <w:lastRenderedPageBreak/>
        <w:t>International</w:t>
      </w:r>
      <w:proofErr w:type="spellEnd"/>
      <w:r>
        <w:rPr>
          <w:rFonts w:ascii="Times New Roman" w:hAnsi="Times New Roman"/>
        </w:rPr>
        <w:t xml:space="preserve">” </w:t>
      </w:r>
      <w:proofErr w:type="spellStart"/>
      <w:r>
        <w:rPr>
          <w:rFonts w:ascii="Times New Roman" w:hAnsi="Times New Roman"/>
        </w:rPr>
        <w:t>EST</w:t>
      </w:r>
      <w:proofErr w:type="spellEnd"/>
      <w:r>
        <w:rPr>
          <w:rFonts w:ascii="Times New Roman" w:hAnsi="Times New Roman"/>
        </w:rPr>
        <w:t xml:space="preserve"> atzina, ka valsts tiesiskais regulējums, kas uzliek elektronisko sakaru pakalpojumu sniedzējiem par pienākumu pārsūtīt datplūsmas datus un atrašanās vietas datus drošības un izlūkošanas aģentūrām, lai aizsargātu valsts drošību, ietilpst direktīvas par privātās dzīves neaizskaramību un elektroniskajiem sakariem piemērošanas jomā. Interpretējot šo direktīvu, bija jāņem vērā Hartas 7. pantā garantētās tiesības uz privātās dzīves neaizskaramību, 8. pantā garantētās tiesības uz personas datu aizsardzību, kā arī 11. pantā garantētās tiesības uz vārda brīvību. Ierobežojumiem šo tiesību īstenošanai bija jābūt noteiktiem tiesību aktos, ņemot vērā šo tiesību būtību, un tiem jābūt samērīgiem un nepieciešamiem un patiešām jāatbilst vispārējo interešu mērķiem, ko atzinusi Eiropas Savienība, vai vajadzībai aizsargāt citu personu tiesības un brīvības. Turklāt personas datu aizsardzības ierobežojumi jāpiemēro vienīgi absolūti nepieciešamajā apmērā, un, lai izpildītu samērīguma prasību, tiesiskajam regulējumam ir jāparedz skaidri un precīzi noteikumi, kas reglamentē attiecīgā pasākuma tvērumu un piemērošanu un paredz minimālās prasības, lai tā rezultātā personām, kuru personas dati tikuši pārsūtīti, ir pieejamas pietiekamas garantijas, kas ļaus šos datus efektīvi aizsargāt pret ļaunprātīgas izmantošanas risku.</w:t>
      </w:r>
    </w:p>
    <w:p w14:paraId="650B577C"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239. </w:t>
      </w:r>
      <w:proofErr w:type="spellStart"/>
      <w:r>
        <w:rPr>
          <w:rFonts w:ascii="Times New Roman" w:hAnsi="Times New Roman"/>
        </w:rPr>
        <w:t>EST</w:t>
      </w:r>
      <w:proofErr w:type="spellEnd"/>
      <w:r>
        <w:rPr>
          <w:rFonts w:ascii="Times New Roman" w:hAnsi="Times New Roman"/>
        </w:rPr>
        <w:t xml:space="preserve"> ieskatā valsts tiesiskais regulējums, kas uzliek elektronisko sakaru pakalpojumu sniedzējiem par pienākumu izpaust drošības un izlūkošanas aģentūrām datplūsmas datus un atrašanās vietas datus, veicot vispārēju un neselektīvu pārsūtīšanu, kas ietekmējusi visas personas, kuras izmanto elektronisko sakaru pakalpojumus, pārsniedz absolūti nepieciešamo apmēru un nav uzskatāms par pamatotu, kā to nosaka direktīva par privātās dzīves neaizskaramību un elektronisko saziņu, to aplūkojot kopā ar Hartu.</w:t>
      </w:r>
    </w:p>
    <w:p w14:paraId="7F28120D"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240. Tomēr spriedumā lietā ““</w:t>
      </w:r>
      <w:proofErr w:type="spellStart"/>
      <w:r>
        <w:rPr>
          <w:rFonts w:ascii="Times New Roman" w:hAnsi="Times New Roman"/>
        </w:rPr>
        <w:t>La</w:t>
      </w:r>
      <w:proofErr w:type="spellEnd"/>
      <w:r>
        <w:rPr>
          <w:rFonts w:ascii="Times New Roman" w:hAnsi="Times New Roman"/>
        </w:rPr>
        <w:t xml:space="preserve"> </w:t>
      </w:r>
      <w:proofErr w:type="spellStart"/>
      <w:r>
        <w:rPr>
          <w:rFonts w:ascii="Times New Roman" w:hAnsi="Times New Roman"/>
        </w:rPr>
        <w:t>Quadrature</w:t>
      </w:r>
      <w:proofErr w:type="spellEnd"/>
      <w:r>
        <w:rPr>
          <w:rFonts w:ascii="Times New Roman" w:hAnsi="Times New Roman"/>
        </w:rPr>
        <w:t xml:space="preserve"> </w:t>
      </w:r>
      <w:proofErr w:type="spellStart"/>
      <w:r>
        <w:rPr>
          <w:rFonts w:ascii="Times New Roman" w:hAnsi="Times New Roman"/>
        </w:rPr>
        <w:t>du</w:t>
      </w:r>
      <w:proofErr w:type="spellEnd"/>
      <w:r>
        <w:rPr>
          <w:rFonts w:ascii="Times New Roman" w:hAnsi="Times New Roman"/>
        </w:rPr>
        <w:t xml:space="preserve"> Net” un citi” </w:t>
      </w:r>
      <w:proofErr w:type="spellStart"/>
      <w:r>
        <w:rPr>
          <w:rFonts w:ascii="Times New Roman" w:hAnsi="Times New Roman"/>
        </w:rPr>
        <w:t>EST</w:t>
      </w:r>
      <w:proofErr w:type="spellEnd"/>
      <w:r>
        <w:rPr>
          <w:rFonts w:ascii="Times New Roman" w:hAnsi="Times New Roman"/>
        </w:rPr>
        <w:t xml:space="preserve"> apstiprināja, ka, lai gan </w:t>
      </w:r>
      <w:bookmarkStart w:id="200" w:name="_Hlk53422983"/>
      <w:r>
        <w:rPr>
          <w:rFonts w:ascii="Times New Roman" w:hAnsi="Times New Roman"/>
        </w:rPr>
        <w:t>direktīva par privātās dzīves neaizskaramību un elektronisko saziņu, to aplūkojot kopā ar Hartu</w:t>
      </w:r>
      <w:bookmarkEnd w:id="200"/>
      <w:r>
        <w:rPr>
          <w:rFonts w:ascii="Times New Roman" w:hAnsi="Times New Roman"/>
        </w:rPr>
        <w:t xml:space="preserve">, aizliedz tiesību aktus, kas paredz vispārēju un neselektīvu datplūsmas datu un atrašanās vietas datu saglabāšanu situācijās, kad attiecīgā dalībvalsts sastopas ar nopietniem draudiem valsts drošībai, kuri izrādās patiesi un faktiski vai paredzami, tā neaizliedz tiesību aktus, kas uzliek pakalpojumu sniedzējiem par pienākumu vispārēji un neselektīvi saglabāt datplūsmas datus un atrašanās vietas datus uz laiku, kas ir absolūti nepieciešams, bet ko varētu pagarināt, ja draudi turpinātu pastāvēt. Lai apkarotu smagus noziegumus un novērstu nopietnus draudus sabiedrības drošībai, dalībvalstis uz laiku, kas nepārsniedz absolūti nepieciešamo, arī varēja paredzēt datplūsmas datu un atrašanās vietas datu </w:t>
      </w:r>
      <w:proofErr w:type="spellStart"/>
      <w:r>
        <w:rPr>
          <w:rFonts w:ascii="Times New Roman" w:hAnsi="Times New Roman"/>
        </w:rPr>
        <w:t>mērķorientētu</w:t>
      </w:r>
      <w:proofErr w:type="spellEnd"/>
      <w:r>
        <w:rPr>
          <w:rFonts w:ascii="Times New Roman" w:hAnsi="Times New Roman"/>
        </w:rPr>
        <w:t xml:space="preserve"> saglabāšanu, pamatojoties uz objektīviem un nediskriminējošiem elementiem, ņemot vērā attiecīgo personu kategorijas vai ģeogrāfisko kritēriju, vai interneta savienojuma avotam piešķirtās </w:t>
      </w:r>
      <w:proofErr w:type="spellStart"/>
      <w:r>
        <w:rPr>
          <w:rFonts w:ascii="Times New Roman" w:hAnsi="Times New Roman"/>
        </w:rPr>
        <w:t>IP</w:t>
      </w:r>
      <w:proofErr w:type="spellEnd"/>
      <w:r>
        <w:rPr>
          <w:rFonts w:ascii="Times New Roman" w:hAnsi="Times New Roman"/>
        </w:rPr>
        <w:t xml:space="preserve"> adreses. Tāpat dalībvalsts varēja vispārēji un nespecifiski saglabāt datus par lietotāju pilsonisko identitāti ar elektronisko sakaru starpniecību, nenosakot datu saglabāšanai konkrētu laika periodu.</w:t>
      </w:r>
    </w:p>
    <w:p w14:paraId="3F496D0A" w14:textId="77777777" w:rsidR="00F82F2D" w:rsidRDefault="00F82F2D" w:rsidP="00F82F2D">
      <w:pPr>
        <w:pStyle w:val="JuPara"/>
        <w:widowControl w:val="0"/>
        <w:ind w:firstLine="142"/>
        <w:rPr>
          <w:rFonts w:ascii="Times New Roman" w:hAnsi="Times New Roman"/>
          <w:noProof/>
        </w:rPr>
      </w:pPr>
      <w:r>
        <w:rPr>
          <w:rFonts w:ascii="Times New Roman" w:hAnsi="Times New Roman"/>
        </w:rPr>
        <w:t>241. Turklāt direktīvai par privātās dzīves neaizskaramību un elektronisko saziņu, to aplūkojot kopā ar Hartu, nav pretrunā valsts tiesību akti, kas uzliek elektronisko sakaru pakalpojumu sniedzējiem par pienākumu, pirmkārt, veikt datplūsmas datu un atrašanās vietas datu automatizētu analīzi un apkopošanu reāllaikā un, otrkārt, reāllaikā apkopot tehniskos datus par izmantoto gala iekārtu atrašanās vietu, ja analīze attiecas vienīgi uz situācijām, kurās dalībvalsts saskaras ar nopietniem draudiem valsts drošībai, kas izrādās patiesi un faktiski vai paredzami, un šīs analīzes izmantošanu var efektīvi pārbaudīt vai nu tiesa, vai neatkarīga administratīva iestāde, kuras lēmumam ir saistoša iedarbība, un datplūsmas datu un atrašanās vietas datu apkopošana reāllaikā attiecas vienīgi uz personām, attiecībā uz kurām ir pamatots iemesls aizdomām, ka tās kaut kādā veidā ir iesaistītas terorisma darbībās, un tā ir pakļauta iepriekšējai pārbaudei, ko veic vai nu tiesa, vai neatkarīga administratīva iestāde, kuras lēmumam ir saistoša iedarbība.</w:t>
      </w:r>
    </w:p>
    <w:p w14:paraId="7EE8FD42" w14:textId="77777777" w:rsidR="00F82F2D" w:rsidRPr="008D031E" w:rsidRDefault="00F82F2D" w:rsidP="00F82F2D">
      <w:pPr>
        <w:pStyle w:val="JuPara"/>
        <w:widowControl w:val="0"/>
        <w:ind w:firstLine="142"/>
        <w:rPr>
          <w:rFonts w:ascii="Times New Roman" w:hAnsi="Times New Roman"/>
          <w:noProof/>
          <w:lang w:val="en-US"/>
        </w:rPr>
      </w:pPr>
    </w:p>
    <w:p w14:paraId="4B48CB01" w14:textId="77777777" w:rsidR="00F82F2D" w:rsidRDefault="00F82F2D" w:rsidP="009B096C">
      <w:pPr>
        <w:pStyle w:val="JuHIRoman"/>
        <w:widowControl w:val="0"/>
        <w:numPr>
          <w:ilvl w:val="0"/>
          <w:numId w:val="0"/>
        </w:numPr>
        <w:spacing w:before="0" w:beforeAutospacing="0" w:after="0"/>
        <w:outlineLvl w:val="9"/>
        <w:rPr>
          <w:rFonts w:ascii="Times New Roman" w:hAnsi="Times New Roman"/>
          <w:caps w:val="0"/>
          <w:noProof/>
        </w:rPr>
      </w:pPr>
      <w:r>
        <w:rPr>
          <w:rFonts w:ascii="Times New Roman" w:hAnsi="Times New Roman"/>
          <w:caps w:val="0"/>
        </w:rPr>
        <w:lastRenderedPageBreak/>
        <w:t>IV. PIEMĒROJAMIE SALĪDZINĀMIE TIESĪBU AKTI UN PRAKSE</w:t>
      </w:r>
    </w:p>
    <w:p w14:paraId="42A0D349" w14:textId="77777777" w:rsidR="00F82F2D" w:rsidRPr="00F6232E" w:rsidRDefault="00F82F2D" w:rsidP="009B096C">
      <w:pPr>
        <w:pStyle w:val="JuPara"/>
        <w:keepNext/>
        <w:keepLines/>
        <w:widowControl w:val="0"/>
        <w:rPr>
          <w:lang w:val="en-US"/>
        </w:rPr>
      </w:pPr>
    </w:p>
    <w:p w14:paraId="2ED65CE8" w14:textId="77777777" w:rsidR="00F82F2D" w:rsidRDefault="00F82F2D" w:rsidP="009B096C">
      <w:pPr>
        <w:pStyle w:val="JuHA"/>
        <w:widowControl w:val="0"/>
        <w:numPr>
          <w:ilvl w:val="0"/>
          <w:numId w:val="0"/>
        </w:numPr>
        <w:spacing w:before="0" w:beforeAutospacing="0" w:after="0"/>
        <w:outlineLvl w:val="9"/>
        <w:rPr>
          <w:rFonts w:ascii="Times New Roman" w:hAnsi="Times New Roman"/>
          <w:noProof/>
        </w:rPr>
      </w:pPr>
      <w:r>
        <w:rPr>
          <w:rFonts w:ascii="Times New Roman" w:hAnsi="Times New Roman"/>
        </w:rPr>
        <w:t>A. Līgumslēdzējas valstis</w:t>
      </w:r>
    </w:p>
    <w:p w14:paraId="70B6EB66" w14:textId="77777777" w:rsidR="00F82F2D" w:rsidRPr="00F6232E" w:rsidRDefault="00F82F2D" w:rsidP="00F82F2D">
      <w:pPr>
        <w:pStyle w:val="JuPara"/>
        <w:widowControl w:val="0"/>
        <w:rPr>
          <w:lang w:val="en-US"/>
        </w:rPr>
      </w:pPr>
    </w:p>
    <w:p w14:paraId="34718DF5" w14:textId="77777777" w:rsidR="00F82F2D" w:rsidRPr="008D031E" w:rsidRDefault="00F82F2D" w:rsidP="00F82F2D">
      <w:pPr>
        <w:pStyle w:val="JuPara"/>
        <w:widowControl w:val="0"/>
        <w:ind w:firstLine="142"/>
        <w:rPr>
          <w:rFonts w:ascii="Times New Roman" w:hAnsi="Times New Roman"/>
          <w:noProof/>
        </w:rPr>
      </w:pPr>
      <w:bookmarkStart w:id="201" w:name="complaw1"/>
      <w:r>
        <w:rPr>
          <w:rFonts w:ascii="Times New Roman" w:hAnsi="Times New Roman"/>
        </w:rPr>
        <w:t>242</w:t>
      </w:r>
      <w:bookmarkEnd w:id="201"/>
      <w:r>
        <w:rPr>
          <w:rFonts w:ascii="Times New Roman" w:hAnsi="Times New Roman"/>
        </w:rPr>
        <w:t>. Vismaz septiņas līgumslēdzējas valstis (Somija, Francija, Vācija, Nīderlande, Zviedrija, Šveice un Apvienotā Karaliste) oficiāli īsteno masveida pārtveršanas režīmus ar kabeļu un/vai gaisa līniju starpniecību.</w:t>
      </w:r>
    </w:p>
    <w:p w14:paraId="035FCB0C"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243. Vienā citā valstī (Norvēģijā) tiek apspriests likumprojekts – ja tas tiks pieņemts, tas atļaus veikt masveida pārtveršanu.</w:t>
      </w:r>
    </w:p>
    <w:p w14:paraId="0CFD3313"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244. Sīkāka informācija par Zviedrijas sistēmu ir ietverta spriedumā lietā ““</w:t>
      </w:r>
      <w:proofErr w:type="spellStart"/>
      <w:r>
        <w:rPr>
          <w:rFonts w:ascii="Times New Roman" w:hAnsi="Times New Roman"/>
        </w:rPr>
        <w:t>Centrum</w:t>
      </w:r>
      <w:proofErr w:type="spellEnd"/>
      <w:r>
        <w:rPr>
          <w:rFonts w:ascii="Times New Roman" w:hAnsi="Times New Roman"/>
        </w:rPr>
        <w:t xml:space="preserve"> </w:t>
      </w:r>
      <w:proofErr w:type="spellStart"/>
      <w:r>
        <w:rPr>
          <w:rFonts w:ascii="Times New Roman" w:hAnsi="Times New Roman"/>
        </w:rPr>
        <w:t>för</w:t>
      </w:r>
      <w:proofErr w:type="spellEnd"/>
      <w:r>
        <w:rPr>
          <w:rFonts w:ascii="Times New Roman" w:hAnsi="Times New Roman"/>
        </w:rPr>
        <w:t xml:space="preserve"> </w:t>
      </w:r>
      <w:proofErr w:type="spellStart"/>
      <w:r>
        <w:rPr>
          <w:rFonts w:ascii="Times New Roman" w:hAnsi="Times New Roman"/>
        </w:rPr>
        <w:t>rättvisa</w:t>
      </w:r>
      <w:proofErr w:type="spellEnd"/>
      <w:r>
        <w:rPr>
          <w:rFonts w:ascii="Times New Roman" w:hAnsi="Times New Roman"/>
        </w:rPr>
        <w:t>” pret Zviedriju” (pieteikums Nr. 35252/08), savukārt sīkāka informācija par Vācijas sistēmu ir izklāstīta turpmāk 247.–252. punktā.</w:t>
      </w:r>
    </w:p>
    <w:p w14:paraId="689D1DB7"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245. Attiecībā uz </w:t>
      </w:r>
      <w:proofErr w:type="spellStart"/>
      <w:r>
        <w:rPr>
          <w:rFonts w:ascii="Times New Roman" w:hAnsi="Times New Roman"/>
        </w:rPr>
        <w:t>izlūkdatu</w:t>
      </w:r>
      <w:proofErr w:type="spellEnd"/>
      <w:r>
        <w:rPr>
          <w:rFonts w:ascii="Times New Roman" w:hAnsi="Times New Roman"/>
        </w:rPr>
        <w:t xml:space="preserve"> apmaiņas līgumiem vismaz trīsdesmit deviņas līgumslēdzējas valstis ir vai nu noslēgušas </w:t>
      </w:r>
      <w:proofErr w:type="spellStart"/>
      <w:r>
        <w:rPr>
          <w:rFonts w:ascii="Times New Roman" w:hAnsi="Times New Roman"/>
        </w:rPr>
        <w:t>izlūkdatu</w:t>
      </w:r>
      <w:proofErr w:type="spellEnd"/>
      <w:r>
        <w:rPr>
          <w:rFonts w:ascii="Times New Roman" w:hAnsi="Times New Roman"/>
        </w:rPr>
        <w:t xml:space="preserve"> apmaiņas līgumus ar citām valstīm, vai arī tām ir iespēja šādus līgumus noslēgt. Divas no tām nepārprotami aizliedz, bet divas – nepārprotami atļauj valstij vērsties pie kādas citas valsts, lai tās vārdā pārtvertu materiālu. Pārējās valstīs šī nostāja nav skaidra.</w:t>
      </w:r>
    </w:p>
    <w:p w14:paraId="6E89F010" w14:textId="77777777" w:rsidR="00F82F2D" w:rsidRDefault="00F82F2D" w:rsidP="00F82F2D">
      <w:pPr>
        <w:pStyle w:val="JuPara"/>
        <w:widowControl w:val="0"/>
        <w:ind w:firstLine="142"/>
        <w:rPr>
          <w:rFonts w:ascii="Times New Roman" w:hAnsi="Times New Roman"/>
          <w:noProof/>
        </w:rPr>
      </w:pPr>
      <w:r>
        <w:rPr>
          <w:rFonts w:ascii="Times New Roman" w:hAnsi="Times New Roman"/>
        </w:rPr>
        <w:t>246. Visbeidzot, vairumā valstu piemērojamie drošības pasākumi kopumā ir tādi paši kā attiecībā uz iekšzemes darbībām, paredzot dažādus ierobežojumus saņemto datu izmantošanai un atsevišķos gadījumos pienākumu tos iznīcināt, ja tie vairs nav aktuāli.</w:t>
      </w:r>
    </w:p>
    <w:p w14:paraId="3CCB75F2" w14:textId="77777777" w:rsidR="00F82F2D" w:rsidRPr="008D031E" w:rsidRDefault="00F82F2D" w:rsidP="00F82F2D">
      <w:pPr>
        <w:pStyle w:val="JuPara"/>
        <w:widowControl w:val="0"/>
        <w:ind w:firstLine="142"/>
        <w:rPr>
          <w:rFonts w:ascii="Times New Roman" w:hAnsi="Times New Roman"/>
          <w:noProof/>
          <w:lang w:val="en-US"/>
        </w:rPr>
      </w:pPr>
    </w:p>
    <w:p w14:paraId="6478A08D" w14:textId="77777777" w:rsidR="00F82F2D" w:rsidRDefault="00F82F2D" w:rsidP="00F82F2D">
      <w:pPr>
        <w:pStyle w:val="JuHA"/>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B. Vācijas Federālās Konstitucionālās tiesas 2020. gada 19. maija spriedums (1 </w:t>
      </w:r>
      <w:proofErr w:type="spellStart"/>
      <w:r>
        <w:rPr>
          <w:rFonts w:ascii="Times New Roman" w:hAnsi="Times New Roman"/>
        </w:rPr>
        <w:t>BvR</w:t>
      </w:r>
      <w:proofErr w:type="spellEnd"/>
      <w:r>
        <w:rPr>
          <w:rFonts w:ascii="Times New Roman" w:hAnsi="Times New Roman"/>
        </w:rPr>
        <w:t xml:space="preserve"> 2835/17)</w:t>
      </w:r>
    </w:p>
    <w:p w14:paraId="02B420AF" w14:textId="77777777" w:rsidR="00F82F2D" w:rsidRPr="00F6232E" w:rsidRDefault="00F82F2D" w:rsidP="00F82F2D">
      <w:pPr>
        <w:pStyle w:val="JuPara"/>
        <w:widowControl w:val="0"/>
        <w:rPr>
          <w:lang w:val="en-US"/>
        </w:rPr>
      </w:pPr>
    </w:p>
    <w:p w14:paraId="53569CC9" w14:textId="77777777" w:rsidR="00F82F2D" w:rsidRPr="008D031E" w:rsidRDefault="00F82F2D" w:rsidP="00F82F2D">
      <w:pPr>
        <w:pStyle w:val="JuPara"/>
        <w:widowControl w:val="0"/>
        <w:ind w:firstLine="142"/>
        <w:rPr>
          <w:rFonts w:ascii="Times New Roman" w:hAnsi="Times New Roman"/>
          <w:noProof/>
        </w:rPr>
      </w:pPr>
      <w:bookmarkStart w:id="202" w:name="GSSstart"/>
      <w:r>
        <w:rPr>
          <w:rFonts w:ascii="Times New Roman" w:hAnsi="Times New Roman"/>
        </w:rPr>
        <w:t>247</w:t>
      </w:r>
      <w:bookmarkEnd w:id="202"/>
      <w:r>
        <w:rPr>
          <w:rFonts w:ascii="Times New Roman" w:hAnsi="Times New Roman"/>
        </w:rPr>
        <w:t>. Šajā spriedumā Konstitucionālā tiesa izvērtēja, vai ar Federālā izlūkdienesta pilnvarām veikt ārvalstu telekomunikāciju stratēģisku (jeb “sakaru”) izlūkošanu tikušas pārkāptas Pamatlikumā [</w:t>
      </w:r>
      <w:proofErr w:type="spellStart"/>
      <w:r>
        <w:rPr>
          <w:rFonts w:ascii="Times New Roman" w:hAnsi="Times New Roman"/>
          <w:i/>
          <w:iCs/>
        </w:rPr>
        <w:t>Grundgesetz</w:t>
      </w:r>
      <w:proofErr w:type="spellEnd"/>
      <w:r>
        <w:rPr>
          <w:rFonts w:ascii="Times New Roman" w:hAnsi="Times New Roman"/>
        </w:rPr>
        <w:t xml:space="preserve">] noteiktās </w:t>
      </w:r>
      <w:proofErr w:type="spellStart"/>
      <w:r>
        <w:rPr>
          <w:rFonts w:ascii="Times New Roman" w:hAnsi="Times New Roman"/>
        </w:rPr>
        <w:t>pamattiesības</w:t>
      </w:r>
      <w:proofErr w:type="spellEnd"/>
      <w:r>
        <w:rPr>
          <w:rFonts w:ascii="Times New Roman" w:hAnsi="Times New Roman"/>
        </w:rPr>
        <w:t>.</w:t>
      </w:r>
    </w:p>
    <w:p w14:paraId="3CC9A23D" w14:textId="77777777" w:rsidR="00F82F2D" w:rsidRPr="008D031E" w:rsidRDefault="00F82F2D" w:rsidP="00F82F2D">
      <w:pPr>
        <w:pStyle w:val="JuPara"/>
        <w:widowControl w:val="0"/>
        <w:ind w:firstLine="142"/>
        <w:rPr>
          <w:rFonts w:ascii="Times New Roman" w:hAnsi="Times New Roman"/>
          <w:noProof/>
        </w:rPr>
      </w:pPr>
      <w:bookmarkStart w:id="203" w:name="german"/>
      <w:r>
        <w:rPr>
          <w:rFonts w:ascii="Times New Roman" w:hAnsi="Times New Roman"/>
        </w:rPr>
        <w:t>248</w:t>
      </w:r>
      <w:bookmarkEnd w:id="203"/>
      <w:r>
        <w:rPr>
          <w:rFonts w:ascii="Times New Roman" w:hAnsi="Times New Roman"/>
        </w:rPr>
        <w:t>. Attiecīgais režīms attiecās gan uz satura, gan uz saistīto sakaru datu pārtveršanu, un tā mērķis bija vienīgi pārraudzīt ārvalstu telekomunikāciju ārpus Vācijas teritorijas. Šādu uzraudzību varēja veikt, lai iegūtu informāciju par jautājumiem, kas Federālās valdības ieskatā ir svarīgi valsts ārpolitikai un drošības politikai. Tomēr to arī varēja veikt attiecībā uz konkrētām personām. Uzraudzības rīkojumu pieļaujamību un nepieciešamību kontrolēja neatkarīga komiteja. Saskaņā ar Konstitucionālās tiesas spriedumu pēc datu pārtveršanas tika īstenots pilnībā automatizēts vairāku posmu filtrēšanas un izvērtēšanas process. Šim nolūkam Federālais izlūkdienests izmantoja meklēšanas vārdus sešciparu skaitļa apmērā, ko kontrolēja iekšējā apakšnodaļa, kuras uzdevums bija nodrošināt, lai saikne starp izmantotajiem meklēšanas vārdiem un datu pieprasīšanas mērķi tiktu paskaidrota saprātīgi un visaptveroši. Pēc tam, kad tika iesniegts pieteikums automātiskā filtrēšanas procesa veikšanai, pārtvertais materiāls tika vai nu dzēsts, vai uzglabāts, vai arī nosūtīts analītiķim izvērtēšanai.</w:t>
      </w:r>
    </w:p>
    <w:p w14:paraId="1E61D920"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249. Par pārtvertā materiāla apmaiņu ar ārvalstu izlūkdienestiem bija noslēgts sadarbības līgums, kurā bija jāietver ierobežojumi un garantijas, lai nodrošinātu, ka dati ir apstrādāti un dzēsti atbilstoši tiesiskuma principam.</w:t>
      </w:r>
    </w:p>
    <w:p w14:paraId="2AD367BC"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250. Konstitucionālā tiesa nosprieda, ka attiecīgais režīms neatbilda Pamatlikumam. Lai gan tā atzina, ka efektīva ārvalstu </w:t>
      </w:r>
      <w:proofErr w:type="spellStart"/>
      <w:r>
        <w:rPr>
          <w:rFonts w:ascii="Times New Roman" w:hAnsi="Times New Roman"/>
        </w:rPr>
        <w:t>izlūkdatu</w:t>
      </w:r>
      <w:proofErr w:type="spellEnd"/>
      <w:r>
        <w:rPr>
          <w:rFonts w:ascii="Times New Roman" w:hAnsi="Times New Roman"/>
        </w:rPr>
        <w:t xml:space="preserve"> vākšana notika vispārīgās sabiedrības interesēs, tā tomēr </w:t>
      </w:r>
      <w:proofErr w:type="spellStart"/>
      <w:r>
        <w:rPr>
          <w:rFonts w:ascii="Times New Roman" w:hAnsi="Times New Roman"/>
          <w:i/>
          <w:iCs/>
        </w:rPr>
        <w:t>inter</w:t>
      </w:r>
      <w:proofErr w:type="spellEnd"/>
      <w:r>
        <w:rPr>
          <w:rFonts w:ascii="Times New Roman" w:hAnsi="Times New Roman"/>
          <w:i/>
          <w:iCs/>
        </w:rPr>
        <w:t xml:space="preserve"> </w:t>
      </w:r>
      <w:proofErr w:type="spellStart"/>
      <w:r>
        <w:rPr>
          <w:rFonts w:ascii="Times New Roman" w:hAnsi="Times New Roman"/>
          <w:i/>
          <w:iCs/>
        </w:rPr>
        <w:t>alia</w:t>
      </w:r>
      <w:proofErr w:type="spellEnd"/>
      <w:r>
        <w:rPr>
          <w:rFonts w:ascii="Times New Roman" w:hAnsi="Times New Roman"/>
        </w:rPr>
        <w:t xml:space="preserve"> uzskatīja, ka režīms neattiecās uz pietiekami konkrētiem mērķiem, proti, tas nebija strukturēts tā, lai paredzētu atbilstošu pārraudzību un kontroli, turklāt nav paredzēti vairāki drošības pasākumi, jo īpaši saistībā ar žurnālistu, advokātu un citu personu aizsardzību, kuru saziņas aktu saturam bija nepieciešama īpaša konfidencialitātes aizsardzība.</w:t>
      </w:r>
    </w:p>
    <w:p w14:paraId="0B3F593D"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251. Attiecībā uz ārvalsts izlūkošanas rezultātā iegūto </w:t>
      </w:r>
      <w:proofErr w:type="spellStart"/>
      <w:r>
        <w:rPr>
          <w:rFonts w:ascii="Times New Roman" w:hAnsi="Times New Roman"/>
        </w:rPr>
        <w:t>izlūkdatu</w:t>
      </w:r>
      <w:proofErr w:type="spellEnd"/>
      <w:r>
        <w:rPr>
          <w:rFonts w:ascii="Times New Roman" w:hAnsi="Times New Roman"/>
        </w:rPr>
        <w:t xml:space="preserve"> apmaiņu tiesa atkal secināja, ka nav noteikti drošības pasākumi. Proti, nebija pietiekami skaidri precizēts, kādos gadījumos </w:t>
      </w:r>
      <w:r>
        <w:rPr>
          <w:rFonts w:ascii="Times New Roman" w:hAnsi="Times New Roman"/>
        </w:rPr>
        <w:lastRenderedPageBreak/>
        <w:t xml:space="preserve">ar svarīgām interesēm var pamatot datu pārsūtīšanu. Turklāt, lai gan tiesa neuzskatīja, ka saņēmējā valstī ir jābūt ieviestiem salīdzināmiem noteikumiem par personas datu apstrādi, tā tomēr uzskatīja, ka datus varēja pārsūtīt uz ārvalstīm vienīgi tad, ja bija nodrošināts atbilstošs datu aizsardzības līmenis un nebija iemesla bažām par to, ka informāciju varētu izmantot, lai pārkāptu tiesiskuma pamatprincipus. Aplūkojot šo jautājumu plašāk, proti, </w:t>
      </w:r>
      <w:proofErr w:type="spellStart"/>
      <w:r>
        <w:rPr>
          <w:rFonts w:ascii="Times New Roman" w:hAnsi="Times New Roman"/>
        </w:rPr>
        <w:t>izlūkdatu</w:t>
      </w:r>
      <w:proofErr w:type="spellEnd"/>
      <w:r>
        <w:rPr>
          <w:rFonts w:ascii="Times New Roman" w:hAnsi="Times New Roman"/>
        </w:rPr>
        <w:t xml:space="preserve"> apmaiņas kontekstā, tiesa uzskatīja, ka sadarbība ar ārvalstīm nav jāīsteno, lai apdraudētu iekšējos drošības pasākumus, un, ja Federālais izlūkdienests vēlējās izmantot meklēšanas vārdus, ko tai norādījis ārvalstu izlūkdienests, tam vispirms bija jāapstiprina, ka starp meklēšanas vārdiem un datu pieprasīšanas mērķi patiešām pastāv saikne un ka iegūtie dati neliecina par īpašu nepieciešamību ievērot konfidencialitāti (piemēram, tādēļ, ka tie attiecās uz trauksmes cēlējiem vai disidentiem). Lai gan tiesa neizslēdza iespēju par datu masveida pārsūtīšanu ārvalstu izlūkdienestiem, tā atzina, ka tas nevarēja būt nepārtraukts process, kas īstenots vienam nolūkam.</w:t>
      </w:r>
    </w:p>
    <w:p w14:paraId="184F26A5" w14:textId="77777777" w:rsidR="00F82F2D" w:rsidRDefault="00F82F2D" w:rsidP="00F82F2D">
      <w:pPr>
        <w:pStyle w:val="JuPara"/>
        <w:widowControl w:val="0"/>
        <w:ind w:firstLine="142"/>
        <w:rPr>
          <w:rFonts w:ascii="Times New Roman" w:hAnsi="Times New Roman"/>
          <w:noProof/>
        </w:rPr>
      </w:pPr>
      <w:bookmarkStart w:id="204" w:name="GSSend"/>
      <w:r>
        <w:rPr>
          <w:rFonts w:ascii="Times New Roman" w:hAnsi="Times New Roman"/>
        </w:rPr>
        <w:t>252</w:t>
      </w:r>
      <w:bookmarkEnd w:id="204"/>
      <w:r>
        <w:rPr>
          <w:rFonts w:ascii="Times New Roman" w:hAnsi="Times New Roman"/>
        </w:rPr>
        <w:t xml:space="preserve">. Visbeidzot tiesa atzina, ka attiecībā uz pārskatāmajām uzraudzības pilnvarām arī trūka plaša neatkarīga un pastāvīga pārraudzība, lai nodrošinātu, ka tiek ievēroti attiecīgie tiesību akti, un kompensētu to, ka faktiski trūkst drošības pasākumu, ko parasti garantē tiesiskuma princips. </w:t>
      </w:r>
      <w:proofErr w:type="spellStart"/>
      <w:r>
        <w:rPr>
          <w:rFonts w:ascii="Times New Roman" w:hAnsi="Times New Roman"/>
        </w:rPr>
        <w:t>564Likumdevējam</w:t>
      </w:r>
      <w:proofErr w:type="spellEnd"/>
      <w:r>
        <w:rPr>
          <w:rFonts w:ascii="Times New Roman" w:hAnsi="Times New Roman"/>
        </w:rPr>
        <w:t xml:space="preserve"> bija jāparedz divi dažādi pārraudzības veidi, kuriem bija jāizpaužas arī organizatoriskajā struktūrā, proti, tiesai līdzīga struktūra, kuras uzdevums ir īstenot pārraudzību un pieņemt lēmumu formālā procedūrā, nodrošinot </w:t>
      </w:r>
      <w:proofErr w:type="spellStart"/>
      <w:r>
        <w:rPr>
          <w:rFonts w:ascii="Times New Roman" w:hAnsi="Times New Roman"/>
          <w:i/>
          <w:iCs/>
        </w:rPr>
        <w:t>ex</w:t>
      </w:r>
      <w:proofErr w:type="spellEnd"/>
      <w:r>
        <w:rPr>
          <w:rFonts w:ascii="Times New Roman" w:hAnsi="Times New Roman"/>
          <w:i/>
          <w:iCs/>
        </w:rPr>
        <w:t> </w:t>
      </w:r>
      <w:proofErr w:type="spellStart"/>
      <w:r>
        <w:rPr>
          <w:rFonts w:ascii="Times New Roman" w:hAnsi="Times New Roman"/>
          <w:i/>
          <w:iCs/>
        </w:rPr>
        <w:t>ante</w:t>
      </w:r>
      <w:proofErr w:type="spellEnd"/>
      <w:r>
        <w:rPr>
          <w:rFonts w:ascii="Times New Roman" w:hAnsi="Times New Roman"/>
        </w:rPr>
        <w:t xml:space="preserve"> vai </w:t>
      </w:r>
      <w:proofErr w:type="spellStart"/>
      <w:r>
        <w:rPr>
          <w:rFonts w:ascii="Times New Roman" w:hAnsi="Times New Roman"/>
          <w:i/>
          <w:iCs/>
        </w:rPr>
        <w:t>ex</w:t>
      </w:r>
      <w:proofErr w:type="spellEnd"/>
      <w:r>
        <w:rPr>
          <w:rFonts w:ascii="Times New Roman" w:hAnsi="Times New Roman"/>
          <w:i/>
          <w:iCs/>
        </w:rPr>
        <w:t> post</w:t>
      </w:r>
      <w:r>
        <w:rPr>
          <w:rFonts w:ascii="Times New Roman" w:hAnsi="Times New Roman"/>
        </w:rPr>
        <w:t xml:space="preserve"> tiesisko aizsardzību, un, otrkārt, pārraudzība, kas pēc būtības ir administratīva un varētu paredzēt, ka pēc pašu iniciatīvas pēc nejaušības principa tiek pārbaudīta visa stratēģiskās uzraudzības procesa likumība. Konstitucionālās tiesas ieskatā noteiktiem galvenajiem procesuālajiem posmiem principā būtu nepieciešama tiesai līdzīgas struktūras </w:t>
      </w:r>
      <w:proofErr w:type="spellStart"/>
      <w:r>
        <w:rPr>
          <w:rFonts w:ascii="Times New Roman" w:hAnsi="Times New Roman"/>
          <w:i/>
          <w:iCs/>
        </w:rPr>
        <w:t>ex</w:t>
      </w:r>
      <w:proofErr w:type="spellEnd"/>
      <w:r>
        <w:rPr>
          <w:rFonts w:ascii="Times New Roman" w:hAnsi="Times New Roman"/>
          <w:i/>
          <w:iCs/>
        </w:rPr>
        <w:t> </w:t>
      </w:r>
      <w:proofErr w:type="spellStart"/>
      <w:r>
        <w:rPr>
          <w:rFonts w:ascii="Times New Roman" w:hAnsi="Times New Roman"/>
          <w:i/>
          <w:iCs/>
        </w:rPr>
        <w:t>ante</w:t>
      </w:r>
      <w:proofErr w:type="spellEnd"/>
      <w:r>
        <w:rPr>
          <w:rFonts w:ascii="Times New Roman" w:hAnsi="Times New Roman"/>
        </w:rPr>
        <w:t xml:space="preserve"> atļauja, proti, dažādu uzraudzības pasākumu formāla noteikšana (netika izslēgti izņēmumi steidzamības gadījumos), meklēšanas vārdu izmantošana, ciktāl tie ir tieši vērsti uz personām, kuras varētu radīt apdraudējumu, kas līdz ar to būtu Federālā izlūkdienesta tiešajās interesēs, kā arī tādu meklēšanas vārdu izmantošana, kas tieši attiecas uz personām, kuru saziņas aktu saturam nepieciešama īpaša konfidencialitātes aizsardzība, un tādu ar žurnālistiem, advokātiem un citu profesiju pārstāvjiem saistītu datu apmaiņa ar ārvalstu izlūkdienestiem, kam nepieciešama īpaša konfidencialitātes aizsardzība.</w:t>
      </w:r>
    </w:p>
    <w:p w14:paraId="2F8A453C" w14:textId="77777777" w:rsidR="00F82F2D" w:rsidRPr="008D031E" w:rsidRDefault="00F82F2D" w:rsidP="00F82F2D">
      <w:pPr>
        <w:pStyle w:val="JuPara"/>
        <w:widowControl w:val="0"/>
        <w:ind w:firstLine="142"/>
        <w:rPr>
          <w:rFonts w:ascii="Times New Roman" w:hAnsi="Times New Roman"/>
          <w:noProof/>
          <w:lang w:val="en-US"/>
        </w:rPr>
      </w:pPr>
    </w:p>
    <w:p w14:paraId="668ED899" w14:textId="77777777" w:rsidR="00F82F2D" w:rsidRDefault="00F82F2D" w:rsidP="00F82F2D">
      <w:pPr>
        <w:pStyle w:val="JuHA"/>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C. Hāgas Apelācijas tiesas 2017. gada 14. marta spriedums</w:t>
      </w:r>
    </w:p>
    <w:p w14:paraId="11186291" w14:textId="77777777" w:rsidR="00F82F2D" w:rsidRPr="00F6232E" w:rsidRDefault="00F82F2D" w:rsidP="00F82F2D">
      <w:pPr>
        <w:pStyle w:val="JuPara"/>
        <w:widowControl w:val="0"/>
        <w:rPr>
          <w:lang w:val="en-US"/>
        </w:rPr>
      </w:pPr>
    </w:p>
    <w:p w14:paraId="6F8A0740" w14:textId="77777777" w:rsidR="00F82F2D" w:rsidRPr="008D031E" w:rsidRDefault="00F82F2D" w:rsidP="00F82F2D">
      <w:pPr>
        <w:pStyle w:val="JuPara"/>
        <w:widowControl w:val="0"/>
        <w:ind w:firstLine="142"/>
        <w:rPr>
          <w:rFonts w:ascii="Times New Roman" w:eastAsia="Calibri" w:hAnsi="Times New Roman"/>
          <w:noProof/>
        </w:rPr>
      </w:pPr>
      <w:r>
        <w:rPr>
          <w:rFonts w:ascii="Times New Roman" w:hAnsi="Times New Roman"/>
        </w:rPr>
        <w:t xml:space="preserve">253. Vairākas personas un asociācijas apgalvoja, ka Nīderlandes izlūkošanas un drošības dienesti rīkojušies pretlikumīgi, saņemot datus no ārvalstu izlūkošanas un drošības dienestiem, jo īpaši </w:t>
      </w:r>
      <w:proofErr w:type="spellStart"/>
      <w:r>
        <w:rPr>
          <w:rFonts w:ascii="Times New Roman" w:hAnsi="Times New Roman"/>
          <w:i/>
          <w:iCs/>
        </w:rPr>
        <w:t>NSA</w:t>
      </w:r>
      <w:proofErr w:type="spellEnd"/>
      <w:r>
        <w:rPr>
          <w:rFonts w:ascii="Times New Roman" w:hAnsi="Times New Roman"/>
        </w:rPr>
        <w:t xml:space="preserve"> un </w:t>
      </w:r>
      <w:proofErr w:type="spellStart"/>
      <w:r>
        <w:rPr>
          <w:rFonts w:ascii="Times New Roman" w:hAnsi="Times New Roman"/>
          <w:i/>
          <w:iCs/>
        </w:rPr>
        <w:t>GCHQ</w:t>
      </w:r>
      <w:proofErr w:type="spellEnd"/>
      <w:r>
        <w:rPr>
          <w:rFonts w:ascii="Times New Roman" w:hAnsi="Times New Roman"/>
        </w:rPr>
        <w:t xml:space="preserve">, kuri to ieskatā datus bija vai varēja būt saņēmuši “neatļautā” vai “pretlikumīgā” veidā. Prasītāji neapstrīdēja, ka </w:t>
      </w:r>
      <w:proofErr w:type="spellStart"/>
      <w:r>
        <w:rPr>
          <w:rFonts w:ascii="Times New Roman" w:hAnsi="Times New Roman"/>
          <w:i/>
          <w:iCs/>
        </w:rPr>
        <w:t>NSA</w:t>
      </w:r>
      <w:proofErr w:type="spellEnd"/>
      <w:r>
        <w:rPr>
          <w:rFonts w:ascii="Times New Roman" w:hAnsi="Times New Roman"/>
        </w:rPr>
        <w:t xml:space="preserve"> un </w:t>
      </w:r>
      <w:proofErr w:type="spellStart"/>
      <w:r>
        <w:rPr>
          <w:rFonts w:ascii="Times New Roman" w:hAnsi="Times New Roman"/>
          <w:i/>
          <w:iCs/>
        </w:rPr>
        <w:t>GCHQ</w:t>
      </w:r>
      <w:proofErr w:type="spellEnd"/>
      <w:r>
        <w:rPr>
          <w:rFonts w:ascii="Times New Roman" w:hAnsi="Times New Roman"/>
        </w:rPr>
        <w:t xml:space="preserve"> darbības saskaņā ar valsts tiesību aktiem bija “prettiesiskas” vai “pretlikumīgas”, bet gan drīzāk to, ka </w:t>
      </w:r>
      <w:proofErr w:type="spellStart"/>
      <w:r>
        <w:rPr>
          <w:rFonts w:ascii="Times New Roman" w:hAnsi="Times New Roman"/>
          <w:i/>
          <w:iCs/>
        </w:rPr>
        <w:t>NSA</w:t>
      </w:r>
      <w:proofErr w:type="spellEnd"/>
      <w:r>
        <w:rPr>
          <w:rFonts w:ascii="Times New Roman" w:hAnsi="Times New Roman"/>
        </w:rPr>
        <w:t xml:space="preserve"> ar savu rīcību bija pārkāpusi Starptautisko </w:t>
      </w:r>
      <w:proofErr w:type="spellStart"/>
      <w:r>
        <w:rPr>
          <w:rFonts w:ascii="Times New Roman" w:hAnsi="Times New Roman"/>
        </w:rPr>
        <w:t>paktu</w:t>
      </w:r>
      <w:proofErr w:type="spellEnd"/>
      <w:r>
        <w:rPr>
          <w:rFonts w:ascii="Times New Roman" w:hAnsi="Times New Roman"/>
        </w:rPr>
        <w:t xml:space="preserve"> par pilsoniskajām un politiskajām tiesībām (turpmāk tekstā – “</w:t>
      </w:r>
      <w:proofErr w:type="spellStart"/>
      <w:r>
        <w:rPr>
          <w:rFonts w:ascii="Times New Roman" w:hAnsi="Times New Roman"/>
          <w:i/>
          <w:iCs/>
        </w:rPr>
        <w:t>ICCPR</w:t>
      </w:r>
      <w:proofErr w:type="spellEnd"/>
      <w:r>
        <w:rPr>
          <w:rFonts w:ascii="Times New Roman" w:hAnsi="Times New Roman"/>
        </w:rPr>
        <w:t xml:space="preserve">”) un </w:t>
      </w:r>
      <w:proofErr w:type="spellStart"/>
      <w:r>
        <w:rPr>
          <w:rFonts w:ascii="Times New Roman" w:hAnsi="Times New Roman"/>
          <w:i/>
          <w:iCs/>
        </w:rPr>
        <w:t>GCHQ</w:t>
      </w:r>
      <w:proofErr w:type="spellEnd"/>
      <w:r>
        <w:rPr>
          <w:rFonts w:ascii="Times New Roman" w:hAnsi="Times New Roman"/>
        </w:rPr>
        <w:t xml:space="preserve"> ar savu rīcību bija pārkāpusi Konvenciju. Prasītāji </w:t>
      </w:r>
      <w:proofErr w:type="spellStart"/>
      <w:r>
        <w:rPr>
          <w:rFonts w:ascii="Times New Roman" w:hAnsi="Times New Roman"/>
          <w:i/>
          <w:iCs/>
        </w:rPr>
        <w:t>inter</w:t>
      </w:r>
      <w:proofErr w:type="spellEnd"/>
      <w:r>
        <w:rPr>
          <w:rFonts w:ascii="Times New Roman" w:hAnsi="Times New Roman"/>
          <w:i/>
          <w:iCs/>
        </w:rPr>
        <w:t xml:space="preserve"> </w:t>
      </w:r>
      <w:proofErr w:type="spellStart"/>
      <w:r>
        <w:rPr>
          <w:rFonts w:ascii="Times New Roman" w:hAnsi="Times New Roman"/>
          <w:i/>
          <w:iCs/>
        </w:rPr>
        <w:t>alia</w:t>
      </w:r>
      <w:proofErr w:type="spellEnd"/>
      <w:r>
        <w:rPr>
          <w:rFonts w:ascii="Times New Roman" w:hAnsi="Times New Roman"/>
        </w:rPr>
        <w:t xml:space="preserve"> atsaucās uz “</w:t>
      </w:r>
      <w:proofErr w:type="spellStart"/>
      <w:r>
        <w:rPr>
          <w:rFonts w:ascii="Times New Roman" w:hAnsi="Times New Roman"/>
        </w:rPr>
        <w:t>Snoudena</w:t>
      </w:r>
      <w:proofErr w:type="spellEnd"/>
      <w:r>
        <w:rPr>
          <w:rFonts w:ascii="Times New Roman" w:hAnsi="Times New Roman"/>
        </w:rPr>
        <w:t xml:space="preserve"> atklāto informāciju” (skat. iepriekš 12. punktu).</w:t>
      </w:r>
    </w:p>
    <w:p w14:paraId="1D451365" w14:textId="77777777" w:rsidR="00F82F2D" w:rsidRPr="008D031E" w:rsidRDefault="00F82F2D" w:rsidP="00F82F2D">
      <w:pPr>
        <w:pStyle w:val="JuPara"/>
        <w:widowControl w:val="0"/>
        <w:ind w:firstLine="142"/>
        <w:rPr>
          <w:rFonts w:ascii="Times New Roman" w:eastAsia="Calibri" w:hAnsi="Times New Roman"/>
          <w:noProof/>
        </w:rPr>
      </w:pPr>
      <w:r>
        <w:rPr>
          <w:rFonts w:ascii="Times New Roman" w:hAnsi="Times New Roman"/>
        </w:rPr>
        <w:t>254. 2014. gada 23. jūlijā Hāgas tiesa noraidīja prasītāju prasības (</w:t>
      </w:r>
      <w:proofErr w:type="spellStart"/>
      <w:r>
        <w:rPr>
          <w:rFonts w:ascii="Times New Roman" w:hAnsi="Times New Roman"/>
          <w:shd w:val="clear" w:color="auto" w:fill="FFFFFF"/>
        </w:rPr>
        <w:t>ECLI:NL:RBDHA:2014:8966</w:t>
      </w:r>
      <w:proofErr w:type="spellEnd"/>
      <w:r>
        <w:rPr>
          <w:rFonts w:ascii="Times New Roman" w:hAnsi="Times New Roman"/>
          <w:shd w:val="clear" w:color="auto" w:fill="FFFFFF"/>
        </w:rPr>
        <w:t>). Viņu apelācijas sūdzību pret šo spriedumu Hāgas apelācijas tiesa noraidīja 2017. gada 14. martā</w:t>
      </w:r>
      <w:r>
        <w:rPr>
          <w:rFonts w:ascii="Times New Roman" w:hAnsi="Times New Roman"/>
        </w:rPr>
        <w:t xml:space="preserve"> (</w:t>
      </w:r>
      <w:proofErr w:type="spellStart"/>
      <w:r>
        <w:rPr>
          <w:rFonts w:ascii="Times New Roman" w:hAnsi="Times New Roman"/>
        </w:rPr>
        <w:t>ECLI:NL:GHDHA:2017:535</w:t>
      </w:r>
      <w:proofErr w:type="spellEnd"/>
      <w:r>
        <w:rPr>
          <w:rFonts w:ascii="Times New Roman" w:hAnsi="Times New Roman"/>
        </w:rPr>
        <w:t>).</w:t>
      </w:r>
    </w:p>
    <w:p w14:paraId="7E05C7F4" w14:textId="77777777" w:rsidR="00F82F2D" w:rsidRPr="008D031E" w:rsidRDefault="00F82F2D" w:rsidP="00F82F2D">
      <w:pPr>
        <w:pStyle w:val="JuPara"/>
        <w:widowControl w:val="0"/>
        <w:ind w:firstLine="142"/>
        <w:rPr>
          <w:rFonts w:ascii="Times New Roman" w:eastAsia="Calibri" w:hAnsi="Times New Roman"/>
          <w:noProof/>
        </w:rPr>
      </w:pPr>
      <w:r>
        <w:rPr>
          <w:rFonts w:ascii="Times New Roman" w:hAnsi="Times New Roman"/>
        </w:rPr>
        <w:t>255. Apelācijas tiesa uzskatīja, ka principā ir jātic, ka Amerikas Savienotās Valstis un Apvienotā Karaliste ievērotu savus pienākumus, kas noteikti šajos nolīgumos. Šādu uzticību vajadzētu apšaubīt vienīgi tad, ja konstatēti pietiekami konkrēti apstākļi, lai uzskatītu, ka tā nav pamatota.</w:t>
      </w:r>
    </w:p>
    <w:p w14:paraId="3ED4D9AC" w14:textId="77777777" w:rsidR="00F82F2D" w:rsidRPr="008D031E" w:rsidRDefault="00F82F2D" w:rsidP="00F82F2D">
      <w:pPr>
        <w:pStyle w:val="JuPara"/>
        <w:widowControl w:val="0"/>
        <w:ind w:firstLine="142"/>
        <w:rPr>
          <w:rFonts w:ascii="Times New Roman" w:eastAsia="Calibri" w:hAnsi="Times New Roman"/>
          <w:noProof/>
        </w:rPr>
      </w:pPr>
      <w:r>
        <w:rPr>
          <w:rFonts w:ascii="Times New Roman" w:hAnsi="Times New Roman"/>
        </w:rPr>
        <w:t xml:space="preserve">256. Attiecībā uz </w:t>
      </w:r>
      <w:proofErr w:type="spellStart"/>
      <w:r>
        <w:rPr>
          <w:rFonts w:ascii="Times New Roman" w:hAnsi="Times New Roman"/>
          <w:i/>
          <w:iCs/>
        </w:rPr>
        <w:t>NSA</w:t>
      </w:r>
      <w:proofErr w:type="spellEnd"/>
      <w:r>
        <w:rPr>
          <w:rFonts w:ascii="Times New Roman" w:hAnsi="Times New Roman"/>
        </w:rPr>
        <w:t xml:space="preserve"> veikto telekomunikāciju datu apkopošanu nebija skaidru norāžu, ka </w:t>
      </w:r>
      <w:proofErr w:type="spellStart"/>
      <w:r>
        <w:rPr>
          <w:rFonts w:ascii="Times New Roman" w:hAnsi="Times New Roman"/>
          <w:i/>
          <w:iCs/>
        </w:rPr>
        <w:t>NSA</w:t>
      </w:r>
      <w:proofErr w:type="spellEnd"/>
      <w:r>
        <w:rPr>
          <w:rFonts w:ascii="Times New Roman" w:hAnsi="Times New Roman"/>
        </w:rPr>
        <w:t xml:space="preserve"> ar savu rīcību bija pārkāpusi </w:t>
      </w:r>
      <w:proofErr w:type="spellStart"/>
      <w:r>
        <w:rPr>
          <w:rFonts w:ascii="Times New Roman" w:hAnsi="Times New Roman"/>
          <w:i/>
          <w:iCs/>
        </w:rPr>
        <w:t>ICCPR</w:t>
      </w:r>
      <w:proofErr w:type="spellEnd"/>
      <w:r>
        <w:rPr>
          <w:rFonts w:ascii="Times New Roman" w:hAnsi="Times New Roman"/>
        </w:rPr>
        <w:t xml:space="preserve">. Ciktāl prasītāji bija centušies iebilst, ka likumā </w:t>
      </w:r>
      <w:r>
        <w:rPr>
          <w:rFonts w:ascii="Times New Roman" w:hAnsi="Times New Roman"/>
        </w:rPr>
        <w:lastRenderedPageBreak/>
        <w:t xml:space="preserve">noteiktās pilnvaras, uz ko bija balstīta datu apkopošana, bija plašākas, nekā to pieļauj </w:t>
      </w:r>
      <w:proofErr w:type="spellStart"/>
      <w:r>
        <w:rPr>
          <w:rFonts w:ascii="Times New Roman" w:hAnsi="Times New Roman"/>
          <w:i/>
          <w:iCs/>
        </w:rPr>
        <w:t>ICCPR</w:t>
      </w:r>
      <w:proofErr w:type="spellEnd"/>
      <w:r>
        <w:rPr>
          <w:rFonts w:ascii="Times New Roman" w:hAnsi="Times New Roman"/>
        </w:rPr>
        <w:t>, tie nebija pietiekami paskaidrojuši, kādā ziņā attiecīgie normatīvie akti bijuši neatbilstoši.</w:t>
      </w:r>
    </w:p>
    <w:p w14:paraId="06AF630B" w14:textId="77777777" w:rsidR="00F82F2D" w:rsidRPr="008D031E" w:rsidRDefault="00F82F2D" w:rsidP="00F82F2D">
      <w:pPr>
        <w:pStyle w:val="JuPara"/>
        <w:widowControl w:val="0"/>
        <w:ind w:firstLine="142"/>
        <w:rPr>
          <w:rFonts w:ascii="Times New Roman" w:eastAsia="Calibri" w:hAnsi="Times New Roman"/>
          <w:noProof/>
        </w:rPr>
      </w:pPr>
      <w:r>
        <w:rPr>
          <w:rFonts w:ascii="Times New Roman" w:hAnsi="Times New Roman"/>
        </w:rPr>
        <w:t xml:space="preserve">257. Attiecībā uz </w:t>
      </w:r>
      <w:proofErr w:type="spellStart"/>
      <w:r>
        <w:rPr>
          <w:rFonts w:ascii="Times New Roman" w:hAnsi="Times New Roman"/>
          <w:i/>
          <w:iCs/>
        </w:rPr>
        <w:t>GCHQ</w:t>
      </w:r>
      <w:proofErr w:type="spellEnd"/>
      <w:r>
        <w:rPr>
          <w:rFonts w:ascii="Times New Roman" w:hAnsi="Times New Roman"/>
        </w:rPr>
        <w:t xml:space="preserve"> veikto datu apkopošanu prasītāji nekādi nebija pamatojuši savu prasību par to, ka </w:t>
      </w:r>
      <w:proofErr w:type="spellStart"/>
      <w:r>
        <w:rPr>
          <w:rFonts w:ascii="Times New Roman" w:hAnsi="Times New Roman"/>
          <w:i/>
          <w:iCs/>
        </w:rPr>
        <w:t>GCHQ</w:t>
      </w:r>
      <w:proofErr w:type="spellEnd"/>
      <w:r>
        <w:rPr>
          <w:rFonts w:ascii="Times New Roman" w:hAnsi="Times New Roman"/>
        </w:rPr>
        <w:t xml:space="preserve"> ar savu rīcību bija pārkāpusi Konvenciju.</w:t>
      </w:r>
    </w:p>
    <w:p w14:paraId="11776262" w14:textId="77777777" w:rsidR="00F82F2D" w:rsidRPr="008D031E" w:rsidRDefault="00F82F2D" w:rsidP="00F82F2D">
      <w:pPr>
        <w:pStyle w:val="JuPara"/>
        <w:widowControl w:val="0"/>
        <w:ind w:firstLine="142"/>
        <w:rPr>
          <w:rFonts w:ascii="Times New Roman" w:eastAsia="Calibri" w:hAnsi="Times New Roman"/>
          <w:noProof/>
        </w:rPr>
      </w:pPr>
      <w:r>
        <w:rPr>
          <w:rFonts w:ascii="Times New Roman" w:hAnsi="Times New Roman"/>
        </w:rPr>
        <w:t xml:space="preserve">258. Līdz ar to prasītāji nebija pierādījuši, ka veids, kādā </w:t>
      </w:r>
      <w:proofErr w:type="spellStart"/>
      <w:r>
        <w:rPr>
          <w:rFonts w:ascii="Times New Roman" w:hAnsi="Times New Roman"/>
          <w:i/>
          <w:iCs/>
        </w:rPr>
        <w:t>NSA</w:t>
      </w:r>
      <w:proofErr w:type="spellEnd"/>
      <w:r>
        <w:rPr>
          <w:rFonts w:ascii="Times New Roman" w:hAnsi="Times New Roman"/>
        </w:rPr>
        <w:t xml:space="preserve"> un </w:t>
      </w:r>
      <w:proofErr w:type="spellStart"/>
      <w:r>
        <w:rPr>
          <w:rFonts w:ascii="Times New Roman" w:hAnsi="Times New Roman"/>
          <w:i/>
          <w:iCs/>
        </w:rPr>
        <w:t>GCHQ</w:t>
      </w:r>
      <w:proofErr w:type="spellEnd"/>
      <w:r>
        <w:rPr>
          <w:rFonts w:ascii="Times New Roman" w:hAnsi="Times New Roman"/>
        </w:rPr>
        <w:t xml:space="preserve"> bija rīkojušās, vismaz principā bija pretrunā ar </w:t>
      </w:r>
      <w:proofErr w:type="spellStart"/>
      <w:r>
        <w:rPr>
          <w:rFonts w:ascii="Times New Roman" w:hAnsi="Times New Roman"/>
          <w:i/>
          <w:iCs/>
        </w:rPr>
        <w:t>ICCPR</w:t>
      </w:r>
      <w:proofErr w:type="spellEnd"/>
      <w:r>
        <w:rPr>
          <w:rFonts w:ascii="Times New Roman" w:hAnsi="Times New Roman"/>
        </w:rPr>
        <w:t xml:space="preserve"> un Konvenciju. Lai gan nevarēja izslēgt, ka konkrētā gadījumā </w:t>
      </w:r>
      <w:proofErr w:type="spellStart"/>
      <w:r>
        <w:rPr>
          <w:rFonts w:ascii="Times New Roman" w:hAnsi="Times New Roman"/>
          <w:i/>
          <w:iCs/>
        </w:rPr>
        <w:t>NSA</w:t>
      </w:r>
      <w:proofErr w:type="spellEnd"/>
      <w:r>
        <w:rPr>
          <w:rFonts w:ascii="Times New Roman" w:hAnsi="Times New Roman"/>
        </w:rPr>
        <w:t xml:space="preserve"> vai </w:t>
      </w:r>
      <w:proofErr w:type="spellStart"/>
      <w:r>
        <w:rPr>
          <w:rFonts w:ascii="Times New Roman" w:hAnsi="Times New Roman"/>
          <w:i/>
          <w:iCs/>
        </w:rPr>
        <w:t>GCHQ</w:t>
      </w:r>
      <w:proofErr w:type="spellEnd"/>
      <w:r>
        <w:rPr>
          <w:rFonts w:ascii="Times New Roman" w:hAnsi="Times New Roman"/>
        </w:rPr>
        <w:t xml:space="preserve">, vai arī jebkurš cits ārvalstu izlūkdienests būtu varējis apkopot datus pretēji </w:t>
      </w:r>
      <w:proofErr w:type="spellStart"/>
      <w:r>
        <w:rPr>
          <w:rFonts w:ascii="Times New Roman" w:hAnsi="Times New Roman"/>
          <w:i/>
          <w:iCs/>
        </w:rPr>
        <w:t>ICCPR</w:t>
      </w:r>
      <w:proofErr w:type="spellEnd"/>
      <w:r>
        <w:rPr>
          <w:rFonts w:ascii="Times New Roman" w:hAnsi="Times New Roman"/>
        </w:rPr>
        <w:t xml:space="preserve"> vai Konvencijai, saskaņā ar uzticības principu šāda iespējamība vien nevarēja liecināt par to, Nīderlandes izlūkdienesti nevarēja saņemt datus no ārvalstu izlūkdienestiem, katrā atsevišķā gadījumā nepārbaudot, vai šie dati ir iegūti, nepārkāpjot attiecīgos nolīgumā noteiktos pienākumus.</w:t>
      </w:r>
    </w:p>
    <w:p w14:paraId="2C0604B9" w14:textId="77777777" w:rsidR="00F82F2D" w:rsidRPr="008D031E" w:rsidRDefault="00F82F2D" w:rsidP="00F82F2D">
      <w:pPr>
        <w:pStyle w:val="JuPara"/>
        <w:widowControl w:val="0"/>
        <w:ind w:firstLine="142"/>
        <w:rPr>
          <w:rFonts w:ascii="Times New Roman" w:eastAsia="Calibri" w:hAnsi="Times New Roman"/>
          <w:noProof/>
        </w:rPr>
      </w:pPr>
      <w:r>
        <w:rPr>
          <w:rFonts w:ascii="Times New Roman" w:hAnsi="Times New Roman"/>
        </w:rPr>
        <w:t>259. Visbeidzot Apelācijas tiesa atzina, ka, pat ja ārvalstu izlūkdienesti rīkojās savu likumā noteikto pilnvaru un nolīgumā noteikto pienākumu ietvaros, tas, ka šīs likumā noteiktās pilnvaras var būt plašākas par Nīderlandes izlūkdienestu pilnvarām, zināmos apstākļos varētu radīt bažas. Piemēram, varēja uzskatīt, ka Nīderlandes izlūkdienesti rīkotos pretēji 2002. gada Izlūkošanas un drošības dienestu likumam [</w:t>
      </w:r>
      <w:proofErr w:type="spellStart"/>
      <w:r>
        <w:rPr>
          <w:rFonts w:ascii="Times New Roman" w:hAnsi="Times New Roman"/>
          <w:i/>
          <w:iCs/>
        </w:rPr>
        <w:t>Intelligence</w:t>
      </w:r>
      <w:proofErr w:type="spellEnd"/>
      <w:r>
        <w:rPr>
          <w:rFonts w:ascii="Times New Roman" w:hAnsi="Times New Roman"/>
          <w:i/>
          <w:iCs/>
        </w:rPr>
        <w:t xml:space="preserve"> </w:t>
      </w:r>
      <w:proofErr w:type="spellStart"/>
      <w:r>
        <w:rPr>
          <w:rFonts w:ascii="Times New Roman" w:hAnsi="Times New Roman"/>
          <w:i/>
          <w:iCs/>
        </w:rPr>
        <w:t>and</w:t>
      </w:r>
      <w:proofErr w:type="spellEnd"/>
      <w:r>
        <w:rPr>
          <w:rFonts w:ascii="Times New Roman" w:hAnsi="Times New Roman"/>
          <w:i/>
          <w:iCs/>
        </w:rPr>
        <w:t xml:space="preserve"> </w:t>
      </w:r>
      <w:proofErr w:type="spellStart"/>
      <w:r>
        <w:rPr>
          <w:rFonts w:ascii="Times New Roman" w:hAnsi="Times New Roman"/>
          <w:i/>
          <w:iCs/>
        </w:rPr>
        <w:t>Security</w:t>
      </w:r>
      <w:proofErr w:type="spellEnd"/>
      <w:r>
        <w:rPr>
          <w:rFonts w:ascii="Times New Roman" w:hAnsi="Times New Roman"/>
          <w:i/>
          <w:iCs/>
        </w:rPr>
        <w:t xml:space="preserve"> Services </w:t>
      </w:r>
      <w:proofErr w:type="spellStart"/>
      <w:r>
        <w:rPr>
          <w:rFonts w:ascii="Times New Roman" w:hAnsi="Times New Roman"/>
          <w:i/>
          <w:iCs/>
        </w:rPr>
        <w:t>Act</w:t>
      </w:r>
      <w:proofErr w:type="spellEnd"/>
      <w:r>
        <w:rPr>
          <w:rFonts w:ascii="Times New Roman" w:hAnsi="Times New Roman"/>
          <w:i/>
          <w:iCs/>
        </w:rPr>
        <w:t xml:space="preserve"> 2002</w:t>
      </w:r>
      <w:r>
        <w:rPr>
          <w:rFonts w:ascii="Times New Roman" w:hAnsi="Times New Roman"/>
        </w:rPr>
        <w:t>] (vai tā būtībai), ja tie sistemātiski vai apzināti saņemtu no ārvalstu izlūkošanas aģentūrām datus par Nīderlandes iedzīvotājiem, ņemot vērā, ka tie nav apkopojuši šos datus savu pilnvaru ietvaros. Šādā gadījumā ierobežojumi, kas izlūkdienestiem noteikti saskaņā ar 2002. gada likumu, varētu zaudēt jēgu. Tomēr prasītāji nebija pamatojuši vai pierādījuši, ka Nīderlandes izlūkdienesti sistemātiski vai apzināti izmantoja šādu neatbilstību starp Nīderlandes un ārvalstu tiesību aktiem.</w:t>
      </w:r>
    </w:p>
    <w:p w14:paraId="7DEFECBE" w14:textId="77777777" w:rsidR="00F82F2D" w:rsidRDefault="00F82F2D" w:rsidP="00F82F2D">
      <w:pPr>
        <w:pStyle w:val="JuPara"/>
        <w:widowControl w:val="0"/>
        <w:ind w:firstLine="142"/>
        <w:rPr>
          <w:rFonts w:ascii="Times New Roman" w:eastAsia="Times New Roman" w:hAnsi="Times New Roman"/>
          <w:noProof/>
        </w:rPr>
      </w:pPr>
      <w:r>
        <w:rPr>
          <w:rFonts w:ascii="Times New Roman" w:hAnsi="Times New Roman"/>
        </w:rPr>
        <w:t>260. Kasācijas sūdzību, kuras pamatā galvenokārt bija apgalvojums, ka Apelācijas tiesa, iespējams, bija kļūdaini interpretējusi prasītāju prasību, un viņiem uzliktās pierādījumu nastas apmērs, “</w:t>
      </w:r>
      <w:proofErr w:type="spellStart"/>
      <w:r>
        <w:rPr>
          <w:rFonts w:ascii="Times New Roman" w:hAnsi="Times New Roman"/>
        </w:rPr>
        <w:t>Hoge</w:t>
      </w:r>
      <w:proofErr w:type="spellEnd"/>
      <w:r>
        <w:rPr>
          <w:rFonts w:ascii="Times New Roman" w:hAnsi="Times New Roman"/>
        </w:rPr>
        <w:t xml:space="preserve"> </w:t>
      </w:r>
      <w:proofErr w:type="spellStart"/>
      <w:r>
        <w:rPr>
          <w:rFonts w:ascii="Times New Roman" w:hAnsi="Times New Roman"/>
        </w:rPr>
        <w:t>Raad</w:t>
      </w:r>
      <w:proofErr w:type="spellEnd"/>
      <w:r>
        <w:rPr>
          <w:rFonts w:ascii="Times New Roman" w:hAnsi="Times New Roman"/>
        </w:rPr>
        <w:t>” (Augstākā tiesa) noraidīja 2018. gada 7. septembrī (</w:t>
      </w:r>
      <w:proofErr w:type="spellStart"/>
      <w:r>
        <w:rPr>
          <w:rFonts w:ascii="Times New Roman" w:hAnsi="Times New Roman"/>
        </w:rPr>
        <w:t>ECLI:NL:HR:2018:1434</w:t>
      </w:r>
      <w:proofErr w:type="spellEnd"/>
      <w:r>
        <w:rPr>
          <w:rFonts w:ascii="Times New Roman" w:hAnsi="Times New Roman"/>
        </w:rPr>
        <w:t>).</w:t>
      </w:r>
    </w:p>
    <w:p w14:paraId="785A366C" w14:textId="77777777" w:rsidR="00F82F2D" w:rsidRPr="008D031E" w:rsidRDefault="00F82F2D" w:rsidP="00F82F2D">
      <w:pPr>
        <w:pStyle w:val="JuPara"/>
        <w:widowControl w:val="0"/>
        <w:ind w:firstLine="142"/>
        <w:rPr>
          <w:rFonts w:ascii="Times New Roman" w:eastAsia="Calibri" w:hAnsi="Times New Roman"/>
          <w:noProof/>
          <w:lang w:val="en-US" w:eastAsia="fr-FR"/>
        </w:rPr>
      </w:pPr>
    </w:p>
    <w:p w14:paraId="37E6C1C0" w14:textId="77777777" w:rsidR="00F82F2D" w:rsidRDefault="00F82F2D" w:rsidP="00F82F2D">
      <w:pPr>
        <w:pStyle w:val="JuHA"/>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D. Amerikas Savienotās Valstis</w:t>
      </w:r>
    </w:p>
    <w:p w14:paraId="2AA3A79C" w14:textId="77777777" w:rsidR="00F82F2D" w:rsidRPr="00F6232E" w:rsidRDefault="00F82F2D" w:rsidP="00F82F2D">
      <w:pPr>
        <w:pStyle w:val="JuPara"/>
        <w:widowControl w:val="0"/>
        <w:rPr>
          <w:lang w:val="en-US"/>
        </w:rPr>
      </w:pPr>
    </w:p>
    <w:p w14:paraId="6361E2BD" w14:textId="77777777" w:rsidR="00F82F2D" w:rsidRPr="008D031E" w:rsidRDefault="00F82F2D" w:rsidP="00F82F2D">
      <w:pPr>
        <w:pStyle w:val="JuPara"/>
        <w:widowControl w:val="0"/>
        <w:ind w:firstLine="142"/>
        <w:rPr>
          <w:rFonts w:ascii="Times New Roman" w:hAnsi="Times New Roman"/>
          <w:noProof/>
        </w:rPr>
      </w:pPr>
      <w:bookmarkStart w:id="205" w:name="UpstreamSt"/>
      <w:r>
        <w:rPr>
          <w:rFonts w:ascii="Times New Roman" w:hAnsi="Times New Roman"/>
        </w:rPr>
        <w:t>261</w:t>
      </w:r>
      <w:bookmarkEnd w:id="205"/>
      <w:r>
        <w:rPr>
          <w:rFonts w:ascii="Times New Roman" w:hAnsi="Times New Roman"/>
        </w:rPr>
        <w:t>. Amerikas Savienoto Valstu izlūkdienesti izmanto programmu “</w:t>
      </w:r>
      <w:proofErr w:type="spellStart"/>
      <w:r>
        <w:rPr>
          <w:rFonts w:ascii="Times New Roman" w:hAnsi="Times New Roman"/>
        </w:rPr>
        <w:t>Upstream</w:t>
      </w:r>
      <w:proofErr w:type="spellEnd"/>
      <w:r>
        <w:rPr>
          <w:rFonts w:ascii="Times New Roman" w:hAnsi="Times New Roman"/>
        </w:rPr>
        <w:t xml:space="preserve">” saskaņā ar </w:t>
      </w:r>
      <w:proofErr w:type="spellStart"/>
      <w:r>
        <w:rPr>
          <w:rFonts w:ascii="Times New Roman" w:hAnsi="Times New Roman"/>
          <w:i/>
          <w:iCs/>
        </w:rPr>
        <w:t>FISA</w:t>
      </w:r>
      <w:proofErr w:type="spellEnd"/>
      <w:r>
        <w:rPr>
          <w:rFonts w:ascii="Times New Roman" w:hAnsi="Times New Roman"/>
        </w:rPr>
        <w:t xml:space="preserve"> 702. pantu.</w:t>
      </w:r>
    </w:p>
    <w:p w14:paraId="3D44490C" w14:textId="77777777" w:rsidR="00F82F2D" w:rsidRPr="008D031E" w:rsidRDefault="00F82F2D" w:rsidP="00F82F2D">
      <w:pPr>
        <w:pStyle w:val="JuPara"/>
        <w:widowControl w:val="0"/>
        <w:ind w:firstLine="142"/>
        <w:rPr>
          <w:rFonts w:ascii="Times New Roman" w:hAnsi="Times New Roman"/>
          <w:noProof/>
        </w:rPr>
      </w:pPr>
      <w:bookmarkStart w:id="206" w:name="NSAInt"/>
      <w:bookmarkStart w:id="207" w:name="UpstreamPurposes"/>
      <w:r>
        <w:rPr>
          <w:rFonts w:ascii="Times New Roman" w:hAnsi="Times New Roman"/>
        </w:rPr>
        <w:t>262</w:t>
      </w:r>
      <w:bookmarkEnd w:id="206"/>
      <w:bookmarkEnd w:id="207"/>
      <w:r>
        <w:rPr>
          <w:rFonts w:ascii="Times New Roman" w:hAnsi="Times New Roman"/>
        </w:rPr>
        <w:t xml:space="preserve">. Valsts izlūkošanas ģenerāladvokāts un direktors katru gadu izdod apliecinājumus, saskaņā ar ko atļauts izlūkot personas, kuras nav ASV pilsoņi un par kurām ir pamats uzskatīt, ka tās atrodas ārpus Amerikas Savienotajām Valstīm. Šīm amatpersonām nav pienākuma minēt </w:t>
      </w:r>
      <w:proofErr w:type="spellStart"/>
      <w:r>
        <w:rPr>
          <w:rFonts w:ascii="Times New Roman" w:hAnsi="Times New Roman"/>
          <w:i/>
          <w:iCs/>
        </w:rPr>
        <w:t>FISC</w:t>
      </w:r>
      <w:proofErr w:type="spellEnd"/>
      <w:r>
        <w:rPr>
          <w:rFonts w:ascii="Times New Roman" w:hAnsi="Times New Roman"/>
        </w:rPr>
        <w:t xml:space="preserve"> konkrētas izlūkojamās personas, kuras nav ASV pilsoņi. Tām arī nav pienākuma pierādīt iespējamo iemeslu tam, lai uzskatītu, ka izlūkojamā persona ir ārvalsts aģents. Tā vietā 702. pantā minētajos apliecinājumos ir noteiktas apkopojamās informācijas kategorijas, kurām jāatbilst likumā noteiktajai ārvalstu </w:t>
      </w:r>
      <w:proofErr w:type="spellStart"/>
      <w:r>
        <w:rPr>
          <w:rFonts w:ascii="Times New Roman" w:hAnsi="Times New Roman"/>
        </w:rPr>
        <w:t>izlūkdatu</w:t>
      </w:r>
      <w:proofErr w:type="spellEnd"/>
      <w:r>
        <w:rPr>
          <w:rFonts w:ascii="Times New Roman" w:hAnsi="Times New Roman"/>
        </w:rPr>
        <w:t xml:space="preserve"> definīcijai. Atļautajos apliecinājumos ir bijusi iekļauta informācija par starptautisko terorismu un masu iznīcināšanas ieroču iegādi.</w:t>
      </w:r>
    </w:p>
    <w:p w14:paraId="7FB329C5" w14:textId="77777777" w:rsidR="00F82F2D" w:rsidRPr="008D031E" w:rsidRDefault="00F82F2D" w:rsidP="00F82F2D">
      <w:pPr>
        <w:pStyle w:val="JuPara"/>
        <w:widowControl w:val="0"/>
        <w:ind w:firstLine="142"/>
        <w:rPr>
          <w:rFonts w:ascii="Times New Roman" w:hAnsi="Times New Roman"/>
          <w:noProof/>
        </w:rPr>
      </w:pPr>
      <w:bookmarkStart w:id="208" w:name="NSAtofromabout"/>
      <w:r>
        <w:rPr>
          <w:rFonts w:ascii="Times New Roman" w:hAnsi="Times New Roman"/>
        </w:rPr>
        <w:t>263</w:t>
      </w:r>
      <w:bookmarkEnd w:id="208"/>
      <w:r>
        <w:rPr>
          <w:rFonts w:ascii="Times New Roman" w:hAnsi="Times New Roman"/>
        </w:rPr>
        <w:t xml:space="preserve">. Saskaņā ar atļauju </w:t>
      </w:r>
      <w:proofErr w:type="spellStart"/>
      <w:r>
        <w:rPr>
          <w:rFonts w:ascii="Times New Roman" w:hAnsi="Times New Roman"/>
          <w:i/>
          <w:iCs/>
        </w:rPr>
        <w:t>NSA</w:t>
      </w:r>
      <w:proofErr w:type="spellEnd"/>
      <w:r>
        <w:rPr>
          <w:rFonts w:ascii="Times New Roman" w:hAnsi="Times New Roman"/>
        </w:rPr>
        <w:t xml:space="preserve"> ar likumā noteiktu palīdzību, ko sniedz pakalpojumu sniedzēji, kopē un meklē interneta datplūsmas straumējumus kā datu plūsmas visā internetā. Tiek apkopoti gan tālruņu zvani, gan interneta sakari. Līdz 2017. gada aprīlim </w:t>
      </w:r>
      <w:proofErr w:type="spellStart"/>
      <w:r>
        <w:rPr>
          <w:rFonts w:ascii="Times New Roman" w:hAnsi="Times New Roman"/>
          <w:i/>
          <w:iCs/>
        </w:rPr>
        <w:t>NSA</w:t>
      </w:r>
      <w:proofErr w:type="spellEnd"/>
      <w:r>
        <w:rPr>
          <w:rFonts w:ascii="Times New Roman" w:hAnsi="Times New Roman"/>
        </w:rPr>
        <w:t xml:space="preserve"> ieguva interneta transakcijas “uz”, “no” vai “par” attiecīgo selektoru. “Uz” un “no” sakari bija sakari, attiecībā uz kuriem sūtītājs vai saņēmējs 702. panta izpratnē bija attiecīgā selektora lietotājs. Savukārt “par” sakari bija sakari, kuros iegūtajā interneta transakcijā bija norāde uz attiecīgo selektoru, bet mērķis ne vienmēr bija sakaru dalībnieks. Līdz ar to “par” sakari ietvēra visā internetā cirkulējošo saziņas aktu satura meklēšanu. Tomēr no 2017. gada aprīļa </w:t>
      </w:r>
      <w:proofErr w:type="spellStart"/>
      <w:r>
        <w:rPr>
          <w:rFonts w:ascii="Times New Roman" w:hAnsi="Times New Roman"/>
          <w:i/>
          <w:iCs/>
        </w:rPr>
        <w:t>NSA</w:t>
      </w:r>
      <w:proofErr w:type="spellEnd"/>
      <w:r>
        <w:rPr>
          <w:rFonts w:ascii="Times New Roman" w:hAnsi="Times New Roman"/>
        </w:rPr>
        <w:t xml:space="preserve"> nebija saņēmusi vai apkopojusi saziņas aktu saturu, kas bija vienīgi “par” mērķi. Turklāt </w:t>
      </w:r>
      <w:proofErr w:type="spellStart"/>
      <w:r>
        <w:rPr>
          <w:rFonts w:ascii="Times New Roman" w:hAnsi="Times New Roman"/>
          <w:i/>
          <w:iCs/>
        </w:rPr>
        <w:t>NSA</w:t>
      </w:r>
      <w:proofErr w:type="spellEnd"/>
      <w:r>
        <w:rPr>
          <w:rFonts w:ascii="Times New Roman" w:hAnsi="Times New Roman"/>
        </w:rPr>
        <w:t xml:space="preserve"> norādīja, ka tā šā ierobežojuma ietvaros pēc iespējas ātrāk dzēš vairumu interneta saziņas aktu satura, kas iepriekš iegūts, izmantojot programmu “</w:t>
      </w:r>
      <w:proofErr w:type="spellStart"/>
      <w:r>
        <w:rPr>
          <w:rFonts w:ascii="Times New Roman" w:hAnsi="Times New Roman"/>
        </w:rPr>
        <w:t>Upstream</w:t>
      </w:r>
      <w:proofErr w:type="spellEnd"/>
      <w:r>
        <w:rPr>
          <w:rFonts w:ascii="Times New Roman" w:hAnsi="Times New Roman"/>
        </w:rPr>
        <w:t>”.</w:t>
      </w:r>
    </w:p>
    <w:p w14:paraId="175677A9" w14:textId="77777777" w:rsidR="00F82F2D" w:rsidRPr="008D031E" w:rsidRDefault="00F82F2D" w:rsidP="00F82F2D">
      <w:pPr>
        <w:pStyle w:val="JuPara"/>
        <w:widowControl w:val="0"/>
        <w:ind w:firstLine="142"/>
        <w:rPr>
          <w:rFonts w:ascii="Times New Roman" w:hAnsi="Times New Roman"/>
          <w:noProof/>
        </w:rPr>
      </w:pPr>
      <w:bookmarkStart w:id="209" w:name="UpstreamEnd"/>
      <w:r>
        <w:rPr>
          <w:rFonts w:ascii="Times New Roman" w:hAnsi="Times New Roman"/>
        </w:rPr>
        <w:lastRenderedPageBreak/>
        <w:t>264</w:t>
      </w:r>
      <w:bookmarkEnd w:id="209"/>
      <w:r>
        <w:rPr>
          <w:rFonts w:ascii="Times New Roman" w:hAnsi="Times New Roman"/>
        </w:rPr>
        <w:t xml:space="preserve">. 702. pants uzliek Valdībai par pienākumu izstrādāt mērķu noteikšanas un ietekmes mazināšanas procedūras, ko pārskata </w:t>
      </w:r>
      <w:proofErr w:type="spellStart"/>
      <w:r>
        <w:rPr>
          <w:rFonts w:ascii="Times New Roman" w:hAnsi="Times New Roman"/>
          <w:i/>
          <w:iCs/>
        </w:rPr>
        <w:t>FISC</w:t>
      </w:r>
      <w:proofErr w:type="spellEnd"/>
      <w:r>
        <w:rPr>
          <w:rFonts w:ascii="Times New Roman" w:hAnsi="Times New Roman"/>
        </w:rPr>
        <w:t>.</w:t>
      </w:r>
    </w:p>
    <w:p w14:paraId="6B394311"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265. </w:t>
      </w:r>
      <w:proofErr w:type="spellStart"/>
      <w:r>
        <w:rPr>
          <w:rFonts w:ascii="Times New Roman" w:hAnsi="Times New Roman"/>
        </w:rPr>
        <w:t>Izpildrīkojums</w:t>
      </w:r>
      <w:proofErr w:type="spellEnd"/>
      <w:r>
        <w:rPr>
          <w:rFonts w:ascii="Times New Roman" w:hAnsi="Times New Roman"/>
        </w:rPr>
        <w:t xml:space="preserve"> Nr. 12333, kas tika parakstīts 1981. gadā, ļauj apkopot, saglabāt un izplatīt informāciju, kas iegūta likumīgas ārvalstu izlūkošanas, pretizlūkošanas, starptautiskās narkotiku vai starptautiskā terorisma izmeklēšanas gaitā. Saskaņā ar </w:t>
      </w:r>
      <w:proofErr w:type="spellStart"/>
      <w:r>
        <w:rPr>
          <w:rFonts w:ascii="Times New Roman" w:hAnsi="Times New Roman"/>
          <w:i/>
          <w:iCs/>
        </w:rPr>
        <w:t>FISA</w:t>
      </w:r>
      <w:proofErr w:type="spellEnd"/>
      <w:r>
        <w:rPr>
          <w:rFonts w:ascii="Times New Roman" w:hAnsi="Times New Roman"/>
        </w:rPr>
        <w:t xml:space="preserve"> uz ārvalstu pilsoņu uzraudzību atbilstoši </w:t>
      </w:r>
      <w:proofErr w:type="spellStart"/>
      <w:r>
        <w:rPr>
          <w:rFonts w:ascii="Times New Roman" w:hAnsi="Times New Roman"/>
        </w:rPr>
        <w:t>izpildrīkojumam</w:t>
      </w:r>
      <w:proofErr w:type="spellEnd"/>
      <w:r>
        <w:rPr>
          <w:rFonts w:ascii="Times New Roman" w:hAnsi="Times New Roman"/>
        </w:rPr>
        <w:t xml:space="preserve"> Nr. 12333 neattiecas attiecīgās valsts regulējums. Nav zināms, cik daudz datu ir apkopots atbilstoši </w:t>
      </w:r>
      <w:proofErr w:type="spellStart"/>
      <w:r>
        <w:rPr>
          <w:rFonts w:ascii="Times New Roman" w:hAnsi="Times New Roman"/>
        </w:rPr>
        <w:t>izpildrīkojumam</w:t>
      </w:r>
      <w:proofErr w:type="spellEnd"/>
      <w:r>
        <w:rPr>
          <w:rFonts w:ascii="Times New Roman" w:hAnsi="Times New Roman"/>
        </w:rPr>
        <w:t xml:space="preserve"> Nr. 12333 salīdzinājumā ar datiem, kas apkopoti saskaņā ar 702. pantu.</w:t>
      </w:r>
    </w:p>
    <w:p w14:paraId="0ECED79E" w14:textId="77777777" w:rsidR="00F82F2D" w:rsidRDefault="00F82F2D" w:rsidP="00F82F2D">
      <w:pPr>
        <w:pStyle w:val="JuHHead"/>
        <w:keepNext w:val="0"/>
        <w:keepLines w:val="0"/>
        <w:widowControl w:val="0"/>
        <w:spacing w:before="0" w:beforeAutospacing="0" w:after="0"/>
        <w:outlineLvl w:val="9"/>
        <w:rPr>
          <w:rFonts w:ascii="Times New Roman" w:hAnsi="Times New Roman"/>
          <w:noProof/>
          <w:sz w:val="24"/>
          <w:lang w:val="en-US"/>
        </w:rPr>
      </w:pPr>
    </w:p>
    <w:p w14:paraId="3032865E" w14:textId="77777777" w:rsidR="00F82F2D" w:rsidRPr="001D5C52" w:rsidRDefault="00F82F2D" w:rsidP="00F82F2D">
      <w:pPr>
        <w:pStyle w:val="JuHHead"/>
        <w:keepNext w:val="0"/>
        <w:keepLines w:val="0"/>
        <w:widowControl w:val="0"/>
        <w:spacing w:before="0" w:beforeAutospacing="0" w:after="0"/>
        <w:outlineLvl w:val="9"/>
        <w:rPr>
          <w:rFonts w:ascii="Times New Roman" w:hAnsi="Times New Roman"/>
          <w:noProof/>
          <w:szCs w:val="32"/>
        </w:rPr>
      </w:pPr>
      <w:r w:rsidRPr="001D5C52">
        <w:rPr>
          <w:rFonts w:ascii="Times New Roman" w:hAnsi="Times New Roman"/>
          <w:szCs w:val="32"/>
        </w:rPr>
        <w:t>TIESĪBU AKTI</w:t>
      </w:r>
    </w:p>
    <w:p w14:paraId="1D597FF2" w14:textId="77777777" w:rsidR="00F82F2D" w:rsidRPr="00F6232E" w:rsidRDefault="00F82F2D" w:rsidP="00F82F2D">
      <w:pPr>
        <w:pStyle w:val="JuPara"/>
        <w:widowControl w:val="0"/>
        <w:rPr>
          <w:lang w:val="en-US"/>
        </w:rPr>
      </w:pPr>
    </w:p>
    <w:p w14:paraId="0D8E1872"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266. Kopumā pieteikuma iesniedzēji trīs apvienotajās lietās sūdzējās par trīs diskrētu režīmu neatbilstību 8. un 10. pantam, proti, režīmu par sakaru masveida pārtveršanu saskaņā ar 2000. gada Likuma par izmeklēšanas pilnvaru regulējumu [</w:t>
      </w:r>
      <w:proofErr w:type="spellStart"/>
      <w:r>
        <w:rPr>
          <w:rFonts w:ascii="Times New Roman" w:hAnsi="Times New Roman"/>
          <w:i/>
          <w:iCs/>
        </w:rPr>
        <w:t>Regulation</w:t>
      </w:r>
      <w:proofErr w:type="spellEnd"/>
      <w:r>
        <w:rPr>
          <w:rFonts w:ascii="Times New Roman" w:hAnsi="Times New Roman"/>
          <w:i/>
          <w:iCs/>
        </w:rPr>
        <w:t xml:space="preserve"> </w:t>
      </w:r>
      <w:proofErr w:type="spellStart"/>
      <w:r>
        <w:rPr>
          <w:rFonts w:ascii="Times New Roman" w:hAnsi="Times New Roman"/>
          <w:i/>
          <w:iCs/>
        </w:rPr>
        <w:t>of</w:t>
      </w:r>
      <w:proofErr w:type="spellEnd"/>
      <w:r>
        <w:rPr>
          <w:rFonts w:ascii="Times New Roman" w:hAnsi="Times New Roman"/>
          <w:i/>
          <w:iCs/>
        </w:rPr>
        <w:t xml:space="preserve"> </w:t>
      </w:r>
      <w:proofErr w:type="spellStart"/>
      <w:r>
        <w:rPr>
          <w:rFonts w:ascii="Times New Roman" w:hAnsi="Times New Roman"/>
          <w:i/>
          <w:iCs/>
        </w:rPr>
        <w:t>Investigatory</w:t>
      </w:r>
      <w:proofErr w:type="spellEnd"/>
      <w:r>
        <w:rPr>
          <w:rFonts w:ascii="Times New Roman" w:hAnsi="Times New Roman"/>
          <w:i/>
          <w:iCs/>
        </w:rPr>
        <w:t xml:space="preserve"> </w:t>
      </w:r>
      <w:proofErr w:type="spellStart"/>
      <w:r>
        <w:rPr>
          <w:rFonts w:ascii="Times New Roman" w:hAnsi="Times New Roman"/>
          <w:i/>
          <w:iCs/>
        </w:rPr>
        <w:t>Powers</w:t>
      </w:r>
      <w:proofErr w:type="spellEnd"/>
      <w:r>
        <w:rPr>
          <w:rFonts w:ascii="Times New Roman" w:hAnsi="Times New Roman"/>
          <w:i/>
          <w:iCs/>
        </w:rPr>
        <w:t xml:space="preserve"> </w:t>
      </w:r>
      <w:proofErr w:type="spellStart"/>
      <w:r>
        <w:rPr>
          <w:rFonts w:ascii="Times New Roman" w:hAnsi="Times New Roman"/>
          <w:i/>
          <w:iCs/>
        </w:rPr>
        <w:t>Act</w:t>
      </w:r>
      <w:proofErr w:type="spellEnd"/>
      <w:r>
        <w:rPr>
          <w:rFonts w:ascii="Times New Roman" w:hAnsi="Times New Roman"/>
          <w:i/>
          <w:iCs/>
        </w:rPr>
        <w:t xml:space="preserve"> 2000</w:t>
      </w:r>
      <w:r>
        <w:rPr>
          <w:rFonts w:ascii="Times New Roman" w:hAnsi="Times New Roman"/>
        </w:rPr>
        <w:t>] (turpmāk tekstā – “</w:t>
      </w:r>
      <w:r>
        <w:rPr>
          <w:rFonts w:ascii="Times New Roman" w:hAnsi="Times New Roman"/>
          <w:i/>
          <w:iCs/>
        </w:rPr>
        <w:t>RIPA</w:t>
      </w:r>
      <w:r>
        <w:rPr>
          <w:rFonts w:ascii="Times New Roman" w:hAnsi="Times New Roman"/>
        </w:rPr>
        <w:t xml:space="preserve">”) 8. panta 4. punktu, režīmu par </w:t>
      </w:r>
      <w:proofErr w:type="spellStart"/>
      <w:r>
        <w:rPr>
          <w:rFonts w:ascii="Times New Roman" w:hAnsi="Times New Roman"/>
        </w:rPr>
        <w:t>izlūkdatu</w:t>
      </w:r>
      <w:proofErr w:type="spellEnd"/>
      <w:r>
        <w:rPr>
          <w:rFonts w:ascii="Times New Roman" w:hAnsi="Times New Roman"/>
        </w:rPr>
        <w:t xml:space="preserve"> saņemšanu no ārvalstu izlūkdienestiem un režīmu par sakaru datu iegūšanu no sakaru pakalpojumu sniedzējiem (</w:t>
      </w:r>
      <w:proofErr w:type="spellStart"/>
      <w:r>
        <w:rPr>
          <w:rFonts w:ascii="Times New Roman" w:hAnsi="Times New Roman"/>
        </w:rPr>
        <w:t>SPS</w:t>
      </w:r>
      <w:proofErr w:type="spellEnd"/>
      <w:r>
        <w:rPr>
          <w:rFonts w:ascii="Times New Roman" w:hAnsi="Times New Roman"/>
        </w:rPr>
        <w:t>).</w:t>
      </w:r>
    </w:p>
    <w:p w14:paraId="1F4C835D" w14:textId="77777777" w:rsidR="00F82F2D" w:rsidRDefault="00F82F2D" w:rsidP="00F82F2D">
      <w:pPr>
        <w:pStyle w:val="JuPara"/>
        <w:widowControl w:val="0"/>
        <w:ind w:firstLine="142"/>
        <w:rPr>
          <w:rFonts w:ascii="Times New Roman" w:hAnsi="Times New Roman"/>
          <w:noProof/>
        </w:rPr>
      </w:pPr>
      <w:r>
        <w:rPr>
          <w:rFonts w:ascii="Times New Roman" w:hAnsi="Times New Roman"/>
        </w:rPr>
        <w:t>267. Pirms katra minētā režīma izvērtēšanas Lielā palāta vispirms pievērsīsies primārajam jautājumam.</w:t>
      </w:r>
    </w:p>
    <w:p w14:paraId="5558583B" w14:textId="77777777" w:rsidR="00F82F2D" w:rsidRPr="008D031E" w:rsidRDefault="00F82F2D" w:rsidP="00F82F2D">
      <w:pPr>
        <w:pStyle w:val="JuPara"/>
        <w:widowControl w:val="0"/>
        <w:ind w:firstLine="0"/>
        <w:rPr>
          <w:rFonts w:ascii="Times New Roman" w:hAnsi="Times New Roman"/>
          <w:noProof/>
          <w:lang w:val="en-US"/>
        </w:rPr>
      </w:pPr>
    </w:p>
    <w:p w14:paraId="393DBA48" w14:textId="77777777" w:rsidR="00F82F2D" w:rsidRDefault="00F82F2D" w:rsidP="00F82F2D">
      <w:pPr>
        <w:pStyle w:val="JuHIRoman"/>
        <w:keepNext w:val="0"/>
        <w:keepLines w:val="0"/>
        <w:widowControl w:val="0"/>
        <w:numPr>
          <w:ilvl w:val="0"/>
          <w:numId w:val="0"/>
        </w:numPr>
        <w:spacing w:before="0" w:beforeAutospacing="0" w:after="0"/>
        <w:outlineLvl w:val="9"/>
        <w:rPr>
          <w:rFonts w:ascii="Times New Roman" w:hAnsi="Times New Roman"/>
          <w:caps w:val="0"/>
          <w:noProof/>
        </w:rPr>
      </w:pPr>
      <w:r>
        <w:rPr>
          <w:rFonts w:ascii="Times New Roman" w:hAnsi="Times New Roman"/>
          <w:caps w:val="0"/>
        </w:rPr>
        <w:t>I. LIELĀS PALĀTAS IZVĒRTĒJAMAIS SĀKOTNĒJAIS JAUTĀJUMS</w:t>
      </w:r>
    </w:p>
    <w:p w14:paraId="102036BF" w14:textId="77777777" w:rsidR="00F82F2D" w:rsidRPr="00BC6883" w:rsidRDefault="00F82F2D" w:rsidP="00F82F2D">
      <w:pPr>
        <w:pStyle w:val="JuPara"/>
        <w:widowControl w:val="0"/>
        <w:rPr>
          <w:lang w:val="en-US"/>
        </w:rPr>
      </w:pPr>
    </w:p>
    <w:p w14:paraId="3EE10804"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268. Saskaņā ar Tiesas pastāvīgo judikatūru Lielajai palātai nodotā “lieta” ietver visus pieteikuma aspektus, ko palāta iepriekš izvērtējusi savā spriedumā. Lielajai palātai nodotā “lieta” ir pieteikums, kas atzīts par pieņemamu, kā arī sūdzības, kas nav atzītas par nepieņemamām (skat. 2020. gada 25. jūnija sprieduma lietā Nr. 60561/14 “S. M. pret Horvātiju” [</w:t>
      </w:r>
      <w:proofErr w:type="spellStart"/>
      <w:r>
        <w:rPr>
          <w:rFonts w:ascii="Times New Roman" w:hAnsi="Times New Roman"/>
          <w:i/>
          <w:iCs/>
        </w:rPr>
        <w:t>GC</w:t>
      </w:r>
      <w:proofErr w:type="spellEnd"/>
      <w:r>
        <w:rPr>
          <w:rFonts w:ascii="Times New Roman" w:hAnsi="Times New Roman"/>
        </w:rPr>
        <w:t>] 216. punktu un tajā minētās iestādes).</w:t>
      </w:r>
    </w:p>
    <w:p w14:paraId="59FD57FE"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269. Pieteikuma iesniedzēji šajā lietā iesniedza savas sūdzības attiecīgi 2013., 2014. un 2015. gadā. Šīs sūdzības galvenokārt attiecās uz valsts uzraudzības darbībām saskaņā ar </w:t>
      </w:r>
      <w:r>
        <w:rPr>
          <w:rFonts w:ascii="Times New Roman" w:hAnsi="Times New Roman"/>
          <w:i/>
          <w:iCs/>
        </w:rPr>
        <w:t>RIPA</w:t>
      </w:r>
      <w:r>
        <w:rPr>
          <w:rFonts w:ascii="Times New Roman" w:hAnsi="Times New Roman"/>
        </w:rPr>
        <w:t xml:space="preserve"> un saistītajiem prakses kodeksiem. Prakses kodeksi pēc tam tika grozīti. Proti, 2016. gada 29. novembrī 2016. gada Izmeklēšanas pilnvaru likumam (turpmāk tekstā – “</w:t>
      </w:r>
      <w:proofErr w:type="spellStart"/>
      <w:r>
        <w:rPr>
          <w:rFonts w:ascii="Times New Roman" w:hAnsi="Times New Roman"/>
          <w:i/>
          <w:iCs/>
        </w:rPr>
        <w:t>IPA</w:t>
      </w:r>
      <w:proofErr w:type="spellEnd"/>
      <w:r>
        <w:rPr>
          <w:rFonts w:ascii="Times New Roman" w:hAnsi="Times New Roman"/>
        </w:rPr>
        <w:t xml:space="preserve">”) tika sniegta karaliskā piekrišana, un tā noteikumi stājās spēkā 2016. gada decembrī. </w:t>
      </w:r>
      <w:proofErr w:type="spellStart"/>
      <w:r>
        <w:rPr>
          <w:rFonts w:ascii="Times New Roman" w:hAnsi="Times New Roman"/>
          <w:i/>
          <w:iCs/>
        </w:rPr>
        <w:t>IPA</w:t>
      </w:r>
      <w:proofErr w:type="spellEnd"/>
      <w:r>
        <w:rPr>
          <w:rFonts w:ascii="Times New Roman" w:hAnsi="Times New Roman"/>
        </w:rPr>
        <w:t xml:space="preserve"> noteiktie jaunie uzraudzības režīmi lielākoties stājās spēkā līdz 2018. gada vasarai. </w:t>
      </w:r>
      <w:r>
        <w:rPr>
          <w:rFonts w:ascii="Times New Roman" w:hAnsi="Times New Roman"/>
          <w:i/>
          <w:iCs/>
        </w:rPr>
        <w:t>RIPA</w:t>
      </w:r>
      <w:r>
        <w:rPr>
          <w:rFonts w:ascii="Times New Roman" w:hAnsi="Times New Roman"/>
        </w:rPr>
        <w:t xml:space="preserve"> I daļas I nodaļas noteikumi tika atcelti 2018. gada gaitā.</w:t>
      </w:r>
    </w:p>
    <w:p w14:paraId="6725A39B"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270. Palāta pārskatīja Konvencijas atbilstību spēkā esošajam likumam dienā, kad tā izvērtēja pieteikuma iesniedzēju sūdzību </w:t>
      </w:r>
      <w:proofErr w:type="spellStart"/>
      <w:r>
        <w:rPr>
          <w:rFonts w:ascii="Times New Roman" w:hAnsi="Times New Roman"/>
        </w:rPr>
        <w:t>pieņemamību</w:t>
      </w:r>
      <w:proofErr w:type="spellEnd"/>
      <w:r>
        <w:rPr>
          <w:rFonts w:ascii="Times New Roman" w:hAnsi="Times New Roman"/>
        </w:rPr>
        <w:t xml:space="preserve">, proti, tā ņēma vērā likumu tā 2017. gada 7. novembra redakcijā. Tā kā šis ir “pieteikums, kas atzīts par pieņemamu”, Lielajai palātai tas arī ir jāizvērtē, ņemot vērā tiesisko regulējumu tā 2017. gada 7. novembra redakcijā. Tā šajā gadījumā ir piemērota pieeja, jo tiesiskie regulējumi, kas pakāpeniski ieviesti pēc </w:t>
      </w:r>
      <w:proofErr w:type="spellStart"/>
      <w:r>
        <w:rPr>
          <w:rFonts w:ascii="Times New Roman" w:hAnsi="Times New Roman"/>
          <w:i/>
          <w:iCs/>
        </w:rPr>
        <w:t>IPA</w:t>
      </w:r>
      <w:proofErr w:type="spellEnd"/>
      <w:r>
        <w:rPr>
          <w:rFonts w:ascii="Times New Roman" w:hAnsi="Times New Roman"/>
        </w:rPr>
        <w:t xml:space="preserve"> stāšanās spēkā, pašlaik tiek apstrīdēti valsts tiesās, un Lielā kamera nevar izvērtēt jauno tiesisko regulējumu, pirms to vispirms nav veikušas minētās tiesas.</w:t>
      </w:r>
    </w:p>
    <w:p w14:paraId="2A026693" w14:textId="77777777" w:rsidR="00F82F2D" w:rsidRDefault="00F82F2D" w:rsidP="00F82F2D">
      <w:pPr>
        <w:pStyle w:val="JuPara"/>
        <w:widowControl w:val="0"/>
        <w:ind w:firstLine="142"/>
        <w:rPr>
          <w:rFonts w:ascii="Times New Roman" w:hAnsi="Times New Roman"/>
          <w:noProof/>
        </w:rPr>
      </w:pPr>
      <w:r>
        <w:rPr>
          <w:rFonts w:ascii="Times New Roman" w:hAnsi="Times New Roman"/>
        </w:rPr>
        <w:t>271. Pieteikuma iesniedzēji nav apstrīdējuši palātas atzinumu, ka Izmeklēšanas pilnvaru tiesa (</w:t>
      </w:r>
      <w:proofErr w:type="spellStart"/>
      <w:r>
        <w:rPr>
          <w:rFonts w:ascii="Times New Roman" w:hAnsi="Times New Roman"/>
          <w:i/>
          <w:iCs/>
        </w:rPr>
        <w:t>IPT</w:t>
      </w:r>
      <w:proofErr w:type="spellEnd"/>
      <w:r>
        <w:rPr>
          <w:rFonts w:ascii="Times New Roman" w:hAnsi="Times New Roman"/>
        </w:rPr>
        <w:t>) pašlaik ir efektīvs tiesiskās aizsardzības līdzeklis gan attiecībā uz atsevišķām sūdzībām, gan vispārīgām sūdzībām par uzraudzības režīma atbilstību Konvencijai, savukārt Valdība nav apstrīdējusi tās atzinumu, ka, ņemot vērā lietas apstākļus, pieteikuma iesniedzēji bija izmantojuši iekšējos tiesiskās aizsardzības līdzekļus Konvencijas 35. panta 1. punkta izpratnē. Līdz ar to Lielajai palātai nav jāizskata neviens no šiem jautājumiem.</w:t>
      </w:r>
    </w:p>
    <w:p w14:paraId="3925D325" w14:textId="77777777" w:rsidR="00F82F2D" w:rsidRPr="008D031E" w:rsidRDefault="00F82F2D" w:rsidP="00F82F2D">
      <w:pPr>
        <w:pStyle w:val="JuPara"/>
        <w:widowControl w:val="0"/>
        <w:ind w:firstLine="142"/>
        <w:rPr>
          <w:rFonts w:ascii="Times New Roman" w:hAnsi="Times New Roman"/>
          <w:noProof/>
          <w:lang w:val="en-US"/>
        </w:rPr>
      </w:pPr>
    </w:p>
    <w:p w14:paraId="7B21FFB0" w14:textId="77777777" w:rsidR="00F82F2D" w:rsidRDefault="00F82F2D" w:rsidP="00C138E2">
      <w:pPr>
        <w:pStyle w:val="JuHIRoman"/>
        <w:widowControl w:val="0"/>
        <w:numPr>
          <w:ilvl w:val="0"/>
          <w:numId w:val="0"/>
        </w:numPr>
        <w:spacing w:before="0" w:beforeAutospacing="0" w:after="0"/>
        <w:outlineLvl w:val="9"/>
        <w:rPr>
          <w:rFonts w:ascii="Times New Roman" w:hAnsi="Times New Roman"/>
          <w:caps w:val="0"/>
          <w:noProof/>
        </w:rPr>
      </w:pPr>
      <w:r>
        <w:rPr>
          <w:rFonts w:ascii="Times New Roman" w:hAnsi="Times New Roman"/>
          <w:caps w:val="0"/>
        </w:rPr>
        <w:lastRenderedPageBreak/>
        <w:t>II. SAKARU MASVEIDA PĀRTVERŠANA</w:t>
      </w:r>
    </w:p>
    <w:p w14:paraId="625B0D8E" w14:textId="77777777" w:rsidR="00F82F2D" w:rsidRPr="00BC6883" w:rsidRDefault="00F82F2D" w:rsidP="00C138E2">
      <w:pPr>
        <w:pStyle w:val="JuPara"/>
        <w:keepNext/>
        <w:keepLines/>
        <w:widowControl w:val="0"/>
        <w:rPr>
          <w:lang w:val="en-US"/>
        </w:rPr>
      </w:pPr>
    </w:p>
    <w:p w14:paraId="5A23DBEC" w14:textId="77777777" w:rsidR="00F82F2D" w:rsidRDefault="00F82F2D" w:rsidP="00C138E2">
      <w:pPr>
        <w:pStyle w:val="JuHA"/>
        <w:widowControl w:val="0"/>
        <w:numPr>
          <w:ilvl w:val="0"/>
          <w:numId w:val="0"/>
        </w:numPr>
        <w:spacing w:before="0" w:beforeAutospacing="0" w:after="0"/>
        <w:outlineLvl w:val="9"/>
        <w:rPr>
          <w:rFonts w:ascii="Times New Roman" w:hAnsi="Times New Roman"/>
          <w:noProof/>
        </w:rPr>
      </w:pPr>
      <w:r>
        <w:rPr>
          <w:rFonts w:ascii="Times New Roman" w:hAnsi="Times New Roman"/>
        </w:rPr>
        <w:t>A. Teritoriālā jurisdikcija</w:t>
      </w:r>
    </w:p>
    <w:p w14:paraId="2CB8D6AF" w14:textId="77777777" w:rsidR="00F82F2D" w:rsidRPr="00BC6883" w:rsidRDefault="00F82F2D" w:rsidP="00F82F2D">
      <w:pPr>
        <w:pStyle w:val="JuPara"/>
        <w:widowControl w:val="0"/>
        <w:rPr>
          <w:lang w:val="en-US"/>
        </w:rPr>
      </w:pPr>
    </w:p>
    <w:p w14:paraId="4A10CB45" w14:textId="77777777" w:rsidR="00F82F2D" w:rsidRDefault="00F82F2D" w:rsidP="00F82F2D">
      <w:pPr>
        <w:pStyle w:val="JuPara"/>
        <w:widowControl w:val="0"/>
        <w:ind w:firstLine="142"/>
        <w:rPr>
          <w:rFonts w:ascii="Times New Roman" w:hAnsi="Times New Roman"/>
          <w:noProof/>
        </w:rPr>
      </w:pPr>
      <w:r>
        <w:rPr>
          <w:rFonts w:ascii="Times New Roman" w:hAnsi="Times New Roman"/>
        </w:rPr>
        <w:t xml:space="preserve">272. Attiecībā uz 8. panta 4. punktā noteikto režīmu Valdība neizvirzīja nekādus iebildumus saskaņā ar Konvencijas 1. pantu un neapgalvoja, ka sakaru pārtveršana notika ārpus valsts teritoriālās jurisdikcijas. Turklāt Lielās palātas sēdes laikā Valdība skaidri apstiprināja, ka tā šajā sakarā nav izvirzījusi iebildumus, jo vismaz daži no pieteikuma iesniedzējiem nepārprotami atradušās valsts teritoriālajā jurisdikcijā. Līdz ar to šajā lietā Tiesa sniegs </w:t>
      </w:r>
      <w:proofErr w:type="spellStart"/>
      <w:r>
        <w:rPr>
          <w:rFonts w:ascii="Times New Roman" w:hAnsi="Times New Roman"/>
        </w:rPr>
        <w:t>izvērtējumu</w:t>
      </w:r>
      <w:proofErr w:type="spellEnd"/>
      <w:r>
        <w:rPr>
          <w:rFonts w:ascii="Times New Roman" w:hAnsi="Times New Roman"/>
        </w:rPr>
        <w:t>, pieņemot, ka sūdzībā norādītie jautājumi ietilpst Apvienotās Karalistes jurisdikcijas kompetencē, ciktāl pieteikuma iesniedzēji iesnieguši sūdzības par 8. panta 4. punktā noteikto režīmu.</w:t>
      </w:r>
    </w:p>
    <w:p w14:paraId="0152EBCA" w14:textId="77777777" w:rsidR="00F82F2D" w:rsidRPr="008D031E" w:rsidRDefault="00F82F2D" w:rsidP="00F82F2D">
      <w:pPr>
        <w:pStyle w:val="JuPara"/>
        <w:widowControl w:val="0"/>
        <w:ind w:firstLine="142"/>
        <w:rPr>
          <w:rFonts w:ascii="Times New Roman" w:hAnsi="Times New Roman"/>
          <w:b/>
          <w:noProof/>
          <w:lang w:val="en-US"/>
        </w:rPr>
      </w:pPr>
    </w:p>
    <w:p w14:paraId="652C5010" w14:textId="77777777" w:rsidR="00F82F2D" w:rsidRDefault="00F82F2D" w:rsidP="00F82F2D">
      <w:pPr>
        <w:pStyle w:val="JuHA"/>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B. Konvencijas 8. panta iespējamais pārkāpums</w:t>
      </w:r>
    </w:p>
    <w:p w14:paraId="7008720B" w14:textId="77777777" w:rsidR="00F82F2D" w:rsidRPr="00F5238E" w:rsidRDefault="00F82F2D" w:rsidP="00F82F2D">
      <w:pPr>
        <w:pStyle w:val="JuPara"/>
        <w:widowControl w:val="0"/>
        <w:rPr>
          <w:lang w:val="en-US"/>
        </w:rPr>
      </w:pPr>
    </w:p>
    <w:p w14:paraId="0F0BFB72" w14:textId="77777777" w:rsidR="00F82F2D" w:rsidRDefault="00F82F2D" w:rsidP="00F82F2D">
      <w:pPr>
        <w:pStyle w:val="JuPara"/>
        <w:widowControl w:val="0"/>
        <w:ind w:firstLine="0"/>
        <w:rPr>
          <w:rFonts w:ascii="Times New Roman" w:hAnsi="Times New Roman"/>
          <w:noProof/>
        </w:rPr>
      </w:pPr>
      <w:r>
        <w:rPr>
          <w:rFonts w:ascii="Times New Roman" w:hAnsi="Times New Roman"/>
        </w:rPr>
        <w:t>273. Pieteikuma iesniedzēji visās trīs apvienotajās lietās apgalvoja, ka sakaru masveida pārtveršanas režīms nebija saderīgs ar Konvencijas 8. pantu, kas nosaka:</w:t>
      </w:r>
    </w:p>
    <w:p w14:paraId="59BA0A2C" w14:textId="77777777" w:rsidR="00F82F2D" w:rsidRPr="008D031E" w:rsidRDefault="00F82F2D" w:rsidP="00F82F2D">
      <w:pPr>
        <w:pStyle w:val="JuPara"/>
        <w:widowControl w:val="0"/>
        <w:ind w:firstLine="0"/>
        <w:rPr>
          <w:rFonts w:ascii="Times New Roman" w:hAnsi="Times New Roman"/>
          <w:noProof/>
          <w:lang w:val="en-US"/>
        </w:rPr>
      </w:pPr>
    </w:p>
    <w:p w14:paraId="512517F2" w14:textId="77777777" w:rsidR="00F82F2D" w:rsidRPr="008D031E" w:rsidRDefault="00F82F2D" w:rsidP="00F82F2D">
      <w:pPr>
        <w:pStyle w:val="JuQuot"/>
        <w:widowControl w:val="0"/>
        <w:spacing w:before="0" w:after="0"/>
        <w:ind w:left="284"/>
        <w:rPr>
          <w:rFonts w:ascii="Times New Roman" w:hAnsi="Times New Roman"/>
          <w:noProof/>
          <w:sz w:val="24"/>
        </w:rPr>
      </w:pPr>
      <w:r>
        <w:rPr>
          <w:rFonts w:ascii="Times New Roman" w:hAnsi="Times New Roman"/>
          <w:sz w:val="24"/>
        </w:rPr>
        <w:t>“1. Ikvienam ir tiesības uz savas privātās un ģimenes dzīves, dzīvokļa un korespondences neaizskaramību.</w:t>
      </w:r>
    </w:p>
    <w:p w14:paraId="17147037" w14:textId="77777777" w:rsidR="00F82F2D" w:rsidRDefault="00F82F2D" w:rsidP="00F82F2D">
      <w:pPr>
        <w:pStyle w:val="JuQuot"/>
        <w:widowControl w:val="0"/>
        <w:spacing w:before="0" w:after="0"/>
        <w:ind w:left="284"/>
        <w:rPr>
          <w:rFonts w:ascii="Times New Roman" w:hAnsi="Times New Roman"/>
          <w:noProof/>
          <w:sz w:val="24"/>
        </w:rPr>
      </w:pPr>
      <w:r>
        <w:rPr>
          <w:rFonts w:ascii="Times New Roman" w:hAnsi="Times New Roman"/>
          <w:sz w:val="24"/>
        </w:rPr>
        <w:t>2. Sabiedriskās institūcijas nedrīkst traucēt nevienam baudīt šīs tiesības, izņemot gadījumos, kas paredzēti likumā un ir nepieciešami demokrātiskā sabiedrībā, lai aizstāvētu valsts drošības, sabiedriskās kārtības vai valsts labklājības intereses, lai nepieļautu nekārtības vai noziegumus, lai aizsargātu veselību vai morāli vai lai aizstāvētu citu tiesības un brīvības.”</w:t>
      </w:r>
    </w:p>
    <w:p w14:paraId="0621A488" w14:textId="77777777" w:rsidR="00F82F2D" w:rsidRPr="008D031E" w:rsidRDefault="00F82F2D" w:rsidP="00F82F2D">
      <w:pPr>
        <w:pStyle w:val="JuQuot"/>
        <w:widowControl w:val="0"/>
        <w:spacing w:before="0" w:after="0"/>
        <w:ind w:left="0" w:firstLine="0"/>
        <w:rPr>
          <w:rFonts w:ascii="Times New Roman" w:hAnsi="Times New Roman"/>
          <w:noProof/>
          <w:sz w:val="24"/>
          <w:lang w:val="en-US"/>
        </w:rPr>
      </w:pPr>
    </w:p>
    <w:p w14:paraId="53B1B1DF" w14:textId="77777777" w:rsidR="00F82F2D" w:rsidRDefault="00F82F2D" w:rsidP="00F82F2D">
      <w:pPr>
        <w:pStyle w:val="JuH1"/>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1. Palātas spriedums</w:t>
      </w:r>
    </w:p>
    <w:p w14:paraId="6301A841" w14:textId="77777777" w:rsidR="00F82F2D" w:rsidRPr="00F5238E" w:rsidRDefault="00F82F2D" w:rsidP="00F82F2D">
      <w:pPr>
        <w:pStyle w:val="JuPara"/>
        <w:widowControl w:val="0"/>
        <w:rPr>
          <w:lang w:val="en-US"/>
        </w:rPr>
      </w:pPr>
    </w:p>
    <w:p w14:paraId="51A0A333" w14:textId="77777777" w:rsidR="00F82F2D" w:rsidRPr="00F5238E" w:rsidRDefault="00F82F2D" w:rsidP="00F82F2D">
      <w:pPr>
        <w:pStyle w:val="JuPara"/>
        <w:widowControl w:val="0"/>
        <w:ind w:firstLine="142"/>
        <w:rPr>
          <w:rFonts w:asciiTheme="majorHAnsi" w:hAnsiTheme="majorHAnsi" w:cstheme="majorHAnsi"/>
          <w:noProof/>
        </w:rPr>
      </w:pPr>
      <w:bookmarkStart w:id="210" w:name="Weber6"/>
      <w:r>
        <w:rPr>
          <w:rFonts w:ascii="Times New Roman" w:hAnsi="Times New Roman"/>
        </w:rPr>
        <w:t>274</w:t>
      </w:r>
      <w:bookmarkEnd w:id="210"/>
      <w:r>
        <w:rPr>
          <w:rFonts w:ascii="Times New Roman" w:hAnsi="Times New Roman"/>
        </w:rPr>
        <w:t xml:space="preserve">. </w:t>
      </w:r>
      <w:r>
        <w:rPr>
          <w:rFonts w:asciiTheme="majorHAnsi" w:hAnsiTheme="majorHAnsi"/>
        </w:rPr>
        <w:t>Palāta skaidri atzina, ka valstīm ir plaša rīcības brīvība, lemjot par to, kāds pārtveršanas režīms nepieciešams valsts drošības aizsardzībai, taču tā uzskatīja, ka valstīm piešķirtā rīcības brīvība, izmantojot pārtveršanas režīmu, noteikti būtu šaurāka. Tā šajā ziņā norādīja, ka Tiesa ir noteikusi sešus “minimālos drošības pasākumus”, kuriem jābūt noteiktiem likumā, lai izvairītos no pilnvaru ļaunprātīgas izmantošanas, proti, to nodarījumu būtība, kas var būt par pamatu pārtveršanas rīkojuma izdošanai, to personu kategorijas, kuru sakarus var pārtvert, pārtveršanas ilguma ierobežojums, iegūto datu pārbaudes, izmantošanas un uzglabāšanas kārtība, veicamie piesardzības pasākumi, paziņojot datus citām pusēm, un apstākļi, kādos pārtvertos datus atļauts vai ir pienākums dzēst vai iznīcināt. Tiesa šos drošības pasākumus, kas pirmo reizi bija izklāstīti 1990. gada 24. aprīļa sprieduma lietā “</w:t>
      </w:r>
      <w:proofErr w:type="spellStart"/>
      <w:r>
        <w:rPr>
          <w:rFonts w:asciiTheme="majorHAnsi" w:hAnsiTheme="majorHAnsi"/>
        </w:rPr>
        <w:t>Huvigs</w:t>
      </w:r>
      <w:proofErr w:type="spellEnd"/>
      <w:r>
        <w:rPr>
          <w:rFonts w:asciiTheme="majorHAnsi" w:hAnsiTheme="majorHAnsi"/>
        </w:rPr>
        <w:t xml:space="preserve"> [</w:t>
      </w:r>
      <w:proofErr w:type="spellStart"/>
      <w:r>
        <w:rPr>
          <w:rFonts w:asciiTheme="majorHAnsi" w:hAnsiTheme="majorHAnsi"/>
          <w:i/>
          <w:iCs/>
        </w:rPr>
        <w:t>Huvig</w:t>
      </w:r>
      <w:proofErr w:type="spellEnd"/>
      <w:r>
        <w:rPr>
          <w:rFonts w:asciiTheme="majorHAnsi" w:hAnsiTheme="majorHAnsi"/>
        </w:rPr>
        <w:t>] pret Franciju” 34. punktā, A sērija Nr. 176 B, un 1990. gada 24. aprīļa sprieduma lietā “</w:t>
      </w:r>
      <w:proofErr w:type="spellStart"/>
      <w:r>
        <w:rPr>
          <w:rFonts w:asciiTheme="majorHAnsi" w:hAnsiTheme="majorHAnsi"/>
        </w:rPr>
        <w:t>Krulēns</w:t>
      </w:r>
      <w:proofErr w:type="spellEnd"/>
      <w:r>
        <w:rPr>
          <w:rFonts w:asciiTheme="majorHAnsi" w:hAnsiTheme="majorHAnsi"/>
        </w:rPr>
        <w:t xml:space="preserve"> [</w:t>
      </w:r>
      <w:proofErr w:type="spellStart"/>
      <w:r>
        <w:rPr>
          <w:rFonts w:asciiTheme="majorHAnsi" w:hAnsiTheme="majorHAnsi"/>
          <w:i/>
          <w:iCs/>
        </w:rPr>
        <w:t>Kruslin</w:t>
      </w:r>
      <w:proofErr w:type="spellEnd"/>
      <w:r>
        <w:rPr>
          <w:rFonts w:asciiTheme="majorHAnsi" w:hAnsiTheme="majorHAnsi"/>
        </w:rPr>
        <w:t xml:space="preserve">] pret Franciju” 35. punktā, A sērija Nr. 176-A, bija regulāri piemērojusi savā judikatūrā par sakaru pārtveršanu un divās lietās, kas konkrēti attiecas uz sakaru masveida pārtveršanu (skat. lēmumu lietā Nr. 54934/00 “Vēbere un </w:t>
      </w:r>
      <w:proofErr w:type="spellStart"/>
      <w:r>
        <w:rPr>
          <w:rFonts w:asciiTheme="majorHAnsi" w:hAnsiTheme="majorHAnsi"/>
        </w:rPr>
        <w:t>Sarāvija</w:t>
      </w:r>
      <w:proofErr w:type="spellEnd"/>
      <w:r>
        <w:rPr>
          <w:rFonts w:asciiTheme="majorHAnsi" w:hAnsiTheme="majorHAnsi"/>
        </w:rPr>
        <w:t xml:space="preserve"> pret Vāciju” (lēmums), </w:t>
      </w:r>
      <w:proofErr w:type="spellStart"/>
      <w:r>
        <w:rPr>
          <w:rFonts w:asciiTheme="majorHAnsi" w:hAnsiTheme="majorHAnsi"/>
        </w:rPr>
        <w:t>ECT</w:t>
      </w:r>
      <w:proofErr w:type="spellEnd"/>
      <w:r>
        <w:rPr>
          <w:rFonts w:asciiTheme="majorHAnsi" w:hAnsiTheme="majorHAnsi"/>
        </w:rPr>
        <w:t> 2006-XI, un 2008. gada 1. jūlija spriedumu lietā Nr. 58243/00 ““</w:t>
      </w:r>
      <w:proofErr w:type="spellStart"/>
      <w:r>
        <w:rPr>
          <w:rFonts w:asciiTheme="majorHAnsi" w:hAnsiTheme="majorHAnsi"/>
        </w:rPr>
        <w:t>Liberty</w:t>
      </w:r>
      <w:proofErr w:type="spellEnd"/>
      <w:r>
        <w:rPr>
          <w:rFonts w:asciiTheme="majorHAnsi" w:hAnsiTheme="majorHAnsi"/>
        </w:rPr>
        <w:t>” un citi pret Apvienoto Karalisti”).</w:t>
      </w:r>
    </w:p>
    <w:p w14:paraId="1AA1B059" w14:textId="77777777" w:rsidR="00F82F2D" w:rsidRPr="00F5238E" w:rsidRDefault="00F82F2D" w:rsidP="00F82F2D">
      <w:pPr>
        <w:pStyle w:val="JuPara"/>
        <w:widowControl w:val="0"/>
        <w:ind w:firstLine="142"/>
        <w:rPr>
          <w:rFonts w:asciiTheme="majorHAnsi" w:hAnsiTheme="majorHAnsi" w:cstheme="majorHAnsi"/>
          <w:noProof/>
        </w:rPr>
      </w:pPr>
      <w:bookmarkStart w:id="211" w:name="Modsix"/>
      <w:r>
        <w:rPr>
          <w:rFonts w:asciiTheme="majorHAnsi" w:hAnsiTheme="majorHAnsi"/>
        </w:rPr>
        <w:t>275</w:t>
      </w:r>
      <w:bookmarkEnd w:id="211"/>
      <w:r>
        <w:rPr>
          <w:rFonts w:asciiTheme="majorHAnsi" w:hAnsiTheme="majorHAnsi"/>
        </w:rPr>
        <w:t xml:space="preserve">. Palātas ieskatā lēmums izmantot masveida pārtveršanas režīmu ietilpa līgumslēdzējām valstīm piešķirtās rīcības brīvības robežās. Tā izvērtēja Apvienotās Karalistes masveida pārtveršanas režīma darbību, atsaucoties uz sešiem minimālajiem drošības pasākumiem, kas minēti iepriekšējā punktā. Tā kā pirmie divi drošības pasākumi tā īsti neattiecās uz masveida pārtveršanu, palāta pārstrukturēja šos drošības pasākumus, ņemot vērā, pirmkārt, vai pamatojums, atbilstoši kuram varētu izdot orderi, ir pietiekami skaidrs, otrkārt, vai valsts tiesību aktos pilsoņiem sniegta atbilstoša norāde par apstākļiem, kādos viņu sakari var tikt pārtverti, </w:t>
      </w:r>
      <w:r>
        <w:rPr>
          <w:rFonts w:asciiTheme="majorHAnsi" w:hAnsiTheme="majorHAnsi"/>
        </w:rPr>
        <w:lastRenderedPageBreak/>
        <w:t>un, treškārt, vai valsts tiesību aktos pilsoņiem sniegta atbilstoša norāde par apstākļiem, kādos viņu sakari var tikt atlasīti pārbaudei. Turklāt, ņemot vērā neseno judikatūru (tostarp spriedumu lietā Nr. 47143/06 “Romāns Zaharovs [</w:t>
      </w:r>
      <w:proofErr w:type="spellStart"/>
      <w:r>
        <w:rPr>
          <w:rFonts w:asciiTheme="majorHAnsi" w:hAnsiTheme="majorHAnsi"/>
          <w:i/>
          <w:iCs/>
        </w:rPr>
        <w:t>Roman</w:t>
      </w:r>
      <w:proofErr w:type="spellEnd"/>
      <w:r>
        <w:rPr>
          <w:rFonts w:asciiTheme="majorHAnsi" w:hAnsiTheme="majorHAnsi"/>
          <w:i/>
          <w:iCs/>
        </w:rPr>
        <w:t xml:space="preserve"> </w:t>
      </w:r>
      <w:proofErr w:type="spellStart"/>
      <w:r>
        <w:rPr>
          <w:rFonts w:asciiTheme="majorHAnsi" w:hAnsiTheme="majorHAnsi"/>
          <w:i/>
          <w:iCs/>
        </w:rPr>
        <w:t>Zakharov</w:t>
      </w:r>
      <w:proofErr w:type="spellEnd"/>
      <w:r>
        <w:rPr>
          <w:rFonts w:asciiTheme="majorHAnsi" w:hAnsiTheme="majorHAnsi"/>
        </w:rPr>
        <w:t>] pret Krieviju” [</w:t>
      </w:r>
      <w:proofErr w:type="spellStart"/>
      <w:r>
        <w:rPr>
          <w:rFonts w:asciiTheme="majorHAnsi" w:hAnsiTheme="majorHAnsi"/>
          <w:i/>
          <w:iCs/>
        </w:rPr>
        <w:t>GC</w:t>
      </w:r>
      <w:proofErr w:type="spellEnd"/>
      <w:r>
        <w:rPr>
          <w:rFonts w:asciiTheme="majorHAnsi" w:hAnsiTheme="majorHAnsi"/>
        </w:rPr>
        <w:t xml:space="preserve">], </w:t>
      </w:r>
      <w:proofErr w:type="spellStart"/>
      <w:r>
        <w:rPr>
          <w:rFonts w:asciiTheme="majorHAnsi" w:hAnsiTheme="majorHAnsi"/>
        </w:rPr>
        <w:t>ECT</w:t>
      </w:r>
      <w:proofErr w:type="spellEnd"/>
      <w:r>
        <w:rPr>
          <w:rFonts w:asciiTheme="majorHAnsi" w:hAnsiTheme="majorHAnsi"/>
        </w:rPr>
        <w:t> 2015), palāta arī ņēma vērā slepenās uzraudzības pasākumu īstenošanas pārraudzības kārtību, paziņošanas mehānismu esību un valsts tiesību aktos paredzētos tiesiskās aizsardzības līdzekļus.</w:t>
      </w:r>
    </w:p>
    <w:p w14:paraId="47F7117C" w14:textId="77777777" w:rsidR="00F82F2D" w:rsidRDefault="00F82F2D" w:rsidP="00F82F2D">
      <w:pPr>
        <w:widowControl w:val="0"/>
        <w:ind w:firstLine="142"/>
        <w:jc w:val="both"/>
        <w:rPr>
          <w:rFonts w:ascii="Times New Roman" w:hAnsi="Times New Roman"/>
          <w:noProof/>
        </w:rPr>
      </w:pPr>
      <w:r>
        <w:rPr>
          <w:rFonts w:asciiTheme="majorHAnsi" w:hAnsiTheme="majorHAnsi"/>
        </w:rPr>
        <w:t>276. Tā 8. panta 4. punktā noteiktajā režīmā konstatēja divus problemātiskus aspektus, pirmkārt, netika pārraudzīts veids, kādā atlasīti pārtveršanai paredzētie nesēji un pārtverto sakaru filtrēšanai izmantotie selektori un process, kādā analītiķi atlasīja pārtvertos sakarus pārbaudei, un, otrkārt, nebija ieviesti reāli drošības pasākumi, kas piemērojami uz saistīto sakaru datu meklēšanu un atlasīšanu pārbaudei. Ņemot vērā neatkarīgo pārraudzību, ko nodrošināja komisārs sakaru pārtveršanas jautājumos (</w:t>
      </w:r>
      <w:proofErr w:type="spellStart"/>
      <w:r>
        <w:rPr>
          <w:rFonts w:asciiTheme="majorHAnsi" w:hAnsiTheme="majorHAnsi"/>
          <w:i/>
          <w:iCs/>
        </w:rPr>
        <w:t>IC</w:t>
      </w:r>
      <w:proofErr w:type="spellEnd"/>
      <w:r>
        <w:rPr>
          <w:rFonts w:asciiTheme="majorHAnsi" w:hAnsiTheme="majorHAnsi"/>
        </w:rPr>
        <w:t xml:space="preserve">) un </w:t>
      </w:r>
      <w:proofErr w:type="spellStart"/>
      <w:r>
        <w:rPr>
          <w:rFonts w:asciiTheme="majorHAnsi" w:hAnsiTheme="majorHAnsi"/>
          <w:i/>
          <w:iCs/>
        </w:rPr>
        <w:t>IPT</w:t>
      </w:r>
      <w:proofErr w:type="spellEnd"/>
      <w:r>
        <w:rPr>
          <w:rFonts w:asciiTheme="majorHAnsi" w:hAnsiTheme="majorHAnsi"/>
        </w:rPr>
        <w:t xml:space="preserve">, un plašo neatkarīgo izmeklēšanu, ko veica pēc tam, kad Edvards </w:t>
      </w:r>
      <w:proofErr w:type="spellStart"/>
      <w:r>
        <w:rPr>
          <w:rFonts w:asciiTheme="majorHAnsi" w:hAnsiTheme="majorHAnsi"/>
        </w:rPr>
        <w:t>Snoudens</w:t>
      </w:r>
      <w:proofErr w:type="spellEnd"/>
      <w:r>
        <w:rPr>
          <w:rFonts w:asciiTheme="majorHAnsi" w:hAnsiTheme="majorHAnsi"/>
        </w:rPr>
        <w:t xml:space="preserve"> bija atklājis informāciju, palāta secināja, ka Apvienotā Karaliste nebija ļaunprātīgi izmantojusi masveida pārtveršanas pilnvaras. </w:t>
      </w:r>
      <w:r>
        <w:t>Tomēr, ņemot vērā iepriekš minētos trūkumus, tā atzina, ka masveida pārtveršanas režīms lielākoties neatbilda “tiesību aktu kvalitātes” prasībai un nespēja pamatot “iejaukšanos”, kas “nepieciešama demokrātiskā sabiedrībā”.</w:t>
      </w:r>
    </w:p>
    <w:p w14:paraId="6C66A300" w14:textId="77777777" w:rsidR="00F82F2D" w:rsidRPr="008D031E" w:rsidRDefault="00F82F2D" w:rsidP="00F82F2D">
      <w:pPr>
        <w:widowControl w:val="0"/>
        <w:ind w:firstLine="142"/>
        <w:jc w:val="both"/>
        <w:rPr>
          <w:rFonts w:ascii="Times New Roman" w:hAnsi="Times New Roman"/>
          <w:noProof/>
          <w:lang w:val="en-US"/>
        </w:rPr>
      </w:pPr>
    </w:p>
    <w:p w14:paraId="388838DA" w14:textId="77777777" w:rsidR="00F82F2D" w:rsidRDefault="00F82F2D" w:rsidP="00F82F2D">
      <w:pPr>
        <w:pStyle w:val="JuH1"/>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2. Pušu argumenti</w:t>
      </w:r>
    </w:p>
    <w:p w14:paraId="5CF9D4CA" w14:textId="77777777" w:rsidR="00F82F2D" w:rsidRPr="003324DC" w:rsidRDefault="00F82F2D" w:rsidP="00F82F2D">
      <w:pPr>
        <w:pStyle w:val="JuPara"/>
        <w:widowControl w:val="0"/>
        <w:rPr>
          <w:lang w:val="en-US"/>
        </w:rPr>
      </w:pPr>
    </w:p>
    <w:p w14:paraId="7765422A" w14:textId="77777777" w:rsidR="00F82F2D" w:rsidRDefault="00F82F2D" w:rsidP="00F82F2D">
      <w:pPr>
        <w:pStyle w:val="JuHa0"/>
        <w:keepNext w:val="0"/>
        <w:keepLines w:val="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a) Pieteikuma iesniedzēji</w:t>
      </w:r>
    </w:p>
    <w:p w14:paraId="02A83DF9" w14:textId="77777777" w:rsidR="00F82F2D" w:rsidRPr="003324DC" w:rsidRDefault="00F82F2D" w:rsidP="00F82F2D">
      <w:pPr>
        <w:pStyle w:val="JuPara"/>
        <w:widowControl w:val="0"/>
        <w:rPr>
          <w:lang w:val="en-US"/>
        </w:rPr>
      </w:pPr>
    </w:p>
    <w:p w14:paraId="0B5E1E8D"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277. Pieteikuma iesniedzēji apgalvoja, ka masveida pārtveršana Konvencijas 8. panta nozīmē principā nebija nedz nepieciešama, nedz samērīga un ka tā neietilpa valsts rīcības brīvības robežās.</w:t>
      </w:r>
      <w:r>
        <w:rPr>
          <w:rFonts w:ascii="Times New Roman" w:hAnsi="Times New Roman"/>
          <w:i/>
        </w:rPr>
        <w:t xml:space="preserve"> </w:t>
      </w:r>
      <w:r>
        <w:rPr>
          <w:rFonts w:ascii="Times New Roman" w:hAnsi="Times New Roman"/>
        </w:rPr>
        <w:t>2016. gada 12. janvāra spriedumā lietā Nr. 37138/14 “</w:t>
      </w:r>
      <w:proofErr w:type="spellStart"/>
      <w:r>
        <w:rPr>
          <w:rFonts w:ascii="Times New Roman" w:hAnsi="Times New Roman"/>
        </w:rPr>
        <w:t>Zabo</w:t>
      </w:r>
      <w:proofErr w:type="spellEnd"/>
      <w:r>
        <w:rPr>
          <w:rFonts w:ascii="Times New Roman" w:hAnsi="Times New Roman"/>
        </w:rPr>
        <w:t xml:space="preserve"> [</w:t>
      </w:r>
      <w:proofErr w:type="spellStart"/>
      <w:r>
        <w:rPr>
          <w:rFonts w:ascii="Times New Roman" w:hAnsi="Times New Roman"/>
          <w:i/>
          <w:iCs/>
        </w:rPr>
        <w:t>Szabó</w:t>
      </w:r>
      <w:proofErr w:type="spellEnd"/>
      <w:r>
        <w:rPr>
          <w:rFonts w:ascii="Times New Roman" w:hAnsi="Times New Roman"/>
        </w:rPr>
        <w:t xml:space="preserve">] un </w:t>
      </w:r>
      <w:proofErr w:type="spellStart"/>
      <w:r>
        <w:rPr>
          <w:rFonts w:ascii="Times New Roman" w:hAnsi="Times New Roman"/>
        </w:rPr>
        <w:t>Visija</w:t>
      </w:r>
      <w:proofErr w:type="spellEnd"/>
      <w:r>
        <w:rPr>
          <w:rFonts w:ascii="Times New Roman" w:hAnsi="Times New Roman"/>
        </w:rPr>
        <w:t xml:space="preserve"> [</w:t>
      </w:r>
      <w:proofErr w:type="spellStart"/>
      <w:r>
        <w:rPr>
          <w:rFonts w:ascii="Times New Roman" w:hAnsi="Times New Roman"/>
          <w:i/>
          <w:iCs/>
        </w:rPr>
        <w:t>Vissy</w:t>
      </w:r>
      <w:proofErr w:type="spellEnd"/>
      <w:r>
        <w:rPr>
          <w:rFonts w:ascii="Times New Roman" w:hAnsi="Times New Roman"/>
        </w:rPr>
        <w:t xml:space="preserve">] pret Ungāriju” bija norādīts, ka slepenās uzraudzības pasākumiem jābūt “absolūti nepieciešamiem”, lai aizsargātu demokrātiskās institūcijas un iegūtu svarīgus </w:t>
      </w:r>
      <w:proofErr w:type="spellStart"/>
      <w:r>
        <w:rPr>
          <w:rFonts w:ascii="Times New Roman" w:hAnsi="Times New Roman"/>
        </w:rPr>
        <w:t>izlūkdatus</w:t>
      </w:r>
      <w:proofErr w:type="spellEnd"/>
      <w:r>
        <w:rPr>
          <w:rFonts w:ascii="Times New Roman" w:hAnsi="Times New Roman"/>
        </w:rPr>
        <w:t xml:space="preserve">, un ka nebija pierādīts, ka masveida pārtveršana šim nosacījumam atbilda. Lai gan tā neapšaubāmi bija noderīga spēja, no Tiesas judikatūras skaidri izrietēja, ka ne viss, kas izlūkdienestiem ir noderīgs, ir pieļaujams demokrātiskā sabiedrībā (skat. spriedumu lietā Nr. 30562/04 un Nr. 30566/04 “S. un </w:t>
      </w:r>
      <w:proofErr w:type="spellStart"/>
      <w:r>
        <w:rPr>
          <w:rFonts w:ascii="Times New Roman" w:hAnsi="Times New Roman"/>
        </w:rPr>
        <w:t>Mārpers</w:t>
      </w:r>
      <w:proofErr w:type="spellEnd"/>
      <w:r>
        <w:rPr>
          <w:rFonts w:ascii="Times New Roman" w:hAnsi="Times New Roman"/>
        </w:rPr>
        <w:t xml:space="preserve"> [</w:t>
      </w:r>
      <w:proofErr w:type="spellStart"/>
      <w:r>
        <w:rPr>
          <w:rFonts w:ascii="Times New Roman" w:hAnsi="Times New Roman"/>
          <w:i/>
          <w:iCs/>
        </w:rPr>
        <w:t>Marper</w:t>
      </w:r>
      <w:proofErr w:type="spellEnd"/>
      <w:r>
        <w:rPr>
          <w:rFonts w:ascii="Times New Roman" w:hAnsi="Times New Roman"/>
        </w:rPr>
        <w:t>] pret Apvienoto Karalisti” [</w:t>
      </w:r>
      <w:proofErr w:type="spellStart"/>
      <w:r>
        <w:rPr>
          <w:rFonts w:ascii="Times New Roman" w:hAnsi="Times New Roman"/>
          <w:i/>
          <w:iCs/>
        </w:rPr>
        <w:t>GC</w:t>
      </w:r>
      <w:proofErr w:type="spellEnd"/>
      <w:r>
        <w:rPr>
          <w:rFonts w:ascii="Times New Roman" w:hAnsi="Times New Roman"/>
        </w:rPr>
        <w:t>], </w:t>
      </w:r>
      <w:proofErr w:type="spellStart"/>
      <w:r>
        <w:rPr>
          <w:rFonts w:ascii="Times New Roman" w:hAnsi="Times New Roman"/>
        </w:rPr>
        <w:t>ECT</w:t>
      </w:r>
      <w:proofErr w:type="spellEnd"/>
      <w:r>
        <w:rPr>
          <w:rFonts w:ascii="Times New Roman" w:hAnsi="Times New Roman"/>
        </w:rPr>
        <w:t> 2008).</w:t>
      </w:r>
    </w:p>
    <w:p w14:paraId="34C6B754"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278. Pieteikuma iesniedzēji apgalvoja, ka atsevišķa iejaukšanās 8. pantā noteiktajās tiesībās uz privātās dzīves un korespondences neaizskaramību bija notikusi, veicot sakaru (satura un/vai saistīto sakaru datu) pārtveršanu, uzglabāšanu, automātisko apstrādi un pārbaudi. Lai gan viņi piekrita, ka “būtiska” iejaukšanās notika pārtverto sakaru pārbaudes brīdī, viņi uzskatīja, ka bija nepareizi apgalvot, ka pirms tam nenotika “nozīmīga” iejaukšanās. Gluži pretēji, no Tiesas judikatūras izriet, ka pat tad, ja valsts uzglabā personas datus, šāda rīcība ir kvalificējama kā būtiska iejaukšanās personas tiesībās, kas garantētas Konvencijas 8. pantā (skat., piemēram, spriedumu lietā Nr. 28341/95 “Rotaru pret Rumāniju” [</w:t>
      </w:r>
      <w:proofErr w:type="spellStart"/>
      <w:r>
        <w:rPr>
          <w:rFonts w:ascii="Times New Roman" w:hAnsi="Times New Roman"/>
          <w:i/>
          <w:iCs/>
        </w:rPr>
        <w:t>GC</w:t>
      </w:r>
      <w:proofErr w:type="spellEnd"/>
      <w:r>
        <w:rPr>
          <w:rFonts w:ascii="Times New Roman" w:hAnsi="Times New Roman"/>
        </w:rPr>
        <w:t xml:space="preserve">], </w:t>
      </w:r>
      <w:proofErr w:type="spellStart"/>
      <w:r>
        <w:rPr>
          <w:rFonts w:ascii="Times New Roman" w:hAnsi="Times New Roman"/>
        </w:rPr>
        <w:t>ECT</w:t>
      </w:r>
      <w:proofErr w:type="spellEnd"/>
      <w:r>
        <w:rPr>
          <w:rFonts w:ascii="Times New Roman" w:hAnsi="Times New Roman"/>
        </w:rPr>
        <w:t xml:space="preserve"> 2000 V, un iepriekš minētajā lietā “S. un </w:t>
      </w:r>
      <w:proofErr w:type="spellStart"/>
      <w:r>
        <w:rPr>
          <w:rFonts w:ascii="Times New Roman" w:hAnsi="Times New Roman"/>
        </w:rPr>
        <w:t>Mārpers</w:t>
      </w:r>
      <w:proofErr w:type="spellEnd"/>
      <w:r>
        <w:rPr>
          <w:rFonts w:ascii="Times New Roman" w:hAnsi="Times New Roman"/>
        </w:rPr>
        <w:t xml:space="preserve">”). Tas tā bija īpaši gadījumos, kad dati tika apstrādāti automātiski. Patiesībā, ņemot vērā apstrādes jaudas un </w:t>
      </w:r>
      <w:proofErr w:type="spellStart"/>
      <w:r>
        <w:rPr>
          <w:rFonts w:ascii="Times New Roman" w:hAnsi="Times New Roman"/>
        </w:rPr>
        <w:t>mašīnmācīšanās</w:t>
      </w:r>
      <w:proofErr w:type="spellEnd"/>
      <w:r>
        <w:rPr>
          <w:rFonts w:ascii="Times New Roman" w:hAnsi="Times New Roman"/>
        </w:rPr>
        <w:t xml:space="preserve"> straujo attīstību, datu uzglabāšana un elektroniskā apstrāde pašas par sevi var būt ļoti aizkarošas, nevienai personai neizskatot </w:t>
      </w:r>
      <w:proofErr w:type="spellStart"/>
      <w:r>
        <w:rPr>
          <w:rFonts w:ascii="Times New Roman" w:hAnsi="Times New Roman"/>
        </w:rPr>
        <w:t>pamatsaturu</w:t>
      </w:r>
      <w:proofErr w:type="spellEnd"/>
      <w:r>
        <w:rPr>
          <w:rFonts w:ascii="Times New Roman" w:hAnsi="Times New Roman"/>
        </w:rPr>
        <w:t xml:space="preserve"> vai saistītos sakaru datus. Šajā ziņā pieteikuma iesniedzēji apgalvoja, ka pretēji “amorfajam veidojumam”, uz ko atsaucās Valdība (skat. turpmāk 288. punktu), apkoptie dati vairāk līdzinās “labi organizētai un indeksētai bibliotēkai, kurā var ātri atrast visu nepieciešamo informāciju”. Viņi norādīja, ka automātiskās apstrādes pieejamība rada īpaši lielas bažas par privātās dzīves neaizskaramību un, kā apgalvoja Valdība, nemazina iejaukšanos.</w:t>
      </w:r>
    </w:p>
    <w:p w14:paraId="4673F383"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279. Pieteikuma iesniedzēji apgalvoja, ka tad, ja masveida pārtveršanas režīms Lielās palātas ieskatā ietilpa valsts rīcības brīvības robežās, 8. panta 4. punktā noteiktais režīms neatbilda likumam. Pirmkārt, </w:t>
      </w:r>
      <w:r>
        <w:rPr>
          <w:rFonts w:ascii="Times New Roman" w:hAnsi="Times New Roman"/>
          <w:i/>
          <w:iCs/>
        </w:rPr>
        <w:t>RIPA</w:t>
      </w:r>
      <w:r>
        <w:rPr>
          <w:rFonts w:ascii="Times New Roman" w:hAnsi="Times New Roman"/>
        </w:rPr>
        <w:t xml:space="preserve"> bija pārlieku sarežģīts, ko atzinuši visi neatkarīgie pārskatītāji; </w:t>
      </w:r>
      <w:r>
        <w:rPr>
          <w:rFonts w:ascii="Times New Roman" w:hAnsi="Times New Roman"/>
        </w:rPr>
        <w:lastRenderedPageBreak/>
        <w:t xml:space="preserve">patiesībā tik sarežģīts, ka veicamās uzraudzības būtība un ietvars kļuva skaidri zināmi tikai pēc tam, kad Edvards </w:t>
      </w:r>
      <w:proofErr w:type="spellStart"/>
      <w:r>
        <w:rPr>
          <w:rFonts w:ascii="Times New Roman" w:hAnsi="Times New Roman"/>
        </w:rPr>
        <w:t>Snoudens</w:t>
      </w:r>
      <w:proofErr w:type="spellEnd"/>
      <w:r>
        <w:rPr>
          <w:rFonts w:ascii="Times New Roman" w:hAnsi="Times New Roman"/>
        </w:rPr>
        <w:t xml:space="preserve"> bija atklājis informāciju. Turklāt “zem ūdenslīnijas” esošos pasākumus noteikusi pati </w:t>
      </w:r>
      <w:proofErr w:type="spellStart"/>
      <w:r>
        <w:rPr>
          <w:rFonts w:ascii="Times New Roman" w:hAnsi="Times New Roman"/>
          <w:i/>
          <w:iCs/>
        </w:rPr>
        <w:t>GCHQ</w:t>
      </w:r>
      <w:proofErr w:type="spellEnd"/>
      <w:r>
        <w:rPr>
          <w:rFonts w:ascii="Times New Roman" w:hAnsi="Times New Roman"/>
        </w:rPr>
        <w:t xml:space="preserve">; tie arī nebija pieejami parlamentam, un parlaments tos nebija apstiprinājis, kā arī tos saskaņā ar iekšējo politiku varēja mainīt pēc izpildvaras gribas, un tie nebija saistoši. Līdz ar to pieteikuma iesniedzēji apgalvoja, ka viņiem nav jāiesaistās Tiesas veicamajā </w:t>
      </w:r>
      <w:proofErr w:type="spellStart"/>
      <w:r>
        <w:rPr>
          <w:rFonts w:ascii="Times New Roman" w:hAnsi="Times New Roman"/>
        </w:rPr>
        <w:t>izvērtējumā</w:t>
      </w:r>
      <w:proofErr w:type="spellEnd"/>
      <w:r>
        <w:rPr>
          <w:rFonts w:ascii="Times New Roman" w:hAnsi="Times New Roman"/>
        </w:rPr>
        <w:t>.</w:t>
      </w:r>
    </w:p>
    <w:p w14:paraId="6951C9A8"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280. Izvērtējot </w:t>
      </w:r>
      <w:proofErr w:type="spellStart"/>
      <w:r>
        <w:rPr>
          <w:rFonts w:ascii="Times New Roman" w:hAnsi="Times New Roman"/>
        </w:rPr>
        <w:t>paredzamību</w:t>
      </w:r>
      <w:proofErr w:type="spellEnd"/>
      <w:r>
        <w:rPr>
          <w:rFonts w:ascii="Times New Roman" w:hAnsi="Times New Roman"/>
        </w:rPr>
        <w:t xml:space="preserve">, pieteikuma iesniedzēji apgalvoja, ka gan sabiedrības, gan tehnoloģiskās izmaiņas ir iemesls tam, ka Tiesai jāaktualizē pašreizējā pieeja un jāuzlabo nepieciešamie drošības pasākumi, lai nodrošinātu Konvencijā paredzēto tiesību praktiskumu un efektivitāti. Tiesas pašreizējā judikatūra par masveida pārtveršanu izrietēja no lēmuma lietā “Vēbere un </w:t>
      </w:r>
      <w:proofErr w:type="spellStart"/>
      <w:r>
        <w:rPr>
          <w:rFonts w:ascii="Times New Roman" w:hAnsi="Times New Roman"/>
        </w:rPr>
        <w:t>Sarāvija</w:t>
      </w:r>
      <w:proofErr w:type="spellEnd"/>
      <w:r>
        <w:rPr>
          <w:rFonts w:ascii="Times New Roman" w:hAnsi="Times New Roman"/>
        </w:rPr>
        <w:t>” (minēta iepriekš), taču šis lēmums pieņemts 2006. gadā, kad situācija pasaulē bija citāda. Viedtālruņi vēl nebija tik moderni, un to funkcionalitāte bija ierobežota, turklāt “</w:t>
      </w:r>
      <w:proofErr w:type="spellStart"/>
      <w:r>
        <w:rPr>
          <w:rFonts w:ascii="Times New Roman" w:hAnsi="Times New Roman"/>
        </w:rPr>
        <w:t>Facebook</w:t>
      </w:r>
      <w:proofErr w:type="spellEnd"/>
      <w:r>
        <w:rPr>
          <w:rFonts w:ascii="Times New Roman" w:hAnsi="Times New Roman"/>
        </w:rPr>
        <w:t>” izmantoja galvenokārt universitāšu studenti, un “</w:t>
      </w:r>
      <w:proofErr w:type="spellStart"/>
      <w:r>
        <w:rPr>
          <w:rFonts w:ascii="Times New Roman" w:hAnsi="Times New Roman"/>
        </w:rPr>
        <w:t>Twitter</w:t>
      </w:r>
      <w:proofErr w:type="spellEnd"/>
      <w:r>
        <w:rPr>
          <w:rFonts w:ascii="Times New Roman" w:hAnsi="Times New Roman"/>
        </w:rPr>
        <w:t>” vēl bija sākuma stadijā. Pieteikuma iesniedzēji norādīja, ka pašlaik cilvēki lielu savas dzīves daļu pavada tiešsaistē, izmantojot internetu, lai sazinātos, dalītos ar idejām, veiktu pētījumus, uzsāktu attiecības, meklētu medicīniskas konsultācijas, veidotu dienasgrāmatu, organizētu ceļojumu, klausītos mūziku, orientētos konkrētā apvidū un veiktu finanšu darījumus. Turklāt modernās tehnoloģijas rada milzīgu daudzumu sakaru datu, kas ir ļoti izsmeļoši pat tad, ja saistītais saturs netiek pārbaudīts, un ir strukturēti tā, lai datori tos varētu apstrādāt un meklēt tajos sakarības ātrāk un efektīvāk, nekā veicot līdzīgu meklēšanu saturā. Piemēram, mobilie tālruņi nepārtraukti rada sakaru datus, jo tie sazinās mobilajā tīklā, veidojot tālrunī ierakstu par tā atrašanās vietu, kas ļauj sekot līdzi lietotāja kustībai un atklāt viņa interneta lietošanas paradumus.</w:t>
      </w:r>
    </w:p>
    <w:p w14:paraId="01B22B1F"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281. Pieteikuma iesniedzēju ieskatā, aktualizētajiem un uzlabotajiem drošības pasākumiem jāparedz iepriekšēja neatkarīga tiesas atļauja orderiem, selektoru izvēle un pārtvertā materiāla atlasīšana pārbaudei. Turklāt tad, kad selektori vai meklēšanas vārdi attiecas uz kādu konkrētu personu, jābūt objektīviem pierādījumiem par pamatotām šaubām saistībā ar šo personu. Visbeidzot, turpmāk ir jāpaziņo par jebkuru skaidri noteiktu uzraudzības mērķi, ja tas būtiski nekaitē sabiedrības interesēm.</w:t>
      </w:r>
    </w:p>
    <w:p w14:paraId="2B2CE5C2"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282. Pieteikuma iesniedzēji minēja vairākus Apvienotās Karalistes masveida pārtveršanas režīma elementus, kurus viņi uzskatīja par neatbilstošiem. Pirmkārt, trūkst neatkarīgas uzraudzības atļaujas, nemaz nerunājot par tiesas atļauju. Lai gan tiesas atļauja pati par sevi var nebūt pietiekams drošības pasākums pret ļaunprātīgu izmantošanu, šis apgalvojums nav pamats secinājumam, ka šāda atļauja nav nepieciešams drošības pasākums. Turklāt pieteikuma iesniedzēji uzskatīja, ka </w:t>
      </w:r>
      <w:proofErr w:type="spellStart"/>
      <w:r>
        <w:rPr>
          <w:rFonts w:ascii="Times New Roman" w:hAnsi="Times New Roman"/>
          <w:i/>
          <w:iCs/>
        </w:rPr>
        <w:t>GCHQ</w:t>
      </w:r>
      <w:proofErr w:type="spellEnd"/>
      <w:r>
        <w:rPr>
          <w:rFonts w:ascii="Times New Roman" w:hAnsi="Times New Roman"/>
        </w:rPr>
        <w:t xml:space="preserve"> izmantotajiem selektoriem un meklēšanas vārdiem ir jābūt neatkarīgai, ja pat ne tiesas, atļaujai. Tomēr orderī nebija norādīti ne pārtveramie nesēji, ne spēcīgie selektori.</w:t>
      </w:r>
    </w:p>
    <w:p w14:paraId="7476FE5F"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283. Otrkārt, atšķirība starp iekšējiem un ārējiem sakariem ir ne tikai nepietiekami definēta, bet arī bezjēdzīga, jo vairums sakaru, visticamāk, tiks ierindoti “ārējā” kategorijā. Pieteikuma iesniedzēju ieskatā būtu bijis iespējams nodrošināt daudz jēgpilnāku iekšējo saziņas aktu satura aizsardzību. Piemēram, Zviedrijā viss iekšējo saziņas aktu saturs ir nekavējoties jāiznīcina, tiklīdz tas tiek atklāts.</w:t>
      </w:r>
    </w:p>
    <w:p w14:paraId="14096A84"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284. Treškārt, ir pieejami ierobežoti drošības pasākumi to personu sakaru saturam, par kurām zināms, ka tās atrodas Britu salās, un attiecībā uz viņu saistītajiem sakaru datiem nav praktiski nekādu drošības pasākumu. </w:t>
      </w:r>
      <w:proofErr w:type="spellStart"/>
      <w:r>
        <w:rPr>
          <w:rFonts w:ascii="Times New Roman" w:hAnsi="Times New Roman"/>
          <w:i/>
          <w:iCs/>
        </w:rPr>
        <w:t>GCHQ</w:t>
      </w:r>
      <w:proofErr w:type="spellEnd"/>
      <w:r>
        <w:rPr>
          <w:rFonts w:ascii="Times New Roman" w:hAnsi="Times New Roman"/>
        </w:rPr>
        <w:t xml:space="preserve"> varēja saglabāt visus saistīto sakaru datus, kas iegūti masveida pārtveršanas režīma ietvaros, ievērojot vienīgi ierobežojumus attiecībā uz uzglabāšanas apjomu un maksimālo saglabāšanas periodu. Šos datus, kas bija ļoti aizskaroši, varēja meklēt pēc faktora, kas attiecas uz kādu personu, par kuru zināms, ka tā atrodas Britu salās, bez jebkādas prasības par to, lai valsts sekretārs vispirms apliecina, ka meklēšana ir nepieciešama un samērīga.</w:t>
      </w:r>
    </w:p>
    <w:p w14:paraId="484801ED"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lastRenderedPageBreak/>
        <w:t>285. Ceturtkārt, režīms – ne tiesību aktos, ne detalizēti – neprecizēja, kādam nolūkam materiālu varētu pārbaudīt, un saskaņā ar Parlamenta Izlūkošanas un drošības komiteju (turpmāk tekstā – “</w:t>
      </w:r>
      <w:proofErr w:type="spellStart"/>
      <w:r>
        <w:rPr>
          <w:rFonts w:ascii="Times New Roman" w:hAnsi="Times New Roman"/>
          <w:i/>
          <w:iCs/>
        </w:rPr>
        <w:t>ISC</w:t>
      </w:r>
      <w:proofErr w:type="spellEnd"/>
      <w:r>
        <w:rPr>
          <w:rFonts w:ascii="Times New Roman" w:hAnsi="Times New Roman"/>
        </w:rPr>
        <w:t>”) materiāla apraksts valsts sekretāra apliecinājumā bija “vispārīgs”.</w:t>
      </w:r>
    </w:p>
    <w:p w14:paraId="0D7EAEE0" w14:textId="77777777" w:rsidR="00F82F2D" w:rsidRDefault="00F82F2D" w:rsidP="00F82F2D">
      <w:pPr>
        <w:pStyle w:val="JuPara"/>
        <w:widowControl w:val="0"/>
        <w:ind w:firstLine="142"/>
        <w:rPr>
          <w:rFonts w:ascii="Times New Roman" w:hAnsi="Times New Roman"/>
          <w:noProof/>
        </w:rPr>
      </w:pPr>
      <w:r>
        <w:rPr>
          <w:rFonts w:ascii="Times New Roman" w:hAnsi="Times New Roman"/>
        </w:rPr>
        <w:t xml:space="preserve">286. Visbeidzot, pieteikuma iesniedzēji apgalvoja, ka </w:t>
      </w:r>
      <w:proofErr w:type="spellStart"/>
      <w:r>
        <w:rPr>
          <w:rFonts w:ascii="Times New Roman" w:hAnsi="Times New Roman"/>
          <w:i/>
          <w:iCs/>
        </w:rPr>
        <w:t>IC</w:t>
      </w:r>
      <w:proofErr w:type="spellEnd"/>
      <w:r>
        <w:rPr>
          <w:rFonts w:ascii="Times New Roman" w:hAnsi="Times New Roman"/>
        </w:rPr>
        <w:t xml:space="preserve"> komisārs veica tikai daļēju pārraudzību un ka ar ierobežotiem resursiem nav spējis garantēt jēgpilnu un stabilu pārraudzību. Arī </w:t>
      </w:r>
      <w:proofErr w:type="spellStart"/>
      <w:r>
        <w:rPr>
          <w:rFonts w:ascii="Times New Roman" w:hAnsi="Times New Roman"/>
          <w:i/>
          <w:iCs/>
        </w:rPr>
        <w:t>IPT</w:t>
      </w:r>
      <w:proofErr w:type="spellEnd"/>
      <w:r>
        <w:rPr>
          <w:rFonts w:ascii="Times New Roman" w:hAnsi="Times New Roman"/>
        </w:rPr>
        <w:t xml:space="preserve"> efektivitāte bija ierobežota, jo tā nevarēja nodrošināt tiesiskās aizsardzības līdzekli saistībā ar iepriekšējas tiesas atļaujas </w:t>
      </w:r>
      <w:proofErr w:type="spellStart"/>
      <w:r>
        <w:rPr>
          <w:rFonts w:ascii="Times New Roman" w:hAnsi="Times New Roman"/>
        </w:rPr>
        <w:t>neesību</w:t>
      </w:r>
      <w:proofErr w:type="spellEnd"/>
      <w:r>
        <w:rPr>
          <w:rFonts w:ascii="Times New Roman" w:hAnsi="Times New Roman"/>
        </w:rPr>
        <w:t xml:space="preserve"> un jebkurā gadījumā personām bija jābūt zināmam pamatam uzskatīt, ka tās ir bijušas pakļautas slepenai uzraudzībai, pirms </w:t>
      </w:r>
      <w:proofErr w:type="spellStart"/>
      <w:r>
        <w:rPr>
          <w:rFonts w:ascii="Times New Roman" w:hAnsi="Times New Roman"/>
          <w:i/>
          <w:iCs/>
        </w:rPr>
        <w:t>IPT</w:t>
      </w:r>
      <w:proofErr w:type="spellEnd"/>
      <w:r>
        <w:rPr>
          <w:rFonts w:ascii="Times New Roman" w:hAnsi="Times New Roman"/>
        </w:rPr>
        <w:t xml:space="preserve"> pieņemtu viņu sūdzības.</w:t>
      </w:r>
    </w:p>
    <w:p w14:paraId="50078FAE" w14:textId="77777777" w:rsidR="00F82F2D" w:rsidRPr="008D031E" w:rsidRDefault="00F82F2D" w:rsidP="00F82F2D">
      <w:pPr>
        <w:pStyle w:val="JuPara"/>
        <w:widowControl w:val="0"/>
        <w:ind w:firstLine="142"/>
        <w:rPr>
          <w:rFonts w:ascii="Times New Roman" w:hAnsi="Times New Roman"/>
          <w:noProof/>
          <w:lang w:val="en-US"/>
        </w:rPr>
      </w:pPr>
    </w:p>
    <w:p w14:paraId="4D1FEAEA" w14:textId="77777777" w:rsidR="00F82F2D" w:rsidRDefault="00F82F2D" w:rsidP="00F82F2D">
      <w:pPr>
        <w:pStyle w:val="JuHa0"/>
        <w:keepNext w:val="0"/>
        <w:keepLines w:val="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b) Valdība</w:t>
      </w:r>
    </w:p>
    <w:p w14:paraId="5C83F1A4" w14:textId="77777777" w:rsidR="00F82F2D" w:rsidRPr="003324DC" w:rsidRDefault="00F82F2D" w:rsidP="00F82F2D">
      <w:pPr>
        <w:pStyle w:val="JuPara"/>
        <w:widowControl w:val="0"/>
        <w:rPr>
          <w:lang w:val="en-US"/>
        </w:rPr>
      </w:pPr>
    </w:p>
    <w:p w14:paraId="4CDA0A3A"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287. Valdība uzskatīja, ka masveida pārtveršanas režīmā iegūtā informācija bija ļoti svarīga, lai aizsargātu Apvienoto Karalisti pret draudiem valsts drošībai. Tā ļāva ne tikai atklāt līdz šim nezināmus draudus, bet arī uzraudzīt zināmus mērķus ārpus teritoriālās jurisdikcijas. Elektronisko sakaru pārraides kanāla </w:t>
      </w:r>
      <w:proofErr w:type="spellStart"/>
      <w:r>
        <w:rPr>
          <w:rFonts w:ascii="Times New Roman" w:hAnsi="Times New Roman"/>
        </w:rPr>
        <w:t>neparedzamība</w:t>
      </w:r>
      <w:proofErr w:type="spellEnd"/>
      <w:r>
        <w:rPr>
          <w:rFonts w:ascii="Times New Roman" w:hAnsi="Times New Roman"/>
        </w:rPr>
        <w:t xml:space="preserve"> (un fakts, ka šie sakari bija sadalīti paketēs, ko var pārraidīt pa dažādiem kanāliem) nozīmēja to, ka, lai iegūtu pat nelielu daļu no ārvalstīs esošo zināmo mērķu sakariem, bija jāpārtver visi sakari, kas plūst caur vairākiem izvēlētiem nesējiem. Pēdējos gados vairākas neatkarīgas struktūras ir detalizēti un atkārtoti apsvērušas masveida pārtveršanas pilnvaras, un bija vienprātība par to, ka neviena “alternatīva” (..) “vai alternatīvu kombinācija nebūtu pietiekama, lai aizstātu masveida pārtveršanas pilnvaras kā nepieciešamo </w:t>
      </w:r>
      <w:proofErr w:type="spellStart"/>
      <w:r>
        <w:rPr>
          <w:rFonts w:ascii="Times New Roman" w:hAnsi="Times New Roman"/>
        </w:rPr>
        <w:t>izlūkdatu</w:t>
      </w:r>
      <w:proofErr w:type="spellEnd"/>
      <w:r>
        <w:rPr>
          <w:rFonts w:ascii="Times New Roman" w:hAnsi="Times New Roman"/>
        </w:rPr>
        <w:t xml:space="preserve"> iegūšanas metodi”. Valdība norādīja, ka valstīm pamatoti jāpiešķir plaša rīcības brīvība, izvērtējot, kādas sistēmas ir nepieciešamas, lai aizsargātu sabiedrību pret draudiem, un ka, pakļaujot šīs sistēmas pārbaudei, Tiesai jānodrošina, ka netiek apdraudēta tāda līdzekļa efektivitāte, ar ko iegūst dzīvībai svarīgus </w:t>
      </w:r>
      <w:proofErr w:type="spellStart"/>
      <w:r>
        <w:rPr>
          <w:rFonts w:ascii="Times New Roman" w:hAnsi="Times New Roman"/>
        </w:rPr>
        <w:t>izlūkdatus</w:t>
      </w:r>
      <w:proofErr w:type="spellEnd"/>
      <w:r>
        <w:rPr>
          <w:rFonts w:ascii="Times New Roman" w:hAnsi="Times New Roman"/>
        </w:rPr>
        <w:t>, ko nevarētu iegūt nekādā citā veidā.</w:t>
      </w:r>
    </w:p>
    <w:p w14:paraId="63C73141" w14:textId="77777777" w:rsidR="00F82F2D" w:rsidRPr="008D031E" w:rsidRDefault="00F82F2D" w:rsidP="00F82F2D">
      <w:pPr>
        <w:pStyle w:val="JuPara"/>
        <w:widowControl w:val="0"/>
        <w:ind w:firstLine="142"/>
        <w:rPr>
          <w:rFonts w:ascii="Times New Roman" w:hAnsi="Times New Roman"/>
          <w:noProof/>
        </w:rPr>
      </w:pPr>
      <w:bookmarkStart w:id="212" w:name="amorphous"/>
      <w:r>
        <w:rPr>
          <w:rFonts w:ascii="Times New Roman" w:hAnsi="Times New Roman"/>
        </w:rPr>
        <w:t>288</w:t>
      </w:r>
      <w:bookmarkEnd w:id="212"/>
      <w:r>
        <w:rPr>
          <w:rFonts w:ascii="Times New Roman" w:hAnsi="Times New Roman"/>
        </w:rPr>
        <w:t>. Valdība apgalvoja, ka sakaru pārtveršana masveida pārtveršanas režīmā būtu radījusi jēgpilnu iejaukšanos personas tiesībās, kas noteiktas 8. pantā, vienīgi tad, ja tās sakari būtu atlasīti pārbaudei (proti, iekļauti to sakaru sarakstā, no kuriem analītiķis varētu izvēlēties pārbaudāmās vienības) vai ja analītiķis tos patiešām pārbaudītu. Nevarētu apgalvot, ka personas tiesības būtu pārkāptas apmērā, kas pārsniedz minimālo apmēru, ja sakaru kopiju vai nu atmestu gandrīz reāllaikā, vai arī saglabātu vispārīgā datu “amorfā veidojumā” ne ilgāk kā dažas dienas, citiem vārdiem sakot, ja sakarus meklētu, izmantojot selektorus un vaicājumus, bet nepārbaudītu vai neizmantotu. Milzīgo sakaru apjomu, kas plūst pa katru pārtverto kabeli, nevarētu “atlasīt pārbaudei”, līdz ar to tas būtu jāatmet.</w:t>
      </w:r>
    </w:p>
    <w:p w14:paraId="6BB970D0" w14:textId="77777777" w:rsidR="00F82F2D" w:rsidRPr="008D031E" w:rsidRDefault="00F82F2D" w:rsidP="00F82F2D">
      <w:pPr>
        <w:pStyle w:val="JuPara"/>
        <w:widowControl w:val="0"/>
        <w:ind w:firstLine="142"/>
        <w:rPr>
          <w:rFonts w:ascii="Times New Roman" w:hAnsi="Times New Roman"/>
          <w:noProof/>
        </w:rPr>
      </w:pPr>
      <w:bookmarkStart w:id="213" w:name="GovIndex"/>
      <w:r>
        <w:rPr>
          <w:rFonts w:ascii="Times New Roman" w:hAnsi="Times New Roman"/>
        </w:rPr>
        <w:t>289</w:t>
      </w:r>
      <w:bookmarkEnd w:id="213"/>
      <w:r>
        <w:rPr>
          <w:rFonts w:ascii="Times New Roman" w:hAnsi="Times New Roman"/>
        </w:rPr>
        <w:t xml:space="preserve">. Attiecībā uz nepieciešamajiem drošības pasākumiem Valdība piekrita palātai, ka bija pareizi izvērtēt masveida pārtveršanas režīmu, atsaucoties uz tiem pašiem standartiem, ko bija izstrādājusi Tiesa lietās, kas attiecas uz sakaru mērķētu pārtveršanu. Valdība arī lielākoties piekrita 8. panta 4. punktā noteiktā režīma </w:t>
      </w:r>
      <w:proofErr w:type="spellStart"/>
      <w:r>
        <w:rPr>
          <w:rFonts w:ascii="Times New Roman" w:hAnsi="Times New Roman"/>
        </w:rPr>
        <w:t>izvērtējumam</w:t>
      </w:r>
      <w:proofErr w:type="spellEnd"/>
      <w:r>
        <w:rPr>
          <w:rFonts w:ascii="Times New Roman" w:hAnsi="Times New Roman"/>
        </w:rPr>
        <w:t xml:space="preserve">, ko palāta bija veikusi, atsaucoties uz šiem standartiem. Tā atkārtoti uzsvēra, ka analītiķis nevarēja izskatīt nekādu saziņas aktu saturu, ja un līdz tas netika atlasīts pārbaudei pēc automātiskā filtrēšanas procesa; atlasīšana un visas tai sekojošās pārbaudes tika ļoti rūpīgi kontrolētas; par saziņas aktu saturu vai sakaru datiem nevarēja sagatavot nevienu izlūkošanas ziņojumu, ja vien tos nebija pārskatījis analītiķis; saskaņā ar </w:t>
      </w:r>
      <w:r>
        <w:rPr>
          <w:rFonts w:ascii="Times New Roman" w:hAnsi="Times New Roman"/>
          <w:i/>
          <w:iCs/>
        </w:rPr>
        <w:t>RIPA</w:t>
      </w:r>
      <w:r>
        <w:rPr>
          <w:rFonts w:ascii="Times New Roman" w:hAnsi="Times New Roman"/>
        </w:rPr>
        <w:t xml:space="preserve"> 16. panta 2. punktu valsts sekretāram bija pienākums apliecināt sakaru satura meklēšanas nepieciešamību un samērīgumu atbilstoši faktoram, kas attiecas uz kādu personu, par kuru zināms, ka tā atrodas Britu salās, un </w:t>
      </w:r>
      <w:proofErr w:type="spellStart"/>
      <w:r>
        <w:rPr>
          <w:rFonts w:ascii="Times New Roman" w:hAnsi="Times New Roman"/>
          <w:i/>
          <w:iCs/>
        </w:rPr>
        <w:t>ISC</w:t>
      </w:r>
      <w:proofErr w:type="spellEnd"/>
      <w:r>
        <w:rPr>
          <w:rFonts w:ascii="Times New Roman" w:hAnsi="Times New Roman"/>
        </w:rPr>
        <w:t xml:space="preserve">, </w:t>
      </w:r>
      <w:proofErr w:type="spellStart"/>
      <w:r>
        <w:rPr>
          <w:rFonts w:ascii="Times New Roman" w:hAnsi="Times New Roman"/>
          <w:i/>
          <w:iCs/>
        </w:rPr>
        <w:t>IC</w:t>
      </w:r>
      <w:proofErr w:type="spellEnd"/>
      <w:r>
        <w:rPr>
          <w:rFonts w:ascii="Times New Roman" w:hAnsi="Times New Roman"/>
        </w:rPr>
        <w:t xml:space="preserve"> komisāra un </w:t>
      </w:r>
      <w:proofErr w:type="spellStart"/>
      <w:r>
        <w:rPr>
          <w:rFonts w:ascii="Times New Roman" w:hAnsi="Times New Roman"/>
          <w:i/>
          <w:iCs/>
        </w:rPr>
        <w:t>IPT</w:t>
      </w:r>
      <w:proofErr w:type="spellEnd"/>
      <w:r>
        <w:rPr>
          <w:rFonts w:ascii="Times New Roman" w:hAnsi="Times New Roman"/>
        </w:rPr>
        <w:t xml:space="preserve"> apvienotās pārraudzības funkcijas atbilda Konvencijas prasībām. Piemērojamie drošības pasākumi visos masveida pārtveršanas procesa posmos bija balstīti uz Konvencijā noteiktajiem nepieciešamības un proporcionalitātes principiem. Šie pamatprincipi regulēja materiāla iegūšanu, pārbaudi, izmantošanu, uzglabāšanu, izpaušanu, saglabāšanu un dzēšanu.</w:t>
      </w:r>
    </w:p>
    <w:p w14:paraId="4429D279" w14:textId="77777777" w:rsidR="00F82F2D" w:rsidRPr="008D031E" w:rsidRDefault="00F82F2D" w:rsidP="00F82F2D">
      <w:pPr>
        <w:pStyle w:val="JuPara"/>
        <w:widowControl w:val="0"/>
        <w:ind w:firstLine="142"/>
        <w:rPr>
          <w:rFonts w:ascii="Times New Roman" w:hAnsi="Times New Roman"/>
          <w:noProof/>
        </w:rPr>
      </w:pPr>
      <w:bookmarkStart w:id="214" w:name="GovBearers"/>
      <w:r>
        <w:rPr>
          <w:rFonts w:ascii="Times New Roman" w:hAnsi="Times New Roman"/>
        </w:rPr>
        <w:lastRenderedPageBreak/>
        <w:t>290</w:t>
      </w:r>
      <w:bookmarkEnd w:id="214"/>
      <w:r>
        <w:rPr>
          <w:rFonts w:ascii="Times New Roman" w:hAnsi="Times New Roman"/>
        </w:rPr>
        <w:t xml:space="preserve">. Attiecībā uz tiem režīma aspektiem, kuri pēc palātas uzskatiem nenodrošināja atbilstošus drošības pasākumus pret ļaunprātīgu izmantošanu, Valdība sniedza papildu precizējumus. Pirmkārt, lai gan tā atzina, ka orderī nebija precizēti atsevišķi izraudzītie nesēji, jo šīs informācijas iekļaušana orderī būtu ļoti nepraktiska un sarežģīta, tajā tomēr bija aprakstīta pārtveršanas gaita un pārtveramo nesēju veidi. </w:t>
      </w:r>
      <w:proofErr w:type="spellStart"/>
      <w:r>
        <w:rPr>
          <w:rFonts w:ascii="Times New Roman" w:hAnsi="Times New Roman"/>
          <w:i/>
          <w:iCs/>
        </w:rPr>
        <w:t>GCHQ</w:t>
      </w:r>
      <w:proofErr w:type="spellEnd"/>
      <w:r>
        <w:rPr>
          <w:rFonts w:ascii="Times New Roman" w:hAnsi="Times New Roman"/>
        </w:rPr>
        <w:t xml:space="preserve"> regulāri informēja </w:t>
      </w:r>
      <w:proofErr w:type="spellStart"/>
      <w:r>
        <w:rPr>
          <w:rFonts w:ascii="Times New Roman" w:hAnsi="Times New Roman"/>
          <w:i/>
          <w:iCs/>
        </w:rPr>
        <w:t>IC</w:t>
      </w:r>
      <w:proofErr w:type="spellEnd"/>
      <w:r>
        <w:rPr>
          <w:rFonts w:ascii="Times New Roman" w:hAnsi="Times New Roman"/>
        </w:rPr>
        <w:t xml:space="preserve"> komisāru par pamatu, atbilstoši kuram nesējus atlasīja pārtveršanai.</w:t>
      </w:r>
    </w:p>
    <w:p w14:paraId="137C4FFD" w14:textId="77777777" w:rsidR="00F82F2D" w:rsidRPr="008D031E" w:rsidRDefault="00F82F2D" w:rsidP="00F82F2D">
      <w:pPr>
        <w:pStyle w:val="JuPara"/>
        <w:widowControl w:val="0"/>
        <w:ind w:firstLine="142"/>
        <w:rPr>
          <w:rFonts w:ascii="Times New Roman" w:hAnsi="Times New Roman"/>
          <w:noProof/>
        </w:rPr>
      </w:pPr>
      <w:bookmarkStart w:id="215" w:name="GovSel1"/>
      <w:r>
        <w:rPr>
          <w:rFonts w:ascii="Times New Roman" w:hAnsi="Times New Roman"/>
        </w:rPr>
        <w:t>291</w:t>
      </w:r>
      <w:bookmarkEnd w:id="215"/>
      <w:r>
        <w:rPr>
          <w:rFonts w:ascii="Times New Roman" w:hAnsi="Times New Roman"/>
        </w:rPr>
        <w:t xml:space="preserve">. Otrkārt, tā precizēja, ka selektoru izvēle patiesībā ir rūpīgi kontrolēta. Ik reizi, kad sistēmai pievienoja kādu jaunu selektoru, to veicošajam analītiķim bija jāizveido rakstveida ieraksts, paskaidrojot, kādēļ selektora piemērošana valsts sekretāra apliecinājumā norādītajos nolūkos ir nepieciešama un samērīga. To veica, atlasot tekstu no nolaižamās izvēlnes, pēc kā analītiķis pievienoja tekstu brīvā formā, paskaidrojot, kādēļ meklēšana bija nepieciešama un samērīga. “Spēcīga selektora” gadījumā analītiķim bija jāpaskaidro, piemēram, pamatojums kāda konkrēta mērķa sakaru meklēšanai, kā arī tas, kā selektors ir saistīts ar saziņas mērķa metodi un kādēļ attiecīgo sakaru atlasīšana neradītu nevēlamu netiešu iejaukšanos personas tiesībās uz privātās dzīves neaizskaramību. Jauna “kompleksa vaicājuma” gadījumā analītiķim bija jāizstrādā atlases kritēriji, lai, visticamāk, noteiktu vērtīgus </w:t>
      </w:r>
      <w:proofErr w:type="spellStart"/>
      <w:r>
        <w:rPr>
          <w:rFonts w:ascii="Times New Roman" w:hAnsi="Times New Roman"/>
        </w:rPr>
        <w:t>izlūkdatus</w:t>
      </w:r>
      <w:proofErr w:type="spellEnd"/>
      <w:r>
        <w:rPr>
          <w:rFonts w:ascii="Times New Roman" w:hAnsi="Times New Roman"/>
        </w:rPr>
        <w:t xml:space="preserve"> saturošus sakarus, un tāpat jāpaskaidro, kādēļ kritēriji bija pamatoti un kādēļ to izmantošana valsts sekretāra apliecinājumā norādītajos nolūkos būtu nepieciešama un samērīga. Mērķa izveidei vai atklāšanai izmantotos selektorus varēja lietot ne ilgāk kā trīs mēnešus, pēc tam tie bija jāpārskata.</w:t>
      </w:r>
    </w:p>
    <w:p w14:paraId="23156332" w14:textId="77777777" w:rsidR="00F82F2D" w:rsidRPr="008D031E" w:rsidRDefault="00F82F2D" w:rsidP="00F82F2D">
      <w:pPr>
        <w:pStyle w:val="JuPara"/>
        <w:widowControl w:val="0"/>
        <w:ind w:firstLine="142"/>
        <w:rPr>
          <w:rFonts w:ascii="Times New Roman" w:hAnsi="Times New Roman"/>
          <w:noProof/>
        </w:rPr>
      </w:pPr>
      <w:bookmarkStart w:id="216" w:name="GovSel2"/>
      <w:r>
        <w:rPr>
          <w:rFonts w:ascii="Times New Roman" w:hAnsi="Times New Roman"/>
        </w:rPr>
        <w:t>292</w:t>
      </w:r>
      <w:bookmarkEnd w:id="216"/>
      <w:r>
        <w:rPr>
          <w:rFonts w:ascii="Times New Roman" w:hAnsi="Times New Roman"/>
        </w:rPr>
        <w:t xml:space="preserve">. Ikvienam selektoram bija jābūt pēc iespējas specifiskākam, lai izvēlētos minimālo materiālu, kas nepieciešams izlūkošanas nolūkam, un tam bija jābūt samērīgam. Ja analizēšanas gaitā tika konstatēts, ka selektorus neizmanto tiem paredzētais mērķis, nekavējoties bija jāveic attiecīgie pasākumi, lai dzēstu selektorus no attiecīgajām sistēmām. Selektoru izmantošana bija jāreģistrē kādā apstiprinātā vietā, kurā tos varēja pārbaudīt un izveidot meklējamu izmantojamo selektoru ierakstu un kurā </w:t>
      </w:r>
      <w:proofErr w:type="spellStart"/>
      <w:r>
        <w:rPr>
          <w:rFonts w:ascii="Times New Roman" w:hAnsi="Times New Roman"/>
          <w:i/>
          <w:iCs/>
        </w:rPr>
        <w:t>IC</w:t>
      </w:r>
      <w:proofErr w:type="spellEnd"/>
      <w:r>
        <w:rPr>
          <w:rFonts w:ascii="Times New Roman" w:hAnsi="Times New Roman"/>
        </w:rPr>
        <w:t xml:space="preserve"> komisārs tos varēja pārraudzīt. Līdz ar to</w:t>
      </w:r>
      <w:r>
        <w:rPr>
          <w:rFonts w:ascii="Times New Roman" w:hAnsi="Times New Roman"/>
          <w:i/>
          <w:iCs/>
        </w:rPr>
        <w:t xml:space="preserve"> </w:t>
      </w:r>
      <w:proofErr w:type="spellStart"/>
      <w:r>
        <w:rPr>
          <w:rFonts w:ascii="Times New Roman" w:hAnsi="Times New Roman"/>
          <w:i/>
          <w:iCs/>
        </w:rPr>
        <w:t>IC</w:t>
      </w:r>
      <w:proofErr w:type="spellEnd"/>
      <w:r>
        <w:rPr>
          <w:rFonts w:ascii="Times New Roman" w:hAnsi="Times New Roman"/>
        </w:rPr>
        <w:t xml:space="preserve"> komisārs bija pilnvarots veikt selektoru un meklēšanas kritēriju vispārīgu neatkarīgu pārraudzību, proti, līdz 2014. gada ziņojuma izveidei viņš bija konkrēti ieviesis sistēmas un procesus, lai nodrošinātu, ka šāda pārraudzība patiešām tiek īstenota, un pēc palātas sprieduma pasludināšanas Valdība bija sadarbojusies ar </w:t>
      </w:r>
      <w:proofErr w:type="spellStart"/>
      <w:r>
        <w:rPr>
          <w:rFonts w:ascii="Times New Roman" w:hAnsi="Times New Roman"/>
          <w:i/>
          <w:iCs/>
        </w:rPr>
        <w:t>IC</w:t>
      </w:r>
      <w:proofErr w:type="spellEnd"/>
      <w:r>
        <w:rPr>
          <w:rFonts w:ascii="Times New Roman" w:hAnsi="Times New Roman"/>
        </w:rPr>
        <w:t xml:space="preserve"> komisāra biroju, lai nodrošinātu, ka tiks uzlabota selektoru un meklēšanas kritēriju pārraudzība saskaņā ar </w:t>
      </w:r>
      <w:proofErr w:type="spellStart"/>
      <w:r>
        <w:rPr>
          <w:rFonts w:ascii="Times New Roman" w:hAnsi="Times New Roman"/>
          <w:i/>
          <w:iCs/>
        </w:rPr>
        <w:t>IPA</w:t>
      </w:r>
      <w:proofErr w:type="spellEnd"/>
      <w:r>
        <w:rPr>
          <w:rFonts w:ascii="Times New Roman" w:hAnsi="Times New Roman"/>
        </w:rPr>
        <w:t xml:space="preserve">. Tomēr Valdība apgalvoja, ka iepriekšēju tiesas atļauju nebūtu bijis iespējams sniegt attiecībā uz katru selektoru, būtiski nemainot to spēju atklāt un novērst draudus. </w:t>
      </w:r>
      <w:proofErr w:type="spellStart"/>
      <w:r>
        <w:rPr>
          <w:rFonts w:ascii="Times New Roman" w:hAnsi="Times New Roman"/>
          <w:i/>
          <w:iCs/>
        </w:rPr>
        <w:t>GCHQ</w:t>
      </w:r>
      <w:proofErr w:type="spellEnd"/>
      <w:r>
        <w:rPr>
          <w:rFonts w:ascii="Times New Roman" w:hAnsi="Times New Roman"/>
        </w:rPr>
        <w:t xml:space="preserve"> sistēmās bija jāiekļauj daudzi tūkstoši selektoru, kuri dažkārt bija strauji jāmaina, lai sekotu līdzi straujā tempā notiekošajai izmeklēšanai un draudu atklāšanai.</w:t>
      </w:r>
    </w:p>
    <w:p w14:paraId="068B372E" w14:textId="77777777" w:rsidR="00F82F2D" w:rsidRPr="008D031E" w:rsidRDefault="00F82F2D" w:rsidP="00F82F2D">
      <w:pPr>
        <w:pStyle w:val="JuPara"/>
        <w:widowControl w:val="0"/>
        <w:ind w:firstLine="142"/>
        <w:rPr>
          <w:rFonts w:ascii="Times New Roman" w:hAnsi="Times New Roman"/>
          <w:noProof/>
        </w:rPr>
      </w:pPr>
      <w:bookmarkStart w:id="217" w:name="GovSel3"/>
      <w:r>
        <w:rPr>
          <w:rFonts w:ascii="Times New Roman" w:hAnsi="Times New Roman"/>
        </w:rPr>
        <w:t>293</w:t>
      </w:r>
      <w:bookmarkEnd w:id="217"/>
      <w:r>
        <w:rPr>
          <w:rFonts w:ascii="Times New Roman" w:hAnsi="Times New Roman"/>
        </w:rPr>
        <w:t xml:space="preserve">. Saziņas aktu saturs, kam piemēroja vienīgi “spēcīgo selektoru” procesu, nekavējoties tika atmests, ja vien tas neatbilda spēcīgajam selektoram. Savukārt sakari, kam piemēroja arī “kompleksā vaicājuma” procesu, tika saglabāti vairākas dienas, lai nodrošinātu procesa norisi, un pēc tam automātiski dzēsti, ja vien tie netika atlasīti pārbaudei. Saziņas aktu saturu, ko atlasīja pārbaudei, varēja saglabāt vienīgi tad, kad tas bija nepieciešami un samērīgi. Standarta nosacījums bija tāds, ka atlasīto sakaru saglabāšanas periods nepārsniedz dažus mēnešus, pēc šā laika perioda sakari tika automātiski dzēsti (lai gan tad, kad materiāls bija minēts izlūkošanas ziņojumā, šis ziņojums tika saglabāts). Izņēmuma kārtā varēja uzsākt lietu, lai saglabātu atlasītos sakarus ilgāku laiku, nekā to paredz </w:t>
      </w:r>
      <w:proofErr w:type="spellStart"/>
      <w:r>
        <w:rPr>
          <w:rFonts w:ascii="Times New Roman" w:hAnsi="Times New Roman"/>
          <w:i/>
          <w:iCs/>
        </w:rPr>
        <w:t>IC</w:t>
      </w:r>
      <w:proofErr w:type="spellEnd"/>
      <w:r>
        <w:rPr>
          <w:rFonts w:ascii="Times New Roman" w:hAnsi="Times New Roman"/>
        </w:rPr>
        <w:t xml:space="preserve"> kodekss.</w:t>
      </w:r>
    </w:p>
    <w:p w14:paraId="25D0942A"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294. Valdība uzsvēra, ka jebkuram analītiķim, kurš pārbaudīja atlasīto materiālu, bija jābūt īpaši pilnvarotam šādi rīkoties un viņš regulāri piedalījās obligātajās mācībās, tostarp saistībā ar prasībām par nepieciešamību un samērīgumu. Šiem analītiķiem veica arī drošības pārbaudes. Pirms materiāla pārbaudes viņiem bija jāizveido ieraksts, pamatojot, kādēļ piekļuve materiālam ir nepieciešama, kādēļ tā atbilst valsts sekretāra apliecinājumam un </w:t>
      </w:r>
      <w:r>
        <w:rPr>
          <w:rFonts w:ascii="Times New Roman" w:hAnsi="Times New Roman"/>
          <w:i/>
          <w:iCs/>
        </w:rPr>
        <w:t>RIPA</w:t>
      </w:r>
      <w:r>
        <w:rPr>
          <w:rFonts w:ascii="Times New Roman" w:hAnsi="Times New Roman"/>
        </w:rPr>
        <w:t xml:space="preserve"> prasībām un kādēļ tā ir samērīga (tostarp minot jebkurus apstākļus, kas, visticamāk, var radīt zināmu netiešu </w:t>
      </w:r>
      <w:r>
        <w:rPr>
          <w:rFonts w:ascii="Times New Roman" w:hAnsi="Times New Roman"/>
        </w:rPr>
        <w:lastRenderedPageBreak/>
        <w:t xml:space="preserve">iejaukšanos personas tiesībās uz privātās dzīves neaizskaramību). Piekļuve šim materiālam </w:t>
      </w:r>
      <w:proofErr w:type="spellStart"/>
      <w:r>
        <w:rPr>
          <w:rFonts w:ascii="Times New Roman" w:hAnsi="Times New Roman"/>
          <w:i/>
          <w:iCs/>
        </w:rPr>
        <w:t>GCHQ</w:t>
      </w:r>
      <w:proofErr w:type="spellEnd"/>
      <w:r>
        <w:rPr>
          <w:rFonts w:ascii="Times New Roman" w:hAnsi="Times New Roman"/>
        </w:rPr>
        <w:t xml:space="preserve"> sistēmas bija liegta, kamēr nebija izveidots šāds ieraksts.</w:t>
      </w:r>
    </w:p>
    <w:p w14:paraId="4DD0C86D"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295. Attiecībā uz drošības pasākumiem saistībā ar sakaru datiem Valdība apgalvoja, ka vairuma </w:t>
      </w:r>
      <w:proofErr w:type="spellStart"/>
      <w:r>
        <w:rPr>
          <w:rFonts w:ascii="Times New Roman" w:hAnsi="Times New Roman"/>
        </w:rPr>
        <w:t>sensitīvo</w:t>
      </w:r>
      <w:proofErr w:type="spellEnd"/>
      <w:r>
        <w:rPr>
          <w:rFonts w:ascii="Times New Roman" w:hAnsi="Times New Roman"/>
        </w:rPr>
        <w:t xml:space="preserve"> un privāto sakaru pārbaude vienmēr radīja lielāku iejaukšanos nekā saistīto sakaru datu pārbaude neatkarīgi no tā, vai šie dati bija apkopoti, lai sniegtu detalizētu priekšstatu par personas atrašanās vietu, tās apmeklētajām tīmekļa vietnēm vai personām, ar kurām tā izvēlas sazināties. Tādēļ bija lietderīgi, lai saturu reglamentējošie noteikumi būtu stingrāki par saistītos sakaru datus reglamentējošajiem noteikumiem. Tomēr Valdība piekrita, ka valsts sekretāram ir jāapliecina ar sakaru datiem saistītās pārbaudes nepieciešamība atbilstoši masveida pārtveršanas orderim, ievērojot režīmu, kas ir analogs (bet ne identisks) apliecinājuma režīmam, kurš ieviests attiecībā uz sakaru saturu saskaņā ar </w:t>
      </w:r>
      <w:r>
        <w:rPr>
          <w:rFonts w:ascii="Times New Roman" w:hAnsi="Times New Roman"/>
          <w:i/>
          <w:iCs/>
        </w:rPr>
        <w:t>RIPA</w:t>
      </w:r>
      <w:r>
        <w:rPr>
          <w:rFonts w:ascii="Times New Roman" w:hAnsi="Times New Roman"/>
        </w:rPr>
        <w:t xml:space="preserve"> 16. pantu. Šādā nolūkā bija jāgroza jaunais prakses kodekss.</w:t>
      </w:r>
    </w:p>
    <w:p w14:paraId="5DA5EE23" w14:textId="77777777" w:rsidR="00F82F2D" w:rsidRPr="008D031E" w:rsidRDefault="00F82F2D" w:rsidP="00F82F2D">
      <w:pPr>
        <w:pStyle w:val="JuPara"/>
        <w:widowControl w:val="0"/>
        <w:ind w:firstLine="142"/>
        <w:rPr>
          <w:rFonts w:ascii="Times New Roman" w:hAnsi="Times New Roman"/>
          <w:noProof/>
        </w:rPr>
      </w:pPr>
      <w:bookmarkStart w:id="218" w:name="GovCDDiff1"/>
      <w:r>
        <w:rPr>
          <w:rFonts w:ascii="Times New Roman" w:hAnsi="Times New Roman"/>
        </w:rPr>
        <w:t>296</w:t>
      </w:r>
      <w:bookmarkEnd w:id="218"/>
      <w:r>
        <w:rPr>
          <w:rFonts w:ascii="Times New Roman" w:hAnsi="Times New Roman"/>
        </w:rPr>
        <w:t xml:space="preserve">. Tomēr līdz tam brīdim sakaru datiem piemēroja to pašu filtrēšanas procesu kā saturam, ar kuru </w:t>
      </w:r>
      <w:proofErr w:type="spellStart"/>
      <w:r>
        <w:rPr>
          <w:rFonts w:ascii="Times New Roman" w:hAnsi="Times New Roman"/>
          <w:i/>
          <w:iCs/>
        </w:rPr>
        <w:t>GCHQ</w:t>
      </w:r>
      <w:proofErr w:type="spellEnd"/>
      <w:r>
        <w:rPr>
          <w:rFonts w:ascii="Times New Roman" w:hAnsi="Times New Roman"/>
        </w:rPr>
        <w:t xml:space="preserve"> apstrādes sistēmas automātiski atmeta noteikta veida sakarus gandrīz reāllaikā. Pēc tam tiem automātiski piemēroja vienkāršus vai kompleksus vaicājumus. Tomēr starp satura un saistīto sakaru datu apstrādi bija divas galvenās atšķirības. Pirmkārt, 16. pantā noteiktie drošības pasākumi, kuri paredzēja, ka, lai veiktu materiāla pārbaudi, tam bija jābūt norādītam valsts sekretāra apliecinājumā un to nevarēja atlasīt atbilstoši faktoram, kas attiecināms uz kādu personu, par kuru zināms, ka tā attiecīgajā brīdī atrodas Britu salās, un kuru nolūks bija apzināt šīs personas sakarus, attiecās vienīgi uz saturu. Valdība apgalvoja, ka šā drošības pasākuma piemērošana saistītajiem sakaru datiem nebūtu praktiska. Ievērojami vairāk vaicājumu tika piemēroti sakaru datiem (pat vairāki tūkstoši vienas nedēļas laikā), un daudzos gadījumos tās personas identitāte, uz kuru dati varēja attiekties, nebija zināma. Turklāt saistīto sakaru datu gadījumā bieži vien liela nozīme ir laikam, un, ja šādu datu meklēšana būtu jāatliek, kamēr nav saņemta atsevišķas iestādes piekrišana, izlūkošanas ziņā tiktu nopietni apdraudēta šo datu lietderība. Iespējams, ka katrā atsevišķajā gadījumā pirms meklēšanas uzsākšanas nebūtu iespējams lūgt valsts sekretāru apliecināt meklēšanas nepieciešamību un samērīgumu.</w:t>
      </w:r>
    </w:p>
    <w:p w14:paraId="41ADAE2C" w14:textId="77777777" w:rsidR="00F82F2D" w:rsidRPr="008D031E" w:rsidRDefault="00F82F2D" w:rsidP="00F82F2D">
      <w:pPr>
        <w:pStyle w:val="JuPara"/>
        <w:widowControl w:val="0"/>
        <w:ind w:firstLine="142"/>
        <w:rPr>
          <w:rFonts w:ascii="Times New Roman" w:hAnsi="Times New Roman"/>
          <w:noProof/>
        </w:rPr>
      </w:pPr>
      <w:bookmarkStart w:id="219" w:name="GovCDDiff2"/>
      <w:r>
        <w:rPr>
          <w:rFonts w:ascii="Times New Roman" w:hAnsi="Times New Roman"/>
        </w:rPr>
        <w:t>297</w:t>
      </w:r>
      <w:bookmarkEnd w:id="219"/>
      <w:r>
        <w:rPr>
          <w:rFonts w:ascii="Times New Roman" w:hAnsi="Times New Roman"/>
        </w:rPr>
        <w:t xml:space="preserve">. Otrkārt, saistītie sakaru dati, kurus neatlasīja pārbaudei, netika nekavējoties atmesti. Galvenais iemesls tam bija tāds, ka sakaru datus lielā mērā izmantoja, lai atklātu draudus vai mērķus, kuri </w:t>
      </w:r>
      <w:proofErr w:type="spellStart"/>
      <w:r>
        <w:rPr>
          <w:rFonts w:ascii="Times New Roman" w:hAnsi="Times New Roman"/>
          <w:i/>
          <w:iCs/>
        </w:rPr>
        <w:t>GCHQ</w:t>
      </w:r>
      <w:proofErr w:type="spellEnd"/>
      <w:r>
        <w:rPr>
          <w:rFonts w:ascii="Times New Roman" w:hAnsi="Times New Roman"/>
        </w:rPr>
        <w:t xml:space="preserve"> iepriekš, iespējams, nebija zināmi. Līdz ar to bija jāveic analītiskāks darbs ilgākā laika periodā, lai atklātu “vēl nezināmo”. Lai veiktu šādu atklāšanu, bieži vien atsevišķas nelielas sakaru datu vienības tika liktas kopā, lai izveidotu veselu “kompozīciju”, tādējādi atklājot draudus, un šī atklāšana varēja ietvert arī tādu vienību pārbaudi, par kurām sākumā tika uzskatīts, ka tām nav izlūkošanas vērtības. Atmetot neatlasītus sakaru datu nekavējoties vai tikai pēc dažām dienām, nebūtu iespējams veikt iepriekš minētās darbības.</w:t>
      </w:r>
    </w:p>
    <w:p w14:paraId="3EFFB8AF" w14:textId="77777777" w:rsidR="00F82F2D" w:rsidRPr="008D031E" w:rsidRDefault="00F82F2D" w:rsidP="00F82F2D">
      <w:pPr>
        <w:pStyle w:val="JuPara"/>
        <w:widowControl w:val="0"/>
        <w:ind w:firstLine="142"/>
        <w:rPr>
          <w:rFonts w:ascii="Times New Roman" w:hAnsi="Times New Roman"/>
          <w:noProof/>
        </w:rPr>
      </w:pPr>
      <w:bookmarkStart w:id="220" w:name="GovCD"/>
      <w:r>
        <w:rPr>
          <w:rFonts w:ascii="Times New Roman" w:hAnsi="Times New Roman"/>
        </w:rPr>
        <w:t>298</w:t>
      </w:r>
      <w:bookmarkEnd w:id="220"/>
      <w:r>
        <w:rPr>
          <w:rFonts w:ascii="Times New Roman" w:hAnsi="Times New Roman"/>
        </w:rPr>
        <w:t xml:space="preserve">. Tomēr Valdība apstiprināja, ka, pirms jebkurš analītiķis vispār varēja pārbaudīt sakaru datus, viņam bija jāizveido ieraksts, paskaidrojot, kādēļ pārbaude ir nepieciešama un samērīga, pildot likumā noteiktās </w:t>
      </w:r>
      <w:proofErr w:type="spellStart"/>
      <w:r>
        <w:rPr>
          <w:rFonts w:ascii="Times New Roman" w:hAnsi="Times New Roman"/>
          <w:i/>
          <w:iCs/>
        </w:rPr>
        <w:t>GCHQ</w:t>
      </w:r>
      <w:proofErr w:type="spellEnd"/>
      <w:r>
        <w:rPr>
          <w:rFonts w:ascii="Times New Roman" w:hAnsi="Times New Roman"/>
        </w:rPr>
        <w:t xml:space="preserve"> funkcijas. Pēc tam tika izveidots pārbaudāms ieraksts, kurā norādīts pārbaudes pamatojums, un šie ieraksti bija pieejami pārbaudei. Turklāt nevienu izlūkošanas ziņojumu nevarēja sagatavot, pamatojoties uz sakaru datiem, ja un kamēr tie nebija pārbaudīti. Visbeidzot, saistītos sakaru datus varēja saglabāt vienīgi tad, kad to saglabāšana bija nepieciešama un samērīga, un ne ilgāk kā dažus mēnešus, ja vien izņēmuma kārtā tie nebija jāsaglabā ilgāk. Pretējā gadījumā saistītie sakaru dati pēc maksimālā laika perioda apritēšanas tika automātiski dzēsti.</w:t>
      </w:r>
    </w:p>
    <w:p w14:paraId="735CDE39" w14:textId="77777777" w:rsidR="00F82F2D" w:rsidRDefault="00F82F2D" w:rsidP="00F82F2D">
      <w:pPr>
        <w:pStyle w:val="JuPara"/>
        <w:widowControl w:val="0"/>
        <w:ind w:firstLine="142"/>
        <w:rPr>
          <w:rFonts w:ascii="Times New Roman" w:hAnsi="Times New Roman"/>
          <w:noProof/>
        </w:rPr>
      </w:pPr>
      <w:r>
        <w:rPr>
          <w:rFonts w:ascii="Times New Roman" w:hAnsi="Times New Roman"/>
        </w:rPr>
        <w:t>299. Visbeidzot, ņemot vērā palātas spriedumu, Valdība apstiprināja, ka tā veica pasākumus, lai nodrošinātu, ka tad, kad ar saturu nesaistītus datus paredzēts atlasīt pārbaudei, atsaucoties uz personu, par kuru zināms, ka tā atrodas Britu salās, valsts sekretāram šī atlase jāapliecina kā nepieciešama un samērīga, pamatojoties uz atsevišķo jomu. Kamēr nebija ieviests “atsevišķai jomai” atbilstošs apliecināšanas režīms, veicot izmaiņas kodeksā, kas reglamentē sakaru pārtveršanu saskaņā ar</w:t>
      </w:r>
      <w:r>
        <w:rPr>
          <w:rFonts w:ascii="Times New Roman" w:hAnsi="Times New Roman"/>
          <w:i/>
          <w:iCs/>
        </w:rPr>
        <w:t xml:space="preserve"> </w:t>
      </w:r>
      <w:proofErr w:type="spellStart"/>
      <w:r>
        <w:rPr>
          <w:rFonts w:ascii="Times New Roman" w:hAnsi="Times New Roman"/>
          <w:i/>
          <w:iCs/>
        </w:rPr>
        <w:t>IPA</w:t>
      </w:r>
      <w:proofErr w:type="spellEnd"/>
      <w:r>
        <w:rPr>
          <w:rFonts w:ascii="Times New Roman" w:hAnsi="Times New Roman"/>
        </w:rPr>
        <w:t xml:space="preserve">, </w:t>
      </w:r>
      <w:proofErr w:type="spellStart"/>
      <w:r>
        <w:rPr>
          <w:rFonts w:ascii="Times New Roman" w:hAnsi="Times New Roman"/>
          <w:i/>
          <w:iCs/>
        </w:rPr>
        <w:t>GCHQ</w:t>
      </w:r>
      <w:proofErr w:type="spellEnd"/>
      <w:r>
        <w:rPr>
          <w:rFonts w:ascii="Times New Roman" w:hAnsi="Times New Roman"/>
        </w:rPr>
        <w:t xml:space="preserve"> sadarbojās ar </w:t>
      </w:r>
      <w:proofErr w:type="spellStart"/>
      <w:r>
        <w:rPr>
          <w:rFonts w:ascii="Times New Roman" w:hAnsi="Times New Roman"/>
          <w:i/>
          <w:iCs/>
        </w:rPr>
        <w:t>IC</w:t>
      </w:r>
      <w:proofErr w:type="spellEnd"/>
      <w:r>
        <w:rPr>
          <w:rFonts w:ascii="Times New Roman" w:hAnsi="Times New Roman"/>
        </w:rPr>
        <w:t xml:space="preserve"> komisāra biroju, lai izstrādātu pārvaldības </w:t>
      </w:r>
      <w:r>
        <w:rPr>
          <w:rFonts w:ascii="Times New Roman" w:hAnsi="Times New Roman"/>
        </w:rPr>
        <w:lastRenderedPageBreak/>
        <w:t xml:space="preserve">informāciju, ko </w:t>
      </w:r>
      <w:proofErr w:type="spellStart"/>
      <w:r>
        <w:rPr>
          <w:rFonts w:ascii="Times New Roman" w:hAnsi="Times New Roman"/>
          <w:i/>
          <w:iCs/>
        </w:rPr>
        <w:t>IC</w:t>
      </w:r>
      <w:proofErr w:type="spellEnd"/>
      <w:r>
        <w:rPr>
          <w:rFonts w:ascii="Times New Roman" w:hAnsi="Times New Roman"/>
        </w:rPr>
        <w:t xml:space="preserve"> komisārs varētu izmantot, lai uzlabotu saistīto sakaru datu </w:t>
      </w:r>
      <w:proofErr w:type="spellStart"/>
      <w:r>
        <w:rPr>
          <w:rFonts w:ascii="Times New Roman" w:hAnsi="Times New Roman"/>
          <w:i/>
          <w:iCs/>
        </w:rPr>
        <w:t>ex</w:t>
      </w:r>
      <w:proofErr w:type="spellEnd"/>
      <w:r>
        <w:rPr>
          <w:rFonts w:ascii="Times New Roman" w:hAnsi="Times New Roman"/>
          <w:i/>
          <w:iCs/>
        </w:rPr>
        <w:t> post </w:t>
      </w:r>
      <w:proofErr w:type="spellStart"/>
      <w:r>
        <w:rPr>
          <w:rFonts w:ascii="Times New Roman" w:hAnsi="Times New Roman"/>
          <w:i/>
          <w:iCs/>
        </w:rPr>
        <w:t>facto</w:t>
      </w:r>
      <w:proofErr w:type="spellEnd"/>
      <w:r>
        <w:rPr>
          <w:rFonts w:ascii="Times New Roman" w:hAnsi="Times New Roman"/>
        </w:rPr>
        <w:t xml:space="preserve"> pārraudzību. Proti, </w:t>
      </w:r>
      <w:proofErr w:type="spellStart"/>
      <w:r>
        <w:rPr>
          <w:rFonts w:ascii="Times New Roman" w:hAnsi="Times New Roman"/>
          <w:i/>
          <w:iCs/>
        </w:rPr>
        <w:t>GCHQ</w:t>
      </w:r>
      <w:proofErr w:type="spellEnd"/>
      <w:r>
        <w:rPr>
          <w:rFonts w:ascii="Times New Roman" w:hAnsi="Times New Roman"/>
        </w:rPr>
        <w:t xml:space="preserve"> bija veikusi izmaiņas savās sistēmās, lai gadījumos, kad analītiķis grasījās atlasīt sekundāros datus pārbaudei saistībā ar personu, par kuru tika uzskatīts, ka tā atrodas Britu salās, atsaucoties uz faktoru, kas attiecas uz šo personu, šis gadījums tiktu atzīmēts līdzās attiecīgo datu atlasīšanas pamatojumam.</w:t>
      </w:r>
    </w:p>
    <w:p w14:paraId="4CC629F1" w14:textId="77777777" w:rsidR="00F82F2D" w:rsidRPr="008D031E" w:rsidRDefault="00F82F2D" w:rsidP="00F82F2D">
      <w:pPr>
        <w:pStyle w:val="JuPara"/>
        <w:widowControl w:val="0"/>
        <w:ind w:firstLine="142"/>
        <w:rPr>
          <w:rFonts w:ascii="Times New Roman" w:hAnsi="Times New Roman"/>
          <w:noProof/>
          <w:lang w:val="en-US"/>
        </w:rPr>
      </w:pPr>
    </w:p>
    <w:p w14:paraId="6943D87E" w14:textId="77777777" w:rsidR="00F82F2D" w:rsidRDefault="00F82F2D" w:rsidP="001405BF">
      <w:pPr>
        <w:pStyle w:val="JuH1"/>
        <w:widowControl w:val="0"/>
        <w:numPr>
          <w:ilvl w:val="0"/>
          <w:numId w:val="0"/>
        </w:numPr>
        <w:spacing w:before="0" w:beforeAutospacing="0" w:after="0"/>
        <w:outlineLvl w:val="9"/>
        <w:rPr>
          <w:rFonts w:ascii="Times New Roman" w:hAnsi="Times New Roman"/>
          <w:noProof/>
        </w:rPr>
      </w:pPr>
      <w:r>
        <w:rPr>
          <w:rFonts w:ascii="Times New Roman" w:hAnsi="Times New Roman"/>
        </w:rPr>
        <w:t>3. Trešās personas argumenti</w:t>
      </w:r>
    </w:p>
    <w:p w14:paraId="6AD540B9" w14:textId="77777777" w:rsidR="00F82F2D" w:rsidRPr="003324DC" w:rsidRDefault="00F82F2D" w:rsidP="001405BF">
      <w:pPr>
        <w:pStyle w:val="JuPara"/>
        <w:keepNext/>
        <w:keepLines/>
        <w:widowControl w:val="0"/>
        <w:rPr>
          <w:lang w:val="en-US"/>
        </w:rPr>
      </w:pPr>
    </w:p>
    <w:p w14:paraId="1220E914" w14:textId="77777777" w:rsidR="00F82F2D" w:rsidRDefault="00F82F2D" w:rsidP="001405BF">
      <w:pPr>
        <w:pStyle w:val="JuHa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a) Francijas valdība</w:t>
      </w:r>
    </w:p>
    <w:p w14:paraId="139A5F16" w14:textId="77777777" w:rsidR="00F82F2D" w:rsidRPr="003324DC" w:rsidRDefault="00F82F2D" w:rsidP="001405BF">
      <w:pPr>
        <w:pStyle w:val="JuPara"/>
        <w:keepNext/>
        <w:keepLines/>
        <w:widowControl w:val="0"/>
        <w:rPr>
          <w:lang w:val="en-US"/>
        </w:rPr>
      </w:pPr>
    </w:p>
    <w:p w14:paraId="243E9906" w14:textId="77777777" w:rsidR="00F82F2D" w:rsidRPr="008D031E" w:rsidRDefault="00F82F2D" w:rsidP="001405BF">
      <w:pPr>
        <w:pStyle w:val="JuPara"/>
        <w:keepNext/>
        <w:keepLines/>
        <w:widowControl w:val="0"/>
        <w:ind w:firstLine="142"/>
        <w:rPr>
          <w:rFonts w:ascii="Times New Roman" w:hAnsi="Times New Roman"/>
          <w:noProof/>
        </w:rPr>
      </w:pPr>
      <w:bookmarkStart w:id="221" w:name="FranceVitalImportance"/>
      <w:r>
        <w:rPr>
          <w:rFonts w:ascii="Times New Roman" w:hAnsi="Times New Roman"/>
        </w:rPr>
        <w:t>300</w:t>
      </w:r>
      <w:bookmarkEnd w:id="221"/>
      <w:r>
        <w:rPr>
          <w:rFonts w:ascii="Times New Roman" w:hAnsi="Times New Roman"/>
        </w:rPr>
        <w:t xml:space="preserve">. Francijas valdība norādīja, ka, ņemot vērā tādus draudus kā starptautiskā un pārrobežu noziedzība, kā arī sakaru tehnoloģiju pieaugošo sarežģītību, sakaru stratēģiskā masveida novērošana valstīm ir ļoti svarīga, aizsargājot demokrātisku sabiedrību. Turklāt bija nepareizi pieņemt, ka masveida pārtveršana rada lielāku iejaukšanos personas tiesībās uz privātās dzīves neaizskaramību nekā mērķēta pārtveršana, kas pēc savas būtības, visticamāk, būtu par pamatu lielāka apjoma personas sakaru iegūšanai un pārbaudei. Tās ieskatā nebija iemesla, kādēļ kritērijus, ko Tiesa izklāstījusi lietā “Vēbera un </w:t>
      </w:r>
      <w:proofErr w:type="spellStart"/>
      <w:r>
        <w:rPr>
          <w:rFonts w:ascii="Times New Roman" w:hAnsi="Times New Roman"/>
        </w:rPr>
        <w:t>Sarāvija</w:t>
      </w:r>
      <w:proofErr w:type="spellEnd"/>
      <w:r>
        <w:rPr>
          <w:rFonts w:ascii="Times New Roman" w:hAnsi="Times New Roman"/>
        </w:rPr>
        <w:t xml:space="preserve">” (minēta iepriekš), nevarētu uzskatīt par vienlīdz svarīgiem datu pārtveršanas un apstrādes efektīvai pārraudzībai masveida pārtveršanas režīma ietvaros. Tomēr šie kritēriji jāpiemēro vispārējā </w:t>
      </w:r>
      <w:proofErr w:type="spellStart"/>
      <w:r>
        <w:rPr>
          <w:rFonts w:ascii="Times New Roman" w:hAnsi="Times New Roman"/>
        </w:rPr>
        <w:t>izvērtējuma</w:t>
      </w:r>
      <w:proofErr w:type="spellEnd"/>
      <w:r>
        <w:rPr>
          <w:rFonts w:ascii="Times New Roman" w:hAnsi="Times New Roman"/>
        </w:rPr>
        <w:t xml:space="preserve"> kontekstā, izvērtējot visus trūkumus attiecībā pret pašreizējām garantijām un drošības pasākumu efektivitāti pret ļaunprātīgu izmantošanu.</w:t>
      </w:r>
    </w:p>
    <w:p w14:paraId="10814057"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301. Nebija pamatojuma pievienot šiem kritērijiem nosacījumu par “pamatotām aizdomām”. Iestādes parasti nevar iepriekš zināt, kuru personu elektroniskos sakarus tām varētu būt lietderīgi pārraudzīt likuma un kārtības vai valsts drošības interesēs, un ar šādu prasību jebkuras uzraudzības pasākuma operatīvās intereses būtu neefektīvas. Turklāt Valdības ieskatā tiesu iestādei nebija jāiesaistās šādu izlūkošanas operāciju atļaušanā vai jāveic </w:t>
      </w:r>
      <w:proofErr w:type="spellStart"/>
      <w:r>
        <w:rPr>
          <w:rFonts w:ascii="Times New Roman" w:hAnsi="Times New Roman"/>
          <w:i/>
          <w:iCs/>
        </w:rPr>
        <w:t>ex</w:t>
      </w:r>
      <w:proofErr w:type="spellEnd"/>
      <w:r>
        <w:rPr>
          <w:rFonts w:ascii="Times New Roman" w:hAnsi="Times New Roman"/>
          <w:i/>
          <w:iCs/>
        </w:rPr>
        <w:t> post </w:t>
      </w:r>
      <w:proofErr w:type="spellStart"/>
      <w:r>
        <w:rPr>
          <w:rFonts w:ascii="Times New Roman" w:hAnsi="Times New Roman"/>
          <w:i/>
          <w:iCs/>
        </w:rPr>
        <w:t>facto</w:t>
      </w:r>
      <w:proofErr w:type="spellEnd"/>
      <w:r>
        <w:rPr>
          <w:rFonts w:ascii="Times New Roman" w:hAnsi="Times New Roman"/>
          <w:i/>
          <w:iCs/>
        </w:rPr>
        <w:t xml:space="preserve"> </w:t>
      </w:r>
      <w:r>
        <w:rPr>
          <w:rFonts w:ascii="Times New Roman" w:hAnsi="Times New Roman"/>
        </w:rPr>
        <w:t>kontrole ar nosacījumu, ka pilnvarojošā iestāde ir neatkarīga no izpildvaras, pārraudzības iestādei ir piešķirtas pietiekamas pilnvaras un kompetence īstenot efektīvu un nepārtrauktu kontroli un abas iestādes ir viena no otras neatkarīgas.</w:t>
      </w:r>
    </w:p>
    <w:p w14:paraId="498E162F" w14:textId="77777777" w:rsidR="00F82F2D" w:rsidRDefault="00F82F2D" w:rsidP="00F82F2D">
      <w:pPr>
        <w:pStyle w:val="JuPara"/>
        <w:widowControl w:val="0"/>
        <w:ind w:firstLine="142"/>
        <w:rPr>
          <w:rFonts w:ascii="Times New Roman" w:hAnsi="Times New Roman"/>
          <w:noProof/>
        </w:rPr>
      </w:pPr>
      <w:r>
        <w:rPr>
          <w:rFonts w:ascii="Times New Roman" w:hAnsi="Times New Roman"/>
        </w:rPr>
        <w:t xml:space="preserve">302. Visbeidzot, Valdība, kas iestājusies lietā, apgalvoja, ka metadati pēc savas būtības ir mazāk aizskaroši nekā saturs, jo tie nepārprotami satur mazāk </w:t>
      </w:r>
      <w:proofErr w:type="spellStart"/>
      <w:r>
        <w:rPr>
          <w:rFonts w:ascii="Times New Roman" w:hAnsi="Times New Roman"/>
        </w:rPr>
        <w:t>sensitīvas</w:t>
      </w:r>
      <w:proofErr w:type="spellEnd"/>
      <w:r>
        <w:rPr>
          <w:rFonts w:ascii="Times New Roman" w:hAnsi="Times New Roman"/>
        </w:rPr>
        <w:t xml:space="preserve"> informācijas par attiecīgās personas uzvedību un privāto dzīvi. Šī nostāja tika atbalstīta Venēcijas komisijas ziņojumā (skat. iepriekš 196.–201. punktu), un tai piekrita </w:t>
      </w:r>
      <w:proofErr w:type="spellStart"/>
      <w:r>
        <w:rPr>
          <w:rFonts w:ascii="Times New Roman" w:hAnsi="Times New Roman"/>
        </w:rPr>
        <w:t>EST</w:t>
      </w:r>
      <w:proofErr w:type="spellEnd"/>
      <w:r>
        <w:rPr>
          <w:rFonts w:ascii="Times New Roman" w:hAnsi="Times New Roman"/>
        </w:rPr>
        <w:t xml:space="preserve"> spriedumā lietā “</w:t>
      </w:r>
      <w:proofErr w:type="spellStart"/>
      <w:r>
        <w:rPr>
          <w:rFonts w:ascii="Times New Roman" w:hAnsi="Times New Roman"/>
        </w:rPr>
        <w:t>Digital</w:t>
      </w:r>
      <w:proofErr w:type="spellEnd"/>
      <w:r>
        <w:rPr>
          <w:rFonts w:ascii="Times New Roman" w:hAnsi="Times New Roman"/>
        </w:rPr>
        <w:t xml:space="preserve"> </w:t>
      </w:r>
      <w:proofErr w:type="spellStart"/>
      <w:r>
        <w:rPr>
          <w:rFonts w:ascii="Times New Roman" w:hAnsi="Times New Roman"/>
        </w:rPr>
        <w:t>Rights</w:t>
      </w:r>
      <w:proofErr w:type="spellEnd"/>
      <w:r>
        <w:rPr>
          <w:rFonts w:ascii="Times New Roman" w:hAnsi="Times New Roman"/>
        </w:rPr>
        <w:t xml:space="preserve"> </w:t>
      </w:r>
      <w:proofErr w:type="spellStart"/>
      <w:r>
        <w:rPr>
          <w:rFonts w:ascii="Times New Roman" w:hAnsi="Times New Roman"/>
        </w:rPr>
        <w:t>Ireland</w:t>
      </w:r>
      <w:proofErr w:type="spellEnd"/>
      <w:r>
        <w:rPr>
          <w:rFonts w:ascii="Times New Roman" w:hAnsi="Times New Roman"/>
        </w:rPr>
        <w:t>” (skat. iepriekš 209.–213. punktu).</w:t>
      </w:r>
    </w:p>
    <w:p w14:paraId="6AF5D4F9" w14:textId="77777777" w:rsidR="00F82F2D" w:rsidRPr="008D031E" w:rsidRDefault="00F82F2D" w:rsidP="00F82F2D">
      <w:pPr>
        <w:pStyle w:val="JuPara"/>
        <w:widowControl w:val="0"/>
        <w:ind w:firstLine="142"/>
        <w:rPr>
          <w:rFonts w:ascii="Times New Roman" w:hAnsi="Times New Roman"/>
          <w:noProof/>
          <w:lang w:val="en-US"/>
        </w:rPr>
      </w:pPr>
    </w:p>
    <w:p w14:paraId="73F854BB" w14:textId="77777777" w:rsidR="00F82F2D" w:rsidRDefault="00F82F2D" w:rsidP="00F82F2D">
      <w:pPr>
        <w:pStyle w:val="JuHa0"/>
        <w:keepNext w:val="0"/>
        <w:keepLines w:val="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b) Nīderlandes Karalistes valdība</w:t>
      </w:r>
    </w:p>
    <w:p w14:paraId="18D788F1" w14:textId="77777777" w:rsidR="00F82F2D" w:rsidRPr="003324DC" w:rsidRDefault="00F82F2D" w:rsidP="00F82F2D">
      <w:pPr>
        <w:pStyle w:val="JuPara"/>
        <w:widowControl w:val="0"/>
        <w:rPr>
          <w:lang w:val="en-US"/>
        </w:rPr>
      </w:pPr>
    </w:p>
    <w:p w14:paraId="1FAD3488" w14:textId="77777777" w:rsidR="00F82F2D" w:rsidRPr="008D031E" w:rsidRDefault="00F82F2D" w:rsidP="00F82F2D">
      <w:pPr>
        <w:pStyle w:val="JuPara"/>
        <w:widowControl w:val="0"/>
        <w:ind w:firstLine="142"/>
        <w:rPr>
          <w:rFonts w:ascii="Times New Roman" w:hAnsi="Times New Roman"/>
          <w:noProof/>
        </w:rPr>
      </w:pPr>
      <w:bookmarkStart w:id="222" w:name="NetherlandsVitalImportance"/>
      <w:r>
        <w:rPr>
          <w:rFonts w:ascii="Times New Roman" w:hAnsi="Times New Roman"/>
        </w:rPr>
        <w:t>303</w:t>
      </w:r>
      <w:bookmarkEnd w:id="222"/>
      <w:r>
        <w:rPr>
          <w:rFonts w:ascii="Times New Roman" w:hAnsi="Times New Roman"/>
        </w:rPr>
        <w:t xml:space="preserve">. Arī Nīderlandes Karalistes valdība apgalvoja, ka masveida pārtveršana ir nepieciešama, lai apzinātu līdz šim nezināmus draudus valsts drošībai. Lai aizsargātu valsts drošību, izlūkdienestiem ir nepieciešami līdzekļi, lai savlaicīgi un efektīvi izmeklētu jaunus draudus. Šim nolūkam tiem ir nepieciešamas pilnvaras, kas tiem ļautu atklāt un/vai novērst ne tikai teroristu darbības (piemēram, uzbrukumu plānošanu, vervēšanu, propagandu un finansēšanu), bet arī aizskarošas valsts vai nevalstisko dalībnieku </w:t>
      </w:r>
      <w:proofErr w:type="spellStart"/>
      <w:r>
        <w:rPr>
          <w:rFonts w:ascii="Times New Roman" w:hAnsi="Times New Roman"/>
        </w:rPr>
        <w:t>kiberdarbības</w:t>
      </w:r>
      <w:proofErr w:type="spellEnd"/>
      <w:r>
        <w:rPr>
          <w:rFonts w:ascii="Times New Roman" w:hAnsi="Times New Roman"/>
        </w:rPr>
        <w:t xml:space="preserve">, kuru mērķis ir traucēt demokrātisko kārtību (piemēram, ietekmējot valsts vēlēšanas vai kavējot valsts un starptautisko organizāciju veiktās izmeklēšanas. Kā vienu no piemēriem var minēt Hāgas Ķīmisko ieroču aizliegšanas organizācijas centienus uzlauzt lietas par ķīmisko ieroču izmantošanu Sīrijā). Turklāt svarīgo nozaru pieaugošā atkarība no digitālajām infrastruktūrām nozīmēja, ka šādas nozares, tostarp ūdenssaimniecība, enerģētika, telekomunikācijas, transports, loģistika, ostas un lidostas, kļūst arvien neaizsargātākas pret kiberuzbrukumiem. Šādu traucējumu sekas šajās nozarēs uz sabiedrību radītu spēcīgu ietekmi, kas būtu daudzkārt spēcīgāka par būtisku </w:t>
      </w:r>
      <w:r>
        <w:rPr>
          <w:rFonts w:ascii="Times New Roman" w:hAnsi="Times New Roman"/>
        </w:rPr>
        <w:lastRenderedPageBreak/>
        <w:t>kaitējumu naudas izteiksmē.</w:t>
      </w:r>
    </w:p>
    <w:p w14:paraId="52C51AF9"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304. To visu </w:t>
      </w:r>
      <w:proofErr w:type="spellStart"/>
      <w:r>
        <w:rPr>
          <w:rFonts w:ascii="Times New Roman" w:hAnsi="Times New Roman"/>
        </w:rPr>
        <w:t>sarežģī</w:t>
      </w:r>
      <w:proofErr w:type="spellEnd"/>
      <w:r>
        <w:rPr>
          <w:rFonts w:ascii="Times New Roman" w:hAnsi="Times New Roman"/>
        </w:rPr>
        <w:t xml:space="preserve"> jaunu digitālo sakaru līdzekļu izstrāde un eksponenciāls globāli pārsūtīto un uzglabāto datu pieaugums. Daudzos gadījumos konkrēta apdraudējuma būtība un izcelsme nebija zināma un mērķēta pārtveršana nebija iespējama. Tomēr, lai gan masveida pārtveršana salīdzinājumā ar mērķētu pārtveršanu nav tik stingri definēta, tā nekad nav bijusi pilnībā nemērķēta. To drīzāk izmantoja konkrētiem mērķiem.</w:t>
      </w:r>
    </w:p>
    <w:p w14:paraId="6EA8ACED"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305. Valdība, kas iestājusies lietā, uzskatīja, ka nebija nepieciešams ieviest papildu vai aktualizētus minimālos drošības pasākumus, proti, ka Tiesas iepriekš apzinātie pasākumi bija pietiekami stabili un “ilgtspējīgi”. Palātā ierosinātās pieteikuma iesniedzēju papildu prasības, jo īpaši prasība pierādīt “pamatotas aizdomas”, nepieļaujami samazinātu izlūkdienestu efektivitāti, nenodrošinot personu </w:t>
      </w:r>
      <w:proofErr w:type="spellStart"/>
      <w:r>
        <w:rPr>
          <w:rFonts w:ascii="Times New Roman" w:hAnsi="Times New Roman"/>
        </w:rPr>
        <w:t>pamattiesību</w:t>
      </w:r>
      <w:proofErr w:type="spellEnd"/>
      <w:r>
        <w:rPr>
          <w:rFonts w:ascii="Times New Roman" w:hAnsi="Times New Roman"/>
        </w:rPr>
        <w:t xml:space="preserve"> jēgpilnu papildu aizsardzību.</w:t>
      </w:r>
    </w:p>
    <w:p w14:paraId="57FF0492"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306. Turklāt Valdība, kas iestājusies lietā, norādīja, ka joprojām ir būtiski nošķirt saturu no sakaru datiem, jo sakaru saturs, visticamāk, ir </w:t>
      </w:r>
      <w:proofErr w:type="spellStart"/>
      <w:r>
        <w:rPr>
          <w:rFonts w:ascii="Times New Roman" w:hAnsi="Times New Roman"/>
        </w:rPr>
        <w:t>sensitīvāks</w:t>
      </w:r>
      <w:proofErr w:type="spellEnd"/>
      <w:r>
        <w:rPr>
          <w:rFonts w:ascii="Times New Roman" w:hAnsi="Times New Roman"/>
        </w:rPr>
        <w:t xml:space="preserve"> nekā sakaru dati. Valdība, kas iestājusies lietā, arī piekrita palātas viedoklim, ka nebija pareizi automātiski pieņemt, ka masveida pārtveršana rada lielāku iejaukšanos personas tiesībās uz privātās dzīves neaizskaramību nekā mērķēta pārtveršana, jo bija pilnībā iespējams, ka ar mērķētu pārtveršanu būtu analizēti visi vai gandrīz visi pārtvertie sakari. Tas neattiecas uz masveida pārtveršanu tad, kad datu pārbaudes un izmantošanas ierobežojumi nosaka to, cik lielā mērā ar pārtveršanu notiek iejaukšanās personas </w:t>
      </w:r>
      <w:proofErr w:type="spellStart"/>
      <w:r>
        <w:rPr>
          <w:rFonts w:ascii="Times New Roman" w:hAnsi="Times New Roman"/>
        </w:rPr>
        <w:t>pamattiesībās</w:t>
      </w:r>
      <w:proofErr w:type="spellEnd"/>
      <w:r>
        <w:rPr>
          <w:rFonts w:ascii="Times New Roman" w:hAnsi="Times New Roman"/>
        </w:rPr>
        <w:t>.</w:t>
      </w:r>
    </w:p>
    <w:p w14:paraId="6D5F3445" w14:textId="77777777" w:rsidR="00F82F2D" w:rsidRDefault="00F82F2D" w:rsidP="00F82F2D">
      <w:pPr>
        <w:pStyle w:val="JuPara"/>
        <w:widowControl w:val="0"/>
        <w:ind w:firstLine="142"/>
        <w:rPr>
          <w:rFonts w:ascii="Times New Roman" w:hAnsi="Times New Roman"/>
          <w:noProof/>
        </w:rPr>
      </w:pPr>
      <w:bookmarkStart w:id="223" w:name="Netherlandsselectors"/>
      <w:r>
        <w:rPr>
          <w:rFonts w:ascii="Times New Roman" w:hAnsi="Times New Roman"/>
        </w:rPr>
        <w:t>307</w:t>
      </w:r>
      <w:bookmarkEnd w:id="223"/>
      <w:r>
        <w:rPr>
          <w:rFonts w:ascii="Times New Roman" w:hAnsi="Times New Roman"/>
        </w:rPr>
        <w:t xml:space="preserve">. Visbeidzot Valdība, kas iestājusies lietā, apgalvoja, ka jebkura prasība paskaidrot vai pamatot atļaujā selektorus vai meklēšanas kritērijus būtiski ierobežotu masveida pārtveršanas efektivitāti, ņemot vērā lielo nenoteiktību saistībā ar draudu avotu. </w:t>
      </w:r>
      <w:proofErr w:type="spellStart"/>
      <w:r>
        <w:rPr>
          <w:rFonts w:ascii="Times New Roman" w:hAnsi="Times New Roman"/>
          <w:i/>
          <w:iCs/>
        </w:rPr>
        <w:t>Ex</w:t>
      </w:r>
      <w:proofErr w:type="spellEnd"/>
      <w:r>
        <w:rPr>
          <w:rFonts w:ascii="Times New Roman" w:hAnsi="Times New Roman"/>
          <w:i/>
          <w:iCs/>
        </w:rPr>
        <w:t> post</w:t>
      </w:r>
      <w:r>
        <w:rPr>
          <w:rFonts w:ascii="Times New Roman" w:hAnsi="Times New Roman"/>
        </w:rPr>
        <w:t xml:space="preserve"> pārraudzība nodrošināja pietiekamus drošības pasākumus.</w:t>
      </w:r>
    </w:p>
    <w:p w14:paraId="78653618" w14:textId="77777777" w:rsidR="00F82F2D" w:rsidRPr="008D031E" w:rsidRDefault="00F82F2D" w:rsidP="00F82F2D">
      <w:pPr>
        <w:pStyle w:val="JuPara"/>
        <w:widowControl w:val="0"/>
        <w:ind w:firstLine="142"/>
        <w:rPr>
          <w:rFonts w:ascii="Times New Roman" w:hAnsi="Times New Roman"/>
          <w:noProof/>
          <w:lang w:val="en-US"/>
        </w:rPr>
      </w:pPr>
    </w:p>
    <w:p w14:paraId="5DD940CF" w14:textId="77777777" w:rsidR="00F82F2D" w:rsidRDefault="00F82F2D" w:rsidP="00F82F2D">
      <w:pPr>
        <w:pStyle w:val="JuHa0"/>
        <w:keepNext w:val="0"/>
        <w:keepLines w:val="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c) Norvēģijas Karalistes valdība</w:t>
      </w:r>
    </w:p>
    <w:p w14:paraId="72983C68" w14:textId="77777777" w:rsidR="00F82F2D" w:rsidRPr="003324DC" w:rsidRDefault="00F82F2D" w:rsidP="00F82F2D">
      <w:pPr>
        <w:pStyle w:val="JuPara"/>
        <w:widowControl w:val="0"/>
        <w:rPr>
          <w:lang w:val="en-US"/>
        </w:rPr>
      </w:pPr>
    </w:p>
    <w:p w14:paraId="5552619C" w14:textId="77777777" w:rsidR="00F82F2D" w:rsidRPr="008D031E" w:rsidRDefault="00F82F2D" w:rsidP="00F82F2D">
      <w:pPr>
        <w:pStyle w:val="JuPara"/>
        <w:widowControl w:val="0"/>
        <w:ind w:firstLine="142"/>
        <w:rPr>
          <w:rFonts w:ascii="Times New Roman" w:hAnsi="Times New Roman"/>
          <w:noProof/>
        </w:rPr>
      </w:pPr>
      <w:bookmarkStart w:id="224" w:name="Norway"/>
      <w:r>
        <w:rPr>
          <w:rFonts w:ascii="Times New Roman" w:hAnsi="Times New Roman"/>
        </w:rPr>
        <w:t>308</w:t>
      </w:r>
      <w:bookmarkEnd w:id="224"/>
      <w:r>
        <w:rPr>
          <w:rFonts w:ascii="Times New Roman" w:hAnsi="Times New Roman"/>
        </w:rPr>
        <w:t xml:space="preserve">. Norvēģijas valdība norādīja, ka attiecībā uz valstu lēmumu ieviest un izmantot noteikta veida masveida pārtveršanas režīmu valsts drošības nolūkos rīcības brīvībai ir jābūt plašai. Tas bija tādēļ, ka izlūkdienestiem jāseko līdzi straujajai attīstībai informācijas un komunikāciju tehnoloģiju jomā. Naidīgi noskaņoti dalībnieki mainīja savas ierīces un digitālo identitāti tik strauji, ka laika gaitā viņu izsekošana kļuva sarežģīta. Bija arī grūtāk savlaicīgi atklāt un novērst naidīgas </w:t>
      </w:r>
      <w:proofErr w:type="spellStart"/>
      <w:r>
        <w:rPr>
          <w:rFonts w:ascii="Times New Roman" w:hAnsi="Times New Roman"/>
        </w:rPr>
        <w:t>kiberoperācijas</w:t>
      </w:r>
      <w:proofErr w:type="spellEnd"/>
      <w:r>
        <w:rPr>
          <w:rFonts w:ascii="Times New Roman" w:hAnsi="Times New Roman"/>
        </w:rPr>
        <w:t xml:space="preserve"> bez līdzekļiem, kas spēj atklāt anomālijas un atbilstošās līdzības personas rīcībā. Līdz ar to neapšaubāmi bija nepieciešamas modernas iespējas, piemēram, masveida pārtveršana, lai atklātu nezināmus draudus digitālajā vidē un ļautu izlūkdienestiem atklāt un izsekot attiecīgos izlūkošanas draudus.</w:t>
      </w:r>
    </w:p>
    <w:p w14:paraId="54777304"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309. Norvēģijas valdība uzskatīja, ka Tiesas pārraudzībai jābalstās uz vispārēju novērtējumu par to, vai procesuālās garantijas pret ļaunprātīgu izmantošanu bija atbilstošas un pietiekamas. Tiesai ir jāizvairās no absolūtām prasībām. Tāpat tai nav jāpiemēro kritēriji, kas netieši apdraudētu valstīm piešķirto plašo rīcības brīvību, pieņemot lēmumu par masveida pārtveršanas režīma izmantošanu valsts drošības mērķiem. Šādu ietekmi radītu prasība par “pamatotām šaubām” vai “turpmāku informēšanu”.</w:t>
      </w:r>
    </w:p>
    <w:p w14:paraId="05843606" w14:textId="77777777" w:rsidR="00F82F2D" w:rsidRDefault="00F82F2D" w:rsidP="00F82F2D">
      <w:pPr>
        <w:pStyle w:val="JuPara"/>
        <w:widowControl w:val="0"/>
        <w:ind w:firstLine="142"/>
        <w:rPr>
          <w:rFonts w:ascii="Times New Roman" w:hAnsi="Times New Roman"/>
          <w:noProof/>
        </w:rPr>
      </w:pPr>
      <w:r>
        <w:rPr>
          <w:rFonts w:ascii="Times New Roman" w:hAnsi="Times New Roman"/>
        </w:rPr>
        <w:t xml:space="preserve">310. Visbeidzot Valdība, kas iesaistījusies lietā, mudināja Tiesu atturēties no </w:t>
      </w:r>
      <w:proofErr w:type="spellStart"/>
      <w:r>
        <w:rPr>
          <w:rFonts w:ascii="Times New Roman" w:hAnsi="Times New Roman"/>
        </w:rPr>
        <w:t>EST</w:t>
      </w:r>
      <w:proofErr w:type="spellEnd"/>
      <w:r>
        <w:rPr>
          <w:rFonts w:ascii="Times New Roman" w:hAnsi="Times New Roman"/>
        </w:rPr>
        <w:t xml:space="preserve"> koncepciju un kritēriju piemērošanas. Pirmkārt, attiecīgajā brīdī deviņpadsmit Eiropas Padomes līgumslēdzējas valstis nebija Eiropas Savienības dalībvalstis. Otrkārt, lai gan Konvencijai un </w:t>
      </w:r>
      <w:proofErr w:type="spellStart"/>
      <w:r>
        <w:rPr>
          <w:rFonts w:ascii="Times New Roman" w:hAnsi="Times New Roman"/>
        </w:rPr>
        <w:t>Pamattiesību</w:t>
      </w:r>
      <w:proofErr w:type="spellEnd"/>
      <w:r>
        <w:rPr>
          <w:rFonts w:ascii="Times New Roman" w:hAnsi="Times New Roman"/>
        </w:rPr>
        <w:t xml:space="preserve"> hartai ir daudz kopēju iezīmju, ir arī noteiktas atšķirības, jo īpaši Hartas 8. pants, kurā paredzētas tiesības uz personas datu aizsardzību. </w:t>
      </w:r>
      <w:proofErr w:type="spellStart"/>
      <w:r>
        <w:rPr>
          <w:rFonts w:ascii="Times New Roman" w:hAnsi="Times New Roman"/>
        </w:rPr>
        <w:t>EST</w:t>
      </w:r>
      <w:proofErr w:type="spellEnd"/>
      <w:r>
        <w:rPr>
          <w:rFonts w:ascii="Times New Roman" w:hAnsi="Times New Roman"/>
        </w:rPr>
        <w:t xml:space="preserve"> arī formulējusi “samērīgumu” atšķirīgi, izmantojot “absolūtas nepieciešamības” metodi, kas nav salīdzināma ar Tiesas izmantoto metodi.</w:t>
      </w:r>
    </w:p>
    <w:p w14:paraId="3C19484A" w14:textId="77777777" w:rsidR="00F82F2D" w:rsidRPr="008D031E" w:rsidRDefault="00F82F2D" w:rsidP="00F82F2D">
      <w:pPr>
        <w:pStyle w:val="JuPara"/>
        <w:widowControl w:val="0"/>
        <w:ind w:firstLine="0"/>
        <w:rPr>
          <w:rFonts w:ascii="Times New Roman" w:hAnsi="Times New Roman"/>
          <w:noProof/>
          <w:lang w:val="en-US"/>
        </w:rPr>
      </w:pPr>
    </w:p>
    <w:p w14:paraId="30F71CFE" w14:textId="77777777" w:rsidR="00F82F2D" w:rsidRDefault="00F82F2D" w:rsidP="009B096C">
      <w:pPr>
        <w:pStyle w:val="JuHa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lastRenderedPageBreak/>
        <w:t>d) Apvienoto Nāciju Organizācijas īpašais ziņotājs vārda brīvības jautājumos</w:t>
      </w:r>
    </w:p>
    <w:p w14:paraId="13201B83" w14:textId="77777777" w:rsidR="00F82F2D" w:rsidRPr="00A77685" w:rsidRDefault="00F82F2D" w:rsidP="009B096C">
      <w:pPr>
        <w:pStyle w:val="JuPara"/>
        <w:keepNext/>
        <w:keepLines/>
        <w:widowControl w:val="0"/>
        <w:rPr>
          <w:lang w:val="en-US"/>
        </w:rPr>
      </w:pPr>
    </w:p>
    <w:p w14:paraId="51CC1EE5" w14:textId="77777777" w:rsidR="00F82F2D" w:rsidRPr="008D031E" w:rsidRDefault="00F82F2D" w:rsidP="009B096C">
      <w:pPr>
        <w:pStyle w:val="JuPara"/>
        <w:keepNext/>
        <w:keepLines/>
        <w:widowControl w:val="0"/>
        <w:ind w:firstLine="142"/>
        <w:rPr>
          <w:rFonts w:ascii="Times New Roman" w:hAnsi="Times New Roman"/>
          <w:noProof/>
        </w:rPr>
      </w:pPr>
      <w:r>
        <w:rPr>
          <w:rFonts w:ascii="Times New Roman" w:hAnsi="Times New Roman"/>
        </w:rPr>
        <w:t>311. Īpašais ziņotājs apgalvoja, ka uzraudzība met ēnu uz sakariem, līdz ar to personas var atturēties no iesaistīšanās darbībās, kas aizsargātas ar starptautiskajām cilvēktiesību normām. Tas nenozīmē, ka visas uzraudzības operācijas pārkāpj cilvēktiesību normas, proti, dažas no tām varētu būt pieļaujamas, ja ir izpildīti likumības, nepieciešamības un leģitimitātes nosacījumi. Tomēr attiecībā uz jebkuru uzraudzību ir stingri jāizvērtē, vai šīs operācijas atbilst starptautisko cilvēktiesību normām.</w:t>
      </w:r>
    </w:p>
    <w:p w14:paraId="1ECA1AC6"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312. Īpašā ziņotāja ieskatā tiesības uz privātās dzīves neaizskaramību ir jāaizsargā ne tikai kā </w:t>
      </w:r>
      <w:proofErr w:type="spellStart"/>
      <w:r>
        <w:rPr>
          <w:rFonts w:ascii="Times New Roman" w:hAnsi="Times New Roman"/>
        </w:rPr>
        <w:t>pamattiesības</w:t>
      </w:r>
      <w:proofErr w:type="spellEnd"/>
      <w:r>
        <w:rPr>
          <w:rFonts w:ascii="Times New Roman" w:hAnsi="Times New Roman"/>
        </w:rPr>
        <w:t xml:space="preserve"> neatkarīgi no visām citām tiesībām, bet arī tādēļ, lai aizsargātu citas tiesības, piemēram, tiesības uz uzskatu un vārda brīvību, kuru īstenošana atkarīga no attiecīgās privātuma jomas. Kā īpašais ziņotājs norādījis savā 2015. gada ziņojumā, uzraudzības sistēmas var apdraudēt personas tiesības paust viedokli, jo bailes no tiešsaistes darbības izpaušanas piespiedu kārtā varētu atturēt personas no piekļuves informācijai.</w:t>
      </w:r>
    </w:p>
    <w:p w14:paraId="4A71E0C4"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313. ANO augstās komisāres ziņojumā tika ieteikts nenošķirt metadatus no satura, kad tiek izvērtēts, cik lielā mērā notika iejaukšanās </w:t>
      </w:r>
      <w:proofErr w:type="spellStart"/>
      <w:r>
        <w:rPr>
          <w:rFonts w:ascii="Times New Roman" w:hAnsi="Times New Roman"/>
          <w:i/>
          <w:iCs/>
        </w:rPr>
        <w:t>ICCPR</w:t>
      </w:r>
      <w:proofErr w:type="spellEnd"/>
      <w:r>
        <w:rPr>
          <w:rFonts w:ascii="Times New Roman" w:hAnsi="Times New Roman"/>
        </w:rPr>
        <w:t xml:space="preserve"> noteiktajās tiesībās. Viņas 2014. gada ziņojumā bija norādīts, ka metadatu apkopošana Valdības veiktās uzraudzības rezultātā par personu varētu atklāt vairāk privātās informācijas nekā privāta saziņa. Īpašais ziņotājs arī norādīja, ka iekšējo un ārējo sakaru nošķiršana var būt pretrunā ar </w:t>
      </w:r>
      <w:proofErr w:type="spellStart"/>
      <w:r>
        <w:rPr>
          <w:rFonts w:ascii="Times New Roman" w:hAnsi="Times New Roman"/>
          <w:i/>
          <w:iCs/>
        </w:rPr>
        <w:t>ICCPR</w:t>
      </w:r>
      <w:proofErr w:type="spellEnd"/>
      <w:r>
        <w:rPr>
          <w:rFonts w:ascii="Times New Roman" w:hAnsi="Times New Roman"/>
        </w:rPr>
        <w:t xml:space="preserve">. </w:t>
      </w:r>
      <w:proofErr w:type="spellStart"/>
      <w:r>
        <w:rPr>
          <w:rFonts w:ascii="Times New Roman" w:hAnsi="Times New Roman"/>
          <w:i/>
          <w:iCs/>
        </w:rPr>
        <w:t>ICCPR</w:t>
      </w:r>
      <w:proofErr w:type="spellEnd"/>
      <w:r>
        <w:rPr>
          <w:rFonts w:ascii="Times New Roman" w:hAnsi="Times New Roman"/>
        </w:rPr>
        <w:t xml:space="preserve"> uzliek valstīm par pienākumu ievērot un nodrošināt visas tajā noteiktās tiesības visām personām to jurisdikcijā, turklāt Cilvēktiesību komisija savā pēdējā vispārējā komentārā šo standartu interpretēja kā tādu, kas ietver valsts darbības, kuras tieši ietekmē tiesības ārpus tās teritorijas.</w:t>
      </w:r>
    </w:p>
    <w:p w14:paraId="0DC899F2" w14:textId="77777777" w:rsidR="00F82F2D" w:rsidRDefault="00F82F2D" w:rsidP="00F82F2D">
      <w:pPr>
        <w:pStyle w:val="JuPara"/>
        <w:widowControl w:val="0"/>
        <w:ind w:firstLine="142"/>
        <w:rPr>
          <w:rFonts w:ascii="Times New Roman" w:hAnsi="Times New Roman"/>
          <w:noProof/>
        </w:rPr>
      </w:pPr>
      <w:r>
        <w:rPr>
          <w:rFonts w:ascii="Times New Roman" w:hAnsi="Times New Roman"/>
        </w:rPr>
        <w:t>314. Visbeidzot īpašais ziņotājs uzsvēra, cik svarīgi ir drošības pasākumi, lai nodrošinātu aizsardzību pret ļaunprātīgu izmantošanu, jo īpaši nepieciešamība tiesai, tribunālam vai kādai citai tiesu iestādei pārraudzīt iejaukšanās pasākuma piemērošanu, kā arī turpmāka informēšana par uzraudzības subjektiem, informācijas publicēšana saistībā ar uzraudzības metožu un pilnvaru tvērumu un tiesības uz efektīviem tiesiskās aizsardzības līdzekļiem ļaunprātīgas izmantošanas gadījumā.</w:t>
      </w:r>
    </w:p>
    <w:p w14:paraId="63C68B1D" w14:textId="77777777" w:rsidR="00F82F2D" w:rsidRPr="008D031E" w:rsidRDefault="00F82F2D" w:rsidP="00F82F2D">
      <w:pPr>
        <w:pStyle w:val="JuPara"/>
        <w:widowControl w:val="0"/>
        <w:ind w:firstLine="142"/>
        <w:rPr>
          <w:rFonts w:ascii="Times New Roman" w:hAnsi="Times New Roman"/>
          <w:noProof/>
          <w:lang w:val="en-US"/>
        </w:rPr>
      </w:pPr>
    </w:p>
    <w:p w14:paraId="52D3CC33" w14:textId="77777777" w:rsidR="00F82F2D" w:rsidRDefault="00F82F2D" w:rsidP="00F82F2D">
      <w:pPr>
        <w:pStyle w:val="JuHa0"/>
        <w:keepNext w:val="0"/>
        <w:keepLines w:val="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 xml:space="preserve">e) “Access </w:t>
      </w:r>
      <w:proofErr w:type="spellStart"/>
      <w:r>
        <w:rPr>
          <w:rFonts w:ascii="Times New Roman" w:hAnsi="Times New Roman"/>
          <w:sz w:val="24"/>
        </w:rPr>
        <w:t>Now</w:t>
      </w:r>
      <w:proofErr w:type="spellEnd"/>
      <w:r>
        <w:rPr>
          <w:rFonts w:ascii="Times New Roman" w:hAnsi="Times New Roman"/>
          <w:sz w:val="24"/>
        </w:rPr>
        <w:t>”</w:t>
      </w:r>
    </w:p>
    <w:p w14:paraId="224D9340" w14:textId="77777777" w:rsidR="00F82F2D" w:rsidRPr="00734B03" w:rsidRDefault="00F82F2D" w:rsidP="00F82F2D">
      <w:pPr>
        <w:pStyle w:val="JuPara"/>
        <w:widowControl w:val="0"/>
        <w:rPr>
          <w:lang w:val="en-US"/>
        </w:rPr>
      </w:pPr>
    </w:p>
    <w:p w14:paraId="1516C61C" w14:textId="77777777" w:rsidR="00F82F2D" w:rsidRDefault="00F82F2D" w:rsidP="00F82F2D">
      <w:pPr>
        <w:pStyle w:val="JuPara"/>
        <w:widowControl w:val="0"/>
        <w:ind w:firstLine="142"/>
        <w:rPr>
          <w:rFonts w:ascii="Times New Roman" w:hAnsi="Times New Roman"/>
          <w:noProof/>
        </w:rPr>
      </w:pPr>
      <w:r>
        <w:rPr>
          <w:rFonts w:ascii="Times New Roman" w:hAnsi="Times New Roman"/>
        </w:rPr>
        <w:t xml:space="preserve">315. “Access </w:t>
      </w:r>
      <w:proofErr w:type="spellStart"/>
      <w:r>
        <w:rPr>
          <w:rFonts w:ascii="Times New Roman" w:hAnsi="Times New Roman"/>
        </w:rPr>
        <w:t>Now</w:t>
      </w:r>
      <w:proofErr w:type="spellEnd"/>
      <w:r>
        <w:rPr>
          <w:rFonts w:ascii="Times New Roman" w:hAnsi="Times New Roman"/>
        </w:rPr>
        <w:t xml:space="preserve">” apgalvoja, ka šajā lietā aplūkotā masveida uzraudzība neatbilda </w:t>
      </w:r>
      <w:proofErr w:type="spellStart"/>
      <w:r>
        <w:rPr>
          <w:rFonts w:ascii="Times New Roman" w:hAnsi="Times New Roman"/>
          <w:i/>
          <w:iCs/>
        </w:rPr>
        <w:t>ICCPR</w:t>
      </w:r>
      <w:proofErr w:type="spellEnd"/>
      <w:r>
        <w:rPr>
          <w:rFonts w:ascii="Times New Roman" w:hAnsi="Times New Roman"/>
        </w:rPr>
        <w:t xml:space="preserve"> un Starptautiskajiem principiem par cilvēktiesību piemērošanu sakaru uzraudzībai, jo Apvienotā Karaliste nebija pierādījusi, ka šāda uzraudzība bija absolūti nepieciešama vai samērīga. Šī organizācija arī norādīja, ka uzraudzības programmas nedrīkst izvērtēt atsevišķi, bet gan saistībā ar visu valsts uzraudzības darbību kopumu, jo </w:t>
      </w:r>
      <w:proofErr w:type="spellStart"/>
      <w:r>
        <w:rPr>
          <w:rFonts w:ascii="Times New Roman" w:hAnsi="Times New Roman"/>
        </w:rPr>
        <w:t>mašīnmācīšanās</w:t>
      </w:r>
      <w:proofErr w:type="spellEnd"/>
      <w:r>
        <w:rPr>
          <w:rFonts w:ascii="Times New Roman" w:hAnsi="Times New Roman"/>
        </w:rPr>
        <w:t>, ar kuras palīdzību ar matemātiskiem algoritmiem varētu izgūt secinājumus no datu apkopojumiem, ir palielinājusi lielo datu kopu un datu iegūšanas izplatību.</w:t>
      </w:r>
    </w:p>
    <w:p w14:paraId="25BADB11" w14:textId="77777777" w:rsidR="00F82F2D" w:rsidRPr="008D031E" w:rsidRDefault="00F82F2D" w:rsidP="00F82F2D">
      <w:pPr>
        <w:pStyle w:val="JuPara"/>
        <w:widowControl w:val="0"/>
        <w:ind w:firstLine="142"/>
        <w:rPr>
          <w:rFonts w:ascii="Times New Roman" w:hAnsi="Times New Roman"/>
          <w:noProof/>
          <w:lang w:val="en-US"/>
        </w:rPr>
      </w:pPr>
    </w:p>
    <w:p w14:paraId="0C72EC2D" w14:textId="77777777" w:rsidR="00F82F2D" w:rsidRDefault="00F82F2D" w:rsidP="00F82F2D">
      <w:pPr>
        <w:pStyle w:val="JuHa0"/>
        <w:keepNext w:val="0"/>
        <w:keepLines w:val="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f) “</w:t>
      </w:r>
      <w:proofErr w:type="spellStart"/>
      <w:r>
        <w:rPr>
          <w:rFonts w:ascii="Times New Roman" w:hAnsi="Times New Roman"/>
          <w:sz w:val="24"/>
        </w:rPr>
        <w:t>Article</w:t>
      </w:r>
      <w:proofErr w:type="spellEnd"/>
      <w:r>
        <w:rPr>
          <w:rFonts w:ascii="Times New Roman" w:hAnsi="Times New Roman"/>
          <w:sz w:val="24"/>
        </w:rPr>
        <w:t> 19”</w:t>
      </w:r>
    </w:p>
    <w:p w14:paraId="2FDB3B63" w14:textId="77777777" w:rsidR="00F82F2D" w:rsidRPr="00734B03" w:rsidRDefault="00F82F2D" w:rsidP="00F82F2D">
      <w:pPr>
        <w:pStyle w:val="JuPara"/>
        <w:widowControl w:val="0"/>
        <w:rPr>
          <w:lang w:val="en-US"/>
        </w:rPr>
      </w:pPr>
    </w:p>
    <w:p w14:paraId="088211EB" w14:textId="77777777" w:rsidR="00F82F2D" w:rsidRDefault="00F82F2D" w:rsidP="00F82F2D">
      <w:pPr>
        <w:pStyle w:val="JuPara"/>
        <w:widowControl w:val="0"/>
        <w:ind w:firstLine="142"/>
        <w:rPr>
          <w:rFonts w:ascii="Times New Roman" w:hAnsi="Times New Roman"/>
          <w:noProof/>
        </w:rPr>
      </w:pPr>
      <w:r>
        <w:rPr>
          <w:rFonts w:ascii="Times New Roman" w:hAnsi="Times New Roman"/>
        </w:rPr>
        <w:t>316. “</w:t>
      </w:r>
      <w:proofErr w:type="spellStart"/>
      <w:r>
        <w:rPr>
          <w:rFonts w:ascii="Times New Roman" w:hAnsi="Times New Roman"/>
        </w:rPr>
        <w:t>Article</w:t>
      </w:r>
      <w:proofErr w:type="spellEnd"/>
      <w:r>
        <w:rPr>
          <w:rFonts w:ascii="Times New Roman" w:hAnsi="Times New Roman"/>
        </w:rPr>
        <w:t> 19” apgalvoja, ka personu sakaru neselektīva vākšana, analizēšana un saglabāšana bez aizdomu pamata pēc būtības ir nesamērīga. Pēc “</w:t>
      </w:r>
      <w:proofErr w:type="spellStart"/>
      <w:r>
        <w:rPr>
          <w:rFonts w:ascii="Times New Roman" w:hAnsi="Times New Roman"/>
        </w:rPr>
        <w:t>Article</w:t>
      </w:r>
      <w:proofErr w:type="spellEnd"/>
      <w:r>
        <w:rPr>
          <w:rFonts w:ascii="Times New Roman" w:hAnsi="Times New Roman"/>
        </w:rPr>
        <w:t> 19” domām, vienīgi ar mērķētu uzraudzību, kas balstīta uz pamatotām aizdomām un ko atļāvis tiesnesis, tiktu leģitīmi ierobežotas tiesības uz privātās dzīves neaizskaramību.</w:t>
      </w:r>
    </w:p>
    <w:p w14:paraId="00F62CC2" w14:textId="77777777" w:rsidR="00F82F2D" w:rsidRPr="008D031E" w:rsidRDefault="00F82F2D" w:rsidP="00F82F2D">
      <w:pPr>
        <w:pStyle w:val="JuPara"/>
        <w:widowControl w:val="0"/>
        <w:ind w:firstLine="0"/>
        <w:rPr>
          <w:rFonts w:ascii="Times New Roman" w:hAnsi="Times New Roman"/>
          <w:noProof/>
          <w:lang w:val="en-US"/>
        </w:rPr>
      </w:pPr>
    </w:p>
    <w:p w14:paraId="7F1FAD6B" w14:textId="77777777" w:rsidR="00F82F2D" w:rsidRDefault="00F82F2D" w:rsidP="00F82F2D">
      <w:pPr>
        <w:pStyle w:val="JuHa0"/>
        <w:keepNext w:val="0"/>
        <w:keepLines w:val="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g) “</w:t>
      </w:r>
      <w:proofErr w:type="spellStart"/>
      <w:r>
        <w:rPr>
          <w:rFonts w:ascii="Times New Roman" w:hAnsi="Times New Roman"/>
          <w:sz w:val="24"/>
        </w:rPr>
        <w:t>European</w:t>
      </w:r>
      <w:proofErr w:type="spellEnd"/>
      <w:r>
        <w:rPr>
          <w:rFonts w:ascii="Times New Roman" w:hAnsi="Times New Roman"/>
          <w:sz w:val="24"/>
        </w:rPr>
        <w:t xml:space="preserve"> </w:t>
      </w:r>
      <w:proofErr w:type="spellStart"/>
      <w:r>
        <w:rPr>
          <w:rFonts w:ascii="Times New Roman" w:hAnsi="Times New Roman"/>
          <w:sz w:val="24"/>
        </w:rPr>
        <w:t>Digital</w:t>
      </w:r>
      <w:proofErr w:type="spellEnd"/>
      <w:r>
        <w:rPr>
          <w:rFonts w:ascii="Times New Roman" w:hAnsi="Times New Roman"/>
          <w:sz w:val="24"/>
        </w:rPr>
        <w:t xml:space="preserve"> </w:t>
      </w:r>
      <w:proofErr w:type="spellStart"/>
      <w:r>
        <w:rPr>
          <w:rFonts w:ascii="Times New Roman" w:hAnsi="Times New Roman"/>
          <w:sz w:val="24"/>
        </w:rPr>
        <w:t>Rights</w:t>
      </w:r>
      <w:proofErr w:type="spellEnd"/>
      <w:r>
        <w:rPr>
          <w:rFonts w:ascii="Times New Roman" w:hAnsi="Times New Roman"/>
          <w:sz w:val="24"/>
        </w:rPr>
        <w:t>” (turpmāk tekstā – “</w:t>
      </w:r>
      <w:proofErr w:type="spellStart"/>
      <w:r>
        <w:rPr>
          <w:rFonts w:ascii="Times New Roman" w:hAnsi="Times New Roman"/>
          <w:i/>
          <w:iCs/>
          <w:sz w:val="24"/>
        </w:rPr>
        <w:t>EDRi</w:t>
      </w:r>
      <w:proofErr w:type="spellEnd"/>
      <w:r>
        <w:rPr>
          <w:rFonts w:ascii="Times New Roman" w:hAnsi="Times New Roman"/>
          <w:sz w:val="24"/>
        </w:rPr>
        <w:t>”) un citas organizācijas, kas darbojas cilvēktiesību jomā informācijas sabiedrībā</w:t>
      </w:r>
    </w:p>
    <w:p w14:paraId="7D4CE2BF" w14:textId="77777777" w:rsidR="00F82F2D" w:rsidRPr="00305B7E" w:rsidRDefault="00F82F2D" w:rsidP="00F82F2D">
      <w:pPr>
        <w:pStyle w:val="JuPara"/>
        <w:widowControl w:val="0"/>
        <w:rPr>
          <w:lang w:val="en-US"/>
        </w:rPr>
      </w:pPr>
    </w:p>
    <w:p w14:paraId="09A3AEF4" w14:textId="77777777" w:rsidR="00F82F2D" w:rsidRDefault="00F82F2D" w:rsidP="00F82F2D">
      <w:pPr>
        <w:pStyle w:val="JuPara"/>
        <w:widowControl w:val="0"/>
        <w:ind w:firstLine="142"/>
        <w:rPr>
          <w:rFonts w:ascii="Times New Roman" w:hAnsi="Times New Roman"/>
          <w:noProof/>
        </w:rPr>
      </w:pPr>
      <w:bookmarkStart w:id="225" w:name="EDRi"/>
      <w:r>
        <w:rPr>
          <w:rFonts w:ascii="Times New Roman" w:hAnsi="Times New Roman"/>
        </w:rPr>
        <w:t>317</w:t>
      </w:r>
      <w:bookmarkEnd w:id="225"/>
      <w:r>
        <w:rPr>
          <w:rFonts w:ascii="Times New Roman" w:hAnsi="Times New Roman"/>
        </w:rPr>
        <w:t xml:space="preserve">. </w:t>
      </w:r>
      <w:proofErr w:type="spellStart"/>
      <w:r>
        <w:rPr>
          <w:rFonts w:ascii="Times New Roman" w:hAnsi="Times New Roman"/>
          <w:i/>
          <w:iCs/>
        </w:rPr>
        <w:t>EDRi</w:t>
      </w:r>
      <w:proofErr w:type="spellEnd"/>
      <w:r>
        <w:rPr>
          <w:rFonts w:ascii="Times New Roman" w:hAnsi="Times New Roman"/>
        </w:rPr>
        <w:t xml:space="preserve"> un citas organizācijas apgalvoja, ka šī lieta Tiesai sniedza būtisku iespēju pārskatīt </w:t>
      </w:r>
      <w:r>
        <w:rPr>
          <w:rFonts w:ascii="Times New Roman" w:hAnsi="Times New Roman"/>
        </w:rPr>
        <w:lastRenderedPageBreak/>
        <w:t xml:space="preserve">savu metadatu aizsardzības sistēmu. Valstu valdības ir veidojušas savas uzraudzības programmas, balstoties uz noteikto atšķirību starp saturu un metadatiem, kā norādīts 1984. gada 2. augusta spriedumā lietā “Malons pret Apvienoto Karalisti”, A sērija Nr. 82, taču minētās lietas izskatīšanas laikā nebija ne interneta, ne mobilo tālruņu. Mūsdienās metadati varētu sniegt detalizētu un ļoti privātu priekšstatu par personu, proti, tie ļauj kartēt sociālos tīklus, noteikt atrašanās vietu, sekot līdzi interneta pārlūkošanai, kartēt līdzības saziņā, kā arī uzzināt, ar ko attiecīgā persona sazinās. Turklāt detalizācijas pakāpe, ko varētu iegūt, ir palielinājusies, veicot analīzi plašā mērogā. Proti, </w:t>
      </w:r>
      <w:proofErr w:type="spellStart"/>
      <w:r>
        <w:rPr>
          <w:rFonts w:ascii="Times New Roman" w:hAnsi="Times New Roman"/>
          <w:i/>
          <w:iCs/>
        </w:rPr>
        <w:t>NSA</w:t>
      </w:r>
      <w:proofErr w:type="spellEnd"/>
      <w:r>
        <w:rPr>
          <w:rFonts w:ascii="Times New Roman" w:hAnsi="Times New Roman"/>
        </w:rPr>
        <w:t xml:space="preserve"> galvenais padomnieks Stjuarts </w:t>
      </w:r>
      <w:proofErr w:type="spellStart"/>
      <w:r>
        <w:rPr>
          <w:rFonts w:ascii="Times New Roman" w:hAnsi="Times New Roman"/>
        </w:rPr>
        <w:t>Beikers</w:t>
      </w:r>
      <w:proofErr w:type="spellEnd"/>
      <w:r>
        <w:rPr>
          <w:rFonts w:ascii="Times New Roman" w:hAnsi="Times New Roman"/>
        </w:rPr>
        <w:t xml:space="preserve"> [</w:t>
      </w:r>
      <w:proofErr w:type="spellStart"/>
      <w:r>
        <w:rPr>
          <w:rFonts w:ascii="Times New Roman" w:hAnsi="Times New Roman"/>
          <w:i/>
          <w:iCs/>
        </w:rPr>
        <w:t>Stewart</w:t>
      </w:r>
      <w:proofErr w:type="spellEnd"/>
      <w:r>
        <w:rPr>
          <w:rFonts w:ascii="Times New Roman" w:hAnsi="Times New Roman"/>
          <w:i/>
          <w:iCs/>
        </w:rPr>
        <w:t xml:space="preserve"> </w:t>
      </w:r>
      <w:proofErr w:type="spellStart"/>
      <w:r>
        <w:rPr>
          <w:rFonts w:ascii="Times New Roman" w:hAnsi="Times New Roman"/>
          <w:i/>
          <w:iCs/>
        </w:rPr>
        <w:t>Baker</w:t>
      </w:r>
      <w:proofErr w:type="spellEnd"/>
      <w:r>
        <w:rPr>
          <w:rFonts w:ascii="Times New Roman" w:hAnsi="Times New Roman"/>
        </w:rPr>
        <w:t>] norādīja, ka metadati varētu atklāt visu par kādas personas dzīvi un ka tad, ja kādam ir pietiekams metadatu apjoms, saturs nebūtu nepieciešams. Tādēļ uz personas datiem nav jāattiecina dažādas aizsardzības pakāpes, balstoties uz satura un metadatu patvaļīgu un neatbilstošu nošķiršanu – tā vietā jābalstās uz secinājumiem, ko var izgūt no datiem.</w:t>
      </w:r>
    </w:p>
    <w:p w14:paraId="677B79F7" w14:textId="77777777" w:rsidR="00F82F2D" w:rsidRPr="008D031E" w:rsidRDefault="00F82F2D" w:rsidP="00F82F2D">
      <w:pPr>
        <w:pStyle w:val="JuPara"/>
        <w:widowControl w:val="0"/>
        <w:ind w:firstLine="142"/>
        <w:rPr>
          <w:rFonts w:ascii="Times New Roman" w:hAnsi="Times New Roman"/>
          <w:noProof/>
          <w:lang w:val="en-US"/>
        </w:rPr>
      </w:pPr>
    </w:p>
    <w:p w14:paraId="0702E2D5" w14:textId="77777777" w:rsidR="00F82F2D" w:rsidRDefault="00F82F2D" w:rsidP="00F82F2D">
      <w:pPr>
        <w:pStyle w:val="JuHa0"/>
        <w:keepNext w:val="0"/>
        <w:keepLines w:val="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h) “</w:t>
      </w:r>
      <w:proofErr w:type="spellStart"/>
      <w:r>
        <w:rPr>
          <w:rFonts w:ascii="Times New Roman" w:hAnsi="Times New Roman"/>
          <w:sz w:val="24"/>
        </w:rPr>
        <w:t>Open</w:t>
      </w:r>
      <w:proofErr w:type="spellEnd"/>
      <w:r>
        <w:rPr>
          <w:rFonts w:ascii="Times New Roman" w:hAnsi="Times New Roman"/>
          <w:sz w:val="24"/>
        </w:rPr>
        <w:t xml:space="preserve"> </w:t>
      </w:r>
      <w:proofErr w:type="spellStart"/>
      <w:r>
        <w:rPr>
          <w:rFonts w:ascii="Times New Roman" w:hAnsi="Times New Roman"/>
          <w:sz w:val="24"/>
        </w:rPr>
        <w:t>Society</w:t>
      </w:r>
      <w:proofErr w:type="spellEnd"/>
      <w:r>
        <w:rPr>
          <w:rFonts w:ascii="Times New Roman" w:hAnsi="Times New Roman"/>
          <w:sz w:val="24"/>
        </w:rPr>
        <w:t xml:space="preserve"> </w:t>
      </w:r>
      <w:proofErr w:type="spellStart"/>
      <w:r>
        <w:rPr>
          <w:rFonts w:ascii="Times New Roman" w:hAnsi="Times New Roman"/>
          <w:sz w:val="24"/>
        </w:rPr>
        <w:t>Justice</w:t>
      </w:r>
      <w:proofErr w:type="spellEnd"/>
      <w:r>
        <w:rPr>
          <w:rFonts w:ascii="Times New Roman" w:hAnsi="Times New Roman"/>
          <w:sz w:val="24"/>
        </w:rPr>
        <w:t xml:space="preserve"> </w:t>
      </w:r>
      <w:proofErr w:type="spellStart"/>
      <w:r>
        <w:rPr>
          <w:rFonts w:ascii="Times New Roman" w:hAnsi="Times New Roman"/>
          <w:sz w:val="24"/>
        </w:rPr>
        <w:t>Initiative</w:t>
      </w:r>
      <w:proofErr w:type="spellEnd"/>
      <w:r>
        <w:rPr>
          <w:rFonts w:ascii="Times New Roman" w:hAnsi="Times New Roman"/>
          <w:sz w:val="24"/>
        </w:rPr>
        <w:t>” (turpmāk tekstā – “</w:t>
      </w:r>
      <w:proofErr w:type="spellStart"/>
      <w:r>
        <w:rPr>
          <w:rFonts w:ascii="Times New Roman" w:hAnsi="Times New Roman"/>
          <w:i/>
          <w:iCs/>
          <w:sz w:val="24"/>
        </w:rPr>
        <w:t>OSJI</w:t>
      </w:r>
      <w:proofErr w:type="spellEnd"/>
      <w:r>
        <w:rPr>
          <w:rFonts w:ascii="Times New Roman" w:hAnsi="Times New Roman"/>
          <w:sz w:val="24"/>
        </w:rPr>
        <w:t>”)</w:t>
      </w:r>
    </w:p>
    <w:p w14:paraId="14C4C0A6" w14:textId="77777777" w:rsidR="00F82F2D" w:rsidRPr="0043490E" w:rsidRDefault="00F82F2D" w:rsidP="00F82F2D">
      <w:pPr>
        <w:pStyle w:val="JuPara"/>
        <w:widowControl w:val="0"/>
        <w:rPr>
          <w:lang w:val="en-US"/>
        </w:rPr>
      </w:pPr>
    </w:p>
    <w:p w14:paraId="5B1F6DC7" w14:textId="77777777" w:rsidR="00F82F2D" w:rsidRDefault="00F82F2D" w:rsidP="00F82F2D">
      <w:pPr>
        <w:pStyle w:val="JuPara"/>
        <w:widowControl w:val="0"/>
        <w:ind w:firstLine="142"/>
        <w:rPr>
          <w:rFonts w:ascii="Times New Roman" w:hAnsi="Times New Roman"/>
          <w:noProof/>
        </w:rPr>
      </w:pPr>
      <w:r>
        <w:rPr>
          <w:rFonts w:ascii="Times New Roman" w:hAnsi="Times New Roman"/>
        </w:rPr>
        <w:t xml:space="preserve">318. </w:t>
      </w:r>
      <w:proofErr w:type="spellStart"/>
      <w:r>
        <w:rPr>
          <w:rFonts w:ascii="Times New Roman" w:hAnsi="Times New Roman"/>
          <w:i/>
          <w:iCs/>
        </w:rPr>
        <w:t>OSJI</w:t>
      </w:r>
      <w:proofErr w:type="spellEnd"/>
      <w:r>
        <w:rPr>
          <w:rFonts w:ascii="Times New Roman" w:hAnsi="Times New Roman"/>
        </w:rPr>
        <w:t xml:space="preserve"> norādīja, ka gan pašlaik pārtveršanai pieejamo datu apjoms, gan valstu valdību vēlme iegūt datus ievērojami pārsniedz to, kas bija iespējams kādreiz. Līdz ar to masveida pārtveršana rada īpaši būtisku iejaukšanos privātajā dzīvē, kas ar savu “atturošo ietekmi” varētu iejaukties citās tiesībās, piemēram, tiesībās uz vārda brīvību un biedrošanās brīvību. Tādēļ, lai masveida pārtveršana būtu likumīga, tai ir jāatbilst vairākiem priekšnosacījumiem, proti, reglamentējošajam tiesību aktam jābūt pietiekami precīzam, ievāktās informācijas apjoms ir jāierobežo laika un atrašanās vietas ziņā un informācija ir jāievāc, vienīgi balstoties uz “pamatotām aizdomām”.</w:t>
      </w:r>
    </w:p>
    <w:p w14:paraId="5FC36473" w14:textId="77777777" w:rsidR="00F82F2D" w:rsidRPr="008D031E" w:rsidRDefault="00F82F2D" w:rsidP="00F82F2D">
      <w:pPr>
        <w:pStyle w:val="JuPara"/>
        <w:widowControl w:val="0"/>
        <w:ind w:firstLine="0"/>
        <w:rPr>
          <w:rFonts w:ascii="Times New Roman" w:hAnsi="Times New Roman"/>
          <w:noProof/>
          <w:lang w:val="en-US"/>
        </w:rPr>
      </w:pPr>
    </w:p>
    <w:p w14:paraId="65F184F7" w14:textId="77777777" w:rsidR="00F82F2D" w:rsidRDefault="00F82F2D" w:rsidP="00F82F2D">
      <w:pPr>
        <w:pStyle w:val="JuHa0"/>
        <w:keepNext w:val="0"/>
        <w:keepLines w:val="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i) Helsinku Cilvēktiesību fonds (turpmāk tekstā – “</w:t>
      </w:r>
      <w:proofErr w:type="spellStart"/>
      <w:r>
        <w:rPr>
          <w:rFonts w:ascii="Times New Roman" w:hAnsi="Times New Roman"/>
          <w:i/>
          <w:iCs/>
          <w:sz w:val="24"/>
        </w:rPr>
        <w:t>HFHR</w:t>
      </w:r>
      <w:proofErr w:type="spellEnd"/>
      <w:r>
        <w:rPr>
          <w:rFonts w:ascii="Times New Roman" w:hAnsi="Times New Roman"/>
          <w:sz w:val="24"/>
        </w:rPr>
        <w:t>”)</w:t>
      </w:r>
    </w:p>
    <w:p w14:paraId="7D86D4DD" w14:textId="77777777" w:rsidR="00F82F2D" w:rsidRPr="0043490E" w:rsidRDefault="00F82F2D" w:rsidP="00F82F2D">
      <w:pPr>
        <w:pStyle w:val="JuPara"/>
        <w:widowControl w:val="0"/>
        <w:rPr>
          <w:lang w:val="en-US"/>
        </w:rPr>
      </w:pPr>
    </w:p>
    <w:p w14:paraId="38A11A05" w14:textId="77777777" w:rsidR="00F82F2D" w:rsidRDefault="00F82F2D" w:rsidP="00F82F2D">
      <w:pPr>
        <w:pStyle w:val="JuPara"/>
        <w:widowControl w:val="0"/>
        <w:ind w:firstLine="142"/>
        <w:rPr>
          <w:rFonts w:ascii="Times New Roman" w:hAnsi="Times New Roman"/>
          <w:noProof/>
        </w:rPr>
      </w:pPr>
      <w:r>
        <w:rPr>
          <w:rFonts w:ascii="Times New Roman" w:hAnsi="Times New Roman"/>
        </w:rPr>
        <w:t xml:space="preserve">319. </w:t>
      </w:r>
      <w:proofErr w:type="spellStart"/>
      <w:r>
        <w:rPr>
          <w:rFonts w:ascii="Times New Roman" w:hAnsi="Times New Roman"/>
          <w:i/>
          <w:iCs/>
        </w:rPr>
        <w:t>HFHR</w:t>
      </w:r>
      <w:proofErr w:type="spellEnd"/>
      <w:r>
        <w:rPr>
          <w:rFonts w:ascii="Times New Roman" w:hAnsi="Times New Roman"/>
        </w:rPr>
        <w:t xml:space="preserve"> raksturoja savu pieredzi, apstrīdot valsts iestāžu īstenoto sakaru uzraudzību Polijā, kā rezultātā Konstitucionālā tiesa atzina noteiktus attiecīgā tiesiskā regulējuma aspektus par neatbilstīgiem konstitūcijai. Pēc tam tiesiskais regulējums tika grozīts.</w:t>
      </w:r>
    </w:p>
    <w:p w14:paraId="177015D9" w14:textId="77777777" w:rsidR="00F82F2D" w:rsidRPr="008D031E" w:rsidRDefault="00F82F2D" w:rsidP="00F82F2D">
      <w:pPr>
        <w:pStyle w:val="JuPara"/>
        <w:widowControl w:val="0"/>
        <w:ind w:firstLine="0"/>
        <w:rPr>
          <w:rFonts w:ascii="Times New Roman" w:hAnsi="Times New Roman"/>
          <w:noProof/>
          <w:lang w:val="en-US"/>
        </w:rPr>
      </w:pPr>
    </w:p>
    <w:p w14:paraId="4202EC1D" w14:textId="77777777" w:rsidR="00F82F2D" w:rsidRDefault="00F82F2D" w:rsidP="00F82F2D">
      <w:pPr>
        <w:pStyle w:val="JuHa0"/>
        <w:keepNext w:val="0"/>
        <w:keepLines w:val="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j) Starptautiskā Juristu komisija (turpmāk tekstā – “</w:t>
      </w:r>
      <w:proofErr w:type="spellStart"/>
      <w:r>
        <w:rPr>
          <w:rFonts w:ascii="Times New Roman" w:hAnsi="Times New Roman"/>
          <w:i/>
          <w:iCs/>
          <w:sz w:val="24"/>
        </w:rPr>
        <w:t>ICJ</w:t>
      </w:r>
      <w:proofErr w:type="spellEnd"/>
      <w:r>
        <w:rPr>
          <w:rFonts w:ascii="Times New Roman" w:hAnsi="Times New Roman"/>
          <w:sz w:val="24"/>
        </w:rPr>
        <w:t>”)</w:t>
      </w:r>
    </w:p>
    <w:p w14:paraId="0528FCEA" w14:textId="77777777" w:rsidR="00F82F2D" w:rsidRPr="0043490E" w:rsidRDefault="00F82F2D" w:rsidP="00F82F2D">
      <w:pPr>
        <w:pStyle w:val="JuPara"/>
        <w:widowControl w:val="0"/>
        <w:rPr>
          <w:lang w:val="en-US"/>
        </w:rPr>
      </w:pPr>
    </w:p>
    <w:p w14:paraId="107B5176" w14:textId="77777777" w:rsidR="00F82F2D" w:rsidRDefault="00F82F2D" w:rsidP="00F82F2D">
      <w:pPr>
        <w:pStyle w:val="JuPara"/>
        <w:widowControl w:val="0"/>
        <w:ind w:firstLine="142"/>
        <w:rPr>
          <w:rFonts w:ascii="Times New Roman" w:hAnsi="Times New Roman"/>
          <w:noProof/>
        </w:rPr>
      </w:pPr>
      <w:r>
        <w:rPr>
          <w:rFonts w:ascii="Times New Roman" w:hAnsi="Times New Roman"/>
        </w:rPr>
        <w:t xml:space="preserve">320. </w:t>
      </w:r>
      <w:proofErr w:type="spellStart"/>
      <w:r>
        <w:rPr>
          <w:rFonts w:ascii="Times New Roman" w:hAnsi="Times New Roman"/>
          <w:i/>
          <w:iCs/>
        </w:rPr>
        <w:t>ICJ</w:t>
      </w:r>
      <w:proofErr w:type="spellEnd"/>
      <w:r>
        <w:rPr>
          <w:rFonts w:ascii="Times New Roman" w:hAnsi="Times New Roman"/>
        </w:rPr>
        <w:t xml:space="preserve"> norādīja, ka, ņemot vērā masveida uzraudzības radītās iejaukšanās tiesībās uz privātās dzīves neaizskaramību apjomu un tvērumu, atšķirība starp metadatiem un saturu ir novecojusi. Turklāt fakts, ka masveida uzraudzības operācijā šādas iejaukšanās tiesībās elementi varētu tikt īstenoti ārpus valsts teritoriālās jurisdikcijas, neizslēdz šīs valsts atbildību, jo tās kontrole pār informāciju ir pietiekama, lai noteiktu jurisdikciju.</w:t>
      </w:r>
    </w:p>
    <w:p w14:paraId="65F0D509" w14:textId="77777777" w:rsidR="00F82F2D" w:rsidRPr="008D031E" w:rsidRDefault="00F82F2D" w:rsidP="00F82F2D">
      <w:pPr>
        <w:pStyle w:val="JuPara"/>
        <w:widowControl w:val="0"/>
        <w:ind w:firstLine="0"/>
        <w:rPr>
          <w:rFonts w:ascii="Times New Roman" w:hAnsi="Times New Roman"/>
          <w:noProof/>
          <w:lang w:val="en-US"/>
        </w:rPr>
      </w:pPr>
    </w:p>
    <w:p w14:paraId="6329AACF" w14:textId="77777777" w:rsidR="00F82F2D" w:rsidRDefault="00F82F2D" w:rsidP="00F82F2D">
      <w:pPr>
        <w:pStyle w:val="JuHa0"/>
        <w:keepNext w:val="0"/>
        <w:keepLines w:val="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k) Anglijas un Velsas Juridiskā biedrība</w:t>
      </w:r>
    </w:p>
    <w:p w14:paraId="508AC0A8" w14:textId="77777777" w:rsidR="00F82F2D" w:rsidRPr="0043490E" w:rsidRDefault="00F82F2D" w:rsidP="00F82F2D">
      <w:pPr>
        <w:pStyle w:val="JuPara"/>
        <w:widowControl w:val="0"/>
        <w:rPr>
          <w:lang w:val="en-US"/>
        </w:rPr>
      </w:pPr>
    </w:p>
    <w:p w14:paraId="760DD7BA" w14:textId="77777777" w:rsidR="00F82F2D" w:rsidRDefault="00F82F2D" w:rsidP="000A0472">
      <w:pPr>
        <w:pStyle w:val="JuPara"/>
        <w:widowControl w:val="0"/>
        <w:ind w:firstLine="142"/>
        <w:rPr>
          <w:rFonts w:ascii="Times New Roman" w:hAnsi="Times New Roman"/>
          <w:noProof/>
        </w:rPr>
      </w:pPr>
      <w:r>
        <w:rPr>
          <w:rFonts w:ascii="Times New Roman" w:hAnsi="Times New Roman"/>
        </w:rPr>
        <w:t xml:space="preserve">321. Juridiskā biedrība pauda nopietnas bažas par 8. panta 4. punktā noteiktā režīma ietekmi uz advokāta un klienta saziņas konfidencialitātes principu. Tās ieskatā režīms ļāva pārtvert juridiski priviliģētus un konfidenciālus sakarus starp advokātiem un klientiem, pat ja abi atradušies Apvienotajā Karalistē. Tas arī ļāva regulāri apkopot šiem sakariem pievienotos metadatus. Turklāt pēc šo juridiski priviliģēto sakaru pārtveršanas tos varēja izmantot ar nosacījumu, ka ordera primārais nolūks un mērķis bija ārējo sakaru apkopošana. Šis pasākums, tostarp atbilstošu šā materiāla izmantošanas ierobežojumu </w:t>
      </w:r>
      <w:proofErr w:type="spellStart"/>
      <w:r>
        <w:rPr>
          <w:rFonts w:ascii="Times New Roman" w:hAnsi="Times New Roman"/>
        </w:rPr>
        <w:t>neesība</w:t>
      </w:r>
      <w:proofErr w:type="spellEnd"/>
      <w:r>
        <w:rPr>
          <w:rFonts w:ascii="Times New Roman" w:hAnsi="Times New Roman"/>
        </w:rPr>
        <w:t>, varēja radīt “atturošu ietekmi” uz advokāta un klienta saziņas godīgumu un atklātību.</w:t>
      </w:r>
    </w:p>
    <w:p w14:paraId="0C19ED97" w14:textId="77777777" w:rsidR="00F82F2D" w:rsidRPr="008D031E" w:rsidRDefault="00F82F2D" w:rsidP="00F82F2D">
      <w:pPr>
        <w:pStyle w:val="JuPara"/>
        <w:widowControl w:val="0"/>
        <w:ind w:firstLine="0"/>
        <w:rPr>
          <w:rFonts w:ascii="Times New Roman" w:hAnsi="Times New Roman"/>
          <w:noProof/>
          <w:lang w:val="en-US"/>
        </w:rPr>
      </w:pPr>
    </w:p>
    <w:p w14:paraId="59BC6670" w14:textId="77777777" w:rsidR="00F82F2D" w:rsidRDefault="00F82F2D" w:rsidP="009B096C">
      <w:pPr>
        <w:pStyle w:val="JuH1"/>
        <w:widowControl w:val="0"/>
        <w:numPr>
          <w:ilvl w:val="0"/>
          <w:numId w:val="0"/>
        </w:numPr>
        <w:spacing w:before="0" w:beforeAutospacing="0" w:after="0"/>
        <w:outlineLvl w:val="9"/>
        <w:rPr>
          <w:rFonts w:ascii="Times New Roman" w:hAnsi="Times New Roman"/>
          <w:noProof/>
        </w:rPr>
      </w:pPr>
      <w:r>
        <w:rPr>
          <w:rFonts w:ascii="Times New Roman" w:hAnsi="Times New Roman"/>
        </w:rPr>
        <w:lastRenderedPageBreak/>
        <w:t>4. Tiesas vērtējums</w:t>
      </w:r>
    </w:p>
    <w:p w14:paraId="2BB2B373" w14:textId="77777777" w:rsidR="00F82F2D" w:rsidRPr="0043490E" w:rsidRDefault="00F82F2D" w:rsidP="009B096C">
      <w:pPr>
        <w:pStyle w:val="JuPara"/>
        <w:keepNext/>
        <w:keepLines/>
        <w:widowControl w:val="0"/>
        <w:rPr>
          <w:lang w:val="en-US"/>
        </w:rPr>
      </w:pPr>
    </w:p>
    <w:p w14:paraId="019B17AD" w14:textId="77777777" w:rsidR="00F82F2D" w:rsidRDefault="00F82F2D" w:rsidP="009B096C">
      <w:pPr>
        <w:pStyle w:val="JuHa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a) Sākotnējās piezīmes</w:t>
      </w:r>
    </w:p>
    <w:p w14:paraId="35E7F39B" w14:textId="77777777" w:rsidR="00F82F2D" w:rsidRPr="0043490E" w:rsidRDefault="00F82F2D" w:rsidP="00F82F2D">
      <w:pPr>
        <w:pStyle w:val="JuPara"/>
        <w:widowControl w:val="0"/>
        <w:rPr>
          <w:lang w:val="en-US"/>
        </w:rPr>
      </w:pPr>
    </w:p>
    <w:p w14:paraId="1E795E26" w14:textId="77777777" w:rsidR="00F82F2D" w:rsidRPr="008D031E" w:rsidRDefault="00F82F2D" w:rsidP="00F82F2D">
      <w:pPr>
        <w:pStyle w:val="JuPara"/>
        <w:widowControl w:val="0"/>
        <w:ind w:firstLine="142"/>
        <w:rPr>
          <w:rStyle w:val="JuParaCar"/>
          <w:rFonts w:ascii="Times New Roman" w:hAnsi="Times New Roman"/>
          <w:noProof/>
        </w:rPr>
      </w:pPr>
      <w:bookmarkStart w:id="226" w:name="Tech"/>
      <w:r>
        <w:rPr>
          <w:rStyle w:val="JuParaCar"/>
          <w:rFonts w:ascii="Times New Roman" w:hAnsi="Times New Roman"/>
        </w:rPr>
        <w:t>322</w:t>
      </w:r>
      <w:bookmarkEnd w:id="226"/>
      <w:r>
        <w:rPr>
          <w:rStyle w:val="JuParaCar"/>
          <w:rFonts w:ascii="Times New Roman" w:hAnsi="Times New Roman"/>
        </w:rPr>
        <w:t>. Šī sūdzība attiecas uz izlūkdienestu veikto pārrobežu sakaru masveida pārtveršanu. Lai gan šī nav pirmā reize, kad Tiesa izvērtē šāda veida uzraudzību (skat.</w:t>
      </w:r>
      <w:r>
        <w:rPr>
          <w:rFonts w:ascii="Times New Roman" w:hAnsi="Times New Roman"/>
        </w:rPr>
        <w:t xml:space="preserve"> spriedumu iepriekš minētajās lietās “Vēbere un </w:t>
      </w:r>
      <w:proofErr w:type="spellStart"/>
      <w:r>
        <w:rPr>
          <w:rFonts w:ascii="Times New Roman" w:hAnsi="Times New Roman"/>
        </w:rPr>
        <w:t>Sarāvija</w:t>
      </w:r>
      <w:proofErr w:type="spellEnd"/>
      <w:r>
        <w:rPr>
          <w:rFonts w:ascii="Times New Roman" w:hAnsi="Times New Roman"/>
        </w:rPr>
        <w:t>” un ““</w:t>
      </w:r>
      <w:proofErr w:type="spellStart"/>
      <w:r>
        <w:rPr>
          <w:rFonts w:ascii="Times New Roman" w:hAnsi="Times New Roman"/>
        </w:rPr>
        <w:t>Liberty</w:t>
      </w:r>
      <w:proofErr w:type="spellEnd"/>
      <w:r>
        <w:rPr>
          <w:rFonts w:ascii="Times New Roman" w:hAnsi="Times New Roman"/>
        </w:rPr>
        <w:t>” un citi”</w:t>
      </w:r>
      <w:r>
        <w:rPr>
          <w:rStyle w:val="JuParaCar"/>
          <w:rFonts w:ascii="Times New Roman" w:hAnsi="Times New Roman"/>
        </w:rPr>
        <w:t xml:space="preserve">), tiesvedības gaitā ir kļuvis skaidrs, ka jebkura šāda režīma izvērtēšana rada noteiktas grūtības. Pašreizējā, aizvien digitālākā laikmetā sakari ir lielākoties digitāli un tie tiek pārraidīti pa globālajiem telekomunikāciju tīkliem, izmantojot ātrāko un lētāko kanālu kombināciju, bez jebkādas jēgpilnas atsauces uz valstu robežām. Līdz ar to uzraudzība, kas nav tieši vērsta uz personām, var būt ļoti tālejoša gan uzraudzības valsts teritorijā, gan ārpus tās. Tāpēc drošības pasākumi ir izšķiroši un tajā pašā laikā grūti īstenojami. Atšķirībā no mērķētās pārtveršanas, uz kuru attiecas liela daļa Tiesas judikatūras un ko galvenokārt izmanto noziegumu izmeklēšanai, masveida pārtveršanu izmanto arī – vai pat galvenokārt – tamdēļ, lai ievāktu ārvalstu </w:t>
      </w:r>
      <w:proofErr w:type="spellStart"/>
      <w:r>
        <w:rPr>
          <w:rStyle w:val="JuParaCar"/>
          <w:rFonts w:ascii="Times New Roman" w:hAnsi="Times New Roman"/>
        </w:rPr>
        <w:t>izlūkdatus</w:t>
      </w:r>
      <w:proofErr w:type="spellEnd"/>
      <w:r>
        <w:rPr>
          <w:rStyle w:val="JuParaCar"/>
          <w:rFonts w:ascii="Times New Roman" w:hAnsi="Times New Roman"/>
        </w:rPr>
        <w:t xml:space="preserve"> un apzinātu jaunus draudus gan no zināmu, gan nezināmu personu puses. Darbojoties šajā jomā, līgumslēdzējām valstīm ir leģitīma nepieciešamība ievērot slepenību, līdz ar to publiski būs pieejams maz informācijas par sistēmas darbību vai šāda informācija nebūs pieejama vispār, turklāt šādu informāciju, kas ir pieejama, var izmantot terminoloģijā, kas ir neskaidra un dažādās valstīs var ievērojami atšķirties.</w:t>
      </w:r>
    </w:p>
    <w:p w14:paraId="311D98C5" w14:textId="77777777" w:rsidR="00F82F2D" w:rsidRDefault="00F82F2D" w:rsidP="00F82F2D">
      <w:pPr>
        <w:widowControl w:val="0"/>
        <w:ind w:firstLine="142"/>
        <w:jc w:val="both"/>
        <w:rPr>
          <w:rFonts w:ascii="Times New Roman" w:eastAsia="Times New Roman" w:hAnsi="Times New Roman" w:cs="Times New Roman"/>
          <w:noProof/>
        </w:rPr>
      </w:pPr>
      <w:bookmarkStart w:id="227" w:name="Threats"/>
      <w:r>
        <w:rPr>
          <w:rStyle w:val="JuParaCar"/>
          <w:rFonts w:ascii="Times New Roman" w:hAnsi="Times New Roman"/>
        </w:rPr>
        <w:t>323</w:t>
      </w:r>
      <w:bookmarkEnd w:id="227"/>
      <w:r>
        <w:rPr>
          <w:rStyle w:val="JuParaCar"/>
          <w:rFonts w:ascii="Times New Roman" w:hAnsi="Times New Roman"/>
        </w:rPr>
        <w:t xml:space="preserve">. </w:t>
      </w:r>
      <w:r>
        <w:rPr>
          <w:rFonts w:ascii="Times New Roman" w:hAnsi="Times New Roman"/>
        </w:rPr>
        <w:t xml:space="preserve">Lai gan tehnoloģiskās iespējas ir ievērojami palielinājušas to sakaru apjomu, kas šķērso globālo internetu, ir palielinājušies arī draudi, ar kuriem saskaras līgumslēdzējas valstis un to pilsoņi. Tie tostarp ietver globālo terorismu, narkotiku tirdzniecību, cilvēku tirdzniecību un bērnu seksuālu izmantošanu. Daudzi no šiem draudiem izriet no starptautiskiem tīkliem, kuros darbojas naidīgi dalībnieki, kam ir piekļuve aizvien sarežģītākām tehnoloģijām, kuras tiem ļauj sazināties nepamanīti. Piekļuve šādām tehnoloģijām arī ļauj naidīgiem valsts un nevalstiskajiem dalībniekiem traucēt digitālo infrastruktūru un pat demokrātisko procesu atbilstošu darbību, izmantojot kiberuzbrukumus, kas ir nopietns drauds valsts drošībai, kas pēc definīcijas pastāv vienīgi digitālajā vidē un tādējādi var tikt atklāts un izmeklēts vienīgi šajā vidē. Līdz ar to Tiesai ir jāizvērtē līgumslēdzēju valstu masveida pārtveršanas režīmi, kas ir vērtīga tehnoloģiska iespēja jaunu draudu apzināšanai digitālajā vidē, lai nodrošinātu atbilstību </w:t>
      </w:r>
      <w:bookmarkStart w:id="228" w:name="_Hlk64279354"/>
      <w:r>
        <w:rPr>
          <w:rFonts w:ascii="Times New Roman" w:hAnsi="Times New Roman"/>
        </w:rPr>
        <w:t>Konvencijai, atsaucoties uz ieviestajiem drošības pasākumiem aizsardzībai pret patvaļību un ļaunprātīgu izmantošanu</w:t>
      </w:r>
      <w:bookmarkEnd w:id="228"/>
      <w:r>
        <w:rPr>
          <w:rFonts w:ascii="Times New Roman" w:hAnsi="Times New Roman"/>
        </w:rPr>
        <w:t xml:space="preserve"> un pamatojoties uz ierobežotu informāciju par šo režīmu darbības veidu.</w:t>
      </w:r>
    </w:p>
    <w:p w14:paraId="577A838C" w14:textId="77777777" w:rsidR="00F82F2D" w:rsidRPr="008D031E" w:rsidRDefault="00F82F2D" w:rsidP="00F82F2D">
      <w:pPr>
        <w:widowControl w:val="0"/>
        <w:ind w:firstLine="142"/>
        <w:jc w:val="both"/>
        <w:rPr>
          <w:rFonts w:ascii="Times New Roman" w:eastAsia="Times New Roman" w:hAnsi="Times New Roman" w:cs="Times New Roman"/>
          <w:noProof/>
          <w:lang w:val="en-US"/>
        </w:rPr>
      </w:pPr>
    </w:p>
    <w:p w14:paraId="121584BA" w14:textId="77777777" w:rsidR="00F82F2D" w:rsidRDefault="00F82F2D" w:rsidP="00F82F2D">
      <w:pPr>
        <w:pStyle w:val="JuHa0"/>
        <w:keepNext w:val="0"/>
        <w:keepLines w:val="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c) Pārtveršanas esība</w:t>
      </w:r>
    </w:p>
    <w:p w14:paraId="5E919881" w14:textId="77777777" w:rsidR="00F82F2D" w:rsidRPr="004A5F1E" w:rsidRDefault="00F82F2D" w:rsidP="00F82F2D">
      <w:pPr>
        <w:pStyle w:val="JuPara"/>
        <w:widowControl w:val="0"/>
        <w:rPr>
          <w:lang w:val="en-US"/>
        </w:rPr>
      </w:pPr>
    </w:p>
    <w:p w14:paraId="12946AE7" w14:textId="77777777" w:rsidR="00F82F2D" w:rsidRPr="008D031E" w:rsidRDefault="00F82F2D" w:rsidP="00F82F2D">
      <w:pPr>
        <w:pStyle w:val="JuPara"/>
        <w:widowControl w:val="0"/>
        <w:ind w:firstLine="142"/>
        <w:rPr>
          <w:rFonts w:ascii="Times New Roman" w:hAnsi="Times New Roman"/>
          <w:noProof/>
        </w:rPr>
      </w:pPr>
      <w:bookmarkStart w:id="229" w:name="BIRInt"/>
      <w:r>
        <w:rPr>
          <w:rFonts w:ascii="Times New Roman" w:hAnsi="Times New Roman"/>
        </w:rPr>
        <w:t>324</w:t>
      </w:r>
      <w:bookmarkEnd w:id="229"/>
      <w:r>
        <w:rPr>
          <w:rFonts w:ascii="Times New Roman" w:hAnsi="Times New Roman"/>
        </w:rPr>
        <w:t>. Valdība nav apstrīdējusi, ka ir notikusi iejaukšanās 8. pantā noteiktajās pieteikuma iesniedzēju tiesībās, lai gan tā apgalvoja, ka saskaņā ar Konvencijas 8. pantu jēgpilna iejaukšanās varēja notikt vienīgi tad, kad sakarus atlasīja pārbaudei.</w:t>
      </w:r>
    </w:p>
    <w:p w14:paraId="62D5D1D2" w14:textId="77777777" w:rsidR="00F82F2D" w:rsidRPr="008D031E" w:rsidRDefault="00F82F2D" w:rsidP="00F82F2D">
      <w:pPr>
        <w:pStyle w:val="JuPara"/>
        <w:widowControl w:val="0"/>
        <w:ind w:firstLine="142"/>
        <w:rPr>
          <w:rFonts w:ascii="Times New Roman" w:hAnsi="Times New Roman"/>
          <w:noProof/>
        </w:rPr>
      </w:pPr>
      <w:bookmarkStart w:id="230" w:name="Stages"/>
      <w:r>
        <w:rPr>
          <w:rFonts w:ascii="Times New Roman" w:hAnsi="Times New Roman"/>
        </w:rPr>
        <w:t>325</w:t>
      </w:r>
      <w:bookmarkEnd w:id="230"/>
      <w:r>
        <w:rPr>
          <w:rFonts w:ascii="Times New Roman" w:hAnsi="Times New Roman"/>
        </w:rPr>
        <w:t>. Tiesa uzskata, ka masveida pārtveršana ir pakāpenisks process, kurā iejaukšanās 8. pantā noteiktajās personas tiesībās kļūst nopietnāka procesa gaitā. Masveida pārtveršanas režīmi var neatbilst tieši vienam un tam pašam modelim, un dažādi procesa posmi ne vienmēr būs diskrēti vai īstenoti stingrā hronoloģiskā secībā. Tomēr, ņemot vērā šos brīdinājumus, Tiesa uzskata, ka masveida pārtveršanas procesa posmus, kas jāņem vērā, var raksturot šādi:</w:t>
      </w:r>
    </w:p>
    <w:p w14:paraId="3FDF3E14" w14:textId="77777777" w:rsidR="00F82F2D" w:rsidRPr="008D031E" w:rsidRDefault="00F82F2D" w:rsidP="00F82F2D">
      <w:pPr>
        <w:pStyle w:val="JuPara"/>
        <w:widowControl w:val="0"/>
        <w:ind w:left="142" w:firstLine="0"/>
        <w:rPr>
          <w:rFonts w:ascii="Times New Roman" w:hAnsi="Times New Roman"/>
          <w:noProof/>
        </w:rPr>
      </w:pPr>
      <w:r>
        <w:rPr>
          <w:rFonts w:ascii="Times New Roman" w:hAnsi="Times New Roman"/>
        </w:rPr>
        <w:t>a) sakaru un saistīto sakaru datu (proti, pārtvertajiem sakariem piederošo datplūsmas datu) pārtveršana un sākotnējā saglabāšana;</w:t>
      </w:r>
    </w:p>
    <w:p w14:paraId="725D6878" w14:textId="77777777" w:rsidR="00F82F2D" w:rsidRPr="008D031E" w:rsidRDefault="00F82F2D" w:rsidP="00F82F2D">
      <w:pPr>
        <w:pStyle w:val="JuPara"/>
        <w:widowControl w:val="0"/>
        <w:ind w:left="142" w:firstLine="0"/>
        <w:rPr>
          <w:rFonts w:ascii="Times New Roman" w:hAnsi="Times New Roman"/>
          <w:noProof/>
        </w:rPr>
      </w:pPr>
      <w:r>
        <w:rPr>
          <w:rFonts w:ascii="Times New Roman" w:hAnsi="Times New Roman"/>
        </w:rPr>
        <w:t>b) konkrētu selektoru piemērošana saglabātajiem sakariem / saistītajiem sakaru datiem;</w:t>
      </w:r>
    </w:p>
    <w:p w14:paraId="047DB052" w14:textId="77777777" w:rsidR="00F82F2D" w:rsidRPr="008D031E" w:rsidRDefault="00F82F2D" w:rsidP="00F82F2D">
      <w:pPr>
        <w:pStyle w:val="JuPara"/>
        <w:widowControl w:val="0"/>
        <w:ind w:left="142" w:firstLine="0"/>
        <w:rPr>
          <w:rFonts w:ascii="Times New Roman" w:hAnsi="Times New Roman"/>
          <w:noProof/>
        </w:rPr>
      </w:pPr>
      <w:r>
        <w:rPr>
          <w:rFonts w:ascii="Times New Roman" w:hAnsi="Times New Roman"/>
        </w:rPr>
        <w:t>c) atlasīto sakaru / saistīto sakaru datu pārbaude, ko veic analītiķis, un</w:t>
      </w:r>
    </w:p>
    <w:p w14:paraId="64E1DC7B" w14:textId="77777777" w:rsidR="00F82F2D" w:rsidRPr="008D031E" w:rsidRDefault="00F82F2D" w:rsidP="00F82F2D">
      <w:pPr>
        <w:pStyle w:val="JuPara"/>
        <w:widowControl w:val="0"/>
        <w:ind w:left="142" w:firstLine="0"/>
        <w:rPr>
          <w:rFonts w:ascii="Times New Roman" w:hAnsi="Times New Roman"/>
          <w:noProof/>
        </w:rPr>
      </w:pPr>
      <w:r>
        <w:rPr>
          <w:rFonts w:ascii="Times New Roman" w:hAnsi="Times New Roman"/>
        </w:rPr>
        <w:t xml:space="preserve">d) turpmāka datu saglabāšana un “galaprodukta” izmantošana, tostarp apmaiņa ar </w:t>
      </w:r>
      <w:proofErr w:type="spellStart"/>
      <w:r>
        <w:rPr>
          <w:rFonts w:ascii="Times New Roman" w:hAnsi="Times New Roman"/>
        </w:rPr>
        <w:t>trešām</w:t>
      </w:r>
      <w:proofErr w:type="spellEnd"/>
      <w:r>
        <w:rPr>
          <w:rFonts w:ascii="Times New Roman" w:hAnsi="Times New Roman"/>
        </w:rPr>
        <w:t xml:space="preserve"> </w:t>
      </w:r>
      <w:r>
        <w:rPr>
          <w:rFonts w:ascii="Times New Roman" w:hAnsi="Times New Roman"/>
        </w:rPr>
        <w:lastRenderedPageBreak/>
        <w:t>personām.</w:t>
      </w:r>
    </w:p>
    <w:p w14:paraId="47D43858"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326. Posmā, kas Tiesas ieskatā ir pirmais posms, izlūkdienesti masveidā pārtvers elektroniskos sakarus (vai elektronisko sakaru “paketes”). Šie sakari piederēs lielam skaitam personu, no kurām daudzas izlūkdienestus vispār neinteresēs. Šajā posmā var tikt izfiltrēti daži tāda veida sakari, kas, visticamāk, izlūkdienestiem interesi neradīs.</w:t>
      </w:r>
    </w:p>
    <w:p w14:paraId="338263C2"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327. Sākotnējā meklēšana, kas parasti ir automātiska, notiek posmā, ko Tiesa uzskata par otro posmu, kad dažāda veida selektorus, tostarp “spēcīgos selektorus” (piemēram, e-pasta adreses), un/vai kompleksus vaicājumus piemēro saglabātajām sakaru paketēm vai saistītajiem sakaru datiem. Tas var būt posms, kurā minētā procesa ietvaros uzsāk personu izraudzīšanu, izmantojot spēcīgos selektorus.</w:t>
      </w:r>
    </w:p>
    <w:p w14:paraId="2C39D083"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328. Posmā, ko Tiesa uzskata par trešo posmu, analītiķis pirmo reizi pārbauda pārtverto materiālu.</w:t>
      </w:r>
    </w:p>
    <w:p w14:paraId="4100EC8F"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329. Posmā, ko Tiesa uzskata par pēdējo posmu, izlūkdienesti faktiski izmanto pārtverto materiālu. Tas var ietvert izlūkošanas ziņojuma sagatavošanu, materiāla izplatīšanu citiem izlūkdienestiem pārtveršanu veicošajā valstī vai pat materiāla pārraidīšanu ārvalstu izlūkdienestiem.</w:t>
      </w:r>
    </w:p>
    <w:p w14:paraId="5B8001EA"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330. Tiesa uzskata, ka 8. pants attiecas uz visiem iepriekš minētajiem posmiem. Lai gan sākotnējā pārtveršana pēc sakaru daļu tūlītējas atmešanas nerada būtisku iejaukšanos, šādas iejaukšanās pakāpe personas 8. pantā noteiktajās tiesībās masveida pārtveršanas procesa gaitā palielināsies. Šajā ziņā Tiesa ir skaidri norādījusi, ka ar personas privāto dzīvi saistīto datu saglabāšana vien 8. panta nozīmē ir kvalificējama kā iejaukšanās (skat. 1987. gada 26. marta sprieduma lietā “</w:t>
      </w:r>
      <w:proofErr w:type="spellStart"/>
      <w:r>
        <w:rPr>
          <w:rFonts w:ascii="Times New Roman" w:hAnsi="Times New Roman"/>
        </w:rPr>
        <w:t>Leanders</w:t>
      </w:r>
      <w:proofErr w:type="spellEnd"/>
      <w:r>
        <w:rPr>
          <w:rFonts w:ascii="Times New Roman" w:hAnsi="Times New Roman"/>
        </w:rPr>
        <w:t xml:space="preserve"> pret Zviedriju” 48. punktu, A sērija Nr. 116) un ka vajadzība pēc drošības pasākumiem būs lielāka tad, kad tas skar automātiski apstrādātu personas datu aizsardzību (skat. sprieduma iepriekš minētajā lietā “S. un </w:t>
      </w:r>
      <w:proofErr w:type="spellStart"/>
      <w:r>
        <w:rPr>
          <w:rFonts w:ascii="Times New Roman" w:hAnsi="Times New Roman"/>
        </w:rPr>
        <w:t>Mārpers</w:t>
      </w:r>
      <w:proofErr w:type="spellEnd"/>
      <w:r>
        <w:rPr>
          <w:rFonts w:ascii="Times New Roman" w:hAnsi="Times New Roman"/>
        </w:rPr>
        <w:t>” 103. punktu). Tas, ka uzglabātais materiāls ir kodēts, saprotams vienīgi ar datortehnoloģiju palīdzību, un tas, ka to var interpretēt tikai ierobežots personu skaits, nevar ietekmēt šo secinājumu (skat. sprieduma lietā Nr. 27798/95 “</w:t>
      </w:r>
      <w:proofErr w:type="spellStart"/>
      <w:r>
        <w:rPr>
          <w:rFonts w:ascii="Times New Roman" w:hAnsi="Times New Roman"/>
        </w:rPr>
        <w:t>Amans</w:t>
      </w:r>
      <w:proofErr w:type="spellEnd"/>
      <w:r>
        <w:rPr>
          <w:rFonts w:ascii="Times New Roman" w:hAnsi="Times New Roman"/>
        </w:rPr>
        <w:t xml:space="preserve"> [</w:t>
      </w:r>
      <w:proofErr w:type="spellStart"/>
      <w:r>
        <w:rPr>
          <w:rFonts w:ascii="Times New Roman" w:hAnsi="Times New Roman"/>
          <w:i/>
          <w:iCs/>
        </w:rPr>
        <w:t>Amann</w:t>
      </w:r>
      <w:proofErr w:type="spellEnd"/>
      <w:r>
        <w:rPr>
          <w:rFonts w:ascii="Times New Roman" w:hAnsi="Times New Roman"/>
        </w:rPr>
        <w:t>] pret Šveici” [</w:t>
      </w:r>
      <w:proofErr w:type="spellStart"/>
      <w:r>
        <w:rPr>
          <w:rFonts w:ascii="Times New Roman" w:hAnsi="Times New Roman"/>
          <w:i/>
          <w:iCs/>
        </w:rPr>
        <w:t>GC</w:t>
      </w:r>
      <w:proofErr w:type="spellEnd"/>
      <w:r>
        <w:rPr>
          <w:rFonts w:ascii="Times New Roman" w:hAnsi="Times New Roman"/>
        </w:rPr>
        <w:t xml:space="preserve">] 69. punktu, </w:t>
      </w:r>
      <w:proofErr w:type="spellStart"/>
      <w:r>
        <w:rPr>
          <w:rFonts w:ascii="Times New Roman" w:hAnsi="Times New Roman"/>
        </w:rPr>
        <w:t>ECT</w:t>
      </w:r>
      <w:proofErr w:type="spellEnd"/>
      <w:r>
        <w:rPr>
          <w:rFonts w:ascii="Times New Roman" w:hAnsi="Times New Roman"/>
        </w:rPr>
        <w:t xml:space="preserve"> 2000-II, un sprieduma iepriekš minētajā lietā “S. un </w:t>
      </w:r>
      <w:proofErr w:type="spellStart"/>
      <w:r>
        <w:rPr>
          <w:rFonts w:ascii="Times New Roman" w:hAnsi="Times New Roman"/>
        </w:rPr>
        <w:t>Mārpers</w:t>
      </w:r>
      <w:proofErr w:type="spellEnd"/>
      <w:r>
        <w:rPr>
          <w:rFonts w:ascii="Times New Roman" w:hAnsi="Times New Roman"/>
        </w:rPr>
        <w:t>” 67. un 75. punktu). Visbeidzot, procesa beigās, kad analītiķis analizē informāciju par konkrētu personu vai pārbauda sakaru saturu, radīsies vislielākā nepieciešamība pēc drošības pasākumiem. Šī Tiesas pieeja atbilst Venēcijas komisijas secinājumam, kura savā ziņojumā par izlūkošanas aģentūru demokrātisko pārraudzību uzskatīja, ka masveida pārtveršanas procesā visbūtiskākā iejaukšanās tiesībās uz privātās dzīves neaizskaramību notiek brīdī, kad aģentūras apstrādā uzglabātos personas datus un/vai tiem piekļūst (skat. iepriekš 196. punktu).</w:t>
      </w:r>
    </w:p>
    <w:p w14:paraId="58D65149" w14:textId="77777777" w:rsidR="00F82F2D" w:rsidRDefault="00F82F2D" w:rsidP="00F82F2D">
      <w:pPr>
        <w:pStyle w:val="JuPara"/>
        <w:widowControl w:val="0"/>
        <w:ind w:firstLine="142"/>
        <w:rPr>
          <w:rFonts w:ascii="Times New Roman" w:hAnsi="Times New Roman"/>
          <w:noProof/>
        </w:rPr>
      </w:pPr>
      <w:bookmarkStart w:id="231" w:name="BIRIntEnd"/>
      <w:r>
        <w:rPr>
          <w:rFonts w:ascii="Times New Roman" w:hAnsi="Times New Roman"/>
        </w:rPr>
        <w:t>331</w:t>
      </w:r>
      <w:bookmarkEnd w:id="231"/>
      <w:r>
        <w:rPr>
          <w:rFonts w:ascii="Times New Roman" w:hAnsi="Times New Roman"/>
        </w:rPr>
        <w:t>. Līdz ar to pakāpe, kādā notiek iejaukšanās tiesībās uz privātās dzīves neaizskaramību, palielināsies procesa gaitas dažādajos posmos. Izvērtējot, vai šī pastiprinātā iejaukšanās bija pamatota, Tiesa veiks savu novērtējumu par 8. panta 4. punktā noteikto režīmu, pamatojoties uz tās izpratni par iejaukšanās būtību.</w:t>
      </w:r>
    </w:p>
    <w:p w14:paraId="30F95136" w14:textId="77777777" w:rsidR="00F82F2D" w:rsidRPr="008D031E" w:rsidRDefault="00F82F2D" w:rsidP="00F82F2D">
      <w:pPr>
        <w:pStyle w:val="JuPara"/>
        <w:widowControl w:val="0"/>
        <w:ind w:firstLine="142"/>
        <w:rPr>
          <w:rFonts w:ascii="Times New Roman" w:hAnsi="Times New Roman"/>
          <w:noProof/>
          <w:lang w:val="en-US"/>
        </w:rPr>
      </w:pPr>
    </w:p>
    <w:p w14:paraId="67AD4979" w14:textId="77777777" w:rsidR="00F82F2D" w:rsidRDefault="00F82F2D" w:rsidP="00F82F2D">
      <w:pPr>
        <w:pStyle w:val="JuHa0"/>
        <w:keepNext w:val="0"/>
        <w:keepLines w:val="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c) Vai iejaukšanās bija pamatota</w:t>
      </w:r>
    </w:p>
    <w:p w14:paraId="7DE8A462" w14:textId="77777777" w:rsidR="00F82F2D" w:rsidRPr="003A689B" w:rsidRDefault="00F82F2D" w:rsidP="00F82F2D">
      <w:pPr>
        <w:pStyle w:val="JuPara"/>
        <w:widowControl w:val="0"/>
        <w:rPr>
          <w:lang w:val="en-US"/>
        </w:rPr>
      </w:pPr>
    </w:p>
    <w:p w14:paraId="60F7465A" w14:textId="77777777" w:rsidR="00F82F2D" w:rsidRDefault="00F82F2D" w:rsidP="00F82F2D">
      <w:pPr>
        <w:pStyle w:val="JuHi"/>
        <w:keepNext w:val="0"/>
        <w:keepLines w:val="0"/>
        <w:widowControl w:val="0"/>
        <w:numPr>
          <w:ilvl w:val="0"/>
          <w:numId w:val="0"/>
        </w:numPr>
        <w:spacing w:before="0" w:beforeAutospacing="0" w:after="0" w:line="240" w:lineRule="auto"/>
        <w:outlineLvl w:val="9"/>
        <w:rPr>
          <w:rFonts w:ascii="Times New Roman" w:hAnsi="Times New Roman"/>
          <w:noProof/>
          <w:sz w:val="24"/>
        </w:rPr>
      </w:pPr>
      <w:r>
        <w:rPr>
          <w:rFonts w:ascii="Times New Roman" w:hAnsi="Times New Roman"/>
          <w:sz w:val="24"/>
        </w:rPr>
        <w:t>i) Vispārīgie principi attiecībā uz slepeniem uzraudzības pasākumiem, tostarp sakaru pārtveršanu</w:t>
      </w:r>
    </w:p>
    <w:p w14:paraId="0952C330" w14:textId="77777777" w:rsidR="00F82F2D" w:rsidRPr="003A689B" w:rsidRDefault="00F82F2D" w:rsidP="00F82F2D">
      <w:pPr>
        <w:pStyle w:val="JuPara"/>
        <w:widowControl w:val="0"/>
        <w:rPr>
          <w:lang w:val="en-US" w:bidi="en-US"/>
        </w:rPr>
      </w:pPr>
    </w:p>
    <w:p w14:paraId="4716CFC5"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332. Jebkura iejaukšanās personas 8. pantā noteiktajās tiesībās ir pamatota saskaņā ar 8. panta 2. punktu vienīgi tad, ja tā notiek atbilstoši likumam, tai ir viens vai vairāki leģitīmi mērķi, uz kuriem šis punkts attiecas, un ir nepieciešama demokrātiskā sabiedrībā jebkura šāda mērķa sasniegšanai (skat. iepriekš minētā sprieduma lietā “Romāns Zaharovs” 227. punktu un 2010. gada 18. maija sprieduma lietā Nr. 26839/05 “Kenedijs pret Apvienoto Karalisti” 130. punktu). Formulējums “saskaņā ar likumu” pieprasa, lai apstrīdētajam pasākumam būtu </w:t>
      </w:r>
      <w:r>
        <w:rPr>
          <w:rFonts w:ascii="Times New Roman" w:hAnsi="Times New Roman"/>
        </w:rPr>
        <w:lastRenderedPageBreak/>
        <w:t>kāds pamatojums valsts tiesību aktos (pretēji praksei, kas neparedz konkrētu tiesisko pamatu, skat. 2007. gada 1. marta sprieduma lietā “</w:t>
      </w:r>
      <w:proofErr w:type="spellStart"/>
      <w:r>
        <w:rPr>
          <w:rFonts w:ascii="Times New Roman" w:hAnsi="Times New Roman"/>
        </w:rPr>
        <w:t>Heglass</w:t>
      </w:r>
      <w:proofErr w:type="spellEnd"/>
      <w:r>
        <w:rPr>
          <w:rFonts w:ascii="Times New Roman" w:hAnsi="Times New Roman"/>
        </w:rPr>
        <w:t xml:space="preserve"> [</w:t>
      </w:r>
      <w:proofErr w:type="spellStart"/>
      <w:r>
        <w:rPr>
          <w:rFonts w:ascii="Times New Roman" w:hAnsi="Times New Roman"/>
          <w:i/>
          <w:iCs/>
        </w:rPr>
        <w:t>Heglas</w:t>
      </w:r>
      <w:proofErr w:type="spellEnd"/>
      <w:r>
        <w:rPr>
          <w:rFonts w:ascii="Times New Roman" w:hAnsi="Times New Roman"/>
        </w:rPr>
        <w:t xml:space="preserve">] pret Čehijas Republiku” Nr. 5935/02 74. punktu). Tam arī ir jāatbilst tiesiskumam, kas skaidri norādīts Konvencijas preambulā un ir 8. panta mērķa un nolūka pamatā. Tādēļ tiesību aktiem ir jābūt pieejamiem attiecīgajai personai un to ietekmei ir jābūt paredzamai (skat. iepriekš minētā sprieduma lietā “Romāns Zaharovs” 228. punktu, citu iestāžu starpā arī iepriekš minētā sprieduma lietā “Rotaru” 52. punktu, iepriekš minētā sprieduma lietā “S. un </w:t>
      </w:r>
      <w:proofErr w:type="spellStart"/>
      <w:r>
        <w:rPr>
          <w:rFonts w:ascii="Times New Roman" w:hAnsi="Times New Roman"/>
        </w:rPr>
        <w:t>Mārpers</w:t>
      </w:r>
      <w:proofErr w:type="spellEnd"/>
      <w:r>
        <w:rPr>
          <w:rFonts w:ascii="Times New Roman" w:hAnsi="Times New Roman"/>
        </w:rPr>
        <w:t>” 95. punktu, kā arī iepriekš minētā sprieduma lietā “Kenedijs” 151. punktu).</w:t>
      </w:r>
    </w:p>
    <w:p w14:paraId="512D8F68" w14:textId="77777777" w:rsidR="00F82F2D" w:rsidRPr="008D031E" w:rsidRDefault="00F82F2D" w:rsidP="00F82F2D">
      <w:pPr>
        <w:pStyle w:val="JuPara"/>
        <w:widowControl w:val="0"/>
        <w:ind w:firstLine="142"/>
        <w:rPr>
          <w:rFonts w:ascii="Times New Roman" w:eastAsia="Times New Roman" w:hAnsi="Times New Roman" w:cs="Times New Roman"/>
          <w:noProof/>
        </w:rPr>
      </w:pPr>
      <w:r>
        <w:rPr>
          <w:rFonts w:ascii="Times New Roman" w:hAnsi="Times New Roman"/>
        </w:rPr>
        <w:t>333. Jēdziena “</w:t>
      </w:r>
      <w:proofErr w:type="spellStart"/>
      <w:r>
        <w:rPr>
          <w:rFonts w:ascii="Times New Roman" w:hAnsi="Times New Roman"/>
        </w:rPr>
        <w:t>paredzamība</w:t>
      </w:r>
      <w:proofErr w:type="spellEnd"/>
      <w:r>
        <w:rPr>
          <w:rFonts w:ascii="Times New Roman" w:hAnsi="Times New Roman"/>
        </w:rPr>
        <w:t>” nozīme slepenās uzraudzības kontekstā nav tāda pati kā daudzās citās jomās. Īpašajā slepeno uzraudzības pasākumu, piemēram, sakaru pārtveršanas, kontekstā “</w:t>
      </w:r>
      <w:proofErr w:type="spellStart"/>
      <w:r>
        <w:rPr>
          <w:rFonts w:ascii="Times New Roman" w:hAnsi="Times New Roman"/>
        </w:rPr>
        <w:t>paredzamība</w:t>
      </w:r>
      <w:proofErr w:type="spellEnd"/>
      <w:r>
        <w:rPr>
          <w:rFonts w:ascii="Times New Roman" w:hAnsi="Times New Roman"/>
        </w:rPr>
        <w:t>” nevar nozīmēt to, ka personām jāspēj paredzēt, kad iestādes varētu īstenot šādus pasākumus, lai tās varētu attiecīgi pielāgot savu rīcību. Tomēr jo īpaši tad, ja izpildvarai piešķirtās pilnvaras īsteno slepeni, patvaļas risks ir acīmredzams. Tāpēc ir svarīgi, lai būtu skaidri, detalizēti noteikumi par slepeniem uzraudzības pasākumiem, jo īpaši tādēļ, ka lietošanai pieejamās tehnoloģijas pastāvīgi kļūst arvien sarežģītākas. Valsts tiesību aktiem ir jābūt pietiekami skaidriem, lai sniegtu pilsoņiem atbilstošas norādes par apstākļiem un nosacījumiem, kādos valsts iestādes ir pilnvarotas īstenot jebkādus šādus pasākumus (skat. iepriekš minētā sprieduma lietā “Romāns Zaharovs” 229. punktu, iepriekš minētā sprieduma lietā “Malons” 67. punktu, iepriekš minētā sprieduma lietā “</w:t>
      </w:r>
      <w:proofErr w:type="spellStart"/>
      <w:r>
        <w:rPr>
          <w:rFonts w:ascii="Times New Roman" w:hAnsi="Times New Roman"/>
        </w:rPr>
        <w:t>Leanders</w:t>
      </w:r>
      <w:proofErr w:type="spellEnd"/>
      <w:r>
        <w:rPr>
          <w:rFonts w:ascii="Times New Roman" w:hAnsi="Times New Roman"/>
        </w:rPr>
        <w:t>” 51. punktu, iepriekš minētā sprieduma lietā “</w:t>
      </w:r>
      <w:proofErr w:type="spellStart"/>
      <w:r>
        <w:rPr>
          <w:rFonts w:ascii="Times New Roman" w:hAnsi="Times New Roman"/>
        </w:rPr>
        <w:t>Huvigs</w:t>
      </w:r>
      <w:proofErr w:type="spellEnd"/>
      <w:r>
        <w:rPr>
          <w:rFonts w:ascii="Times New Roman" w:hAnsi="Times New Roman"/>
        </w:rPr>
        <w:t>” 29. punktu, iepriekš minētā sprieduma lietā “</w:t>
      </w:r>
      <w:proofErr w:type="spellStart"/>
      <w:r>
        <w:rPr>
          <w:rFonts w:ascii="Times New Roman" w:hAnsi="Times New Roman"/>
        </w:rPr>
        <w:t>Krulēns</w:t>
      </w:r>
      <w:proofErr w:type="spellEnd"/>
      <w:r>
        <w:rPr>
          <w:rFonts w:ascii="Times New Roman" w:hAnsi="Times New Roman"/>
        </w:rPr>
        <w:t>” 30. punktu, 1998. gada 30. jūlija sprieduma lietā “</w:t>
      </w:r>
      <w:proofErr w:type="spellStart"/>
      <w:r>
        <w:rPr>
          <w:rFonts w:ascii="Times New Roman" w:hAnsi="Times New Roman"/>
        </w:rPr>
        <w:t>Valensvela</w:t>
      </w:r>
      <w:proofErr w:type="spellEnd"/>
      <w:r>
        <w:rPr>
          <w:rFonts w:ascii="Times New Roman" w:hAnsi="Times New Roman"/>
        </w:rPr>
        <w:t xml:space="preserve"> </w:t>
      </w:r>
      <w:proofErr w:type="spellStart"/>
      <w:r>
        <w:rPr>
          <w:rFonts w:ascii="Times New Roman" w:hAnsi="Times New Roman"/>
        </w:rPr>
        <w:t>Kontrerass</w:t>
      </w:r>
      <w:proofErr w:type="spellEnd"/>
      <w:r>
        <w:rPr>
          <w:rFonts w:ascii="Times New Roman" w:hAnsi="Times New Roman"/>
        </w:rPr>
        <w:t xml:space="preserve"> [</w:t>
      </w:r>
      <w:proofErr w:type="spellStart"/>
      <w:r>
        <w:rPr>
          <w:rFonts w:ascii="Times New Roman" w:hAnsi="Times New Roman"/>
          <w:i/>
          <w:iCs/>
        </w:rPr>
        <w:t>Valenzuela</w:t>
      </w:r>
      <w:proofErr w:type="spellEnd"/>
      <w:r>
        <w:rPr>
          <w:rFonts w:ascii="Times New Roman" w:hAnsi="Times New Roman"/>
          <w:i/>
          <w:iCs/>
        </w:rPr>
        <w:t xml:space="preserve"> </w:t>
      </w:r>
      <w:proofErr w:type="spellStart"/>
      <w:r>
        <w:rPr>
          <w:rFonts w:ascii="Times New Roman" w:hAnsi="Times New Roman"/>
          <w:i/>
          <w:iCs/>
        </w:rPr>
        <w:t>Contreras</w:t>
      </w:r>
      <w:proofErr w:type="spellEnd"/>
      <w:r>
        <w:rPr>
          <w:rFonts w:ascii="Times New Roman" w:hAnsi="Times New Roman"/>
        </w:rPr>
        <w:t xml:space="preserve">] pret Spāniju” 46. punktu, </w:t>
      </w:r>
      <w:proofErr w:type="spellStart"/>
      <w:r>
        <w:rPr>
          <w:rFonts w:ascii="Times New Roman" w:hAnsi="Times New Roman"/>
          <w:i/>
        </w:rPr>
        <w:t>Reports</w:t>
      </w:r>
      <w:proofErr w:type="spellEnd"/>
      <w:r>
        <w:rPr>
          <w:rFonts w:ascii="Times New Roman" w:hAnsi="Times New Roman"/>
          <w:i/>
        </w:rPr>
        <w:t xml:space="preserve"> </w:t>
      </w:r>
      <w:proofErr w:type="spellStart"/>
      <w:r>
        <w:rPr>
          <w:rFonts w:ascii="Times New Roman" w:hAnsi="Times New Roman"/>
          <w:i/>
        </w:rPr>
        <w:t>of</w:t>
      </w:r>
      <w:proofErr w:type="spellEnd"/>
      <w:r>
        <w:rPr>
          <w:rFonts w:ascii="Times New Roman" w:hAnsi="Times New Roman"/>
          <w:i/>
        </w:rPr>
        <w:t xml:space="preserve"> </w:t>
      </w:r>
      <w:proofErr w:type="spellStart"/>
      <w:r>
        <w:rPr>
          <w:rFonts w:ascii="Times New Roman" w:hAnsi="Times New Roman"/>
          <w:i/>
        </w:rPr>
        <w:t>Judgments</w:t>
      </w:r>
      <w:proofErr w:type="spellEnd"/>
      <w:r>
        <w:rPr>
          <w:rFonts w:ascii="Times New Roman" w:hAnsi="Times New Roman"/>
          <w:i/>
        </w:rPr>
        <w:t xml:space="preserve"> </w:t>
      </w:r>
      <w:proofErr w:type="spellStart"/>
      <w:r>
        <w:rPr>
          <w:rFonts w:ascii="Times New Roman" w:hAnsi="Times New Roman"/>
          <w:i/>
        </w:rPr>
        <w:t>and</w:t>
      </w:r>
      <w:proofErr w:type="spellEnd"/>
      <w:r>
        <w:rPr>
          <w:rFonts w:ascii="Times New Roman" w:hAnsi="Times New Roman"/>
          <w:i/>
        </w:rPr>
        <w:t xml:space="preserve"> </w:t>
      </w:r>
      <w:proofErr w:type="spellStart"/>
      <w:r>
        <w:rPr>
          <w:rFonts w:ascii="Times New Roman" w:hAnsi="Times New Roman"/>
          <w:i/>
        </w:rPr>
        <w:t>Decisions</w:t>
      </w:r>
      <w:proofErr w:type="spellEnd"/>
      <w:r>
        <w:rPr>
          <w:rFonts w:ascii="Times New Roman" w:hAnsi="Times New Roman"/>
          <w:i/>
        </w:rPr>
        <w:t xml:space="preserve"> </w:t>
      </w:r>
      <w:r>
        <w:rPr>
          <w:rFonts w:ascii="Times New Roman" w:hAnsi="Times New Roman"/>
        </w:rPr>
        <w:t>1998</w:t>
      </w:r>
      <w:r>
        <w:rPr>
          <w:rFonts w:ascii="Times New Roman" w:hAnsi="Times New Roman"/>
        </w:rPr>
        <w:noBreakHyphen/>
        <w:t xml:space="preserve">V, iepriekš minētā sprieduma lietā “Rotaru” 55. punktu, iepriekš minētā sprieduma lietā “Vēbere un </w:t>
      </w:r>
      <w:proofErr w:type="spellStart"/>
      <w:r>
        <w:rPr>
          <w:rFonts w:ascii="Times New Roman" w:hAnsi="Times New Roman"/>
        </w:rPr>
        <w:t>Sarāvija</w:t>
      </w:r>
      <w:proofErr w:type="spellEnd"/>
      <w:r>
        <w:rPr>
          <w:rFonts w:ascii="Times New Roman" w:hAnsi="Times New Roman"/>
        </w:rPr>
        <w:t xml:space="preserve">” 93. punktu, kā arī 2007. gada 28. jūnija sprieduma lietā Nr. 62540/00 “Eiropas integrācijas un cilvēktiesību asociācija un </w:t>
      </w:r>
      <w:proofErr w:type="spellStart"/>
      <w:r>
        <w:rPr>
          <w:rFonts w:ascii="Times New Roman" w:hAnsi="Times New Roman"/>
        </w:rPr>
        <w:t>Ekimdžijevs</w:t>
      </w:r>
      <w:proofErr w:type="spellEnd"/>
      <w:r>
        <w:rPr>
          <w:rFonts w:ascii="Times New Roman" w:hAnsi="Times New Roman"/>
        </w:rPr>
        <w:t xml:space="preserve"> [</w:t>
      </w:r>
      <w:proofErr w:type="spellStart"/>
      <w:r>
        <w:rPr>
          <w:rFonts w:ascii="Times New Roman" w:hAnsi="Times New Roman"/>
          <w:i/>
          <w:iCs/>
        </w:rPr>
        <w:t>Ekimdzhiev</w:t>
      </w:r>
      <w:proofErr w:type="spellEnd"/>
      <w:r>
        <w:rPr>
          <w:rFonts w:ascii="Times New Roman" w:hAnsi="Times New Roman"/>
        </w:rPr>
        <w:t>] pret Bulgāriju” 75. punktu). Turklāt tiesību aktos pietiekami skaidri jānorāda jebkuras kompetentajām iestādēm piešķirtās rīcības brīvības apjoms un īstenošanas veids, lai nodrošinātu personai atbilstošu aizsardzību pret patvaļīgu iejaukšanos (skat. iepriekš minētā sprieduma lietā “Romāns Zaharovs” 230. punktu, citu iestāžu starpā arī iepriekš minētā sprieduma lietā “Malons” 68. punktu, iepriekš minētā sprieduma lietā “</w:t>
      </w:r>
      <w:proofErr w:type="spellStart"/>
      <w:r>
        <w:rPr>
          <w:rFonts w:ascii="Times New Roman" w:hAnsi="Times New Roman"/>
        </w:rPr>
        <w:t>Leanders</w:t>
      </w:r>
      <w:proofErr w:type="spellEnd"/>
      <w:r>
        <w:rPr>
          <w:rFonts w:ascii="Times New Roman" w:hAnsi="Times New Roman"/>
        </w:rPr>
        <w:t>” 51. punktu, iepriekš minētā sprieduma lietā “</w:t>
      </w:r>
      <w:proofErr w:type="spellStart"/>
      <w:r>
        <w:rPr>
          <w:rFonts w:ascii="Times New Roman" w:hAnsi="Times New Roman"/>
        </w:rPr>
        <w:t>Huvigs</w:t>
      </w:r>
      <w:proofErr w:type="spellEnd"/>
      <w:r>
        <w:rPr>
          <w:rFonts w:ascii="Times New Roman" w:hAnsi="Times New Roman"/>
        </w:rPr>
        <w:t>” 29. punktu, iepriekš minētā sprieduma lietā “</w:t>
      </w:r>
      <w:proofErr w:type="spellStart"/>
      <w:r>
        <w:rPr>
          <w:rFonts w:ascii="Times New Roman" w:hAnsi="Times New Roman"/>
        </w:rPr>
        <w:t>Krulēns</w:t>
      </w:r>
      <w:proofErr w:type="spellEnd"/>
      <w:r>
        <w:rPr>
          <w:rFonts w:ascii="Times New Roman" w:hAnsi="Times New Roman"/>
        </w:rPr>
        <w:t xml:space="preserve">” 30. punktu, kā arī iepriekš minētā sprieduma lietā “Vēbere un </w:t>
      </w:r>
      <w:proofErr w:type="spellStart"/>
      <w:r>
        <w:rPr>
          <w:rFonts w:ascii="Times New Roman" w:hAnsi="Times New Roman"/>
        </w:rPr>
        <w:t>Sarāvija</w:t>
      </w:r>
      <w:proofErr w:type="spellEnd"/>
      <w:r>
        <w:rPr>
          <w:rFonts w:ascii="Times New Roman" w:hAnsi="Times New Roman"/>
        </w:rPr>
        <w:t>” 94. punktu).</w:t>
      </w:r>
    </w:p>
    <w:p w14:paraId="5BE376A0" w14:textId="77777777" w:rsidR="00F82F2D" w:rsidRPr="008D031E" w:rsidRDefault="00F82F2D" w:rsidP="00F82F2D">
      <w:pPr>
        <w:pStyle w:val="JuPara"/>
        <w:widowControl w:val="0"/>
        <w:ind w:firstLine="142"/>
        <w:rPr>
          <w:rFonts w:ascii="Times New Roman" w:hAnsi="Times New Roman"/>
          <w:noProof/>
        </w:rPr>
      </w:pPr>
      <w:bookmarkStart w:id="232" w:name="forandnec"/>
      <w:r>
        <w:rPr>
          <w:rFonts w:ascii="Times New Roman" w:hAnsi="Times New Roman"/>
        </w:rPr>
        <w:t>334</w:t>
      </w:r>
      <w:bookmarkEnd w:id="232"/>
      <w:r>
        <w:rPr>
          <w:rFonts w:ascii="Times New Roman" w:hAnsi="Times New Roman"/>
        </w:rPr>
        <w:t>. Lietās, kad Tiesā tiek apstrīdēts tiesību akts, kas pieļauj slepenu uzraudzību, iejaukšanās likumība ir cieši saistīta ar jautājumu, vai ir ievērots “nepieciešamības” nosacījums, tāpēc Tiesai ir lietderīgi kopīgi izvērtēt prasības par tādiem apstākļiem kā “saskaņā ar likumu” un “nepieciešamība”. Jēdziens “tiesību aktu kvalitāte” šajā ziņā nozīmē to, ka valsts tiesību aktiem jābūt ne tikai pieejamiem un paredzamiem saistībā ar to piemērošanu, bet arī jānodrošina, lai slepenie uzraudzības pasākumi tiktu piemēroti vienīgi tad, kad tas “nepieciešams demokrātiskā sabiedrībā”, jo īpaši paredzot atbilstošus un efektīvus drošības pasākumus un garantijas pret ļaunprātīgu izmantošanu (skat. iepriekš minētā sprieduma lietā “Romāns Zaharovs” 236. punktu un iepriekš minētā sprieduma lietā “Kenedijs” 155. punktu).</w:t>
      </w:r>
    </w:p>
    <w:p w14:paraId="404ABCE7" w14:textId="77777777" w:rsidR="00F82F2D" w:rsidRPr="008D031E" w:rsidRDefault="00F82F2D" w:rsidP="00F82F2D">
      <w:pPr>
        <w:pStyle w:val="JuPara"/>
        <w:widowControl w:val="0"/>
        <w:ind w:firstLine="142"/>
        <w:rPr>
          <w:rFonts w:ascii="Times New Roman" w:hAnsi="Times New Roman"/>
          <w:b/>
          <w:noProof/>
        </w:rPr>
      </w:pPr>
      <w:bookmarkStart w:id="233" w:name="SixReqs"/>
      <w:r>
        <w:rPr>
          <w:rFonts w:ascii="Times New Roman" w:hAnsi="Times New Roman"/>
        </w:rPr>
        <w:t>335</w:t>
      </w:r>
      <w:bookmarkEnd w:id="233"/>
      <w:r>
        <w:rPr>
          <w:rFonts w:ascii="Times New Roman" w:hAnsi="Times New Roman"/>
        </w:rPr>
        <w:t xml:space="preserve">. Šajā ziņā jāatkārto, ka Tiesa savā judikatūrā par sakaru pārtveršanu </w:t>
      </w:r>
      <w:proofErr w:type="spellStart"/>
      <w:r>
        <w:rPr>
          <w:rFonts w:ascii="Times New Roman" w:hAnsi="Times New Roman"/>
        </w:rPr>
        <w:t>kriminālizmeklēšanā</w:t>
      </w:r>
      <w:proofErr w:type="spellEnd"/>
      <w:r>
        <w:rPr>
          <w:rFonts w:ascii="Times New Roman" w:hAnsi="Times New Roman"/>
        </w:rPr>
        <w:t xml:space="preserve"> ir izstrādājusi šādas minimālās prasības, kas jānosaka tiesību aktos, lai izvairītos no pilnvaru ļaunprātīgas izmantošanas: i) to nodarījumu būtība, kas var būt par pamatu pārtveršanas rīkojuma izdošanai; ii) to personu kategorijas, kuru sakarus var pārtvert; iii) pārtveršanas ilguma ierobežojums; iv) iegūto datu pārbaudes, izmantošanas un uzglabāšanas kārtība; v) veicamie piesardzības pasākumi, paziņojot datus citām pusēm, un vi) apstākļi, kādos pārtvertos datus atļauts vai ir pienākums dzēst vai iznīcināt (skat. iepriekš minētā sprieduma lietā “</w:t>
      </w:r>
      <w:proofErr w:type="spellStart"/>
      <w:r>
        <w:rPr>
          <w:rFonts w:ascii="Times New Roman" w:hAnsi="Times New Roman"/>
        </w:rPr>
        <w:t>Huvigs</w:t>
      </w:r>
      <w:proofErr w:type="spellEnd"/>
      <w:r>
        <w:rPr>
          <w:rFonts w:ascii="Times New Roman" w:hAnsi="Times New Roman"/>
        </w:rPr>
        <w:t>” 34. punktu, iepriekš minētā sprieduma lietā “</w:t>
      </w:r>
      <w:proofErr w:type="spellStart"/>
      <w:r>
        <w:rPr>
          <w:rFonts w:ascii="Times New Roman" w:hAnsi="Times New Roman"/>
        </w:rPr>
        <w:t>Krulēns</w:t>
      </w:r>
      <w:proofErr w:type="spellEnd"/>
      <w:r>
        <w:rPr>
          <w:rFonts w:ascii="Times New Roman" w:hAnsi="Times New Roman"/>
        </w:rPr>
        <w:t>” 35. punktu, iepriekš minētā sprieduma lietā “</w:t>
      </w:r>
      <w:proofErr w:type="spellStart"/>
      <w:r>
        <w:rPr>
          <w:rFonts w:ascii="Times New Roman" w:hAnsi="Times New Roman"/>
        </w:rPr>
        <w:t>Valensvela</w:t>
      </w:r>
      <w:proofErr w:type="spellEnd"/>
      <w:r>
        <w:rPr>
          <w:rFonts w:ascii="Times New Roman" w:hAnsi="Times New Roman"/>
        </w:rPr>
        <w:t xml:space="preserve"> </w:t>
      </w:r>
      <w:proofErr w:type="spellStart"/>
      <w:r>
        <w:rPr>
          <w:rFonts w:ascii="Times New Roman" w:hAnsi="Times New Roman"/>
        </w:rPr>
        <w:t>Kontrerass</w:t>
      </w:r>
      <w:proofErr w:type="spellEnd"/>
      <w:r>
        <w:rPr>
          <w:rFonts w:ascii="Times New Roman" w:hAnsi="Times New Roman"/>
        </w:rPr>
        <w:t xml:space="preserve">” 46. punktu, iepriekš minētā sprieduma lietā “Vēbere un </w:t>
      </w:r>
      <w:proofErr w:type="spellStart"/>
      <w:r>
        <w:rPr>
          <w:rFonts w:ascii="Times New Roman" w:hAnsi="Times New Roman"/>
        </w:rPr>
        <w:t>Sarāvija</w:t>
      </w:r>
      <w:proofErr w:type="spellEnd"/>
      <w:r>
        <w:rPr>
          <w:rFonts w:ascii="Times New Roman" w:hAnsi="Times New Roman"/>
        </w:rPr>
        <w:t xml:space="preserve">” </w:t>
      </w:r>
      <w:r>
        <w:rPr>
          <w:rFonts w:ascii="Times New Roman" w:hAnsi="Times New Roman"/>
        </w:rPr>
        <w:lastRenderedPageBreak/>
        <w:t xml:space="preserve">95. punktu, kā arī iepriekš minētā sprieduma lietā “Eiropas integrācijas un cilvēktiesību asociācija un </w:t>
      </w:r>
      <w:proofErr w:type="spellStart"/>
      <w:r>
        <w:rPr>
          <w:rFonts w:ascii="Times New Roman" w:hAnsi="Times New Roman"/>
        </w:rPr>
        <w:t>Ekimdžijevs</w:t>
      </w:r>
      <w:proofErr w:type="spellEnd"/>
      <w:r>
        <w:rPr>
          <w:rFonts w:ascii="Times New Roman" w:hAnsi="Times New Roman"/>
        </w:rPr>
        <w:t>” 76. punktu). Spriedumā lietā “Romāns Zaharovs” (minēts iepriekš, 231. punkts) Tiesa apstiprināja, ka tie paši seši minimālie drošības pasākumi attiecas arī uz gadījumiem, kad pārtveršana tiek veikta valsts drošības interesēs, taču, nosakot, vai ar apstrīdēto tiesisko regulējumu pārkāpts 8. pants, tā ņēma vērā arī slepenās uzraudzības pasākumu īstenošanas pārraudzības kārtību, jebkurus paziņošanas mehānismus un valsts tiesību aktos paredzētos tiesiskās aizsardzības līdzekļus (skat. iepriekš minētā sprieduma lietā “Romāns Zaharovs” 238. punktu).</w:t>
      </w:r>
    </w:p>
    <w:p w14:paraId="0E3DCF86"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336. Slepenās uzraudzības pasākumus var pārskatīt un pārraudzīt trīs posmos, proti, kad izdots pirmais rīkojums par uzraudzību, uzraudzības laikā vai pēc uzraudzības pabeigšanas. Attiecībā uz pirmajiem diviem posmiem jānorāda, ka slepenās uzraudzības pati būtība un loģika nosaka, ka bez personas ziņas veicama ne tikai pati uzraudzība, bet arī ar to saistītā pārskatīšana. Līdz ar to, tā kā personai būs liegts pašai meklēt efektīvus tiesiskās aizsardzības līdzekļus vai tieši piedalīties jebkurā pārskatīšanas procesā, ir svarīgi, lai noteiktās procedūras pašas par sevi nodrošinātu atbilstošas un līdzvērtīgas garantijas, kas aizsargā šīs personas tiesības. Jomā, kurā ļaunprātīga izmantošana atsevišķās lietās, iespējams, ir tik vienkārša un var radīt tik kaitīgas sekas demokrātiskai sabiedrībai kopumā, Tiesa ir atzinusi, ka pārraudzības kontroli principā vēlams uzticēt tiesnesim, tiesas veiktai kontrolei nodrošinot vislabākās neatkarības, objektivitātes un atbilstošas procedūras garantijas (skat. iepriekš minētā sprieduma lietā “Romāns Zaharovs” 233. punktu, kā arī 1987. gada 6. septembra sprieduma lietā “</w:t>
      </w:r>
      <w:proofErr w:type="spellStart"/>
      <w:r>
        <w:rPr>
          <w:rFonts w:ascii="Times New Roman" w:hAnsi="Times New Roman"/>
        </w:rPr>
        <w:t>Klass</w:t>
      </w:r>
      <w:proofErr w:type="spellEnd"/>
      <w:r>
        <w:rPr>
          <w:rFonts w:ascii="Times New Roman" w:hAnsi="Times New Roman"/>
        </w:rPr>
        <w:t xml:space="preserve"> un citi pret Vāciju” 55. un 56. punktu, A sērija Nr. 28).</w:t>
      </w:r>
    </w:p>
    <w:p w14:paraId="744F06D7" w14:textId="77777777" w:rsidR="00F82F2D" w:rsidRPr="008D031E" w:rsidRDefault="00F82F2D" w:rsidP="00F82F2D">
      <w:pPr>
        <w:pStyle w:val="JuPara"/>
        <w:widowControl w:val="0"/>
        <w:ind w:firstLine="142"/>
        <w:rPr>
          <w:rFonts w:ascii="Times New Roman" w:eastAsia="Times New Roman" w:hAnsi="Times New Roman" w:cs="Times New Roman"/>
          <w:noProof/>
        </w:rPr>
      </w:pPr>
      <w:r>
        <w:rPr>
          <w:rFonts w:ascii="Times New Roman" w:hAnsi="Times New Roman"/>
        </w:rPr>
        <w:t>337. Attiecībā uz trešo posmu pēc uzraudzības pabeigšanas jautājums par turpmāku informēšanu saistībā ar uzraudzības pasākumiem ir svarīgs faktors, tiesā izvērtējot tiesiskās aizsardzības līdzekļu efektivitāti un tādēļ arī to, vai ir ieviesti efektīvi drošības pasākumi pret uzraudzības pilnvaru ļaunprātīgu izmantošanu. Attiecīgajai personai principā ir maz iespēju vērsties tiesā, ja vien šī persona nav informēta par pasākumiem, kas veikti bez tās ziņas, tādēļ tā nevar apstrīdēt to likumību ar atpakaļejošu spēku (skat. iepriekš minētā sprieduma lietā “Romāns Zaharovs” 234. punktu, iepriekš minētā sprieduma lietā “</w:t>
      </w:r>
      <w:proofErr w:type="spellStart"/>
      <w:r>
        <w:rPr>
          <w:rFonts w:ascii="Times New Roman" w:hAnsi="Times New Roman"/>
        </w:rPr>
        <w:t>Klass</w:t>
      </w:r>
      <w:proofErr w:type="spellEnd"/>
      <w:r>
        <w:rPr>
          <w:rFonts w:ascii="Times New Roman" w:hAnsi="Times New Roman"/>
        </w:rPr>
        <w:t xml:space="preserve"> un citi” 57. punktu, kā arī iepriekš minētā sprieduma lietā “Vēbere un </w:t>
      </w:r>
      <w:proofErr w:type="spellStart"/>
      <w:r>
        <w:rPr>
          <w:rFonts w:ascii="Times New Roman" w:hAnsi="Times New Roman"/>
        </w:rPr>
        <w:t>Sarāvija</w:t>
      </w:r>
      <w:proofErr w:type="spellEnd"/>
      <w:r>
        <w:rPr>
          <w:rFonts w:ascii="Times New Roman" w:hAnsi="Times New Roman"/>
        </w:rPr>
        <w:t>” 135. punktu), vai ja vien jebkura persona, kurai radušās aizdomas, ka tā tikusi uzraudzīta, nevar vērsties tiesās, kuru jurisdikcija nav atkarīga no tā, vai uzraudzības subjekts ticis informēts par veiktajiem pasākumiem (skat. iepriekš minētā sprieduma lietā “Romāns Zaharovs” 234. punktu, kā arī iepriekš minētā sprieduma lietā “Kenedijs” 167. punktu).</w:t>
      </w:r>
    </w:p>
    <w:p w14:paraId="16C66B08"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338. Attiecībā uz jautājumu, vai iejaukšanās bija “nepieciešama demokrātiskā sabiedrībā” leģitīma mērķa sasniegšanai, Tiesa ir atzinusi, ka valsts iestādēm ir plaša rīcības brīvība, izvēloties, kā vislabāk sasniegt leģitīmo mērķi aizsargāt valsts drošību (skat. iepriekš minētā sprieduma lietā “Vēbere un </w:t>
      </w:r>
      <w:proofErr w:type="spellStart"/>
      <w:r>
        <w:rPr>
          <w:rFonts w:ascii="Times New Roman" w:hAnsi="Times New Roman"/>
        </w:rPr>
        <w:t>Sarāvija</w:t>
      </w:r>
      <w:proofErr w:type="spellEnd"/>
      <w:r>
        <w:rPr>
          <w:rFonts w:ascii="Times New Roman" w:hAnsi="Times New Roman"/>
        </w:rPr>
        <w:t>” 106. punktu).</w:t>
      </w:r>
    </w:p>
    <w:p w14:paraId="5504CE5F" w14:textId="77777777" w:rsidR="00F82F2D" w:rsidRDefault="00F82F2D" w:rsidP="00F82F2D">
      <w:pPr>
        <w:pStyle w:val="JuPara"/>
        <w:widowControl w:val="0"/>
        <w:ind w:firstLine="142"/>
        <w:rPr>
          <w:rFonts w:ascii="Times New Roman" w:eastAsia="Times New Roman" w:hAnsi="Times New Roman" w:cs="Times New Roman"/>
          <w:noProof/>
        </w:rPr>
      </w:pPr>
      <w:r>
        <w:rPr>
          <w:rFonts w:ascii="Times New Roman" w:hAnsi="Times New Roman"/>
        </w:rPr>
        <w:t xml:space="preserve">339. Tomēr šī rīcības brīvība ir pakļauta Eiropas pārraudzībai, kas ietver gan tiesisko regulējumu, gan lēmumus, ar kuriem to piemēro. Ņemot vērā risku, ka slepenās uzraudzības sistēma, kas izveidota, lai aizsargātu valsts drošību (un citas būtiskas valsts intereses), var apdraudēt vai pat iznīcināt demokrātisko procesu atbilstošu darbību to aizsardzības aizsegā, Tiesai ir jāpārliecinās, ka ir pieejamas atbilstošas un efektīvas garantijas pret ļaunprātīgu izmantošanu. Šis </w:t>
      </w:r>
      <w:proofErr w:type="spellStart"/>
      <w:r>
        <w:rPr>
          <w:rFonts w:ascii="Times New Roman" w:hAnsi="Times New Roman"/>
        </w:rPr>
        <w:t>izvērtējums</w:t>
      </w:r>
      <w:proofErr w:type="spellEnd"/>
      <w:r>
        <w:rPr>
          <w:rFonts w:ascii="Times New Roman" w:hAnsi="Times New Roman"/>
        </w:rPr>
        <w:t xml:space="preserve"> ir atkarīgs no visiem lietas apstākļiem, piemēram, iespējamo pasākumu būtības, apjoma un ilguma, to uzdošanas pamatojuma, iestādēm, kuras ir kompetentas tos atļaut, īstenot un pārraudzīt, kā arī no valsts tiesību aktos paredzētā tiesiskās aizsardzības līdzekļa veida. Tiesai ir jānosaka, vai ierobežojošo pasākumu uzdošanas un īstenošanas pārraudzības procedūras ir tādas, lai “iejaukšanās” būtu “nepieciešama demokrātiskā sabiedrībā” (skat. iepriekš minētā sprieduma lietā “Romāns Zaharovs” 232. punktu, iepriekš minētā sprieduma lietā “</w:t>
      </w:r>
      <w:proofErr w:type="spellStart"/>
      <w:r>
        <w:rPr>
          <w:rFonts w:ascii="Times New Roman" w:hAnsi="Times New Roman"/>
        </w:rPr>
        <w:t>Klass</w:t>
      </w:r>
      <w:proofErr w:type="spellEnd"/>
      <w:r>
        <w:rPr>
          <w:rFonts w:ascii="Times New Roman" w:hAnsi="Times New Roman"/>
        </w:rPr>
        <w:t xml:space="preserve"> un citi” 49., 50. un 59. punktu, iepriekš minētā sprieduma lietā “Vēbere un </w:t>
      </w:r>
      <w:proofErr w:type="spellStart"/>
      <w:r>
        <w:rPr>
          <w:rFonts w:ascii="Times New Roman" w:hAnsi="Times New Roman"/>
        </w:rPr>
        <w:t>Sarāvija</w:t>
      </w:r>
      <w:proofErr w:type="spellEnd"/>
      <w:r>
        <w:rPr>
          <w:rFonts w:ascii="Times New Roman" w:hAnsi="Times New Roman"/>
        </w:rPr>
        <w:t xml:space="preserve">” 106. punktu, kā arī iepriekš minētā sprieduma lietā </w:t>
      </w:r>
      <w:r>
        <w:rPr>
          <w:rFonts w:ascii="Times New Roman" w:hAnsi="Times New Roman"/>
        </w:rPr>
        <w:lastRenderedPageBreak/>
        <w:t>“Kenedijs” 153. un 154. punktu).</w:t>
      </w:r>
    </w:p>
    <w:p w14:paraId="346E02C1" w14:textId="77777777" w:rsidR="00F82F2D" w:rsidRPr="008D031E" w:rsidRDefault="00F82F2D" w:rsidP="00F82F2D">
      <w:pPr>
        <w:pStyle w:val="JuPara"/>
        <w:widowControl w:val="0"/>
        <w:ind w:firstLine="142"/>
        <w:rPr>
          <w:rFonts w:ascii="Times New Roman" w:eastAsia="Times New Roman" w:hAnsi="Times New Roman" w:cs="Times New Roman"/>
          <w:noProof/>
          <w:lang w:val="en-US"/>
        </w:rPr>
      </w:pPr>
    </w:p>
    <w:p w14:paraId="7B6C83B2" w14:textId="77777777" w:rsidR="00F82F2D" w:rsidRDefault="00F82F2D" w:rsidP="00F82F2D">
      <w:pPr>
        <w:pStyle w:val="JuHi"/>
        <w:keepNext w:val="0"/>
        <w:keepLines w:val="0"/>
        <w:widowControl w:val="0"/>
        <w:numPr>
          <w:ilvl w:val="0"/>
          <w:numId w:val="0"/>
        </w:numPr>
        <w:spacing w:before="0" w:beforeAutospacing="0" w:after="0" w:line="240" w:lineRule="auto"/>
        <w:outlineLvl w:val="9"/>
        <w:rPr>
          <w:rFonts w:ascii="Times New Roman" w:hAnsi="Times New Roman"/>
          <w:noProof/>
          <w:sz w:val="24"/>
        </w:rPr>
      </w:pPr>
      <w:r>
        <w:rPr>
          <w:rFonts w:ascii="Times New Roman" w:hAnsi="Times New Roman"/>
          <w:sz w:val="24"/>
        </w:rPr>
        <w:t>ii) Par to, vai nepieciešams izstrādāt judikatūru</w:t>
      </w:r>
    </w:p>
    <w:p w14:paraId="0D053ED9" w14:textId="77777777" w:rsidR="00F82F2D" w:rsidRPr="003A689B" w:rsidRDefault="00F82F2D" w:rsidP="00F82F2D">
      <w:pPr>
        <w:pStyle w:val="JuPara"/>
        <w:widowControl w:val="0"/>
        <w:rPr>
          <w:lang w:val="en-US" w:bidi="en-US"/>
        </w:rPr>
      </w:pPr>
    </w:p>
    <w:p w14:paraId="1D48D5FD"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340. Lietās “Vēbere un </w:t>
      </w:r>
      <w:proofErr w:type="spellStart"/>
      <w:r>
        <w:rPr>
          <w:rFonts w:ascii="Times New Roman" w:hAnsi="Times New Roman"/>
        </w:rPr>
        <w:t>Sarāvija</w:t>
      </w:r>
      <w:proofErr w:type="spellEnd"/>
      <w:r>
        <w:rPr>
          <w:rFonts w:ascii="Times New Roman" w:hAnsi="Times New Roman"/>
        </w:rPr>
        <w:t>” un ““</w:t>
      </w:r>
      <w:proofErr w:type="spellStart"/>
      <w:r>
        <w:rPr>
          <w:rFonts w:ascii="Times New Roman" w:hAnsi="Times New Roman"/>
        </w:rPr>
        <w:t>Liberty</w:t>
      </w:r>
      <w:proofErr w:type="spellEnd"/>
      <w:r>
        <w:rPr>
          <w:rFonts w:ascii="Times New Roman" w:hAnsi="Times New Roman"/>
        </w:rPr>
        <w:t xml:space="preserve">” un citi” (minētas iepriekš) Tiesa piekrita tam, ka masveida pārtveršanas režīmi </w:t>
      </w:r>
      <w:r>
        <w:rPr>
          <w:rFonts w:ascii="Times New Roman" w:hAnsi="Times New Roman"/>
          <w:i/>
          <w:iCs/>
        </w:rPr>
        <w:t>per se</w:t>
      </w:r>
      <w:r>
        <w:rPr>
          <w:rFonts w:ascii="Times New Roman" w:hAnsi="Times New Roman"/>
        </w:rPr>
        <w:t xml:space="preserve"> neietilpa valstu rīcības brīvības robežās. Ņemot vērā to draudu izplatību, ar ko valstis pašlaik saskaras tādu starptautisku dalībnieku tīklos, kuri izmanto internetu gan saziņai, gan kā līdzekli, un to, ka viņu rīcībā ir sarežģīta tehnoloģija, kas ļauj šiem dalībniekiem izvairīties no atklāšanas (skat. iepriekš </w:t>
      </w:r>
      <w:r>
        <w:rPr>
          <w:rStyle w:val="JuParaCar"/>
          <w:rFonts w:ascii="Times New Roman" w:hAnsi="Times New Roman"/>
        </w:rPr>
        <w:t>323.</w:t>
      </w:r>
      <w:r>
        <w:rPr>
          <w:rFonts w:ascii="Times New Roman" w:hAnsi="Times New Roman"/>
        </w:rPr>
        <w:t> punktu), Tiesa uzskata, ka lēmums par masveida pārtveršanas režīma izmantošanu, lai apzinātu draudus valsts drošībai vai būtiskām valsts interesēm, joprojām ietilpst šajās rīcības brīvības robežās.</w:t>
      </w:r>
    </w:p>
    <w:p w14:paraId="0E460582"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341. Gan lietā “Vēbere un </w:t>
      </w:r>
      <w:proofErr w:type="spellStart"/>
      <w:r>
        <w:rPr>
          <w:rFonts w:ascii="Times New Roman" w:hAnsi="Times New Roman"/>
        </w:rPr>
        <w:t>Sarāvija</w:t>
      </w:r>
      <w:proofErr w:type="spellEnd"/>
      <w:r>
        <w:rPr>
          <w:rFonts w:ascii="Times New Roman" w:hAnsi="Times New Roman"/>
        </w:rPr>
        <w:t>”, gan lietā ““</w:t>
      </w:r>
      <w:proofErr w:type="spellStart"/>
      <w:r>
        <w:rPr>
          <w:rFonts w:ascii="Times New Roman" w:hAnsi="Times New Roman"/>
        </w:rPr>
        <w:t>Liberty</w:t>
      </w:r>
      <w:proofErr w:type="spellEnd"/>
      <w:r>
        <w:rPr>
          <w:rFonts w:ascii="Times New Roman" w:hAnsi="Times New Roman"/>
        </w:rPr>
        <w:t xml:space="preserve">” un citi” (minētas iepriekš) Tiesa piemēroja iepriekš minētos minimālos sešus drošības pasākumus, kas izstrādāti tās judikatūrā par mērķētu pārtveršanu (skat. iepriekš 335. punktu). Tomēr, lai gan šajās lietās aplūkotie masveida pārtveršanas režīmi līdzinājās šajā lietā aplūkotajiem režīmiem, abas lietas izskatīja vairāk nekā pirms desmit gadiem, un pēdējos gados tehnoloģiju attīstība ir būtiski mainījusi veidu, kādā cilvēki sazinās. Cilvēki aizvien lielāku daļu savas dzīves pavada tiešsaistē, radot gan ievērojami lielāku elektronisko sakaru apjomu, gan saziņas aktu saturu, kuru būtība un kvalitāte ievērojami atšķiras no tiem, kas, iespējams, tika radīti pirms desmit gadiem (skat. iepriekš </w:t>
      </w:r>
      <w:r>
        <w:rPr>
          <w:rStyle w:val="JuParaCar"/>
          <w:rFonts w:ascii="Times New Roman" w:hAnsi="Times New Roman"/>
        </w:rPr>
        <w:t>322.</w:t>
      </w:r>
      <w:r>
        <w:rPr>
          <w:rFonts w:ascii="Times New Roman" w:hAnsi="Times New Roman"/>
        </w:rPr>
        <w:t> punktu). Līdz ar to minētajās lietās aplūkotās uzraudzības darbības apjoms būtu bijis daudz šaurāks.</w:t>
      </w:r>
    </w:p>
    <w:p w14:paraId="2F4E015A" w14:textId="77777777" w:rsidR="00F82F2D" w:rsidRPr="008D031E" w:rsidRDefault="00F82F2D" w:rsidP="00F82F2D">
      <w:pPr>
        <w:pStyle w:val="JuPara"/>
        <w:widowControl w:val="0"/>
        <w:ind w:firstLine="142"/>
        <w:rPr>
          <w:rFonts w:ascii="Times New Roman" w:hAnsi="Times New Roman"/>
          <w:noProof/>
        </w:rPr>
      </w:pPr>
      <w:bookmarkStart w:id="234" w:name="RCDIntrusiveness"/>
      <w:r>
        <w:rPr>
          <w:rFonts w:ascii="Times New Roman" w:hAnsi="Times New Roman"/>
        </w:rPr>
        <w:t>342</w:t>
      </w:r>
      <w:bookmarkEnd w:id="234"/>
      <w:r>
        <w:rPr>
          <w:rFonts w:ascii="Times New Roman" w:hAnsi="Times New Roman"/>
        </w:rPr>
        <w:t xml:space="preserve">. Tas līdzvērtīgi attiecas uz saistītajiem sakaru datiem. Kā savā ziņojumā norādīja </w:t>
      </w:r>
      <w:proofErr w:type="spellStart"/>
      <w:r>
        <w:rPr>
          <w:rFonts w:ascii="Times New Roman" w:hAnsi="Times New Roman"/>
          <w:i/>
          <w:iCs/>
        </w:rPr>
        <w:t>ISR</w:t>
      </w:r>
      <w:proofErr w:type="spellEnd"/>
      <w:r>
        <w:rPr>
          <w:rFonts w:ascii="Times New Roman" w:hAnsi="Times New Roman"/>
        </w:rPr>
        <w:t>, pašlaik par personu ir pieejams lielāks sakaru datu apjoms salīdzinājumā ar saturu, jo katru saturu aptver vairākas sakaru datu vienības (skat. iepriekš 159. punktu). Lai gan saturs var būt šifrēts un katrā ziņā var neatklāt neko nozīmīgu par sūtītāju vai saņēmēju, saistītie sakaru dati var atklāt daudz personas datu, piemēram, sūtītāja un saņēmēja identitāti un ģeogrāfisko atrašanās vietu, kā arī ierīces, ar kuru starpniecību sakari tika pārraidīti. Turklāt jebkura iejaukšanās, kam par pamatu bija sakaru datu iegūšana, būs vēl jo nopietnāka, kad šos datus iegūs masveidā, jo tagad tos var analizēt un pārbaudīt, lai radītu ļoti privātu priekšstatu par personu, kartējot sociālos tīklus, nosakot atrašanās vietu, sekojot līdzi interneta pārlūkošanai, kartējot līdzības saziņā, kā arī uzzinot, ar ko attiecīgā persona sazinās (skat. iepriekš 317. punktu).</w:t>
      </w:r>
    </w:p>
    <w:p w14:paraId="5E96AB37"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343. Tomēr, kas ir vēl būtiskāk, Tiesa lietās “Vēbere un </w:t>
      </w:r>
      <w:proofErr w:type="spellStart"/>
      <w:r>
        <w:rPr>
          <w:rFonts w:ascii="Times New Roman" w:hAnsi="Times New Roman"/>
        </w:rPr>
        <w:t>Sarāvija</w:t>
      </w:r>
      <w:proofErr w:type="spellEnd"/>
      <w:r>
        <w:rPr>
          <w:rFonts w:ascii="Times New Roman" w:hAnsi="Times New Roman"/>
        </w:rPr>
        <w:t>” un ““</w:t>
      </w:r>
      <w:proofErr w:type="spellStart"/>
      <w:r>
        <w:rPr>
          <w:rFonts w:ascii="Times New Roman" w:hAnsi="Times New Roman"/>
        </w:rPr>
        <w:t>Liberty</w:t>
      </w:r>
      <w:proofErr w:type="spellEnd"/>
      <w:r>
        <w:rPr>
          <w:rFonts w:ascii="Times New Roman" w:hAnsi="Times New Roman"/>
        </w:rPr>
        <w:t>” un citi” tieši nepieminēja pašu faktu, ka tā izvērtē uzraudzību, kas tās būtības un apmēra ziņā atšķiras no iepriekšējās lietās aplūkotās uzraudzības. Taču mērķēta pārtveršana un masveida pārtveršana atšķiras vairākos svarīgos aspektos.</w:t>
      </w:r>
    </w:p>
    <w:p w14:paraId="55334ECC" w14:textId="77777777" w:rsidR="00F82F2D" w:rsidRPr="008D031E" w:rsidRDefault="00F82F2D" w:rsidP="00F82F2D">
      <w:pPr>
        <w:pStyle w:val="JuPara"/>
        <w:widowControl w:val="0"/>
        <w:ind w:firstLine="142"/>
        <w:rPr>
          <w:rFonts w:ascii="Times New Roman" w:hAnsi="Times New Roman"/>
          <w:noProof/>
        </w:rPr>
      </w:pPr>
      <w:bookmarkStart w:id="235" w:name="ThreeOneSix"/>
      <w:r>
        <w:rPr>
          <w:rFonts w:ascii="Times New Roman" w:hAnsi="Times New Roman"/>
        </w:rPr>
        <w:t>344</w:t>
      </w:r>
      <w:bookmarkEnd w:id="235"/>
      <w:r>
        <w:rPr>
          <w:rFonts w:ascii="Times New Roman" w:hAnsi="Times New Roman"/>
        </w:rPr>
        <w:t>. Pirmkārt, masveida pārtveršana parasti ir vērsta uz starptautiskiem sakariem (proti, uz sakariem, kas tiek fiziski pārraidīti pāri valsts robežām), un, lai gan nebūtu izslēgta personu sakaru pārtveršana un pat pārbaude novērošanas valstī, daudzos gadījumos masveida pārtveršanas noteiktais nolūks ir pārraudzīt ārpus valsts teritoriālās jurisdikcijas esošo personu sakarus, kuras nevarētu pārraudzīt ar citiem uzraudzības veidiem. Piemēram, Vācijas sistēmas mērķis ir vienīgi pārraudzīt ārvalstu telekomunikācijas ārpus Vācijas teritorijas (skat. iepriekš 248. punktu). Savukārt Zviedrijā pārtvertais materiāls nevar attiekties uz signāliem tad, kad gan sūtītājs, gan saņēmējs atrodas Zviedrijā (skat. šodienas spriedumu lietā Nr. 35252/08 ““</w:t>
      </w:r>
      <w:proofErr w:type="spellStart"/>
      <w:r>
        <w:rPr>
          <w:rFonts w:ascii="Times New Roman" w:hAnsi="Times New Roman"/>
        </w:rPr>
        <w:t>Centrum</w:t>
      </w:r>
      <w:proofErr w:type="spellEnd"/>
      <w:r>
        <w:rPr>
          <w:rFonts w:ascii="Times New Roman" w:hAnsi="Times New Roman"/>
        </w:rPr>
        <w:t xml:space="preserve"> </w:t>
      </w:r>
      <w:proofErr w:type="spellStart"/>
      <w:r>
        <w:rPr>
          <w:rFonts w:ascii="Times New Roman" w:hAnsi="Times New Roman"/>
        </w:rPr>
        <w:t>för</w:t>
      </w:r>
      <w:proofErr w:type="spellEnd"/>
      <w:r>
        <w:rPr>
          <w:rFonts w:ascii="Times New Roman" w:hAnsi="Times New Roman"/>
        </w:rPr>
        <w:t xml:space="preserve"> </w:t>
      </w:r>
      <w:proofErr w:type="spellStart"/>
      <w:r>
        <w:rPr>
          <w:rFonts w:ascii="Times New Roman" w:hAnsi="Times New Roman"/>
        </w:rPr>
        <w:t>rättvisa</w:t>
      </w:r>
      <w:proofErr w:type="spellEnd"/>
      <w:r>
        <w:rPr>
          <w:rFonts w:ascii="Times New Roman" w:hAnsi="Times New Roman"/>
        </w:rPr>
        <w:t>” pret Zviedriju”).</w:t>
      </w:r>
    </w:p>
    <w:p w14:paraId="2C62BE94" w14:textId="77777777" w:rsidR="00F82F2D" w:rsidRPr="008D031E" w:rsidRDefault="00F82F2D" w:rsidP="00F82F2D">
      <w:pPr>
        <w:pStyle w:val="JuPara"/>
        <w:widowControl w:val="0"/>
        <w:ind w:firstLine="142"/>
        <w:rPr>
          <w:rFonts w:ascii="Times New Roman" w:hAnsi="Times New Roman"/>
          <w:noProof/>
        </w:rPr>
      </w:pPr>
      <w:bookmarkStart w:id="236" w:name="ThreeOneSeven"/>
      <w:r>
        <w:rPr>
          <w:rFonts w:ascii="Times New Roman" w:hAnsi="Times New Roman"/>
        </w:rPr>
        <w:t>345</w:t>
      </w:r>
      <w:bookmarkEnd w:id="236"/>
      <w:r>
        <w:rPr>
          <w:rFonts w:ascii="Times New Roman" w:hAnsi="Times New Roman"/>
        </w:rPr>
        <w:t xml:space="preserve">. Turklāt, kā jau norādīts iepriekš, nolūki, kādos var īstenot masveida pārtveršanu, šķiet atšķirīgi. Ciktāl Tiesa ir izvērtējusi mērķētu pārtveršanu, to lielākoties ir īstenojušas </w:t>
      </w:r>
      <w:proofErr w:type="spellStart"/>
      <w:r>
        <w:rPr>
          <w:rFonts w:ascii="Times New Roman" w:hAnsi="Times New Roman"/>
        </w:rPr>
        <w:t>atbildētājvalstis</w:t>
      </w:r>
      <w:proofErr w:type="spellEnd"/>
      <w:r>
        <w:rPr>
          <w:rFonts w:ascii="Times New Roman" w:hAnsi="Times New Roman"/>
        </w:rPr>
        <w:t xml:space="preserve">, lai izmeklētu noziegumus. Tomēr, lai gan masveida pārtveršanu var īstenot, lai izmeklētu noteiktus smagus noziegumus, šķiet, ka Eiropas Padomes dalībvalstis, kas izmanto masveida pārtveršanas režīmu, to izmanto ārvalstu </w:t>
      </w:r>
      <w:proofErr w:type="spellStart"/>
      <w:r>
        <w:rPr>
          <w:rFonts w:ascii="Times New Roman" w:hAnsi="Times New Roman"/>
        </w:rPr>
        <w:t>izlūkdatu</w:t>
      </w:r>
      <w:proofErr w:type="spellEnd"/>
      <w:r>
        <w:rPr>
          <w:rFonts w:ascii="Times New Roman" w:hAnsi="Times New Roman"/>
        </w:rPr>
        <w:t xml:space="preserve"> vākšanai, </w:t>
      </w:r>
      <w:r>
        <w:rPr>
          <w:rFonts w:ascii="Times New Roman" w:hAnsi="Times New Roman"/>
        </w:rPr>
        <w:lastRenderedPageBreak/>
        <w:t xml:space="preserve">kiberuzbrukumu agrīnai atklāšanai un izmeklēšanai, pretspiegošanai un terorisma apkarošanai (skat. iepriekš 303., 308. un </w:t>
      </w:r>
      <w:r>
        <w:rPr>
          <w:rStyle w:val="JuParaCar"/>
          <w:rFonts w:ascii="Times New Roman" w:hAnsi="Times New Roman"/>
        </w:rPr>
        <w:t>323.</w:t>
      </w:r>
      <w:r>
        <w:rPr>
          <w:rFonts w:ascii="Times New Roman" w:hAnsi="Times New Roman"/>
        </w:rPr>
        <w:t> punktu).</w:t>
      </w:r>
    </w:p>
    <w:p w14:paraId="6335FEC4"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346. Lai gan masveida pārtveršana ne vienmēr tiek īstenota attiecībā uz konkrētām personām, to acīmredzami var izmantot un izmanto šim nolūkam. Tomēr šādā gadījumā izraudzīto personu ierīces neuzrauga. Personas drīzāk tiek “izraudzītas”, piemērojot spēcīgos selektorus (piemēram, viņu e-pasta adreses) sakariem, ko masveidā pārtvēruši izlūkdienesti. Šādā veidā tiek pārtvertas vienīgi tās izraudzīto personu sakaru “paketes”, kas pārraidītas caur izlūkdienestu atlasītajiem nesējiem, un analītiķis var pārbaudīt vienīgi tos pārtvertos sakarus, kas atbilst vai nu spēcīgam selektoram, vai sarežģītam vaicājumam.</w:t>
      </w:r>
    </w:p>
    <w:p w14:paraId="297B9E97" w14:textId="77777777" w:rsidR="00F82F2D" w:rsidRDefault="00F82F2D" w:rsidP="00F82F2D">
      <w:pPr>
        <w:widowControl w:val="0"/>
        <w:ind w:firstLine="142"/>
        <w:jc w:val="both"/>
        <w:rPr>
          <w:rFonts w:ascii="Times New Roman" w:hAnsi="Times New Roman"/>
          <w:noProof/>
        </w:rPr>
      </w:pPr>
      <w:bookmarkStart w:id="237" w:name="MoA"/>
      <w:r>
        <w:rPr>
          <w:rFonts w:ascii="Times New Roman" w:hAnsi="Times New Roman"/>
        </w:rPr>
        <w:t>347</w:t>
      </w:r>
      <w:bookmarkEnd w:id="237"/>
      <w:r>
        <w:rPr>
          <w:rFonts w:ascii="Times New Roman" w:hAnsi="Times New Roman"/>
        </w:rPr>
        <w:t>. Gluži kā jebkura pārtveršanas režīma gadījumā, protams, pastāv ievērojama iespējamība, ka masveida pārtveršanu var izmantot ļaunprātīgi, tādējādi negatīvi ietekmējot personu tiesības uz privātās dzīves neaizskaramību. Lai gan Konvencijas 8. pants neaizliedz masveida pārtveršanu, lai aizsargātu valsts drošību un citas būtiskas valsts intereses pret nopietniem ārējiem draudiem, un valstīm ir plaša rīcības brīvība, lemjot par to, kāda veida pārtveršanas režīms ir nepieciešams šiem nolūkiem, izmantojot šādu sistēmu, tām piešķirtajai rīcības brīvībai ir jābūt šaurākai, un būs jāievieš vairāki drošības pasākumi. Tiesa jau ir noteikusi tos drošības pasākumus, kuriem jāietver Konvencijai atbilstošs mērķētas pārtveršanas režīms. Lai gan šie principi nodrošina lietderīgu pamatu šim uzdevumam, tie būs jāpielāgo, lai atspoguļotu masveida pārtveršanas režīma īpašās iezīmes un jo īpaši pieaugošo iejaukšanos personu 8. pantā noteiktajās tiesībās operācijas gaitā dažādajos posmos, kas norādīti iepriekš 325. punktā.</w:t>
      </w:r>
    </w:p>
    <w:p w14:paraId="067FC43A" w14:textId="77777777" w:rsidR="00F82F2D" w:rsidRPr="008D031E" w:rsidRDefault="00F82F2D" w:rsidP="00F82F2D">
      <w:pPr>
        <w:widowControl w:val="0"/>
        <w:ind w:firstLine="142"/>
        <w:jc w:val="both"/>
        <w:rPr>
          <w:rFonts w:ascii="Times New Roman" w:eastAsia="Times New Roman" w:hAnsi="Times New Roman" w:cs="Times New Roman"/>
          <w:noProof/>
          <w:lang w:val="en-US"/>
        </w:rPr>
      </w:pPr>
    </w:p>
    <w:p w14:paraId="6E978F7A" w14:textId="77777777" w:rsidR="00F82F2D" w:rsidRDefault="00F82F2D" w:rsidP="00F82F2D">
      <w:pPr>
        <w:pStyle w:val="JuHi"/>
        <w:keepNext w:val="0"/>
        <w:keepLines w:val="0"/>
        <w:widowControl w:val="0"/>
        <w:numPr>
          <w:ilvl w:val="0"/>
          <w:numId w:val="0"/>
        </w:numPr>
        <w:spacing w:before="0" w:beforeAutospacing="0" w:after="0" w:line="240" w:lineRule="auto"/>
        <w:outlineLvl w:val="9"/>
        <w:rPr>
          <w:rFonts w:ascii="Times New Roman" w:hAnsi="Times New Roman"/>
          <w:noProof/>
          <w:sz w:val="24"/>
        </w:rPr>
      </w:pPr>
      <w:r>
        <w:rPr>
          <w:rFonts w:ascii="Times New Roman" w:hAnsi="Times New Roman"/>
          <w:sz w:val="24"/>
        </w:rPr>
        <w:t>iii) Pieeja, kas izmantojama masveida sakaru pārtveršanas gadījumos</w:t>
      </w:r>
    </w:p>
    <w:p w14:paraId="4768342E" w14:textId="77777777" w:rsidR="00F82F2D" w:rsidRPr="000D5D44" w:rsidRDefault="00F82F2D" w:rsidP="00F82F2D">
      <w:pPr>
        <w:pStyle w:val="JuPara"/>
        <w:widowControl w:val="0"/>
        <w:rPr>
          <w:lang w:val="en-US" w:bidi="en-US"/>
        </w:rPr>
      </w:pPr>
    </w:p>
    <w:p w14:paraId="03A6A21B" w14:textId="77777777" w:rsidR="00F82F2D" w:rsidRPr="008D031E" w:rsidRDefault="00F82F2D" w:rsidP="00F82F2D">
      <w:pPr>
        <w:pStyle w:val="JuPara"/>
        <w:widowControl w:val="0"/>
        <w:ind w:firstLine="142"/>
        <w:rPr>
          <w:rFonts w:ascii="Times New Roman" w:hAnsi="Times New Roman"/>
          <w:b/>
          <w:noProof/>
        </w:rPr>
      </w:pPr>
      <w:r>
        <w:rPr>
          <w:rFonts w:ascii="Times New Roman" w:hAnsi="Times New Roman"/>
        </w:rPr>
        <w:t xml:space="preserve">348. Ir skaidrs, ka pirmos divus no sešiem “minimālajiem drošības pasākumiem”, par kuriem Tiesa mērķētas pārtveršanas kontekstā ir atzinusi, ka tie ir skaidri jādefinē valsts tiesību aktos, lai izvairītos no pilnvaru ļaunprātīgas izmantošanas (proti, nodarījumu būtība, kas var būt par pamatu pārtveršanas rīkojuma izdošanai, un to personu kategorijas, kuru sakarus var pārtvert, skat. iepriekš 335. punktu), nav viegli piemērot masveida pārtveršanas režīmam. Līdzīgi arī prasība par “pamatotām aizdomām”, kas paredzēta Tiesas judikatūrā par mērķētu pārtveršanu </w:t>
      </w:r>
      <w:proofErr w:type="spellStart"/>
      <w:r>
        <w:rPr>
          <w:rFonts w:ascii="Times New Roman" w:hAnsi="Times New Roman"/>
        </w:rPr>
        <w:t>kriminālizmeklēšanas</w:t>
      </w:r>
      <w:proofErr w:type="spellEnd"/>
      <w:r>
        <w:rPr>
          <w:rFonts w:ascii="Times New Roman" w:hAnsi="Times New Roman"/>
        </w:rPr>
        <w:t xml:space="preserve"> kontekstā, ir mazāk raksturīga masveida pārtveršanas kontekstā, kuras nolūks principā ir preventīvs, nevis konkrēta mērķa un/vai identificējama noziedzīga nodarījuma izmeklēšanai. Tomēr Tiesa uzskata, ka, ja valsts izmanto šādu režīmu, valsts tiesību aktos ir jāietver detalizēti noteikumi par to, kad iestādes var īstenot šādus pasākumus. Proti, valsts tiesību aktos pietiekami skaidri jānosaka pamatojums, saskaņā ar kuru var atļaut masveida pārtveršanu, un apstākļi, kādos varētu pārtvert personas sakarus. Pārējie četri minimālie drošības pasākumi, ko Tiesa noteica savos iepriekšējos spriedumos, proti, ka valsts tiesību aktos ir jānosaka pārtveršanas ilguma ierobežojums, iegūto datu pārbaudes, izmantošanas un uzglabāšanas kārtība, veicamie piesardzības pasākumi, paziņojot datus citām pusēm, kā arī apstākļi, kādos pārtvertos datus atļauts vai kādos tos ir pienākums dzēst vai iznīcināt, ir vienlīdz svarīgi attiecībā uz masveida pārtveršanu.</w:t>
      </w:r>
    </w:p>
    <w:p w14:paraId="2AA58DAC"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349. Tiesa savā judikatūrā par mērķētu pārtveršanu ir ņēmusi vērā pārtveršanas režīma pārraudzības un pārskatīšanas pasākumus (skat. iepriekš minētā sprieduma lietā “Romāns Zaharovs” 233.–234. punktu). Masveida pārtveršanas kontekstā tiks pastiprināta pārraudzības un pārskatīšanas nozīme, jo pastāv ļaunprātīgas izmantošanas risks, turklāt leģitīmā nepieciešamība ievērot slepenību neizbēgami nozīmēs to, ka valsts drošības apsvērumu dēļ valstis bieži vien nevarēs atklāt informāciju par apstrīdētā režīma darbību.</w:t>
      </w:r>
    </w:p>
    <w:p w14:paraId="2C38CB3D" w14:textId="77777777" w:rsidR="00F82F2D" w:rsidRPr="008D031E" w:rsidRDefault="00F82F2D" w:rsidP="00F82F2D">
      <w:pPr>
        <w:pStyle w:val="JuPara"/>
        <w:widowControl w:val="0"/>
        <w:ind w:firstLine="142"/>
        <w:rPr>
          <w:rFonts w:ascii="Times New Roman" w:hAnsi="Times New Roman"/>
          <w:noProof/>
        </w:rPr>
      </w:pPr>
      <w:bookmarkStart w:id="238" w:name="EndtoEnd"/>
      <w:r>
        <w:rPr>
          <w:rFonts w:ascii="Times New Roman" w:hAnsi="Times New Roman"/>
        </w:rPr>
        <w:t>350</w:t>
      </w:r>
      <w:bookmarkEnd w:id="238"/>
      <w:r>
        <w:rPr>
          <w:rFonts w:ascii="Times New Roman" w:hAnsi="Times New Roman"/>
        </w:rPr>
        <w:t xml:space="preserve">. Tāpēc, lai samazinātu masveida pārtveršanas pilnvaru ļaunprātīgas izmantošanas risku, Tiesa uzskata, ka attiecībā uz šo procesu ir jāīsteno “no gala līdz galam drošības pasākumi”, kas nozīmē to, ka valsts līmenī izvērtēšana ir jāveic katrā veicamo pasākumu nepieciešamības un samērīguma procesa stadijā, ka minētajai masveida pārtveršanai ir nepieciešama neatkarīga </w:t>
      </w:r>
      <w:r>
        <w:rPr>
          <w:rFonts w:ascii="Times New Roman" w:hAnsi="Times New Roman"/>
        </w:rPr>
        <w:lastRenderedPageBreak/>
        <w:t xml:space="preserve">atļauja jau pašā sākumā, kad tiek noteikts operācijas mērķis un tvērums, un ka attiecībā uz operāciju jāīsteno pārraudzība un neatkarīga </w:t>
      </w:r>
      <w:proofErr w:type="spellStart"/>
      <w:r>
        <w:rPr>
          <w:rFonts w:ascii="Times New Roman" w:hAnsi="Times New Roman"/>
          <w:i/>
          <w:iCs/>
        </w:rPr>
        <w:t>ex</w:t>
      </w:r>
      <w:proofErr w:type="spellEnd"/>
      <w:r>
        <w:rPr>
          <w:rFonts w:ascii="Times New Roman" w:hAnsi="Times New Roman"/>
          <w:i/>
          <w:iCs/>
        </w:rPr>
        <w:t> post </w:t>
      </w:r>
      <w:proofErr w:type="spellStart"/>
      <w:r>
        <w:rPr>
          <w:rFonts w:ascii="Times New Roman" w:hAnsi="Times New Roman"/>
          <w:i/>
          <w:iCs/>
        </w:rPr>
        <w:t>facto</w:t>
      </w:r>
      <w:proofErr w:type="spellEnd"/>
      <w:r>
        <w:rPr>
          <w:rFonts w:ascii="Times New Roman" w:hAnsi="Times New Roman"/>
        </w:rPr>
        <w:t xml:space="preserve"> pārskatīšana. Tiesa uzskata, ka tie ir fundamentāli drošības pasākumi, kas būs jebkura 8. pantam atbilstoša masveida pārtveršanas režīma stūrakmens (skat. arī Venēcijas komisijas ziņojumu iepriekš 197. punktā, kurā līdzīgi tika atzīts, ka divi no svarīgākajiem drošības pasākumiem masveida pārtveršanas režīmā ir procesa atļauja un pārraudzība).</w:t>
      </w:r>
    </w:p>
    <w:p w14:paraId="19D9AF24"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351. Vispirms pievēršoties atļaujai, Lielā palāta piekrīt palātas viedoklim, ka, lai gan tiesas atļauja ir “svarīgs drošības pasākums pret patvaļu”, tā nav “nepieciešama prasība” (skat. palātas sprieduma 318.–320. punktu). Tomēr masveida pārtveršana jāatļauj kādai neatkarīgai iestādei, proti, no izpildvaras neatkarīgai iestādei.</w:t>
      </w:r>
    </w:p>
    <w:p w14:paraId="4F20B299"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352. Turklāt, lai nodrošinātu efektīvu aizsardzību pret ļaunprātīgu izmantošanu, neatkarīgā pilnvarotā iestāde jāinformē gan par pārtveršanas nolūku, gan par datu nesējiem vai sakaru kanāliem, kurus varētu pārtvert. Tas ļautu neatkarīgajai pilnvarotajai iestādei izvērtēt masveida pārtveršanas operācijas nepieciešamību un samērīgumu, kā arī to, vai datu nesēju atlase ir nepieciešama un samērīga ar veicamās pārtveršanas nolūkiem.</w:t>
      </w:r>
    </w:p>
    <w:p w14:paraId="34706C1A" w14:textId="77777777" w:rsidR="00F82F2D" w:rsidRPr="008D031E" w:rsidRDefault="00F82F2D" w:rsidP="00F82F2D">
      <w:pPr>
        <w:pStyle w:val="JuPara"/>
        <w:widowControl w:val="0"/>
        <w:ind w:firstLine="142"/>
        <w:rPr>
          <w:rFonts w:ascii="Times New Roman" w:hAnsi="Times New Roman"/>
          <w:noProof/>
        </w:rPr>
      </w:pPr>
      <w:bookmarkStart w:id="239" w:name="Selector1"/>
      <w:r>
        <w:rPr>
          <w:rFonts w:ascii="Times New Roman" w:hAnsi="Times New Roman"/>
        </w:rPr>
        <w:t>353</w:t>
      </w:r>
      <w:bookmarkEnd w:id="239"/>
      <w:r>
        <w:rPr>
          <w:rFonts w:ascii="Times New Roman" w:hAnsi="Times New Roman"/>
        </w:rPr>
        <w:t>. Selektoru, jo īpaši spēcīgo selektoru, izmantošana ir viens no masveida pārtveršanas procesa vissvarīgākajiem posmiem, jo šajā posmā izlūkdienesti var izraudzīties kādas konkrētas personas sakarus. Tomēr, lai gan dažas sistēmas pieļauj iepriekšēju atļauju selektoru kategorijām (skat., piemēram, Zviedrijas sistēmu, kas detalizēti raksturota spriedumā lietā ““</w:t>
      </w:r>
      <w:proofErr w:type="spellStart"/>
      <w:r>
        <w:rPr>
          <w:rFonts w:ascii="Times New Roman" w:hAnsi="Times New Roman"/>
        </w:rPr>
        <w:t>Centrum</w:t>
      </w:r>
      <w:proofErr w:type="spellEnd"/>
      <w:r>
        <w:rPr>
          <w:rFonts w:ascii="Times New Roman" w:hAnsi="Times New Roman"/>
        </w:rPr>
        <w:t xml:space="preserve"> </w:t>
      </w:r>
      <w:proofErr w:type="spellStart"/>
      <w:r>
        <w:rPr>
          <w:rFonts w:ascii="Times New Roman" w:hAnsi="Times New Roman"/>
        </w:rPr>
        <w:t>för</w:t>
      </w:r>
      <w:proofErr w:type="spellEnd"/>
      <w:r>
        <w:rPr>
          <w:rFonts w:ascii="Times New Roman" w:hAnsi="Times New Roman"/>
        </w:rPr>
        <w:t xml:space="preserve"> </w:t>
      </w:r>
      <w:proofErr w:type="spellStart"/>
      <w:r>
        <w:rPr>
          <w:rFonts w:ascii="Times New Roman" w:hAnsi="Times New Roman"/>
        </w:rPr>
        <w:t>rättvisa</w:t>
      </w:r>
      <w:proofErr w:type="spellEnd"/>
      <w:r>
        <w:rPr>
          <w:rFonts w:ascii="Times New Roman" w:hAnsi="Times New Roman"/>
        </w:rPr>
        <w:t>” pret Zviedriju” (pieteikums Nr. 35252/08)), Tiesa norāda, ka gan Apvienotās Karalistes, gan Nīderlandes valdības ir apgalvojušas, ka jebkura prasība atļaujā paskaidrot vai pamatot selektorus vai meklēšanas kritērijus nopietni ierobežotu masveida pārtveršanas efektivitāti (skat. iepriekš 292. un 307. punktu). Tam piekrita</w:t>
      </w:r>
      <w:r>
        <w:rPr>
          <w:rFonts w:ascii="Times New Roman" w:hAnsi="Times New Roman"/>
          <w:i/>
          <w:iCs/>
        </w:rPr>
        <w:t xml:space="preserve"> </w:t>
      </w:r>
      <w:proofErr w:type="spellStart"/>
      <w:r>
        <w:rPr>
          <w:rFonts w:ascii="Times New Roman" w:hAnsi="Times New Roman"/>
          <w:i/>
          <w:iCs/>
        </w:rPr>
        <w:t>IPT</w:t>
      </w:r>
      <w:proofErr w:type="spellEnd"/>
      <w:r>
        <w:rPr>
          <w:rFonts w:ascii="Times New Roman" w:hAnsi="Times New Roman"/>
        </w:rPr>
        <w:t>, kas atzina, ka selektoru iekļaušana atļaujā “lieki apdraudētu un ierobežotu ordera darbību un jebkurā gadījumā būtu praktiski neiespējama” (skat. iepriekš 49. punktu).</w:t>
      </w:r>
    </w:p>
    <w:p w14:paraId="57EFF716"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354. Ņemot vērā masveida pārtveršanas iezīmes (skat. iepriekš 344.–345. punktu), lielo izmantoto selektoru skaitu un raksturīgo nepieciešamību elastīgi izvēlēties selektorus, ko praksē var izteikt kā ciparu vai burtu tehniskās kombinācijas, Tiesa varētu pieņemt, ka visu selektoru iekļaušana atļaujā praksē var nebūt iespējama. Tomēr, tā kā selektoru un vaicājuma terminu izvēle nosaka to, kuri sakari būs piemēroti analītiķa veiktai pārbaudei, atļaujā jānorāda vismaz izmantojamo selektoru veidi vai kategorijas.</w:t>
      </w:r>
    </w:p>
    <w:p w14:paraId="2BE6F86F" w14:textId="77777777" w:rsidR="00F82F2D" w:rsidRPr="008D031E" w:rsidRDefault="00F82F2D" w:rsidP="00F82F2D">
      <w:pPr>
        <w:pStyle w:val="JuPara"/>
        <w:widowControl w:val="0"/>
        <w:ind w:firstLine="142"/>
        <w:rPr>
          <w:rFonts w:ascii="Times New Roman" w:hAnsi="Times New Roman"/>
          <w:noProof/>
        </w:rPr>
      </w:pPr>
      <w:bookmarkStart w:id="240" w:name="Selector2"/>
      <w:r>
        <w:rPr>
          <w:rFonts w:ascii="Times New Roman" w:hAnsi="Times New Roman"/>
        </w:rPr>
        <w:t>355</w:t>
      </w:r>
      <w:bookmarkEnd w:id="240"/>
      <w:r>
        <w:rPr>
          <w:rFonts w:ascii="Times New Roman" w:hAnsi="Times New Roman"/>
        </w:rPr>
        <w:t>. Turklāt, ja izlūkdienesti izmanto spēcīgus selektorus, kas saistīti ar identificējamām personām, ir jāievieš pastiprināti drošības pasākumi. Izlūkdienestiem katra šāda selektora izmantošana ir jāpamato, ņemot vērā nepieciešamības un samērīguma principu, turklāt šis pamatojums ir rūpīgi jāfiksē un tam ir nepieciešama iepriekšēja iekšējā atļauja, kuras ietvaros atsevišķi un objektīvi tiek pārbaudīts, vai pamatojums atbilst iepriekš minētajiem principiem.</w:t>
      </w:r>
    </w:p>
    <w:p w14:paraId="56D59450"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356. Tāpat kādai neatkarīgai iestādei ir jāpārrauga katrs masveida pārtveršanas procesa posms, tostarp sākotnējā atļaujas sniegšana un jebkura turpmāka atjaunošana, nesēju atlasīšana, selektoru un vaicājumu terminu izvēle un piemērošana, kā arī pārtvertā materiāla izmantošana, uzglabāšana, turpmāka pārraidīšana un dzēšana, turklāt šai pārraudzībai ir jābūt pietiekami stingrai, lai “iejaukšanās” būtu “nepieciešama demokrātiskā sabiedrībā” (skat. iepriekš minētā sprieduma lietā “Romāns Zaharovs” 232. punktu, iepriekš minētā sprieduma lietā “</w:t>
      </w:r>
      <w:proofErr w:type="spellStart"/>
      <w:r>
        <w:rPr>
          <w:rFonts w:ascii="Times New Roman" w:hAnsi="Times New Roman"/>
        </w:rPr>
        <w:t>Klass</w:t>
      </w:r>
      <w:proofErr w:type="spellEnd"/>
      <w:r>
        <w:rPr>
          <w:rFonts w:ascii="Times New Roman" w:hAnsi="Times New Roman"/>
        </w:rPr>
        <w:t xml:space="preserve"> un citi” 49., 50. un 59. punktu, iepriekš minētā sprieduma lietā “Vēbere un </w:t>
      </w:r>
      <w:proofErr w:type="spellStart"/>
      <w:r>
        <w:rPr>
          <w:rFonts w:ascii="Times New Roman" w:hAnsi="Times New Roman"/>
        </w:rPr>
        <w:t>Sarāvija</w:t>
      </w:r>
      <w:proofErr w:type="spellEnd"/>
      <w:r>
        <w:rPr>
          <w:rFonts w:ascii="Times New Roman" w:hAnsi="Times New Roman"/>
        </w:rPr>
        <w:t>” 106. punktu, kā arī iepriekš minētā sprieduma lietā “Kenedijs” 153. un 154. punktu). Jo īpaši pārraudzības iestādei ir jābūt iespējai izvērtēt veicamās darbības nepieciešamību un samērīgumu, pienācīgi ņemot vērā atbilstošo apmēru, kādā notiks iejaukšanās šā procesa gaitā, visticamāk, skartās personas tiesībās, kas noteiktas Konvencijā. Lai atvieglotu šo pārraudzību, izlūkdienestiem katrā procesa posmā jāveic detalizēta uzskaite.</w:t>
      </w:r>
    </w:p>
    <w:p w14:paraId="5AA7A0AB"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357. Visbeidzot, ikvienai personai, kurai radušās aizdomas, ka izlūkdienesti ir pārtvēruši tās sakarus, jābūt pieejamam efektīvam tiesiskās aizsardzības līdzeklim, lai apstrīdētu iespējamās </w:t>
      </w:r>
      <w:r>
        <w:rPr>
          <w:rFonts w:ascii="Times New Roman" w:hAnsi="Times New Roman"/>
        </w:rPr>
        <w:lastRenderedPageBreak/>
        <w:t>pārtveršanas likumību vai pārtveršanas režīma atbilstību Konvencijai. Mērķētas pārtveršanas kontekstā Tiesa vairākkārt ir atzinusi, ka turpmāka informēšana saistībā ar uzraudzības pasākumiem ir svarīgs faktors, tiesā izvērtējot tiesiskās aizsardzības līdzekļu efektivitāti un līdz ar to arī to, vai ir ieviesti efektīvi drošības pasākumi pret uzraudzības pilnvaru ļaunprātīgu izmantošanu. Tomēr tā ir atzinusi, ka informēšana nav nepieciešama, ja iekšējo tiesiskās aizsardzības līdzekļu sistēma ļauj jebkurai personai, kurai radušās aizdomas, ka tiek vai ir tikuši pārtverti tās sakari, vērsties tiesā, citiem vārdiem sakot, ja tiesu jurisdikcija nav atkarīga no pārtveršanas subjekta informēšanas par to, ka ir notikusi tā sakaru pārtveršana (skat. iepriekš minētā sprieduma lietā “Romāns Zaharovs” 234. punktu un iepriekš minētā sprieduma lietā “Kenedijs” 167. punktu).</w:t>
      </w:r>
    </w:p>
    <w:p w14:paraId="6BCBB7A1"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358. Tiesa uzskata, ka tiesiskās aizsardzības līdzeklis, kas nav atkarīgs no pārtveršanas subjekta informēšanas, varētu būt efektīvs tiesiskās aizsardzības līdzeklis arī masveida pārtveršanas kontekstā. Patiesībā atkarībā no apstākļiem tas pat var sniegt labākas garantijas atbilstošai procedūras norisei nekā sistēma, kuras pamatā ir informēšana. Neatkarīgi no tā, vai materiāls iegūts mērķētas vai masveida pārtveršanas rezultātā, izņēmuma gadījumā rīkojoties valsts drošības interesēs, informēšanas prasībai nebūs praktiskas ietekmes. Iespējamība, ka informēšanas prasībai būs maza praktiska ietekme vai tādas nebūs vispār, būs lielāka masveida pārtveršanas kontekstā, jo šādu uzraudzību var izmantot ārvalstu </w:t>
      </w:r>
      <w:proofErr w:type="spellStart"/>
      <w:r>
        <w:rPr>
          <w:rFonts w:ascii="Times New Roman" w:hAnsi="Times New Roman"/>
        </w:rPr>
        <w:t>izlūkdatu</w:t>
      </w:r>
      <w:proofErr w:type="spellEnd"/>
      <w:r>
        <w:rPr>
          <w:rFonts w:ascii="Times New Roman" w:hAnsi="Times New Roman"/>
        </w:rPr>
        <w:t xml:space="preserve"> vākšanas nolūkos, un tā lielākoties būs vērsta uz tādu personu sakariem, kuras atrodas ārpus valsts teritoriālās jurisdikcijas. Tāpēc, pat ja mērķa identitāte ir zināma, iestādes var nebūt informētas par tā atrašanās vietu.</w:t>
      </w:r>
    </w:p>
    <w:p w14:paraId="015090D5" w14:textId="77777777" w:rsidR="00F82F2D" w:rsidRPr="008D031E" w:rsidRDefault="00F82F2D" w:rsidP="00F82F2D">
      <w:pPr>
        <w:widowControl w:val="0"/>
        <w:ind w:firstLine="142"/>
        <w:jc w:val="both"/>
        <w:rPr>
          <w:rFonts w:ascii="Times New Roman" w:eastAsia="Times New Roman" w:hAnsi="Times New Roman" w:cs="Times New Roman"/>
          <w:noProof/>
        </w:rPr>
      </w:pPr>
      <w:r>
        <w:rPr>
          <w:rFonts w:ascii="Times New Roman" w:hAnsi="Times New Roman"/>
        </w:rPr>
        <w:t xml:space="preserve">359. Iestādes pilnvaras un procesuālās garantijas ir svarīgas, lai noteiktu, vai tiesiskās aizsardzības līdzeklis ir efektīvs. Tāpēc, ja nav noteikta informēšanas prasība, ir svarīgi, lai tiesiskās aizsardzības līdzeklis būtu pieejams iestādē, kura, lai gan ne vienmēr ir tiesu iestāde, ir neatkarīga no izpildvaras un nodrošina tiesvedības godīgumu, piedāvājot uzklausīšanas procesu, ciktāl tas praktiski iespējams. Šādas iestādes lēmumiem jābūt pamatotiem un juridiski saistošiem, </w:t>
      </w:r>
      <w:proofErr w:type="spellStart"/>
      <w:r>
        <w:rPr>
          <w:rFonts w:ascii="Times New Roman" w:hAnsi="Times New Roman"/>
          <w:i/>
          <w:iCs/>
        </w:rPr>
        <w:t>inter</w:t>
      </w:r>
      <w:proofErr w:type="spellEnd"/>
      <w:r>
        <w:rPr>
          <w:rFonts w:ascii="Times New Roman" w:hAnsi="Times New Roman"/>
          <w:i/>
          <w:iCs/>
        </w:rPr>
        <w:t xml:space="preserve"> </w:t>
      </w:r>
      <w:proofErr w:type="spellStart"/>
      <w:r>
        <w:rPr>
          <w:rFonts w:ascii="Times New Roman" w:hAnsi="Times New Roman"/>
          <w:i/>
          <w:iCs/>
        </w:rPr>
        <w:t>alia</w:t>
      </w:r>
      <w:proofErr w:type="spellEnd"/>
      <w:r>
        <w:rPr>
          <w:rFonts w:ascii="Times New Roman" w:hAnsi="Times New Roman"/>
        </w:rPr>
        <w:t xml:space="preserve"> attiecībā uz nelikumīgas pārtveršanas pārtraukšanu un nelikumīgi iegūta un/vai uzglabāta pārtvertā materiāla iznīcināšanu (skat. </w:t>
      </w:r>
      <w:proofErr w:type="spellStart"/>
      <w:r>
        <w:rPr>
          <w:rFonts w:ascii="Times New Roman" w:hAnsi="Times New Roman"/>
          <w:i/>
          <w:iCs/>
        </w:rPr>
        <w:t>mutatis</w:t>
      </w:r>
      <w:proofErr w:type="spellEnd"/>
      <w:r>
        <w:rPr>
          <w:rFonts w:ascii="Times New Roman" w:hAnsi="Times New Roman"/>
          <w:i/>
          <w:iCs/>
        </w:rPr>
        <w:t> </w:t>
      </w:r>
      <w:proofErr w:type="spellStart"/>
      <w:r>
        <w:rPr>
          <w:rFonts w:ascii="Times New Roman" w:hAnsi="Times New Roman"/>
          <w:i/>
          <w:iCs/>
        </w:rPr>
        <w:t>mutandis</w:t>
      </w:r>
      <w:proofErr w:type="spellEnd"/>
      <w:r>
        <w:rPr>
          <w:rFonts w:ascii="Times New Roman" w:hAnsi="Times New Roman"/>
        </w:rPr>
        <w:t xml:space="preserve"> sprieduma lietā Nr. 62332/00 “</w:t>
      </w:r>
      <w:proofErr w:type="spellStart"/>
      <w:r>
        <w:rPr>
          <w:rFonts w:ascii="Times New Roman" w:hAnsi="Times New Roman"/>
        </w:rPr>
        <w:t>Segerstete-Viberga</w:t>
      </w:r>
      <w:proofErr w:type="spellEnd"/>
      <w:r>
        <w:rPr>
          <w:rFonts w:ascii="Times New Roman" w:hAnsi="Times New Roman"/>
        </w:rPr>
        <w:t xml:space="preserve"> [</w:t>
      </w:r>
      <w:proofErr w:type="spellStart"/>
      <w:r>
        <w:rPr>
          <w:rFonts w:ascii="Times New Roman" w:hAnsi="Times New Roman"/>
          <w:i/>
          <w:iCs/>
        </w:rPr>
        <w:t>Segerstedt-Wiberg</w:t>
      </w:r>
      <w:proofErr w:type="spellEnd"/>
      <w:r>
        <w:rPr>
          <w:rFonts w:ascii="Times New Roman" w:hAnsi="Times New Roman"/>
        </w:rPr>
        <w:t xml:space="preserve">] un citi pret Zviedriju” 120. punktu, </w:t>
      </w:r>
      <w:proofErr w:type="spellStart"/>
      <w:r>
        <w:rPr>
          <w:rFonts w:ascii="Times New Roman" w:hAnsi="Times New Roman"/>
        </w:rPr>
        <w:t>ECT</w:t>
      </w:r>
      <w:proofErr w:type="spellEnd"/>
      <w:r>
        <w:rPr>
          <w:rFonts w:ascii="Times New Roman" w:hAnsi="Times New Roman"/>
        </w:rPr>
        <w:t> 2006-VII, kā arī iepriekš minētā sprieduma lietā “</w:t>
      </w:r>
      <w:proofErr w:type="spellStart"/>
      <w:r>
        <w:rPr>
          <w:rFonts w:ascii="Times New Roman" w:hAnsi="Times New Roman"/>
        </w:rPr>
        <w:t>Leanders</w:t>
      </w:r>
      <w:proofErr w:type="spellEnd"/>
      <w:r>
        <w:rPr>
          <w:rFonts w:ascii="Times New Roman" w:hAnsi="Times New Roman"/>
        </w:rPr>
        <w:t>” 81.–83. punktu, kurā galvenais piedāvātās kontroles trūkums bija tāds, ka nebija paredzētas pilnvaras pieņemt juridiski saistošu lēmumu).</w:t>
      </w:r>
    </w:p>
    <w:p w14:paraId="0AD0D9E1"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360. Ņemot vērā iepriekš minēto, Tiesa noteiks, vai masveida pārtveršanas režīms atbilst Konvencijai, veicot visaptverošu režīma darbības </w:t>
      </w:r>
      <w:proofErr w:type="spellStart"/>
      <w:r>
        <w:rPr>
          <w:rFonts w:ascii="Times New Roman" w:hAnsi="Times New Roman"/>
        </w:rPr>
        <w:t>izvērtējumu</w:t>
      </w:r>
      <w:proofErr w:type="spellEnd"/>
      <w:r>
        <w:rPr>
          <w:rFonts w:ascii="Times New Roman" w:hAnsi="Times New Roman"/>
        </w:rPr>
        <w:t xml:space="preserve">. Šāds </w:t>
      </w:r>
      <w:proofErr w:type="spellStart"/>
      <w:r>
        <w:rPr>
          <w:rFonts w:ascii="Times New Roman" w:hAnsi="Times New Roman"/>
        </w:rPr>
        <w:t>izvērtējums</w:t>
      </w:r>
      <w:proofErr w:type="spellEnd"/>
      <w:r>
        <w:rPr>
          <w:rFonts w:ascii="Times New Roman" w:hAnsi="Times New Roman"/>
        </w:rPr>
        <w:t xml:space="preserve"> galvenokārt būs vērsts uz to, vai valsts tiesiskajā regulējumā ir ietvertas pietiekamas garantijas pret ļaunprātīgu izmantošanu un vai process ir pakļauts “no gala līdz galam drošības pasākumiem” (skat. iepriekš 350. punktu). Izvērtēšanas gaitā tā ņems vērā pārtveršanas sistēmas faktisko darbību, tostarp pilnvaru īstenošanas pārbaudes un līdzsvaru, kā arī faktiskas ļaunprātīgas izmantošanas pierādījumu esību vai </w:t>
      </w:r>
      <w:proofErr w:type="spellStart"/>
      <w:r>
        <w:rPr>
          <w:rFonts w:ascii="Times New Roman" w:hAnsi="Times New Roman"/>
        </w:rPr>
        <w:t>neesību</w:t>
      </w:r>
      <w:proofErr w:type="spellEnd"/>
      <w:r>
        <w:rPr>
          <w:rFonts w:ascii="Times New Roman" w:hAnsi="Times New Roman"/>
        </w:rPr>
        <w:t xml:space="preserve"> (skat. iepriekš minētā sprieduma lietā “Eiropas integrācijas un cilvēktiesību asociācija un </w:t>
      </w:r>
      <w:proofErr w:type="spellStart"/>
      <w:r>
        <w:rPr>
          <w:rFonts w:ascii="Times New Roman" w:hAnsi="Times New Roman"/>
        </w:rPr>
        <w:t>Ekimdžijevs</w:t>
      </w:r>
      <w:proofErr w:type="spellEnd"/>
      <w:r>
        <w:rPr>
          <w:rFonts w:ascii="Times New Roman" w:hAnsi="Times New Roman"/>
        </w:rPr>
        <w:t>” 92. punktu).</w:t>
      </w:r>
    </w:p>
    <w:p w14:paraId="09433D72" w14:textId="77777777" w:rsidR="00F82F2D" w:rsidRPr="008D031E" w:rsidRDefault="00F82F2D" w:rsidP="00F82F2D">
      <w:pPr>
        <w:pStyle w:val="JuPara"/>
        <w:widowControl w:val="0"/>
        <w:ind w:firstLine="142"/>
        <w:rPr>
          <w:rFonts w:ascii="Times New Roman" w:hAnsi="Times New Roman"/>
          <w:noProof/>
        </w:rPr>
      </w:pPr>
      <w:bookmarkStart w:id="241" w:name="Eightreqs"/>
      <w:r>
        <w:rPr>
          <w:rFonts w:ascii="Times New Roman" w:hAnsi="Times New Roman"/>
        </w:rPr>
        <w:t>361</w:t>
      </w:r>
      <w:bookmarkEnd w:id="241"/>
      <w:r>
        <w:rPr>
          <w:rFonts w:ascii="Times New Roman" w:hAnsi="Times New Roman"/>
        </w:rPr>
        <w:t>. Izvērtējot, vai atbildētāja valsts ir rīkojusies savas rīcības brīvības robežās (skat. iepriekš 347. punktu), Tiesai būtu jāņem vērā vairāk kritēriju, nevis tikai seši spriedumā lietā “Vēbere” noteiktie drošības pasākumi. Proti, kopīgi izvērtējot jēdzienus “saskaņā ar likumu” un “nepieciešamība”, kas šajā ziņā ir jau iedibināta pieeja (skat. iepriekš minētā sprieduma lietā “Romāns Zaharovs” 236. punktu un iepriekš minētā sprieduma lietā “Kenedijs” 155. punktu), Tiesa izvērtēs, vai valsts tiesiskajā regulējumā ir skaidri noteikts turpmākais:</w:t>
      </w:r>
    </w:p>
    <w:p w14:paraId="7398FFF0" w14:textId="77777777" w:rsidR="00F82F2D" w:rsidRPr="008D031E" w:rsidRDefault="00F82F2D" w:rsidP="00F82F2D">
      <w:pPr>
        <w:pStyle w:val="JuPara"/>
        <w:widowControl w:val="0"/>
        <w:ind w:left="142" w:firstLine="0"/>
        <w:rPr>
          <w:rFonts w:ascii="Times New Roman" w:hAnsi="Times New Roman"/>
          <w:noProof/>
        </w:rPr>
      </w:pPr>
      <w:r>
        <w:rPr>
          <w:rFonts w:ascii="Times New Roman" w:hAnsi="Times New Roman"/>
        </w:rPr>
        <w:t>1. pamatojums, saskaņā ar kuru var atļaut masveida pārtveršanu;</w:t>
      </w:r>
    </w:p>
    <w:p w14:paraId="4F9F8140" w14:textId="77777777" w:rsidR="00F82F2D" w:rsidRPr="008D031E" w:rsidRDefault="00F82F2D" w:rsidP="00F82F2D">
      <w:pPr>
        <w:pStyle w:val="JuPara"/>
        <w:widowControl w:val="0"/>
        <w:ind w:left="142" w:firstLine="0"/>
        <w:rPr>
          <w:rFonts w:ascii="Times New Roman" w:hAnsi="Times New Roman"/>
          <w:noProof/>
        </w:rPr>
      </w:pPr>
      <w:r>
        <w:rPr>
          <w:rFonts w:ascii="Times New Roman" w:hAnsi="Times New Roman"/>
        </w:rPr>
        <w:t>2. apstākļi, kādos var pārtvert personas sakarus;</w:t>
      </w:r>
    </w:p>
    <w:p w14:paraId="352E5B6D" w14:textId="77777777" w:rsidR="00F82F2D" w:rsidRPr="008D031E" w:rsidRDefault="00F82F2D" w:rsidP="00F82F2D">
      <w:pPr>
        <w:pStyle w:val="JuPara"/>
        <w:widowControl w:val="0"/>
        <w:ind w:left="142" w:firstLine="0"/>
        <w:rPr>
          <w:rFonts w:ascii="Times New Roman" w:hAnsi="Times New Roman"/>
          <w:noProof/>
        </w:rPr>
      </w:pPr>
      <w:r>
        <w:rPr>
          <w:rFonts w:ascii="Times New Roman" w:hAnsi="Times New Roman"/>
        </w:rPr>
        <w:t>3. atļaujas piešķiršanas kārtība;</w:t>
      </w:r>
    </w:p>
    <w:p w14:paraId="4E764302" w14:textId="77777777" w:rsidR="00F82F2D" w:rsidRPr="008D031E" w:rsidRDefault="00F82F2D" w:rsidP="00F82F2D">
      <w:pPr>
        <w:pStyle w:val="JuPara"/>
        <w:widowControl w:val="0"/>
        <w:ind w:left="142" w:firstLine="0"/>
        <w:rPr>
          <w:rFonts w:ascii="Times New Roman" w:hAnsi="Times New Roman"/>
          <w:noProof/>
        </w:rPr>
      </w:pPr>
      <w:r>
        <w:rPr>
          <w:rFonts w:ascii="Times New Roman" w:hAnsi="Times New Roman"/>
        </w:rPr>
        <w:t>4. pārtvertā materiāla atlasīšanas, pārbaudīšanas un izmantošanas kārtība;</w:t>
      </w:r>
    </w:p>
    <w:p w14:paraId="29F57879" w14:textId="77777777" w:rsidR="00F82F2D" w:rsidRPr="008D031E" w:rsidRDefault="00F82F2D" w:rsidP="00F82F2D">
      <w:pPr>
        <w:pStyle w:val="JuPara"/>
        <w:widowControl w:val="0"/>
        <w:ind w:left="142" w:firstLine="0"/>
        <w:rPr>
          <w:rFonts w:ascii="Times New Roman" w:hAnsi="Times New Roman"/>
          <w:noProof/>
        </w:rPr>
      </w:pPr>
      <w:r>
        <w:rPr>
          <w:rFonts w:ascii="Times New Roman" w:hAnsi="Times New Roman"/>
        </w:rPr>
        <w:lastRenderedPageBreak/>
        <w:t>5. veicamie piesardzības pasākumi, paziņojot materiālu citām pusēm;</w:t>
      </w:r>
    </w:p>
    <w:p w14:paraId="491B7E24" w14:textId="77777777" w:rsidR="00F82F2D" w:rsidRPr="008D031E" w:rsidRDefault="00F82F2D" w:rsidP="00F82F2D">
      <w:pPr>
        <w:pStyle w:val="JuPara"/>
        <w:widowControl w:val="0"/>
        <w:ind w:left="142" w:firstLine="0"/>
        <w:rPr>
          <w:rFonts w:ascii="Times New Roman" w:hAnsi="Times New Roman"/>
          <w:noProof/>
        </w:rPr>
      </w:pPr>
      <w:r>
        <w:rPr>
          <w:rFonts w:ascii="Times New Roman" w:hAnsi="Times New Roman"/>
        </w:rPr>
        <w:t>6. ierobežojumi attiecībā uz pārtveršanas ilgumu, pārtvertā materiāla uzglabāšanu un apstākļiem, kādos šis materiāls ir jādzēš un jāiznīcina;</w:t>
      </w:r>
    </w:p>
    <w:p w14:paraId="3EC31028" w14:textId="77777777" w:rsidR="00F82F2D" w:rsidRPr="008D031E" w:rsidRDefault="00F82F2D" w:rsidP="00F82F2D">
      <w:pPr>
        <w:pStyle w:val="JuPara"/>
        <w:widowControl w:val="0"/>
        <w:ind w:left="142" w:firstLine="0"/>
        <w:rPr>
          <w:rFonts w:ascii="Times New Roman" w:hAnsi="Times New Roman"/>
          <w:noProof/>
        </w:rPr>
      </w:pPr>
      <w:r>
        <w:rPr>
          <w:rFonts w:ascii="Times New Roman" w:hAnsi="Times New Roman"/>
        </w:rPr>
        <w:t>7. kārtība un veidi, kādā neatkarīgā iestāde pārrauga atbilstību iepriekš minētajiem drošības pasākumiem, un to pilnvaras izvērtēt neatbilstības;</w:t>
      </w:r>
    </w:p>
    <w:p w14:paraId="5C4FA9A5" w14:textId="77777777" w:rsidR="00F82F2D" w:rsidRPr="008D031E" w:rsidRDefault="00F82F2D" w:rsidP="00F82F2D">
      <w:pPr>
        <w:pStyle w:val="JuPara"/>
        <w:widowControl w:val="0"/>
        <w:ind w:left="142" w:firstLine="0"/>
        <w:rPr>
          <w:rFonts w:ascii="Times New Roman" w:hAnsi="Times New Roman"/>
          <w:noProof/>
        </w:rPr>
      </w:pPr>
      <w:r>
        <w:rPr>
          <w:rFonts w:ascii="Times New Roman" w:hAnsi="Times New Roman"/>
        </w:rPr>
        <w:t xml:space="preserve">8. kārtība, kādā veic šādas atbilstības neatkarīgu </w:t>
      </w:r>
      <w:proofErr w:type="spellStart"/>
      <w:r>
        <w:rPr>
          <w:rFonts w:ascii="Times New Roman" w:hAnsi="Times New Roman"/>
          <w:i/>
          <w:iCs/>
        </w:rPr>
        <w:t>ex</w:t>
      </w:r>
      <w:proofErr w:type="spellEnd"/>
      <w:r>
        <w:rPr>
          <w:rFonts w:ascii="Times New Roman" w:hAnsi="Times New Roman"/>
          <w:i/>
          <w:iCs/>
        </w:rPr>
        <w:t> post </w:t>
      </w:r>
      <w:proofErr w:type="spellStart"/>
      <w:r>
        <w:rPr>
          <w:rFonts w:ascii="Times New Roman" w:hAnsi="Times New Roman"/>
          <w:i/>
          <w:iCs/>
        </w:rPr>
        <w:t>facto</w:t>
      </w:r>
      <w:proofErr w:type="spellEnd"/>
      <w:r>
        <w:rPr>
          <w:rFonts w:ascii="Times New Roman" w:hAnsi="Times New Roman"/>
        </w:rPr>
        <w:t xml:space="preserve"> pārskatīšanu, un kompetentās iestādes pilnvaras izvērtēt neatbilstību gadījumus.</w:t>
      </w:r>
    </w:p>
    <w:p w14:paraId="772BF3FB" w14:textId="77777777" w:rsidR="00F82F2D" w:rsidRPr="008D031E" w:rsidRDefault="00F82F2D" w:rsidP="00F82F2D">
      <w:pPr>
        <w:pStyle w:val="JuPara"/>
        <w:widowControl w:val="0"/>
        <w:ind w:firstLine="142"/>
        <w:rPr>
          <w:rFonts w:ascii="Times New Roman" w:hAnsi="Times New Roman"/>
          <w:noProof/>
        </w:rPr>
      </w:pPr>
      <w:bookmarkStart w:id="242" w:name="RCD1"/>
      <w:bookmarkStart w:id="243" w:name="IntSH"/>
      <w:r>
        <w:rPr>
          <w:rFonts w:ascii="Times New Roman" w:hAnsi="Times New Roman"/>
        </w:rPr>
        <w:t>362</w:t>
      </w:r>
      <w:bookmarkEnd w:id="242"/>
      <w:bookmarkEnd w:id="243"/>
      <w:r>
        <w:rPr>
          <w:rFonts w:ascii="Times New Roman" w:hAnsi="Times New Roman"/>
        </w:rPr>
        <w:t>. Lai gan tas ir viens no spriedumā lietā “Vēbere” noteiktajiem kritērijiem, Tiesa līdz šim vēl nav sniegusi īpašus norādījumus par piesardzības pasākumiem, kas jāievēro, paziņojot pārtverto materiālu citām pusēm. Tomēr tagad ir skaidrs, ka dažas valstis regulāri apmainās ar materiālu ar saviem izlūkošanas partneriem un atsevišķos gadījumos pat nodrošina tiem tiešu piekļuvi savām sistēmām. Līdz ar to Tiesa uzskata, ka masveida pārtveršanas ietvaros iegūta materiāla pārsūtīšana uz ārvalstīm vai starptautiskām organizācijām, ko veic līgumslēdzēja valsts, ir jāierobežo, ļaujot pārsūtīt vienīgi materiālu, kas apkopots un uzglabāts saskaņā ar Konvenciju, un uz to jāattiecina noteikti īpaši papildu drošības pasākumi, kas attiecas uz pašu pārsūtīšanu. Pirmkārt, valsts tiesību aktos ir skaidri jānosaka apstākļi, kādos var veikt šādu pārsūtīšanu. Otrkārt, pārsūtošajai valstij ir jānodrošina, lai saņēmēja valsts, apstrādājot datus, būtu ieviesusi drošības pasākumus, ar kuriem iespējams novērst ļaunprātīgu izmantošanu un nesamērīgu iejaukšanos. Saņēmējai valstij jo īpaši ir jāgarantē materiāla droša uzglabāšana un jāierobežo tā tālāka izpaušana. Tas ne vienmēr nozīmē, ka saņēmējai valstij ir jāparedz tāda pati aizsardzība kā pārsūtošajā valstī vai ka garantija būtu jāsniedz pirms katras pārsūtīšanas. Treškārt, pastiprināti drošības pasākumi būs nepieciešami, ja būs skaidrs, ka tiek pārsūtīts materiāls, attiecībā uz kuru jāievēro īpaša konfidencialitāte, piemēram, konfidenciāls žurnālistikas materiāls. Visbeidzot Tiesa uzskata, ka arī materiāla pārsūtīšana ārvalstu izlūkošanas partneriem jāpakļauj neatkarīgai kontrolei.</w:t>
      </w:r>
    </w:p>
    <w:p w14:paraId="6C3BEA9A" w14:textId="77777777" w:rsidR="00F82F2D" w:rsidRPr="008D031E" w:rsidRDefault="00F82F2D" w:rsidP="00F82F2D">
      <w:pPr>
        <w:pStyle w:val="JuPara"/>
        <w:widowControl w:val="0"/>
        <w:ind w:firstLine="142"/>
        <w:rPr>
          <w:rFonts w:ascii="Times New Roman" w:hAnsi="Times New Roman"/>
          <w:noProof/>
        </w:rPr>
      </w:pPr>
      <w:bookmarkStart w:id="244" w:name="Three55"/>
      <w:r>
        <w:rPr>
          <w:rFonts w:ascii="Times New Roman" w:hAnsi="Times New Roman"/>
        </w:rPr>
        <w:t>363</w:t>
      </w:r>
      <w:bookmarkEnd w:id="244"/>
      <w:r>
        <w:rPr>
          <w:rFonts w:ascii="Times New Roman" w:hAnsi="Times New Roman"/>
        </w:rPr>
        <w:t>. Pamatojoties uz iepriekš 342. punktā izklāstītajiem iemesliem, Tiesa nav guvusi pārliecību, ka saistīto sakaru datu iegūšana, izmantojot masveida pārtveršanu, rada mazāku iejaukšanos nekā satura iegūšana. Tāpēc tā uzskata, ka saistīto sakaru datu pārtveršana, saglabāšana un meklēšana ir jāanalizē, atsaucoties uz tiem pašiem drošības pasākumiem, kurus piemēro saturam.</w:t>
      </w:r>
    </w:p>
    <w:p w14:paraId="51A4110D" w14:textId="77777777" w:rsidR="00F82F2D" w:rsidRDefault="00F82F2D" w:rsidP="00F82F2D">
      <w:pPr>
        <w:pStyle w:val="JuPara"/>
        <w:widowControl w:val="0"/>
        <w:ind w:firstLine="142"/>
        <w:rPr>
          <w:rFonts w:ascii="Times New Roman" w:hAnsi="Times New Roman"/>
          <w:noProof/>
        </w:rPr>
      </w:pPr>
      <w:bookmarkStart w:id="245" w:name="RCD3"/>
      <w:r>
        <w:rPr>
          <w:rFonts w:ascii="Times New Roman" w:hAnsi="Times New Roman"/>
        </w:rPr>
        <w:t>364</w:t>
      </w:r>
      <w:bookmarkEnd w:id="245"/>
      <w:r>
        <w:rPr>
          <w:rFonts w:ascii="Times New Roman" w:hAnsi="Times New Roman"/>
        </w:rPr>
        <w:t>. Tomēr, lai gan saistīto sakaru datu pārtveršanu parasti atļauj vienlaikus ar satura pārtveršanu, izlūkdienesti pēc to iegūšanas tos var apstrādāt atšķirīgi (skat., piemēram, iepriekš 153.–154. punktu). Ņemot vērā saistīto sakaru datu atšķirīgās iezīmes un veidus, kā tos izmanto izlūkdienesti, kamēr vien tiek īstenoti iepriekš minētie drošības pasākumi, Tiesa uzskata, ka tiesību normām, kas reglamentē to apstrādi, ne vienmēr visos aspektos jābūt identiskām satura apstrādi regulējošajām tiesību normām.</w:t>
      </w:r>
    </w:p>
    <w:p w14:paraId="1E2F0A59" w14:textId="77777777" w:rsidR="00F82F2D" w:rsidRPr="008D031E" w:rsidRDefault="00F82F2D" w:rsidP="00F82F2D">
      <w:pPr>
        <w:pStyle w:val="JuPara"/>
        <w:widowControl w:val="0"/>
        <w:ind w:firstLine="142"/>
        <w:rPr>
          <w:rFonts w:ascii="Times New Roman" w:hAnsi="Times New Roman"/>
          <w:noProof/>
          <w:lang w:val="en-US"/>
        </w:rPr>
      </w:pPr>
    </w:p>
    <w:p w14:paraId="0DACBE05" w14:textId="77777777" w:rsidR="00F82F2D" w:rsidRDefault="00F82F2D" w:rsidP="00F82F2D">
      <w:pPr>
        <w:pStyle w:val="JuHi"/>
        <w:keepNext w:val="0"/>
        <w:keepLines w:val="0"/>
        <w:widowControl w:val="0"/>
        <w:numPr>
          <w:ilvl w:val="0"/>
          <w:numId w:val="0"/>
        </w:numPr>
        <w:spacing w:before="0" w:beforeAutospacing="0" w:after="0" w:line="240" w:lineRule="auto"/>
        <w:outlineLvl w:val="9"/>
        <w:rPr>
          <w:rFonts w:ascii="Times New Roman" w:hAnsi="Times New Roman"/>
          <w:noProof/>
          <w:sz w:val="24"/>
        </w:rPr>
      </w:pPr>
      <w:r>
        <w:rPr>
          <w:rFonts w:ascii="Times New Roman" w:hAnsi="Times New Roman"/>
          <w:sz w:val="24"/>
        </w:rPr>
        <w:t xml:space="preserve">iv) Šīs lietas </w:t>
      </w:r>
      <w:proofErr w:type="spellStart"/>
      <w:r>
        <w:rPr>
          <w:rFonts w:ascii="Times New Roman" w:hAnsi="Times New Roman"/>
          <w:sz w:val="24"/>
        </w:rPr>
        <w:t>izvērtējums</w:t>
      </w:r>
      <w:proofErr w:type="spellEnd"/>
      <w:r>
        <w:rPr>
          <w:rFonts w:ascii="Times New Roman" w:hAnsi="Times New Roman"/>
          <w:sz w:val="24"/>
        </w:rPr>
        <w:t>, ko veikusi Tiesa</w:t>
      </w:r>
    </w:p>
    <w:p w14:paraId="37027672" w14:textId="77777777" w:rsidR="00F82F2D" w:rsidRPr="000D5D44" w:rsidRDefault="00F82F2D" w:rsidP="00F82F2D">
      <w:pPr>
        <w:pStyle w:val="JuPara"/>
        <w:widowControl w:val="0"/>
        <w:rPr>
          <w:lang w:val="en-US" w:bidi="en-US"/>
        </w:rPr>
      </w:pPr>
    </w:p>
    <w:p w14:paraId="7486C8D4" w14:textId="77777777" w:rsidR="00F82F2D" w:rsidRDefault="00F82F2D" w:rsidP="00F82F2D">
      <w:pPr>
        <w:pStyle w:val="JuHalpha"/>
        <w:keepNext w:val="0"/>
        <w:keepLines w:val="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α) Sākotnējās piezīmes</w:t>
      </w:r>
    </w:p>
    <w:p w14:paraId="71D36FEA" w14:textId="77777777" w:rsidR="00F82F2D" w:rsidRPr="000D5D44" w:rsidRDefault="00F82F2D" w:rsidP="00F82F2D">
      <w:pPr>
        <w:pStyle w:val="JuPara"/>
        <w:widowControl w:val="0"/>
        <w:rPr>
          <w:lang w:val="en-US" w:bidi="en-US"/>
        </w:rPr>
      </w:pPr>
    </w:p>
    <w:p w14:paraId="57794A6F" w14:textId="77777777" w:rsidR="00F82F2D" w:rsidRPr="008D031E" w:rsidRDefault="00F82F2D" w:rsidP="00F82F2D">
      <w:pPr>
        <w:pStyle w:val="JuPara"/>
        <w:widowControl w:val="0"/>
        <w:ind w:firstLine="142"/>
        <w:rPr>
          <w:rFonts w:ascii="Times New Roman" w:hAnsi="Times New Roman"/>
          <w:noProof/>
        </w:rPr>
      </w:pPr>
      <w:bookmarkStart w:id="246" w:name="LegalBasis"/>
      <w:r>
        <w:rPr>
          <w:rFonts w:ascii="Times New Roman" w:hAnsi="Times New Roman"/>
        </w:rPr>
        <w:t>365</w:t>
      </w:r>
      <w:bookmarkEnd w:id="246"/>
      <w:r>
        <w:rPr>
          <w:rFonts w:ascii="Times New Roman" w:hAnsi="Times New Roman"/>
        </w:rPr>
        <w:t xml:space="preserve">. Attiecīgajā brīdī masveida pārtveršanai juridiskais pamats bija noteikts </w:t>
      </w:r>
      <w:r>
        <w:rPr>
          <w:rFonts w:ascii="Times New Roman" w:hAnsi="Times New Roman"/>
          <w:i/>
          <w:iCs/>
        </w:rPr>
        <w:t>RIPA</w:t>
      </w:r>
      <w:r>
        <w:rPr>
          <w:rFonts w:ascii="Times New Roman" w:hAnsi="Times New Roman"/>
        </w:rPr>
        <w:t xml:space="preserve"> I nodaļā.</w:t>
      </w:r>
      <w:r>
        <w:rPr>
          <w:rFonts w:ascii="Times New Roman" w:hAnsi="Times New Roman"/>
          <w:b/>
        </w:rPr>
        <w:t xml:space="preserve"> </w:t>
      </w:r>
      <w:r>
        <w:rPr>
          <w:rFonts w:ascii="Times New Roman" w:hAnsi="Times New Roman"/>
        </w:rPr>
        <w:t>Turklāt Tiesa ir pārliecināta, ka ar minēto režīmu īstenoja leģitīmus mērķus, proti, aizsargāt valsts drošību, novērst nekārtības un noziedzību un aizsargāt citu personu tiesības un brīvības. Tāpēc, ņemot vērā iepriekš 334. punktā izklāstīto pieeju, ir jāizvērtē, vai valsts tiesību akti bija pieejami un tajos bija noteikti atbilstoši un efektīvi drošības pasākumi un garantijas, lai izpildītu prasības par “</w:t>
      </w:r>
      <w:proofErr w:type="spellStart"/>
      <w:r>
        <w:rPr>
          <w:rFonts w:ascii="Times New Roman" w:hAnsi="Times New Roman"/>
        </w:rPr>
        <w:t>paredzamību</w:t>
      </w:r>
      <w:proofErr w:type="spellEnd"/>
      <w:r>
        <w:rPr>
          <w:rFonts w:ascii="Times New Roman" w:hAnsi="Times New Roman"/>
        </w:rPr>
        <w:t>” un “nepieciešamību demokrātiskā sabiedrībā”.</w:t>
      </w:r>
    </w:p>
    <w:p w14:paraId="632969DA" w14:textId="77777777" w:rsidR="00F82F2D" w:rsidRPr="008D031E" w:rsidRDefault="00F82F2D" w:rsidP="00F82F2D">
      <w:pPr>
        <w:pStyle w:val="JuPara"/>
        <w:widowControl w:val="0"/>
        <w:ind w:firstLine="142"/>
        <w:rPr>
          <w:rFonts w:ascii="Times New Roman" w:hAnsi="Times New Roman"/>
          <w:noProof/>
        </w:rPr>
      </w:pPr>
      <w:bookmarkStart w:id="247" w:name="CodeFor"/>
      <w:r>
        <w:rPr>
          <w:rFonts w:ascii="Times New Roman" w:hAnsi="Times New Roman"/>
        </w:rPr>
        <w:t>366</w:t>
      </w:r>
      <w:bookmarkEnd w:id="247"/>
      <w:r>
        <w:rPr>
          <w:rFonts w:ascii="Times New Roman" w:hAnsi="Times New Roman"/>
        </w:rPr>
        <w:t xml:space="preserve">. Attiecīgās tiesību normas, kas reglamentē masveida pārtveršanas režīma darbību, neapšaubāmi bija sarežģītas, proti, lielākajā daļā ziņojumu par Apvienotās Karalistes slepenās uzraudzības režīmiem ir kritizēts to skaidrības trūkums (skat. iepriekš 143., 152. un </w:t>
      </w:r>
      <w:r>
        <w:rPr>
          <w:rFonts w:ascii="Times New Roman" w:hAnsi="Times New Roman"/>
        </w:rPr>
        <w:lastRenderedPageBreak/>
        <w:t xml:space="preserve">157. punktu). Tomēr šīs tiesību normas bija precizētas pievienotajā </w:t>
      </w:r>
      <w:proofErr w:type="spellStart"/>
      <w:r>
        <w:rPr>
          <w:rFonts w:ascii="Times New Roman" w:hAnsi="Times New Roman"/>
          <w:i/>
          <w:iCs/>
        </w:rPr>
        <w:t>IC</w:t>
      </w:r>
      <w:proofErr w:type="spellEnd"/>
      <w:r>
        <w:rPr>
          <w:rFonts w:ascii="Times New Roman" w:hAnsi="Times New Roman"/>
        </w:rPr>
        <w:t xml:space="preserve"> kodeksā (skat. iepriekš 96. punktu). </w:t>
      </w:r>
      <w:proofErr w:type="spellStart"/>
      <w:r>
        <w:rPr>
          <w:rFonts w:ascii="Times New Roman" w:hAnsi="Times New Roman"/>
          <w:i/>
          <w:iCs/>
        </w:rPr>
        <w:t>IC</w:t>
      </w:r>
      <w:proofErr w:type="spellEnd"/>
      <w:r>
        <w:rPr>
          <w:rFonts w:ascii="Times New Roman" w:hAnsi="Times New Roman"/>
        </w:rPr>
        <w:t xml:space="preserve"> kodeksa 6.4. punktā bija skaidri norādīts, ka notiek masveida pārtveršana, kā arī sniegta detalizēta informācija par to, kā šis konkrētais uzraudzības režīms darbojās praksē (skat. iepriekš 96. punktu). </w:t>
      </w:r>
      <w:proofErr w:type="spellStart"/>
      <w:r>
        <w:rPr>
          <w:rFonts w:ascii="Times New Roman" w:hAnsi="Times New Roman"/>
          <w:i/>
          <w:iCs/>
        </w:rPr>
        <w:t>IC</w:t>
      </w:r>
      <w:proofErr w:type="spellEnd"/>
      <w:r>
        <w:rPr>
          <w:rFonts w:ascii="Times New Roman" w:hAnsi="Times New Roman"/>
        </w:rPr>
        <w:t xml:space="preserve"> kodekss ir publisks abu parlamenta palātu apstiprināts dokuments, ko Valdība publicē tiešsaistē un drukātā versijā un kas ir jāņem vērā gan personām, kuras veic pārtveršanas pienākumus, gan tiesām (skat. iepriekš 93.–94. punktu). Līdz ar to šī Tiesa ir pieņēmusi, ka tā tiesību normas var ņemt vērā, izvērtējot </w:t>
      </w:r>
      <w:r>
        <w:rPr>
          <w:rFonts w:ascii="Times New Roman" w:hAnsi="Times New Roman"/>
          <w:i/>
          <w:iCs/>
        </w:rPr>
        <w:t>RIPA</w:t>
      </w:r>
      <w:r>
        <w:rPr>
          <w:rFonts w:ascii="Times New Roman" w:hAnsi="Times New Roman"/>
        </w:rPr>
        <w:t xml:space="preserve"> </w:t>
      </w:r>
      <w:proofErr w:type="spellStart"/>
      <w:r>
        <w:rPr>
          <w:rFonts w:ascii="Times New Roman" w:hAnsi="Times New Roman"/>
        </w:rPr>
        <w:t>paredzamību</w:t>
      </w:r>
      <w:proofErr w:type="spellEnd"/>
      <w:r>
        <w:rPr>
          <w:rFonts w:ascii="Times New Roman" w:hAnsi="Times New Roman"/>
        </w:rPr>
        <w:t xml:space="preserve"> (skat. iepriekš minētā sprieduma lietā “Kenedijs” 157. punktu). Tādējādi Tiesa pieņemtu, ka valsts tiesību akti bija pienācīgi “pieejami”.</w:t>
      </w:r>
    </w:p>
    <w:p w14:paraId="46CEAEC1" w14:textId="77777777" w:rsidR="00F82F2D" w:rsidRDefault="00F82F2D" w:rsidP="00F82F2D">
      <w:pPr>
        <w:pStyle w:val="JuPara"/>
        <w:widowControl w:val="0"/>
        <w:ind w:firstLine="142"/>
        <w:rPr>
          <w:rFonts w:ascii="Times New Roman" w:hAnsi="Times New Roman"/>
          <w:noProof/>
        </w:rPr>
      </w:pPr>
      <w:r>
        <w:rPr>
          <w:rFonts w:ascii="Times New Roman" w:hAnsi="Times New Roman"/>
        </w:rPr>
        <w:t>367. Pievēršoties nākamajam jautājumam par to, vai tiesību akti paredzēja atbilstošus un efektīvus drošības pasākumus un garantijas, lai izpildītu prasības par “</w:t>
      </w:r>
      <w:proofErr w:type="spellStart"/>
      <w:r>
        <w:rPr>
          <w:rFonts w:ascii="Times New Roman" w:hAnsi="Times New Roman"/>
        </w:rPr>
        <w:t>paredzamību</w:t>
      </w:r>
      <w:proofErr w:type="spellEnd"/>
      <w:r>
        <w:rPr>
          <w:rFonts w:ascii="Times New Roman" w:hAnsi="Times New Roman"/>
        </w:rPr>
        <w:t>” un “nepieciešamību demokrātiskā sabiedrībā”, Tiesa β) </w:t>
      </w:r>
      <w:proofErr w:type="spellStart"/>
      <w:r>
        <w:rPr>
          <w:rFonts w:ascii="Times New Roman" w:hAnsi="Times New Roman"/>
        </w:rPr>
        <w:t>apakšiedaļā</w:t>
      </w:r>
      <w:proofErr w:type="spellEnd"/>
      <w:r>
        <w:rPr>
          <w:rFonts w:ascii="Times New Roman" w:hAnsi="Times New Roman"/>
        </w:rPr>
        <w:t xml:space="preserve"> izvērtēs iepriekš 361. punktā izklāstītās astoņas prasības saistībā ar elektronisko sakaru satura pārtveršanu. Savukārt γ) </w:t>
      </w:r>
      <w:proofErr w:type="spellStart"/>
      <w:r>
        <w:rPr>
          <w:rFonts w:ascii="Times New Roman" w:hAnsi="Times New Roman"/>
        </w:rPr>
        <w:t>apakšiedaļā</w:t>
      </w:r>
      <w:proofErr w:type="spellEnd"/>
      <w:r>
        <w:rPr>
          <w:rFonts w:ascii="Times New Roman" w:hAnsi="Times New Roman"/>
        </w:rPr>
        <w:t xml:space="preserve"> tā konkrētāk izvērtēs saistīto sakaru datu pārtveršanu.</w:t>
      </w:r>
    </w:p>
    <w:p w14:paraId="021304CC" w14:textId="77777777" w:rsidR="00F82F2D" w:rsidRPr="008D031E" w:rsidRDefault="00F82F2D" w:rsidP="00F82F2D">
      <w:pPr>
        <w:pStyle w:val="JuPara"/>
        <w:widowControl w:val="0"/>
        <w:ind w:firstLine="142"/>
        <w:rPr>
          <w:rFonts w:ascii="Times New Roman" w:hAnsi="Times New Roman"/>
          <w:noProof/>
          <w:lang w:val="en-US"/>
        </w:rPr>
      </w:pPr>
    </w:p>
    <w:p w14:paraId="2EABC20E" w14:textId="77777777" w:rsidR="00F82F2D" w:rsidRDefault="00F82F2D" w:rsidP="00F82F2D">
      <w:pPr>
        <w:pStyle w:val="JuHalpha"/>
        <w:keepNext w:val="0"/>
        <w:keepLines w:val="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β) Sakaru satura pārtveršana</w:t>
      </w:r>
    </w:p>
    <w:p w14:paraId="0E40528E" w14:textId="77777777" w:rsidR="00F82F2D" w:rsidRPr="000D5D44" w:rsidRDefault="00F82F2D" w:rsidP="00F82F2D">
      <w:pPr>
        <w:pStyle w:val="JuPara"/>
        <w:widowControl w:val="0"/>
        <w:rPr>
          <w:lang w:val="en-US" w:bidi="en-US"/>
        </w:rPr>
      </w:pPr>
    </w:p>
    <w:p w14:paraId="54ABD64B" w14:textId="77777777" w:rsidR="00F82F2D" w:rsidRDefault="00F82F2D" w:rsidP="00F82F2D">
      <w:pPr>
        <w:pStyle w:val="JuH"/>
        <w:keepNext w:val="0"/>
        <w:keepLines w:val="0"/>
        <w:widowControl w:val="0"/>
        <w:numPr>
          <w:ilvl w:val="0"/>
          <w:numId w:val="47"/>
        </w:numPr>
        <w:spacing w:before="0" w:beforeAutospacing="0" w:after="0"/>
        <w:ind w:left="567" w:hanging="284"/>
        <w:outlineLvl w:val="9"/>
        <w:rPr>
          <w:rFonts w:ascii="Times New Roman" w:hAnsi="Times New Roman"/>
          <w:noProof/>
          <w:sz w:val="24"/>
        </w:rPr>
      </w:pPr>
      <w:r>
        <w:rPr>
          <w:rFonts w:ascii="Times New Roman" w:hAnsi="Times New Roman"/>
          <w:sz w:val="24"/>
        </w:rPr>
        <w:t>1. Pamatojums, saskaņā ar kuru var atļaut masveida pārtveršanu</w:t>
      </w:r>
    </w:p>
    <w:p w14:paraId="5F48EABD" w14:textId="77777777" w:rsidR="00F82F2D" w:rsidRPr="000D5D44" w:rsidRDefault="00F82F2D" w:rsidP="00F82F2D">
      <w:pPr>
        <w:pStyle w:val="JuPara"/>
        <w:widowControl w:val="0"/>
        <w:rPr>
          <w:lang w:val="en-US" w:bidi="en-US"/>
        </w:rPr>
      </w:pPr>
    </w:p>
    <w:p w14:paraId="0B62394B" w14:textId="77777777" w:rsidR="00F82F2D" w:rsidRPr="008D031E" w:rsidRDefault="00F82F2D" w:rsidP="00F82F2D">
      <w:pPr>
        <w:pStyle w:val="JuPara"/>
        <w:widowControl w:val="0"/>
        <w:ind w:firstLine="142"/>
        <w:rPr>
          <w:rFonts w:ascii="Times New Roman" w:hAnsi="Times New Roman"/>
          <w:noProof/>
        </w:rPr>
      </w:pPr>
      <w:bookmarkStart w:id="248" w:name="three60"/>
      <w:r>
        <w:rPr>
          <w:rFonts w:ascii="Times New Roman" w:hAnsi="Times New Roman"/>
        </w:rPr>
        <w:t>368</w:t>
      </w:r>
      <w:bookmarkEnd w:id="248"/>
      <w:r>
        <w:rPr>
          <w:rFonts w:ascii="Times New Roman" w:hAnsi="Times New Roman"/>
        </w:rPr>
        <w:t xml:space="preserve">. Saskaņā ar </w:t>
      </w:r>
      <w:r>
        <w:rPr>
          <w:rFonts w:ascii="Times New Roman" w:hAnsi="Times New Roman"/>
          <w:i/>
          <w:iCs/>
        </w:rPr>
        <w:t>RIPA</w:t>
      </w:r>
      <w:r>
        <w:rPr>
          <w:rFonts w:ascii="Times New Roman" w:hAnsi="Times New Roman"/>
        </w:rPr>
        <w:t xml:space="preserve"> 5. panta 3. punktu un </w:t>
      </w:r>
      <w:proofErr w:type="spellStart"/>
      <w:r>
        <w:rPr>
          <w:rFonts w:ascii="Times New Roman" w:hAnsi="Times New Roman"/>
          <w:i/>
          <w:iCs/>
        </w:rPr>
        <w:t>IC</w:t>
      </w:r>
      <w:proofErr w:type="spellEnd"/>
      <w:r>
        <w:rPr>
          <w:rFonts w:ascii="Times New Roman" w:hAnsi="Times New Roman"/>
        </w:rPr>
        <w:t xml:space="preserve"> kodeksa 6.11. punktu (skat. iepriekš 62. un 96. punktu) valsts sekretārs(-e) varēja izdot masveida pārtveršanas orderi vienīgi tad, ja viņš vai viņa bija pārliecināts(-</w:t>
      </w:r>
      <w:proofErr w:type="spellStart"/>
      <w:r>
        <w:rPr>
          <w:rFonts w:ascii="Times New Roman" w:hAnsi="Times New Roman"/>
        </w:rPr>
        <w:t>ta</w:t>
      </w:r>
      <w:proofErr w:type="spellEnd"/>
      <w:r>
        <w:rPr>
          <w:rFonts w:ascii="Times New Roman" w:hAnsi="Times New Roman"/>
        </w:rPr>
        <w:t>), ka tas bija nepieciešams valsts drošības interesēs, lai novērstu vai atklātu nopietnu noziegumu, vai Apvienotās Karalistes ekonomiskās labklājības nodrošināšanai, ciktāl šīs intereses atbilda valsts drošības interesēm.</w:t>
      </w:r>
    </w:p>
    <w:p w14:paraId="523CA38C"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369. Uz šiem pamatojumiem attiecās turpmāk minētie ierobežojumi. Pirmkārt, </w:t>
      </w:r>
      <w:proofErr w:type="spellStart"/>
      <w:r>
        <w:rPr>
          <w:rFonts w:ascii="Times New Roman" w:hAnsi="Times New Roman"/>
          <w:i/>
          <w:iCs/>
        </w:rPr>
        <w:t>IC</w:t>
      </w:r>
      <w:proofErr w:type="spellEnd"/>
      <w:r>
        <w:rPr>
          <w:rFonts w:ascii="Times New Roman" w:hAnsi="Times New Roman"/>
        </w:rPr>
        <w:t xml:space="preserve"> komisārs bija precizējis, ka praksē “valsts drošības” interesēs ir atļauts uzraudzīt darbības, kuras apdraud valsts drošību vai labklājību, un darbības, kuru mērķis ir apdraudēt vai graut parlamentāro demokrātiju ar politiskiem, rūpnieciskiem vai vardarbīgiem līdzekļiem (skat. iepriekš minētā sprieduma lietā “Kenedijs” 333. punktu). Otrkārt, </w:t>
      </w:r>
      <w:r>
        <w:rPr>
          <w:rFonts w:ascii="Times New Roman" w:hAnsi="Times New Roman"/>
          <w:i/>
          <w:iCs/>
        </w:rPr>
        <w:t>RIPA</w:t>
      </w:r>
      <w:r>
        <w:rPr>
          <w:rFonts w:ascii="Times New Roman" w:hAnsi="Times New Roman"/>
        </w:rPr>
        <w:t xml:space="preserve"> 81. panta 2. punktā b) apakšpunktā smags noziegums ir definēts kā noziegums, par kuru personai (pieņemot, ka tā sasniegusi divdesmit viena gada vecumu un tai nav iepriekšējas sodāmības) pamatoti varētu piespriest brīvības atņemšanu uz trim gadiem vai ilgāk, vai, ja rīcība izpaužas kā vardarbība, tās rezultātā gūts būtisks finansiāls labums vai arī rīcība ir attiecināma uz lielu skaitu personu, kas rīkojās kopēja mērķa sasniegšanai (skat. iepriekš 63. punktu). Treškārt, </w:t>
      </w:r>
      <w:r>
        <w:rPr>
          <w:rFonts w:ascii="Times New Roman" w:hAnsi="Times New Roman"/>
          <w:i/>
          <w:iCs/>
        </w:rPr>
        <w:t>RIPA</w:t>
      </w:r>
      <w:r>
        <w:rPr>
          <w:rFonts w:ascii="Times New Roman" w:hAnsi="Times New Roman"/>
        </w:rPr>
        <w:t xml:space="preserve"> 17. pantā un </w:t>
      </w:r>
      <w:proofErr w:type="spellStart"/>
      <w:r>
        <w:rPr>
          <w:rFonts w:ascii="Times New Roman" w:hAnsi="Times New Roman"/>
          <w:i/>
          <w:iCs/>
        </w:rPr>
        <w:t>IC</w:t>
      </w:r>
      <w:proofErr w:type="spellEnd"/>
      <w:r>
        <w:rPr>
          <w:rFonts w:ascii="Times New Roman" w:hAnsi="Times New Roman"/>
        </w:rPr>
        <w:t xml:space="preserve"> kodeksa 8.3. punktā ir noteikts, ka parasti ne pārtveršanas iespējai, ne pašam pārtvertajam materiālam nevar būt nekādas nozīmes tiesvedībā (skat. iepriekš 83. un 96. punktu). Līdz ar to, lai gan pārtveršanu varētu izmantot, lai novērstu vai atklātu smagus noziegumus, pārtveršanas materiālu nevar izmantot kriminālvajāšanai attiecībā uz kādu noziedzīgu nodarījumu. Turklāt </w:t>
      </w:r>
      <w:proofErr w:type="spellStart"/>
      <w:r>
        <w:rPr>
          <w:rFonts w:ascii="Times New Roman" w:hAnsi="Times New Roman"/>
          <w:i/>
          <w:iCs/>
        </w:rPr>
        <w:t>IC</w:t>
      </w:r>
      <w:proofErr w:type="spellEnd"/>
      <w:r>
        <w:rPr>
          <w:rFonts w:ascii="Times New Roman" w:hAnsi="Times New Roman"/>
        </w:rPr>
        <w:t xml:space="preserve"> kodeksa 6.8. punkts paredz, ka 8. panta 4. punktā noteiktā ordera nolūks “parasti atspoguļo vienu vai vairākas Valsts drošības padomes noteiktās izlūkošanas prioritātes” (skat. iepriekš 96. un 98. punktu).</w:t>
      </w:r>
    </w:p>
    <w:p w14:paraId="7B5B1FA0"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370. Principā, jo plašāks pamatojums, jo lielāka ir ļaunprātīgas izmantošanas iespēja. Tomēr šaurāki un/vai stingrāk definēti pamatojumi nodrošinātu efektīvu garantiju pret ļaunprātīgu izmantošanu vienīgi tad, ja būtu pietiekami ar citiem drošības pasākumiem, lai nodrošinātu, ka masveida pārtveršana ir atļauta vienīgi atbilstoši atļautajam pamatojumam un ka tā ir nepieciešama un samērīga šim nolūkam. Tāpēc ar to cieši saistītais jautājums par to, vai bija pietiekamas garantijas, lai nodrošinātu, ka pārtveršana bija nepieciešama vai pamatota, ir tikpat svarīgs kā tas, cik precīzi ir definēts atļaujas piešķiršanas pamatojums. Līdz ar to Tiesa uzskata, ka režīms, kas ļauj uzdot masveida pārtveršanu atbilstoši salīdzinoši plašam pamatojumam, joprojām var atbilst Konvencijas 8. pantam, ja sistēma, to aplūkojot kopumā, paredz </w:t>
      </w:r>
      <w:r>
        <w:rPr>
          <w:rFonts w:ascii="Times New Roman" w:hAnsi="Times New Roman"/>
        </w:rPr>
        <w:lastRenderedPageBreak/>
        <w:t>pietiekamas garantijas pret ļaunprātīgu izmantošanu, lai kompensētu šo trūkumu.</w:t>
      </w:r>
    </w:p>
    <w:p w14:paraId="71D9414C" w14:textId="77777777" w:rsidR="00F82F2D" w:rsidRDefault="00F82F2D" w:rsidP="00F82F2D">
      <w:pPr>
        <w:pStyle w:val="JuPara"/>
        <w:widowControl w:val="0"/>
        <w:ind w:firstLine="142"/>
        <w:rPr>
          <w:rFonts w:ascii="Times New Roman" w:eastAsia="Times New Roman" w:hAnsi="Times New Roman" w:cs="Times New Roman"/>
          <w:noProof/>
        </w:rPr>
      </w:pPr>
      <w:r>
        <w:rPr>
          <w:rFonts w:ascii="Times New Roman" w:hAnsi="Times New Roman"/>
        </w:rPr>
        <w:t>371. Apvienotās Karalistes gadījumā, lai gan pamatojums, saskaņā ar kuru varētu atļaut masveida pārtveršanu, bija formulēts samērā plaši, tas joprojām bija vērsts uz valsts drošību, kā arī smagiem noziegumiem un valsts ekonomisko labklājību, ciktāl šīs intereses atbilda valsts drošības interesēm (skat. iepriekš 368. punktu). Tādēļ Tiesa izvērtēs pārējos drošības pasākumus, kas ietverti 8. panta 4. punktā noteiktajā režīmā, lai noteiktu, vai šis režīms, to aplūkojot kopumā, atbilda Konvencijas 8. pantam.</w:t>
      </w:r>
    </w:p>
    <w:p w14:paraId="36AAEA56" w14:textId="77777777" w:rsidR="00F82F2D" w:rsidRPr="008D031E" w:rsidRDefault="00F82F2D" w:rsidP="00F82F2D">
      <w:pPr>
        <w:pStyle w:val="JuPara"/>
        <w:widowControl w:val="0"/>
        <w:ind w:firstLine="142"/>
        <w:rPr>
          <w:rFonts w:ascii="Times New Roman" w:hAnsi="Times New Roman"/>
          <w:noProof/>
          <w:lang w:val="en-US"/>
        </w:rPr>
      </w:pPr>
    </w:p>
    <w:p w14:paraId="55ECA41B" w14:textId="77777777" w:rsidR="00F82F2D" w:rsidRDefault="00F82F2D" w:rsidP="00F82F2D">
      <w:pPr>
        <w:pStyle w:val="JuH"/>
        <w:keepNext w:val="0"/>
        <w:keepLines w:val="0"/>
        <w:widowControl w:val="0"/>
        <w:numPr>
          <w:ilvl w:val="0"/>
          <w:numId w:val="46"/>
        </w:numPr>
        <w:spacing w:before="0" w:beforeAutospacing="0" w:after="0"/>
        <w:ind w:left="567" w:hanging="283"/>
        <w:outlineLvl w:val="9"/>
        <w:rPr>
          <w:rFonts w:ascii="Times New Roman" w:hAnsi="Times New Roman"/>
          <w:noProof/>
          <w:sz w:val="24"/>
        </w:rPr>
      </w:pPr>
      <w:r>
        <w:rPr>
          <w:rFonts w:ascii="Times New Roman" w:hAnsi="Times New Roman"/>
          <w:sz w:val="24"/>
        </w:rPr>
        <w:t>2. Apstākļi, kādos var pārtvert personas sakarus</w:t>
      </w:r>
    </w:p>
    <w:p w14:paraId="726088DB" w14:textId="77777777" w:rsidR="00F82F2D" w:rsidRPr="000D5D44" w:rsidRDefault="00F82F2D" w:rsidP="00F82F2D">
      <w:pPr>
        <w:pStyle w:val="JuPara"/>
        <w:widowControl w:val="0"/>
        <w:rPr>
          <w:lang w:val="en-US" w:bidi="en-US"/>
        </w:rPr>
      </w:pPr>
    </w:p>
    <w:p w14:paraId="7C6F2CB8"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372. </w:t>
      </w:r>
      <w:proofErr w:type="spellStart"/>
      <w:r>
        <w:rPr>
          <w:rFonts w:ascii="Times New Roman" w:hAnsi="Times New Roman"/>
          <w:i/>
          <w:iCs/>
        </w:rPr>
        <w:t>IC</w:t>
      </w:r>
      <w:proofErr w:type="spellEnd"/>
      <w:r>
        <w:rPr>
          <w:rFonts w:ascii="Times New Roman" w:hAnsi="Times New Roman"/>
        </w:rPr>
        <w:t xml:space="preserve"> kodeksa 6.2. punktā (skat. iepriekš 96. punktu) ir skaidri noteikts, ka “atšķirībā no 8. panta 1. punktā minētā, 8. panta 4. punktā noteiktajā orderī nav jānosauc vai jāraksturo pārtveršanas subjekts vai jānorāda telpas, saistībā ar kurām veicama pārtveršana. Tāpat 8. panta 4. punkts neuzliek par pienākumu ierobežot to ārējo sakaru apjomu, kas var tikt pārtverti”. Citiem vārdiem sakot, par mērķi tika izvirzīti sakaru nesēji, nevis ierīces, no kurām sakari pārsūtīti, vai sakaru sūtītāji vai saņēmēji. Ja nav noteikti nekādi ierobežojumi attiecībā uz to sakaru apjomu, ko varēja pārtvert, šķiet, ka visas sakaru paketes, ko pārraidīja cauri izraudzītajiem nesējiem, kamēr orderis bija spēkā, bija pārtvertas.</w:t>
      </w:r>
    </w:p>
    <w:p w14:paraId="50139617"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373. Līdz ar to 8. panta 4. punktā noteiktais orderis bija ārējo sakaru pārtveršanas orderis (skat. iepriekš 72. punktu) un </w:t>
      </w:r>
      <w:proofErr w:type="spellStart"/>
      <w:r>
        <w:rPr>
          <w:rFonts w:ascii="Times New Roman" w:hAnsi="Times New Roman"/>
          <w:i/>
          <w:iCs/>
        </w:rPr>
        <w:t>IC</w:t>
      </w:r>
      <w:proofErr w:type="spellEnd"/>
      <w:r>
        <w:rPr>
          <w:rFonts w:ascii="Times New Roman" w:hAnsi="Times New Roman"/>
        </w:rPr>
        <w:t xml:space="preserve"> kodeksa 6.7. punkts (skat. iepriekš 96. punktu) uzlika pārtveršanas aģentūrai, kura veica pārtveršanu atbilstoši 8. panta 4. punktā noteiktajam orderim, par pienākumu izmantot tās zināšanas par veidu, kādā tiek maršrutēti starptautiskie sakari, kā arī regulāri pārbaudīt attiecīgos sakaru kanālus, lai apzinātu tos individuālos sakaru nesējus, kuri, visticamāk, saturēs ārējos sakarus, kas atbildīs valsts sekretāra apliecinātajiem materiāla aprakstiem. Tai arī bija jāveic pārtveršana tā, lai ierobežotu tādu sakaru apkopošanu, kas nav ārēji sakari, līdz minimumam, kas atbilst nepieciešamo ārējo sakaru pārtveršanas mērķim. Līdz ar to nesējus neatlasīja pēc nejaušības principa. Gluži pretēji, tos atlasīja, jo tika uzskatīts, ka tie, visticamāk, saturēs ārējos sakarus ar izlūkošanas vērtību.</w:t>
      </w:r>
    </w:p>
    <w:p w14:paraId="1A71C4F4"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374. </w:t>
      </w:r>
      <w:proofErr w:type="spellStart"/>
      <w:r>
        <w:rPr>
          <w:rFonts w:ascii="Times New Roman" w:hAnsi="Times New Roman"/>
          <w:i/>
          <w:iCs/>
        </w:rPr>
        <w:t>IC</w:t>
      </w:r>
      <w:proofErr w:type="spellEnd"/>
      <w:r>
        <w:rPr>
          <w:rFonts w:ascii="Times New Roman" w:hAnsi="Times New Roman"/>
        </w:rPr>
        <w:t xml:space="preserve"> kodeksa 6.5. punktā “ārējie sakari” definēti kā sakari, ko </w:t>
      </w:r>
      <w:proofErr w:type="spellStart"/>
      <w:r>
        <w:rPr>
          <w:rFonts w:ascii="Times New Roman" w:hAnsi="Times New Roman"/>
        </w:rPr>
        <w:t>nosūta</w:t>
      </w:r>
      <w:proofErr w:type="spellEnd"/>
      <w:r>
        <w:rPr>
          <w:rFonts w:ascii="Times New Roman" w:hAnsi="Times New Roman"/>
        </w:rPr>
        <w:t xml:space="preserve"> vai saņem ārpus Britu salām (skat. iepriekš 96. punktu). Ja gan sūtītājs, gan saņēmējs atrodas Britu salās, runa ir par iekšējiem sakariem. Tādējādi tas, vai sakari ir “ārēji”, ir atkarīgs no sūtītāja un saņēmēja ģeogrāfiskās atrašanās vietas, nevis no maršruta, pa kuru sakari nonāca līdz mērķim. Sakari, kas šķērso Apvienotās Karalistes robežas (starptautiskie sakari), joprojām var būt “iekšēji”, jo no Apvienotās Karalistes nosūtītos un tajā saņemtos sakarus (vai sakaru paketes) tomēr var maršrutēt caur vienu vai vairākām </w:t>
      </w:r>
      <w:proofErr w:type="spellStart"/>
      <w:r>
        <w:rPr>
          <w:rFonts w:ascii="Times New Roman" w:hAnsi="Times New Roman"/>
        </w:rPr>
        <w:t>trešām</w:t>
      </w:r>
      <w:proofErr w:type="spellEnd"/>
      <w:r>
        <w:rPr>
          <w:rFonts w:ascii="Times New Roman" w:hAnsi="Times New Roman"/>
        </w:rPr>
        <w:t xml:space="preserve"> valstīm.</w:t>
      </w:r>
    </w:p>
    <w:p w14:paraId="199D7AE4"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375. Tādējādi iekšējo un ārējo sakaru nošķiršana neliedza pārtvert iekšējos sakarus, kas tiek pārraidīti, šķērsojot Apvienotās Karalistes robežas, un faktiski šādu sakaru “piezveja” bija skaidri atļauta saskaņā ar </w:t>
      </w:r>
      <w:r>
        <w:rPr>
          <w:rFonts w:ascii="Times New Roman" w:hAnsi="Times New Roman"/>
          <w:i/>
          <w:iCs/>
        </w:rPr>
        <w:t>RIPA</w:t>
      </w:r>
      <w:r>
        <w:rPr>
          <w:rFonts w:ascii="Times New Roman" w:hAnsi="Times New Roman"/>
        </w:rPr>
        <w:t xml:space="preserve"> 5. panta 6. punktu ar nosacījumu, ka rīcība, kas atļauta ar pārtveršanas orderi, ietver tādu sakaru pārtveršanu, kas nav norādīti orderī, ja nepieciešams veikt to, kas orderī skaidri atļauts (skat. iepriekš 68. punktu). Turklāt pati jēdziena “ārējs” definīcija ir pietiekami plaša, lai ietvertu informācijas saglabāšanu </w:t>
      </w:r>
      <w:proofErr w:type="spellStart"/>
      <w:r>
        <w:rPr>
          <w:rFonts w:ascii="Times New Roman" w:hAnsi="Times New Roman"/>
        </w:rPr>
        <w:t>mākoņkrātuvē</w:t>
      </w:r>
      <w:proofErr w:type="spellEnd"/>
      <w:r>
        <w:rPr>
          <w:rFonts w:ascii="Times New Roman" w:hAnsi="Times New Roman"/>
        </w:rPr>
        <w:t xml:space="preserve">, kā arī personas pārlūkošanas darbības un darbības sociālajos tīklos Apvienotajā Karalistē (skat. iepriekš 75. un 76. punktu). Tomēr, kā atzina palāta, “ārējo sakaru” drošības pasākumam bija nozīme </w:t>
      </w:r>
      <w:proofErr w:type="spellStart"/>
      <w:r>
        <w:rPr>
          <w:rFonts w:ascii="Times New Roman" w:hAnsi="Times New Roman"/>
        </w:rPr>
        <w:t>makrolīmenī</w:t>
      </w:r>
      <w:proofErr w:type="spellEnd"/>
      <w:r>
        <w:rPr>
          <w:rFonts w:ascii="Times New Roman" w:hAnsi="Times New Roman"/>
        </w:rPr>
        <w:t>, atlasot pārtveršanai nesējus (skat. palātas sprieduma 337. punktu); tā kā pārtveršanas aģentūrai bija jāizmanto savas zināšanas par veidu, kādā tiek maršrutēti starptautiskie sakari, lai apzinātu tos sakaru nesējus, kuri, visticamāk, satur operācijai vērtīgus ārējos sakarus, drošības pasākums, lai arī ierobežotā mērā, ierobežoja to cilvēku kategorijas, kuru sakari var tikt pārtverti. Tas attiecās arī uz jautājumu par samērīgumu, jo valstīm varētu būt pieejams mazāk iejaukšanās pasākumu, lai iegūtu to teritoriālajā jurisdikcijā esošo personu sakarus.</w:t>
      </w:r>
    </w:p>
    <w:p w14:paraId="498043C9" w14:textId="77777777" w:rsidR="00F82F2D" w:rsidRDefault="00F82F2D" w:rsidP="00F82F2D">
      <w:pPr>
        <w:pStyle w:val="JuPara"/>
        <w:widowControl w:val="0"/>
        <w:ind w:firstLine="142"/>
        <w:rPr>
          <w:rFonts w:ascii="Times New Roman" w:hAnsi="Times New Roman"/>
          <w:noProof/>
        </w:rPr>
      </w:pPr>
      <w:r>
        <w:rPr>
          <w:rFonts w:ascii="Times New Roman" w:hAnsi="Times New Roman"/>
        </w:rPr>
        <w:lastRenderedPageBreak/>
        <w:t>376. Ņemot vērā iepriekš minēto, Tiesa uzskata, ka ir skaidrs, ka atbilstoši 8. panta 4. punktā noteiktajam režīmam starptautiskos sakarus (proti, valsts robežas šķērsojošos sakarus) varētu pārtvert un ka izlūkdienesti būtu pilnvaroti pārtvert vienīgi tos nesējus, kuri, visticamāk, satur ārējos sakarus, kas interesētu izlūkošanu. Masveida pārtveršanas kontekstā ir grūti abstrakti iedomāties, kā varētu vēl vairāk ierobežot apstākļus, kādos var tikt pārtverti personas sakari. Jebkurā gadījumā ne elektronisko sakaru sūtītājs, ne to saņēmējs nevarētu kontrolēt to pārraides maršrutu, turklāt praksē jebkuru turpmāki ierobežojumi attiecībā uz nesēju izvēli šajā ziņā nebūtu padarījuši valsts tiesību aktus paredzamākus. Līdz ar to Tiesa varētu atzīt, ka apstākļi, kādos iespējams pārtvert personas sakarus atbilstoši 8. panta 4. punktā noteiktajam orderim, Konvencijas 8. punkta izpratnē bija pietiekami “paredzami”.</w:t>
      </w:r>
    </w:p>
    <w:p w14:paraId="58B55062" w14:textId="77777777" w:rsidR="00F82F2D" w:rsidRPr="008D031E" w:rsidRDefault="00F82F2D" w:rsidP="00F82F2D">
      <w:pPr>
        <w:pStyle w:val="JuPara"/>
        <w:widowControl w:val="0"/>
        <w:ind w:firstLine="0"/>
        <w:rPr>
          <w:rFonts w:ascii="Times New Roman" w:hAnsi="Times New Roman"/>
          <w:noProof/>
          <w:lang w:val="en-US"/>
        </w:rPr>
      </w:pPr>
    </w:p>
    <w:p w14:paraId="3ED99BB0" w14:textId="77777777" w:rsidR="00F82F2D" w:rsidRDefault="00F82F2D" w:rsidP="00F82F2D">
      <w:pPr>
        <w:pStyle w:val="JuH"/>
        <w:keepNext w:val="0"/>
        <w:keepLines w:val="0"/>
        <w:widowControl w:val="0"/>
        <w:numPr>
          <w:ilvl w:val="0"/>
          <w:numId w:val="46"/>
        </w:numPr>
        <w:spacing w:before="0" w:beforeAutospacing="0" w:after="0"/>
        <w:ind w:left="567" w:hanging="283"/>
        <w:outlineLvl w:val="9"/>
        <w:rPr>
          <w:rFonts w:ascii="Times New Roman" w:hAnsi="Times New Roman"/>
          <w:noProof/>
          <w:sz w:val="24"/>
        </w:rPr>
      </w:pPr>
      <w:r>
        <w:rPr>
          <w:rFonts w:ascii="Times New Roman" w:hAnsi="Times New Roman"/>
          <w:sz w:val="24"/>
        </w:rPr>
        <w:t>3. Atļaujas piešķiršanas kārtība</w:t>
      </w:r>
    </w:p>
    <w:p w14:paraId="3D3691D8" w14:textId="77777777" w:rsidR="00F82F2D" w:rsidRPr="000D5D44" w:rsidRDefault="00F82F2D" w:rsidP="00F82F2D">
      <w:pPr>
        <w:pStyle w:val="JuPara"/>
        <w:widowControl w:val="0"/>
        <w:rPr>
          <w:lang w:val="en-US" w:bidi="en-US"/>
        </w:rPr>
      </w:pPr>
    </w:p>
    <w:p w14:paraId="7185DC50" w14:textId="77777777" w:rsidR="00F82F2D" w:rsidRPr="008D031E" w:rsidRDefault="00F82F2D" w:rsidP="00F82F2D">
      <w:pPr>
        <w:pStyle w:val="JuPara"/>
        <w:widowControl w:val="0"/>
        <w:ind w:firstLine="142"/>
        <w:rPr>
          <w:rFonts w:ascii="Times New Roman" w:hAnsi="Times New Roman"/>
          <w:noProof/>
        </w:rPr>
      </w:pPr>
      <w:bookmarkStart w:id="249" w:name="NoIndAuth"/>
      <w:r>
        <w:rPr>
          <w:rFonts w:ascii="Times New Roman" w:hAnsi="Times New Roman"/>
        </w:rPr>
        <w:t>377</w:t>
      </w:r>
      <w:bookmarkEnd w:id="249"/>
      <w:r>
        <w:rPr>
          <w:rFonts w:ascii="Times New Roman" w:hAnsi="Times New Roman"/>
        </w:rPr>
        <w:t xml:space="preserve">. Pieteikumu 8. panta 4. punktā noteiktā ordera izdošanai iesniedza valsts sekretāram, kurš vienīgais bija pilnvarots izdot šādu orderi. Pirms iesniegšanas katru pieteikumu pārskatīja aģentūra, kura to sagatavojusi. Tas ietvēra vairāk nekā vienas amatpersonas veiktu rūpīgu pārbaudi, kurām bija jāizvērtē, vai pieteikums bija iesniegts nolūkam, uz kuru attiecas </w:t>
      </w:r>
      <w:r>
        <w:rPr>
          <w:rFonts w:ascii="Times New Roman" w:hAnsi="Times New Roman"/>
          <w:i/>
          <w:iCs/>
        </w:rPr>
        <w:t>RIPA</w:t>
      </w:r>
      <w:r>
        <w:rPr>
          <w:rFonts w:ascii="Times New Roman" w:hAnsi="Times New Roman"/>
        </w:rPr>
        <w:t xml:space="preserve"> 5. panta 3. punkts, un vai ierosinātā pārtveršana atbilda Konvencijas nepieciešamības un samērīguma standartiem (skat. </w:t>
      </w:r>
      <w:proofErr w:type="spellStart"/>
      <w:r>
        <w:rPr>
          <w:rFonts w:ascii="Times New Roman" w:hAnsi="Times New Roman"/>
          <w:i/>
          <w:iCs/>
        </w:rPr>
        <w:t>IC</w:t>
      </w:r>
      <w:proofErr w:type="spellEnd"/>
      <w:r>
        <w:rPr>
          <w:rFonts w:ascii="Times New Roman" w:hAnsi="Times New Roman"/>
        </w:rPr>
        <w:t xml:space="preserve"> kodeksa 6.9. punktu iepriekš 96. punktā). Šāds papildu iekšējās pārbaudes līmenis, protams, bija vērtīgs, taču attiecīgajā brīdī masveida pārtveršanu saskaņā ar 8. panta 4. punktā noteikto režīmu atļāva veikt valsts sekretārs, nevis kāda no izpildvaras neatkarīga iestāde. Līdz ar to 8. panta 4. punkta noteiktajam režīmam trūka viena galvenā drošības pasākuma, proti, neatkarīgai atļaujai attiecībā uz masveida pārtveršanu jābūt saņemtai jau pašā sākumā (skat. iepriekš 350. punktu).</w:t>
      </w:r>
    </w:p>
    <w:p w14:paraId="3761E8E4"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378. Attiecībā uz valsts sekretāra nodrošinātās pārbaudes līmeni </w:t>
      </w:r>
      <w:proofErr w:type="spellStart"/>
      <w:r>
        <w:rPr>
          <w:rFonts w:ascii="Times New Roman" w:hAnsi="Times New Roman"/>
          <w:i/>
          <w:iCs/>
        </w:rPr>
        <w:t>IC</w:t>
      </w:r>
      <w:proofErr w:type="spellEnd"/>
      <w:r>
        <w:rPr>
          <w:rFonts w:ascii="Times New Roman" w:hAnsi="Times New Roman"/>
        </w:rPr>
        <w:t xml:space="preserve"> kodeksa 6.10. punktā ir detalizēti izklāstīta pieteikumā iekļaujamā informācija (skat. iepriekš 96. punktu). Tā ietvēra pārtveramo sakaru aprakstu, informāciju par sakaru pakalpojumu sniedzēju(-</w:t>
      </w:r>
      <w:proofErr w:type="spellStart"/>
      <w:r>
        <w:rPr>
          <w:rFonts w:ascii="Times New Roman" w:hAnsi="Times New Roman"/>
        </w:rPr>
        <w:t>iem</w:t>
      </w:r>
      <w:proofErr w:type="spellEnd"/>
      <w:r>
        <w:rPr>
          <w:rFonts w:ascii="Times New Roman" w:hAnsi="Times New Roman"/>
        </w:rPr>
        <w:t xml:space="preserve">) un operācijas iespējamības </w:t>
      </w:r>
      <w:proofErr w:type="spellStart"/>
      <w:r>
        <w:rPr>
          <w:rFonts w:ascii="Times New Roman" w:hAnsi="Times New Roman"/>
        </w:rPr>
        <w:t>izvērtējumu</w:t>
      </w:r>
      <w:proofErr w:type="spellEnd"/>
      <w:r>
        <w:rPr>
          <w:rFonts w:ascii="Times New Roman" w:hAnsi="Times New Roman"/>
        </w:rPr>
        <w:t xml:space="preserve">, ja tas nepieciešams, kā arī atļautās rīcības aprakstu, apliecinājumu, kas reglamentētu pārtvertā materiāla pārbaudi (skat. turpmāk 378. un 379. punktu), paskaidrojumu, kādēļ pārtveršana uzskatāma par nepieciešamu vienam vai vairākiem 5. panta 3. punktā minētajiem nolūkiem, apsvērumus, kādēļ šī rīcība ir samērīga ar sasniedzamo mērķi, garantiju par to, ka pārtvertā materiāla lasīšana, aplūkošana vai klausīšanās notiks tikai tiktāl, ciktāl tas ir apliecināts un atbilst </w:t>
      </w:r>
      <w:r>
        <w:rPr>
          <w:rFonts w:ascii="Times New Roman" w:hAnsi="Times New Roman"/>
          <w:i/>
          <w:iCs/>
        </w:rPr>
        <w:t>RIPA</w:t>
      </w:r>
      <w:r>
        <w:rPr>
          <w:rFonts w:ascii="Times New Roman" w:hAnsi="Times New Roman"/>
        </w:rPr>
        <w:t xml:space="preserve"> 16. panta 2.–6. punktā minētajiem nosacījumiem, kā arī garantiju par to, ka pārtverto materiālu apstrādās saskaņā ar 15. un 16. pantā noteiktajiem drošības pasākumiem.</w:t>
      </w:r>
    </w:p>
    <w:p w14:paraId="4230482C"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379. Tāpēc valsts sekretāru informēja par operācijas nolūku (kam bija jābūt vienam no 5. panta 3. punktā noteiktajiem nolūkiem), un pirms ordera izdošanas viņam bija jāpārliecinās, ka tas ir nepieciešams šim nolūkam un ir samērīgs ar sasniedzamo mērķi (skat. </w:t>
      </w:r>
      <w:proofErr w:type="spellStart"/>
      <w:r>
        <w:rPr>
          <w:rFonts w:ascii="Times New Roman" w:hAnsi="Times New Roman"/>
          <w:i/>
          <w:iCs/>
        </w:rPr>
        <w:t>IC</w:t>
      </w:r>
      <w:proofErr w:type="spellEnd"/>
      <w:r>
        <w:rPr>
          <w:rFonts w:ascii="Times New Roman" w:hAnsi="Times New Roman"/>
        </w:rPr>
        <w:t xml:space="preserve"> kodeksa 6.11. un 6.13. punktu iepriekš 96. punktā). Izvērtējot samērīgumu, valsts sekretāram bija jāapsver, vai orderis bija pārmērīgs, ņemot vērā lietas vispārējos apstākļus, un vai nepieciešamo informāciju varēja pamatoti iegūt ar mazāk aizskarošu līdzekļu palīdzību (skat. </w:t>
      </w:r>
      <w:proofErr w:type="spellStart"/>
      <w:r>
        <w:rPr>
          <w:rFonts w:ascii="Times New Roman" w:hAnsi="Times New Roman"/>
          <w:i/>
          <w:iCs/>
        </w:rPr>
        <w:t>IC</w:t>
      </w:r>
      <w:proofErr w:type="spellEnd"/>
      <w:r>
        <w:rPr>
          <w:rFonts w:ascii="Times New Roman" w:hAnsi="Times New Roman"/>
        </w:rPr>
        <w:t xml:space="preserve"> kodeksa 3.6. punktu iepriekš 96. punktā). Jo īpaši iejaukšanās apmērs un tvērums bija jāizvērtē kopsakarā ar sasniedzamo mērķi, bija jāpaskaidro, kā un kāpēc metodes rada mazāko iespējamo iejaukšanos subjekta un citu personu tiesībās, bija jāizvērtē, vai darbība ir piemērots veids nepieciešamā rezultāta sasniegšanai, ņemot vērā visas saprātīgās alternatīvas, un bija jāsniedz pierādījumi, ciktāl tas praktiski iespējams, par citām apsvērtajām metodēm, kas tika atzītas par nepietiekamām, lai sasniegtu darbības mērķus (skat.</w:t>
      </w:r>
      <w:r>
        <w:rPr>
          <w:rFonts w:ascii="Times New Roman" w:hAnsi="Times New Roman"/>
          <w:i/>
          <w:iCs/>
        </w:rPr>
        <w:t xml:space="preserve"> </w:t>
      </w:r>
      <w:proofErr w:type="spellStart"/>
      <w:r>
        <w:rPr>
          <w:rFonts w:ascii="Times New Roman" w:hAnsi="Times New Roman"/>
          <w:i/>
          <w:iCs/>
        </w:rPr>
        <w:t>IC</w:t>
      </w:r>
      <w:proofErr w:type="spellEnd"/>
      <w:r>
        <w:rPr>
          <w:rFonts w:ascii="Times New Roman" w:hAnsi="Times New Roman"/>
        </w:rPr>
        <w:t xml:space="preserve"> kodeksa 3.7. punktu iepriekš 96. punktā).</w:t>
      </w:r>
    </w:p>
    <w:p w14:paraId="514D958D"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380. Lai gan pieteikumā 8. panta 4. punktā noteiktā ordera izdošanai bija jāiekļauj “pārtveramo sakaru apraksts” un “informācija par sakaru pakalpojumu sniedzēju(-</w:t>
      </w:r>
      <w:proofErr w:type="spellStart"/>
      <w:r>
        <w:rPr>
          <w:rFonts w:ascii="Times New Roman" w:hAnsi="Times New Roman"/>
        </w:rPr>
        <w:t>iem</w:t>
      </w:r>
      <w:proofErr w:type="spellEnd"/>
      <w:r>
        <w:rPr>
          <w:rFonts w:ascii="Times New Roman" w:hAnsi="Times New Roman"/>
        </w:rPr>
        <w:t xml:space="preserve">)”, </w:t>
      </w:r>
      <w:r>
        <w:rPr>
          <w:rFonts w:ascii="Times New Roman" w:hAnsi="Times New Roman"/>
        </w:rPr>
        <w:lastRenderedPageBreak/>
        <w:t xml:space="preserve">Valdība sēdē apstiprināja, ka orderī nebija precizēti konkrēti nesēji, jo tas būtu “ļoti nepraktiski un sarežģīti”, ja pastāvētu šāda prasība. Tomēr bija atbilstoši jāapraksta, ko pārtveršana ietvers, kā arī jānorāda informācija par pārtveramo “nesēju veidiem”. Šī informācija liecināja par valsts sekretāra </w:t>
      </w:r>
      <w:proofErr w:type="spellStart"/>
      <w:r>
        <w:rPr>
          <w:rFonts w:ascii="Times New Roman" w:hAnsi="Times New Roman"/>
        </w:rPr>
        <w:t>izvērtējumu</w:t>
      </w:r>
      <w:proofErr w:type="spellEnd"/>
      <w:r>
        <w:rPr>
          <w:rFonts w:ascii="Times New Roman" w:hAnsi="Times New Roman"/>
        </w:rPr>
        <w:t xml:space="preserve"> saistībā ar pieteikumā raksturotās rīcības nepieciešamību un samērīgumu. Turklāt Valdība savos argumentos Lielajai palātai apstiprināja, ka </w:t>
      </w:r>
      <w:proofErr w:type="spellStart"/>
      <w:r>
        <w:rPr>
          <w:rFonts w:ascii="Times New Roman" w:hAnsi="Times New Roman"/>
          <w:i/>
          <w:iCs/>
        </w:rPr>
        <w:t>GCHQ</w:t>
      </w:r>
      <w:proofErr w:type="spellEnd"/>
      <w:r>
        <w:rPr>
          <w:rFonts w:ascii="Times New Roman" w:hAnsi="Times New Roman"/>
        </w:rPr>
        <w:t xml:space="preserve"> regulāri informēja </w:t>
      </w:r>
      <w:proofErr w:type="spellStart"/>
      <w:r>
        <w:rPr>
          <w:rFonts w:ascii="Times New Roman" w:hAnsi="Times New Roman"/>
          <w:i/>
          <w:iCs/>
        </w:rPr>
        <w:t>IC</w:t>
      </w:r>
      <w:proofErr w:type="spellEnd"/>
      <w:r>
        <w:rPr>
          <w:rFonts w:ascii="Times New Roman" w:hAnsi="Times New Roman"/>
        </w:rPr>
        <w:t xml:space="preserve"> komisāru par pamatojumu, atbilstoši kuram nesējus atlasīja pārtveršanai (skat. iepriekš 290. punktu).</w:t>
      </w:r>
    </w:p>
    <w:p w14:paraId="286F2CB3" w14:textId="77777777" w:rsidR="00F82F2D" w:rsidRPr="008D031E" w:rsidRDefault="00F82F2D" w:rsidP="00F82F2D">
      <w:pPr>
        <w:pStyle w:val="JuPara"/>
        <w:widowControl w:val="0"/>
        <w:ind w:firstLine="142"/>
        <w:rPr>
          <w:rFonts w:ascii="Times New Roman" w:hAnsi="Times New Roman"/>
          <w:noProof/>
        </w:rPr>
      </w:pPr>
      <w:bookmarkStart w:id="250" w:name="NoIndAuth2"/>
      <w:r>
        <w:rPr>
          <w:rFonts w:ascii="Times New Roman" w:hAnsi="Times New Roman"/>
        </w:rPr>
        <w:t>381</w:t>
      </w:r>
      <w:bookmarkEnd w:id="250"/>
      <w:r>
        <w:rPr>
          <w:rFonts w:ascii="Times New Roman" w:hAnsi="Times New Roman"/>
        </w:rPr>
        <w:t xml:space="preserve">. Pieteikumā 8. panta 4. punktā noteiktā ordera izdošanai arī nebija jānorāda izmantojamo selektoru kategorijas. Līdz ar to apstiprināšanas posmā nebija iespējas izvērtēt to nepieciešamību un samērīgumu, lai gan attiecībā uz selektoru izvēli pēc tam veica neatkarīgu pārraudzību. Valdība savos argumentos Lielajā palātā apstiprināja, ka ik reizi, kad sistēmai pievienoja kādu jaunu selektoru, to veicošajam analītiķim bija jāizveido rakstveida ieraksts, paskaidrojot, kādēļ selektora piemērošana valsts sekretāra apliecinājumā norādītajos nolūkos ir nepieciešama un samērīga. To veica, atlasot tekstu no nolaižamās izvēlnes, pēc kā analītiķis pievienoja tekstu brīvā formā, paskaidrojot, kādēļ meklēšana bija nepieciešama un samērīga. Turklāt selektoru izmantošana bija jāreģistrē apstiprinātā vietā, kurā tos bija iespējams pārbaudīt un izveidot meklējamu izmantojamo selektoru ierakstu un kurā </w:t>
      </w:r>
      <w:proofErr w:type="spellStart"/>
      <w:r>
        <w:rPr>
          <w:rFonts w:ascii="Times New Roman" w:hAnsi="Times New Roman"/>
          <w:i/>
          <w:iCs/>
        </w:rPr>
        <w:t>IC</w:t>
      </w:r>
      <w:proofErr w:type="spellEnd"/>
      <w:r>
        <w:rPr>
          <w:rFonts w:ascii="Times New Roman" w:hAnsi="Times New Roman"/>
        </w:rPr>
        <w:t xml:space="preserve"> komisārs tos varēja pārraudzīt (skat. iepriekš 291.–292. punktu). Līdz ar to </w:t>
      </w:r>
      <w:proofErr w:type="spellStart"/>
      <w:r>
        <w:rPr>
          <w:rFonts w:ascii="Times New Roman" w:hAnsi="Times New Roman"/>
          <w:i/>
          <w:iCs/>
        </w:rPr>
        <w:t>IC</w:t>
      </w:r>
      <w:proofErr w:type="spellEnd"/>
      <w:r>
        <w:rPr>
          <w:rFonts w:ascii="Times New Roman" w:hAnsi="Times New Roman"/>
        </w:rPr>
        <w:t xml:space="preserve"> komisāram bija jāpārrauga selektoru izvēle, un savā 2016. gada ziņojumā viņš norādīja, ka viņu “pārsteidza tas, cik kvalitatīvi bija paziņojumi”, kurus bija sagatavojuši analītiķi un kuros bija paskaidrots, kādēļ jauna selektora pievienošana ir nepieciešama un samērīga (skat. iepriekš 177. punktu).</w:t>
      </w:r>
    </w:p>
    <w:p w14:paraId="4C1286C6" w14:textId="77777777" w:rsidR="00F82F2D" w:rsidRPr="008D031E" w:rsidRDefault="00F82F2D" w:rsidP="00F82F2D">
      <w:pPr>
        <w:pStyle w:val="JuPara"/>
        <w:widowControl w:val="0"/>
        <w:ind w:firstLine="142"/>
        <w:rPr>
          <w:rFonts w:ascii="Times New Roman" w:hAnsi="Times New Roman"/>
          <w:noProof/>
        </w:rPr>
      </w:pPr>
      <w:bookmarkStart w:id="251" w:name="NoIndAuth3"/>
      <w:r>
        <w:rPr>
          <w:rFonts w:ascii="Times New Roman" w:hAnsi="Times New Roman"/>
        </w:rPr>
        <w:t>382</w:t>
      </w:r>
      <w:bookmarkEnd w:id="251"/>
      <w:r>
        <w:rPr>
          <w:rFonts w:ascii="Times New Roman" w:hAnsi="Times New Roman"/>
        </w:rPr>
        <w:t>. Ņemot vērā to, ka selektoru un vaicājumu terminu izvēle nosaka, kuri sakari būtu piemēroti, lai analītiķis tos pārbaudītu, Tiesa ir norādījusi, ka ir ļoti svarīgi, lai atļaujā norādītu vismaz selektoru kategorijas un lai tiem spēcīgajiem selektoriem, kas attiecas uz identificējamām personām, veiktu iepriekšēju iekšēju apstiprināšanu, kas ļautu pārbaudīt, vai pamatojums atbilst iepriekš minētajiem principiem (</w:t>
      </w:r>
      <w:bookmarkStart w:id="252" w:name="_Hlk55235429"/>
      <w:bookmarkStart w:id="253" w:name="_Hlk55235496"/>
      <w:bookmarkEnd w:id="252"/>
      <w:bookmarkEnd w:id="253"/>
      <w:r>
        <w:rPr>
          <w:rFonts w:ascii="Times New Roman" w:hAnsi="Times New Roman"/>
        </w:rPr>
        <w:t>skat. iepriekš 353.–355. punktu).</w:t>
      </w:r>
    </w:p>
    <w:p w14:paraId="7DC93929" w14:textId="77777777" w:rsidR="00F82F2D" w:rsidRDefault="00F82F2D" w:rsidP="00F82F2D">
      <w:pPr>
        <w:pStyle w:val="JuPara"/>
        <w:widowControl w:val="0"/>
        <w:ind w:firstLine="142"/>
        <w:rPr>
          <w:rFonts w:ascii="Times New Roman" w:hAnsi="Times New Roman"/>
          <w:noProof/>
        </w:rPr>
      </w:pPr>
      <w:r>
        <w:rPr>
          <w:rFonts w:ascii="Times New Roman" w:hAnsi="Times New Roman"/>
        </w:rPr>
        <w:t xml:space="preserve">383. Šajā lietā selektoru kategoriju pārraudzības </w:t>
      </w:r>
      <w:proofErr w:type="spellStart"/>
      <w:r>
        <w:rPr>
          <w:rFonts w:ascii="Times New Roman" w:hAnsi="Times New Roman"/>
        </w:rPr>
        <w:t>neesība</w:t>
      </w:r>
      <w:proofErr w:type="spellEnd"/>
      <w:r>
        <w:rPr>
          <w:rFonts w:ascii="Times New Roman" w:hAnsi="Times New Roman"/>
        </w:rPr>
        <w:t xml:space="preserve"> apstiprināšanas posmā bija 8. panta 4. punktā noteiktā režīma trūkums. Arī visu individuālo selektoru turpmākā kontrole neatbilda prasībai par pastiprinātiem drošības pasākumiem, lai izmantotu spēcīgus selektorus, kas saistīti ar identificējamām personām, un nepieciešamībai ieviest iepriekšējas iekšējās atļaujas izsniegšanas procesu, kura ietvaros atsevišķi un objektīvi tiek pārbaudīts, vai pamatojums atbilst iepriekš minētajiem principiem (skat. iepriekš 355. punktu). Lai gan analītiķiem ir jāfiksē un jāpamato ikviena selektora izmantošana attiecībā uz Konvencijā noteikto nepieciešamības un samērīguma principu un attiecībā uz šo pamatojumu </w:t>
      </w:r>
      <w:proofErr w:type="spellStart"/>
      <w:r>
        <w:rPr>
          <w:rFonts w:ascii="Times New Roman" w:hAnsi="Times New Roman"/>
          <w:i/>
          <w:iCs/>
        </w:rPr>
        <w:t>IC</w:t>
      </w:r>
      <w:proofErr w:type="spellEnd"/>
      <w:r>
        <w:rPr>
          <w:rFonts w:ascii="Times New Roman" w:hAnsi="Times New Roman"/>
        </w:rPr>
        <w:t xml:space="preserve"> komisāram ir jāveic neatkarīga pārraudzība, spēcīgiem selektoriem, kas saistīti ar identificējamām personām, tomēr nav nepieciešama iepriekšēja iekšējā atļauja.</w:t>
      </w:r>
    </w:p>
    <w:p w14:paraId="2BA2D4EE" w14:textId="77777777" w:rsidR="00F82F2D" w:rsidRPr="008D031E" w:rsidRDefault="00F82F2D" w:rsidP="00F82F2D">
      <w:pPr>
        <w:pStyle w:val="JuPara"/>
        <w:widowControl w:val="0"/>
        <w:ind w:firstLine="142"/>
        <w:rPr>
          <w:rFonts w:ascii="Times New Roman" w:hAnsi="Times New Roman"/>
          <w:noProof/>
          <w:lang w:val="en-US"/>
        </w:rPr>
      </w:pPr>
    </w:p>
    <w:p w14:paraId="20CF6BD4" w14:textId="77777777" w:rsidR="00F82F2D" w:rsidRDefault="00F82F2D" w:rsidP="007020D2">
      <w:pPr>
        <w:pStyle w:val="JuH"/>
        <w:widowControl w:val="0"/>
        <w:numPr>
          <w:ilvl w:val="0"/>
          <w:numId w:val="46"/>
        </w:numPr>
        <w:spacing w:before="0" w:beforeAutospacing="0" w:after="0"/>
        <w:ind w:left="567" w:hanging="283"/>
        <w:outlineLvl w:val="9"/>
        <w:rPr>
          <w:rFonts w:ascii="Times New Roman" w:hAnsi="Times New Roman"/>
          <w:noProof/>
          <w:sz w:val="24"/>
        </w:rPr>
      </w:pPr>
      <w:r>
        <w:rPr>
          <w:rFonts w:ascii="Times New Roman" w:hAnsi="Times New Roman"/>
          <w:sz w:val="24"/>
        </w:rPr>
        <w:t>4. Pārtvertā materiāla atlasīšanas, pārbaudīšanas un izmantošanas kārtība</w:t>
      </w:r>
    </w:p>
    <w:p w14:paraId="506874CA" w14:textId="77777777" w:rsidR="00F82F2D" w:rsidRPr="00250617" w:rsidRDefault="00F82F2D" w:rsidP="007020D2">
      <w:pPr>
        <w:pStyle w:val="JuPara"/>
        <w:keepNext/>
        <w:keepLines/>
        <w:widowControl w:val="0"/>
        <w:rPr>
          <w:lang w:val="en-US" w:bidi="en-US"/>
        </w:rPr>
      </w:pPr>
    </w:p>
    <w:p w14:paraId="52553BE1" w14:textId="77777777" w:rsidR="00F82F2D" w:rsidRPr="008D031E" w:rsidRDefault="00F82F2D" w:rsidP="007020D2">
      <w:pPr>
        <w:pStyle w:val="JuPara"/>
        <w:keepNext/>
        <w:keepLines/>
        <w:widowControl w:val="0"/>
        <w:ind w:firstLine="142"/>
        <w:rPr>
          <w:rFonts w:ascii="Times New Roman" w:hAnsi="Times New Roman"/>
          <w:noProof/>
        </w:rPr>
      </w:pPr>
      <w:bookmarkStart w:id="254" w:name="Usingstart"/>
      <w:r>
        <w:rPr>
          <w:rFonts w:ascii="Times New Roman" w:hAnsi="Times New Roman"/>
        </w:rPr>
        <w:t>384</w:t>
      </w:r>
      <w:bookmarkEnd w:id="254"/>
      <w:r>
        <w:rPr>
          <w:rFonts w:ascii="Times New Roman" w:hAnsi="Times New Roman"/>
        </w:rPr>
        <w:t xml:space="preserve">. </w:t>
      </w:r>
      <w:proofErr w:type="spellStart"/>
      <w:r>
        <w:rPr>
          <w:rFonts w:ascii="Times New Roman" w:hAnsi="Times New Roman"/>
          <w:i/>
          <w:iCs/>
        </w:rPr>
        <w:t>IC</w:t>
      </w:r>
      <w:proofErr w:type="spellEnd"/>
      <w:r>
        <w:rPr>
          <w:rFonts w:ascii="Times New Roman" w:hAnsi="Times New Roman"/>
        </w:rPr>
        <w:t xml:space="preserve"> kodeksa 6.4. punktā ir noteikts, ka tad, kad atbilstoši 8. panta 4. punktā noteiktajam orderim iegūts liels sakaru apjomus, pilnvarotās personas pārtveršanas aģentūrā nevar piemērot spēcīgos selektorus un kompleksus vaicājumus, lai izveidotu sarakstu (skat. iepriekš 96. punktu). Šo atlases procesu nosaka </w:t>
      </w:r>
      <w:r>
        <w:rPr>
          <w:rFonts w:ascii="Times New Roman" w:hAnsi="Times New Roman"/>
          <w:i/>
          <w:iCs/>
        </w:rPr>
        <w:t>RIPA</w:t>
      </w:r>
      <w:r>
        <w:rPr>
          <w:rFonts w:ascii="Times New Roman" w:hAnsi="Times New Roman"/>
        </w:rPr>
        <w:t xml:space="preserve"> 16. panta 2. punkts un </w:t>
      </w:r>
      <w:proofErr w:type="spellStart"/>
      <w:r>
        <w:rPr>
          <w:rFonts w:ascii="Times New Roman" w:hAnsi="Times New Roman"/>
          <w:i/>
          <w:iCs/>
        </w:rPr>
        <w:t>IC</w:t>
      </w:r>
      <w:proofErr w:type="spellEnd"/>
      <w:r>
        <w:rPr>
          <w:rFonts w:ascii="Times New Roman" w:hAnsi="Times New Roman"/>
        </w:rPr>
        <w:t xml:space="preserve"> kodeksa 7.19. punkts, kas paredz, ka selektors nevar attiekties uz personu, par kuru zināms, ka tā atrodas Britu salās, un tā nolūks ir identificēt tās pārsūtītajos vai tai paredzētajos sakaros ietverto materiālu, ja vien valsts sekretārs nav personīgi atļāvis izmantot selektoru, iepriekš pārliecinoties, ka tas ir nepieciešams valsts drošības interesēs, lai novērstu vai atklātu smagus noziegumus vai nodrošinātu Apvienotās Karalistes ekonomisko labklājību, ciktāl šīs intereses atbilst arī valsts drošības interesēm, kā arī šis atlases process ir samērīgs (skat. iepriekš 85. un 96. punktu).</w:t>
      </w:r>
    </w:p>
    <w:p w14:paraId="2AE7000E"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385. Analītiķis var aplūkot vienīgi sarakstā esošo materiālu (skat. iepriekš 96. un 289. punktu), </w:t>
      </w:r>
      <w:r>
        <w:rPr>
          <w:rFonts w:ascii="Times New Roman" w:hAnsi="Times New Roman"/>
        </w:rPr>
        <w:lastRenderedPageBreak/>
        <w:t xml:space="preserve">turklāt nav atļauts sagatavot nevienu izlūkošanas ziņojumu par jebkuriem sakariem vai sakaru datiem, ja vien tos nav aplūkojis analītiķis (skat. iepriekš 289. punktu). Turklāt </w:t>
      </w:r>
      <w:proofErr w:type="spellStart"/>
      <w:r>
        <w:rPr>
          <w:rFonts w:ascii="Times New Roman" w:hAnsi="Times New Roman"/>
          <w:i/>
          <w:iCs/>
        </w:rPr>
        <w:t>IC</w:t>
      </w:r>
      <w:proofErr w:type="spellEnd"/>
      <w:r>
        <w:rPr>
          <w:rFonts w:ascii="Times New Roman" w:hAnsi="Times New Roman"/>
        </w:rPr>
        <w:t xml:space="preserve"> kodeksa 7.13. punkts paredzēja, ka attiecīgās personas var pārbaudīt vienīgi valsts sekretāra apliecinājumā raksturoto materiālu un ka nevienai amatpersonai nebija atļauts piekļūt materiālam, kas nav norādīts apliecinājumā (skat. iepriekš 96. punktu). Savukārt 6.4. punktā bija noteikts, ka, pirms pārtveršanas aģentūras pilnvarotā persona var piekļūt konkrētiem sakariem, attiecīgajai personai bija jāpaskaidro, kāpēc tas ir nepieciešams kādam no pievienotajā apliecinājumā norādītajiem iemesliem un kāpēc šāda rīcība konkrētajos apstākļos ir samērīga, izvērtējot, vai informāciju pamatoti nav iespējams iegūt ar mazāk ierobežojošu līdzekļu palīdzību (skat. iepriekš 96. punktu).</w:t>
      </w:r>
    </w:p>
    <w:p w14:paraId="7AF9E057" w14:textId="77777777" w:rsidR="00F82F2D" w:rsidRPr="008D031E" w:rsidRDefault="00F82F2D" w:rsidP="00F82F2D">
      <w:pPr>
        <w:pStyle w:val="JuPara"/>
        <w:widowControl w:val="0"/>
        <w:ind w:firstLine="142"/>
        <w:rPr>
          <w:rFonts w:ascii="Times New Roman" w:hAnsi="Times New Roman"/>
          <w:noProof/>
        </w:rPr>
      </w:pPr>
      <w:bookmarkStart w:id="255" w:name="SSHDCert"/>
      <w:r>
        <w:rPr>
          <w:rFonts w:ascii="Times New Roman" w:hAnsi="Times New Roman"/>
        </w:rPr>
        <w:t>386</w:t>
      </w:r>
      <w:bookmarkEnd w:id="255"/>
      <w:r>
        <w:rPr>
          <w:rFonts w:ascii="Times New Roman" w:hAnsi="Times New Roman"/>
        </w:rPr>
        <w:t xml:space="preserve">. Valsts sekretāra(-es) apliecinājums bija izdots, kad viņš vai viņa piešķīra orderi, un tā mērķis bija nodrošināt, ka atlasīšanas process pārtvertajam materiālam tiek piemērots tā, lai attiecīgās personas pārbaudītu vienīgi apliecinājumā raksturoto materiālu (skat. </w:t>
      </w:r>
      <w:proofErr w:type="spellStart"/>
      <w:r>
        <w:rPr>
          <w:rFonts w:ascii="Times New Roman" w:hAnsi="Times New Roman"/>
          <w:i/>
          <w:iCs/>
        </w:rPr>
        <w:t>IC</w:t>
      </w:r>
      <w:proofErr w:type="spellEnd"/>
      <w:r>
        <w:rPr>
          <w:rFonts w:ascii="Times New Roman" w:hAnsi="Times New Roman"/>
        </w:rPr>
        <w:t xml:space="preserve"> kodeksa 6.3. un 6.14. punktu iepriekš 96. punktā). Lai gan apliecinājumam bija svarīga loma, regulējot piekļuvi pārtvertajam materiālam, gan </w:t>
      </w:r>
      <w:proofErr w:type="spellStart"/>
      <w:r>
        <w:rPr>
          <w:rFonts w:ascii="Times New Roman" w:hAnsi="Times New Roman"/>
          <w:i/>
          <w:iCs/>
        </w:rPr>
        <w:t>ISC</w:t>
      </w:r>
      <w:proofErr w:type="spellEnd"/>
      <w:r>
        <w:rPr>
          <w:rFonts w:ascii="Times New Roman" w:hAnsi="Times New Roman"/>
        </w:rPr>
        <w:t xml:space="preserve">, gan terorisma apkarošanas tiesiskā regulējuma neatkarīgā pārskatītāja ziņojumos kritizēja to, ka šajos apliecinājumos norādītais materiāls ir formulēts ļoti vispārīgi (piemēram, “materiāls, kas sniedz </w:t>
      </w:r>
      <w:proofErr w:type="spellStart"/>
      <w:r>
        <w:rPr>
          <w:rFonts w:ascii="Times New Roman" w:hAnsi="Times New Roman"/>
        </w:rPr>
        <w:t>izlūkdatus</w:t>
      </w:r>
      <w:proofErr w:type="spellEnd"/>
      <w:r>
        <w:rPr>
          <w:rFonts w:ascii="Times New Roman" w:hAnsi="Times New Roman"/>
        </w:rPr>
        <w:t xml:space="preserve"> par terorismu, kā noteikts 2000. gada Terorisma apkarošanas likumā (ar attiecīgajiem grozījumiem)) (skat. palātas sprieduma 342. punktu un iepriekš 146. un 155. punktu). Tiesa piekrīt palātai, ka tas ir 8. panta 4. punkta režīma ietvaros pieejamo drošības pasākumu sistēmas trūkums.</w:t>
      </w:r>
    </w:p>
    <w:p w14:paraId="5F205FD7" w14:textId="77777777" w:rsidR="00F82F2D" w:rsidRPr="008D031E" w:rsidRDefault="00F82F2D" w:rsidP="00F82F2D">
      <w:pPr>
        <w:pStyle w:val="JuPara"/>
        <w:widowControl w:val="0"/>
        <w:ind w:firstLine="142"/>
        <w:rPr>
          <w:rFonts w:ascii="Times New Roman" w:hAnsi="Times New Roman"/>
          <w:noProof/>
        </w:rPr>
      </w:pPr>
      <w:bookmarkStart w:id="256" w:name="SSHDCert2"/>
      <w:r>
        <w:rPr>
          <w:rFonts w:ascii="Times New Roman" w:hAnsi="Times New Roman"/>
        </w:rPr>
        <w:t>387</w:t>
      </w:r>
      <w:bookmarkEnd w:id="256"/>
      <w:r>
        <w:rPr>
          <w:rFonts w:ascii="Times New Roman" w:hAnsi="Times New Roman"/>
        </w:rPr>
        <w:t xml:space="preserve">. Tomēr saskaņā ar </w:t>
      </w:r>
      <w:proofErr w:type="spellStart"/>
      <w:r>
        <w:rPr>
          <w:rFonts w:ascii="Times New Roman" w:hAnsi="Times New Roman"/>
          <w:i/>
          <w:iCs/>
        </w:rPr>
        <w:t>ISC</w:t>
      </w:r>
      <w:proofErr w:type="spellEnd"/>
      <w:r>
        <w:rPr>
          <w:rFonts w:ascii="Times New Roman" w:hAnsi="Times New Roman"/>
        </w:rPr>
        <w:t>, lai gan apliecinājumā ir noteiktas vispārīgās informācijas kategorijas, kuras var pārbaudīt, praksē pārbaudāmos sakarus nosaka tieši datu nesēju atlase un vienkāršu selektoru un sākotnējā meklēšanas kritēriju piemērošana, savukārt pēc tam – kompleksā meklēšana (skat. iepriekš 146.–147. punktu). Citiem vārdiem sakot, lai gan apliecinājumi regulē to, kā analītiķi atlasa materiālu no datorizēti izveidota saraksta, tieši datu nesēju un selektoru/meklēšanas vārdu izvēle nosaka, kuri sakari vispār ietverti šajā sarakstā (un kurus līdz ar to var pārbaudīt). Tomēr Tiesa jau ir atzinusi, ka selektoru kategoriju nenorādīšana pieteikumā ordera izdošanai un fakts, ka attiecībā uz spēcīgajiem selektoriem, kas saistīti ar kādu identificējamu personu, netiek saņemta iepriekšēja iekšēja atļauja, ir 8. panta 4. punktā noteiktā režīma trūkumi (skat. iepriekš 382. punktu). Šos trūkumus būtu pastiprinājis valsts sekretāra apliecinājuma vispārīgais veids. Līdzās tam, ka attiecībā uz saraksta izveidei izmantoto selektoru kategorijām neizsniedza iepriekšēju neatkarīgu atļauju un ka šādu atļauju neizsniedza arī attiecībā uz tiem spēcīgajiem selektoriem, kas attiecas uz kādu identificējamu personu, apliecinājumā, kas reglamentēja piekļuvi šajā sarakstā esošajam materiālam, bija lietoti nepietiekami precīzi termini, lai nodrošinātu jēgpilnu ierobežojumu.</w:t>
      </w:r>
    </w:p>
    <w:p w14:paraId="7809AD38"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388. </w:t>
      </w:r>
      <w:proofErr w:type="spellStart"/>
      <w:r>
        <w:rPr>
          <w:rFonts w:ascii="Times New Roman" w:hAnsi="Times New Roman"/>
          <w:i/>
          <w:iCs/>
        </w:rPr>
        <w:t>IC</w:t>
      </w:r>
      <w:proofErr w:type="spellEnd"/>
      <w:r>
        <w:rPr>
          <w:rFonts w:ascii="Times New Roman" w:hAnsi="Times New Roman"/>
        </w:rPr>
        <w:t xml:space="preserve"> kodeksa 7.16. punkts arī nosaka, ka analītiķim, kurš vēlas piekļūt sarakstā esošajam materiālam, ir jānorāda apstākļi, kas, visticamāk, var radīt zināmu netiešu iejaukšanos personas tiesībās uz privātās dzīves neaizskaramību, kā arī pasākumi, kas veikti, lai samazinātu šādas iejaukšanās apmēru (skat. iepriekš 96. punktu). Jebkura turpmāka analītiķa piekļuve ir ierobežota ar noteiktu laika periodu, un, ja šis laika periods tiek atjaunots, ieraksts ir jāatjaunina, norādot atjaunošanas iemeslus (skat.</w:t>
      </w:r>
      <w:r>
        <w:rPr>
          <w:rFonts w:ascii="Times New Roman" w:hAnsi="Times New Roman"/>
          <w:i/>
          <w:iCs/>
        </w:rPr>
        <w:t xml:space="preserve"> </w:t>
      </w:r>
      <w:proofErr w:type="spellStart"/>
      <w:r>
        <w:rPr>
          <w:rFonts w:ascii="Times New Roman" w:hAnsi="Times New Roman"/>
          <w:i/>
          <w:iCs/>
        </w:rPr>
        <w:t>IC</w:t>
      </w:r>
      <w:proofErr w:type="spellEnd"/>
      <w:r>
        <w:rPr>
          <w:rFonts w:ascii="Times New Roman" w:hAnsi="Times New Roman"/>
        </w:rPr>
        <w:t xml:space="preserve"> kodeksa 7.17. punktu iepriekš 96. punktā). Saskaņā ar </w:t>
      </w:r>
      <w:proofErr w:type="spellStart"/>
      <w:r>
        <w:rPr>
          <w:rFonts w:ascii="Times New Roman" w:hAnsi="Times New Roman"/>
          <w:i/>
          <w:iCs/>
        </w:rPr>
        <w:t>IC</w:t>
      </w:r>
      <w:proofErr w:type="spellEnd"/>
      <w:r>
        <w:rPr>
          <w:rFonts w:ascii="Times New Roman" w:hAnsi="Times New Roman"/>
        </w:rPr>
        <w:t xml:space="preserve"> kodeksa 7.18. punktu veica regulārus auditus, kas ietver pārbaudes, lai nodrošinātu, ka ieraksti, ar kuriem tiek pieprasīta piekļuve materiālam, ir apkopoti atbilstoši un ka valsts sekretārs ir apliecinājis pieprasīto materiālu (skat. iepriekš 96. punktu).</w:t>
      </w:r>
    </w:p>
    <w:p w14:paraId="26472FB0"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389. Turklāt saskaņā ar 7.15. punktu atbilstoši 8. panta 4. punktā noteiktajam orderim apkopoto materiālu var lasīt, aplūkot vai klausīties pilnvarotas personas (analītiķi), kuras ir pabeigušas obligātās mācības par </w:t>
      </w:r>
      <w:r>
        <w:rPr>
          <w:rFonts w:ascii="Times New Roman" w:hAnsi="Times New Roman"/>
          <w:i/>
          <w:iCs/>
        </w:rPr>
        <w:t>RIPA</w:t>
      </w:r>
      <w:r>
        <w:rPr>
          <w:rFonts w:ascii="Times New Roman" w:hAnsi="Times New Roman"/>
        </w:rPr>
        <w:t xml:space="preserve"> normām un prasībām attiecībā uz nepieciešamību un samērīgumu un kurām ir veikta atbilstoša drošības pārbaude (skat. iepriekš 96. punktu). Saskaņā ar 7.10. punktu katra personāla locekļa drošības pārbaudi periodiski pārskata (skat. iepriekš 96. punktu).</w:t>
      </w:r>
    </w:p>
    <w:p w14:paraId="13FD2D9C"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lastRenderedPageBreak/>
        <w:t xml:space="preserve">390. </w:t>
      </w:r>
      <w:proofErr w:type="spellStart"/>
      <w:r>
        <w:rPr>
          <w:rFonts w:ascii="Times New Roman" w:hAnsi="Times New Roman"/>
          <w:i/>
          <w:iCs/>
        </w:rPr>
        <w:t>IC</w:t>
      </w:r>
      <w:proofErr w:type="spellEnd"/>
      <w:r>
        <w:rPr>
          <w:rFonts w:ascii="Times New Roman" w:hAnsi="Times New Roman"/>
        </w:rPr>
        <w:t xml:space="preserve"> kodeksa 7.6. punkts nosaka, ka pārtverto materiālu var kopēt tikai tiktāl, cik tas ir nepieciešams atļautajiem nolūkiem, un stingri piemērojot “informācijas nepieciešamības” principu, tostarp iesniedzot izrakstus vai kopsavilkumus, ja ar to ir pietiekami, lai apmierinātu lietotāja informācijas nepieciešamību. Saskaņā ar </w:t>
      </w:r>
      <w:r>
        <w:rPr>
          <w:rFonts w:ascii="Times New Roman" w:hAnsi="Times New Roman"/>
          <w:i/>
          <w:iCs/>
        </w:rPr>
        <w:t>RIPA</w:t>
      </w:r>
      <w:r>
        <w:rPr>
          <w:rFonts w:ascii="Times New Roman" w:hAnsi="Times New Roman"/>
        </w:rPr>
        <w:t xml:space="preserve"> 15. panta 5. punktu ir jābūt ieviestai kārtībai, kādā tiek nodrošināta ikvienas materiāla vai datu kopijas droša uzglabāšana visu tās saglabāšanas laiku (skat. iepriekš 81. punktu), savukārt 7.7. punktā ir noteikts, ka pirms pārtvertā materiāla iznīcināšanas šis materiāls un visas tā kopijas, izraksti un kopsavilkumi ir jāuzglabā droši un tie nevar būt pieejami personām bez nepieciešamā drošības pielaides līmeņa (skat. iepriekš 96. punktu).</w:t>
      </w:r>
    </w:p>
    <w:p w14:paraId="72CB75C3" w14:textId="77777777" w:rsidR="00F82F2D" w:rsidRDefault="00F82F2D" w:rsidP="00F82F2D">
      <w:pPr>
        <w:pStyle w:val="JuPara"/>
        <w:widowControl w:val="0"/>
        <w:ind w:firstLine="142"/>
        <w:rPr>
          <w:rFonts w:ascii="Times New Roman" w:hAnsi="Times New Roman"/>
          <w:noProof/>
        </w:rPr>
      </w:pPr>
      <w:bookmarkStart w:id="257" w:name="Foreseeable"/>
      <w:r>
        <w:rPr>
          <w:rFonts w:ascii="Times New Roman" w:hAnsi="Times New Roman"/>
        </w:rPr>
        <w:t>391</w:t>
      </w:r>
      <w:bookmarkEnd w:id="257"/>
      <w:r>
        <w:rPr>
          <w:rFonts w:ascii="Times New Roman" w:hAnsi="Times New Roman"/>
        </w:rPr>
        <w:t>. Ņemot vērā iepriekš minētos trūkumus saistībā ar selektoru apstiprināšanu (skat. iepriekš 381. un 382. punktu) un valsts sekretāra apliecinājuma vispārīgo būtību (skat. iepriekš 386. punktu), Tiesa uzskata, ka apstākļi, kādos pārtverto materiālu varēja atlasīt, pārbaudīt, izmantot un uzglabāt saskaņā ar 8. panta 4. punktā noteikto režīmu, Konvencijas 8. panta izpratnē bija pietiekami “paredzami” un ka tie nodrošināja atbilstošus drošības pasākumus pret ļaunprātīgu izmantošanu.</w:t>
      </w:r>
    </w:p>
    <w:p w14:paraId="0271AD9C" w14:textId="77777777" w:rsidR="00F82F2D" w:rsidRPr="008D031E" w:rsidRDefault="00F82F2D" w:rsidP="00F82F2D">
      <w:pPr>
        <w:pStyle w:val="JuPara"/>
        <w:widowControl w:val="0"/>
        <w:ind w:firstLine="142"/>
        <w:rPr>
          <w:rFonts w:ascii="Times New Roman" w:hAnsi="Times New Roman"/>
          <w:noProof/>
          <w:lang w:val="en-US"/>
        </w:rPr>
      </w:pPr>
    </w:p>
    <w:p w14:paraId="5E1DDF36" w14:textId="77777777" w:rsidR="00F82F2D" w:rsidRDefault="00F82F2D" w:rsidP="00F82F2D">
      <w:pPr>
        <w:pStyle w:val="JuH"/>
        <w:keepNext w:val="0"/>
        <w:keepLines w:val="0"/>
        <w:widowControl w:val="0"/>
        <w:numPr>
          <w:ilvl w:val="0"/>
          <w:numId w:val="46"/>
        </w:numPr>
        <w:spacing w:before="0" w:beforeAutospacing="0" w:after="0"/>
        <w:ind w:left="567" w:hanging="283"/>
        <w:outlineLvl w:val="9"/>
        <w:rPr>
          <w:rFonts w:ascii="Times New Roman" w:hAnsi="Times New Roman"/>
          <w:noProof/>
          <w:sz w:val="24"/>
        </w:rPr>
      </w:pPr>
      <w:r>
        <w:rPr>
          <w:rFonts w:ascii="Times New Roman" w:hAnsi="Times New Roman"/>
          <w:sz w:val="24"/>
        </w:rPr>
        <w:t>5. Veicamie piesardzības pasākumi, paziņojot materiālu citām pusēm</w:t>
      </w:r>
    </w:p>
    <w:p w14:paraId="3B08F489" w14:textId="77777777" w:rsidR="00F82F2D" w:rsidRPr="00250617" w:rsidRDefault="00F82F2D" w:rsidP="00F82F2D">
      <w:pPr>
        <w:pStyle w:val="JuPara"/>
        <w:widowControl w:val="0"/>
        <w:rPr>
          <w:lang w:val="en-US" w:bidi="en-US"/>
        </w:rPr>
      </w:pPr>
    </w:p>
    <w:p w14:paraId="6199F50C" w14:textId="77777777" w:rsidR="00F82F2D" w:rsidRPr="008D031E" w:rsidRDefault="00F82F2D" w:rsidP="00F82F2D">
      <w:pPr>
        <w:pStyle w:val="JuPara"/>
        <w:widowControl w:val="0"/>
        <w:ind w:firstLine="142"/>
        <w:rPr>
          <w:rFonts w:ascii="Times New Roman" w:hAnsi="Times New Roman"/>
          <w:noProof/>
        </w:rPr>
      </w:pPr>
      <w:bookmarkStart w:id="258" w:name="_Hlk72341164"/>
      <w:r>
        <w:rPr>
          <w:rFonts w:ascii="Times New Roman" w:hAnsi="Times New Roman"/>
        </w:rPr>
        <w:t xml:space="preserve">392. </w:t>
      </w:r>
      <w:r>
        <w:rPr>
          <w:rFonts w:ascii="Times New Roman" w:hAnsi="Times New Roman"/>
          <w:i/>
          <w:iCs/>
        </w:rPr>
        <w:t>RIPA</w:t>
      </w:r>
      <w:r>
        <w:rPr>
          <w:rFonts w:ascii="Times New Roman" w:hAnsi="Times New Roman"/>
        </w:rPr>
        <w:t xml:space="preserve"> 15. panta 2. punkts noteica, ka turpmāk minētie aspekti ir jāierobežo līdz minimumam, kas nepieciešams “atļautajiem nolūkiem”, proti, to personu skaits, kurām materiālu vai datus izpauda vai darīja pieejamus, apmērs, kādā materiālu vai datus izpauda vai darīja pieejamus, apmērs, kādā materiālu vai datus kopēja, un izgatavoto kopiju skaits (skat. iepriekš 78. punktu). Saskaņā ar 15. panta 4. punktu un </w:t>
      </w:r>
      <w:proofErr w:type="spellStart"/>
      <w:r>
        <w:rPr>
          <w:rFonts w:ascii="Times New Roman" w:hAnsi="Times New Roman"/>
          <w:i/>
          <w:iCs/>
        </w:rPr>
        <w:t>IC</w:t>
      </w:r>
      <w:proofErr w:type="spellEnd"/>
      <w:r>
        <w:rPr>
          <w:rFonts w:ascii="Times New Roman" w:hAnsi="Times New Roman"/>
        </w:rPr>
        <w:t xml:space="preserve"> kodeksa 7.2. punktu kaut kas bija nepieciešams atļautajiem nolūkiem vienīgi tad, ja tas joprojām ir vai, visticamāk, kļūs nepieciešams </w:t>
      </w:r>
      <w:r>
        <w:rPr>
          <w:rFonts w:ascii="Times New Roman" w:hAnsi="Times New Roman"/>
          <w:i/>
          <w:iCs/>
        </w:rPr>
        <w:t>RIPA</w:t>
      </w:r>
      <w:r>
        <w:rPr>
          <w:rFonts w:ascii="Times New Roman" w:hAnsi="Times New Roman"/>
        </w:rPr>
        <w:t xml:space="preserve"> 5. panta 3. punktā minētajiem nolūkiem, lai sekmētu jebkuras valsts sekretāra pārtveršanas funkcijas izpildi, lai sekmētu jebkuras </w:t>
      </w:r>
      <w:proofErr w:type="spellStart"/>
      <w:r>
        <w:rPr>
          <w:rFonts w:ascii="Times New Roman" w:hAnsi="Times New Roman"/>
          <w:i/>
          <w:iCs/>
        </w:rPr>
        <w:t>IC</w:t>
      </w:r>
      <w:proofErr w:type="spellEnd"/>
      <w:r>
        <w:rPr>
          <w:rFonts w:ascii="Times New Roman" w:hAnsi="Times New Roman"/>
        </w:rPr>
        <w:t xml:space="preserve"> komisāra vai </w:t>
      </w:r>
      <w:proofErr w:type="spellStart"/>
      <w:r>
        <w:rPr>
          <w:rFonts w:ascii="Times New Roman" w:hAnsi="Times New Roman"/>
          <w:i/>
          <w:iCs/>
        </w:rPr>
        <w:t>IPT</w:t>
      </w:r>
      <w:proofErr w:type="spellEnd"/>
      <w:r>
        <w:rPr>
          <w:rFonts w:ascii="Times New Roman" w:hAnsi="Times New Roman"/>
        </w:rPr>
        <w:t xml:space="preserve"> funkcijas izpildi, lai nodrošinātu, ka persona, kas veic kriminālvajāšanu, ir informēta par to, ko tās amata pienākums paredz, lai kriminālvajāšanā nodrošinātu godīgumu (lai gan pašu pārtverto materiālu nevar izmantot kriminālvajāšanā attiecībā uz kādu noziedzīgu nodarījumu, skat. </w:t>
      </w:r>
      <w:proofErr w:type="spellStart"/>
      <w:r>
        <w:rPr>
          <w:rFonts w:ascii="Times New Roman" w:hAnsi="Times New Roman"/>
          <w:i/>
          <w:iCs/>
        </w:rPr>
        <w:t>IC</w:t>
      </w:r>
      <w:proofErr w:type="spellEnd"/>
      <w:r>
        <w:rPr>
          <w:rFonts w:ascii="Times New Roman" w:hAnsi="Times New Roman"/>
        </w:rPr>
        <w:t xml:space="preserve"> kodeksa 8.3. punktu iepriekš 96. punktā) vai lai izpildītu jebkuru amata pienākumu, ko personai nosaka publisko reģistru tiesiskais regulējums (skat. iepriekš 80. un 96. punktu).</w:t>
      </w:r>
    </w:p>
    <w:bookmarkEnd w:id="258"/>
    <w:p w14:paraId="6A5ABFEC"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393. Savukārt </w:t>
      </w:r>
      <w:proofErr w:type="spellStart"/>
      <w:r>
        <w:rPr>
          <w:rFonts w:ascii="Times New Roman" w:hAnsi="Times New Roman"/>
          <w:i/>
          <w:iCs/>
        </w:rPr>
        <w:t>IC</w:t>
      </w:r>
      <w:proofErr w:type="spellEnd"/>
      <w:r>
        <w:rPr>
          <w:rFonts w:ascii="Times New Roman" w:hAnsi="Times New Roman"/>
        </w:rPr>
        <w:t xml:space="preserve"> kodeksa 7.3. punkts liedza izpaust informāciju personām, kurām nav veikta atbilstoša drošības pārbaude, kā arī atbilstoši “informācijas nepieciešamības” principam, proti, pārtverto materiālu personai nedrīkstēja izpaust, ja vien šīs personas amata pienākumi, kuriem jābūt saistītiem ar kādu no atļautajiem nolūkiem, nenosaka, ka tai ir “nepieciešama informācija” par pārtverto materiālu, lai veiktu savus amata pienākumus. Tāpat pārtverto materiālu atļauts izpaust vienīgi apmērā, kādā tas saņēmējam ir nepieciešams (skat. iepriekš 96. punktu). 7.3. punkts attiecās gan uz informācijas izpaušanu papildu personām aģentūrā, gan ārpus tās (skat. iepriekš 96. punktu). Saskaņā ar 7.4. punktu minētais attiecās ne tikai uz sākotnējo </w:t>
      </w:r>
      <w:proofErr w:type="spellStart"/>
      <w:r>
        <w:rPr>
          <w:rFonts w:ascii="Times New Roman" w:hAnsi="Times New Roman"/>
        </w:rPr>
        <w:t>pārtvērēju</w:t>
      </w:r>
      <w:proofErr w:type="spellEnd"/>
      <w:r>
        <w:rPr>
          <w:rFonts w:ascii="Times New Roman" w:hAnsi="Times New Roman"/>
        </w:rPr>
        <w:t>, bet arī uz jebkuru personu, kurai pārtverto materiālu pēc tam izpauda (skat. iepriekš 96. punktu).</w:t>
      </w:r>
    </w:p>
    <w:p w14:paraId="3681B686"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394. Palāta ir norādījusi, ka, tā kā jēdziens “visticamāk kļūs nepieciešams” nav papildus definēts ne </w:t>
      </w:r>
      <w:r>
        <w:rPr>
          <w:rFonts w:ascii="Times New Roman" w:hAnsi="Times New Roman"/>
          <w:i/>
          <w:iCs/>
        </w:rPr>
        <w:t>RIPA</w:t>
      </w:r>
      <w:r>
        <w:rPr>
          <w:rFonts w:ascii="Times New Roman" w:hAnsi="Times New Roman"/>
        </w:rPr>
        <w:t xml:space="preserve">, ne </w:t>
      </w:r>
      <w:proofErr w:type="spellStart"/>
      <w:r>
        <w:rPr>
          <w:rFonts w:ascii="Times New Roman" w:hAnsi="Times New Roman"/>
          <w:i/>
          <w:iCs/>
        </w:rPr>
        <w:t>IC</w:t>
      </w:r>
      <w:proofErr w:type="spellEnd"/>
      <w:r>
        <w:rPr>
          <w:rFonts w:ascii="Times New Roman" w:hAnsi="Times New Roman"/>
        </w:rPr>
        <w:t xml:space="preserve"> kodeksā vai kur citur, ar 15. panta 4. punktu un 7.2. punktu iestādēm patiesībā varēja tikt piešķirtas plašas pilnvaras izpaust un kopēt pārtverto materiālu. Tomēr materiālu joprojām varēja izpaust vienīgi personai, kurai veikta atbilstoša drošības pārbaude un kurai “ir nepieciešama informācija”, turklāt tādu pārtvertā materiāla apjomu, kāds personai nepieciešams. Līdz ar to Tiesa piekrīt palātai, ka jēdziena “visticamāk kļūs nepieciešams” iekļaušana nav būtiski mazinājusi drošības pasākumus masveida pārtveršanas ietvaros iegūto datu aizsardzībai (skat. palātas sprieduma 368. un 369. punktu).</w:t>
      </w:r>
    </w:p>
    <w:p w14:paraId="2943FAD6"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395. Pievēršoties pārtvertā materiāla pārsūtīšanai ārpus Apvienotās Karalistes, kad materiāls </w:t>
      </w:r>
      <w:r>
        <w:rPr>
          <w:rFonts w:ascii="Times New Roman" w:hAnsi="Times New Roman"/>
        </w:rPr>
        <w:lastRenderedPageBreak/>
        <w:t>ir pārtverts atbilstoši valsts tiesību aktiem, Tiesa uzskata, ka šī materiāla pārsūtīšana ārvalstu izlūkošanas partnerim vai starptautiskai organizācijai Konvencijas 8. panta izpratnē būtu problemātiska vienīgi tad, ja pārtveršanas valsts vispirms nav nodrošinājusi, ka tās izlūkošanas partneris, apstrādājot materiālu, ir īstenojis drošības pasākumus, ar kuriem iespējams novērst ļaunprātīgu izmantošanu un nesamērīgu iejaukšanos un jo īpaši var garantēt materiāla drošu uzglabāšanu, kā arī ierobežot tā turpmāku izplatīšanu (skat. iepriekš 362. punktu).</w:t>
      </w:r>
    </w:p>
    <w:p w14:paraId="2FFABA83"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396. Šķiet, ka Apvienotajā Karalistē “</w:t>
      </w:r>
      <w:proofErr w:type="spellStart"/>
      <w:r>
        <w:rPr>
          <w:rFonts w:ascii="Times New Roman" w:hAnsi="Times New Roman"/>
        </w:rPr>
        <w:t>Five</w:t>
      </w:r>
      <w:proofErr w:type="spellEnd"/>
      <w:r>
        <w:rPr>
          <w:rFonts w:ascii="Times New Roman" w:hAnsi="Times New Roman"/>
        </w:rPr>
        <w:t xml:space="preserve"> </w:t>
      </w:r>
      <w:proofErr w:type="spellStart"/>
      <w:r>
        <w:rPr>
          <w:rFonts w:ascii="Times New Roman" w:hAnsi="Times New Roman"/>
        </w:rPr>
        <w:t>Eyes</w:t>
      </w:r>
      <w:proofErr w:type="spellEnd"/>
      <w:r>
        <w:rPr>
          <w:rFonts w:ascii="Times New Roman" w:hAnsi="Times New Roman"/>
        </w:rPr>
        <w:t xml:space="preserve">” partneri varēja piekļūt </w:t>
      </w:r>
      <w:proofErr w:type="spellStart"/>
      <w:r>
        <w:rPr>
          <w:rFonts w:ascii="Times New Roman" w:hAnsi="Times New Roman"/>
          <w:i/>
          <w:iCs/>
        </w:rPr>
        <w:t>GCHQ</w:t>
      </w:r>
      <w:proofErr w:type="spellEnd"/>
      <w:r>
        <w:rPr>
          <w:rFonts w:ascii="Times New Roman" w:hAnsi="Times New Roman"/>
        </w:rPr>
        <w:t xml:space="preserve"> pārtveršanas ordera produkta elementiem savās sistēmās (skat. iepriekš 180. punktu). Šādos gadījumos Apvienotās Karalistes izlūkdienesti materiālu pārtveršanu būtu veikuši saskaņā ar valsts tiesību aktiem, tostarp, ciktāl minētais attiecas uz šo lietu, atbilstoši </w:t>
      </w:r>
      <w:r>
        <w:rPr>
          <w:rFonts w:ascii="Times New Roman" w:hAnsi="Times New Roman"/>
          <w:i/>
          <w:iCs/>
        </w:rPr>
        <w:t>RIPA</w:t>
      </w:r>
      <w:r>
        <w:rPr>
          <w:rFonts w:ascii="Times New Roman" w:hAnsi="Times New Roman"/>
        </w:rPr>
        <w:t xml:space="preserve"> 8. panta 4. punktam. Saskaņā ar </w:t>
      </w:r>
      <w:proofErr w:type="spellStart"/>
      <w:r>
        <w:rPr>
          <w:rFonts w:ascii="Times New Roman" w:hAnsi="Times New Roman"/>
          <w:i/>
          <w:iCs/>
        </w:rPr>
        <w:t>IC</w:t>
      </w:r>
      <w:proofErr w:type="spellEnd"/>
      <w:r>
        <w:rPr>
          <w:rFonts w:ascii="Times New Roman" w:hAnsi="Times New Roman"/>
        </w:rPr>
        <w:t xml:space="preserve"> kodeksa 7.5. punktu tad, kad pārtverto materiālu atklāja ārpus Apvienotās Karalistes esošas valsts vai teritorijas iestādēm, izlūkdienestiem bija jāveic saprātīgi pasākumi, lai nodrošinātu, ka attiecīgās iestādes ir ieviesušas un uzturēs nepieciešamās procedūras, lai aizsargātu pārtverto materiālu un nodrošinātu, ka tas tiek izpausts, kopēts, izplatīts un saglabāts vienīgi nepieciešamajā minimālajā apjomā. Pārtverto materiālu nevarēja tālāk izpaust trešās valsts vai teritorijas iestādēm, ja vien tas nav skaidri saskaņots ar </w:t>
      </w:r>
      <w:proofErr w:type="spellStart"/>
      <w:r>
        <w:rPr>
          <w:rFonts w:ascii="Times New Roman" w:hAnsi="Times New Roman"/>
        </w:rPr>
        <w:t>izdevējiestādi</w:t>
      </w:r>
      <w:proofErr w:type="spellEnd"/>
      <w:r>
        <w:rPr>
          <w:rFonts w:ascii="Times New Roman" w:hAnsi="Times New Roman"/>
        </w:rPr>
        <w:t xml:space="preserve">, un tas bija jāatdod </w:t>
      </w:r>
      <w:proofErr w:type="spellStart"/>
      <w:r>
        <w:rPr>
          <w:rFonts w:ascii="Times New Roman" w:hAnsi="Times New Roman"/>
        </w:rPr>
        <w:t>izdevējiestādei</w:t>
      </w:r>
      <w:proofErr w:type="spellEnd"/>
      <w:r>
        <w:rPr>
          <w:rFonts w:ascii="Times New Roman" w:hAnsi="Times New Roman"/>
        </w:rPr>
        <w:t xml:space="preserve"> vai droši jāiznīcina, tiklīdz tas vairs nav vajadzīgs (skat. iepriekš 96. punktu). </w:t>
      </w:r>
      <w:r>
        <w:rPr>
          <w:rFonts w:ascii="Times New Roman" w:hAnsi="Times New Roman"/>
          <w:i/>
          <w:iCs/>
        </w:rPr>
        <w:t>RIPA</w:t>
      </w:r>
      <w:r>
        <w:rPr>
          <w:rFonts w:ascii="Times New Roman" w:hAnsi="Times New Roman"/>
        </w:rPr>
        <w:t xml:space="preserve"> 15. panta 7. punkts arī noteica, ka ir jābūt spēkā ierobežojumiem, kas neļautu veikt nekādas darbības saistībā ar tiesvedību ārpus Apvienotās Karalistes, kuras ietvaros varētu tikt izpausts saturs vai pārtverto sakaru saistītie sakaru dati, ja šāda izpaušana Apvienotajā Karalistē nav bijusi iespējama (skat. iepriekš 82. punktu).</w:t>
      </w:r>
    </w:p>
    <w:p w14:paraId="40D1F41A"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397. Attiecībā uz konfidenciālu materiālu </w:t>
      </w:r>
      <w:proofErr w:type="spellStart"/>
      <w:r>
        <w:rPr>
          <w:rFonts w:ascii="Times New Roman" w:hAnsi="Times New Roman"/>
          <w:i/>
          <w:iCs/>
        </w:rPr>
        <w:t>IC</w:t>
      </w:r>
      <w:proofErr w:type="spellEnd"/>
      <w:r>
        <w:rPr>
          <w:rFonts w:ascii="Times New Roman" w:hAnsi="Times New Roman"/>
        </w:rPr>
        <w:t xml:space="preserve"> kodeksa 4.30. punkts noteica, ka tad, kad konfidenciālu informāciju izplatīja kādai ārējai iestādei, bija jāveic saprātīgi pasākumi, lai informāciju atzīmētu kā konfidenciālu. Ja radās šaubas par paredzētās konfidenciālās informācijas izplatīšanas likumību, pirms jebkādas turpmākas materiāla izplatīšanas bija jāvēršas pie attiecīgās pārtveršanas aģentūras juriskonsulta (skat. iepriekš 96. punktu).</w:t>
      </w:r>
    </w:p>
    <w:p w14:paraId="518E7258"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398. Līdz ar to bija ieviesti drošības pasākumi, lai nodrošinātu, ka izlūkošanas partneri garantē pārsūtītā materiāla drošu uzglabāšanu un ierobežo tā turpmāku izplatīšanu. Galējais drošības pasākums, kuru Tiesa īpaši uzsver, ir </w:t>
      </w:r>
      <w:proofErr w:type="spellStart"/>
      <w:r>
        <w:rPr>
          <w:rFonts w:ascii="Times New Roman" w:hAnsi="Times New Roman"/>
          <w:i/>
          <w:iCs/>
        </w:rPr>
        <w:t>IC</w:t>
      </w:r>
      <w:proofErr w:type="spellEnd"/>
      <w:r>
        <w:rPr>
          <w:rFonts w:ascii="Times New Roman" w:hAnsi="Times New Roman"/>
        </w:rPr>
        <w:t xml:space="preserve"> komisāra un </w:t>
      </w:r>
      <w:proofErr w:type="spellStart"/>
      <w:r>
        <w:rPr>
          <w:rFonts w:ascii="Times New Roman" w:hAnsi="Times New Roman"/>
          <w:i/>
          <w:iCs/>
        </w:rPr>
        <w:t>IPT</w:t>
      </w:r>
      <w:proofErr w:type="spellEnd"/>
      <w:r>
        <w:rPr>
          <w:rFonts w:ascii="Times New Roman" w:hAnsi="Times New Roman"/>
        </w:rPr>
        <w:t xml:space="preserve"> nodrošinātā pārraudzība (skat. turpmāk 411. un 414. punktu).</w:t>
      </w:r>
    </w:p>
    <w:p w14:paraId="60C57F32" w14:textId="77777777" w:rsidR="00F82F2D" w:rsidRDefault="00F82F2D" w:rsidP="00F82F2D">
      <w:pPr>
        <w:pStyle w:val="JuPara"/>
        <w:widowControl w:val="0"/>
        <w:ind w:firstLine="142"/>
        <w:rPr>
          <w:rFonts w:ascii="Times New Roman" w:hAnsi="Times New Roman"/>
          <w:noProof/>
        </w:rPr>
      </w:pPr>
      <w:r>
        <w:rPr>
          <w:rFonts w:ascii="Times New Roman" w:hAnsi="Times New Roman"/>
        </w:rPr>
        <w:t>399. Ņemot vērā iepriekš minēto, Tiesa uzskata, ka veicamie piesardzības pasākumi, paziņojot pārtverto materiālu citām pusēm, bija pietiekami skaidri un paredzēja pietiekami stabilas garantijas pret ļaunprātīgu izmantošanu.</w:t>
      </w:r>
    </w:p>
    <w:p w14:paraId="13AD8A37" w14:textId="77777777" w:rsidR="00F82F2D" w:rsidRPr="008D031E" w:rsidRDefault="00F82F2D" w:rsidP="00F82F2D">
      <w:pPr>
        <w:pStyle w:val="JuPara"/>
        <w:widowControl w:val="0"/>
        <w:ind w:firstLine="142"/>
        <w:rPr>
          <w:rFonts w:ascii="Times New Roman" w:hAnsi="Times New Roman"/>
          <w:noProof/>
          <w:lang w:val="en-US"/>
        </w:rPr>
      </w:pPr>
    </w:p>
    <w:p w14:paraId="039C2CC9" w14:textId="77777777" w:rsidR="00F82F2D" w:rsidRDefault="00F82F2D" w:rsidP="00F82F2D">
      <w:pPr>
        <w:pStyle w:val="JuH"/>
        <w:keepNext w:val="0"/>
        <w:keepLines w:val="0"/>
        <w:widowControl w:val="0"/>
        <w:numPr>
          <w:ilvl w:val="0"/>
          <w:numId w:val="46"/>
        </w:numPr>
        <w:spacing w:before="0" w:beforeAutospacing="0" w:after="0"/>
        <w:ind w:left="567" w:hanging="283"/>
        <w:outlineLvl w:val="9"/>
        <w:rPr>
          <w:rFonts w:ascii="Times New Roman" w:hAnsi="Times New Roman"/>
          <w:noProof/>
          <w:sz w:val="24"/>
        </w:rPr>
      </w:pPr>
      <w:r>
        <w:rPr>
          <w:rFonts w:ascii="Times New Roman" w:hAnsi="Times New Roman"/>
          <w:sz w:val="24"/>
        </w:rPr>
        <w:t>6. Ierobežojumi attiecībā uz pārtveršanas ilgumu, pārtvertā materiāla uzglabāšanu un apstākļiem, kādos šāds materiāls ir jādzēš vai jāiznīcina</w:t>
      </w:r>
    </w:p>
    <w:p w14:paraId="196ED577" w14:textId="77777777" w:rsidR="00F82F2D" w:rsidRPr="00250617" w:rsidRDefault="00F82F2D" w:rsidP="00F82F2D">
      <w:pPr>
        <w:pStyle w:val="JuPara"/>
        <w:widowControl w:val="0"/>
        <w:rPr>
          <w:lang w:val="en-US" w:bidi="en-US"/>
        </w:rPr>
      </w:pPr>
    </w:p>
    <w:p w14:paraId="4C0003C8"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400. Attiecībā uz 8. panta 4. punktā noteiktajiem orderiem, kas izdoti Apvienotās Karalistes valsts drošības vai ekonomiskās labklājības apsvērumu dēļ, ciktāl šīs intereses atbilda valsts drošības interesēm, saskaņā ar </w:t>
      </w:r>
      <w:r>
        <w:rPr>
          <w:rFonts w:ascii="Times New Roman" w:hAnsi="Times New Roman"/>
          <w:i/>
          <w:iCs/>
        </w:rPr>
        <w:t>RIPA</w:t>
      </w:r>
      <w:r>
        <w:rPr>
          <w:rFonts w:ascii="Times New Roman" w:hAnsi="Times New Roman"/>
        </w:rPr>
        <w:t xml:space="preserve"> 9. pantu šie orderi </w:t>
      </w:r>
      <w:r>
        <w:rPr>
          <w:rStyle w:val="JuParaChar"/>
          <w:rFonts w:ascii="Times New Roman" w:hAnsi="Times New Roman"/>
        </w:rPr>
        <w:t xml:space="preserve">zaudēja spēku pēc sešiem mēnešiem, ja vien tos neatjaunoja. 8. panta 4. punktā noteiktie orderi, ko izdevis valsts sekretārs smaga nozieguma novēršanas nolūkos, zaudēja spēku pēc trim mēnešiem, ja vien tos neatjaunoja. Šos orderus varēja atjaunot attiecīgi uz sešiem un trim mēnešiem, un tos varēja atjaunot jebkurā brīdī pirms to derīguma termiņa beigām, iesniedzot pieteikumu valsts sekretāram. </w:t>
      </w:r>
      <w:r>
        <w:rPr>
          <w:rFonts w:ascii="Times New Roman" w:hAnsi="Times New Roman"/>
        </w:rPr>
        <w:t xml:space="preserve">Šajā pieteikumā bija jāiekļauj tāda pati informācija kā sākotnējā pieteikumā, tostarp pārtveršanas vērtības </w:t>
      </w:r>
      <w:proofErr w:type="spellStart"/>
      <w:r>
        <w:rPr>
          <w:rFonts w:ascii="Times New Roman" w:hAnsi="Times New Roman"/>
        </w:rPr>
        <w:t>izvērtējums</w:t>
      </w:r>
      <w:proofErr w:type="spellEnd"/>
      <w:r>
        <w:rPr>
          <w:rFonts w:ascii="Times New Roman" w:hAnsi="Times New Roman"/>
        </w:rPr>
        <w:t xml:space="preserve"> līdz šim brīdim un paskaidrojums par to, kāpēc ordera atjaunošana bija nepieciešama 5. panta 3. punkta izpratnē un bija samērīga (skat. </w:t>
      </w:r>
      <w:r>
        <w:rPr>
          <w:rFonts w:ascii="Times New Roman" w:hAnsi="Times New Roman"/>
          <w:i/>
          <w:iCs/>
        </w:rPr>
        <w:t>RIPA</w:t>
      </w:r>
      <w:r>
        <w:rPr>
          <w:rFonts w:ascii="Times New Roman" w:hAnsi="Times New Roman"/>
        </w:rPr>
        <w:t xml:space="preserve"> 9. pantu iepriekš 67. punktā un </w:t>
      </w:r>
      <w:proofErr w:type="spellStart"/>
      <w:r>
        <w:rPr>
          <w:rFonts w:ascii="Times New Roman" w:hAnsi="Times New Roman"/>
          <w:i/>
          <w:iCs/>
        </w:rPr>
        <w:t>IC</w:t>
      </w:r>
      <w:proofErr w:type="spellEnd"/>
      <w:r>
        <w:rPr>
          <w:rFonts w:ascii="Times New Roman" w:hAnsi="Times New Roman"/>
        </w:rPr>
        <w:t xml:space="preserve"> kodeksa 6.22.–6.24. punktu iepriekš 96. punktā).</w:t>
      </w:r>
      <w:r>
        <w:rPr>
          <w:rStyle w:val="JuParaChar"/>
          <w:rFonts w:ascii="Times New Roman" w:hAnsi="Times New Roman"/>
        </w:rPr>
        <w:t xml:space="preserve"> </w:t>
      </w:r>
      <w:r>
        <w:rPr>
          <w:rFonts w:ascii="Times New Roman" w:hAnsi="Times New Roman"/>
        </w:rPr>
        <w:t xml:space="preserve">Valsts sekretāram bija jāatceļ orderis pat pirms sākotnējā derīguma termiņa beigām, ja bija gūta pārliecība, ka orderis vairs nav nepieciešams, pamatojoties uz 5. panta 3. punktu (skat. </w:t>
      </w:r>
      <w:r>
        <w:rPr>
          <w:rFonts w:ascii="Times New Roman" w:hAnsi="Times New Roman"/>
          <w:i/>
          <w:iCs/>
        </w:rPr>
        <w:t>RIPA</w:t>
      </w:r>
      <w:r>
        <w:rPr>
          <w:rFonts w:ascii="Times New Roman" w:hAnsi="Times New Roman"/>
        </w:rPr>
        <w:t xml:space="preserve"> 9. pantu iepriekš </w:t>
      </w:r>
      <w:r>
        <w:rPr>
          <w:rFonts w:ascii="Times New Roman" w:hAnsi="Times New Roman"/>
        </w:rPr>
        <w:lastRenderedPageBreak/>
        <w:t>67. punktā).</w:t>
      </w:r>
    </w:p>
    <w:p w14:paraId="379DE96C"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401. Ņemot vērā nepārprotamo ierobežojumu attiecībā uz 8. panta 4. punktā noteikto orderu darbības ilgumu un prasību tos nepārtraukti pārskatīt, Tiesa uzskata, ka noteikumi par pārtveršanas ilgumu 8. panta 4. punktā noteikto režīmu ietvaros bija pietiekami skaidri un nodrošināja atbilstošus drošības pasākumus pret ļaunprātīgu izmantošanu.</w:t>
      </w:r>
    </w:p>
    <w:p w14:paraId="40109EF0"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402. </w:t>
      </w:r>
      <w:proofErr w:type="spellStart"/>
      <w:r>
        <w:rPr>
          <w:rFonts w:ascii="Times New Roman" w:hAnsi="Times New Roman"/>
          <w:i/>
          <w:iCs/>
        </w:rPr>
        <w:t>IC</w:t>
      </w:r>
      <w:proofErr w:type="spellEnd"/>
      <w:r>
        <w:rPr>
          <w:rFonts w:ascii="Times New Roman" w:hAnsi="Times New Roman"/>
        </w:rPr>
        <w:t xml:space="preserve"> kodeksa 7.9. punkts paredzēja, ka tad, kad izlūkdienests saņēma neanalizētu pārtverto materiālu un saistītos sakaru datus 8. panta 4. punktā noteiktā ordera ietvaros, tam bija jānorāda maksimālais glabāšanas periods dažādām materiāla kategorijām, kas atspoguļoja tā veidu un iejaukšanās pakāpi. Šie noteiktie laika periodi parasti nepārsniedza divus gadus, un tie bija jāsaskaņo ar </w:t>
      </w:r>
      <w:proofErr w:type="spellStart"/>
      <w:r>
        <w:rPr>
          <w:rFonts w:ascii="Times New Roman" w:hAnsi="Times New Roman"/>
          <w:i/>
          <w:iCs/>
        </w:rPr>
        <w:t>IC</w:t>
      </w:r>
      <w:proofErr w:type="spellEnd"/>
      <w:r>
        <w:rPr>
          <w:rFonts w:ascii="Times New Roman" w:hAnsi="Times New Roman"/>
        </w:rPr>
        <w:t xml:space="preserve"> komisāru. Ciktāl tas iespējams, visu saglabāšanas periodu pamatā bija automātiskas dzēšanas process, ko uzsāka, tiklīdz ir sasniegts piemērojamais maksimālais saglabāšanas periods (skat. iepriekš 96. punktu). Saskaņā ar </w:t>
      </w:r>
      <w:proofErr w:type="spellStart"/>
      <w:r>
        <w:rPr>
          <w:rFonts w:ascii="Times New Roman" w:hAnsi="Times New Roman"/>
          <w:i/>
          <w:iCs/>
        </w:rPr>
        <w:t>IC</w:t>
      </w:r>
      <w:proofErr w:type="spellEnd"/>
      <w:r>
        <w:rPr>
          <w:rFonts w:ascii="Times New Roman" w:hAnsi="Times New Roman"/>
        </w:rPr>
        <w:t xml:space="preserve"> kodeksa 7.8. punktu saglabātais pārtvertais materiāls bija jāpārskata atbilstošos intervālos, lai pārliecinātos, ka tā saglabāšanas pamatojums joprojām ir spēkā saskaņā ar </w:t>
      </w:r>
      <w:r>
        <w:rPr>
          <w:rFonts w:ascii="Times New Roman" w:hAnsi="Times New Roman"/>
          <w:i/>
          <w:iCs/>
        </w:rPr>
        <w:t>RIPA</w:t>
      </w:r>
      <w:r>
        <w:rPr>
          <w:rFonts w:ascii="Times New Roman" w:hAnsi="Times New Roman"/>
        </w:rPr>
        <w:t xml:space="preserve"> 15. panta 3. punktu (skat. iepriekš 96. punktu).</w:t>
      </w:r>
    </w:p>
    <w:p w14:paraId="58AE3AB2"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403. Valdība savos argumentos Lielajai palātai sniedza papildu informāciju par saglabāšanas periodiem. Saziņas aktu saturs, kam piemēroja vienīgi “spēcīgo selektoru” procesu, nekavējoties tika atmests, ja vien tas neatbilda spēcīgajam selektoram. Savukārt saziņas aktu saturs, kam piemēroja arī “kompleksā vaicājuma” procesu, tika saglabāts vairākas dienas, lai nodrošinātu procesa norisi, un pēc tam automātiski dzēsts, ja vien tas netika atlasīts pārbaudei. Saziņas aktu saturu, ko atlasīja pārbaudei, varēja saglabāt vienīgi tad, kad tas bija nepieciešami un samērīgi. Standarta nosacījums bija tāds, ka atlasīto saziņas aktu satura saglabāšanas periods nepārsniedz dažus mēnešus, pēc kā saziņas aktu saturu automātiski dzēsa (lai gan tad, kad materiāls bija minēts izlūkošanas ziņojumā, šo ziņojumu saglabāja), taču izņēmuma kārtā varēja uzsākt lietu, lai saglabātu atlasītos sakarus ilgāku laiku (skat. iepriekš 293. punktu). Līdz ar to praksē varētu šķist, ka saglabāšanas periodi ir ievērojami īsāki par maksimālo divu gadu saglabāšanas periodu.</w:t>
      </w:r>
    </w:p>
    <w:p w14:paraId="2F0EB2E1"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404. Visbeidzot, saskaņā ar </w:t>
      </w:r>
      <w:r>
        <w:rPr>
          <w:rFonts w:ascii="Times New Roman" w:hAnsi="Times New Roman"/>
          <w:i/>
          <w:iCs/>
        </w:rPr>
        <w:t>RIPA</w:t>
      </w:r>
      <w:r>
        <w:rPr>
          <w:rFonts w:ascii="Times New Roman" w:hAnsi="Times New Roman"/>
        </w:rPr>
        <w:t xml:space="preserve"> 15. panta 3. punktu un </w:t>
      </w:r>
      <w:proofErr w:type="spellStart"/>
      <w:r>
        <w:rPr>
          <w:rFonts w:ascii="Times New Roman" w:hAnsi="Times New Roman"/>
          <w:i/>
          <w:iCs/>
        </w:rPr>
        <w:t>IC</w:t>
      </w:r>
      <w:proofErr w:type="spellEnd"/>
      <w:r>
        <w:rPr>
          <w:rFonts w:ascii="Times New Roman" w:hAnsi="Times New Roman"/>
        </w:rPr>
        <w:t xml:space="preserve"> kodeksa 7.8. punktu ikviena pārtvertā materiāla kopija (tostarp tā izraksti un kopsavilkumi) bija jāiznīcina drošā veidā, tiklīdz tā vairs nebija nepieciešami nevienam no 5. panta 3. punktā minētajiem nolūkiem (skat. iepriekš 79. un 96. punktu).</w:t>
      </w:r>
    </w:p>
    <w:p w14:paraId="61F13103" w14:textId="77777777" w:rsidR="00F82F2D" w:rsidRDefault="00F82F2D" w:rsidP="00F82F2D">
      <w:pPr>
        <w:pStyle w:val="JuPara"/>
        <w:widowControl w:val="0"/>
        <w:ind w:firstLine="142"/>
        <w:rPr>
          <w:rFonts w:ascii="Times New Roman" w:hAnsi="Times New Roman"/>
          <w:noProof/>
        </w:rPr>
      </w:pPr>
      <w:bookmarkStart w:id="259" w:name="End"/>
      <w:r>
        <w:rPr>
          <w:rFonts w:ascii="Times New Roman" w:hAnsi="Times New Roman"/>
        </w:rPr>
        <w:t>405</w:t>
      </w:r>
      <w:bookmarkEnd w:id="259"/>
      <w:r>
        <w:rPr>
          <w:rFonts w:ascii="Times New Roman" w:hAnsi="Times New Roman"/>
        </w:rPr>
        <w:t>. Spriedumā lietā “</w:t>
      </w:r>
      <w:proofErr w:type="spellStart"/>
      <w:r>
        <w:rPr>
          <w:rFonts w:ascii="Times New Roman" w:hAnsi="Times New Roman"/>
        </w:rPr>
        <w:t>Liberty</w:t>
      </w:r>
      <w:proofErr w:type="spellEnd"/>
      <w:r>
        <w:rPr>
          <w:rFonts w:ascii="Times New Roman" w:hAnsi="Times New Roman"/>
        </w:rPr>
        <w:t xml:space="preserve">” </w:t>
      </w:r>
      <w:proofErr w:type="spellStart"/>
      <w:r>
        <w:rPr>
          <w:rFonts w:ascii="Times New Roman" w:hAnsi="Times New Roman"/>
          <w:i/>
          <w:iCs/>
        </w:rPr>
        <w:t>IPT</w:t>
      </w:r>
      <w:proofErr w:type="spellEnd"/>
      <w:r>
        <w:rPr>
          <w:rFonts w:ascii="Times New Roman" w:hAnsi="Times New Roman"/>
        </w:rPr>
        <w:t xml:space="preserve"> bija izvērtējusi materiāla saglabāšanas un iznīcināšanas kārtību un to atzinusi par atbilstošu (skat. iepriekš 50. punktu). Tiesa arī uzskata, ka “virs ūdenslīnijas” esošie pasākumi, kas paredz apstākļus, kādos pārtvertais materiāls ir jādzēš vai jāiznīcina, bija pietiekami skaidri. Tomēr tā uzskata, ka būtu bijis vēlams, lai īsākie saglabāšanas periodi, ko Valdība noteica šīs tiesvedības laikā, būtu atspoguļoti atbilstošajos tiesību aktos un/vai citās vispārīgās normās.</w:t>
      </w:r>
    </w:p>
    <w:p w14:paraId="7CF220AB" w14:textId="77777777" w:rsidR="00F82F2D" w:rsidRPr="008D031E" w:rsidRDefault="00F82F2D" w:rsidP="00F82F2D">
      <w:pPr>
        <w:pStyle w:val="JuPara"/>
        <w:widowControl w:val="0"/>
        <w:ind w:firstLine="142"/>
        <w:rPr>
          <w:rFonts w:ascii="Times New Roman" w:hAnsi="Times New Roman"/>
          <w:noProof/>
          <w:lang w:val="en-US"/>
        </w:rPr>
      </w:pPr>
    </w:p>
    <w:p w14:paraId="6FDC457E" w14:textId="77777777" w:rsidR="00F82F2D" w:rsidRDefault="00F82F2D" w:rsidP="00F82F2D">
      <w:pPr>
        <w:pStyle w:val="JuH"/>
        <w:keepNext w:val="0"/>
        <w:keepLines w:val="0"/>
        <w:widowControl w:val="0"/>
        <w:numPr>
          <w:ilvl w:val="0"/>
          <w:numId w:val="46"/>
        </w:numPr>
        <w:spacing w:before="0" w:beforeAutospacing="0" w:after="0"/>
        <w:ind w:left="567" w:hanging="283"/>
        <w:outlineLvl w:val="9"/>
        <w:rPr>
          <w:rFonts w:ascii="Times New Roman" w:hAnsi="Times New Roman"/>
          <w:noProof/>
          <w:sz w:val="24"/>
        </w:rPr>
      </w:pPr>
      <w:r>
        <w:rPr>
          <w:rFonts w:ascii="Times New Roman" w:hAnsi="Times New Roman"/>
          <w:sz w:val="24"/>
        </w:rPr>
        <w:t>7. Pārraudzība</w:t>
      </w:r>
    </w:p>
    <w:p w14:paraId="7062D8E6" w14:textId="77777777" w:rsidR="00F82F2D" w:rsidRPr="00250617" w:rsidRDefault="00F82F2D" w:rsidP="00F82F2D">
      <w:pPr>
        <w:pStyle w:val="JuPara"/>
        <w:widowControl w:val="0"/>
        <w:rPr>
          <w:lang w:val="en-US" w:bidi="en-US"/>
        </w:rPr>
      </w:pPr>
    </w:p>
    <w:p w14:paraId="1B27DF93"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406. 8. panta 4. punktā noteiktā režīma pārraudzību galvenokārt īstenoja </w:t>
      </w:r>
      <w:proofErr w:type="spellStart"/>
      <w:r>
        <w:rPr>
          <w:rFonts w:ascii="Times New Roman" w:hAnsi="Times New Roman"/>
          <w:i/>
          <w:iCs/>
        </w:rPr>
        <w:t>IC</w:t>
      </w:r>
      <w:proofErr w:type="spellEnd"/>
      <w:r>
        <w:rPr>
          <w:rFonts w:ascii="Times New Roman" w:hAnsi="Times New Roman"/>
        </w:rPr>
        <w:t xml:space="preserve"> komisārs, lai gan, pēc komisāra domām, “kritiski svarīgo kvalitātes nodrošināšanas funkciju sākotnēji [bija] pildījušas pārtveršanas aģentūras vai orderi piešķirošās nodaļas darbinieki un juristi”, kuri sniedza valsts sekretāram neatkarīgu viedokli un pārbaudīja pieteikumus orderu izdošanai un atjaunošanai pirms atļaujas došanas, lai nodrošinātu, ka tie ir (un paliek) nepieciešami un samērīgi (skat. iepriekš 170. punktu).</w:t>
      </w:r>
    </w:p>
    <w:p w14:paraId="63B8D328"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407. </w:t>
      </w:r>
      <w:proofErr w:type="spellStart"/>
      <w:r>
        <w:rPr>
          <w:rFonts w:ascii="Times New Roman" w:hAnsi="Times New Roman"/>
          <w:i/>
          <w:iCs/>
        </w:rPr>
        <w:t>IC</w:t>
      </w:r>
      <w:proofErr w:type="spellEnd"/>
      <w:r>
        <w:rPr>
          <w:rFonts w:ascii="Times New Roman" w:hAnsi="Times New Roman"/>
        </w:rPr>
        <w:t xml:space="preserve"> komisārs bija neatkarīgs no izpildvaras un likumdevēja varas, un viņam bija pirms tam jāieņem augsts tiesneša amats. Viņa galvenais pienākums bija pārbaudīt, kā attiecīgie valsts sekretāri un valsts iestādes īsteno un pilda </w:t>
      </w:r>
      <w:r>
        <w:rPr>
          <w:rFonts w:ascii="Times New Roman" w:hAnsi="Times New Roman"/>
          <w:i/>
          <w:iCs/>
        </w:rPr>
        <w:t>RIPA</w:t>
      </w:r>
      <w:r>
        <w:rPr>
          <w:rFonts w:ascii="Times New Roman" w:hAnsi="Times New Roman"/>
        </w:rPr>
        <w:t xml:space="preserve"> 1. daļā (un ierobežotā mērā arī 3. daļā) noteiktās pilnvaras, un viņš pārraudzīja pārbaudes režīmu, kas viņam ļāva neatkarīgi pārraudzīt tiesību aktu piemērošanu. Viņš reizi pusgadā ziņoja Ministru prezidentam par savu funkciju </w:t>
      </w:r>
      <w:r>
        <w:rPr>
          <w:rFonts w:ascii="Times New Roman" w:hAnsi="Times New Roman"/>
        </w:rPr>
        <w:lastRenderedPageBreak/>
        <w:t xml:space="preserve">izpildi un sagatavoja gada ziņojumu, kas tika iesniegts parlamenta palātām. Turklāt pēc katras pārbaudes pārbaudāmās aģentūras vadītājam tika nosūtīts ziņojums, kurā bija ietverti formāli ieteikumi un kurā aģentūrai bija noteikts pienākums divu mēnešu laikā ziņot, lai apstiprinātu, vai ieteikumi ir īstenoti vai ir panākts progress. Viņa periodiskie ziņojumi ir publicēti no 2002. gada, savukārt no 2013. gada tos publicēja pilnībā bez konfidenciāliem pielikumiem. Turklāt </w:t>
      </w:r>
      <w:r>
        <w:rPr>
          <w:rFonts w:ascii="Times New Roman" w:hAnsi="Times New Roman"/>
          <w:i/>
          <w:iCs/>
        </w:rPr>
        <w:t>RIPA</w:t>
      </w:r>
      <w:r>
        <w:rPr>
          <w:rFonts w:ascii="Times New Roman" w:hAnsi="Times New Roman"/>
        </w:rPr>
        <w:t xml:space="preserve"> 58. panta 1. punkts paredzēja ar likumu noteiktu pienākumu katrai valsts amatpersonai, kura darbojas kādā </w:t>
      </w:r>
      <w:proofErr w:type="spellStart"/>
      <w:r>
        <w:rPr>
          <w:rFonts w:ascii="Times New Roman" w:hAnsi="Times New Roman"/>
          <w:i/>
          <w:iCs/>
        </w:rPr>
        <w:t>IC</w:t>
      </w:r>
      <w:proofErr w:type="spellEnd"/>
      <w:r>
        <w:rPr>
          <w:rFonts w:ascii="Times New Roman" w:hAnsi="Times New Roman"/>
        </w:rPr>
        <w:t xml:space="preserve"> komisāram pakļautā organizācijā, izpaust vai sniegt tam visus dokumentus vai informāciju, kas varētu būt nepieciešama, lai viņš varētu veikt savas funkcijas (skat. iepriekš 135. un 136. punktu).</w:t>
      </w:r>
    </w:p>
    <w:p w14:paraId="44898DAE"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408. </w:t>
      </w:r>
      <w:proofErr w:type="spellStart"/>
      <w:r>
        <w:rPr>
          <w:rFonts w:ascii="Times New Roman" w:hAnsi="Times New Roman"/>
          <w:i/>
          <w:iCs/>
        </w:rPr>
        <w:t>IC</w:t>
      </w:r>
      <w:proofErr w:type="spellEnd"/>
      <w:r>
        <w:rPr>
          <w:rFonts w:ascii="Times New Roman" w:hAnsi="Times New Roman"/>
        </w:rPr>
        <w:t xml:space="preserve"> komisāra 2016. gada ziņojumā ir sniegti pierādījumi par viņa pārraudzības pilnvaru apjomu. Kopumā pārbaužu laikā viņš novērtēja sakaru pārtveršanas sistēmas un pārliecinājās, ka tiek uzturēti visi attiecīgie ieraksti, izskatīja atlasītos pārtveršanas pieteikumus, lai izvērtētu, vai tie atbilst nepieciešamības un samērīguma prasībām, intervēja atbildīgos darbiniekus un analītiķus, lai novērtētu, vai pārtveršana un visa materiāla iegūšanas pamatojums ir samērīgs, izskatīja visus steidzamos mutiskus apstiprinājumus, lai pārbaudītu, vai process ir pamatots un izmantots atbilstoši, pārskatīja tos gadījumus, kad bija pārtverti un saglabāti sakari, uz kuru attiecas advokāta un klienta saziņas konfidencialitāte vai citādi konfidenciāla informācija, un visas lietas, kurās saistībā ar advokātu tika veikta izmeklēšana, pārskatīja drošības pasākumu un kārtības atbilstību saskaņā ar </w:t>
      </w:r>
      <w:r>
        <w:rPr>
          <w:rFonts w:ascii="Times New Roman" w:hAnsi="Times New Roman"/>
          <w:i/>
          <w:iCs/>
        </w:rPr>
        <w:t>RIPA</w:t>
      </w:r>
      <w:r>
        <w:rPr>
          <w:rFonts w:ascii="Times New Roman" w:hAnsi="Times New Roman"/>
        </w:rPr>
        <w:t xml:space="preserve"> 15. un 16. pantu, izpētīja ieviestās procedūras pārtvertā materiāla un saistīto sakaru datu saglabāšanai, uzglabāšanai un iznīcināšanai, kā arī pārskatīja ziņotās kļūdas un visu ieviesto pasākumu pietiekamību, lai novērstu kļūdu atkārtošanos (skat. iepriekš 171. punktu).</w:t>
      </w:r>
    </w:p>
    <w:p w14:paraId="6C0D387B"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409. 2016. gadā </w:t>
      </w:r>
      <w:proofErr w:type="spellStart"/>
      <w:r>
        <w:rPr>
          <w:rFonts w:ascii="Times New Roman" w:hAnsi="Times New Roman"/>
          <w:i/>
          <w:iCs/>
        </w:rPr>
        <w:t>IC</w:t>
      </w:r>
      <w:proofErr w:type="spellEnd"/>
      <w:r>
        <w:rPr>
          <w:rFonts w:ascii="Times New Roman" w:hAnsi="Times New Roman"/>
        </w:rPr>
        <w:t xml:space="preserve"> komisāra birojs vienu reizi pārbaudīja visas deviņas pārtveršanas aģentūras un divas reizes – četras galvenās orderus piešķirošās nodaļas. Tika pārbaudīti kopumā deviņi simti septiņdesmit orderi, kas atbilst sešdesmit vienam procentam no gada beigās spēkā esošo orderu skaita un trīsdesmit diviem procentiem no 2016. gadā izdoto jauno orderu kopskaita (skat. iepriekš 173. un 175. punktu).</w:t>
      </w:r>
    </w:p>
    <w:p w14:paraId="523CB294"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410. Pārbaudes parasti notika trīs posmos. Pirmkārt, lai iegūtu orderu reprezentatīvo paraugu, inspektori tos atlasīja, ņemot vērā dažādus noziegumu veidus un draudus valsts drošībai, pievēršot galveno uzmanību tiem īpaši interesējošiem vai </w:t>
      </w:r>
      <w:proofErr w:type="spellStart"/>
      <w:r>
        <w:rPr>
          <w:rFonts w:ascii="Times New Roman" w:hAnsi="Times New Roman"/>
        </w:rPr>
        <w:t>sensitīviem</w:t>
      </w:r>
      <w:proofErr w:type="spellEnd"/>
      <w:r>
        <w:rPr>
          <w:rFonts w:ascii="Times New Roman" w:hAnsi="Times New Roman"/>
        </w:rPr>
        <w:t xml:space="preserve"> aspektiem. Otrkārt, inspektori detalizēti pārbaudīja atlasītos orderus un saistīto dokumentāciju, ar to rūpīgi iepazīstoties pirms pārbaudes veikšanas. Šajā posmā inspektori pārbaudīja analītiķu apgalvojumus par nepieciešamību un samērīgumu, pārbaudes nolūkos pievienojot selektoru datu apkopošanas sistēmai. Katru apgalvojumu analizēja atsevišķi, un tam bija jāatsaucas uz vispārējo prasību par </w:t>
      </w:r>
      <w:proofErr w:type="spellStart"/>
      <w:r>
        <w:rPr>
          <w:rFonts w:ascii="Times New Roman" w:hAnsi="Times New Roman"/>
        </w:rPr>
        <w:t>izlūkdatu</w:t>
      </w:r>
      <w:proofErr w:type="spellEnd"/>
      <w:r>
        <w:rPr>
          <w:rFonts w:ascii="Times New Roman" w:hAnsi="Times New Roman"/>
        </w:rPr>
        <w:t xml:space="preserve"> vākšanas prioritātēm. Treškārt, viņi apzināja tos orderus, darbības vai procesa jomas, kurās bija nepieciešama papildu informācija vai precizējumi, un organizēja attiecīgā operatīvā, juridiskā vai tehniskā personāla intervijas. Ja nepieciešams, viņi pārbaudīja papildu dokumentāciju vai sistēmas saistībā ar šiem orderiem (skat. iepriekš 174. punktu).</w:t>
      </w:r>
    </w:p>
    <w:p w14:paraId="7D9BC72E" w14:textId="77777777" w:rsidR="00F82F2D" w:rsidRPr="008D031E" w:rsidRDefault="00F82F2D" w:rsidP="00F82F2D">
      <w:pPr>
        <w:pStyle w:val="JuPara"/>
        <w:widowControl w:val="0"/>
        <w:ind w:firstLine="142"/>
        <w:rPr>
          <w:rFonts w:ascii="Times New Roman" w:hAnsi="Times New Roman"/>
          <w:noProof/>
        </w:rPr>
      </w:pPr>
      <w:bookmarkStart w:id="260" w:name="p388"/>
      <w:r>
        <w:rPr>
          <w:rFonts w:ascii="Times New Roman" w:hAnsi="Times New Roman"/>
        </w:rPr>
        <w:t>411</w:t>
      </w:r>
      <w:bookmarkEnd w:id="260"/>
      <w:r>
        <w:rPr>
          <w:rFonts w:ascii="Times New Roman" w:hAnsi="Times New Roman"/>
        </w:rPr>
        <w:t xml:space="preserve">. </w:t>
      </w:r>
      <w:proofErr w:type="spellStart"/>
      <w:r>
        <w:rPr>
          <w:rFonts w:ascii="Times New Roman" w:hAnsi="Times New Roman"/>
          <w:i/>
          <w:iCs/>
        </w:rPr>
        <w:t>IC</w:t>
      </w:r>
      <w:proofErr w:type="spellEnd"/>
      <w:r>
        <w:rPr>
          <w:rFonts w:ascii="Times New Roman" w:hAnsi="Times New Roman"/>
        </w:rPr>
        <w:t xml:space="preserve"> komisārs arī pārraudzīja pārtvertā materiāla apmaiņu ar izlūkošanas partneriem. Viņš savā 2016. gada ziņojumā norādīja, ka </w:t>
      </w:r>
      <w:proofErr w:type="spellStart"/>
      <w:r>
        <w:rPr>
          <w:rFonts w:ascii="Times New Roman" w:hAnsi="Times New Roman"/>
          <w:i/>
          <w:iCs/>
        </w:rPr>
        <w:t>GCHQ</w:t>
      </w:r>
      <w:proofErr w:type="spellEnd"/>
      <w:r>
        <w:rPr>
          <w:rFonts w:ascii="Times New Roman" w:hAnsi="Times New Roman"/>
        </w:rPr>
        <w:t xml:space="preserve"> sniedza viņa inspektoriem “visaptverošu informāciju par apmaiņas pasākumiem, saskaņā ar kuriem “</w:t>
      </w:r>
      <w:proofErr w:type="spellStart"/>
      <w:r>
        <w:rPr>
          <w:rFonts w:ascii="Times New Roman" w:hAnsi="Times New Roman"/>
        </w:rPr>
        <w:t>Five</w:t>
      </w:r>
      <w:proofErr w:type="spellEnd"/>
      <w:r>
        <w:rPr>
          <w:rFonts w:ascii="Times New Roman" w:hAnsi="Times New Roman"/>
        </w:rPr>
        <w:t xml:space="preserve"> </w:t>
      </w:r>
      <w:proofErr w:type="spellStart"/>
      <w:r>
        <w:rPr>
          <w:rFonts w:ascii="Times New Roman" w:hAnsi="Times New Roman"/>
        </w:rPr>
        <w:t>Eyes</w:t>
      </w:r>
      <w:proofErr w:type="spellEnd"/>
      <w:r>
        <w:rPr>
          <w:rFonts w:ascii="Times New Roman" w:hAnsi="Times New Roman"/>
        </w:rPr>
        <w:t xml:space="preserve">” partneri savās sistēmās var piekļūt </w:t>
      </w:r>
      <w:proofErr w:type="spellStart"/>
      <w:r>
        <w:rPr>
          <w:rFonts w:ascii="Times New Roman" w:hAnsi="Times New Roman"/>
          <w:i/>
          <w:iCs/>
        </w:rPr>
        <w:t>GCHQ</w:t>
      </w:r>
      <w:proofErr w:type="spellEnd"/>
      <w:r>
        <w:rPr>
          <w:rFonts w:ascii="Times New Roman" w:hAnsi="Times New Roman"/>
        </w:rPr>
        <w:t xml:space="preserve"> pārtveršanas ordera produkta elementiem”. Turklāt viņa inspektori arī tikās ar “</w:t>
      </w:r>
      <w:proofErr w:type="spellStart"/>
      <w:r>
        <w:rPr>
          <w:rFonts w:ascii="Times New Roman" w:hAnsi="Times New Roman"/>
        </w:rPr>
        <w:t>Five</w:t>
      </w:r>
      <w:proofErr w:type="spellEnd"/>
      <w:r>
        <w:rPr>
          <w:rFonts w:ascii="Times New Roman" w:hAnsi="Times New Roman"/>
        </w:rPr>
        <w:t xml:space="preserve"> </w:t>
      </w:r>
      <w:proofErr w:type="spellStart"/>
      <w:r>
        <w:rPr>
          <w:rFonts w:ascii="Times New Roman" w:hAnsi="Times New Roman"/>
        </w:rPr>
        <w:t>Eyes</w:t>
      </w:r>
      <w:proofErr w:type="spellEnd"/>
      <w:r>
        <w:rPr>
          <w:rFonts w:ascii="Times New Roman" w:hAnsi="Times New Roman"/>
        </w:rPr>
        <w:t>” kopienas pārstāvjiem, un viņiem tika uzskatāmi parādīts, kā citi “</w:t>
      </w:r>
      <w:proofErr w:type="spellStart"/>
      <w:r>
        <w:rPr>
          <w:rFonts w:ascii="Times New Roman" w:hAnsi="Times New Roman"/>
        </w:rPr>
        <w:t>Five</w:t>
      </w:r>
      <w:proofErr w:type="spellEnd"/>
      <w:r>
        <w:rPr>
          <w:rFonts w:ascii="Times New Roman" w:hAnsi="Times New Roman"/>
        </w:rPr>
        <w:t xml:space="preserve"> </w:t>
      </w:r>
      <w:proofErr w:type="spellStart"/>
      <w:r>
        <w:rPr>
          <w:rFonts w:ascii="Times New Roman" w:hAnsi="Times New Roman"/>
        </w:rPr>
        <w:t>Eyes</w:t>
      </w:r>
      <w:proofErr w:type="spellEnd"/>
      <w:r>
        <w:rPr>
          <w:rFonts w:ascii="Times New Roman" w:hAnsi="Times New Roman"/>
        </w:rPr>
        <w:t xml:space="preserve">” locekļi var pieprasīt piekļuvi </w:t>
      </w:r>
      <w:proofErr w:type="spellStart"/>
      <w:r>
        <w:rPr>
          <w:rFonts w:ascii="Times New Roman" w:hAnsi="Times New Roman"/>
          <w:i/>
          <w:iCs/>
        </w:rPr>
        <w:t>GCHQ</w:t>
      </w:r>
      <w:proofErr w:type="spellEnd"/>
      <w:r>
        <w:rPr>
          <w:rFonts w:ascii="Times New Roman" w:hAnsi="Times New Roman"/>
        </w:rPr>
        <w:t xml:space="preserve"> pārtvertajam materiālam. Viņš arī norādīja, ka “piekļuve </w:t>
      </w:r>
      <w:proofErr w:type="spellStart"/>
      <w:r>
        <w:rPr>
          <w:rFonts w:ascii="Times New Roman" w:hAnsi="Times New Roman"/>
          <w:i/>
          <w:iCs/>
        </w:rPr>
        <w:t>GCHQ</w:t>
      </w:r>
      <w:proofErr w:type="spellEnd"/>
      <w:r>
        <w:rPr>
          <w:rFonts w:ascii="Times New Roman" w:hAnsi="Times New Roman"/>
        </w:rPr>
        <w:t xml:space="preserve"> sistēmām bija stingri kontrolēta, un tai bija jābūt pamatotai saskaņā ar uzņēmējas valsts tiesību aktiem un 15./16. pantā noteiktajiem norādījumiem par drošības pasākumiem”. Viņš arī atzīmēja, ka, pirms piekļūt </w:t>
      </w:r>
      <w:proofErr w:type="spellStart"/>
      <w:r>
        <w:rPr>
          <w:rFonts w:ascii="Times New Roman" w:hAnsi="Times New Roman"/>
          <w:i/>
          <w:iCs/>
        </w:rPr>
        <w:t>GCHQ</w:t>
      </w:r>
      <w:proofErr w:type="spellEnd"/>
      <w:r>
        <w:rPr>
          <w:rFonts w:ascii="Times New Roman" w:hAnsi="Times New Roman"/>
        </w:rPr>
        <w:t xml:space="preserve"> datiem, “</w:t>
      </w:r>
      <w:proofErr w:type="spellStart"/>
      <w:r>
        <w:rPr>
          <w:rFonts w:ascii="Times New Roman" w:hAnsi="Times New Roman"/>
        </w:rPr>
        <w:t>Five</w:t>
      </w:r>
      <w:proofErr w:type="spellEnd"/>
      <w:r>
        <w:rPr>
          <w:rFonts w:ascii="Times New Roman" w:hAnsi="Times New Roman"/>
        </w:rPr>
        <w:t xml:space="preserve"> </w:t>
      </w:r>
      <w:proofErr w:type="spellStart"/>
      <w:r>
        <w:rPr>
          <w:rFonts w:ascii="Times New Roman" w:hAnsi="Times New Roman"/>
        </w:rPr>
        <w:t>Eyes</w:t>
      </w:r>
      <w:proofErr w:type="spellEnd"/>
      <w:r>
        <w:rPr>
          <w:rFonts w:ascii="Times New Roman" w:hAnsi="Times New Roman"/>
        </w:rPr>
        <w:t xml:space="preserve">” analītiķiem bija jāpabeidz tādas pašas mācības par juridiskajiem aspektiem kā </w:t>
      </w:r>
      <w:proofErr w:type="spellStart"/>
      <w:r>
        <w:rPr>
          <w:rFonts w:ascii="Times New Roman" w:hAnsi="Times New Roman"/>
          <w:i/>
          <w:iCs/>
        </w:rPr>
        <w:t>GCHQ</w:t>
      </w:r>
      <w:proofErr w:type="spellEnd"/>
      <w:r>
        <w:rPr>
          <w:rFonts w:ascii="Times New Roman" w:hAnsi="Times New Roman"/>
        </w:rPr>
        <w:t xml:space="preserve"> darbiniekiem (skat. iepriekš 180. punktu).</w:t>
      </w:r>
    </w:p>
    <w:p w14:paraId="5C3533BC" w14:textId="77777777" w:rsidR="00F82F2D" w:rsidRDefault="00F82F2D" w:rsidP="00F82F2D">
      <w:pPr>
        <w:pStyle w:val="JuPara"/>
        <w:widowControl w:val="0"/>
        <w:ind w:firstLine="142"/>
        <w:rPr>
          <w:rFonts w:ascii="Times New Roman" w:hAnsi="Times New Roman"/>
          <w:noProof/>
        </w:rPr>
      </w:pPr>
      <w:bookmarkStart w:id="261" w:name="RS"/>
      <w:r>
        <w:rPr>
          <w:rFonts w:ascii="Times New Roman" w:hAnsi="Times New Roman"/>
        </w:rPr>
        <w:t>412</w:t>
      </w:r>
      <w:bookmarkEnd w:id="261"/>
      <w:r>
        <w:rPr>
          <w:rFonts w:ascii="Times New Roman" w:hAnsi="Times New Roman"/>
        </w:rPr>
        <w:t xml:space="preserve">. Ņemot vērā iepriekš minēto, Tiesa ir guvusi pārliecību, ka </w:t>
      </w:r>
      <w:proofErr w:type="spellStart"/>
      <w:r>
        <w:rPr>
          <w:rFonts w:ascii="Times New Roman" w:hAnsi="Times New Roman"/>
          <w:i/>
          <w:iCs/>
        </w:rPr>
        <w:t>IC</w:t>
      </w:r>
      <w:proofErr w:type="spellEnd"/>
      <w:r>
        <w:rPr>
          <w:rFonts w:ascii="Times New Roman" w:hAnsi="Times New Roman"/>
        </w:rPr>
        <w:t xml:space="preserve"> komisārs nodrošināja </w:t>
      </w:r>
      <w:r>
        <w:rPr>
          <w:rFonts w:ascii="Times New Roman" w:hAnsi="Times New Roman"/>
        </w:rPr>
        <w:lastRenderedPageBreak/>
        <w:t>8. panta 4. punktā noteiktā režīma darbības neatkarīgu un efektīvu pārraudzību. Proti,</w:t>
      </w:r>
      <w:r>
        <w:rPr>
          <w:rFonts w:ascii="Times New Roman" w:hAnsi="Times New Roman"/>
          <w:i/>
          <w:iCs/>
        </w:rPr>
        <w:t xml:space="preserve"> </w:t>
      </w:r>
      <w:proofErr w:type="spellStart"/>
      <w:r>
        <w:rPr>
          <w:rFonts w:ascii="Times New Roman" w:hAnsi="Times New Roman"/>
          <w:i/>
          <w:iCs/>
        </w:rPr>
        <w:t>IC</w:t>
      </w:r>
      <w:proofErr w:type="spellEnd"/>
      <w:r>
        <w:rPr>
          <w:rFonts w:ascii="Times New Roman" w:hAnsi="Times New Roman"/>
        </w:rPr>
        <w:t xml:space="preserve"> komisārs un viņa inspektori varēja izvērtēt nepieciešamību un samērīgumu ievērojami lielam skaitam pieteikumu par ordera izdošanu un attiecībā uz turpmāko selektoru izvēli, kā arī pārbaudīt ieviesto pārtverto sakaru un saistīto sakaru datu saglabāšanas, uzglabāšanas un iznīcināšanas kārtību. Viņi arī varēja sniegt attiecīgo valsts iestāžu vadītājiem formālus ieteikumus, un šīm iestādēm bija divu mēnešu laikā jāsniedz atbilde, lai apstiprinātu, kādā apmērā šie ieteikumi ir īstenoti. Turklāt Valdība savos argumentos Lielajai palātai apstiprināja, ka </w:t>
      </w:r>
      <w:proofErr w:type="spellStart"/>
      <w:r>
        <w:rPr>
          <w:rFonts w:ascii="Times New Roman" w:hAnsi="Times New Roman"/>
          <w:i/>
          <w:iCs/>
        </w:rPr>
        <w:t>GCHQ</w:t>
      </w:r>
      <w:proofErr w:type="spellEnd"/>
      <w:r>
        <w:rPr>
          <w:rFonts w:ascii="Times New Roman" w:hAnsi="Times New Roman"/>
        </w:rPr>
        <w:t xml:space="preserve"> regulāri informēja </w:t>
      </w:r>
      <w:proofErr w:type="spellStart"/>
      <w:r>
        <w:rPr>
          <w:rFonts w:ascii="Times New Roman" w:hAnsi="Times New Roman"/>
          <w:i/>
          <w:iCs/>
        </w:rPr>
        <w:t>IC</w:t>
      </w:r>
      <w:proofErr w:type="spellEnd"/>
      <w:r>
        <w:rPr>
          <w:rFonts w:ascii="Times New Roman" w:hAnsi="Times New Roman"/>
        </w:rPr>
        <w:t xml:space="preserve"> komisāru par pamatojumu, atbilstoši kuram nesējus atlasīja pārtveršanai (skat. iepriekš 136. un 290. punktu). Izlūkdienestiem bija jāsaglabā ieraksti katrā masveida pārtveršanas procesa posmā, un tiem bija pienākums nodrošināt inspektoriem piekļuvi šiem ierakstiem (skat. </w:t>
      </w:r>
      <w:proofErr w:type="spellStart"/>
      <w:r>
        <w:rPr>
          <w:rFonts w:ascii="Times New Roman" w:hAnsi="Times New Roman"/>
          <w:i/>
          <w:iCs/>
        </w:rPr>
        <w:t>IC</w:t>
      </w:r>
      <w:proofErr w:type="spellEnd"/>
      <w:r>
        <w:rPr>
          <w:rFonts w:ascii="Times New Roman" w:hAnsi="Times New Roman"/>
        </w:rPr>
        <w:t xml:space="preserve"> kodeksa 6.27. un 6.28. punktu iepriekš 96. punktā). Visbeidzot viņš arī pārraudzīja pārtvertā materiāla apmaiņu ar izlūkošanas partneriem (skat. iepriekš 180. punktu).</w:t>
      </w:r>
    </w:p>
    <w:p w14:paraId="000E8F3D" w14:textId="77777777" w:rsidR="00F82F2D" w:rsidRPr="008D031E" w:rsidRDefault="00F82F2D" w:rsidP="00F82F2D">
      <w:pPr>
        <w:pStyle w:val="JuPara"/>
        <w:widowControl w:val="0"/>
        <w:ind w:firstLine="142"/>
        <w:rPr>
          <w:rFonts w:ascii="Times New Roman" w:hAnsi="Times New Roman"/>
          <w:noProof/>
          <w:lang w:val="en-US"/>
        </w:rPr>
      </w:pPr>
    </w:p>
    <w:p w14:paraId="4999C5C4" w14:textId="77777777" w:rsidR="00F82F2D" w:rsidRDefault="00F82F2D" w:rsidP="00F82F2D">
      <w:pPr>
        <w:pStyle w:val="JuH"/>
        <w:keepNext w:val="0"/>
        <w:keepLines w:val="0"/>
        <w:widowControl w:val="0"/>
        <w:numPr>
          <w:ilvl w:val="0"/>
          <w:numId w:val="46"/>
        </w:numPr>
        <w:spacing w:before="0" w:beforeAutospacing="0" w:after="0"/>
        <w:ind w:left="567" w:hanging="283"/>
        <w:outlineLvl w:val="9"/>
        <w:rPr>
          <w:rFonts w:ascii="Times New Roman" w:hAnsi="Times New Roman"/>
          <w:noProof/>
          <w:sz w:val="24"/>
        </w:rPr>
      </w:pPr>
      <w:r>
        <w:rPr>
          <w:rFonts w:ascii="Times New Roman" w:hAnsi="Times New Roman"/>
          <w:sz w:val="24"/>
        </w:rPr>
        <w:t xml:space="preserve">8. </w:t>
      </w:r>
      <w:proofErr w:type="spellStart"/>
      <w:r>
        <w:rPr>
          <w:rFonts w:ascii="Times New Roman" w:hAnsi="Times New Roman"/>
          <w:i w:val="0"/>
          <w:sz w:val="24"/>
        </w:rPr>
        <w:t>Ex</w:t>
      </w:r>
      <w:proofErr w:type="spellEnd"/>
      <w:r>
        <w:rPr>
          <w:rFonts w:ascii="Times New Roman" w:hAnsi="Times New Roman"/>
          <w:i w:val="0"/>
          <w:sz w:val="24"/>
        </w:rPr>
        <w:t> post </w:t>
      </w:r>
      <w:proofErr w:type="spellStart"/>
      <w:r>
        <w:rPr>
          <w:rFonts w:ascii="Times New Roman" w:hAnsi="Times New Roman"/>
          <w:i w:val="0"/>
          <w:sz w:val="24"/>
        </w:rPr>
        <w:t>facto</w:t>
      </w:r>
      <w:proofErr w:type="spellEnd"/>
      <w:r>
        <w:rPr>
          <w:rFonts w:ascii="Times New Roman" w:hAnsi="Times New Roman"/>
          <w:sz w:val="24"/>
        </w:rPr>
        <w:t xml:space="preserve"> pārskatīšana</w:t>
      </w:r>
    </w:p>
    <w:p w14:paraId="2B44C94C" w14:textId="77777777" w:rsidR="00F82F2D" w:rsidRPr="00250617" w:rsidRDefault="00F82F2D" w:rsidP="00F82F2D">
      <w:pPr>
        <w:pStyle w:val="JuPara"/>
        <w:widowControl w:val="0"/>
        <w:rPr>
          <w:lang w:val="en-US" w:bidi="en-US"/>
        </w:rPr>
      </w:pPr>
    </w:p>
    <w:p w14:paraId="08EB289A" w14:textId="77777777" w:rsidR="00F82F2D" w:rsidRPr="008D031E" w:rsidRDefault="00F82F2D" w:rsidP="00F82F2D">
      <w:pPr>
        <w:pStyle w:val="JuPara"/>
        <w:widowControl w:val="0"/>
        <w:ind w:firstLine="142"/>
        <w:rPr>
          <w:rFonts w:ascii="Times New Roman" w:hAnsi="Times New Roman"/>
          <w:noProof/>
        </w:rPr>
      </w:pPr>
      <w:bookmarkStart w:id="262" w:name="EPR1"/>
      <w:r>
        <w:rPr>
          <w:rFonts w:ascii="Times New Roman" w:hAnsi="Times New Roman"/>
        </w:rPr>
        <w:t>413</w:t>
      </w:r>
      <w:bookmarkEnd w:id="262"/>
      <w:r>
        <w:rPr>
          <w:rFonts w:ascii="Times New Roman" w:hAnsi="Times New Roman"/>
        </w:rPr>
        <w:t xml:space="preserve">. </w:t>
      </w:r>
      <w:proofErr w:type="spellStart"/>
      <w:r>
        <w:rPr>
          <w:rFonts w:ascii="Times New Roman" w:hAnsi="Times New Roman"/>
          <w:i/>
          <w:iCs/>
        </w:rPr>
        <w:t>Ex</w:t>
      </w:r>
      <w:proofErr w:type="spellEnd"/>
      <w:r>
        <w:rPr>
          <w:rFonts w:ascii="Times New Roman" w:hAnsi="Times New Roman"/>
          <w:i/>
          <w:iCs/>
        </w:rPr>
        <w:t> post </w:t>
      </w:r>
      <w:proofErr w:type="spellStart"/>
      <w:r>
        <w:rPr>
          <w:rFonts w:ascii="Times New Roman" w:hAnsi="Times New Roman"/>
          <w:i/>
          <w:iCs/>
        </w:rPr>
        <w:t>facto</w:t>
      </w:r>
      <w:proofErr w:type="spellEnd"/>
      <w:r>
        <w:rPr>
          <w:rFonts w:ascii="Times New Roman" w:hAnsi="Times New Roman"/>
        </w:rPr>
        <w:t xml:space="preserve"> pārskatīšanu veica </w:t>
      </w:r>
      <w:proofErr w:type="spellStart"/>
      <w:r>
        <w:rPr>
          <w:rFonts w:ascii="Times New Roman" w:hAnsi="Times New Roman"/>
          <w:i/>
          <w:iCs/>
        </w:rPr>
        <w:t>IPT</w:t>
      </w:r>
      <w:proofErr w:type="spellEnd"/>
      <w:r>
        <w:rPr>
          <w:rFonts w:ascii="Times New Roman" w:hAnsi="Times New Roman"/>
        </w:rPr>
        <w:t xml:space="preserve">, kuru attiecīgajā brīdī vadīja Augstās tiesas tiesnesis. Palāta konstatēja un pieteikuma iesniedzēji nav apstrīdējuši, ka </w:t>
      </w:r>
      <w:proofErr w:type="spellStart"/>
      <w:r>
        <w:rPr>
          <w:rFonts w:ascii="Times New Roman" w:hAnsi="Times New Roman"/>
          <w:i/>
          <w:iCs/>
        </w:rPr>
        <w:t>IPT</w:t>
      </w:r>
      <w:proofErr w:type="spellEnd"/>
      <w:r>
        <w:rPr>
          <w:rFonts w:ascii="Times New Roman" w:hAnsi="Times New Roman"/>
        </w:rPr>
        <w:t xml:space="preserve"> nodrošina efektīvu tiesiskās aizsardzības līdzekli pieteikuma iesniedzējiem, kuri sūdzas gan par konkrētiem uzraudzības gadījumiem, gan par uzraudzības režīmu vispārējo atbilstību Konvencijai (skat. palātas sprieduma 265. punktu). Šajā sakarā palāta atzina, ka ir svarīgi, lai </w:t>
      </w:r>
      <w:proofErr w:type="spellStart"/>
      <w:r>
        <w:rPr>
          <w:rFonts w:ascii="Times New Roman" w:hAnsi="Times New Roman"/>
          <w:i/>
          <w:iCs/>
        </w:rPr>
        <w:t>IPT</w:t>
      </w:r>
      <w:proofErr w:type="spellEnd"/>
      <w:r>
        <w:rPr>
          <w:rFonts w:ascii="Times New Roman" w:hAnsi="Times New Roman"/>
        </w:rPr>
        <w:t xml:space="preserve"> būtu plaša jurisdikcija izskatīt jebkuru sūdzību par prettiesisku pārtveršanu, kas nebija atkarīga no subjekta informēšanas par pārtveršanu (skat. iepriekš 122. punktu). Līdz ar to jebkura persona, kura uzskatīja, ka bija slepeni uzraudzīta, varēja tai iesniegt pieteikumu. Tās locekļiem bija jābūt augstā tiesneša amatā vai kvalificētiem advokātiem ar vismaz desmit gadu darba stāžu (skat. iepriekš 123. punktu). Tiem, kas bija iesaistīti pārtveršanas ordera apstiprināšanā un izpildē, bija tai jāatklāj visi dokumenti, kas tai varētu būt nepieciešami, tostarp “zem ūdenslīnijas” esošie dokumenti, kurus nevarēja publiskot valsts drošības apsvērumu dēļ (skat. iepriekš 125. punktu). Turklāt tai bija rīcības brīvība organizēt mutisku paskaidrojumu uzklausīšanu, ja iespējams, atklāti (skat. iepriekš 129. punktu), savukārt slēgtā tiesvedībā tā varēja lūgt tiesas padomnieku iesniegt pieteikumus to prasītāju vārdā, kurus nebija iespējams pārstāvēt (skat. iepriekš 132. punktu); kad tā izskatīja sūdzības, tai arī bija tiesības piešķirt kompensāciju un izdot jebkuru citu rīkojumu, ko tā uzskatīja par vajadzīgu, tostarp anulēt vai atcelt jebkuru rīkojumu, kā arī pieprasīt jebkuru ierakstu iznīcināšanu (skat. iepriekš 126. punktu). Visbeidzot, tās juridiskos nolēmumus publicēja tās tīmekļa vietnē, tādējādi paaugstinot kontroles līmeni, ko nodrošina slepenajām uzraudzības darbībām Apvienotajā Karalistē (skat. iepriekš minētā sprieduma lietā “Kenedijs” 167. punktu).</w:t>
      </w:r>
    </w:p>
    <w:p w14:paraId="40815411" w14:textId="77777777" w:rsidR="00F82F2D" w:rsidRPr="008D031E" w:rsidRDefault="00F82F2D" w:rsidP="00F82F2D">
      <w:pPr>
        <w:pStyle w:val="JuPara"/>
        <w:widowControl w:val="0"/>
        <w:ind w:firstLine="142"/>
        <w:rPr>
          <w:rFonts w:ascii="Times New Roman" w:hAnsi="Times New Roman"/>
          <w:noProof/>
        </w:rPr>
      </w:pPr>
      <w:bookmarkStart w:id="263" w:name="p392"/>
      <w:r>
        <w:rPr>
          <w:rFonts w:ascii="Times New Roman" w:hAnsi="Times New Roman"/>
        </w:rPr>
        <w:t>414</w:t>
      </w:r>
      <w:bookmarkEnd w:id="263"/>
      <w:r>
        <w:rPr>
          <w:rFonts w:ascii="Times New Roman" w:hAnsi="Times New Roman"/>
        </w:rPr>
        <w:t xml:space="preserve">. Turklāt </w:t>
      </w:r>
      <w:proofErr w:type="spellStart"/>
      <w:r>
        <w:rPr>
          <w:rFonts w:ascii="Times New Roman" w:hAnsi="Times New Roman"/>
          <w:i/>
          <w:iCs/>
        </w:rPr>
        <w:t>IPT</w:t>
      </w:r>
      <w:proofErr w:type="spellEnd"/>
      <w:r>
        <w:rPr>
          <w:rFonts w:ascii="Times New Roman" w:hAnsi="Times New Roman"/>
        </w:rPr>
        <w:t xml:space="preserve"> varēja izskatīt jebkuru sūdzību par to, vai pārtvertā materiāla pārsūtīšana </w:t>
      </w:r>
      <w:proofErr w:type="spellStart"/>
      <w:r>
        <w:rPr>
          <w:rFonts w:ascii="Times New Roman" w:hAnsi="Times New Roman"/>
        </w:rPr>
        <w:t>trešām</w:t>
      </w:r>
      <w:proofErr w:type="spellEnd"/>
      <w:r>
        <w:rPr>
          <w:rFonts w:ascii="Times New Roman" w:hAnsi="Times New Roman"/>
        </w:rPr>
        <w:t xml:space="preserve"> personām vai pārtvertā materiāla pārsūtīšanu reglamentējošais režīms atbilst Konvencijai. Tomēr šajā lietā pieteikuma iesniedzēji trešajā no apvienotajām lietām valsts tiesvedības gaitā nav iesnieguši nekādu īpašu sūdzību šajā sakarā. Drīzāk viņu sūdzības par </w:t>
      </w:r>
      <w:proofErr w:type="spellStart"/>
      <w:r>
        <w:rPr>
          <w:rFonts w:ascii="Times New Roman" w:hAnsi="Times New Roman"/>
        </w:rPr>
        <w:t>izlūkdatu</w:t>
      </w:r>
      <w:proofErr w:type="spellEnd"/>
      <w:r>
        <w:rPr>
          <w:rFonts w:ascii="Times New Roman" w:hAnsi="Times New Roman"/>
        </w:rPr>
        <w:t xml:space="preserve"> apmaiņu attiecās vienīgi uz režīmu, kas reglamentē </w:t>
      </w:r>
      <w:proofErr w:type="spellStart"/>
      <w:r>
        <w:rPr>
          <w:rFonts w:ascii="Times New Roman" w:hAnsi="Times New Roman"/>
        </w:rPr>
        <w:t>izlūkdatu</w:t>
      </w:r>
      <w:proofErr w:type="spellEnd"/>
      <w:r>
        <w:rPr>
          <w:rFonts w:ascii="Times New Roman" w:hAnsi="Times New Roman"/>
        </w:rPr>
        <w:t xml:space="preserve"> saņemšanu no </w:t>
      </w:r>
      <w:proofErr w:type="spellStart"/>
      <w:r>
        <w:rPr>
          <w:rFonts w:ascii="Times New Roman" w:hAnsi="Times New Roman"/>
        </w:rPr>
        <w:t>trešām</w:t>
      </w:r>
      <w:proofErr w:type="spellEnd"/>
      <w:r>
        <w:rPr>
          <w:rFonts w:ascii="Times New Roman" w:hAnsi="Times New Roman"/>
        </w:rPr>
        <w:t xml:space="preserve"> valstīm (skat. turpmāk 467.–516. punktu).</w:t>
      </w:r>
    </w:p>
    <w:p w14:paraId="3C82EBE3" w14:textId="77777777" w:rsidR="00F82F2D" w:rsidRDefault="00F82F2D" w:rsidP="00F82F2D">
      <w:pPr>
        <w:pStyle w:val="JuPara"/>
        <w:widowControl w:val="0"/>
        <w:ind w:firstLine="142"/>
        <w:rPr>
          <w:rFonts w:ascii="Times New Roman" w:hAnsi="Times New Roman"/>
          <w:noProof/>
        </w:rPr>
      </w:pPr>
      <w:bookmarkStart w:id="264" w:name="RS1"/>
      <w:r>
        <w:rPr>
          <w:rFonts w:ascii="Times New Roman" w:hAnsi="Times New Roman"/>
        </w:rPr>
        <w:t>415</w:t>
      </w:r>
      <w:bookmarkEnd w:id="264"/>
      <w:r>
        <w:rPr>
          <w:rFonts w:ascii="Times New Roman" w:hAnsi="Times New Roman"/>
        </w:rPr>
        <w:t xml:space="preserve">. Līdz ar to Tiesa ir guvusi pārliecību, ka </w:t>
      </w:r>
      <w:proofErr w:type="spellStart"/>
      <w:r>
        <w:rPr>
          <w:rFonts w:ascii="Times New Roman" w:hAnsi="Times New Roman"/>
          <w:i/>
          <w:iCs/>
        </w:rPr>
        <w:t>IPT</w:t>
      </w:r>
      <w:proofErr w:type="spellEnd"/>
      <w:r>
        <w:rPr>
          <w:rFonts w:ascii="Times New Roman" w:hAnsi="Times New Roman"/>
        </w:rPr>
        <w:t xml:space="preserve"> nodrošināja stabilu tiesiskās aizsardzības līdzekli ikvienai personai, kurai radās aizdomas, ka izlūkdienesti ir pārtvēruši tās sakarus.</w:t>
      </w:r>
    </w:p>
    <w:p w14:paraId="05A049E5" w14:textId="77777777" w:rsidR="00F82F2D" w:rsidRPr="008D031E" w:rsidRDefault="00F82F2D" w:rsidP="00F82F2D">
      <w:pPr>
        <w:pStyle w:val="JuPara"/>
        <w:widowControl w:val="0"/>
        <w:ind w:firstLine="142"/>
        <w:rPr>
          <w:rFonts w:ascii="Times New Roman" w:hAnsi="Times New Roman"/>
          <w:noProof/>
          <w:lang w:val="en-US"/>
        </w:rPr>
      </w:pPr>
    </w:p>
    <w:p w14:paraId="713F9547" w14:textId="77777777" w:rsidR="00F82F2D" w:rsidRDefault="00F82F2D" w:rsidP="00D760F6">
      <w:pPr>
        <w:pStyle w:val="JuHalpha"/>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lastRenderedPageBreak/>
        <w:t>γ) Saistītie sakaru dati</w:t>
      </w:r>
    </w:p>
    <w:p w14:paraId="2F4EC2C0" w14:textId="77777777" w:rsidR="00F82F2D" w:rsidRPr="00250617" w:rsidRDefault="00F82F2D" w:rsidP="00D760F6">
      <w:pPr>
        <w:pStyle w:val="JuPara"/>
        <w:keepNext/>
        <w:keepLines/>
        <w:widowControl w:val="0"/>
        <w:rPr>
          <w:lang w:val="en-US" w:bidi="en-US"/>
        </w:rPr>
      </w:pPr>
    </w:p>
    <w:p w14:paraId="7B920043" w14:textId="77777777" w:rsidR="00F82F2D" w:rsidRPr="008D031E" w:rsidRDefault="00F82F2D" w:rsidP="00D760F6">
      <w:pPr>
        <w:pStyle w:val="JuPara"/>
        <w:keepNext/>
        <w:keepLines/>
        <w:widowControl w:val="0"/>
        <w:ind w:firstLine="142"/>
        <w:rPr>
          <w:rFonts w:ascii="Times New Roman" w:hAnsi="Times New Roman"/>
          <w:noProof/>
        </w:rPr>
      </w:pPr>
      <w:bookmarkStart w:id="265" w:name="RCDSameWeaknesses"/>
      <w:r>
        <w:rPr>
          <w:rFonts w:ascii="Times New Roman" w:hAnsi="Times New Roman"/>
        </w:rPr>
        <w:t>416</w:t>
      </w:r>
      <w:bookmarkEnd w:id="265"/>
      <w:r>
        <w:rPr>
          <w:rFonts w:ascii="Times New Roman" w:hAnsi="Times New Roman"/>
        </w:rPr>
        <w:t xml:space="preserve">. Tiesa ir norādījusi, ka masveida pārtveršanas kontekstā saistīto sakaru datu pārtveršana, saglabāšana un meklēšana ir jāanalizē, atsaucoties uz tiem pašiem drošības pasākumiem, kas attiecināmi uz saturu, taču saistīto sakaru datu apstrādi reglamentējošajām tiesību normām ne vienmēr jebkurā aspektā ir jābūt identiskām saturu reglamentējošajām tiesību normām (skat. iepriekš 363.–364. punktu). Apvienotajā Karalistē atbilstoši 8. panta 4. punktā noteiktajiem orderiem atļauts pārtvert gan saturu, gan saistītos sakaru datus. Pēdējos no minētajiem vairumā gadījumu apstrādāja atbilstoši 8. panta 4. punktā noteiktajam režīmam. Tādējādi trūkumi, kas jau konstatēti attiecībā uz šo satura pārtveršanas režīmu (skat. iepriekš 377., 381. un 382. punktu), vienlīdz attiecās arī uz saistītajiem sakaru datiem, proti, neatkarīgas atļaujas </w:t>
      </w:r>
      <w:proofErr w:type="spellStart"/>
      <w:r>
        <w:rPr>
          <w:rFonts w:ascii="Times New Roman" w:hAnsi="Times New Roman"/>
        </w:rPr>
        <w:t>neesība</w:t>
      </w:r>
      <w:proofErr w:type="spellEnd"/>
      <w:r>
        <w:rPr>
          <w:rFonts w:ascii="Times New Roman" w:hAnsi="Times New Roman"/>
        </w:rPr>
        <w:t xml:space="preserve"> (skat. iepriekš 377. punktu), selektoru kategoriju nenorādīšana pieteikumā ordera izdošanai (skat. iepriekš 381. un 382. punktu), fakts, ka attiecībā uz selektoriem, kas attiecas uz identificējamām personām, neveic iepriekšēju iekšējo apstiprināšanu un ka nav iespējams paredzēt apstākļus, kādos sakari varētu tikt pārbaudīti (skat. iepriekš 391. punktu), ņemot vērā gan to, ka pieteikumā ordera izdošanai nav norādītas selektoru kategorijas (skat. iepriekš 381. un 382. punktu), gan valsts sekretāra apliecinājuma vispārīgo būtību (skat. iepriekš 386. punktu).</w:t>
      </w:r>
    </w:p>
    <w:p w14:paraId="2B20F33E" w14:textId="77777777" w:rsidR="00F82F2D" w:rsidRPr="008D031E" w:rsidRDefault="00F82F2D" w:rsidP="00F82F2D">
      <w:pPr>
        <w:pStyle w:val="JuPara"/>
        <w:widowControl w:val="0"/>
        <w:ind w:firstLine="142"/>
        <w:rPr>
          <w:rFonts w:ascii="Times New Roman" w:hAnsi="Times New Roman"/>
          <w:noProof/>
        </w:rPr>
      </w:pPr>
      <w:bookmarkStart w:id="266" w:name="RCDSameSafeguards"/>
      <w:r>
        <w:rPr>
          <w:rFonts w:ascii="Times New Roman" w:hAnsi="Times New Roman"/>
        </w:rPr>
        <w:t>417</w:t>
      </w:r>
      <w:bookmarkEnd w:id="266"/>
      <w:r>
        <w:rPr>
          <w:rFonts w:ascii="Times New Roman" w:hAnsi="Times New Roman"/>
        </w:rPr>
        <w:t xml:space="preserve">. Tajā pašā laikā uz sakaru datu apstrādi lielākoties attiecās tie paši drošības pasākumi, ko piemēroja saturam. Tāpat kā attiecībā uz saturu, arī sakaru dati bija pakļauti automatizētam filtrēšanas procesam gandrīz reāllaikā, un ievērojamu to daļu šajā posmā nekavējoties dzēsa, turklāt tiem piemēroja arī vienkāršus vai sarežģītus vaicājumus, lai iegūtu materiālu, kam bija potenciāla izlūkošanas vērtība. Turklāt uz selektoriem, ko izmantoja attiecībā uz saistītajiem sakaru datiem, attiecās tie paši drošības pasākumi, kas uz saturu, proti, analītiķiem bija jāizveido rakstveida ieraksts, paskaidrojot, kādēļ katra jaunā selektora pievienošana sistēmai bija nepieciešama un samērīga; šo ierakstu pārbaudīja </w:t>
      </w:r>
      <w:proofErr w:type="spellStart"/>
      <w:r>
        <w:rPr>
          <w:rFonts w:ascii="Times New Roman" w:hAnsi="Times New Roman"/>
          <w:i/>
          <w:iCs/>
        </w:rPr>
        <w:t>IC</w:t>
      </w:r>
      <w:proofErr w:type="spellEnd"/>
      <w:r>
        <w:rPr>
          <w:rFonts w:ascii="Times New Roman" w:hAnsi="Times New Roman"/>
        </w:rPr>
        <w:t xml:space="preserve"> komisārs; selektori bija jādzēš, ja konstatēja, ka tos neizmanto paredzētajam mērķim, turklāt bija noteikts maksimālais laika periods, kurā selektorus varēja izmantot, pirms bija nepieciešama pārskatīšana (skat. iepriekš 298. punktu).</w:t>
      </w:r>
    </w:p>
    <w:p w14:paraId="2A205064"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418. Saturam un saistītajiem sakaru datiem arī bija piemērotas daudzas tās pašas glabāšanas, piekļuves, pārbaudes un izmantošanas procedūras, tādi paši piesardzības pasākumi, sazinoties ar </w:t>
      </w:r>
      <w:proofErr w:type="spellStart"/>
      <w:r>
        <w:rPr>
          <w:rFonts w:ascii="Times New Roman" w:hAnsi="Times New Roman"/>
        </w:rPr>
        <w:t>trešām</w:t>
      </w:r>
      <w:proofErr w:type="spellEnd"/>
      <w:r>
        <w:rPr>
          <w:rFonts w:ascii="Times New Roman" w:hAnsi="Times New Roman"/>
        </w:rPr>
        <w:t xml:space="preserve"> personām, kā arī tā pati dzēšanas un iznīcināšanas kārtība. Šajā sakarā gan uz saturu, gan uz saistītajiem sakaru datiem attiecās</w:t>
      </w:r>
      <w:r>
        <w:rPr>
          <w:rFonts w:ascii="Times New Roman" w:hAnsi="Times New Roman"/>
          <w:i/>
          <w:iCs/>
        </w:rPr>
        <w:t xml:space="preserve"> RIPA</w:t>
      </w:r>
      <w:r>
        <w:rPr>
          <w:rFonts w:ascii="Times New Roman" w:hAnsi="Times New Roman"/>
        </w:rPr>
        <w:t xml:space="preserve"> 15. pantā noteiktie drošības pasākumi, proti, analītiķiem, kuri vēlējās piekļūt saistītajiem sakaru datiem, bija jāizveido pārbaudāms ieraksts, paskaidrojot, kāpēc piekļuve bija nepieciešama un samērīga, turklāt, pamatojoties uz saistītajiem sakaru datiem, nevarēja sagatavot nevienu izlūkošanas ziņojumu, ja vien šie dati nebija pārbaudīti.</w:t>
      </w:r>
    </w:p>
    <w:p w14:paraId="34B8CF04"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419. Tomēr bija divi galvenie veidi, kā masveida pārtveršanas režīma ietvaros saturu un saistītos sakaru datus apstrādāja atšķirīgi, proti, saistītos sakaru datus izslēdza no 16. panta 2. punktā noteiktā drošības pasākuma piemērošanas jomas, kas nozīmē, ka tad, ja analītiķis vēlējās izmantot selektoru, kas attiecas uz personu, par kuru zināms, ka tā pašlaik atrodas Britu salās, nebija nepieciešams, lai valsts sekretārs apliecinātu šā selektora izmantošanu kā nepieciešamu un samērīgu, savukārt saistītos sakaru datus, kas neatbilda nedz spēcīgam selektoram, nedz sarežģītam vaicājumam, neiznīcināja nekavējoties, bet gan uzglabāja uz laiku, kas nepārsniedz dažus mēnešus (skat. iepriekš 296.–298. punktu). Tādēļ Tiesa izvērtēs, vai valsts tiesību aktos ir skaidri noteiktas procedūras, kas jāievēro, atlasot saistītus sakaru datus pārbaudei, un saistīto sakaru datu uzglabāšanas ilguma ierobežojumi.</w:t>
      </w:r>
    </w:p>
    <w:p w14:paraId="30EA9942"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420. 8. panta 4. punktā noteiktais režīms paredz, ka 16. panta 2. punkts ir galvenais likumā noteiktais drošības pasākums, kas nosaka kārtību, kādā pārtverto materiālu atlasa pārbaudei. Tomēr tas nebija vienīgais drošības pasākums. Kā jau iepriekš norādīts 417. punktā, analītiķiem </w:t>
      </w:r>
      <w:r>
        <w:rPr>
          <w:rFonts w:ascii="Times New Roman" w:hAnsi="Times New Roman"/>
        </w:rPr>
        <w:lastRenderedPageBreak/>
        <w:t xml:space="preserve">bija jāpamato visi jaunie selektori, izveidojot rakstveida ierakstu, kurā paskaidrots, kādēļ selektora izvēle bija nepieciešama un samērīga (skat. iepriekš 291.–292. un 298. punktu); analītiķiem, kuri vēlējās pārbaudīt saistītos sakaru datus, bija jāizveido papildu ieraksts, paskaidrojot, kādēļ šāda rīcība bija nepieciešama vai samērīga, īstenojot </w:t>
      </w:r>
      <w:proofErr w:type="spellStart"/>
      <w:r>
        <w:rPr>
          <w:rFonts w:ascii="Times New Roman" w:hAnsi="Times New Roman"/>
          <w:i/>
          <w:iCs/>
        </w:rPr>
        <w:t>GCHQ</w:t>
      </w:r>
      <w:proofErr w:type="spellEnd"/>
      <w:r>
        <w:rPr>
          <w:rFonts w:ascii="Times New Roman" w:hAnsi="Times New Roman"/>
        </w:rPr>
        <w:t xml:space="preserve"> likumā noteiktās funkcijas (skat.</w:t>
      </w:r>
      <w:r>
        <w:rPr>
          <w:rFonts w:ascii="Times New Roman" w:hAnsi="Times New Roman"/>
          <w:i/>
          <w:iCs/>
        </w:rPr>
        <w:t xml:space="preserve"> </w:t>
      </w:r>
      <w:proofErr w:type="spellStart"/>
      <w:r>
        <w:rPr>
          <w:rFonts w:ascii="Times New Roman" w:hAnsi="Times New Roman"/>
          <w:i/>
          <w:iCs/>
        </w:rPr>
        <w:t>IC</w:t>
      </w:r>
      <w:proofErr w:type="spellEnd"/>
      <w:r>
        <w:rPr>
          <w:rFonts w:ascii="Times New Roman" w:hAnsi="Times New Roman"/>
        </w:rPr>
        <w:t xml:space="preserve"> kodeksa 6.4. punktu iepriekš 96. punktā), turklāt </w:t>
      </w:r>
      <w:proofErr w:type="spellStart"/>
      <w:r>
        <w:rPr>
          <w:rFonts w:ascii="Times New Roman" w:hAnsi="Times New Roman"/>
          <w:i/>
          <w:iCs/>
        </w:rPr>
        <w:t>IC</w:t>
      </w:r>
      <w:proofErr w:type="spellEnd"/>
      <w:r>
        <w:rPr>
          <w:rFonts w:ascii="Times New Roman" w:hAnsi="Times New Roman"/>
        </w:rPr>
        <w:t xml:space="preserve"> komisāram šie ieraksti bija jāpārbauda un jāpārrauga (skat. iepriekš 135.–136. un 381. punktu). Valdība norādīja, ka nebūtu bijis iespējams attiecināt 16. panta 2. punktā noteikto drošības pasākumu uz saistītajiem sakaru datiem, jo tad valsts sekretāram katrā atsevišķā gadījumā būtu jāapliecina, ka attiecīgās personas izraudzīšana par mērķi ir nepieciešama un samērīga. Salīdzinājumā ar saturam piemērotajiem vaicājumiem ievērojami vairāk vaicājumu piemēroja sakaru datiem (pat vairāki tūkstoši vienas nedēļas laikā attiecībā uz personām, par kurām bija zināms vai tika uzskatīts, ka tās atrodas Apvienotajā Karalistē), un daudzos gadījumos šīs personas identitāte nebija zināma. Papildus Valdība norādīja, ka saistīto sakaru datu gadījumā bieži vien liela nozīme ir laikam un ka tad, ja šādu datu meklēšana būtu jāatliek, kamēr nav saņemta atsevišķas iestādes piekrišana, izlūkošanas ziņā būtu nopietni apdraudēta šo datu lietderība (skat. iepriekš 296. punktu).</w:t>
      </w:r>
    </w:p>
    <w:p w14:paraId="3306336C"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421. Tiesa atzīst, ka saistītie sakaru dati ir būtisks līdzeklis izlūkdienestiem cīņā pret terorismu un smagiem noziegumiem un ka pastāv apstākļi, kuros būtu gan nepieciešams, gan samērīgi meklēt saistītos sakaru datus par personām, par kurām zināms, ka tās atrodas Apvienotajā Karalistē, kā arī šiem datiem piekļūt. Turklāt, lai gan 16. panta 2. punkts paredz svarīgu drošības pasākumu, kas regulē kārtību, kādā pārtverto materiālu atlasa pārbaudei, ir vērts atzīmēt, ka, izvērtējot režīmu, kas regulē satura masveida pārtveršanu, Tiesa daudz lielāku nozīmi piešķīra tam, vai ir pieejams efektīvs mehānisms, lai nodrošinātu, ka selektorus izvēlas atbilstoši Konvencijas prasībām par nepieciešamību un samērīgumu un ka attiecībā uz šo procesu veic gan iekšējo, gan ārējo pārraudzību. Tāpēc, lai gan Tiesa vēlreiz uzsver iepriekš 381. un 382. punktā paustās bažas par selektoru izvēli un pārraudzību, tā neuzskata, ka saistīto sakaru datu izslēgšanai no 16. panta 2. punkta drošības pasākuma piemērošanas jomas jāpiešķir izšķiroša nozīme kopējā </w:t>
      </w:r>
      <w:proofErr w:type="spellStart"/>
      <w:r>
        <w:rPr>
          <w:rFonts w:ascii="Times New Roman" w:hAnsi="Times New Roman"/>
        </w:rPr>
        <w:t>izvērtējumā</w:t>
      </w:r>
      <w:proofErr w:type="spellEnd"/>
      <w:r>
        <w:rPr>
          <w:rFonts w:ascii="Times New Roman" w:hAnsi="Times New Roman"/>
        </w:rPr>
        <w:t>.</w:t>
      </w:r>
    </w:p>
    <w:p w14:paraId="0FEF83CA"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422. Pievēršoties uzglabāšanas ilgumam, Valdība apgalvoja, ka attiecībā uz saistītajiem sakaru datiem “bija jāveic analītiskāks darbs ilgākā laika periodā, lai atklātu “vēl nezināmo””. Lai veiktu šādu atklāšanu, atsevišķas nelielas sakaru datu vienības lika kopā, lai izveidotu veselu “kompozīciju”, tādējādi atklājot draudus; šī atklāšana ietvertu arī tādu vienību pārbaudi, par kurām sākumā uzskatīja, ka tām nav izlūkošanas vērtības. Atmetot neatlasītus sakaru datus nekavējoties vai pat pēc dažām dienām, nebūtu iespējams veikt iepriekš minētās darbības (skat. iepriekš 297. punktu).</w:t>
      </w:r>
    </w:p>
    <w:p w14:paraId="729F8FC8" w14:textId="77777777" w:rsidR="00F82F2D" w:rsidRDefault="00F82F2D" w:rsidP="00F82F2D">
      <w:pPr>
        <w:pStyle w:val="JuPara"/>
        <w:widowControl w:val="0"/>
        <w:ind w:firstLine="142"/>
        <w:rPr>
          <w:rFonts w:ascii="Times New Roman" w:hAnsi="Times New Roman"/>
          <w:noProof/>
        </w:rPr>
      </w:pPr>
      <w:r>
        <w:rPr>
          <w:rFonts w:ascii="Times New Roman" w:hAnsi="Times New Roman"/>
        </w:rPr>
        <w:t xml:space="preserve">423. Ņemot vērā iepriekš minēto un to, ka bija noteikts maksimālais datu saglabāšanas periods, kas nepārsniedza “vairākus mēnešus”, kā arī to, ka atšķirīgā apstrāde bija objektīvi un atbilstoši pamatota, Tiesa varētu pieņemt, ka tiesību normas par saistīto sakaru datu uzglabāšanu bija pietiekami skaidras, lai gan tās pēc būtības atšķīrās no saturu regulējošajām tiesību normām. Tomēr šos datu saglabāšanas periodus izpauda vienīgi šajā Tiesā notiekošajā tiesvedībā. Līdz ar to īsākie saglabāšanas periodi nebija acīmredzami ikvienam, kas lasīja </w:t>
      </w:r>
      <w:proofErr w:type="spellStart"/>
      <w:r>
        <w:rPr>
          <w:rFonts w:ascii="Times New Roman" w:hAnsi="Times New Roman"/>
          <w:i/>
          <w:iCs/>
        </w:rPr>
        <w:t>IC</w:t>
      </w:r>
      <w:proofErr w:type="spellEnd"/>
      <w:r>
        <w:rPr>
          <w:rFonts w:ascii="Times New Roman" w:hAnsi="Times New Roman"/>
        </w:rPr>
        <w:t xml:space="preserve"> kodeksu, kā arī </w:t>
      </w:r>
      <w:proofErr w:type="spellStart"/>
      <w:r>
        <w:rPr>
          <w:rFonts w:ascii="Times New Roman" w:hAnsi="Times New Roman"/>
          <w:i/>
          <w:iCs/>
        </w:rPr>
        <w:t>IC</w:t>
      </w:r>
      <w:proofErr w:type="spellEnd"/>
      <w:r>
        <w:rPr>
          <w:rFonts w:ascii="Times New Roman" w:hAnsi="Times New Roman"/>
        </w:rPr>
        <w:t xml:space="preserve"> kodeksā nebija norāžu par to, ka saistīto sakaru datu saglabāšanas periodi atšķīrās no tiem, kas attiecas uz saturu. Tiesas ieskatā, lai izpildītu 8. pantā noteikto prasību par “</w:t>
      </w:r>
      <w:proofErr w:type="spellStart"/>
      <w:r>
        <w:rPr>
          <w:rFonts w:ascii="Times New Roman" w:hAnsi="Times New Roman"/>
        </w:rPr>
        <w:t>paredzamību</w:t>
      </w:r>
      <w:proofErr w:type="spellEnd"/>
      <w:r>
        <w:rPr>
          <w:rFonts w:ascii="Times New Roman" w:hAnsi="Times New Roman"/>
        </w:rPr>
        <w:t>”, saglabāšanas periodi, kas atklāti šajā Tiesā notiekošajā tiesvedībā, jāiekļauj atbilstošos tiesību aktos un/vai citās vispārīgās normās.</w:t>
      </w:r>
    </w:p>
    <w:p w14:paraId="6E5BDCB8" w14:textId="77777777" w:rsidR="00F82F2D" w:rsidRPr="008D031E" w:rsidRDefault="00F82F2D" w:rsidP="00F82F2D">
      <w:pPr>
        <w:pStyle w:val="JuPara"/>
        <w:widowControl w:val="0"/>
        <w:ind w:firstLine="142"/>
        <w:rPr>
          <w:rFonts w:ascii="Times New Roman" w:hAnsi="Times New Roman"/>
          <w:noProof/>
          <w:lang w:val="en-US"/>
        </w:rPr>
      </w:pPr>
    </w:p>
    <w:p w14:paraId="552F82CB" w14:textId="77777777" w:rsidR="00F82F2D" w:rsidRDefault="00F82F2D" w:rsidP="00F82F2D">
      <w:pPr>
        <w:pStyle w:val="JuHalpha"/>
        <w:keepNext w:val="0"/>
        <w:keepLines w:val="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δ) Secinājums</w:t>
      </w:r>
    </w:p>
    <w:p w14:paraId="1AB97AA4" w14:textId="77777777" w:rsidR="00F82F2D" w:rsidRPr="001B4576" w:rsidRDefault="00F82F2D" w:rsidP="00F82F2D">
      <w:pPr>
        <w:pStyle w:val="JuPara"/>
        <w:widowControl w:val="0"/>
        <w:rPr>
          <w:lang w:val="en-US" w:bidi="en-US"/>
        </w:rPr>
      </w:pPr>
    </w:p>
    <w:p w14:paraId="58A2B7B3"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424. Tiesa atzīst, ka masveida pārtveršana līgumslēdzējām valstīm ir ļoti svarīga, lai apzinātu draudus valsts drošībai. To ir atzinusi Venēcijas komisija (skat. iepriekš 196. punktu), un tā bija </w:t>
      </w:r>
      <w:r>
        <w:rPr>
          <w:rFonts w:ascii="Times New Roman" w:hAnsi="Times New Roman"/>
        </w:rPr>
        <w:lastRenderedPageBreak/>
        <w:t xml:space="preserve">arī atbildētājas Valdības, kā arī Francijas un Nīderlandes valdības nostāja, iestājoties lietā kā trešā persona (skat. iepriekš 300. un 303. punktu). Tā secināja arī terorisma tiesiskā regulējuma neatkarīgais pārskatītājs, kurš pēc daudzu slēgto materiālu izpētes secināja, ka masveida pārtveršana ir svarīga pilnvara, pirmkārt, tāpēc, ka teroristu, noziedznieku un naidīgo ārvalstu izlūkdienestu rīcība ir kļuvusi daudz rafinētāka, lai tos nevarētu atklāt ar tradicionāliem līdzekļiem, un, otrkārt, tāpēc, ka globālā interneta iezīmju dēļ maršruts, pa kuru konkrētos sakarus pārraida, ir kļuvis ļoti neparedzams. Lai gan viņš un viņa komanda apsvēra masveida pārtveršanas alternatīvas (tostarp mērķētu pārtveršanu, kā arī cilvēkresursu un komerciālo </w:t>
      </w:r>
      <w:proofErr w:type="spellStart"/>
      <w:r>
        <w:rPr>
          <w:rFonts w:ascii="Times New Roman" w:hAnsi="Times New Roman"/>
        </w:rPr>
        <w:t>kiberaizsardzības</w:t>
      </w:r>
      <w:proofErr w:type="spellEnd"/>
      <w:r>
        <w:rPr>
          <w:rFonts w:ascii="Times New Roman" w:hAnsi="Times New Roman"/>
        </w:rPr>
        <w:t xml:space="preserve"> produktu izmantošanu), taču viņi secināja, ka neviena alternatīva vai alternatīvu kombinācija nebūtu pietiekama, lai aizstātu masveida pārtveršanas pilnvaras (skat. iepriekš 166. punktu).</w:t>
      </w:r>
    </w:p>
    <w:p w14:paraId="756E2ADC"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425. Tomēr Tiesa atgādina, ka pastāv ievērojama iespējamība, ka masveida pārtveršanu var izmantot ļaunprātīgi, tādējādi negatīvi ietekmējot personu tiesības uz privātās dzīves neaizskaramību (skat. iepriekš 347. punktu). Tādēļ Tiesa uzskata, ka tiesiskā valstī, kas skaidri norādīts Konvencijas preambulā un ir 8. panta mērķa un nolūka pamatā (skat. iepriekš minētā sprieduma lietā “Romāns Zaharovs” 228. punktu), 8. panta 4. punktā noteiktais režīms, neraugoties uz tajā noteiktajiem drošības pasākumiem, tostarp dažiem īpaši stabiliem drošības pasākumiem, kā norādīts iepriekš (skat., piemēram, iepriekš 412. un 415. punktu), kopumā neparedz pietiekamus “no gala līdz galam” drošības pasākumus, lai nodrošinātu pietiekamas un efektīvas garantijas pret patvaļu un ļaunprātīgas izmantošanas risku. Tā ir konstatējusi būtiskus trūkumus režīmā, proti, neatkarīgas atļaujas </w:t>
      </w:r>
      <w:proofErr w:type="spellStart"/>
      <w:r>
        <w:rPr>
          <w:rFonts w:ascii="Times New Roman" w:hAnsi="Times New Roman"/>
        </w:rPr>
        <w:t>neesību</w:t>
      </w:r>
      <w:proofErr w:type="spellEnd"/>
      <w:r>
        <w:rPr>
          <w:rFonts w:ascii="Times New Roman" w:hAnsi="Times New Roman"/>
        </w:rPr>
        <w:t xml:space="preserve">, selektoru kategoriju nenorādīšanu pieteikumā ordera izdošanai un faktu, ka attiecībā uz selektoriem, kas attiecas uz personām, nesniedz iepriekšēju iekšējo atļauju (skat. iepriekš 377.–382. punktu). Šīs nepilnības attiecās ne tikai uz sakaru satura, bet arī uz saistīto sakaru datu pārtveršanu (skat. iepriekš 416. punktu). Lai gan </w:t>
      </w:r>
      <w:proofErr w:type="spellStart"/>
      <w:r>
        <w:rPr>
          <w:rFonts w:ascii="Times New Roman" w:hAnsi="Times New Roman"/>
          <w:i/>
          <w:iCs/>
        </w:rPr>
        <w:t>IC</w:t>
      </w:r>
      <w:proofErr w:type="spellEnd"/>
      <w:r>
        <w:rPr>
          <w:rFonts w:ascii="Times New Roman" w:hAnsi="Times New Roman"/>
        </w:rPr>
        <w:t xml:space="preserve"> komisārs nodrošināja neatkarīgu un efektīvu režīma pārraudzību un </w:t>
      </w:r>
      <w:proofErr w:type="spellStart"/>
      <w:r>
        <w:rPr>
          <w:rFonts w:ascii="Times New Roman" w:hAnsi="Times New Roman"/>
          <w:i/>
          <w:iCs/>
        </w:rPr>
        <w:t>IPT</w:t>
      </w:r>
      <w:proofErr w:type="spellEnd"/>
      <w:r>
        <w:rPr>
          <w:rFonts w:ascii="Times New Roman" w:hAnsi="Times New Roman"/>
        </w:rPr>
        <w:t xml:space="preserve"> piedāvāja stabilu tiesiskās aizsardzības līdzekli ikvienai personai, kurai bija radušās aizdomas, ka izlūkdienesti ir pārtvēruši tās sakarus, šie svarīgie drošības pasākumi nebija pietiekami, lai līdzsvarotu trūkumus, kas uzsvērti iepriekš 377.–382. punktā.</w:t>
      </w:r>
    </w:p>
    <w:p w14:paraId="1E6F3C26" w14:textId="77777777" w:rsidR="00F82F2D" w:rsidRPr="008D031E" w:rsidRDefault="00F82F2D" w:rsidP="00F82F2D">
      <w:pPr>
        <w:pStyle w:val="JuPara"/>
        <w:widowControl w:val="0"/>
        <w:ind w:firstLine="142"/>
        <w:rPr>
          <w:rFonts w:ascii="Times New Roman" w:hAnsi="Times New Roman"/>
          <w:noProof/>
        </w:rPr>
      </w:pPr>
      <w:bookmarkStart w:id="267" w:name="BIR8conc"/>
      <w:r>
        <w:rPr>
          <w:rFonts w:ascii="Times New Roman" w:hAnsi="Times New Roman"/>
        </w:rPr>
        <w:t>426</w:t>
      </w:r>
      <w:bookmarkEnd w:id="267"/>
      <w:r>
        <w:rPr>
          <w:rFonts w:ascii="Times New Roman" w:hAnsi="Times New Roman"/>
        </w:rPr>
        <w:t>. Ņemot vērā iepriekš minētos trūkumus, Tiesa atzīst, ka 8. panta 4. punkts neatbilda “tiesību aktu kvalitātes” prasībai, līdz ar to tas nespēja nodrošināt, ka “iejaukšanās” bijusi “nepieciešama demokrātiskā sabiedrībā”.</w:t>
      </w:r>
    </w:p>
    <w:p w14:paraId="2C634BF5" w14:textId="77777777" w:rsidR="00F82F2D" w:rsidRDefault="00F82F2D" w:rsidP="00F82F2D">
      <w:pPr>
        <w:pStyle w:val="JuPara"/>
        <w:widowControl w:val="0"/>
        <w:ind w:firstLine="142"/>
        <w:rPr>
          <w:rFonts w:ascii="Times New Roman" w:hAnsi="Times New Roman"/>
          <w:noProof/>
        </w:rPr>
      </w:pPr>
      <w:r>
        <w:rPr>
          <w:rFonts w:ascii="Times New Roman" w:hAnsi="Times New Roman"/>
        </w:rPr>
        <w:t>427. Tādējādi ir noticis Konvencijas 8. panta pārkāpums.</w:t>
      </w:r>
    </w:p>
    <w:p w14:paraId="7865BAC9" w14:textId="77777777" w:rsidR="00F82F2D" w:rsidRPr="008D031E" w:rsidRDefault="00F82F2D" w:rsidP="00F82F2D">
      <w:pPr>
        <w:pStyle w:val="JuPara"/>
        <w:widowControl w:val="0"/>
        <w:ind w:firstLine="142"/>
        <w:rPr>
          <w:rFonts w:ascii="Times New Roman" w:hAnsi="Times New Roman"/>
          <w:noProof/>
          <w:lang w:val="en-US"/>
        </w:rPr>
      </w:pPr>
    </w:p>
    <w:p w14:paraId="71BBA77A" w14:textId="77777777" w:rsidR="00F82F2D" w:rsidRDefault="00F82F2D" w:rsidP="00F82F2D">
      <w:pPr>
        <w:pStyle w:val="JuHA"/>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C. Konvencijas 10. panta iespējamais pārkāpums</w:t>
      </w:r>
    </w:p>
    <w:p w14:paraId="4714FA44" w14:textId="77777777" w:rsidR="00F82F2D" w:rsidRPr="00F34E04" w:rsidRDefault="00F82F2D" w:rsidP="00F82F2D">
      <w:pPr>
        <w:pStyle w:val="JuPara"/>
        <w:widowControl w:val="0"/>
        <w:rPr>
          <w:lang w:val="en-US"/>
        </w:rPr>
      </w:pPr>
    </w:p>
    <w:p w14:paraId="0AD1E1CA"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428. Pieteikuma iesniedzēji gan otrajā, gan trešajā no apvienotajām lietām saskaņā ar Konvencijas 10. pantu sūdzējās par 8. panta 4. punktā noteikto režīmu, apgalvojot, ka aizsardzība, ko 10. pants paredz priviliģētiem sakariem, viņiem kā žurnālistiem un attiecīgi NVO bija ļoti svarīga. Tomēr, tā kā palāta pasludināja pieteikuma iesniedzēju sūdzību trešajā no apvienotajām lietām par nepieņemamu, jo viņi neizmantoja iekšējos tiesiskās aizsardzības līdzekļus, vienīgi sūdzība saistībā ar 10. pantu attiecībā uz žurnālistiem ir Lielajai palātai nodotās lietas ietvaros.</w:t>
      </w:r>
    </w:p>
    <w:p w14:paraId="30CFC91E" w14:textId="77777777" w:rsidR="00F82F2D" w:rsidRDefault="00F82F2D" w:rsidP="00F82F2D">
      <w:pPr>
        <w:pStyle w:val="JuPara"/>
        <w:widowControl w:val="0"/>
        <w:ind w:firstLine="142"/>
        <w:rPr>
          <w:rFonts w:ascii="Times New Roman" w:hAnsi="Times New Roman"/>
          <w:noProof/>
        </w:rPr>
      </w:pPr>
      <w:r>
        <w:rPr>
          <w:rFonts w:ascii="Times New Roman" w:hAnsi="Times New Roman"/>
        </w:rPr>
        <w:t>429. Konvencijas 10. pantā ir noteikts:</w:t>
      </w:r>
    </w:p>
    <w:p w14:paraId="2E63495C" w14:textId="77777777" w:rsidR="00F82F2D" w:rsidRPr="008D031E" w:rsidRDefault="00F82F2D" w:rsidP="00F82F2D">
      <w:pPr>
        <w:pStyle w:val="JuPara"/>
        <w:widowControl w:val="0"/>
        <w:ind w:firstLine="142"/>
        <w:rPr>
          <w:rFonts w:ascii="Times New Roman" w:hAnsi="Times New Roman"/>
          <w:noProof/>
          <w:lang w:val="en-US"/>
        </w:rPr>
      </w:pPr>
    </w:p>
    <w:p w14:paraId="32021083" w14:textId="77777777" w:rsidR="00F82F2D" w:rsidRPr="008D031E" w:rsidRDefault="00F82F2D" w:rsidP="00C808FA">
      <w:pPr>
        <w:pStyle w:val="JuQuot"/>
        <w:widowControl w:val="0"/>
        <w:spacing w:before="0" w:after="0"/>
        <w:ind w:left="284"/>
        <w:rPr>
          <w:rFonts w:ascii="Times New Roman" w:hAnsi="Times New Roman"/>
          <w:noProof/>
          <w:sz w:val="24"/>
        </w:rPr>
      </w:pPr>
      <w:r>
        <w:rPr>
          <w:rFonts w:ascii="Times New Roman" w:hAnsi="Times New Roman"/>
          <w:sz w:val="24"/>
        </w:rPr>
        <w:t>“1. Ikvienai personai ir tiesības uz vārda brīvību. Šīs tiesības ietver uzskatu brīvību un brīvību saņemt un izplatīt informāciju vai idejas bez valsts iestāžu iejaukšanās un neatkarīgi no valstu robežām. Šis pants neierobežo valstu tiesības noteikt radioraidījumu, televīzijas raidījumu un kino demonstrēšanas licencēšanas režīmu.</w:t>
      </w:r>
    </w:p>
    <w:p w14:paraId="14402D03" w14:textId="77777777" w:rsidR="00F82F2D" w:rsidRDefault="00F82F2D" w:rsidP="00C808FA">
      <w:pPr>
        <w:pStyle w:val="JuQuot"/>
        <w:widowControl w:val="0"/>
        <w:spacing w:before="0" w:after="0"/>
        <w:ind w:left="284"/>
        <w:rPr>
          <w:rFonts w:ascii="Times New Roman" w:hAnsi="Times New Roman"/>
          <w:noProof/>
          <w:sz w:val="24"/>
        </w:rPr>
      </w:pPr>
      <w:r>
        <w:rPr>
          <w:rFonts w:ascii="Times New Roman" w:hAnsi="Times New Roman"/>
          <w:sz w:val="24"/>
        </w:rPr>
        <w:t xml:space="preserve">2. Tā kā šo brīvību īstenošana ir saistīta ar pienākumiem un atbildību, tā var tikt pakļauta [to var pakļaut] tādām prasībām, nosacījumiem, ierobežojumiem vai sodiem, kas paredzēti </w:t>
      </w:r>
      <w:r>
        <w:rPr>
          <w:rFonts w:ascii="Times New Roman" w:hAnsi="Times New Roman"/>
          <w:sz w:val="24"/>
        </w:rPr>
        <w:lastRenderedPageBreak/>
        <w:t>likumā un nepieciešami demokrātiskā sabiedrībā, lai aizsargātu valsts drošības, teritoriālās vienotības vai sabiedriskās drošības intereses, nepieļautu nekārtības vai noziedzīgus nodarījumus, aizsargātu veselību vai tikumību, aizsargātu citu cilvēku cieņu vai tiesības, nepieļautu konfidenciālas informācijas izpaušanu vai lai saglabātu tiesu varas autoritāti un objektivitāti.”</w:t>
      </w:r>
    </w:p>
    <w:p w14:paraId="7D0B8123" w14:textId="77777777" w:rsidR="00F82F2D" w:rsidRPr="008D031E" w:rsidRDefault="00F82F2D" w:rsidP="00F82F2D">
      <w:pPr>
        <w:pStyle w:val="JuQuot"/>
        <w:widowControl w:val="0"/>
        <w:spacing w:before="0" w:after="0"/>
        <w:ind w:left="0" w:firstLine="0"/>
        <w:rPr>
          <w:rFonts w:ascii="Times New Roman" w:hAnsi="Times New Roman"/>
          <w:noProof/>
          <w:sz w:val="24"/>
          <w:lang w:val="en-US"/>
        </w:rPr>
      </w:pPr>
    </w:p>
    <w:p w14:paraId="3D660CA2" w14:textId="77777777" w:rsidR="00F82F2D" w:rsidRDefault="00F82F2D" w:rsidP="00F82F2D">
      <w:pPr>
        <w:pStyle w:val="JuH1"/>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1. Palātas spriedums</w:t>
      </w:r>
    </w:p>
    <w:p w14:paraId="0EFF7281" w14:textId="77777777" w:rsidR="00F82F2D" w:rsidRPr="00F34E04" w:rsidRDefault="00F82F2D" w:rsidP="00F82F2D">
      <w:pPr>
        <w:pStyle w:val="JuPara"/>
        <w:widowControl w:val="0"/>
        <w:rPr>
          <w:lang w:val="en-US"/>
        </w:rPr>
      </w:pPr>
    </w:p>
    <w:p w14:paraId="78D8758F" w14:textId="77777777" w:rsidR="00F82F2D" w:rsidRDefault="00F82F2D" w:rsidP="00F82F2D">
      <w:pPr>
        <w:pStyle w:val="JuPara"/>
        <w:widowControl w:val="0"/>
        <w:ind w:firstLine="142"/>
        <w:rPr>
          <w:rFonts w:ascii="Times New Roman" w:hAnsi="Times New Roman"/>
          <w:noProof/>
        </w:rPr>
      </w:pPr>
      <w:r>
        <w:rPr>
          <w:rFonts w:ascii="Times New Roman" w:hAnsi="Times New Roman"/>
        </w:rPr>
        <w:t>430. Palāta konstatēja, ka, tā kā uzraudzības pasākumi saskaņā ar 8. panta 4. punktu nebija vērsti uz žurnālistu novērošanu vai žurnālistu avotu atklāšanu, šādu sakaru pārtveršanu pašu par sevi nevar raksturot kā īpaši būtisku iejaukšanos tiesībās uz vārda brīvību. Tomēr tā uzskatīja, ka iejaukšanās būtu būtiskāka, ja šos sakarus atlasītu pārbaudei. Šādā gadījumā iejaukšanos “pamatotu primāra prasība sabiedrības interesēs” vienīgi tad, ja to papildina pietiekami drošības pasākumi. Jo īpaši valsts tiesību aktos būtu pietiekami skaidri jānosaka apstākļi, kādos šādus sakarus varētu apzināti atlasīt pārbaudei, un būtu jāievieš atbilstoši pasākumi, lai nodrošinātu konfidencialitātes aizsardzību, ja šādi sakari ir izvēlēti pārbaudei apzināti vai kā citādi. Tā kā nebija izstrādāta publiski pieejama kārtība, kas ierobežotu izlūkdienestu iespējas meklēt un pārbaudīt konfidenciālu žurnālistikas materiālu, izņemot tad, kad to pamato primāra prasība sabiedrības interesēs, palāta konstatēja, ka noticis arī Konvencijas 10. panta pārkāpums.</w:t>
      </w:r>
    </w:p>
    <w:p w14:paraId="2322DFB8" w14:textId="77777777" w:rsidR="00F82F2D" w:rsidRPr="008D031E" w:rsidRDefault="00F82F2D" w:rsidP="00F82F2D">
      <w:pPr>
        <w:pStyle w:val="JuPara"/>
        <w:widowControl w:val="0"/>
        <w:ind w:firstLine="142"/>
        <w:rPr>
          <w:rFonts w:ascii="Times New Roman" w:hAnsi="Times New Roman"/>
          <w:noProof/>
          <w:lang w:val="en-US"/>
        </w:rPr>
      </w:pPr>
    </w:p>
    <w:p w14:paraId="0BED578F" w14:textId="77777777" w:rsidR="00F82F2D" w:rsidRDefault="00F82F2D" w:rsidP="00F82F2D">
      <w:pPr>
        <w:pStyle w:val="JuH1"/>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2. Pušu argumenti</w:t>
      </w:r>
    </w:p>
    <w:p w14:paraId="2B44C7E4" w14:textId="77777777" w:rsidR="00F82F2D" w:rsidRPr="00F34E04" w:rsidRDefault="00F82F2D" w:rsidP="00F82F2D">
      <w:pPr>
        <w:pStyle w:val="JuPara"/>
        <w:widowControl w:val="0"/>
        <w:rPr>
          <w:lang w:val="en-US"/>
        </w:rPr>
      </w:pPr>
    </w:p>
    <w:p w14:paraId="08B53F7D" w14:textId="77777777" w:rsidR="00F82F2D" w:rsidRDefault="00F82F2D" w:rsidP="00F82F2D">
      <w:pPr>
        <w:pStyle w:val="JuHa0"/>
        <w:keepNext w:val="0"/>
        <w:keepLines w:val="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a) Pieteikuma iesniedzēji</w:t>
      </w:r>
    </w:p>
    <w:p w14:paraId="2C5140BB" w14:textId="77777777" w:rsidR="00F82F2D" w:rsidRPr="00F34E04" w:rsidRDefault="00F82F2D" w:rsidP="00F82F2D">
      <w:pPr>
        <w:pStyle w:val="JuPara"/>
        <w:widowControl w:val="0"/>
        <w:rPr>
          <w:lang w:val="en-US"/>
        </w:rPr>
      </w:pPr>
    </w:p>
    <w:p w14:paraId="442D00C1"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431. Pieteikuma iesniedzēji otrajā no apvienotajām lietām apgalvoja, ka masveida pārtveršanas režīms bija pretrunā ar 10. pantu, jo liela mēroga pārtveršanai un lielu informācijas </w:t>
      </w:r>
      <w:proofErr w:type="spellStart"/>
      <w:r>
        <w:rPr>
          <w:rFonts w:ascii="Times New Roman" w:hAnsi="Times New Roman"/>
        </w:rPr>
        <w:t>datubāzu</w:t>
      </w:r>
      <w:proofErr w:type="spellEnd"/>
      <w:r>
        <w:rPr>
          <w:rFonts w:ascii="Times New Roman" w:hAnsi="Times New Roman"/>
        </w:rPr>
        <w:t xml:space="preserve"> uzturēšanai bija atturoša ietekme uz žurnālistu saziņas brīvību.</w:t>
      </w:r>
    </w:p>
    <w:p w14:paraId="0D82B625" w14:textId="77777777" w:rsidR="00F82F2D" w:rsidRDefault="00F82F2D" w:rsidP="00F82F2D">
      <w:pPr>
        <w:pStyle w:val="JuPara"/>
        <w:widowControl w:val="0"/>
        <w:ind w:firstLine="142"/>
        <w:rPr>
          <w:rFonts w:ascii="Times New Roman" w:hAnsi="Times New Roman"/>
          <w:noProof/>
        </w:rPr>
      </w:pPr>
      <w:r>
        <w:rPr>
          <w:rFonts w:ascii="Times New Roman" w:hAnsi="Times New Roman"/>
        </w:rPr>
        <w:t xml:space="preserve">432. Ņemot vērā preses brīvības fundamentālo nozīmi, pieteikuma iesniedzēji norādīja, ka tad, kad notikusi jebkāda iejaukšanās žurnālistikas brīvībā un jo īpaši tiesībās saglabāt avotu konfidencialitāti, ir jābūt pieejamiem tiesiskajiem procesuālajiem drošības pasākumiem, kas ir samērīgi ar attiecīgā principa nozīmīgumu. Jo īpaši jēdziens “saskaņā ar likumu” paredzēja, ka tad, kad ar kādu pasākumu bija iespējams identificēt žurnālistikas avotus vai atklāt žurnālistikas materiālu, bija nepieciešama tiesneša vai citas neatkarīgas un objektīvas </w:t>
      </w:r>
      <w:proofErr w:type="spellStart"/>
      <w:r>
        <w:rPr>
          <w:rFonts w:ascii="Times New Roman" w:hAnsi="Times New Roman"/>
        </w:rPr>
        <w:t>lēmējstruktūras</w:t>
      </w:r>
      <w:proofErr w:type="spellEnd"/>
      <w:r>
        <w:rPr>
          <w:rFonts w:ascii="Times New Roman" w:hAnsi="Times New Roman"/>
        </w:rPr>
        <w:t xml:space="preserve"> atļauja, bija jāveic </w:t>
      </w:r>
      <w:proofErr w:type="spellStart"/>
      <w:r>
        <w:rPr>
          <w:rFonts w:ascii="Times New Roman" w:hAnsi="Times New Roman"/>
          <w:i/>
          <w:iCs/>
        </w:rPr>
        <w:t>ex</w:t>
      </w:r>
      <w:proofErr w:type="spellEnd"/>
      <w:r>
        <w:rPr>
          <w:rFonts w:ascii="Times New Roman" w:hAnsi="Times New Roman"/>
          <w:i/>
          <w:iCs/>
        </w:rPr>
        <w:t> </w:t>
      </w:r>
      <w:proofErr w:type="spellStart"/>
      <w:r>
        <w:rPr>
          <w:rFonts w:ascii="Times New Roman" w:hAnsi="Times New Roman"/>
          <w:i/>
          <w:iCs/>
        </w:rPr>
        <w:t>ante</w:t>
      </w:r>
      <w:proofErr w:type="spellEnd"/>
      <w:r>
        <w:rPr>
          <w:rFonts w:ascii="Times New Roman" w:hAnsi="Times New Roman"/>
        </w:rPr>
        <w:t xml:space="preserve"> pārskatīšana un atļauju sniedzošajai iestādei bija jāpiešķir pilnvaras noteikt, vai to “pamato primāra prasība sabiedrības interesēs”, un jo īpaši noteikt, vai ar mazāk ierobežojošu pasākumu nebūtu pietiekami, lai ievērotu primārās sabiedrības intereses (skat. 2010. gada 14. septembra spriedumu lietā Nr. 38224/03 ““</w:t>
      </w:r>
      <w:proofErr w:type="spellStart"/>
      <w:r>
        <w:rPr>
          <w:rFonts w:ascii="Times New Roman" w:hAnsi="Times New Roman"/>
        </w:rPr>
        <w:t>Sanoma</w:t>
      </w:r>
      <w:proofErr w:type="spellEnd"/>
      <w:r>
        <w:rPr>
          <w:rFonts w:ascii="Times New Roman" w:hAnsi="Times New Roman"/>
        </w:rPr>
        <w:t xml:space="preserve"> </w:t>
      </w:r>
      <w:proofErr w:type="spellStart"/>
      <w:r>
        <w:rPr>
          <w:rFonts w:ascii="Times New Roman" w:hAnsi="Times New Roman"/>
        </w:rPr>
        <w:t>Uitgevers</w:t>
      </w:r>
      <w:proofErr w:type="spellEnd"/>
      <w:r>
        <w:rPr>
          <w:rFonts w:ascii="Times New Roman" w:hAnsi="Times New Roman"/>
        </w:rPr>
        <w:t xml:space="preserve"> </w:t>
      </w:r>
      <w:proofErr w:type="spellStart"/>
      <w:r>
        <w:rPr>
          <w:rFonts w:ascii="Times New Roman" w:hAnsi="Times New Roman"/>
        </w:rPr>
        <w:t>B.V</w:t>
      </w:r>
      <w:proofErr w:type="spellEnd"/>
      <w:r>
        <w:rPr>
          <w:rFonts w:ascii="Times New Roman" w:hAnsi="Times New Roman"/>
        </w:rPr>
        <w:t>.” pret Nīderlandi” [</w:t>
      </w:r>
      <w:proofErr w:type="spellStart"/>
      <w:r>
        <w:rPr>
          <w:rFonts w:ascii="Times New Roman" w:hAnsi="Times New Roman"/>
          <w:i/>
          <w:iCs/>
        </w:rPr>
        <w:t>GC</w:t>
      </w:r>
      <w:proofErr w:type="spellEnd"/>
      <w:r>
        <w:rPr>
          <w:rFonts w:ascii="Times New Roman" w:hAnsi="Times New Roman"/>
        </w:rPr>
        <w:t>]). 8. panta 4. punktā noteiktais režīms neparedz nevienu no šiem drošības pasākumiem.</w:t>
      </w:r>
    </w:p>
    <w:p w14:paraId="6A926E99" w14:textId="77777777" w:rsidR="00F82F2D" w:rsidRPr="008D031E" w:rsidRDefault="00F82F2D" w:rsidP="00F82F2D">
      <w:pPr>
        <w:pStyle w:val="JuPara"/>
        <w:widowControl w:val="0"/>
        <w:ind w:firstLine="0"/>
        <w:rPr>
          <w:rFonts w:ascii="Times New Roman" w:hAnsi="Times New Roman"/>
          <w:noProof/>
          <w:lang w:val="en-US"/>
        </w:rPr>
      </w:pPr>
    </w:p>
    <w:p w14:paraId="0EA9D686" w14:textId="77777777" w:rsidR="00F82F2D" w:rsidRDefault="00F82F2D" w:rsidP="00F82F2D">
      <w:pPr>
        <w:pStyle w:val="JuHa0"/>
        <w:keepNext w:val="0"/>
        <w:keepLines w:val="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b) Valdība</w:t>
      </w:r>
    </w:p>
    <w:p w14:paraId="24979E96" w14:textId="77777777" w:rsidR="00F82F2D" w:rsidRPr="009956FD" w:rsidRDefault="00F82F2D" w:rsidP="00F82F2D">
      <w:pPr>
        <w:pStyle w:val="JuPara"/>
        <w:widowControl w:val="0"/>
        <w:rPr>
          <w:lang w:val="en-US"/>
        </w:rPr>
      </w:pPr>
    </w:p>
    <w:p w14:paraId="67AB940A"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433. Valdība vispirms apgalvoja, ka Tiesas judikatūrā nav normu, kas atbalstītu apgalvojumu, ka stratēģiskā pārraudzības režīma darbībai ir nepieciešama iepriekšēja tiesas (vai neatkarīga) atļauja, jo daži žurnālistikas materiāli var tikt pārtverti šā režīma darbības gaitā. Tiesa drīzāk bija krasi nošķīrusi sakaru un/vai sakaru datu stratēģisko pārraudzību, kas varētu netīši “izpaust” dažus žurnālistikas materiālus, no pasākumiem, kas vērsti uz žurnālistikas materiāliem (skat. iepriekš minētā sprieduma lietā “Vēbere un </w:t>
      </w:r>
      <w:proofErr w:type="spellStart"/>
      <w:r>
        <w:rPr>
          <w:rFonts w:ascii="Times New Roman" w:hAnsi="Times New Roman"/>
        </w:rPr>
        <w:t>Sarāvija</w:t>
      </w:r>
      <w:proofErr w:type="spellEnd"/>
      <w:r>
        <w:rPr>
          <w:rFonts w:ascii="Times New Roman" w:hAnsi="Times New Roman"/>
        </w:rPr>
        <w:t>” 151. punktu un pretstatīt iepriekš minētajam spriedumam lietā “</w:t>
      </w:r>
      <w:proofErr w:type="spellStart"/>
      <w:r>
        <w:rPr>
          <w:rFonts w:ascii="Times New Roman" w:hAnsi="Times New Roman"/>
        </w:rPr>
        <w:t>Sanoma</w:t>
      </w:r>
      <w:proofErr w:type="spellEnd"/>
      <w:r>
        <w:rPr>
          <w:rFonts w:ascii="Times New Roman" w:hAnsi="Times New Roman"/>
        </w:rPr>
        <w:t xml:space="preserve"> </w:t>
      </w:r>
      <w:proofErr w:type="spellStart"/>
      <w:r>
        <w:rPr>
          <w:rFonts w:ascii="Times New Roman" w:hAnsi="Times New Roman"/>
        </w:rPr>
        <w:t>Uitgevers</w:t>
      </w:r>
      <w:proofErr w:type="spellEnd"/>
      <w:r>
        <w:rPr>
          <w:rFonts w:ascii="Times New Roman" w:hAnsi="Times New Roman"/>
        </w:rPr>
        <w:t xml:space="preserve"> </w:t>
      </w:r>
      <w:proofErr w:type="spellStart"/>
      <w:r>
        <w:rPr>
          <w:rFonts w:ascii="Times New Roman" w:hAnsi="Times New Roman"/>
        </w:rPr>
        <w:t>B.V</w:t>
      </w:r>
      <w:proofErr w:type="spellEnd"/>
      <w:r>
        <w:rPr>
          <w:rFonts w:ascii="Times New Roman" w:hAnsi="Times New Roman"/>
        </w:rPr>
        <w:t xml:space="preserve">.” un 2012. gada </w:t>
      </w:r>
      <w:r>
        <w:rPr>
          <w:rFonts w:ascii="Times New Roman" w:hAnsi="Times New Roman"/>
        </w:rPr>
        <w:lastRenderedPageBreak/>
        <w:t>22. novembra spriedumam lietā Nr. 39315/06 ““</w:t>
      </w:r>
      <w:proofErr w:type="spellStart"/>
      <w:r>
        <w:rPr>
          <w:rFonts w:ascii="Times New Roman" w:hAnsi="Times New Roman"/>
        </w:rPr>
        <w:t>Telegraaf</w:t>
      </w:r>
      <w:proofErr w:type="spellEnd"/>
      <w:r>
        <w:rPr>
          <w:rFonts w:ascii="Times New Roman" w:hAnsi="Times New Roman"/>
        </w:rPr>
        <w:t xml:space="preserve"> </w:t>
      </w:r>
      <w:proofErr w:type="spellStart"/>
      <w:r>
        <w:rPr>
          <w:rFonts w:ascii="Times New Roman" w:hAnsi="Times New Roman"/>
        </w:rPr>
        <w:t>Media</w:t>
      </w:r>
      <w:proofErr w:type="spellEnd"/>
      <w:r>
        <w:rPr>
          <w:rFonts w:ascii="Times New Roman" w:hAnsi="Times New Roman"/>
        </w:rPr>
        <w:t xml:space="preserve"> Nederland </w:t>
      </w:r>
      <w:proofErr w:type="spellStart"/>
      <w:r>
        <w:rPr>
          <w:rFonts w:ascii="Times New Roman" w:hAnsi="Times New Roman"/>
        </w:rPr>
        <w:t>Landelijke</w:t>
      </w:r>
      <w:proofErr w:type="spellEnd"/>
      <w:r>
        <w:rPr>
          <w:rFonts w:ascii="Times New Roman" w:hAnsi="Times New Roman"/>
        </w:rPr>
        <w:t xml:space="preserve"> </w:t>
      </w:r>
      <w:proofErr w:type="spellStart"/>
      <w:r>
        <w:rPr>
          <w:rFonts w:ascii="Times New Roman" w:hAnsi="Times New Roman"/>
        </w:rPr>
        <w:t>Media</w:t>
      </w:r>
      <w:proofErr w:type="spellEnd"/>
      <w:r>
        <w:rPr>
          <w:rFonts w:ascii="Times New Roman" w:hAnsi="Times New Roman"/>
        </w:rPr>
        <w:t xml:space="preserve"> </w:t>
      </w:r>
      <w:proofErr w:type="spellStart"/>
      <w:r>
        <w:rPr>
          <w:rFonts w:ascii="Times New Roman" w:hAnsi="Times New Roman"/>
        </w:rPr>
        <w:t>B.V</w:t>
      </w:r>
      <w:proofErr w:type="spellEnd"/>
      <w:r>
        <w:rPr>
          <w:rFonts w:ascii="Times New Roman" w:hAnsi="Times New Roman"/>
        </w:rPr>
        <w:t>.” un citi pret Nīderlandi”). Prasībai par iepriekšēju tiesas atļauju masveida pārtveršanas kontekstā nebūtu jēgas, jo tiesnesim varētu vienīgi norādīt, ka pastāv iespēja, ka ordera izpildes rezultātā var tikt pārtverts kāds konfidenciāls žurnālistikas materiāls.</w:t>
      </w:r>
    </w:p>
    <w:p w14:paraId="3C5B42A3" w14:textId="77777777" w:rsidR="00F82F2D" w:rsidRDefault="00F82F2D" w:rsidP="00F82F2D">
      <w:pPr>
        <w:pStyle w:val="JuPara"/>
        <w:widowControl w:val="0"/>
        <w:ind w:firstLine="142"/>
        <w:rPr>
          <w:rFonts w:ascii="Times New Roman" w:hAnsi="Times New Roman"/>
          <w:noProof/>
        </w:rPr>
      </w:pPr>
      <w:r>
        <w:rPr>
          <w:rFonts w:ascii="Times New Roman" w:hAnsi="Times New Roman"/>
        </w:rPr>
        <w:t xml:space="preserve">434. Līdz ar to Valdība piekrita palātas secinājumam, ka ir jānodrošina papildu aizsardzība brīdī, kad sakarus atlasa pārbaudei. Tādēļ tā apstiprināja, ka </w:t>
      </w:r>
      <w:proofErr w:type="spellStart"/>
      <w:r>
        <w:rPr>
          <w:rFonts w:ascii="Times New Roman" w:hAnsi="Times New Roman"/>
          <w:i/>
          <w:iCs/>
        </w:rPr>
        <w:t>IC</w:t>
      </w:r>
      <w:proofErr w:type="spellEnd"/>
      <w:r>
        <w:rPr>
          <w:rFonts w:ascii="Times New Roman" w:hAnsi="Times New Roman"/>
        </w:rPr>
        <w:t xml:space="preserve"> kodekss tika grozīts, lai tas paredzētu, ka “īpaša uzmanība jāpievērš tādu sakaru pārtveršanai un tāda satura atlasīšanai pārbaudei, kas satur informāciju, attiecībā uz kuru personām var pamatoti nākties ievērot augsta līmeņa konfidencialitāti. Tas attiecas uz gadījumiem, kad saziņas aktu saturs ietver juridiski priviliģētu informāciju, konfidenciālu žurnālistikas materiālu vai kad sakari identificē žurnālista avotu”.</w:t>
      </w:r>
    </w:p>
    <w:p w14:paraId="14183C7C" w14:textId="77777777" w:rsidR="00F82F2D" w:rsidRPr="008D031E" w:rsidRDefault="00F82F2D" w:rsidP="00F82F2D">
      <w:pPr>
        <w:pStyle w:val="JuPara"/>
        <w:widowControl w:val="0"/>
        <w:ind w:firstLine="142"/>
        <w:rPr>
          <w:rFonts w:ascii="Times New Roman" w:hAnsi="Times New Roman"/>
          <w:noProof/>
          <w:lang w:val="en-US"/>
        </w:rPr>
      </w:pPr>
    </w:p>
    <w:p w14:paraId="00D52FA7" w14:textId="77777777" w:rsidR="00F82F2D" w:rsidRDefault="00F82F2D" w:rsidP="00F82F2D">
      <w:pPr>
        <w:pStyle w:val="JuHa0"/>
        <w:keepNext w:val="0"/>
        <w:keepLines w:val="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c) Trešā persona, kas iestājusies lietā</w:t>
      </w:r>
    </w:p>
    <w:p w14:paraId="0D91BB8A" w14:textId="77777777" w:rsidR="00F82F2D" w:rsidRPr="009956FD" w:rsidRDefault="00F82F2D" w:rsidP="00F82F2D">
      <w:pPr>
        <w:pStyle w:val="JuPara"/>
        <w:widowControl w:val="0"/>
        <w:rPr>
          <w:lang w:val="en-US"/>
        </w:rPr>
      </w:pPr>
    </w:p>
    <w:p w14:paraId="2AD45482" w14:textId="77777777" w:rsidR="00F82F2D" w:rsidRDefault="00F82F2D" w:rsidP="00F82F2D">
      <w:pPr>
        <w:pStyle w:val="JuHi"/>
        <w:keepNext w:val="0"/>
        <w:keepLines w:val="0"/>
        <w:widowControl w:val="0"/>
        <w:numPr>
          <w:ilvl w:val="0"/>
          <w:numId w:val="0"/>
        </w:numPr>
        <w:spacing w:before="0" w:beforeAutospacing="0" w:after="0" w:line="240" w:lineRule="auto"/>
        <w:outlineLvl w:val="9"/>
        <w:rPr>
          <w:rFonts w:ascii="Times New Roman" w:hAnsi="Times New Roman"/>
          <w:noProof/>
          <w:sz w:val="24"/>
        </w:rPr>
      </w:pPr>
      <w:r>
        <w:rPr>
          <w:rFonts w:ascii="Times New Roman" w:hAnsi="Times New Roman"/>
          <w:sz w:val="24"/>
        </w:rPr>
        <w:t>i) Francijas valdība</w:t>
      </w:r>
    </w:p>
    <w:p w14:paraId="2EBAC71F" w14:textId="77777777" w:rsidR="00F82F2D" w:rsidRPr="009956FD" w:rsidRDefault="00F82F2D" w:rsidP="00F82F2D">
      <w:pPr>
        <w:pStyle w:val="JuPara"/>
        <w:widowControl w:val="0"/>
        <w:rPr>
          <w:lang w:val="en-US" w:bidi="en-US"/>
        </w:rPr>
      </w:pPr>
    </w:p>
    <w:p w14:paraId="4E75C1D2" w14:textId="77777777" w:rsidR="00F82F2D" w:rsidRDefault="00F82F2D" w:rsidP="00F82F2D">
      <w:pPr>
        <w:pStyle w:val="JuPara"/>
        <w:widowControl w:val="0"/>
        <w:ind w:firstLine="142"/>
        <w:rPr>
          <w:rFonts w:ascii="Times New Roman" w:hAnsi="Times New Roman"/>
          <w:noProof/>
        </w:rPr>
      </w:pPr>
      <w:r>
        <w:rPr>
          <w:rFonts w:ascii="Times New Roman" w:hAnsi="Times New Roman"/>
        </w:rPr>
        <w:t>435. Francijas valdība apgalvoja, ka žurnālistu uzraudzība ir pieļaujama saskaņā ar Konvencijas 10. pantu, ja tai ir leģitīms mērķis un tā ir nepieciešama un ja pasākums nav vērsts pret žurnālistiem un viņu avotu identificēšanu. Situāciju, kad žurnālistu sakari tikuši pārtverti nejauši, nevar pielīdzināt situācijai, kad ar valsts iestāžu lēmumu žurnālistiem ir pienākums atklāt savus avotus.</w:t>
      </w:r>
    </w:p>
    <w:p w14:paraId="16997769" w14:textId="77777777" w:rsidR="00F82F2D" w:rsidRPr="008D031E" w:rsidRDefault="00F82F2D" w:rsidP="00F82F2D">
      <w:pPr>
        <w:pStyle w:val="JuPara"/>
        <w:widowControl w:val="0"/>
        <w:ind w:firstLine="0"/>
        <w:rPr>
          <w:rFonts w:ascii="Times New Roman" w:hAnsi="Times New Roman"/>
          <w:noProof/>
          <w:lang w:val="en-US"/>
        </w:rPr>
      </w:pPr>
    </w:p>
    <w:p w14:paraId="1886B856" w14:textId="77777777" w:rsidR="00F82F2D" w:rsidRDefault="00F82F2D" w:rsidP="00F82F2D">
      <w:pPr>
        <w:pStyle w:val="JuHi"/>
        <w:keepNext w:val="0"/>
        <w:keepLines w:val="0"/>
        <w:widowControl w:val="0"/>
        <w:numPr>
          <w:ilvl w:val="0"/>
          <w:numId w:val="0"/>
        </w:numPr>
        <w:spacing w:before="0" w:beforeAutospacing="0" w:after="0" w:line="240" w:lineRule="auto"/>
        <w:outlineLvl w:val="9"/>
        <w:rPr>
          <w:rFonts w:ascii="Times New Roman" w:hAnsi="Times New Roman"/>
          <w:noProof/>
          <w:sz w:val="24"/>
        </w:rPr>
      </w:pPr>
      <w:r>
        <w:rPr>
          <w:rFonts w:ascii="Times New Roman" w:hAnsi="Times New Roman"/>
          <w:sz w:val="24"/>
        </w:rPr>
        <w:t>ii) Norvēģijas Karalistes valdība</w:t>
      </w:r>
    </w:p>
    <w:p w14:paraId="035A6FC5" w14:textId="77777777" w:rsidR="00F82F2D" w:rsidRPr="009956FD" w:rsidRDefault="00F82F2D" w:rsidP="00F82F2D">
      <w:pPr>
        <w:pStyle w:val="JuPara"/>
        <w:widowControl w:val="0"/>
        <w:rPr>
          <w:lang w:val="en-US" w:bidi="en-US"/>
        </w:rPr>
      </w:pPr>
    </w:p>
    <w:p w14:paraId="3F7E98B5" w14:textId="77777777" w:rsidR="00F82F2D" w:rsidRDefault="00F82F2D" w:rsidP="00F82F2D">
      <w:pPr>
        <w:pStyle w:val="JuPara"/>
        <w:widowControl w:val="0"/>
        <w:ind w:firstLine="142"/>
        <w:rPr>
          <w:rFonts w:ascii="Times New Roman" w:hAnsi="Times New Roman"/>
          <w:noProof/>
        </w:rPr>
      </w:pPr>
      <w:r>
        <w:rPr>
          <w:rFonts w:ascii="Times New Roman" w:hAnsi="Times New Roman"/>
        </w:rPr>
        <w:t>436. Norvēģijas valdība norādīja, ka 8. pantā atļautā plašā rīcības brīvība attiecībā uz lēmumu ieviest masveida pārtveršanas režīmu loģiski bija piemērota arī tad, kad lēmumu izvērtēja no 10. panta aspekta. Masveida pārtveršanas režīma būtība un mērķis būtu apdraudēti, ja Tiesa lēmumu par tā izveidi pārbaudītu, ņemot vērā apstākli par “pamatošanu ar primāru prasību sabiedrības interesēs” tikai tāpēc vien, ka daži no pārtvertajiem sakariem varētu ietvert saskarsmi ar žurnālistiem.</w:t>
      </w:r>
    </w:p>
    <w:p w14:paraId="76B51DCF" w14:textId="77777777" w:rsidR="00F82F2D" w:rsidRPr="008D031E" w:rsidRDefault="00F82F2D" w:rsidP="00F82F2D">
      <w:pPr>
        <w:pStyle w:val="JuPara"/>
        <w:widowControl w:val="0"/>
        <w:ind w:firstLine="0"/>
        <w:rPr>
          <w:rFonts w:ascii="Times New Roman" w:hAnsi="Times New Roman"/>
          <w:noProof/>
          <w:lang w:val="en-US"/>
        </w:rPr>
      </w:pPr>
    </w:p>
    <w:p w14:paraId="1D458809" w14:textId="77777777" w:rsidR="00F82F2D" w:rsidRDefault="00F82F2D" w:rsidP="00F82F2D">
      <w:pPr>
        <w:pStyle w:val="JuHi"/>
        <w:keepNext w:val="0"/>
        <w:keepLines w:val="0"/>
        <w:widowControl w:val="0"/>
        <w:numPr>
          <w:ilvl w:val="0"/>
          <w:numId w:val="0"/>
        </w:numPr>
        <w:spacing w:before="0" w:beforeAutospacing="0" w:after="0" w:line="240" w:lineRule="auto"/>
        <w:outlineLvl w:val="9"/>
        <w:rPr>
          <w:rFonts w:ascii="Times New Roman" w:hAnsi="Times New Roman"/>
          <w:noProof/>
          <w:sz w:val="24"/>
        </w:rPr>
      </w:pPr>
      <w:r>
        <w:rPr>
          <w:rFonts w:ascii="Times New Roman" w:hAnsi="Times New Roman"/>
          <w:sz w:val="24"/>
        </w:rPr>
        <w:t>iii) Apvienoto Nāciju īpašais ziņotājs vārda brīvības jautājumos</w:t>
      </w:r>
    </w:p>
    <w:p w14:paraId="0F80823C" w14:textId="77777777" w:rsidR="00F82F2D" w:rsidRPr="009956FD" w:rsidRDefault="00F82F2D" w:rsidP="00F82F2D">
      <w:pPr>
        <w:pStyle w:val="JuPara"/>
        <w:widowControl w:val="0"/>
        <w:rPr>
          <w:lang w:val="en-US" w:bidi="en-US"/>
        </w:rPr>
      </w:pPr>
    </w:p>
    <w:p w14:paraId="5010FDC7" w14:textId="77777777" w:rsidR="00F82F2D" w:rsidRDefault="00F82F2D" w:rsidP="00F82F2D">
      <w:pPr>
        <w:pStyle w:val="JuPara"/>
        <w:widowControl w:val="0"/>
        <w:ind w:firstLine="142"/>
        <w:rPr>
          <w:rFonts w:ascii="Times New Roman" w:hAnsi="Times New Roman"/>
          <w:noProof/>
        </w:rPr>
      </w:pPr>
      <w:r>
        <w:rPr>
          <w:rFonts w:ascii="Times New Roman" w:hAnsi="Times New Roman"/>
        </w:rPr>
        <w:t xml:space="preserve">437. Īpašais ziņotājs apgalvoja, ka ar uzraudzības pasākumiem notika iejaukšanās tiesībās uz vārda brīvību, līdz ar to tiem jāatbilst </w:t>
      </w:r>
      <w:proofErr w:type="spellStart"/>
      <w:r>
        <w:rPr>
          <w:rFonts w:ascii="Times New Roman" w:hAnsi="Times New Roman"/>
          <w:i/>
          <w:iCs/>
        </w:rPr>
        <w:t>ICCPR</w:t>
      </w:r>
      <w:proofErr w:type="spellEnd"/>
      <w:r>
        <w:rPr>
          <w:rFonts w:ascii="Times New Roman" w:hAnsi="Times New Roman"/>
        </w:rPr>
        <w:t xml:space="preserve"> 19. panta 3. punktam, kas nosaka, ka vārda brīvības ierobežojumiem ir jābūt “vienīgi tādiem, ko paredz likums un kas ir nepieciešami”, lai aizsargātu citu cilvēku tiesības un cieņu, valsts drošību, sabiedrisko kārtību vai sabiedrības veselību vai tikumību. Masveida uzraudzības programmas radīja būtiskus izaicinājumus attiecībā uz prasību par pieejamiem tiesību aktiem, kam par iemeslu ir uzraudzības tehnoloģiju sarežģītā darbība, neskaidri juridiskie standarti par sakaru pārtveršanu, kā arī sarežģīti un bieži vien konfidenciāli administratīvie regulējumi. Turklāt pastāvēja nopietnas bažas par samērīgumu saistībā ar iejaukšanos žurnālistu darbā un viņu avotu aizsardzību. Tā kā cilvēktiesību normas paredzēja konfidencialitātei augstu aizsardzības līmeni, ierobežojumi jāpiemēro izņēmuma kārtā un jāīsteno vienīgi tiesu iestādēm, turklāt apiešanu, ko tiesu iestādes nav atļāvušas saskaņā ar skaidriem un šauriem tiesību aktiem, nedrīkst izmantot, lai apdraudētu avotu konfidencialitāti. Šajā sakarā, nosakot konfidenciālu sakaru aizsardzības apmēru, bija jāņem vērā plašā izpratne par jēdzienu “žurnālists” saskaņā ar </w:t>
      </w:r>
      <w:proofErr w:type="spellStart"/>
      <w:r>
        <w:rPr>
          <w:rFonts w:ascii="Times New Roman" w:hAnsi="Times New Roman"/>
          <w:i/>
          <w:iCs/>
        </w:rPr>
        <w:t>ICCPR</w:t>
      </w:r>
      <w:proofErr w:type="spellEnd"/>
      <w:r>
        <w:rPr>
          <w:rFonts w:ascii="Times New Roman" w:hAnsi="Times New Roman"/>
        </w:rPr>
        <w:t>.</w:t>
      </w:r>
    </w:p>
    <w:p w14:paraId="36E4AE29" w14:textId="77777777" w:rsidR="00F82F2D" w:rsidRPr="008D031E" w:rsidRDefault="00F82F2D" w:rsidP="00F82F2D">
      <w:pPr>
        <w:pStyle w:val="JuPara"/>
        <w:widowControl w:val="0"/>
        <w:ind w:firstLine="142"/>
        <w:rPr>
          <w:rFonts w:ascii="Times New Roman" w:hAnsi="Times New Roman"/>
          <w:noProof/>
          <w:lang w:val="en-US"/>
        </w:rPr>
      </w:pPr>
    </w:p>
    <w:p w14:paraId="7DFA1FD3" w14:textId="77777777" w:rsidR="00F82F2D" w:rsidRDefault="00F82F2D" w:rsidP="00F8047C">
      <w:pPr>
        <w:pStyle w:val="JuHi"/>
        <w:widowControl w:val="0"/>
        <w:numPr>
          <w:ilvl w:val="0"/>
          <w:numId w:val="0"/>
        </w:numPr>
        <w:spacing w:before="0" w:beforeAutospacing="0" w:after="0" w:line="240" w:lineRule="auto"/>
        <w:outlineLvl w:val="9"/>
        <w:rPr>
          <w:rFonts w:ascii="Times New Roman" w:hAnsi="Times New Roman"/>
          <w:noProof/>
          <w:sz w:val="24"/>
        </w:rPr>
      </w:pPr>
      <w:r>
        <w:rPr>
          <w:rFonts w:ascii="Times New Roman" w:hAnsi="Times New Roman"/>
          <w:sz w:val="24"/>
        </w:rPr>
        <w:lastRenderedPageBreak/>
        <w:t>iv) “</w:t>
      </w:r>
      <w:proofErr w:type="spellStart"/>
      <w:r>
        <w:rPr>
          <w:rFonts w:ascii="Times New Roman" w:hAnsi="Times New Roman"/>
          <w:sz w:val="24"/>
        </w:rPr>
        <w:t>Article</w:t>
      </w:r>
      <w:proofErr w:type="spellEnd"/>
      <w:r>
        <w:rPr>
          <w:rFonts w:ascii="Times New Roman" w:hAnsi="Times New Roman"/>
          <w:sz w:val="24"/>
        </w:rPr>
        <w:t> 19”</w:t>
      </w:r>
    </w:p>
    <w:p w14:paraId="7FA3E60C" w14:textId="77777777" w:rsidR="00F82F2D" w:rsidRPr="00EB25F6" w:rsidRDefault="00F82F2D" w:rsidP="00F8047C">
      <w:pPr>
        <w:pStyle w:val="JuPara"/>
        <w:keepNext/>
        <w:keepLines/>
        <w:widowControl w:val="0"/>
        <w:rPr>
          <w:lang w:val="en-US" w:bidi="en-US"/>
        </w:rPr>
      </w:pPr>
    </w:p>
    <w:p w14:paraId="4DBD5910" w14:textId="77777777" w:rsidR="00F82F2D" w:rsidRDefault="00F82F2D" w:rsidP="00F8047C">
      <w:pPr>
        <w:pStyle w:val="JuPara"/>
        <w:keepNext/>
        <w:keepLines/>
        <w:widowControl w:val="0"/>
        <w:ind w:firstLine="142"/>
        <w:rPr>
          <w:rFonts w:ascii="Times New Roman" w:hAnsi="Times New Roman"/>
          <w:noProof/>
        </w:rPr>
      </w:pPr>
      <w:r>
        <w:rPr>
          <w:rFonts w:ascii="Times New Roman" w:hAnsi="Times New Roman"/>
        </w:rPr>
        <w:t>438. “</w:t>
      </w:r>
      <w:proofErr w:type="spellStart"/>
      <w:r>
        <w:rPr>
          <w:rFonts w:ascii="Times New Roman" w:hAnsi="Times New Roman"/>
        </w:rPr>
        <w:t>Article</w:t>
      </w:r>
      <w:proofErr w:type="spellEnd"/>
      <w:r>
        <w:rPr>
          <w:rFonts w:ascii="Times New Roman" w:hAnsi="Times New Roman"/>
        </w:rPr>
        <w:t> 19” mudināja Tiesu attiecināt uz NVO tādu pašu aizsardzību, kādu parasti attiecina uz žurnālistiem.</w:t>
      </w:r>
    </w:p>
    <w:p w14:paraId="740E9AA5" w14:textId="77777777" w:rsidR="00F82F2D" w:rsidRPr="008D031E" w:rsidRDefault="00F82F2D" w:rsidP="00F82F2D">
      <w:pPr>
        <w:pStyle w:val="JuPara"/>
        <w:widowControl w:val="0"/>
        <w:ind w:firstLine="0"/>
        <w:rPr>
          <w:rFonts w:ascii="Times New Roman" w:hAnsi="Times New Roman"/>
          <w:noProof/>
          <w:lang w:val="en-US"/>
        </w:rPr>
      </w:pPr>
    </w:p>
    <w:p w14:paraId="6F4F91FE" w14:textId="77777777" w:rsidR="00F82F2D" w:rsidRDefault="00F82F2D" w:rsidP="00F82F2D">
      <w:pPr>
        <w:pStyle w:val="JuHi"/>
        <w:keepNext w:val="0"/>
        <w:keepLines w:val="0"/>
        <w:widowControl w:val="0"/>
        <w:numPr>
          <w:ilvl w:val="0"/>
          <w:numId w:val="0"/>
        </w:numPr>
        <w:spacing w:before="0" w:beforeAutospacing="0" w:after="0" w:line="240" w:lineRule="auto"/>
        <w:outlineLvl w:val="9"/>
        <w:rPr>
          <w:rFonts w:ascii="Times New Roman" w:hAnsi="Times New Roman"/>
          <w:noProof/>
          <w:sz w:val="24"/>
        </w:rPr>
      </w:pPr>
      <w:r>
        <w:rPr>
          <w:rFonts w:ascii="Times New Roman" w:hAnsi="Times New Roman"/>
          <w:sz w:val="24"/>
        </w:rPr>
        <w:t>v) Helsinku Cilvēktiesību fonds</w:t>
      </w:r>
    </w:p>
    <w:p w14:paraId="5AA0A666" w14:textId="77777777" w:rsidR="00F82F2D" w:rsidRPr="00EB25F6" w:rsidRDefault="00F82F2D" w:rsidP="00F82F2D">
      <w:pPr>
        <w:pStyle w:val="JuPara"/>
        <w:widowControl w:val="0"/>
        <w:rPr>
          <w:lang w:val="en-US" w:bidi="en-US"/>
        </w:rPr>
      </w:pPr>
    </w:p>
    <w:p w14:paraId="601C6AE6" w14:textId="77777777" w:rsidR="00F82F2D" w:rsidRDefault="00F82F2D" w:rsidP="00F82F2D">
      <w:pPr>
        <w:pStyle w:val="JuPara"/>
        <w:widowControl w:val="0"/>
        <w:ind w:firstLine="142"/>
        <w:rPr>
          <w:rFonts w:ascii="Times New Roman" w:hAnsi="Times New Roman"/>
          <w:noProof/>
        </w:rPr>
      </w:pPr>
      <w:r>
        <w:rPr>
          <w:rFonts w:ascii="Times New Roman" w:hAnsi="Times New Roman"/>
        </w:rPr>
        <w:t>439. Helsinku fonds norādīja, ka žurnālistu avotu aizsardzību apdraud ne tikai žurnālistu sakaru satura, bet arī saistīto metadatu uzraudzība, kas pati par sevi ļautu identificēt avotus un ziņotājus. Īpaši problemātiski bija tas, ka konfidenciālu informāciju varēja iegūt bez žurnālistu ziņas vai kontroles, tādējādi liedzot viņiem tiesības atsaukties uz konfidencialitāti un liedzot viņu avotiem iespēju paļauties uz konfidencialitātes garantijām.</w:t>
      </w:r>
    </w:p>
    <w:p w14:paraId="3D3DDD36" w14:textId="77777777" w:rsidR="00F82F2D" w:rsidRPr="008D031E" w:rsidRDefault="00F82F2D" w:rsidP="00F82F2D">
      <w:pPr>
        <w:pStyle w:val="JuPara"/>
        <w:widowControl w:val="0"/>
        <w:ind w:firstLine="0"/>
        <w:rPr>
          <w:rFonts w:ascii="Times New Roman" w:hAnsi="Times New Roman"/>
          <w:noProof/>
          <w:lang w:val="en-US"/>
        </w:rPr>
      </w:pPr>
    </w:p>
    <w:p w14:paraId="095C2A6D" w14:textId="77777777" w:rsidR="00F82F2D" w:rsidRDefault="00F82F2D" w:rsidP="00F82F2D">
      <w:pPr>
        <w:pStyle w:val="JuHi"/>
        <w:keepNext w:val="0"/>
        <w:keepLines w:val="0"/>
        <w:widowControl w:val="0"/>
        <w:numPr>
          <w:ilvl w:val="0"/>
          <w:numId w:val="0"/>
        </w:numPr>
        <w:spacing w:before="0" w:beforeAutospacing="0" w:after="0" w:line="240" w:lineRule="auto"/>
        <w:outlineLvl w:val="9"/>
        <w:rPr>
          <w:rFonts w:ascii="Times New Roman" w:hAnsi="Times New Roman"/>
          <w:noProof/>
          <w:sz w:val="24"/>
        </w:rPr>
      </w:pPr>
      <w:r>
        <w:rPr>
          <w:rFonts w:ascii="Times New Roman" w:hAnsi="Times New Roman"/>
          <w:sz w:val="24"/>
        </w:rPr>
        <w:t>vi) Plašsaziņas līdzekļu juristu asociācija (turpmāk tekstā – “</w:t>
      </w:r>
      <w:proofErr w:type="spellStart"/>
      <w:r>
        <w:rPr>
          <w:rFonts w:ascii="Times New Roman" w:hAnsi="Times New Roman"/>
          <w:sz w:val="24"/>
        </w:rPr>
        <w:t>MLA</w:t>
      </w:r>
      <w:proofErr w:type="spellEnd"/>
      <w:r>
        <w:rPr>
          <w:rFonts w:ascii="Times New Roman" w:hAnsi="Times New Roman"/>
          <w:sz w:val="24"/>
        </w:rPr>
        <w:t>”)</w:t>
      </w:r>
    </w:p>
    <w:p w14:paraId="2FD447DA" w14:textId="77777777" w:rsidR="00F82F2D" w:rsidRPr="00EB25F6" w:rsidRDefault="00F82F2D" w:rsidP="00F82F2D">
      <w:pPr>
        <w:pStyle w:val="JuPara"/>
        <w:widowControl w:val="0"/>
        <w:rPr>
          <w:lang w:val="en-US" w:bidi="en-US"/>
        </w:rPr>
      </w:pPr>
    </w:p>
    <w:p w14:paraId="7DD54F22" w14:textId="77777777" w:rsidR="00F82F2D" w:rsidRDefault="00F82F2D" w:rsidP="00F82F2D">
      <w:pPr>
        <w:pStyle w:val="JuPara"/>
        <w:widowControl w:val="0"/>
        <w:ind w:firstLine="142"/>
        <w:rPr>
          <w:rFonts w:ascii="Times New Roman" w:hAnsi="Times New Roman"/>
          <w:noProof/>
        </w:rPr>
      </w:pPr>
      <w:r>
        <w:rPr>
          <w:rFonts w:ascii="Times New Roman" w:hAnsi="Times New Roman"/>
        </w:rPr>
        <w:t xml:space="preserve">440. </w:t>
      </w:r>
      <w:proofErr w:type="spellStart"/>
      <w:r>
        <w:rPr>
          <w:rFonts w:ascii="Times New Roman" w:hAnsi="Times New Roman"/>
          <w:i/>
          <w:iCs/>
        </w:rPr>
        <w:t>MLA</w:t>
      </w:r>
      <w:proofErr w:type="spellEnd"/>
      <w:r>
        <w:rPr>
          <w:rFonts w:ascii="Times New Roman" w:hAnsi="Times New Roman"/>
        </w:rPr>
        <w:t xml:space="preserve"> pauda bažas, ka masveida uzraudzības režīmi varēja pārtvert žurnālistikas sakarus un sakaru datus, kas varētu identificēt avotus. Tās ieskatā žurnālistikas materiāla pārtveršana vien varētu pārkāpt Konvencijas 10. pantu, pat ja šo materiālu faktiski neanalizētu. Tāpēc ir ļoti svarīgi ieviest atbilstošus drošības pasākumus, lai aizsargātu žurnālistikas avotu konfidencialitāti neatkarīgi no informācijas apkopošanas nolūka. Turklāt režīms, kas ļauj valstīm pārtvert žurnālistu sakarus bez iepriekšējas tiesas atļaujas, visticamāk, ietekmēs žurnālistiku, kas ir sabiedrības interesēs, jo šādu sižetu būtība nozīmēja, ka valsts būtu īpaši ieinteresēta avotu identificēšanā. Risks būtu vēl jo nopietnāks tad, ja avots ir valdības trauksmes cēlējs. Nozīmīga bija atturošā ietekme, ko rada iespējamība, ka šie avoti tiks identificēti. Līdz ar to </w:t>
      </w:r>
      <w:proofErr w:type="spellStart"/>
      <w:r>
        <w:rPr>
          <w:rFonts w:ascii="Times New Roman" w:hAnsi="Times New Roman"/>
          <w:i/>
          <w:iCs/>
        </w:rPr>
        <w:t>MLA</w:t>
      </w:r>
      <w:proofErr w:type="spellEnd"/>
      <w:r>
        <w:rPr>
          <w:rFonts w:ascii="Times New Roman" w:hAnsi="Times New Roman"/>
        </w:rPr>
        <w:t xml:space="preserve"> apgalvoja, ka vismaz 10. pants paredz iepriekšēju neatkarīgu tiesas pārraudzību attiecībā uz jebkuru mēģinājumu iegūt žurnālistikas materiālu vai identificēt žurnālistikas avotus un ka tiesas process ir </w:t>
      </w:r>
      <w:proofErr w:type="spellStart"/>
      <w:r>
        <w:rPr>
          <w:rFonts w:ascii="Times New Roman" w:hAnsi="Times New Roman"/>
          <w:i/>
          <w:iCs/>
        </w:rPr>
        <w:t>inter</w:t>
      </w:r>
      <w:proofErr w:type="spellEnd"/>
      <w:r>
        <w:rPr>
          <w:rFonts w:ascii="Times New Roman" w:hAnsi="Times New Roman"/>
          <w:i/>
          <w:iCs/>
        </w:rPr>
        <w:t> </w:t>
      </w:r>
      <w:proofErr w:type="spellStart"/>
      <w:r>
        <w:rPr>
          <w:rFonts w:ascii="Times New Roman" w:hAnsi="Times New Roman"/>
          <w:i/>
          <w:iCs/>
        </w:rPr>
        <w:t>partes</w:t>
      </w:r>
      <w:proofErr w:type="spellEnd"/>
      <w:r>
        <w:rPr>
          <w:rFonts w:ascii="Times New Roman" w:hAnsi="Times New Roman"/>
        </w:rPr>
        <w:t>.</w:t>
      </w:r>
    </w:p>
    <w:p w14:paraId="7B49BC7D" w14:textId="77777777" w:rsidR="00F82F2D" w:rsidRPr="008D031E" w:rsidRDefault="00F82F2D" w:rsidP="00F82F2D">
      <w:pPr>
        <w:pStyle w:val="JuPara"/>
        <w:widowControl w:val="0"/>
        <w:ind w:firstLine="142"/>
        <w:rPr>
          <w:rFonts w:ascii="Times New Roman" w:hAnsi="Times New Roman"/>
          <w:noProof/>
          <w:lang w:val="en-US"/>
        </w:rPr>
      </w:pPr>
    </w:p>
    <w:p w14:paraId="56D11267" w14:textId="77777777" w:rsidR="00F82F2D" w:rsidRDefault="00F82F2D" w:rsidP="00F82F2D">
      <w:pPr>
        <w:pStyle w:val="JuHi"/>
        <w:keepNext w:val="0"/>
        <w:keepLines w:val="0"/>
        <w:widowControl w:val="0"/>
        <w:numPr>
          <w:ilvl w:val="0"/>
          <w:numId w:val="0"/>
        </w:numPr>
        <w:spacing w:before="0" w:beforeAutospacing="0" w:after="0" w:line="240" w:lineRule="auto"/>
        <w:outlineLvl w:val="9"/>
        <w:rPr>
          <w:rFonts w:ascii="Times New Roman" w:hAnsi="Times New Roman"/>
          <w:noProof/>
          <w:sz w:val="24"/>
        </w:rPr>
      </w:pPr>
      <w:r>
        <w:rPr>
          <w:rFonts w:ascii="Times New Roman" w:hAnsi="Times New Roman"/>
          <w:sz w:val="24"/>
        </w:rPr>
        <w:t>vii) Nacionālā Žurnālistu biedrība (turpmāk tekstā – “</w:t>
      </w:r>
      <w:proofErr w:type="spellStart"/>
      <w:r>
        <w:rPr>
          <w:rFonts w:ascii="Times New Roman" w:hAnsi="Times New Roman"/>
          <w:sz w:val="24"/>
        </w:rPr>
        <w:t>NUJ</w:t>
      </w:r>
      <w:proofErr w:type="spellEnd"/>
      <w:r>
        <w:rPr>
          <w:rFonts w:ascii="Times New Roman" w:hAnsi="Times New Roman"/>
          <w:sz w:val="24"/>
        </w:rPr>
        <w:t>”) un Starptautiskā Žurnālistu federācija (turpmāk tekstā – “</w:t>
      </w:r>
      <w:proofErr w:type="spellStart"/>
      <w:r>
        <w:rPr>
          <w:rFonts w:ascii="Times New Roman" w:hAnsi="Times New Roman"/>
          <w:sz w:val="24"/>
        </w:rPr>
        <w:t>IFJ</w:t>
      </w:r>
      <w:proofErr w:type="spellEnd"/>
      <w:r>
        <w:rPr>
          <w:rFonts w:ascii="Times New Roman" w:hAnsi="Times New Roman"/>
          <w:sz w:val="24"/>
        </w:rPr>
        <w:t>”)</w:t>
      </w:r>
    </w:p>
    <w:p w14:paraId="2DBBD129" w14:textId="77777777" w:rsidR="00F82F2D" w:rsidRPr="00B448F0" w:rsidRDefault="00F82F2D" w:rsidP="00F82F2D">
      <w:pPr>
        <w:pStyle w:val="JuPara"/>
        <w:widowControl w:val="0"/>
        <w:rPr>
          <w:lang w:val="en-US" w:bidi="en-US"/>
        </w:rPr>
      </w:pPr>
    </w:p>
    <w:p w14:paraId="1953E046" w14:textId="77777777" w:rsidR="00F82F2D" w:rsidRDefault="00F82F2D" w:rsidP="00F82F2D">
      <w:pPr>
        <w:pStyle w:val="JuPara"/>
        <w:widowControl w:val="0"/>
        <w:ind w:firstLine="142"/>
        <w:rPr>
          <w:rFonts w:ascii="Times New Roman" w:hAnsi="Times New Roman"/>
          <w:noProof/>
        </w:rPr>
      </w:pPr>
      <w:r>
        <w:rPr>
          <w:rFonts w:ascii="Times New Roman" w:hAnsi="Times New Roman"/>
        </w:rPr>
        <w:t xml:space="preserve">441. </w:t>
      </w:r>
      <w:proofErr w:type="spellStart"/>
      <w:r>
        <w:rPr>
          <w:rFonts w:ascii="Times New Roman" w:hAnsi="Times New Roman"/>
          <w:i/>
          <w:iCs/>
        </w:rPr>
        <w:t>NUJ</w:t>
      </w:r>
      <w:proofErr w:type="spellEnd"/>
      <w:r>
        <w:rPr>
          <w:rFonts w:ascii="Times New Roman" w:hAnsi="Times New Roman"/>
        </w:rPr>
        <w:t xml:space="preserve"> un </w:t>
      </w:r>
      <w:proofErr w:type="spellStart"/>
      <w:r>
        <w:rPr>
          <w:rFonts w:ascii="Times New Roman" w:hAnsi="Times New Roman"/>
          <w:i/>
          <w:iCs/>
        </w:rPr>
        <w:t>IFJ</w:t>
      </w:r>
      <w:proofErr w:type="spellEnd"/>
      <w:r>
        <w:rPr>
          <w:rFonts w:ascii="Times New Roman" w:hAnsi="Times New Roman"/>
        </w:rPr>
        <w:t xml:space="preserve"> apgalvoja, ka avotu konfidencialitāte ir neatņemams preses brīvības elements. Tās arī pauda bažas par iespējamu Apvienotās Karalistes saglabāto datu kopīgošanu ar citām valstīm. Ja konfidenciālu žurnālistikas materiālu kopīgotu ar valsti, kurai drošas apstrādes ziņā nevar uzticēties, tas varētu nonākt tādu cilvēku rokās, kas kaitētu žurnālistam(-</w:t>
      </w:r>
      <w:proofErr w:type="spellStart"/>
      <w:r>
        <w:rPr>
          <w:rFonts w:ascii="Times New Roman" w:hAnsi="Times New Roman"/>
        </w:rPr>
        <w:t>ei</w:t>
      </w:r>
      <w:proofErr w:type="spellEnd"/>
      <w:r>
        <w:rPr>
          <w:rFonts w:ascii="Times New Roman" w:hAnsi="Times New Roman"/>
        </w:rPr>
        <w:t>) vai viņa(-</w:t>
      </w:r>
      <w:proofErr w:type="spellStart"/>
      <w:r>
        <w:rPr>
          <w:rFonts w:ascii="Times New Roman" w:hAnsi="Times New Roman"/>
        </w:rPr>
        <w:t>as</w:t>
      </w:r>
      <w:proofErr w:type="spellEnd"/>
      <w:r>
        <w:rPr>
          <w:rFonts w:ascii="Times New Roman" w:hAnsi="Times New Roman"/>
        </w:rPr>
        <w:t xml:space="preserve">) avotam. Puses, kas iestājušās lietā, uzskatīja, ka drošības pasākumi atjauninātajā </w:t>
      </w:r>
      <w:proofErr w:type="spellStart"/>
      <w:r>
        <w:rPr>
          <w:rFonts w:ascii="Times New Roman" w:hAnsi="Times New Roman"/>
          <w:i/>
          <w:iCs/>
        </w:rPr>
        <w:t>IC</w:t>
      </w:r>
      <w:proofErr w:type="spellEnd"/>
      <w:r>
        <w:rPr>
          <w:rFonts w:ascii="Times New Roman" w:hAnsi="Times New Roman"/>
        </w:rPr>
        <w:t xml:space="preserve"> kodeksā un Sakaru datu iegūšanas prakses kodeksā nebija atbilstoši, jo īpaši tad, kad žurnālists(-e) vai viņa(-</w:t>
      </w:r>
      <w:proofErr w:type="spellStart"/>
      <w:r>
        <w:rPr>
          <w:rFonts w:ascii="Times New Roman" w:hAnsi="Times New Roman"/>
        </w:rPr>
        <w:t>as</w:t>
      </w:r>
      <w:proofErr w:type="spellEnd"/>
      <w:r>
        <w:rPr>
          <w:rFonts w:ascii="Times New Roman" w:hAnsi="Times New Roman"/>
        </w:rPr>
        <w:t>) avota identificēšana nebija uzraudzības pasākuma mērķis.</w:t>
      </w:r>
    </w:p>
    <w:p w14:paraId="41CF90C1" w14:textId="77777777" w:rsidR="00F82F2D" w:rsidRPr="008D031E" w:rsidRDefault="00F82F2D" w:rsidP="00F82F2D">
      <w:pPr>
        <w:pStyle w:val="JuPara"/>
        <w:widowControl w:val="0"/>
        <w:ind w:firstLine="0"/>
        <w:rPr>
          <w:rFonts w:ascii="Times New Roman" w:hAnsi="Times New Roman"/>
          <w:noProof/>
          <w:lang w:val="en-US"/>
        </w:rPr>
      </w:pPr>
    </w:p>
    <w:p w14:paraId="52F12636" w14:textId="77777777" w:rsidR="00F82F2D" w:rsidRDefault="00F82F2D" w:rsidP="00F82F2D">
      <w:pPr>
        <w:pStyle w:val="JuH1"/>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3. Tiesas vērtējums</w:t>
      </w:r>
    </w:p>
    <w:p w14:paraId="0853C741" w14:textId="77777777" w:rsidR="00F82F2D" w:rsidRPr="00B448F0" w:rsidRDefault="00F82F2D" w:rsidP="00F82F2D">
      <w:pPr>
        <w:pStyle w:val="JuPara"/>
        <w:widowControl w:val="0"/>
        <w:rPr>
          <w:lang w:val="en-US"/>
        </w:rPr>
      </w:pPr>
    </w:p>
    <w:p w14:paraId="110FAFBB" w14:textId="77777777" w:rsidR="00F82F2D" w:rsidRDefault="00F82F2D" w:rsidP="00F82F2D">
      <w:pPr>
        <w:pStyle w:val="JuHa0"/>
        <w:keepNext w:val="0"/>
        <w:keepLines w:val="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a) Žurnālistikas avotu aizsardzības galvenie principi</w:t>
      </w:r>
    </w:p>
    <w:p w14:paraId="21D5455E" w14:textId="77777777" w:rsidR="00F82F2D" w:rsidRPr="00B448F0" w:rsidRDefault="00F82F2D" w:rsidP="00F82F2D">
      <w:pPr>
        <w:pStyle w:val="JuPara"/>
        <w:widowControl w:val="0"/>
        <w:rPr>
          <w:lang w:val="en-US"/>
        </w:rPr>
      </w:pPr>
    </w:p>
    <w:p w14:paraId="0DD2F5FA"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442. Tā kā vārda brīvība ir viens no būtiskākajiem demokrātiskas sabiedrības pamatiem, Tiesa Konvencijas 10. pantā minētajos gadījumos vienmēr ir rūpīgi izvērtējusi drošības pasākumus saistībā ar brīvību. Uz presi attiecināmajiem drošības pasākumiem ir īpaša nozīme, un žurnālistikas avotu aizsardzība ir viens no preses brīvības stūrakmeņiem. Bez šādas aizsardzības avoti var atturēties sniegt palīdzību presei, kad tā informē sabiedrību par sabiedrības interesēs esošiem jautājumiem. Līdz ar to var tikt apdraudēta preses svarīgā sabiedrības “sargsuņa” loma un negatīvi ietekmēta preses spēja sniegt precīzu un uzticamu </w:t>
      </w:r>
      <w:r>
        <w:rPr>
          <w:rFonts w:ascii="Times New Roman" w:hAnsi="Times New Roman"/>
        </w:rPr>
        <w:lastRenderedPageBreak/>
        <w:t xml:space="preserve">informāciju (skat. </w:t>
      </w:r>
      <w:proofErr w:type="spellStart"/>
      <w:r>
        <w:rPr>
          <w:rFonts w:ascii="Times New Roman" w:hAnsi="Times New Roman"/>
          <w:i/>
          <w:iCs/>
        </w:rPr>
        <w:t>inter</w:t>
      </w:r>
      <w:proofErr w:type="spellEnd"/>
      <w:r>
        <w:rPr>
          <w:rFonts w:ascii="Times New Roman" w:hAnsi="Times New Roman"/>
          <w:i/>
          <w:iCs/>
        </w:rPr>
        <w:t xml:space="preserve"> </w:t>
      </w:r>
      <w:proofErr w:type="spellStart"/>
      <w:r>
        <w:rPr>
          <w:rFonts w:ascii="Times New Roman" w:hAnsi="Times New Roman"/>
          <w:i/>
          <w:iCs/>
        </w:rPr>
        <w:t>alia</w:t>
      </w:r>
      <w:proofErr w:type="spellEnd"/>
      <w:r>
        <w:rPr>
          <w:rFonts w:ascii="Times New Roman" w:hAnsi="Times New Roman"/>
        </w:rPr>
        <w:t xml:space="preserve"> 1996. gada 27. marta sprieduma lietā Nr. 17488/90 “</w:t>
      </w:r>
      <w:proofErr w:type="spellStart"/>
      <w:r>
        <w:rPr>
          <w:rFonts w:ascii="Times New Roman" w:hAnsi="Times New Roman"/>
        </w:rPr>
        <w:t>Gudvina</w:t>
      </w:r>
      <w:proofErr w:type="spellEnd"/>
      <w:r>
        <w:rPr>
          <w:rFonts w:ascii="Times New Roman" w:hAnsi="Times New Roman"/>
        </w:rPr>
        <w:t xml:space="preserve"> [</w:t>
      </w:r>
      <w:proofErr w:type="spellStart"/>
      <w:r>
        <w:rPr>
          <w:rFonts w:ascii="Times New Roman" w:hAnsi="Times New Roman"/>
          <w:i/>
          <w:iCs/>
        </w:rPr>
        <w:t>Goodwin</w:t>
      </w:r>
      <w:proofErr w:type="spellEnd"/>
      <w:r>
        <w:rPr>
          <w:rFonts w:ascii="Times New Roman" w:hAnsi="Times New Roman"/>
        </w:rPr>
        <w:t>] pret Apvienoto Karalisti” 39. punktu, iepriekš minētā sprieduma lietā “</w:t>
      </w:r>
      <w:proofErr w:type="spellStart"/>
      <w:r>
        <w:rPr>
          <w:rFonts w:ascii="Times New Roman" w:hAnsi="Times New Roman"/>
        </w:rPr>
        <w:t>Sanoma</w:t>
      </w:r>
      <w:proofErr w:type="spellEnd"/>
      <w:r>
        <w:rPr>
          <w:rFonts w:ascii="Times New Roman" w:hAnsi="Times New Roman"/>
        </w:rPr>
        <w:t xml:space="preserve"> </w:t>
      </w:r>
      <w:proofErr w:type="spellStart"/>
      <w:r>
        <w:rPr>
          <w:rFonts w:ascii="Times New Roman" w:hAnsi="Times New Roman"/>
        </w:rPr>
        <w:t>Uitgevers</w:t>
      </w:r>
      <w:proofErr w:type="spellEnd"/>
      <w:r>
        <w:rPr>
          <w:rFonts w:ascii="Times New Roman" w:hAnsi="Times New Roman"/>
        </w:rPr>
        <w:t xml:space="preserve"> </w:t>
      </w:r>
      <w:proofErr w:type="spellStart"/>
      <w:r>
        <w:rPr>
          <w:rFonts w:ascii="Times New Roman" w:hAnsi="Times New Roman"/>
        </w:rPr>
        <w:t>B.V</w:t>
      </w:r>
      <w:proofErr w:type="spellEnd"/>
      <w:r>
        <w:rPr>
          <w:rFonts w:ascii="Times New Roman" w:hAnsi="Times New Roman"/>
        </w:rPr>
        <w:t xml:space="preserve">.” 50. punktu, kā arī iepriekš minētā sprieduma lietā “Vēbere un </w:t>
      </w:r>
      <w:proofErr w:type="spellStart"/>
      <w:r>
        <w:rPr>
          <w:rFonts w:ascii="Times New Roman" w:hAnsi="Times New Roman"/>
        </w:rPr>
        <w:t>Sarāvija</w:t>
      </w:r>
      <w:proofErr w:type="spellEnd"/>
      <w:r>
        <w:rPr>
          <w:rFonts w:ascii="Times New Roman" w:hAnsi="Times New Roman"/>
        </w:rPr>
        <w:t>” 143. punktu).</w:t>
      </w:r>
    </w:p>
    <w:p w14:paraId="71332E97"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443. Rīkojumi atklāt avotus var negatīvi ietekmēt ne tikai avotu, kura identitāte var tikt atklāta, bet arī laikrakstu vai citu izdevumu, pret kuru rīkojums ir vērsts un kura reputācija šādas informācijas izpaušanas dēļ var tikt negatīvi ietekmēta turpmāko potenciālo avotu acīs, kā arī sabiedrības locekļus, kuri ir ieinteresēti saņemt no anonīmiem avotiem iegūto informāciju. Tomēr pastāv “būtiska atšķirība” starp iestādēm, kas uzliek žurnālistam par pienākumu atklāt viņa avotu identitāti, un iestādēm, kas veic kratīšanu žurnālista mājās un darba vietā, lai atklātu viņa avotus (sal. ar iepriekš minētā sprieduma lietā “</w:t>
      </w:r>
      <w:proofErr w:type="spellStart"/>
      <w:r>
        <w:rPr>
          <w:rFonts w:ascii="Times New Roman" w:hAnsi="Times New Roman"/>
        </w:rPr>
        <w:t>Gudvina</w:t>
      </w:r>
      <w:proofErr w:type="spellEnd"/>
      <w:r>
        <w:rPr>
          <w:rFonts w:ascii="Times New Roman" w:hAnsi="Times New Roman"/>
        </w:rPr>
        <w:t>” 39. punktu un ar sprieduma lietā Nr. 51772/99 “</w:t>
      </w:r>
      <w:proofErr w:type="spellStart"/>
      <w:r>
        <w:rPr>
          <w:rFonts w:ascii="Times New Roman" w:hAnsi="Times New Roman"/>
        </w:rPr>
        <w:t>Rēmens</w:t>
      </w:r>
      <w:proofErr w:type="spellEnd"/>
      <w:r>
        <w:rPr>
          <w:rFonts w:ascii="Times New Roman" w:hAnsi="Times New Roman"/>
        </w:rPr>
        <w:t xml:space="preserve"> [</w:t>
      </w:r>
      <w:proofErr w:type="spellStart"/>
      <w:r>
        <w:rPr>
          <w:rFonts w:ascii="Times New Roman" w:hAnsi="Times New Roman"/>
          <w:i/>
          <w:iCs/>
        </w:rPr>
        <w:t>Roemen</w:t>
      </w:r>
      <w:proofErr w:type="spellEnd"/>
      <w:r>
        <w:rPr>
          <w:rFonts w:ascii="Times New Roman" w:hAnsi="Times New Roman"/>
        </w:rPr>
        <w:t>] un Šmita [</w:t>
      </w:r>
      <w:proofErr w:type="spellStart"/>
      <w:r>
        <w:rPr>
          <w:rFonts w:ascii="Times New Roman" w:hAnsi="Times New Roman"/>
          <w:i/>
          <w:iCs/>
        </w:rPr>
        <w:t>Schmit</w:t>
      </w:r>
      <w:proofErr w:type="spellEnd"/>
      <w:r>
        <w:rPr>
          <w:rFonts w:ascii="Times New Roman" w:hAnsi="Times New Roman"/>
        </w:rPr>
        <w:t xml:space="preserve">] pret Luksemburgu” 57. punktu, </w:t>
      </w:r>
      <w:proofErr w:type="spellStart"/>
      <w:r>
        <w:rPr>
          <w:rFonts w:ascii="Times New Roman" w:hAnsi="Times New Roman"/>
        </w:rPr>
        <w:t>ECT</w:t>
      </w:r>
      <w:proofErr w:type="spellEnd"/>
      <w:r>
        <w:rPr>
          <w:rFonts w:ascii="Times New Roman" w:hAnsi="Times New Roman"/>
        </w:rPr>
        <w:t> 2003-IV). Pēdējais no minētajiem, pat ja šāda rīcība nav sniegusi rezultātus, ir drastiskāks pasākums nekā rīkojums izpaust avota identitāti, jo izmeklētājiem, kuri veic kratīšanu žurnālista darba vietā, ir piekļuve visiem žurnālista rīcībā esošajiem dokumentiem (skat. iepriekš minētā sprieduma lietā “</w:t>
      </w:r>
      <w:proofErr w:type="spellStart"/>
      <w:r>
        <w:rPr>
          <w:rFonts w:ascii="Times New Roman" w:hAnsi="Times New Roman"/>
        </w:rPr>
        <w:t>Rēmens</w:t>
      </w:r>
      <w:proofErr w:type="spellEnd"/>
      <w:r>
        <w:rPr>
          <w:rFonts w:ascii="Times New Roman" w:hAnsi="Times New Roman"/>
        </w:rPr>
        <w:t xml:space="preserve"> un Šmita” 57. punktu).</w:t>
      </w:r>
    </w:p>
    <w:p w14:paraId="538F4E97"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444. Iejaukšanās tiesībās uz žurnālistikas avotu aizsardzību nevar atbilst Konvencijas 10. pantam, ja vien to nepamato kāda absolūta prasība sabiedrības interesēs (skat. iepriekš minētā sprieduma lietā “</w:t>
      </w:r>
      <w:proofErr w:type="spellStart"/>
      <w:r>
        <w:rPr>
          <w:rFonts w:ascii="Times New Roman" w:hAnsi="Times New Roman"/>
        </w:rPr>
        <w:t>Sanoma</w:t>
      </w:r>
      <w:proofErr w:type="spellEnd"/>
      <w:r>
        <w:rPr>
          <w:rFonts w:ascii="Times New Roman" w:hAnsi="Times New Roman"/>
        </w:rPr>
        <w:t xml:space="preserve"> </w:t>
      </w:r>
      <w:proofErr w:type="spellStart"/>
      <w:r>
        <w:rPr>
          <w:rFonts w:ascii="Times New Roman" w:hAnsi="Times New Roman"/>
        </w:rPr>
        <w:t>Uitgevers</w:t>
      </w:r>
      <w:proofErr w:type="spellEnd"/>
      <w:r>
        <w:rPr>
          <w:rFonts w:ascii="Times New Roman" w:hAnsi="Times New Roman"/>
        </w:rPr>
        <w:t xml:space="preserve"> </w:t>
      </w:r>
      <w:proofErr w:type="spellStart"/>
      <w:r>
        <w:rPr>
          <w:rFonts w:ascii="Times New Roman" w:hAnsi="Times New Roman"/>
        </w:rPr>
        <w:t>B.V</w:t>
      </w:r>
      <w:proofErr w:type="spellEnd"/>
      <w:r>
        <w:rPr>
          <w:rFonts w:ascii="Times New Roman" w:hAnsi="Times New Roman"/>
        </w:rPr>
        <w:t>.” 51. punktu, iepriekš minētā sprieduma lietā “</w:t>
      </w:r>
      <w:proofErr w:type="spellStart"/>
      <w:r>
        <w:rPr>
          <w:rFonts w:ascii="Times New Roman" w:hAnsi="Times New Roman"/>
        </w:rPr>
        <w:t>Gudvina</w:t>
      </w:r>
      <w:proofErr w:type="spellEnd"/>
      <w:r>
        <w:rPr>
          <w:rFonts w:ascii="Times New Roman" w:hAnsi="Times New Roman"/>
        </w:rPr>
        <w:t>” 39. punktu, iepriekš minētā sprieduma lietā “</w:t>
      </w:r>
      <w:proofErr w:type="spellStart"/>
      <w:r>
        <w:rPr>
          <w:rFonts w:ascii="Times New Roman" w:hAnsi="Times New Roman"/>
        </w:rPr>
        <w:t>Rēmens</w:t>
      </w:r>
      <w:proofErr w:type="spellEnd"/>
      <w:r>
        <w:rPr>
          <w:rFonts w:ascii="Times New Roman" w:hAnsi="Times New Roman"/>
        </w:rPr>
        <w:t xml:space="preserve"> un Šmita” 46. punktu, kā arī 2007. gada 22. novembra sprieduma lietā Nr. 64752/01 “</w:t>
      </w:r>
      <w:proofErr w:type="spellStart"/>
      <w:r>
        <w:rPr>
          <w:rFonts w:ascii="Times New Roman" w:hAnsi="Times New Roman"/>
        </w:rPr>
        <w:t>Voskuils</w:t>
      </w:r>
      <w:proofErr w:type="spellEnd"/>
      <w:r>
        <w:rPr>
          <w:rFonts w:ascii="Times New Roman" w:hAnsi="Times New Roman"/>
        </w:rPr>
        <w:t xml:space="preserve"> [</w:t>
      </w:r>
      <w:proofErr w:type="spellStart"/>
      <w:r>
        <w:rPr>
          <w:rFonts w:ascii="Times New Roman" w:hAnsi="Times New Roman"/>
          <w:i/>
          <w:iCs/>
        </w:rPr>
        <w:t>Voskuil</w:t>
      </w:r>
      <w:proofErr w:type="spellEnd"/>
      <w:r>
        <w:rPr>
          <w:rFonts w:ascii="Times New Roman" w:hAnsi="Times New Roman"/>
        </w:rPr>
        <w:t>] pret Nīderlandi” 65. punktu). Turklāt jebkura iejaukšanās tiesībās uz žurnālistikas avotu aizsardzību ir jāveic, paredzot juridiskus procesuālus drošības pasākumus, kas ir samērīgi ar attiecīgā principa nozīmīgumu (skat. iepriekš minētā sprieduma lietā “</w:t>
      </w:r>
      <w:proofErr w:type="spellStart"/>
      <w:r>
        <w:rPr>
          <w:rFonts w:ascii="Times New Roman" w:hAnsi="Times New Roman"/>
        </w:rPr>
        <w:t>Sanoma</w:t>
      </w:r>
      <w:proofErr w:type="spellEnd"/>
      <w:r>
        <w:rPr>
          <w:rFonts w:ascii="Times New Roman" w:hAnsi="Times New Roman"/>
        </w:rPr>
        <w:t xml:space="preserve"> </w:t>
      </w:r>
      <w:proofErr w:type="spellStart"/>
      <w:r>
        <w:rPr>
          <w:rFonts w:ascii="Times New Roman" w:hAnsi="Times New Roman"/>
        </w:rPr>
        <w:t>Uitgevers</w:t>
      </w:r>
      <w:proofErr w:type="spellEnd"/>
      <w:r>
        <w:rPr>
          <w:rFonts w:ascii="Times New Roman" w:hAnsi="Times New Roman"/>
        </w:rPr>
        <w:t xml:space="preserve"> </w:t>
      </w:r>
      <w:proofErr w:type="spellStart"/>
      <w:r>
        <w:rPr>
          <w:rFonts w:ascii="Times New Roman" w:hAnsi="Times New Roman"/>
        </w:rPr>
        <w:t>B.V</w:t>
      </w:r>
      <w:proofErr w:type="spellEnd"/>
      <w:r>
        <w:rPr>
          <w:rFonts w:ascii="Times New Roman" w:hAnsi="Times New Roman"/>
        </w:rPr>
        <w:t xml:space="preserve">.” 88.–89. punktu). Vissvarīgākā šo drošības pasākumu kontekstā ir garantija, ka pārskatīšanu veiks tiesnesis vai kāda neatkarīga un objektīva </w:t>
      </w:r>
      <w:proofErr w:type="spellStart"/>
      <w:r>
        <w:rPr>
          <w:rFonts w:ascii="Times New Roman" w:hAnsi="Times New Roman"/>
        </w:rPr>
        <w:t>lēmējstruktūra</w:t>
      </w:r>
      <w:proofErr w:type="spellEnd"/>
      <w:r>
        <w:rPr>
          <w:rFonts w:ascii="Times New Roman" w:hAnsi="Times New Roman"/>
        </w:rPr>
        <w:t>, kas ir pilnvarota noteikt, vai pirms šāda materiāla nodošanas sabiedrības interesēs pastāv prasība, kas ir svarīgāka par žurnālistikas avotu aizsardzības principu, un nepieļaut nevajadzīgu piekļuvi informācijai, kas var atklāt avotu identitāti, ja minētā prasība tāda nav (skat. iepriekš minētā sprieduma lietā “</w:t>
      </w:r>
      <w:proofErr w:type="spellStart"/>
      <w:r>
        <w:rPr>
          <w:rFonts w:ascii="Times New Roman" w:hAnsi="Times New Roman"/>
        </w:rPr>
        <w:t>Sanoma</w:t>
      </w:r>
      <w:proofErr w:type="spellEnd"/>
      <w:r>
        <w:rPr>
          <w:rFonts w:ascii="Times New Roman" w:hAnsi="Times New Roman"/>
        </w:rPr>
        <w:t xml:space="preserve"> </w:t>
      </w:r>
      <w:proofErr w:type="spellStart"/>
      <w:r>
        <w:rPr>
          <w:rFonts w:ascii="Times New Roman" w:hAnsi="Times New Roman"/>
        </w:rPr>
        <w:t>Uitgevers</w:t>
      </w:r>
      <w:proofErr w:type="spellEnd"/>
      <w:r>
        <w:rPr>
          <w:rFonts w:ascii="Times New Roman" w:hAnsi="Times New Roman"/>
        </w:rPr>
        <w:t xml:space="preserve"> </w:t>
      </w:r>
      <w:proofErr w:type="spellStart"/>
      <w:r>
        <w:rPr>
          <w:rFonts w:ascii="Times New Roman" w:hAnsi="Times New Roman"/>
        </w:rPr>
        <w:t>B.V</w:t>
      </w:r>
      <w:proofErr w:type="spellEnd"/>
      <w:r>
        <w:rPr>
          <w:rFonts w:ascii="Times New Roman" w:hAnsi="Times New Roman"/>
        </w:rPr>
        <w:t>.” 88.–90. punktu).</w:t>
      </w:r>
    </w:p>
    <w:p w14:paraId="3BC6DAE3" w14:textId="77777777" w:rsidR="00F82F2D" w:rsidRDefault="00F82F2D" w:rsidP="00F82F2D">
      <w:pPr>
        <w:pStyle w:val="JuPara"/>
        <w:widowControl w:val="0"/>
        <w:ind w:firstLine="142"/>
        <w:rPr>
          <w:rFonts w:ascii="Times New Roman" w:hAnsi="Times New Roman"/>
          <w:noProof/>
        </w:rPr>
      </w:pPr>
      <w:r>
        <w:rPr>
          <w:rFonts w:ascii="Times New Roman" w:hAnsi="Times New Roman"/>
        </w:rPr>
        <w:t>445. Ņemot vērā šādas pārskatīšanas preventīvo veidu, tiesnesim vai citai neatkarīgai un objektīvai struktūrai ir jāspēj izvērtēt šos potenciālos riskus un attiecīgās intereses pirms jebkādas informācijas izpaušanas, atsaucoties uz materiāliem, kurus tā vēlas atklāt, lai var atbilstoši izvērtēt iestāžu argumentus, pamatojoties uz kuriem tās vēlas izpaust informāciju. Uz pieņemamo lēmumu jāattiecina skaidri kritēriji, tostarp izvērtējot, vai ar mazāk ierobežojošu pasākumu var būt pietiekami, lai ievērotu primārās sabiedrības intereses. Tiesnesim vai citai iestādei jābūt iespējai atteikties izdot rīkojumu par informācijas izpaušanu vai izdot ierobežotu vai kvalificētu rīkojumu, lai aizsargātu avotus no atklāšanas neatkarīgi no tā, vai tie ir konkrēti norādīti iegūtajā materiālā, pamatojoties uz to, ka šāda materiāla paziņošana rada nopietnu risku apdraudēt žurnālistu avotu identitāti (skat. iepriekš minētā sprieduma lietā “</w:t>
      </w:r>
      <w:proofErr w:type="spellStart"/>
      <w:r>
        <w:rPr>
          <w:rFonts w:ascii="Times New Roman" w:hAnsi="Times New Roman"/>
        </w:rPr>
        <w:t>Sanoma</w:t>
      </w:r>
      <w:proofErr w:type="spellEnd"/>
      <w:r>
        <w:rPr>
          <w:rFonts w:ascii="Times New Roman" w:hAnsi="Times New Roman"/>
        </w:rPr>
        <w:t xml:space="preserve"> </w:t>
      </w:r>
      <w:proofErr w:type="spellStart"/>
      <w:r>
        <w:rPr>
          <w:rFonts w:ascii="Times New Roman" w:hAnsi="Times New Roman"/>
        </w:rPr>
        <w:t>Uitgevers</w:t>
      </w:r>
      <w:proofErr w:type="spellEnd"/>
      <w:r>
        <w:rPr>
          <w:rFonts w:ascii="Times New Roman" w:hAnsi="Times New Roman"/>
        </w:rPr>
        <w:t xml:space="preserve"> </w:t>
      </w:r>
      <w:proofErr w:type="spellStart"/>
      <w:r>
        <w:rPr>
          <w:rFonts w:ascii="Times New Roman" w:hAnsi="Times New Roman"/>
        </w:rPr>
        <w:t>B.V</w:t>
      </w:r>
      <w:proofErr w:type="spellEnd"/>
      <w:r>
        <w:rPr>
          <w:rFonts w:ascii="Times New Roman" w:hAnsi="Times New Roman"/>
        </w:rPr>
        <w:t>.” 92. punktu, kā arī lēmumu ““</w:t>
      </w:r>
      <w:proofErr w:type="spellStart"/>
      <w:r>
        <w:rPr>
          <w:rFonts w:ascii="Times New Roman" w:hAnsi="Times New Roman"/>
        </w:rPr>
        <w:t>Nordisk</w:t>
      </w:r>
      <w:proofErr w:type="spellEnd"/>
      <w:r>
        <w:rPr>
          <w:rFonts w:ascii="Times New Roman" w:hAnsi="Times New Roman"/>
        </w:rPr>
        <w:t xml:space="preserve"> </w:t>
      </w:r>
      <w:proofErr w:type="spellStart"/>
      <w:r>
        <w:rPr>
          <w:rFonts w:ascii="Times New Roman" w:hAnsi="Times New Roman"/>
        </w:rPr>
        <w:t>Film</w:t>
      </w:r>
      <w:proofErr w:type="spellEnd"/>
      <w:r>
        <w:rPr>
          <w:rFonts w:ascii="Times New Roman" w:hAnsi="Times New Roman"/>
        </w:rPr>
        <w:t xml:space="preserve"> &amp; TV A/S” pret Dāniju” (lēmums), Nr. 40485/02, </w:t>
      </w:r>
      <w:proofErr w:type="spellStart"/>
      <w:r>
        <w:rPr>
          <w:rFonts w:ascii="Times New Roman" w:hAnsi="Times New Roman"/>
        </w:rPr>
        <w:t>ECT</w:t>
      </w:r>
      <w:proofErr w:type="spellEnd"/>
      <w:r>
        <w:rPr>
          <w:rFonts w:ascii="Times New Roman" w:hAnsi="Times New Roman"/>
        </w:rPr>
        <w:t xml:space="preserve"> 2005-XIII). Steidzamās situācijās jābūt ieviestai procedūrai, lai identificētu un izolētu informāciju, ar kuru varētu identificēt avotus, no informācijas, kas nerada šādu risku, pirms iestādes izmanto šo materiālu (skat. </w:t>
      </w:r>
      <w:proofErr w:type="spellStart"/>
      <w:r>
        <w:rPr>
          <w:rFonts w:ascii="Times New Roman" w:hAnsi="Times New Roman"/>
          <w:i/>
          <w:iCs/>
        </w:rPr>
        <w:t>mutatis</w:t>
      </w:r>
      <w:proofErr w:type="spellEnd"/>
      <w:r>
        <w:rPr>
          <w:rFonts w:ascii="Times New Roman" w:hAnsi="Times New Roman"/>
          <w:i/>
          <w:iCs/>
        </w:rPr>
        <w:t> </w:t>
      </w:r>
      <w:proofErr w:type="spellStart"/>
      <w:r>
        <w:rPr>
          <w:rFonts w:ascii="Times New Roman" w:hAnsi="Times New Roman"/>
          <w:i/>
          <w:iCs/>
        </w:rPr>
        <w:t>mutandis</w:t>
      </w:r>
      <w:proofErr w:type="spellEnd"/>
      <w:r>
        <w:rPr>
          <w:rFonts w:ascii="Times New Roman" w:hAnsi="Times New Roman"/>
        </w:rPr>
        <w:t xml:space="preserve"> sprieduma lietā Nr. 74336/01 “</w:t>
      </w:r>
      <w:proofErr w:type="spellStart"/>
      <w:r>
        <w:rPr>
          <w:rFonts w:ascii="Times New Roman" w:hAnsi="Times New Roman"/>
        </w:rPr>
        <w:t>Vīzers</w:t>
      </w:r>
      <w:proofErr w:type="spellEnd"/>
      <w:r>
        <w:rPr>
          <w:rFonts w:ascii="Times New Roman" w:hAnsi="Times New Roman"/>
        </w:rPr>
        <w:t xml:space="preserve"> [</w:t>
      </w:r>
      <w:proofErr w:type="spellStart"/>
      <w:r>
        <w:rPr>
          <w:rFonts w:ascii="Times New Roman" w:hAnsi="Times New Roman"/>
          <w:i/>
          <w:iCs/>
        </w:rPr>
        <w:t>Wieser</w:t>
      </w:r>
      <w:proofErr w:type="spellEnd"/>
      <w:r>
        <w:rPr>
          <w:rFonts w:ascii="Times New Roman" w:hAnsi="Times New Roman"/>
        </w:rPr>
        <w:t>] un “</w:t>
      </w:r>
      <w:proofErr w:type="spellStart"/>
      <w:r>
        <w:rPr>
          <w:rFonts w:ascii="Times New Roman" w:hAnsi="Times New Roman"/>
        </w:rPr>
        <w:t>Bicos</w:t>
      </w:r>
      <w:proofErr w:type="spellEnd"/>
      <w:r>
        <w:rPr>
          <w:rFonts w:ascii="Times New Roman" w:hAnsi="Times New Roman"/>
        </w:rPr>
        <w:t xml:space="preserve"> </w:t>
      </w:r>
      <w:proofErr w:type="spellStart"/>
      <w:r>
        <w:rPr>
          <w:rFonts w:ascii="Times New Roman" w:hAnsi="Times New Roman"/>
        </w:rPr>
        <w:t>Beteiligungen</w:t>
      </w:r>
      <w:proofErr w:type="spellEnd"/>
      <w:r>
        <w:rPr>
          <w:rFonts w:ascii="Times New Roman" w:hAnsi="Times New Roman"/>
        </w:rPr>
        <w:t xml:space="preserve"> </w:t>
      </w:r>
      <w:proofErr w:type="spellStart"/>
      <w:r>
        <w:rPr>
          <w:rFonts w:ascii="Times New Roman" w:hAnsi="Times New Roman"/>
        </w:rPr>
        <w:t>GmbH</w:t>
      </w:r>
      <w:proofErr w:type="spellEnd"/>
      <w:r>
        <w:rPr>
          <w:rFonts w:ascii="Times New Roman" w:hAnsi="Times New Roman"/>
        </w:rPr>
        <w:t xml:space="preserve">” pret Austriju” 62.–66. punktu, </w:t>
      </w:r>
      <w:proofErr w:type="spellStart"/>
      <w:r>
        <w:rPr>
          <w:rFonts w:ascii="Times New Roman" w:hAnsi="Times New Roman"/>
        </w:rPr>
        <w:t>ECT</w:t>
      </w:r>
      <w:proofErr w:type="spellEnd"/>
      <w:r>
        <w:rPr>
          <w:rFonts w:ascii="Times New Roman" w:hAnsi="Times New Roman"/>
        </w:rPr>
        <w:t> 2007-XI).</w:t>
      </w:r>
    </w:p>
    <w:p w14:paraId="56C7FCBF" w14:textId="77777777" w:rsidR="00F82F2D" w:rsidRPr="008D031E" w:rsidRDefault="00F82F2D" w:rsidP="00F82F2D">
      <w:pPr>
        <w:pStyle w:val="JuPara"/>
        <w:widowControl w:val="0"/>
        <w:ind w:firstLine="142"/>
        <w:rPr>
          <w:rFonts w:ascii="Times New Roman" w:hAnsi="Times New Roman"/>
          <w:noProof/>
          <w:lang w:val="en-US"/>
        </w:rPr>
      </w:pPr>
    </w:p>
    <w:p w14:paraId="513813C3" w14:textId="77777777" w:rsidR="00F82F2D" w:rsidRDefault="00F82F2D" w:rsidP="00F8047C">
      <w:pPr>
        <w:pStyle w:val="JuHa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lastRenderedPageBreak/>
        <w:t>b) 10. pants masveida sakaru pārtveršanas kontekstā</w:t>
      </w:r>
    </w:p>
    <w:p w14:paraId="6F5AFAA6" w14:textId="77777777" w:rsidR="00F82F2D" w:rsidRPr="00673C24" w:rsidRDefault="00F82F2D" w:rsidP="00F8047C">
      <w:pPr>
        <w:pStyle w:val="JuPara"/>
        <w:keepNext/>
        <w:keepLines/>
        <w:widowControl w:val="0"/>
        <w:rPr>
          <w:lang w:val="en-US"/>
        </w:rPr>
      </w:pPr>
    </w:p>
    <w:p w14:paraId="104EB834" w14:textId="77777777" w:rsidR="00F82F2D" w:rsidRDefault="00F82F2D" w:rsidP="00F8047C">
      <w:pPr>
        <w:pStyle w:val="JuPara"/>
        <w:keepNext/>
        <w:keepLines/>
        <w:widowControl w:val="0"/>
        <w:ind w:firstLine="142"/>
        <w:rPr>
          <w:rFonts w:ascii="Times New Roman" w:hAnsi="Times New Roman"/>
          <w:noProof/>
        </w:rPr>
      </w:pPr>
      <w:r>
        <w:rPr>
          <w:rFonts w:ascii="Times New Roman" w:hAnsi="Times New Roman"/>
        </w:rPr>
        <w:t xml:space="preserve">446. Spriedumā lietā “Vēbere un </w:t>
      </w:r>
      <w:proofErr w:type="spellStart"/>
      <w:r>
        <w:rPr>
          <w:rFonts w:ascii="Times New Roman" w:hAnsi="Times New Roman"/>
        </w:rPr>
        <w:t>Sarāvija</w:t>
      </w:r>
      <w:proofErr w:type="spellEnd"/>
      <w:r>
        <w:rPr>
          <w:rFonts w:ascii="Times New Roman" w:hAnsi="Times New Roman"/>
        </w:rPr>
        <w:t xml:space="preserve">” Tiesa atzina, ka “stratēģiskās pārraudzības” režīms ir iejaucies pirmās pieteikuma iesniedzējas kā žurnālistes tiesībās uz vārda brīvību. Tomēr tā uzskatīja par izšķirošu, ka uzraudzības pasākumi nebija vērsti uz žurnālistu pārraudzību vai žurnālistu avotu atklāšanu. Tādējādi tā konstatēja, ka iejaukšanos pirmās pieteikuma iesniedzējas tiesībās uz vārda brīvību nevar kvalificēt kā īpaši būtisku, un, ņemot vērā ar to saistītos drošības pasākumus, tā atzina viņas sūdzības par nepieņemamām kā acīmredzami nepamatotām (skat. iepriekš minētā sprieduma lietā “Vēbere un </w:t>
      </w:r>
      <w:proofErr w:type="spellStart"/>
      <w:r>
        <w:rPr>
          <w:rFonts w:ascii="Times New Roman" w:hAnsi="Times New Roman"/>
        </w:rPr>
        <w:t>Sarāvija</w:t>
      </w:r>
      <w:proofErr w:type="spellEnd"/>
      <w:r>
        <w:rPr>
          <w:rFonts w:ascii="Times New Roman" w:hAnsi="Times New Roman"/>
        </w:rPr>
        <w:t>” 143.–145. un 151. punktu).</w:t>
      </w:r>
    </w:p>
    <w:p w14:paraId="36FD6D25" w14:textId="77777777" w:rsidR="00F82F2D" w:rsidRPr="008D031E" w:rsidRDefault="00F82F2D" w:rsidP="00F82F2D">
      <w:pPr>
        <w:pStyle w:val="JuPara"/>
        <w:widowControl w:val="0"/>
        <w:ind w:firstLine="0"/>
        <w:rPr>
          <w:rFonts w:ascii="Times New Roman" w:hAnsi="Times New Roman"/>
          <w:noProof/>
          <w:lang w:val="en-US"/>
        </w:rPr>
      </w:pPr>
    </w:p>
    <w:p w14:paraId="3350FE82" w14:textId="77777777" w:rsidR="00F82F2D" w:rsidRDefault="00F82F2D" w:rsidP="00F82F2D">
      <w:pPr>
        <w:pStyle w:val="JuHa0"/>
        <w:keepNext w:val="0"/>
        <w:keepLines w:val="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c) Šajā lietā izmantojamā pieeja</w:t>
      </w:r>
    </w:p>
    <w:p w14:paraId="45408171" w14:textId="77777777" w:rsidR="00F82F2D" w:rsidRPr="00673C24" w:rsidRDefault="00F82F2D" w:rsidP="00F82F2D">
      <w:pPr>
        <w:pStyle w:val="JuPara"/>
        <w:widowControl w:val="0"/>
        <w:rPr>
          <w:lang w:val="en-US"/>
        </w:rPr>
      </w:pPr>
    </w:p>
    <w:p w14:paraId="56B29913"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447. Saskaņā ar 8. panta 4. punktā noteikto režīmu izlūkdienesti varēja piekļūt konfidenciālam žurnālistikas materiālam vai nu apzināti, tieši izmantojot selektorus vai meklēšanas vārdus, kas saistīti ar žurnālistu vai ziņu organizāciju, vai arī netīši – kā masveida pārtveršanas operācijas “piezveju”.</w:t>
      </w:r>
    </w:p>
    <w:p w14:paraId="1CA7639E" w14:textId="77777777" w:rsidR="00F82F2D" w:rsidRPr="008D031E" w:rsidRDefault="00F82F2D" w:rsidP="00F82F2D">
      <w:pPr>
        <w:pStyle w:val="JuPara"/>
        <w:widowControl w:val="0"/>
        <w:ind w:firstLine="142"/>
        <w:rPr>
          <w:rFonts w:ascii="Times New Roman" w:hAnsi="Times New Roman"/>
          <w:noProof/>
        </w:rPr>
      </w:pPr>
      <w:bookmarkStart w:id="268" w:name="Article10test1"/>
      <w:r>
        <w:rPr>
          <w:rFonts w:ascii="Times New Roman" w:hAnsi="Times New Roman"/>
        </w:rPr>
        <w:t>448</w:t>
      </w:r>
      <w:bookmarkEnd w:id="268"/>
      <w:r>
        <w:rPr>
          <w:rFonts w:ascii="Times New Roman" w:hAnsi="Times New Roman"/>
        </w:rPr>
        <w:t>. Ja izlūkdienestu nolūks ir piekļūt konfidenciālam žurnālistikas materiālam, piemēram, apzināti izmantojot kādu spēcīgu selektoru, kas saistīts ar žurnālistu, vai ja šāda spēcīga selektora izvēles rezultātā pastāv liela varbūtība, ka šādu materiālu atlasīs pārbaudei, Tiesa uzskata, ka iejaukšanās būs samērīga ar kratīšanu žurnālista mājās vai darba vietā; neatkarīgi no tā, vai izlūkdienestu nolūks ir identificēt avotu, izmantot ar žurnālistu saistītus selektorus vai meklēšanas vārdus, visticamāk, tiktu iegūts liels konfidenciāla žurnālistikas materiāla apjoms, kas varētu apdraudēt avotu aizsardzību vēl vairāk nekā rīkojums atklāt avotu (skat. iepriekš minētā sprieduma lietā “</w:t>
      </w:r>
      <w:proofErr w:type="spellStart"/>
      <w:r>
        <w:rPr>
          <w:rFonts w:ascii="Times New Roman" w:hAnsi="Times New Roman"/>
        </w:rPr>
        <w:t>Rēmens</w:t>
      </w:r>
      <w:proofErr w:type="spellEnd"/>
      <w:r>
        <w:rPr>
          <w:rFonts w:ascii="Times New Roman" w:hAnsi="Times New Roman"/>
        </w:rPr>
        <w:t xml:space="preserve"> un Šmita” 57. punktu). Līdz ar to Tiesa uzskata, ka, pirms izlūkdienesti izmanto selektorus vai meklēšanas vārdus, par kuriem zināms, ka tie ir saistīti ar žurnālistu, vai ar kuriem konfidenciālo žurnālistikas materiālu, visticamāk, atlasītu pārbaudei, selektoru vai meklēšanas vārdu izmantošanai ir jāsaņem tiesneša vai kādas tādas neatkarīgas un objektīvas </w:t>
      </w:r>
      <w:proofErr w:type="spellStart"/>
      <w:r>
        <w:rPr>
          <w:rFonts w:ascii="Times New Roman" w:hAnsi="Times New Roman"/>
        </w:rPr>
        <w:t>lēmējstruktūras</w:t>
      </w:r>
      <w:proofErr w:type="spellEnd"/>
      <w:r>
        <w:rPr>
          <w:rFonts w:ascii="Times New Roman" w:hAnsi="Times New Roman"/>
        </w:rPr>
        <w:t xml:space="preserve"> atļauja, kas ir pilnvarota noteikt, vai to “pamato primāra prasība sabiedrības interesēs”, un jo īpaši noteikt, vai ar mazāk ierobežojošu pasākumu nebūtu pietiekami, lai ievērotu primārās sabiedrības intereses (skat. iepriekš minētā sprieduma lietā “</w:t>
      </w:r>
      <w:proofErr w:type="spellStart"/>
      <w:r>
        <w:rPr>
          <w:rFonts w:ascii="Times New Roman" w:hAnsi="Times New Roman"/>
        </w:rPr>
        <w:t>Sanoma</w:t>
      </w:r>
      <w:proofErr w:type="spellEnd"/>
      <w:r>
        <w:rPr>
          <w:rFonts w:ascii="Times New Roman" w:hAnsi="Times New Roman"/>
        </w:rPr>
        <w:t xml:space="preserve"> </w:t>
      </w:r>
      <w:proofErr w:type="spellStart"/>
      <w:r>
        <w:rPr>
          <w:rFonts w:ascii="Times New Roman" w:hAnsi="Times New Roman"/>
        </w:rPr>
        <w:t>Uitgevers</w:t>
      </w:r>
      <w:proofErr w:type="spellEnd"/>
      <w:r>
        <w:rPr>
          <w:rFonts w:ascii="Times New Roman" w:hAnsi="Times New Roman"/>
        </w:rPr>
        <w:t xml:space="preserve"> </w:t>
      </w:r>
      <w:proofErr w:type="spellStart"/>
      <w:r>
        <w:rPr>
          <w:rFonts w:ascii="Times New Roman" w:hAnsi="Times New Roman"/>
        </w:rPr>
        <w:t>B.V</w:t>
      </w:r>
      <w:proofErr w:type="spellEnd"/>
      <w:r>
        <w:rPr>
          <w:rFonts w:ascii="Times New Roman" w:hAnsi="Times New Roman"/>
        </w:rPr>
        <w:t>.” 90.–92. punktu).</w:t>
      </w:r>
    </w:p>
    <w:p w14:paraId="5CA56596"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449. Pat ja nav nolūka piekļūt konfidenciālam žurnālistikas materiālam un izmantotie selektori un meklēšanas vārdi nav tādi, ar kuriem konfidenciālo žurnālistikas materiālu, visticamāk, atlasītu pārbaudei, tomēr pastāv risks, ka šādu materiālu var pārtvert un pat pārbaudīt kā masveida pārtveršanas operācijas “piezveju”. Tiesas ieskatā šī situācija būtiski atšķiras no mērķētas žurnālista uzraudzības, īstenojot 8. panta 1. punktā vai 8. panta 4. punktā noteiktos režīmus. Tā kā jebkāda žurnālistikas sakaru pārtveršana būtu netīša, iejaukšanās apmēru tiesībās uz žurnālistikas sakaru un/vai avotu aizsardzību sākotnēji nevar paredzēt. Līdz ar to tiesnesis vai cita neatkarīga struktūra atļaujas izsniegšanas posmā nevarētu izvērtēt, vai šādu iejaukšanos “pamato primāra prasība sabiedrības interesēs” un, jo īpaši izvērtēt, vai ar mazāk ierobežojošu pasākumu nebūtu pietiekami, lai ievērotu primārās sabiedrības intereses.</w:t>
      </w:r>
    </w:p>
    <w:p w14:paraId="50370661" w14:textId="77777777" w:rsidR="00F82F2D" w:rsidRDefault="00F82F2D" w:rsidP="00F82F2D">
      <w:pPr>
        <w:pStyle w:val="JuPara"/>
        <w:widowControl w:val="0"/>
        <w:ind w:firstLine="142"/>
        <w:rPr>
          <w:rFonts w:ascii="Times New Roman" w:eastAsia="Times New Roman" w:hAnsi="Times New Roman" w:cs="Times New Roman"/>
          <w:noProof/>
        </w:rPr>
      </w:pPr>
      <w:bookmarkStart w:id="269" w:name="Article10test2"/>
      <w:r>
        <w:rPr>
          <w:rFonts w:ascii="Times New Roman" w:hAnsi="Times New Roman"/>
        </w:rPr>
        <w:t>450</w:t>
      </w:r>
      <w:bookmarkEnd w:id="269"/>
      <w:r>
        <w:rPr>
          <w:rFonts w:ascii="Times New Roman" w:hAnsi="Times New Roman"/>
        </w:rPr>
        <w:t xml:space="preserve">. Spriedumā lietā “Vēbere un </w:t>
      </w:r>
      <w:proofErr w:type="spellStart"/>
      <w:r>
        <w:rPr>
          <w:rFonts w:ascii="Times New Roman" w:hAnsi="Times New Roman"/>
        </w:rPr>
        <w:t>Sarāvija</w:t>
      </w:r>
      <w:proofErr w:type="spellEnd"/>
      <w:r>
        <w:rPr>
          <w:rFonts w:ascii="Times New Roman" w:hAnsi="Times New Roman"/>
        </w:rPr>
        <w:t xml:space="preserve">” Tiesa uzskatīja, ka stratēģiskās pārraudzības radīto iejaukšanos tiesībās uz vārda brīvību nevar kvalificēt kā īpaši būtisku, jo tā nebija vērsta uz žurnālistu novērošanu, un iestādes uzzinātu par žurnālista sakaru pārraudzību vienīgi pārtverto telesakaru pārbaudes brīdī vai pat par to neuzzinātu vispār (skat. iepriekš minētā sprieduma lietā “Vēbere un </w:t>
      </w:r>
      <w:proofErr w:type="spellStart"/>
      <w:r>
        <w:rPr>
          <w:rFonts w:ascii="Times New Roman" w:hAnsi="Times New Roman"/>
        </w:rPr>
        <w:t>Sarāvija</w:t>
      </w:r>
      <w:proofErr w:type="spellEnd"/>
      <w:r>
        <w:rPr>
          <w:rFonts w:ascii="Times New Roman" w:hAnsi="Times New Roman"/>
        </w:rPr>
        <w:t xml:space="preserve">” 151. punktu). Tāpēc tā atzina, ka sākotnējā pārtveršana, nepārbaudot pārtverto materiālu, neradīja būtisku iejaukšanos Konvencijas 10. pantā. Tomēr, kā Tiesa jau ir norādījusi, pašreizējā, aizvien digitālākā laikmetā tehnoloģisko iespēju attīstības gaitā ir būtiski palielinājies to sakaru apjoms, kas tiek pārraidīti globālajā internetā, līdz ar to uzraudzība, kas </w:t>
      </w:r>
      <w:r>
        <w:rPr>
          <w:rFonts w:ascii="Times New Roman" w:hAnsi="Times New Roman"/>
        </w:rPr>
        <w:lastRenderedPageBreak/>
        <w:t xml:space="preserve">nav tieši vērsta uz personām, var būt ļoti tālejoša gan novērošanas valsts teritorijā, gan ārpus tās (skat. iepriekš 322.–323. punktu). Tā kā, analītiķim pārbaudot žurnālista sakarus vai saistītos sakaru datus, iespējams, varētu tikt identificēts avots, Tiesa uzskata, ka valsts tiesību aktos ir obligāti jāiekļauj stabili drošības pasākumi attiecībā uz šāda konfidenciāla materiāla uzglabāšanu, pārbaudi, izmantošanu, tālāku pārsūtīšanu un iznīcināšanu. Turklāt, pat ja žurnālistikas sakari vai saistītie sakaru dati netiek atlasīti pārbaudei, apzināti izmantojot selektoru vai meklēšanas vārdu, par kuru zināms, ka tas ir saistīts ar žurnālistu, ja un kad kļūst acīmredzams, ka sakari vai saistītie sakaru dati satur konfidenciālu žurnālistikas materiālu, ir jānodrošina, ka analītiķis tos var turpināt uzglabāt un pārbaudīt vienīgi pēc tam, kad ir saņemta atļauja no tiesneša vai kādas citas neatkarīgas un objektīvas </w:t>
      </w:r>
      <w:proofErr w:type="spellStart"/>
      <w:r>
        <w:rPr>
          <w:rFonts w:ascii="Times New Roman" w:hAnsi="Times New Roman"/>
        </w:rPr>
        <w:t>lēmējstruktūras</w:t>
      </w:r>
      <w:proofErr w:type="spellEnd"/>
      <w:r>
        <w:rPr>
          <w:rFonts w:ascii="Times New Roman" w:hAnsi="Times New Roman"/>
        </w:rPr>
        <w:t>, kas ir pilnvarota noteikt, vai turpmāku uzglabāšanu un pārbaudi “pamato primāra prasība sabiedrības interesēs”.</w:t>
      </w:r>
    </w:p>
    <w:p w14:paraId="69FC9DBD" w14:textId="77777777" w:rsidR="00F82F2D" w:rsidRPr="008D031E" w:rsidRDefault="00F82F2D" w:rsidP="00F82F2D">
      <w:pPr>
        <w:pStyle w:val="JuPara"/>
        <w:widowControl w:val="0"/>
        <w:ind w:firstLine="142"/>
        <w:rPr>
          <w:rFonts w:ascii="Times New Roman" w:hAnsi="Times New Roman"/>
          <w:noProof/>
          <w:lang w:val="en-US"/>
        </w:rPr>
      </w:pPr>
    </w:p>
    <w:p w14:paraId="1B3C4815" w14:textId="77777777" w:rsidR="00F82F2D" w:rsidRDefault="00F82F2D" w:rsidP="00F82F2D">
      <w:pPr>
        <w:pStyle w:val="JuHa0"/>
        <w:keepNext w:val="0"/>
        <w:keepLines w:val="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d) Iepriekš minēto kritēriju piemērošana aplūkojamās lietas faktiem</w:t>
      </w:r>
    </w:p>
    <w:p w14:paraId="72A62119" w14:textId="77777777" w:rsidR="00F82F2D" w:rsidRPr="00EC1857" w:rsidRDefault="00F82F2D" w:rsidP="00F82F2D">
      <w:pPr>
        <w:pStyle w:val="JuPara"/>
        <w:widowControl w:val="0"/>
        <w:rPr>
          <w:lang w:val="en-US"/>
        </w:rPr>
      </w:pPr>
    </w:p>
    <w:p w14:paraId="6A50A342"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451. Spriedumā lietā “Vēbere un </w:t>
      </w:r>
      <w:proofErr w:type="spellStart"/>
      <w:r>
        <w:rPr>
          <w:rFonts w:ascii="Times New Roman" w:hAnsi="Times New Roman"/>
        </w:rPr>
        <w:t>Sarāvija</w:t>
      </w:r>
      <w:proofErr w:type="spellEnd"/>
      <w:r>
        <w:rPr>
          <w:rFonts w:ascii="Times New Roman" w:hAnsi="Times New Roman"/>
        </w:rPr>
        <w:t xml:space="preserve">” Tiesa skaidri atzina, ka ar apstrīdēto uzraudzības režīmu bija notikusi iejaukšanās pirmās pieteikuma iesniedzējas kā žurnālistes tiesībās uz vārda brīvību (skat. iepriekš minētā sprieduma lietā “Vēbere un </w:t>
      </w:r>
      <w:proofErr w:type="spellStart"/>
      <w:r>
        <w:rPr>
          <w:rFonts w:ascii="Times New Roman" w:hAnsi="Times New Roman"/>
        </w:rPr>
        <w:t>Sarāvija</w:t>
      </w:r>
      <w:proofErr w:type="spellEnd"/>
      <w:r>
        <w:rPr>
          <w:rFonts w:ascii="Times New Roman" w:hAnsi="Times New Roman"/>
        </w:rPr>
        <w:t>” 143.–145. punktu). Šajā lietā Tiesa ir atzinusi, ka ar 8. panta 4. punktā noteiktā režīma darbību notikusi iejaukšanās visās pieteikuma iesniedzēju tiesībās, kas paredzētas Konvencijas 8. pantā (skat. iepriekš 324.–331. punktu). Tā kā pieteikuma iesniedzēji otrajā no apvienotajām lietām bija attiecīgi ziņu vākšanas organizācija un žurnālists, Tiesa varētu pieņemt, ka ar 8. panta 4. punktā noteiktā režīma darbību notikusi iejaukšanās viņu kā žurnālistu tiesībās uz vārda brīvību, kas paredzētas Konvencijas 10. pantā.</w:t>
      </w:r>
    </w:p>
    <w:p w14:paraId="3293F976"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452. Kā jau minēts, 8. panta 4. punktā noteiktais režīms ir skaidri reglamentēts valsts tiesību aktos (skat. iepriekš 365. un 366. punktu). Tomēr, izvērtējot </w:t>
      </w:r>
      <w:proofErr w:type="spellStart"/>
      <w:r>
        <w:rPr>
          <w:rFonts w:ascii="Times New Roman" w:hAnsi="Times New Roman"/>
        </w:rPr>
        <w:t>paredzamību</w:t>
      </w:r>
      <w:proofErr w:type="spellEnd"/>
      <w:r>
        <w:rPr>
          <w:rFonts w:ascii="Times New Roman" w:hAnsi="Times New Roman"/>
        </w:rPr>
        <w:t xml:space="preserve"> un nepieciešamību saskaņā ar Konvencijas 8. pantu, Tiesa režīmā un ar to saistītajos drošības pasākumos konstatēja tādus trūkumus kā neatkarīgas atļaujas </w:t>
      </w:r>
      <w:proofErr w:type="spellStart"/>
      <w:r>
        <w:rPr>
          <w:rFonts w:ascii="Times New Roman" w:hAnsi="Times New Roman"/>
        </w:rPr>
        <w:t>neesība</w:t>
      </w:r>
      <w:proofErr w:type="spellEnd"/>
      <w:r>
        <w:rPr>
          <w:rFonts w:ascii="Times New Roman" w:hAnsi="Times New Roman"/>
        </w:rPr>
        <w:t xml:space="preserve"> (skat. iepriekš 377. punktu), selektoru kategoriju nenorādīšana pieteikumā ordera izdošanai (skat. iepriekš 381.–382. punktu) un fakts, ka attiecībā uz selektoriem, kas attiecas uz identificējamu personu, neizsniedz iepriekšēju iekšējo atļauju (skat. iepriekš 382. punktu).</w:t>
      </w:r>
    </w:p>
    <w:p w14:paraId="71D5FF94"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453. Tomēr daži papildu drošības pasākumi attiecībā uz konfidenciālu žurnālistikas materiālu bija noteikti </w:t>
      </w:r>
      <w:proofErr w:type="spellStart"/>
      <w:r>
        <w:rPr>
          <w:rFonts w:ascii="Times New Roman" w:hAnsi="Times New Roman"/>
          <w:i/>
          <w:iCs/>
        </w:rPr>
        <w:t>IC</w:t>
      </w:r>
      <w:proofErr w:type="spellEnd"/>
      <w:r>
        <w:rPr>
          <w:rFonts w:ascii="Times New Roman" w:hAnsi="Times New Roman"/>
        </w:rPr>
        <w:t xml:space="preserve"> kodeksa 4.1.–4.3. un 4.26.–4.31. punktā (skat. iepriekš 96. punktu). Saskaņā ar 4.1. punktu jebkurā pieteikumā ordera izdošanai bija jānorāda, vai pārtveršana varētu radīt netiešu iejaukšanos tiesībās uz privātās dzīves neaizskaramību, tostarp gadījumos, kas attiecas uz žurnālistikas sakariem, un, ja iespējams, bija jāprecizē veicamie pasākumi, lai samazinātu netiešās iejaukšanās apmēru. Tomēr saskaņā ar 4.1. punktu valsts sekretāram bija vien jāņem vērā šie apstākļi un pasākumi, izvērtējot pieteikumu 8. panta 1. punktā ordera, proti, mērķētas pārtveršanas ordera, izdošanai. Turklāt 4.2. punkts noteica, ka “īpaša uzmanība jāpievērš arī” gadījumos, kas attiecas uz konfidenciālu žurnālistikas materiālu, savukārt 4.26. punkts paredzēja, ka “īpaša uzmanība” ir jāpievērš tādu sakaru pārtveršanai, kas ietver konfidenciālu žurnālistikas materiālu.</w:t>
      </w:r>
    </w:p>
    <w:p w14:paraId="39BAB731"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454. Valdība apgalvoja, ka 4.28. punkts attiecas arī uz konfidenciālu žurnālistikas materiālu. Ja nolūks bija iegūt konfidenciālus </w:t>
      </w:r>
      <w:r>
        <w:rPr>
          <w:rFonts w:ascii="Times New Roman" w:hAnsi="Times New Roman"/>
          <w:i/>
          <w:iCs/>
        </w:rPr>
        <w:t>personas</w:t>
      </w:r>
      <w:r>
        <w:rPr>
          <w:rFonts w:ascii="Times New Roman" w:hAnsi="Times New Roman"/>
        </w:rPr>
        <w:t xml:space="preserve"> datus, 4.28. punktā norādīts, ka ir skaidri jādokumentē šādas rīcības iemesli, kā arī īpašā nepieciešamība un samērīgums. Ja šāda materiāla iegūšana bija iespējama, bet nebija paredzēta, bija jāizvērtē visi iespējamie seku mazināšanas pasākumi un, ja tādi nebija pieejami, jāapsver, vai pārtveršanas aģentūrā ir jāievieš īpaši apstrādes pasākumi (skat. iepriekš 96. punktu). Tiesa tomēr atzīmē, ka </w:t>
      </w:r>
      <w:proofErr w:type="spellStart"/>
      <w:r>
        <w:rPr>
          <w:rFonts w:ascii="Times New Roman" w:hAnsi="Times New Roman"/>
          <w:i/>
          <w:iCs/>
        </w:rPr>
        <w:t>IC</w:t>
      </w:r>
      <w:proofErr w:type="spellEnd"/>
      <w:r>
        <w:rPr>
          <w:rFonts w:ascii="Times New Roman" w:hAnsi="Times New Roman"/>
        </w:rPr>
        <w:t xml:space="preserve"> kodeksa 4.26. punktā jēdziens “konfidenciāli personas dati”, šķiet, atšķiras no jēdziena “konfidenciāls žurnālistikas materiāls” (skat. iepriekš 96. punktu).</w:t>
      </w:r>
    </w:p>
    <w:p w14:paraId="4B12B854"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455. Attiecībā uz konfidenciāla materiāla uzglabāšanu </w:t>
      </w:r>
      <w:proofErr w:type="spellStart"/>
      <w:r>
        <w:rPr>
          <w:rFonts w:ascii="Times New Roman" w:hAnsi="Times New Roman"/>
          <w:i/>
          <w:iCs/>
        </w:rPr>
        <w:t>IC</w:t>
      </w:r>
      <w:proofErr w:type="spellEnd"/>
      <w:r>
        <w:rPr>
          <w:rFonts w:ascii="Times New Roman" w:hAnsi="Times New Roman"/>
        </w:rPr>
        <w:t xml:space="preserve"> kodeksa 4.29. punkts noteica, ka </w:t>
      </w:r>
      <w:r>
        <w:rPr>
          <w:rFonts w:ascii="Times New Roman" w:hAnsi="Times New Roman"/>
        </w:rPr>
        <w:lastRenderedPageBreak/>
        <w:t xml:space="preserve">šādu materiālu var saglabāt vienīgi tad, ja šāda rīcība ir nepieciešama un samērīga ar kādu no </w:t>
      </w:r>
      <w:r>
        <w:rPr>
          <w:rFonts w:ascii="Times New Roman" w:hAnsi="Times New Roman"/>
          <w:i/>
          <w:iCs/>
        </w:rPr>
        <w:t>RIPA</w:t>
      </w:r>
      <w:r>
        <w:rPr>
          <w:rFonts w:ascii="Times New Roman" w:hAnsi="Times New Roman"/>
        </w:rPr>
        <w:t xml:space="preserve"> 15. panta 4. punktā atļautajiem nolūkiem, turklāt tas ir droši jāiznīcina, kad tas vairs nav nepieciešams kādam no šiem nolūkiem (skat. iepriekš 96. punktu). Turklāt saskaņā ar 4.30. punktu, ja materiālu saglabā vai izplata kādai ārējai struktūrai, ir jāveic saprātīgi pasākumi, lai informāciju atzīmētu kā konfidenciālu. Ja radās šaubas par paredzētās konfidenciālās informācijas izplatīšanas likumību, pirms jebkādas turpmākas materiāla izplatīšanas bija jāvēršas pie attiecīgās pārtveršanas aģentūras juriskonsulta (skat. iepriekš 96. punktu). Visbeidzot saskaņā ar 4.31. punktu </w:t>
      </w:r>
      <w:proofErr w:type="spellStart"/>
      <w:r>
        <w:rPr>
          <w:rFonts w:ascii="Times New Roman" w:hAnsi="Times New Roman"/>
          <w:i/>
          <w:iCs/>
        </w:rPr>
        <w:t>IC</w:t>
      </w:r>
      <w:proofErr w:type="spellEnd"/>
      <w:r>
        <w:rPr>
          <w:rFonts w:ascii="Times New Roman" w:hAnsi="Times New Roman"/>
        </w:rPr>
        <w:t xml:space="preserve"> komisārs ir jāinformē par šāda materiāla saglabāšanu, tiklīdz tas praktiski iespējams, un šim materiālam viņam ir jābūt pieejamam pēc pieprasījuma (skat. iepriekš 96. punktu).</w:t>
      </w:r>
    </w:p>
    <w:p w14:paraId="28364D14"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456. Ņemot vērā iepriekš minēto, Tiesa varētu pieņemt, ka </w:t>
      </w:r>
      <w:proofErr w:type="spellStart"/>
      <w:r>
        <w:rPr>
          <w:rFonts w:ascii="Times New Roman" w:hAnsi="Times New Roman"/>
          <w:i/>
          <w:iCs/>
        </w:rPr>
        <w:t>IC</w:t>
      </w:r>
      <w:proofErr w:type="spellEnd"/>
      <w:r>
        <w:rPr>
          <w:rFonts w:ascii="Times New Roman" w:hAnsi="Times New Roman"/>
        </w:rPr>
        <w:t xml:space="preserve"> kodeksā paredzētie drošības pasākumi attiecībā uz konfidenciāla žurnālistikas materiāla uzglabāšanu, tālāku pārsūtīšanu un iznīcināšanu bija atbilstoši. Tomēr ar </w:t>
      </w:r>
      <w:proofErr w:type="spellStart"/>
      <w:r>
        <w:rPr>
          <w:rFonts w:ascii="Times New Roman" w:hAnsi="Times New Roman"/>
          <w:i/>
          <w:iCs/>
        </w:rPr>
        <w:t>IC</w:t>
      </w:r>
      <w:proofErr w:type="spellEnd"/>
      <w:r>
        <w:rPr>
          <w:rFonts w:ascii="Times New Roman" w:hAnsi="Times New Roman"/>
        </w:rPr>
        <w:t xml:space="preserve"> kodeksā noteiktajiem papildu drošības pasākumiem nav novērstas nepilnības, ko Tiesa konstatēja, izvērtējot režīmu saskaņā ar Konvencijas 8. pantu, kā arī tie neatbilda Tiesas noteiktajām prasībām iepriekš 448.–450. punktā. Proti, nebija noteikta prasība, saskaņā ar kuru selektorus vai meklēšanas vārdus, par kuriem zināms, ka tie ir saistīti ar žurnālistu, varētu izmantot vienīgi tad, ja saņemta tiesneša vai kādas tādas neatkarīgas un objektīvas </w:t>
      </w:r>
      <w:proofErr w:type="spellStart"/>
      <w:r>
        <w:rPr>
          <w:rFonts w:ascii="Times New Roman" w:hAnsi="Times New Roman"/>
        </w:rPr>
        <w:t>lēmējstruktūras</w:t>
      </w:r>
      <w:proofErr w:type="spellEnd"/>
      <w:r>
        <w:rPr>
          <w:rFonts w:ascii="Times New Roman" w:hAnsi="Times New Roman"/>
        </w:rPr>
        <w:t xml:space="preserve"> atļauja, kas ir pilnvarota noteikt, vai to “pamato primāra prasība sabiedrības interesēs” un vai ar mazāk ierobežojošu pasākumu nebūtu bijis pietiekami, lai ievērotu primārās sabiedrības intereses. Gluži pretēji, ja nolūks bija piekļūt konfidenciālam žurnālistikas materiālam vai tas bija ļoti iespējams, ņemot vērā ar žurnālistu saistītu selektoru izmantošanu, bija vienīgi skaidri jānorāda šādas rīcības iemesli, nepieciešamība un samērīgums.</w:t>
      </w:r>
    </w:p>
    <w:p w14:paraId="4637B495"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457. Turklāt nebija ieviesti pietiekami drošības pasākumi, lai nodrošinātu, ka, tiklīdz kļūst skaidrs, ka sakari, kas nav atlasīti pārbaudei, apzināti izmantojot selektoru vai meklēšanas vārdu, par kuru zināms, ka tas ir saistīts ar žurnālistu, tomēr satur konfidenciālu žurnālistikas materiālu, analītiķis to turpina glabāt un pārbaudīt vienīgi tad, ja to ir atļāvis tiesnesis vai cita neatkarīga un objektīva </w:t>
      </w:r>
      <w:proofErr w:type="spellStart"/>
      <w:r>
        <w:rPr>
          <w:rFonts w:ascii="Times New Roman" w:hAnsi="Times New Roman"/>
        </w:rPr>
        <w:t>lēmējstruktūra</w:t>
      </w:r>
      <w:proofErr w:type="spellEnd"/>
      <w:r>
        <w:rPr>
          <w:rFonts w:ascii="Times New Roman" w:hAnsi="Times New Roman"/>
        </w:rPr>
        <w:t>, kas ir pilnvarota noteikt, vai turpmāko saglabāšanu un pārbaudi “pamato primāra prasība sabiedrības interesēs”. Tā vietā</w:t>
      </w:r>
      <w:r>
        <w:rPr>
          <w:rFonts w:ascii="Times New Roman" w:hAnsi="Times New Roman"/>
          <w:i/>
          <w:iCs/>
        </w:rPr>
        <w:t xml:space="preserve"> </w:t>
      </w:r>
      <w:proofErr w:type="spellStart"/>
      <w:r>
        <w:rPr>
          <w:rFonts w:ascii="Times New Roman" w:hAnsi="Times New Roman"/>
          <w:i/>
          <w:iCs/>
        </w:rPr>
        <w:t>IC</w:t>
      </w:r>
      <w:proofErr w:type="spellEnd"/>
      <w:r>
        <w:rPr>
          <w:rFonts w:ascii="Times New Roman" w:hAnsi="Times New Roman"/>
        </w:rPr>
        <w:t xml:space="preserve"> kodeksa 4.2. punkts noteica vienīgi to, ka ir jāpievērš “īpaša uzmanība” jebkurai pārtveršanai, kas varētu būt saistīta ar konfidenciāla žurnālistikas materiāla pārtveršanu, tostarp jāapsver jebkuri iespējamie sekas mazinošie pasākumi (skat. iepriekš 96. punktu).</w:t>
      </w:r>
    </w:p>
    <w:p w14:paraId="62179A6F"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458. Ņemot vērā abus šos trūkumus un tos, ko konstatējusi Tiesa, izskatot sūdzību saskaņā ar Konvencijas 8. pantu, tā konstatē, ka 8. panta 4. punktā noteiktā režīma darbības rezultātā ir noticis arī Konvencijas 10. panta pārkāpums.</w:t>
      </w:r>
    </w:p>
    <w:p w14:paraId="5D6CFF44" w14:textId="77777777" w:rsidR="00F82F2D" w:rsidRDefault="00F82F2D" w:rsidP="00F82F2D">
      <w:pPr>
        <w:pStyle w:val="JuPara"/>
        <w:widowControl w:val="0"/>
        <w:ind w:firstLine="0"/>
        <w:rPr>
          <w:rFonts w:ascii="Times New Roman" w:hAnsi="Times New Roman"/>
          <w:noProof/>
          <w:lang w:val="en-US"/>
        </w:rPr>
      </w:pPr>
    </w:p>
    <w:p w14:paraId="1245CAA5" w14:textId="77777777" w:rsidR="00DA068F" w:rsidRDefault="00DA068F" w:rsidP="00DA068F">
      <w:pPr>
        <w:pStyle w:val="JuHIRoman"/>
        <w:keepNext w:val="0"/>
        <w:keepLines w:val="0"/>
        <w:widowControl w:val="0"/>
        <w:numPr>
          <w:ilvl w:val="0"/>
          <w:numId w:val="0"/>
        </w:numPr>
        <w:spacing w:before="0" w:beforeAutospacing="0" w:after="0"/>
        <w:outlineLvl w:val="9"/>
        <w:rPr>
          <w:rFonts w:ascii="Times New Roman" w:hAnsi="Times New Roman"/>
          <w:caps w:val="0"/>
          <w:noProof/>
        </w:rPr>
      </w:pPr>
      <w:r>
        <w:rPr>
          <w:rFonts w:ascii="Times New Roman" w:hAnsi="Times New Roman"/>
          <w:caps w:val="0"/>
        </w:rPr>
        <w:t xml:space="preserve">III. </w:t>
      </w:r>
      <w:proofErr w:type="spellStart"/>
      <w:r>
        <w:rPr>
          <w:rFonts w:ascii="Times New Roman" w:hAnsi="Times New Roman"/>
          <w:caps w:val="0"/>
        </w:rPr>
        <w:t>IZLŪKDATU</w:t>
      </w:r>
      <w:proofErr w:type="spellEnd"/>
      <w:r>
        <w:rPr>
          <w:rFonts w:ascii="Times New Roman" w:hAnsi="Times New Roman"/>
          <w:caps w:val="0"/>
        </w:rPr>
        <w:t xml:space="preserve"> SAŅEMŠANA NO ĀRVALSTU IZLŪKDIENESTIEM</w:t>
      </w:r>
    </w:p>
    <w:p w14:paraId="1A7BD51D" w14:textId="77777777" w:rsidR="00DA068F" w:rsidRPr="00EC1857" w:rsidRDefault="00DA068F" w:rsidP="00DA068F">
      <w:pPr>
        <w:pStyle w:val="JuPara"/>
        <w:widowControl w:val="0"/>
        <w:rPr>
          <w:lang w:val="en-US"/>
        </w:rPr>
      </w:pPr>
    </w:p>
    <w:p w14:paraId="1BAB83B7" w14:textId="77777777" w:rsidR="00DA068F" w:rsidRDefault="00DA068F" w:rsidP="00DA068F">
      <w:pPr>
        <w:pStyle w:val="JuHA"/>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A. Konvencijas 8. pants</w:t>
      </w:r>
    </w:p>
    <w:p w14:paraId="1DE8D694" w14:textId="77777777" w:rsidR="00DA068F" w:rsidRPr="00EC1857" w:rsidRDefault="00DA068F" w:rsidP="00DA068F">
      <w:pPr>
        <w:pStyle w:val="JuPara"/>
        <w:widowControl w:val="0"/>
        <w:rPr>
          <w:lang w:val="en-US"/>
        </w:rPr>
      </w:pPr>
    </w:p>
    <w:p w14:paraId="087CB01B" w14:textId="77777777" w:rsidR="00DA068F" w:rsidRDefault="00DA068F" w:rsidP="00DA068F">
      <w:pPr>
        <w:pStyle w:val="JuPara"/>
        <w:widowControl w:val="0"/>
        <w:ind w:firstLine="142"/>
        <w:rPr>
          <w:rFonts w:ascii="Times New Roman" w:hAnsi="Times New Roman"/>
          <w:noProof/>
        </w:rPr>
      </w:pPr>
      <w:r>
        <w:rPr>
          <w:rFonts w:ascii="Times New Roman" w:hAnsi="Times New Roman"/>
        </w:rPr>
        <w:t xml:space="preserve">459. Pirmajā no apvienotajām lietām pieteikuma iesniedzēji izvirzīja sūdzību par to, ka Apvienotās Karalistes iestādes saņēma materiālu no ārvalstu izlūkdienestiem. Savukārt trešajā no apvienotajām lietām pieteikuma iesniedzēji izvirzīja konkrētāku sūdzību, apgalvojot, ka atbildētāja valsts saņēma </w:t>
      </w:r>
      <w:proofErr w:type="spellStart"/>
      <w:r>
        <w:rPr>
          <w:rFonts w:ascii="Times New Roman" w:hAnsi="Times New Roman"/>
          <w:i/>
          <w:iCs/>
        </w:rPr>
        <w:t>NSA</w:t>
      </w:r>
      <w:proofErr w:type="spellEnd"/>
      <w:r>
        <w:rPr>
          <w:rFonts w:ascii="Times New Roman" w:hAnsi="Times New Roman"/>
        </w:rPr>
        <w:t xml:space="preserve"> pārtverto materiālu, izmantojot programmas “</w:t>
      </w:r>
      <w:proofErr w:type="spellStart"/>
      <w:r>
        <w:rPr>
          <w:rFonts w:ascii="Times New Roman" w:hAnsi="Times New Roman"/>
        </w:rPr>
        <w:t>PRISM</w:t>
      </w:r>
      <w:proofErr w:type="spellEnd"/>
      <w:r>
        <w:rPr>
          <w:rFonts w:ascii="Times New Roman" w:hAnsi="Times New Roman"/>
        </w:rPr>
        <w:t>” un “</w:t>
      </w:r>
      <w:proofErr w:type="spellStart"/>
      <w:r>
        <w:rPr>
          <w:rFonts w:ascii="Times New Roman" w:hAnsi="Times New Roman"/>
        </w:rPr>
        <w:t>Upstream</w:t>
      </w:r>
      <w:proofErr w:type="spellEnd"/>
      <w:r>
        <w:rPr>
          <w:rFonts w:ascii="Times New Roman" w:hAnsi="Times New Roman"/>
        </w:rPr>
        <w:t>”, tādējādi pārkāpjot viņu tiesības, kas paredzētas Konvencijas 8. pantā.</w:t>
      </w:r>
    </w:p>
    <w:p w14:paraId="327CA219" w14:textId="77777777" w:rsidR="00DA068F" w:rsidRPr="008D031E" w:rsidRDefault="00DA068F" w:rsidP="00DA068F">
      <w:pPr>
        <w:pStyle w:val="JuPara"/>
        <w:widowControl w:val="0"/>
        <w:ind w:firstLine="0"/>
        <w:rPr>
          <w:rFonts w:ascii="Times New Roman" w:hAnsi="Times New Roman"/>
          <w:noProof/>
          <w:lang w:val="en-US"/>
        </w:rPr>
      </w:pPr>
    </w:p>
    <w:p w14:paraId="72636BF3" w14:textId="77777777" w:rsidR="00DA068F" w:rsidRDefault="00DA068F" w:rsidP="00DA068F">
      <w:pPr>
        <w:pStyle w:val="JuH1"/>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1. Lielajā palātā izskatītās sūdzības būtība</w:t>
      </w:r>
    </w:p>
    <w:p w14:paraId="6B31456E" w14:textId="77777777" w:rsidR="00DA068F" w:rsidRPr="003C0DA5" w:rsidRDefault="00DA068F" w:rsidP="00DA068F">
      <w:pPr>
        <w:pStyle w:val="JuPara"/>
        <w:widowControl w:val="0"/>
        <w:rPr>
          <w:lang w:val="en-US"/>
        </w:rPr>
      </w:pPr>
    </w:p>
    <w:p w14:paraId="5C418C6A"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460. “</w:t>
      </w:r>
      <w:proofErr w:type="spellStart"/>
      <w:r>
        <w:rPr>
          <w:rFonts w:ascii="Times New Roman" w:hAnsi="Times New Roman"/>
        </w:rPr>
        <w:t>Liberty</w:t>
      </w:r>
      <w:proofErr w:type="spellEnd"/>
      <w:r>
        <w:rPr>
          <w:rFonts w:ascii="Times New Roman" w:hAnsi="Times New Roman"/>
        </w:rPr>
        <w:t>” tiesvedībā</w:t>
      </w:r>
      <w:r>
        <w:rPr>
          <w:rFonts w:ascii="Times New Roman" w:hAnsi="Times New Roman"/>
          <w:i/>
          <w:iCs/>
        </w:rPr>
        <w:t xml:space="preserve"> </w:t>
      </w:r>
      <w:proofErr w:type="spellStart"/>
      <w:r>
        <w:rPr>
          <w:rFonts w:ascii="Times New Roman" w:hAnsi="Times New Roman"/>
          <w:i/>
          <w:iCs/>
        </w:rPr>
        <w:t>IPT</w:t>
      </w:r>
      <w:proofErr w:type="spellEnd"/>
      <w:r>
        <w:rPr>
          <w:rFonts w:ascii="Times New Roman" w:hAnsi="Times New Roman"/>
        </w:rPr>
        <w:t xml:space="preserve"> norādīja trīs no ārvalstu izlūkošanas partneriem saņemamā materiāla kategorijas: nepieprasītais pārtvertais materiāls, pieprasītais pārtvertais materiāls un </w:t>
      </w:r>
      <w:r>
        <w:rPr>
          <w:rFonts w:ascii="Times New Roman" w:hAnsi="Times New Roman"/>
        </w:rPr>
        <w:lastRenderedPageBreak/>
        <w:t>nepārtvertais materiāls. Tā kā Valdība informēja palātu, ka pārtvertā materiāla “nepieprasīta” iegūšana bija “maz ticama un reta”, palāta neizvērtēja šajā kategorijā ietilpstošo materiālu (skat. palātas sprieduma 417. punktu). Palāta arī atteicās izvērtēt nepārtvertā materiāla saņemšanu, jo pieteikuma iesniedzēji nebija precizējuši, kādu materiālu ārvalstu izlūkdienesti varētu iegūt ar citām metodēm, izņemot pārtveršanu, un tādēļ tā neuzskatīja, ka pieteikuma iesniedzēji bija pierādījuši, ka ar šā materiāla iegūšanu būtu aizskartas viņu tiesības, kas paredzētas 8. pantā (skat. palātas sprieduma 449. punktu). Pieteikuma iesniedzēji šos secinājumus nav apstrīdējuši.</w:t>
      </w:r>
    </w:p>
    <w:p w14:paraId="59B4974C"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461. Turklāt, tā kā “</w:t>
      </w:r>
      <w:proofErr w:type="spellStart"/>
      <w:r>
        <w:rPr>
          <w:rFonts w:ascii="Times New Roman" w:hAnsi="Times New Roman"/>
        </w:rPr>
        <w:t>Liberty</w:t>
      </w:r>
      <w:proofErr w:type="spellEnd"/>
      <w:r>
        <w:rPr>
          <w:rFonts w:ascii="Times New Roman" w:hAnsi="Times New Roman"/>
        </w:rPr>
        <w:t xml:space="preserve">” tiesvedību ierosināja pieteikuma iesniedzēji trešajā no apvienotajām lietām, </w:t>
      </w:r>
      <w:proofErr w:type="spellStart"/>
      <w:r>
        <w:rPr>
          <w:rFonts w:ascii="Times New Roman" w:hAnsi="Times New Roman"/>
          <w:i/>
          <w:iCs/>
        </w:rPr>
        <w:t>IPT</w:t>
      </w:r>
      <w:proofErr w:type="spellEnd"/>
      <w:r>
        <w:rPr>
          <w:rFonts w:ascii="Times New Roman" w:hAnsi="Times New Roman"/>
        </w:rPr>
        <w:t xml:space="preserve"> izvērtēja vienīgi no </w:t>
      </w:r>
      <w:proofErr w:type="spellStart"/>
      <w:r>
        <w:rPr>
          <w:rFonts w:ascii="Times New Roman" w:hAnsi="Times New Roman"/>
          <w:i/>
          <w:iCs/>
        </w:rPr>
        <w:t>NSA</w:t>
      </w:r>
      <w:proofErr w:type="spellEnd"/>
      <w:r>
        <w:rPr>
          <w:rFonts w:ascii="Times New Roman" w:hAnsi="Times New Roman"/>
        </w:rPr>
        <w:t xml:space="preserve"> saņemtos </w:t>
      </w:r>
      <w:proofErr w:type="spellStart"/>
      <w:r>
        <w:rPr>
          <w:rFonts w:ascii="Times New Roman" w:hAnsi="Times New Roman"/>
        </w:rPr>
        <w:t>izlūkdatus</w:t>
      </w:r>
      <w:proofErr w:type="spellEnd"/>
      <w:r>
        <w:rPr>
          <w:rFonts w:ascii="Times New Roman" w:hAnsi="Times New Roman"/>
        </w:rPr>
        <w:t xml:space="preserve">. Arī palātā un Lielajā palātā lietas dalībnieki savos argumentos atsaucās uz materiālu, kas saņemts no </w:t>
      </w:r>
      <w:proofErr w:type="spellStart"/>
      <w:r>
        <w:rPr>
          <w:rFonts w:ascii="Times New Roman" w:hAnsi="Times New Roman"/>
          <w:i/>
          <w:iCs/>
        </w:rPr>
        <w:t>NSA</w:t>
      </w:r>
      <w:proofErr w:type="spellEnd"/>
      <w:r>
        <w:rPr>
          <w:rFonts w:ascii="Times New Roman" w:hAnsi="Times New Roman"/>
        </w:rPr>
        <w:t>.</w:t>
      </w:r>
    </w:p>
    <w:p w14:paraId="001D21D2" w14:textId="77777777" w:rsidR="00DA068F" w:rsidRDefault="00DA068F" w:rsidP="00DA068F">
      <w:pPr>
        <w:pStyle w:val="JuPara"/>
        <w:widowControl w:val="0"/>
        <w:ind w:firstLine="142"/>
        <w:rPr>
          <w:rFonts w:ascii="Times New Roman" w:hAnsi="Times New Roman"/>
          <w:noProof/>
        </w:rPr>
      </w:pPr>
      <w:r>
        <w:rPr>
          <w:rFonts w:ascii="Times New Roman" w:hAnsi="Times New Roman"/>
        </w:rPr>
        <w:t xml:space="preserve">462. Tādēļ Lielā palāta izvērtēs sūdzību vienīgi tiktāl, ciktāl tā attiecas uz pieprasīta pārtverta materiāla saņemšanu no </w:t>
      </w:r>
      <w:proofErr w:type="spellStart"/>
      <w:r>
        <w:rPr>
          <w:rFonts w:ascii="Times New Roman" w:hAnsi="Times New Roman"/>
          <w:i/>
          <w:iCs/>
        </w:rPr>
        <w:t>NSA</w:t>
      </w:r>
      <w:proofErr w:type="spellEnd"/>
      <w:r>
        <w:rPr>
          <w:rFonts w:ascii="Times New Roman" w:hAnsi="Times New Roman"/>
        </w:rPr>
        <w:t>.</w:t>
      </w:r>
    </w:p>
    <w:p w14:paraId="78A71548" w14:textId="77777777" w:rsidR="00DA068F" w:rsidRPr="008D031E" w:rsidRDefault="00DA068F" w:rsidP="00DA068F">
      <w:pPr>
        <w:pStyle w:val="JuPara"/>
        <w:widowControl w:val="0"/>
        <w:ind w:firstLine="142"/>
        <w:rPr>
          <w:rFonts w:ascii="Times New Roman" w:hAnsi="Times New Roman"/>
          <w:noProof/>
          <w:lang w:val="en-US"/>
        </w:rPr>
      </w:pPr>
    </w:p>
    <w:p w14:paraId="3CE85A80" w14:textId="77777777" w:rsidR="00DA068F" w:rsidRDefault="00DA068F" w:rsidP="00DA068F">
      <w:pPr>
        <w:pStyle w:val="JuH1"/>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2.  Valdības sākotnējais iebildums</w:t>
      </w:r>
    </w:p>
    <w:p w14:paraId="38E4C594" w14:textId="77777777" w:rsidR="00DA068F" w:rsidRPr="003C0DA5" w:rsidRDefault="00DA068F" w:rsidP="00DA068F">
      <w:pPr>
        <w:pStyle w:val="JuPara"/>
        <w:widowControl w:val="0"/>
        <w:rPr>
          <w:lang w:val="en-US"/>
        </w:rPr>
      </w:pPr>
    </w:p>
    <w:p w14:paraId="3B7C99E1" w14:textId="77777777" w:rsidR="00DA068F" w:rsidRDefault="00DA068F" w:rsidP="00DA068F">
      <w:pPr>
        <w:pStyle w:val="JuPara"/>
        <w:widowControl w:val="0"/>
        <w:ind w:firstLine="142"/>
        <w:rPr>
          <w:rFonts w:ascii="Times New Roman" w:hAnsi="Times New Roman"/>
          <w:noProof/>
        </w:rPr>
      </w:pPr>
      <w:r>
        <w:rPr>
          <w:rFonts w:ascii="Times New Roman" w:hAnsi="Times New Roman"/>
        </w:rPr>
        <w:t>463. Valdība apgalvoja, ka pieteikuma iesniedzēji pirmajā un trešajā no apvienotajām lietām nevarēja apgalvot, ka ir cietuši no iespējamā pārkāpuma, jo viņi neatbilda nevienam no diviem spriedumā lietā “Romāns Zaharovs” (minēts iepriekš 171. punktā) izvirzītajiem nosacījumiem (proti, pieteikuma iesniedzējus nevarēja ietekmēt tiesiskais regulējums, kas pieļauj slepenās uzraudzības pasākumus, un valsts līmenī bija pieejami tiesiskās aizsardzības līdzekļi). Proti, tā apgalvoja, ka pieteikuma iesniedzēji nav minējuši tos iemeslus, kas viņiem radīja reālu risku, ka ar programmām “</w:t>
      </w:r>
      <w:proofErr w:type="spellStart"/>
      <w:r>
        <w:rPr>
          <w:rFonts w:ascii="Times New Roman" w:hAnsi="Times New Roman"/>
        </w:rPr>
        <w:t>PRISM</w:t>
      </w:r>
      <w:proofErr w:type="spellEnd"/>
      <w:r>
        <w:rPr>
          <w:rFonts w:ascii="Times New Roman" w:hAnsi="Times New Roman"/>
        </w:rPr>
        <w:t>” vai “</w:t>
      </w:r>
      <w:proofErr w:type="spellStart"/>
      <w:r>
        <w:rPr>
          <w:rFonts w:ascii="Times New Roman" w:hAnsi="Times New Roman"/>
        </w:rPr>
        <w:t>Upstream</w:t>
      </w:r>
      <w:proofErr w:type="spellEnd"/>
      <w:r>
        <w:rPr>
          <w:rFonts w:ascii="Times New Roman" w:hAnsi="Times New Roman"/>
        </w:rPr>
        <w:t xml:space="preserve">” pārtvers viņu saziņas aktu saturu vai to pieprasīs Apvienotās Karalistes izlūkdienesti. Turklāt tā norādīja, ka pieteikuma iesniedzējiem bija pieejami efektīvi iekšējie tiesiskās aizsardzības līdzekļi, lai noskaidrotu, vai attiecībā uz viņiem notikusi pretlikumīga </w:t>
      </w:r>
      <w:proofErr w:type="spellStart"/>
      <w:r>
        <w:rPr>
          <w:rFonts w:ascii="Times New Roman" w:hAnsi="Times New Roman"/>
        </w:rPr>
        <w:t>izlūkdatu</w:t>
      </w:r>
      <w:proofErr w:type="spellEnd"/>
      <w:r>
        <w:rPr>
          <w:rFonts w:ascii="Times New Roman" w:hAnsi="Times New Roman"/>
        </w:rPr>
        <w:t xml:space="preserve"> apmaiņa.</w:t>
      </w:r>
    </w:p>
    <w:p w14:paraId="362821C8" w14:textId="77777777" w:rsidR="00DA068F" w:rsidRPr="008D031E" w:rsidRDefault="00DA068F" w:rsidP="00DA068F">
      <w:pPr>
        <w:pStyle w:val="JuPara"/>
        <w:widowControl w:val="0"/>
        <w:ind w:firstLine="0"/>
        <w:rPr>
          <w:rFonts w:ascii="Times New Roman" w:hAnsi="Times New Roman"/>
          <w:noProof/>
          <w:lang w:val="en-US"/>
        </w:rPr>
      </w:pPr>
    </w:p>
    <w:p w14:paraId="3CA4D5B7" w14:textId="77777777" w:rsidR="00DA068F" w:rsidRDefault="00DA068F" w:rsidP="00DA068F">
      <w:pPr>
        <w:pStyle w:val="JuHa0"/>
        <w:keepNext w:val="0"/>
        <w:keepLines w:val="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a) Palātas spriedums</w:t>
      </w:r>
    </w:p>
    <w:p w14:paraId="1AA7A214" w14:textId="77777777" w:rsidR="00DA068F" w:rsidRPr="003C0DA5" w:rsidRDefault="00DA068F" w:rsidP="00DA068F">
      <w:pPr>
        <w:pStyle w:val="JuPara"/>
        <w:widowControl w:val="0"/>
        <w:rPr>
          <w:lang w:val="en-US"/>
        </w:rPr>
      </w:pPr>
    </w:p>
    <w:p w14:paraId="2C018F84"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464. Tā kā palāta atzina, ka </w:t>
      </w:r>
      <w:proofErr w:type="spellStart"/>
      <w:r>
        <w:rPr>
          <w:rFonts w:ascii="Times New Roman" w:hAnsi="Times New Roman"/>
          <w:i/>
          <w:iCs/>
        </w:rPr>
        <w:t>IPT</w:t>
      </w:r>
      <w:proofErr w:type="spellEnd"/>
      <w:r>
        <w:rPr>
          <w:rFonts w:ascii="Times New Roman" w:hAnsi="Times New Roman"/>
        </w:rPr>
        <w:t xml:space="preserve"> bija nodrošinājusi pieteikuma iesniedzējiem efektīvu tiesiskās aizsardzības līdzekli attiecībā uz sūdzību, ko viņi bija iesnieguši saskaņā ar Konvenciju, tā uzskatīja, ka viņi varēja apgalvot, ka ir “cietušie” tikai </w:t>
      </w:r>
      <w:proofErr w:type="spellStart"/>
      <w:r>
        <w:rPr>
          <w:rFonts w:ascii="Times New Roman" w:hAnsi="Times New Roman"/>
        </w:rPr>
        <w:t>izlūkdatu</w:t>
      </w:r>
      <w:proofErr w:type="spellEnd"/>
      <w:r>
        <w:rPr>
          <w:rFonts w:ascii="Times New Roman" w:hAnsi="Times New Roman"/>
        </w:rPr>
        <w:t xml:space="preserve"> apmaiņas režīma pastāvēšanas dēļ, vienīgi tad, ja viņi varēja pierādīt, ka, iespējams, bija pakļauti riskam, ka Apvienotās Karalistes iestādes varēja iegūt viņu saziņas aktu saturu, to pieprasot no ārvalstu izlūkdienesta (skat. palātas sprieduma 392.–393. punktu saistībā ar iepriekš minētā spriedumā lietā “Romāns Zaharovs” 171. punktu).</w:t>
      </w:r>
    </w:p>
    <w:p w14:paraId="52EB81E9"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465. Pamatojoties uz tai sniegto informāciju, tā atzina, ka pieteikuma iesniedzēji, iespējams, bija pakļauti gan riskam, ka viņu saziņas aktu saturu iegūs ārvalstu izlūkdienests, gan arī riskam, ka Apvienotās Karalistes iestādes to pieprasīs no ārvalstu izlūkdienesta (skat. palātas sprieduma 395. punktu). Lai arī viņu saziņas aktu saturu varēja pieprasīt, vienīgi pamatojoties uz 8. panta 1. vai 4. punktā noteikto orderi, kas attiecās uz pieteikuma iesniedzēju saziņas aktu saturu, no “</w:t>
      </w:r>
      <w:proofErr w:type="spellStart"/>
      <w:r>
        <w:rPr>
          <w:rFonts w:ascii="Times New Roman" w:hAnsi="Times New Roman"/>
        </w:rPr>
        <w:t>Liberty</w:t>
      </w:r>
      <w:proofErr w:type="spellEnd"/>
      <w:r>
        <w:rPr>
          <w:rFonts w:ascii="Times New Roman" w:hAnsi="Times New Roman"/>
        </w:rPr>
        <w:t xml:space="preserve">” tiesvedības skaidri izrietēja, ka Apvienotās Karalistes izlūkdienesti atbilstoši 8. panta 4. punktā noteiktajam režīmam bija likumīgi pārtvēruši un atlasījuši pārbaudei saziņas aktu saturu, kas attiecās uz vismaz diviem pieteikuma iesniedzējiem trešajā no apvienotajām lietām. Lai gan palātai nebija iemesla uzskatīt, ka izlūkdienestu darbības bija tieši vērstas uz šiem pieteikuma iesniedzējiem, tā norādīja, ka viņu saziņas aktu saturu varēja likumīgi iegūt saskaņā ar 8. panta 4. punktā noteikto režīmu tad, ja viņi, kā paši apgalvoja, sazinājās ar personām, uz kurām šādas darbības bija vērstas. Tāpat viņu saziņas aktu saturu varēja likumīgi pieprasīt no trešās valsts atbilstoši </w:t>
      </w:r>
      <w:proofErr w:type="spellStart"/>
      <w:r>
        <w:rPr>
          <w:rFonts w:ascii="Times New Roman" w:hAnsi="Times New Roman"/>
        </w:rPr>
        <w:t>izlūkdatu</w:t>
      </w:r>
      <w:proofErr w:type="spellEnd"/>
      <w:r>
        <w:rPr>
          <w:rFonts w:ascii="Times New Roman" w:hAnsi="Times New Roman"/>
        </w:rPr>
        <w:t xml:space="preserve"> apmaiņas režīmam, ja viņi sazinājās ar kādu personu, attiecībā uz kuru iesniegts pieprasījums.</w:t>
      </w:r>
    </w:p>
    <w:p w14:paraId="2FE3A202" w14:textId="77777777" w:rsidR="00DA068F" w:rsidRDefault="00DA068F" w:rsidP="00DA068F">
      <w:pPr>
        <w:pStyle w:val="JuPara"/>
        <w:widowControl w:val="0"/>
        <w:ind w:firstLine="142"/>
        <w:rPr>
          <w:rFonts w:ascii="Times New Roman" w:hAnsi="Times New Roman"/>
          <w:noProof/>
        </w:rPr>
      </w:pPr>
      <w:r>
        <w:rPr>
          <w:rFonts w:ascii="Times New Roman" w:hAnsi="Times New Roman"/>
        </w:rPr>
        <w:t>466. Tā kā programma “</w:t>
      </w:r>
      <w:proofErr w:type="spellStart"/>
      <w:r>
        <w:rPr>
          <w:rFonts w:ascii="Times New Roman" w:hAnsi="Times New Roman"/>
        </w:rPr>
        <w:t>Upstream</w:t>
      </w:r>
      <w:proofErr w:type="spellEnd"/>
      <w:r>
        <w:rPr>
          <w:rFonts w:ascii="Times New Roman" w:hAnsi="Times New Roman"/>
        </w:rPr>
        <w:t xml:space="preserve">” darbojās līdzīgi kā 8. panta 4. punktā noteiktais režīms, </w:t>
      </w:r>
      <w:r>
        <w:rPr>
          <w:rFonts w:ascii="Times New Roman" w:hAnsi="Times New Roman"/>
        </w:rPr>
        <w:lastRenderedPageBreak/>
        <w:t xml:space="preserve">palāta arī atzina, ka pieteikuma iesniedzēju saziņas aktu saturu, iespējams, varēja iegūt </w:t>
      </w:r>
      <w:proofErr w:type="spellStart"/>
      <w:r>
        <w:rPr>
          <w:rFonts w:ascii="Times New Roman" w:hAnsi="Times New Roman"/>
          <w:i/>
          <w:iCs/>
        </w:rPr>
        <w:t>NSA</w:t>
      </w:r>
      <w:proofErr w:type="spellEnd"/>
      <w:r>
        <w:rPr>
          <w:rFonts w:ascii="Times New Roman" w:hAnsi="Times New Roman"/>
        </w:rPr>
        <w:t>.</w:t>
      </w:r>
    </w:p>
    <w:p w14:paraId="4ACB02D0" w14:textId="77777777" w:rsidR="00DA068F" w:rsidRPr="008D031E" w:rsidRDefault="00DA068F" w:rsidP="00DA068F">
      <w:pPr>
        <w:pStyle w:val="JuPara"/>
        <w:widowControl w:val="0"/>
        <w:ind w:firstLine="142"/>
        <w:rPr>
          <w:rFonts w:ascii="Times New Roman" w:hAnsi="Times New Roman"/>
          <w:noProof/>
          <w:lang w:val="en-US"/>
        </w:rPr>
      </w:pPr>
    </w:p>
    <w:p w14:paraId="6937C877" w14:textId="77777777" w:rsidR="00DA068F" w:rsidRDefault="00DA068F" w:rsidP="00DA068F">
      <w:pPr>
        <w:pStyle w:val="JuHa0"/>
        <w:keepNext w:val="0"/>
        <w:keepLines w:val="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b) Tiesas vērtējums</w:t>
      </w:r>
    </w:p>
    <w:p w14:paraId="1C127472" w14:textId="77777777" w:rsidR="00DA068F" w:rsidRPr="003C0DA5" w:rsidRDefault="00DA068F" w:rsidP="00DA068F">
      <w:pPr>
        <w:pStyle w:val="JuPara"/>
        <w:widowControl w:val="0"/>
        <w:rPr>
          <w:lang w:val="en-US"/>
        </w:rPr>
      </w:pPr>
    </w:p>
    <w:p w14:paraId="0B09EC85" w14:textId="77777777" w:rsidR="00DA068F" w:rsidRPr="008D031E" w:rsidRDefault="00DA068F" w:rsidP="00DA068F">
      <w:pPr>
        <w:pStyle w:val="JuPara"/>
        <w:widowControl w:val="0"/>
        <w:ind w:firstLine="142"/>
        <w:rPr>
          <w:rFonts w:ascii="Times New Roman" w:hAnsi="Times New Roman"/>
          <w:noProof/>
        </w:rPr>
      </w:pPr>
      <w:bookmarkStart w:id="270" w:name="ASS1"/>
      <w:r>
        <w:rPr>
          <w:rFonts w:ascii="Times New Roman" w:hAnsi="Times New Roman"/>
        </w:rPr>
        <w:t>467</w:t>
      </w:r>
      <w:bookmarkEnd w:id="270"/>
      <w:r>
        <w:rPr>
          <w:rFonts w:ascii="Times New Roman" w:hAnsi="Times New Roman"/>
        </w:rPr>
        <w:t>. Pieteikuma iesniedzēji nav apstrīdējuši palātas secinājumu, ka</w:t>
      </w:r>
      <w:r>
        <w:rPr>
          <w:rFonts w:ascii="Times New Roman" w:hAnsi="Times New Roman"/>
          <w:i/>
          <w:iCs/>
        </w:rPr>
        <w:t xml:space="preserve"> </w:t>
      </w:r>
      <w:proofErr w:type="spellStart"/>
      <w:r>
        <w:rPr>
          <w:rFonts w:ascii="Times New Roman" w:hAnsi="Times New Roman"/>
          <w:i/>
          <w:iCs/>
        </w:rPr>
        <w:t>IPT</w:t>
      </w:r>
      <w:proofErr w:type="spellEnd"/>
      <w:r>
        <w:rPr>
          <w:rFonts w:ascii="Times New Roman" w:hAnsi="Times New Roman"/>
        </w:rPr>
        <w:t xml:space="preserve"> nodrošināja efektīvu valsts līmeņa tiesiskās aizsardzības līdzekli attiecībā uz sūdzībām par uzraudzības režīma darbību, kas iesniegtas saskaņā ar Konvenciju, tādēļ, pamatojoties uz iepriekš 413.–415. punktā izklāstītajiem iemesliem, Lielā palāta piekrīt šim secinājumam. Tādēļ, kā palāta norādīja, pieteikuma iesniedzēji varēja apgalvot, ka ir “cietušie” tikai </w:t>
      </w:r>
      <w:proofErr w:type="spellStart"/>
      <w:r>
        <w:rPr>
          <w:rFonts w:ascii="Times New Roman" w:hAnsi="Times New Roman"/>
        </w:rPr>
        <w:t>izlūkdatu</w:t>
      </w:r>
      <w:proofErr w:type="spellEnd"/>
      <w:r>
        <w:rPr>
          <w:rFonts w:ascii="Times New Roman" w:hAnsi="Times New Roman"/>
        </w:rPr>
        <w:t xml:space="preserve"> apmaiņas režīma pastāvēšanas dēļ, vienīgi tad, ja viņi varēja pierādīt, ka, iespējams, bija pakļauti riskam, ka Apvienotās Karalistes iestādes varēja iegūt viņu saziņas aktu saturu, to pieprasot no ārvalstu izlūkdienesta (skat. iepriekš minētā spriedumā lietā “Romāns Zaharovs” 171. punktu). Tas tā būtu vienīgi tad, ja viņi patiešām būtu pakļauti gan riskam, ka ārvalstu izlūkdienesti varēja pārtvert viņu saziņas aktu saturu, gan riskam, ka to bija pieprasījusi </w:t>
      </w:r>
      <w:proofErr w:type="spellStart"/>
      <w:r>
        <w:rPr>
          <w:rFonts w:ascii="Times New Roman" w:hAnsi="Times New Roman"/>
          <w:i/>
          <w:iCs/>
        </w:rPr>
        <w:t>GCHQ</w:t>
      </w:r>
      <w:proofErr w:type="spellEnd"/>
      <w:r>
        <w:rPr>
          <w:rFonts w:ascii="Times New Roman" w:hAnsi="Times New Roman"/>
        </w:rPr>
        <w:t>.</w:t>
      </w:r>
    </w:p>
    <w:p w14:paraId="16C35926"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468. Pievēršot uzmanību </w:t>
      </w:r>
      <w:proofErr w:type="spellStart"/>
      <w:r>
        <w:rPr>
          <w:rFonts w:ascii="Times New Roman" w:hAnsi="Times New Roman"/>
        </w:rPr>
        <w:t>izlūkdatu</w:t>
      </w:r>
      <w:proofErr w:type="spellEnd"/>
      <w:r>
        <w:rPr>
          <w:rFonts w:ascii="Times New Roman" w:hAnsi="Times New Roman"/>
        </w:rPr>
        <w:t xml:space="preserve"> saņemšanai no Amerikas Savienotajām Valstīm, Valdība apgalvoja, ka pieteikuma iesniedzēji nebija potenciāli pakļauti riskam, ka viņu saziņas aktu saturu varēja pārtvert ar programmu “</w:t>
      </w:r>
      <w:proofErr w:type="spellStart"/>
      <w:r>
        <w:rPr>
          <w:rFonts w:ascii="Times New Roman" w:hAnsi="Times New Roman"/>
        </w:rPr>
        <w:t>Upstream</w:t>
      </w:r>
      <w:proofErr w:type="spellEnd"/>
      <w:r>
        <w:rPr>
          <w:rFonts w:ascii="Times New Roman" w:hAnsi="Times New Roman"/>
        </w:rPr>
        <w:t xml:space="preserve">”, jo tas bija mērķētas pārtveršanas režīms. Tomēr saskaņā ar </w:t>
      </w:r>
      <w:proofErr w:type="spellStart"/>
      <w:r>
        <w:rPr>
          <w:rFonts w:ascii="Times New Roman" w:hAnsi="Times New Roman"/>
          <w:i/>
          <w:iCs/>
        </w:rPr>
        <w:t>NSA</w:t>
      </w:r>
      <w:proofErr w:type="spellEnd"/>
      <w:r>
        <w:rPr>
          <w:rFonts w:ascii="Times New Roman" w:hAnsi="Times New Roman"/>
        </w:rPr>
        <w:t xml:space="preserve"> apgalvojumu līdz 2017. gada aprīlim ar programmu “</w:t>
      </w:r>
      <w:proofErr w:type="spellStart"/>
      <w:r>
        <w:rPr>
          <w:rFonts w:ascii="Times New Roman" w:hAnsi="Times New Roman"/>
        </w:rPr>
        <w:t>Upstream</w:t>
      </w:r>
      <w:proofErr w:type="spellEnd"/>
      <w:r>
        <w:rPr>
          <w:rFonts w:ascii="Times New Roman" w:hAnsi="Times New Roman"/>
        </w:rPr>
        <w:t>” ieguva sakarus “uz” 702. pantā noteikto selektoru (piemēram, e-pasta adresi), “no” šī selektora un “par” to un tikai pēc 2017. gada aprīļa ar to ieguva sakarus “uz” 702. pantā noteikto selektoru un “no” tā (skat. iepriekš 263. punktu). Tā kā 702. pantā noteiktie selektori tika attiecināti uz visiem sakariem, ko pārraidīja pa konkrētiem kabeļiem, šķiet, ka programma “</w:t>
      </w:r>
      <w:proofErr w:type="spellStart"/>
      <w:r>
        <w:rPr>
          <w:rFonts w:ascii="Times New Roman" w:hAnsi="Times New Roman"/>
        </w:rPr>
        <w:t>Upstream</w:t>
      </w:r>
      <w:proofErr w:type="spellEnd"/>
      <w:r>
        <w:rPr>
          <w:rFonts w:ascii="Times New Roman" w:hAnsi="Times New Roman"/>
        </w:rPr>
        <w:t xml:space="preserve">” nemaz tik ļoti neatšķīrās no 8. panta 4. punktā noteiktā režīma, kura ietvaros arī visus pārtvertos sakarus pārraidīja pa daudziem kabeļiem un filtrēja, izmantojot selektorus. Vienīgā acīmredzamā atšķirība starp abiem režīmiem bija tāda, ka no 2017. gada aprīļa </w:t>
      </w:r>
      <w:proofErr w:type="spellStart"/>
      <w:r>
        <w:rPr>
          <w:rFonts w:ascii="Times New Roman" w:hAnsi="Times New Roman"/>
          <w:i/>
          <w:iCs/>
        </w:rPr>
        <w:t>NSA</w:t>
      </w:r>
      <w:proofErr w:type="spellEnd"/>
      <w:r>
        <w:rPr>
          <w:rFonts w:ascii="Times New Roman" w:hAnsi="Times New Roman"/>
        </w:rPr>
        <w:t xml:space="preserve"> varēja meklēt vienīgi sakarus “uz” spēcīgo selektoru un “no” tā, savukārt </w:t>
      </w:r>
      <w:proofErr w:type="spellStart"/>
      <w:r>
        <w:rPr>
          <w:rFonts w:ascii="Times New Roman" w:hAnsi="Times New Roman"/>
          <w:i/>
          <w:iCs/>
        </w:rPr>
        <w:t>GCHQ</w:t>
      </w:r>
      <w:proofErr w:type="spellEnd"/>
      <w:r>
        <w:rPr>
          <w:rFonts w:ascii="Times New Roman" w:hAnsi="Times New Roman"/>
        </w:rPr>
        <w:t xml:space="preserve"> joprojām varēja meklēt sakarus ar kompleksiem vaicājumiem.</w:t>
      </w:r>
    </w:p>
    <w:p w14:paraId="5F3FCE6F"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469. “</w:t>
      </w:r>
      <w:proofErr w:type="spellStart"/>
      <w:r>
        <w:rPr>
          <w:rFonts w:ascii="Times New Roman" w:hAnsi="Times New Roman"/>
        </w:rPr>
        <w:t>Liberty</w:t>
      </w:r>
      <w:proofErr w:type="spellEnd"/>
      <w:r>
        <w:rPr>
          <w:rFonts w:ascii="Times New Roman" w:hAnsi="Times New Roman"/>
        </w:rPr>
        <w:t>” tiesvedībā</w:t>
      </w:r>
      <w:r>
        <w:rPr>
          <w:rFonts w:ascii="Times New Roman" w:hAnsi="Times New Roman"/>
          <w:i/>
          <w:iCs/>
        </w:rPr>
        <w:t xml:space="preserve"> </w:t>
      </w:r>
      <w:proofErr w:type="spellStart"/>
      <w:r>
        <w:rPr>
          <w:rFonts w:ascii="Times New Roman" w:hAnsi="Times New Roman"/>
          <w:i/>
          <w:iCs/>
        </w:rPr>
        <w:t>IPT</w:t>
      </w:r>
      <w:proofErr w:type="spellEnd"/>
      <w:r>
        <w:rPr>
          <w:rFonts w:ascii="Times New Roman" w:hAnsi="Times New Roman"/>
        </w:rPr>
        <w:t xml:space="preserve"> apstiprināja ne tikai to, ka attiecībā uz vismaz diviem pieteikuma iesniedzējiem trešajā no apvienotajām lietām atsevišķi viņu sakari tika pārtverti atbilstoši 8. panta 4. punktā noteiktajam orderim, bet arī to, ka tie tika likumīgi un samērīgi saglabāti atbilstoši šim rīkojumam (skat. iepriekš 58.–60. punktu). Lai tos saglabātu likumīgi, šiem sakariem bija jāatbilst vai nu kādam “spēcīgam selektoram” (kas attiecas uz pieteikuma iesniedzējiem vai kādu citu personu, ar kuru viņi sazinājušies), vai arī “kompleksam vaicājumam”. Tiesa varētu pieņemt, ka tad, ja pieteikuma iesniedzēju atsevišķi sakari atbilst kādam “spēcīgam selektoram”, ko izmanto </w:t>
      </w:r>
      <w:proofErr w:type="spellStart"/>
      <w:r>
        <w:rPr>
          <w:rFonts w:ascii="Times New Roman" w:hAnsi="Times New Roman"/>
          <w:i/>
          <w:iCs/>
        </w:rPr>
        <w:t>GCHQ</w:t>
      </w:r>
      <w:proofErr w:type="spellEnd"/>
      <w:r>
        <w:rPr>
          <w:rFonts w:ascii="Times New Roman" w:hAnsi="Times New Roman"/>
        </w:rPr>
        <w:t xml:space="preserve">, pastāvētu risks, ka tos varētu pārtvert un saglabāt </w:t>
      </w:r>
      <w:proofErr w:type="spellStart"/>
      <w:r>
        <w:rPr>
          <w:rFonts w:ascii="Times New Roman" w:hAnsi="Times New Roman"/>
          <w:i/>
          <w:iCs/>
        </w:rPr>
        <w:t>NSA</w:t>
      </w:r>
      <w:proofErr w:type="spellEnd"/>
      <w:r>
        <w:rPr>
          <w:rFonts w:ascii="Times New Roman" w:hAnsi="Times New Roman"/>
        </w:rPr>
        <w:t xml:space="preserve"> programmas “</w:t>
      </w:r>
      <w:proofErr w:type="spellStart"/>
      <w:r>
        <w:rPr>
          <w:rFonts w:ascii="Times New Roman" w:hAnsi="Times New Roman"/>
        </w:rPr>
        <w:t>Upstream</w:t>
      </w:r>
      <w:proofErr w:type="spellEnd"/>
      <w:r>
        <w:rPr>
          <w:rFonts w:ascii="Times New Roman" w:hAnsi="Times New Roman"/>
        </w:rPr>
        <w:t>” ietvaros, pamatojoties uz to, ka tos pārraidīja “uz” 702. pantā noteikto selektoru un “no” tā. Pat ja tie neatbilda kādam spēcīgam selektoram, pieteikuma iesniedzēju atsevišķu saziņas aktu saturam joprojām bija izlūkošanas vērtība. Līdz 2017. gada aprīlim šos sakarus bija iespējams pārtvert un saglabāt ar “</w:t>
      </w:r>
      <w:proofErr w:type="spellStart"/>
      <w:r>
        <w:rPr>
          <w:rFonts w:ascii="Times New Roman" w:hAnsi="Times New Roman"/>
        </w:rPr>
        <w:t>Upstream</w:t>
      </w:r>
      <w:proofErr w:type="spellEnd"/>
      <w:r>
        <w:rPr>
          <w:rFonts w:ascii="Times New Roman" w:hAnsi="Times New Roman"/>
        </w:rPr>
        <w:t xml:space="preserve">” programmu, ja tie bija “par” 702. pantā noteikto selektoru. Šādā gadījumā </w:t>
      </w:r>
      <w:proofErr w:type="spellStart"/>
      <w:r>
        <w:rPr>
          <w:rFonts w:ascii="Times New Roman" w:hAnsi="Times New Roman"/>
          <w:i/>
          <w:iCs/>
        </w:rPr>
        <w:t>NSA</w:t>
      </w:r>
      <w:proofErr w:type="spellEnd"/>
      <w:r>
        <w:rPr>
          <w:rFonts w:ascii="Times New Roman" w:hAnsi="Times New Roman"/>
        </w:rPr>
        <w:t xml:space="preserve"> attiecīgajā brīdī (proti, 2017. gada 7. novembrī) joprojām varēja saglabāt minētos sakarus, jo pēc izmaiņām </w:t>
      </w:r>
      <w:proofErr w:type="spellStart"/>
      <w:r>
        <w:rPr>
          <w:rFonts w:ascii="Times New Roman" w:hAnsi="Times New Roman"/>
        </w:rPr>
        <w:t>rīcībpolitikā</w:t>
      </w:r>
      <w:proofErr w:type="spellEnd"/>
      <w:r>
        <w:rPr>
          <w:rFonts w:ascii="Times New Roman" w:hAnsi="Times New Roman"/>
        </w:rPr>
        <w:t xml:space="preserve"> 2017. gada aprīlī tā vienīgi norādīja, ka tā dzēsīs iepriekš ar programmu “</w:t>
      </w:r>
      <w:proofErr w:type="spellStart"/>
      <w:r>
        <w:rPr>
          <w:rFonts w:ascii="Times New Roman" w:hAnsi="Times New Roman"/>
        </w:rPr>
        <w:t>Upstream</w:t>
      </w:r>
      <w:proofErr w:type="spellEnd"/>
      <w:r>
        <w:rPr>
          <w:rFonts w:ascii="Times New Roman" w:hAnsi="Times New Roman"/>
        </w:rPr>
        <w:t xml:space="preserve">” iegūtos internetā īstenotos sakarus “pēc iespējas drīzāk” (skat. iepriekš 263. punktu). Līdz ar to </w:t>
      </w:r>
      <w:proofErr w:type="spellStart"/>
      <w:r>
        <w:rPr>
          <w:rFonts w:ascii="Times New Roman" w:hAnsi="Times New Roman"/>
          <w:i/>
          <w:iCs/>
        </w:rPr>
        <w:t>NSA</w:t>
      </w:r>
      <w:proofErr w:type="spellEnd"/>
      <w:r>
        <w:rPr>
          <w:rFonts w:ascii="Times New Roman" w:hAnsi="Times New Roman"/>
        </w:rPr>
        <w:t xml:space="preserve"> pirms šā datuma iegūtos sakarus “par” spēcīgu selektoru varēja saglabāt vēl kādu laiku pēc tam.</w:t>
      </w:r>
    </w:p>
    <w:p w14:paraId="2DDF6B0A"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470. Tādējādi Tiesa varētu pieņemt, ka attiecīgajā brīdī (proti, 2017. gada 7. novembrī) pieteikuma iesniedzēji pirmajā un trešajā no apvienotajām lietām, iespējams, bija pakļauti riskam, ka vismaz atsevišķus viņu sakarus var pārtvert un saglabāt ar programmu “</w:t>
      </w:r>
      <w:proofErr w:type="spellStart"/>
      <w:r>
        <w:rPr>
          <w:rFonts w:ascii="Times New Roman" w:hAnsi="Times New Roman"/>
        </w:rPr>
        <w:t>Upstream</w:t>
      </w:r>
      <w:proofErr w:type="spellEnd"/>
      <w:r>
        <w:rPr>
          <w:rFonts w:ascii="Times New Roman" w:hAnsi="Times New Roman"/>
        </w:rPr>
        <w:t>”.</w:t>
      </w:r>
    </w:p>
    <w:p w14:paraId="6F1A3BFE"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471. Tomēr pieteikuma iesniedzēji attiecībā uz </w:t>
      </w:r>
      <w:proofErr w:type="spellStart"/>
      <w:r>
        <w:rPr>
          <w:rFonts w:ascii="Times New Roman" w:hAnsi="Times New Roman"/>
        </w:rPr>
        <w:t>izlūkdatu</w:t>
      </w:r>
      <w:proofErr w:type="spellEnd"/>
      <w:r>
        <w:rPr>
          <w:rFonts w:ascii="Times New Roman" w:hAnsi="Times New Roman"/>
        </w:rPr>
        <w:t xml:space="preserve"> apmaiņas režīmu joprojām varēja būt cietušie vienīgi tad, ja viņi, iespējams, bija pakļauti arī riskam, ka viņu saziņas aktu saturu </w:t>
      </w:r>
      <w:r>
        <w:rPr>
          <w:rFonts w:ascii="Times New Roman" w:hAnsi="Times New Roman"/>
        </w:rPr>
        <w:lastRenderedPageBreak/>
        <w:t xml:space="preserve">pieprasīja </w:t>
      </w:r>
      <w:proofErr w:type="spellStart"/>
      <w:r>
        <w:rPr>
          <w:rFonts w:ascii="Times New Roman" w:hAnsi="Times New Roman"/>
          <w:i/>
          <w:iCs/>
        </w:rPr>
        <w:t>GCHQ</w:t>
      </w:r>
      <w:proofErr w:type="spellEnd"/>
      <w:r>
        <w:rPr>
          <w:rFonts w:ascii="Times New Roman" w:hAnsi="Times New Roman"/>
        </w:rPr>
        <w:t>, ņemot vērā, ka tos varēja pieprasīt vienīgi atbilstoši jau izdotam orderim par meklējamo materiālu. Tomēr, kā Tiesa jau ir norādījusi, apstāklis, ka</w:t>
      </w:r>
      <w:r>
        <w:rPr>
          <w:rFonts w:ascii="Times New Roman" w:hAnsi="Times New Roman"/>
          <w:i/>
          <w:iCs/>
        </w:rPr>
        <w:t xml:space="preserve"> </w:t>
      </w:r>
      <w:proofErr w:type="spellStart"/>
      <w:r>
        <w:rPr>
          <w:rFonts w:ascii="Times New Roman" w:hAnsi="Times New Roman"/>
          <w:i/>
          <w:iCs/>
        </w:rPr>
        <w:t>GCHQ</w:t>
      </w:r>
      <w:proofErr w:type="spellEnd"/>
      <w:r>
        <w:rPr>
          <w:rFonts w:ascii="Times New Roman" w:hAnsi="Times New Roman"/>
        </w:rPr>
        <w:t xml:space="preserve"> bija saglabājusi sakarus attiecībā uz vismaz diviem pieteikuma iesniedzējiem trešajā no apvienotajām lietām, liecina par to, ka 8. panta 4. punktā noteiktais orderis attiecās vismaz uz dažu viņu saziņas aktu saturu. Līdz ar to Tiesa varētu pieņemt, ka pieteikuma iesniedzēji pirmajā un trešajā no apvienotajām lietām, iespējams, bija pakļauti riskam, ka viņu sakarus var pieprasīt arī</w:t>
      </w:r>
      <w:r>
        <w:rPr>
          <w:rFonts w:ascii="Times New Roman" w:hAnsi="Times New Roman"/>
          <w:i/>
          <w:iCs/>
        </w:rPr>
        <w:t xml:space="preserve"> </w:t>
      </w:r>
      <w:proofErr w:type="spellStart"/>
      <w:r>
        <w:rPr>
          <w:rFonts w:ascii="Times New Roman" w:hAnsi="Times New Roman"/>
          <w:i/>
          <w:iCs/>
        </w:rPr>
        <w:t>GCHQ</w:t>
      </w:r>
      <w:proofErr w:type="spellEnd"/>
      <w:r>
        <w:rPr>
          <w:rFonts w:ascii="Times New Roman" w:hAnsi="Times New Roman"/>
        </w:rPr>
        <w:t>.</w:t>
      </w:r>
    </w:p>
    <w:p w14:paraId="5C7C658D" w14:textId="77777777" w:rsidR="00DA068F" w:rsidRDefault="00DA068F" w:rsidP="00DA068F">
      <w:pPr>
        <w:pStyle w:val="JuPara"/>
        <w:widowControl w:val="0"/>
        <w:ind w:firstLine="142"/>
        <w:rPr>
          <w:rFonts w:ascii="Times New Roman" w:hAnsi="Times New Roman"/>
          <w:noProof/>
        </w:rPr>
      </w:pPr>
      <w:r>
        <w:rPr>
          <w:rFonts w:ascii="Times New Roman" w:hAnsi="Times New Roman"/>
        </w:rPr>
        <w:t xml:space="preserve">472. Līdz ar to tā atzīst, ka pieteikuma iesniedzēji pirmajā un trešajā no apvienotajām lietām var apgalvot, ka ir cietušie attiecībā uz viņu sūdzībām par </w:t>
      </w:r>
      <w:proofErr w:type="spellStart"/>
      <w:r>
        <w:rPr>
          <w:rFonts w:ascii="Times New Roman" w:hAnsi="Times New Roman"/>
        </w:rPr>
        <w:t>izlūkdatu</w:t>
      </w:r>
      <w:proofErr w:type="spellEnd"/>
      <w:r>
        <w:rPr>
          <w:rFonts w:ascii="Times New Roman" w:hAnsi="Times New Roman"/>
        </w:rPr>
        <w:t xml:space="preserve"> apmaiņas režīmu. Tādēļ Valdības sākotnējais iebildums ir noraidīts.</w:t>
      </w:r>
    </w:p>
    <w:p w14:paraId="2B50A9D1" w14:textId="77777777" w:rsidR="00DA068F" w:rsidRPr="008D031E" w:rsidRDefault="00DA068F" w:rsidP="00DA068F">
      <w:pPr>
        <w:pStyle w:val="JuPara"/>
        <w:widowControl w:val="0"/>
        <w:ind w:firstLine="142"/>
        <w:rPr>
          <w:rFonts w:ascii="Times New Roman" w:hAnsi="Times New Roman"/>
          <w:noProof/>
          <w:lang w:val="en-US"/>
        </w:rPr>
      </w:pPr>
    </w:p>
    <w:p w14:paraId="508F775D" w14:textId="77777777" w:rsidR="00DA068F" w:rsidRDefault="00DA068F" w:rsidP="00DA068F">
      <w:pPr>
        <w:pStyle w:val="JuH1"/>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3. Lietas būtība</w:t>
      </w:r>
    </w:p>
    <w:p w14:paraId="2AE30CB8" w14:textId="77777777" w:rsidR="00DA068F" w:rsidRPr="00BB751D" w:rsidRDefault="00DA068F" w:rsidP="00DA068F">
      <w:pPr>
        <w:pStyle w:val="JuPara"/>
        <w:widowControl w:val="0"/>
        <w:rPr>
          <w:lang w:val="en-US"/>
        </w:rPr>
      </w:pPr>
    </w:p>
    <w:p w14:paraId="636BB1D4" w14:textId="77777777" w:rsidR="00DA068F" w:rsidRDefault="00DA068F" w:rsidP="00DA068F">
      <w:pPr>
        <w:pStyle w:val="JuHa0"/>
        <w:keepNext w:val="0"/>
        <w:keepLines w:val="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a) Palātas spriedums</w:t>
      </w:r>
    </w:p>
    <w:p w14:paraId="3591FAB1" w14:textId="77777777" w:rsidR="00DA068F" w:rsidRPr="00BB751D" w:rsidRDefault="00DA068F" w:rsidP="00DA068F">
      <w:pPr>
        <w:pStyle w:val="JuPara"/>
        <w:widowControl w:val="0"/>
        <w:rPr>
          <w:lang w:val="en-US"/>
        </w:rPr>
      </w:pPr>
    </w:p>
    <w:p w14:paraId="3C4B28A0"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473. Izvērtējot, vai režīms par pārtvertā materiāla saņemšanu no ārvalstu izlūkdienestiem, piemēram, </w:t>
      </w:r>
      <w:proofErr w:type="spellStart"/>
      <w:r>
        <w:rPr>
          <w:rFonts w:ascii="Times New Roman" w:hAnsi="Times New Roman"/>
          <w:i/>
          <w:iCs/>
        </w:rPr>
        <w:t>NSA</w:t>
      </w:r>
      <w:proofErr w:type="spellEnd"/>
      <w:r>
        <w:rPr>
          <w:rFonts w:ascii="Times New Roman" w:hAnsi="Times New Roman"/>
        </w:rPr>
        <w:t>, atbilst 8. pantam, palāta piemēroja sešu minimālo drošības pasākumu modificēto versiju (skat. 275. punktu). Tā kā pirmās divas prasības nevarēja attiekties uz pārtvertā materiāla pieprasīšanu no ārvalstu valdībām, palāta tā vietā izvērtēja, vai apstākļi, kādos var pieprasīt pārtveršanu, ir pietiekami ierobežoti, lai neļautu valstīm izmantot tiesības apiet attiecīgās valsts tiesību aktus vai savas Konvencijā noteiktās saistības. Pēc tam tā piemēroja pēdējās četras prasības pārtvertā materiāla apstrādei, līdz ko to bija ieguvuši Apvienotās Karalistes izlūkdienesti.</w:t>
      </w:r>
    </w:p>
    <w:p w14:paraId="2A62512D" w14:textId="77777777" w:rsidR="00DA068F" w:rsidRDefault="00DA068F" w:rsidP="00DA068F">
      <w:pPr>
        <w:pStyle w:val="JuPara"/>
        <w:widowControl w:val="0"/>
        <w:ind w:firstLine="142"/>
        <w:rPr>
          <w:rFonts w:ascii="Times New Roman" w:hAnsi="Times New Roman"/>
          <w:noProof/>
        </w:rPr>
      </w:pPr>
      <w:r>
        <w:rPr>
          <w:rFonts w:ascii="Times New Roman" w:hAnsi="Times New Roman"/>
        </w:rPr>
        <w:t xml:space="preserve">474. Palāta uzskatīja, ka valsts tiesību akti un ar </w:t>
      </w:r>
      <w:proofErr w:type="spellStart"/>
      <w:r>
        <w:rPr>
          <w:rFonts w:ascii="Times New Roman" w:hAnsi="Times New Roman"/>
          <w:i/>
          <w:iCs/>
        </w:rPr>
        <w:t>IC</w:t>
      </w:r>
      <w:proofErr w:type="spellEnd"/>
      <w:r>
        <w:rPr>
          <w:rFonts w:ascii="Times New Roman" w:hAnsi="Times New Roman"/>
        </w:rPr>
        <w:t xml:space="preserve"> kodeksā izdarītajiem grozījumiem sniegtie precizējumi pietiekami skaidri noteica kārtību, kādā tiek pieprasīta vai nu pārtveršana, vai arī pārtvertā materiāla nodošana no ārvalstu izlūkdienestiem. Turklāt palāta nekonstatēja nevienu būtisku trūkumu režīma piemērošanā un darbībā. Līdz ar to tā ar balsu vairākumu atzina, ka Konvencijas 8. pants nebija pārkāpts.</w:t>
      </w:r>
    </w:p>
    <w:p w14:paraId="18D0F707" w14:textId="77777777" w:rsidR="00DA068F" w:rsidRPr="008D031E" w:rsidRDefault="00DA068F" w:rsidP="00DA068F">
      <w:pPr>
        <w:pStyle w:val="JuPara"/>
        <w:widowControl w:val="0"/>
        <w:ind w:firstLine="142"/>
        <w:rPr>
          <w:rFonts w:ascii="Times New Roman" w:hAnsi="Times New Roman"/>
          <w:noProof/>
          <w:lang w:val="en-US"/>
        </w:rPr>
      </w:pPr>
    </w:p>
    <w:p w14:paraId="23A18C8E" w14:textId="77777777" w:rsidR="00DA068F" w:rsidRDefault="00DA068F" w:rsidP="00A5310B">
      <w:pPr>
        <w:pStyle w:val="JuHa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b) Lietas dalībnieku argumenti</w:t>
      </w:r>
    </w:p>
    <w:p w14:paraId="0799E23B" w14:textId="77777777" w:rsidR="00DA068F" w:rsidRPr="00BB751D" w:rsidRDefault="00DA068F" w:rsidP="00A5310B">
      <w:pPr>
        <w:pStyle w:val="JuPara"/>
        <w:keepNext/>
        <w:keepLines/>
        <w:widowControl w:val="0"/>
        <w:rPr>
          <w:lang w:val="en-US"/>
        </w:rPr>
      </w:pPr>
    </w:p>
    <w:p w14:paraId="35889F37" w14:textId="77777777" w:rsidR="00DA068F" w:rsidRPr="008D031E" w:rsidRDefault="00DA068F" w:rsidP="00A5310B">
      <w:pPr>
        <w:pStyle w:val="JuPara"/>
        <w:keepNext/>
        <w:keepLines/>
        <w:widowControl w:val="0"/>
        <w:ind w:firstLine="142"/>
        <w:rPr>
          <w:rFonts w:ascii="Times New Roman" w:hAnsi="Times New Roman"/>
          <w:noProof/>
        </w:rPr>
      </w:pPr>
      <w:r>
        <w:rPr>
          <w:rFonts w:ascii="Times New Roman" w:hAnsi="Times New Roman"/>
        </w:rPr>
        <w:t xml:space="preserve">475. Pieteikuma iesniedzēji apgalvoja, ka ieviestie drošības pasākumi saistībā ar </w:t>
      </w:r>
      <w:proofErr w:type="spellStart"/>
      <w:r>
        <w:rPr>
          <w:rFonts w:ascii="Times New Roman" w:hAnsi="Times New Roman"/>
        </w:rPr>
        <w:t>izlūkdatu</w:t>
      </w:r>
      <w:proofErr w:type="spellEnd"/>
      <w:r>
        <w:rPr>
          <w:rFonts w:ascii="Times New Roman" w:hAnsi="Times New Roman"/>
        </w:rPr>
        <w:t xml:space="preserve"> apmaiņas režīmu bija neatbilstoši. Viņi uzsvēra, ka problēmas, kuru dēļ palāta konstatēja Konvencijas 8. panta pārkāpumu saistībā ar masveida pārtveršanas režīmu (proti, tas, ka netiek pārraudzīta selektoru izmantošana, un neatbilstošie drošības pasākumi attiecībā uz saistītajiem sakaru datiem), ir vienlīdz piemērojamas </w:t>
      </w:r>
      <w:proofErr w:type="spellStart"/>
      <w:r>
        <w:rPr>
          <w:rFonts w:ascii="Times New Roman" w:hAnsi="Times New Roman"/>
        </w:rPr>
        <w:t>izlūkdatu</w:t>
      </w:r>
      <w:proofErr w:type="spellEnd"/>
      <w:r>
        <w:rPr>
          <w:rFonts w:ascii="Times New Roman" w:hAnsi="Times New Roman"/>
        </w:rPr>
        <w:t xml:space="preserve"> apmaiņas režīmam.</w:t>
      </w:r>
    </w:p>
    <w:p w14:paraId="5550DA25"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476. Savukārt Valdība apgalvoja, ka </w:t>
      </w:r>
      <w:proofErr w:type="spellStart"/>
      <w:r>
        <w:rPr>
          <w:rFonts w:ascii="Times New Roman" w:hAnsi="Times New Roman"/>
        </w:rPr>
        <w:t>izlūkdatu</w:t>
      </w:r>
      <w:proofErr w:type="spellEnd"/>
      <w:r>
        <w:rPr>
          <w:rFonts w:ascii="Times New Roman" w:hAnsi="Times New Roman"/>
        </w:rPr>
        <w:t xml:space="preserve"> apmaiņas režīms bija skaidri pamatots valsts tiesību aktos, to paredzot noteikumā, ko papildina </w:t>
      </w:r>
      <w:proofErr w:type="spellStart"/>
      <w:r>
        <w:rPr>
          <w:rFonts w:ascii="Times New Roman" w:hAnsi="Times New Roman"/>
          <w:i/>
          <w:iCs/>
        </w:rPr>
        <w:t>IC</w:t>
      </w:r>
      <w:proofErr w:type="spellEnd"/>
      <w:r>
        <w:rPr>
          <w:rFonts w:ascii="Times New Roman" w:hAnsi="Times New Roman"/>
        </w:rPr>
        <w:t xml:space="preserve"> kodeksa 12. nodaļa, un ka šie tiesību akti bija pieejami. Attiecībā uz </w:t>
      </w:r>
      <w:proofErr w:type="spellStart"/>
      <w:r>
        <w:rPr>
          <w:rFonts w:ascii="Times New Roman" w:hAnsi="Times New Roman"/>
        </w:rPr>
        <w:t>paredzamību</w:t>
      </w:r>
      <w:proofErr w:type="spellEnd"/>
      <w:r>
        <w:rPr>
          <w:rFonts w:ascii="Times New Roman" w:hAnsi="Times New Roman"/>
        </w:rPr>
        <w:t xml:space="preserve"> Valdība apgalvoja, ka tā vietā, lai piemērotu sešu minimālo drošības pasākumu modificēto versiju, palātai bija jāveic vispārīgāks </w:t>
      </w:r>
      <w:proofErr w:type="spellStart"/>
      <w:r>
        <w:rPr>
          <w:rFonts w:ascii="Times New Roman" w:hAnsi="Times New Roman"/>
        </w:rPr>
        <w:t>izvērtējums</w:t>
      </w:r>
      <w:proofErr w:type="spellEnd"/>
      <w:r>
        <w:rPr>
          <w:rFonts w:ascii="Times New Roman" w:hAnsi="Times New Roman"/>
        </w:rPr>
        <w:t xml:space="preserve">, ko parasti piemēro </w:t>
      </w:r>
      <w:proofErr w:type="spellStart"/>
      <w:r>
        <w:rPr>
          <w:rFonts w:ascii="Times New Roman" w:hAnsi="Times New Roman"/>
        </w:rPr>
        <w:t>izlūkdatu</w:t>
      </w:r>
      <w:proofErr w:type="spellEnd"/>
      <w:r>
        <w:rPr>
          <w:rFonts w:ascii="Times New Roman" w:hAnsi="Times New Roman"/>
        </w:rPr>
        <w:t xml:space="preserve"> apmaiņas gadījumos, kas nav saistīti ar sakaru pārtveršanu, lai noskaidrotu, vai tiesību aktos bija pietiekami skaidri noteikta rīcības brīvība un tās īstenošanas veids, lai nodrošinātu personai atbilstošu aizsardzību pret patvaļīgu iejaukšanos. Jebkurā gadījumā, Valdība apgalvoja, ka </w:t>
      </w:r>
      <w:proofErr w:type="spellStart"/>
      <w:r>
        <w:rPr>
          <w:rFonts w:ascii="Times New Roman" w:hAnsi="Times New Roman"/>
        </w:rPr>
        <w:t>izlūkdatu</w:t>
      </w:r>
      <w:proofErr w:type="spellEnd"/>
      <w:r>
        <w:rPr>
          <w:rFonts w:ascii="Times New Roman" w:hAnsi="Times New Roman"/>
        </w:rPr>
        <w:t xml:space="preserve"> apmaiņas režīms atbilda sešiem minimālajiem drošības pasākumiem. </w:t>
      </w:r>
      <w:proofErr w:type="spellStart"/>
      <w:r>
        <w:rPr>
          <w:rFonts w:ascii="Times New Roman" w:hAnsi="Times New Roman"/>
          <w:i/>
          <w:iCs/>
        </w:rPr>
        <w:t>IC</w:t>
      </w:r>
      <w:proofErr w:type="spellEnd"/>
      <w:r>
        <w:rPr>
          <w:rFonts w:ascii="Times New Roman" w:hAnsi="Times New Roman"/>
        </w:rPr>
        <w:t xml:space="preserve"> kodeksā bija skaidri raksturota to nodarījumu būtība, kas ir par pamatu </w:t>
      </w:r>
      <w:proofErr w:type="spellStart"/>
      <w:r>
        <w:rPr>
          <w:rFonts w:ascii="Times New Roman" w:hAnsi="Times New Roman"/>
        </w:rPr>
        <w:t>izlūkdatu</w:t>
      </w:r>
      <w:proofErr w:type="spellEnd"/>
      <w:r>
        <w:rPr>
          <w:rFonts w:ascii="Times New Roman" w:hAnsi="Times New Roman"/>
        </w:rPr>
        <w:t xml:space="preserve"> iegūšanai, šādas </w:t>
      </w:r>
      <w:proofErr w:type="spellStart"/>
      <w:r>
        <w:rPr>
          <w:rFonts w:ascii="Times New Roman" w:hAnsi="Times New Roman"/>
        </w:rPr>
        <w:t>izlūkdatu</w:t>
      </w:r>
      <w:proofErr w:type="spellEnd"/>
      <w:r>
        <w:rPr>
          <w:rFonts w:ascii="Times New Roman" w:hAnsi="Times New Roman"/>
        </w:rPr>
        <w:t xml:space="preserve"> iegūšanas ierobežojumi, iegūto </w:t>
      </w:r>
      <w:proofErr w:type="spellStart"/>
      <w:r>
        <w:rPr>
          <w:rFonts w:ascii="Times New Roman" w:hAnsi="Times New Roman"/>
        </w:rPr>
        <w:t>izlūkdatu</w:t>
      </w:r>
      <w:proofErr w:type="spellEnd"/>
      <w:r>
        <w:rPr>
          <w:rFonts w:ascii="Times New Roman" w:hAnsi="Times New Roman"/>
        </w:rPr>
        <w:t xml:space="preserve"> pārbaudes, izmantošanas un uzglabāšanas process, kā arī apstākļi, kādos </w:t>
      </w:r>
      <w:proofErr w:type="spellStart"/>
      <w:r>
        <w:rPr>
          <w:rFonts w:ascii="Times New Roman" w:hAnsi="Times New Roman"/>
        </w:rPr>
        <w:t>izlūkdati</w:t>
      </w:r>
      <w:proofErr w:type="spellEnd"/>
      <w:r>
        <w:rPr>
          <w:rFonts w:ascii="Times New Roman" w:hAnsi="Times New Roman"/>
        </w:rPr>
        <w:t xml:space="preserve"> ir jādzēš vai jāiznīcina.</w:t>
      </w:r>
    </w:p>
    <w:p w14:paraId="19CD9D21" w14:textId="77777777" w:rsidR="00DA068F" w:rsidRDefault="00DA068F" w:rsidP="00DA068F">
      <w:pPr>
        <w:pStyle w:val="JuPara"/>
        <w:widowControl w:val="0"/>
        <w:ind w:firstLine="142"/>
        <w:rPr>
          <w:rFonts w:ascii="Times New Roman" w:hAnsi="Times New Roman"/>
          <w:noProof/>
        </w:rPr>
      </w:pPr>
      <w:r>
        <w:rPr>
          <w:rFonts w:ascii="Times New Roman" w:hAnsi="Times New Roman"/>
        </w:rPr>
        <w:t xml:space="preserve">477. Visbeidzot, Valdības ieskatā nebija pamatota iemesla nošķirt pārtvertos sakarus un saistītos sakaru datus no cita veida informācijas, ko principā var iegūt no ārvalstu izlūkdienesta, piemēram, </w:t>
      </w:r>
      <w:proofErr w:type="spellStart"/>
      <w:r>
        <w:rPr>
          <w:rFonts w:ascii="Times New Roman" w:hAnsi="Times New Roman"/>
        </w:rPr>
        <w:t>izlūkdatus</w:t>
      </w:r>
      <w:proofErr w:type="spellEnd"/>
      <w:r>
        <w:rPr>
          <w:rFonts w:ascii="Times New Roman" w:hAnsi="Times New Roman"/>
        </w:rPr>
        <w:t xml:space="preserve"> no slepeniem izlūkošanas avotiem vai slepenas audio/video uzraudzības. </w:t>
      </w:r>
      <w:r>
        <w:rPr>
          <w:rFonts w:ascii="Times New Roman" w:hAnsi="Times New Roman"/>
        </w:rPr>
        <w:lastRenderedPageBreak/>
        <w:t>Proti, daudzos gadījumos izlūkdienestiem pat, iespējams, nemaz nav zināms, vai sakari, ko tiem sniedza ārvalsts izlūkdienests, bija iegūti pārtveršanas ceļā.</w:t>
      </w:r>
    </w:p>
    <w:p w14:paraId="0011ACBF" w14:textId="77777777" w:rsidR="00DA068F" w:rsidRPr="008D031E" w:rsidRDefault="00DA068F" w:rsidP="00DA068F">
      <w:pPr>
        <w:pStyle w:val="JuPara"/>
        <w:widowControl w:val="0"/>
        <w:ind w:firstLine="142"/>
        <w:rPr>
          <w:rFonts w:ascii="Times New Roman" w:hAnsi="Times New Roman"/>
          <w:noProof/>
          <w:lang w:val="en-US"/>
        </w:rPr>
      </w:pPr>
    </w:p>
    <w:p w14:paraId="411CBFE1" w14:textId="77777777" w:rsidR="00DA068F" w:rsidRDefault="00DA068F" w:rsidP="00DA068F">
      <w:pPr>
        <w:pStyle w:val="JuHa0"/>
        <w:keepNext w:val="0"/>
        <w:keepLines w:val="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c) Trešo personu argumenti</w:t>
      </w:r>
    </w:p>
    <w:p w14:paraId="06F9DFD4" w14:textId="77777777" w:rsidR="00DA068F" w:rsidRPr="00DF4EB0" w:rsidRDefault="00DA068F" w:rsidP="00DA068F">
      <w:pPr>
        <w:pStyle w:val="JuPara"/>
        <w:widowControl w:val="0"/>
        <w:rPr>
          <w:lang w:val="en-US"/>
        </w:rPr>
      </w:pPr>
    </w:p>
    <w:p w14:paraId="3B0C74E6" w14:textId="77777777" w:rsidR="00DA068F" w:rsidRDefault="00DA068F" w:rsidP="00DA068F">
      <w:pPr>
        <w:pStyle w:val="JuHi"/>
        <w:keepNext w:val="0"/>
        <w:keepLines w:val="0"/>
        <w:widowControl w:val="0"/>
        <w:numPr>
          <w:ilvl w:val="0"/>
          <w:numId w:val="0"/>
        </w:numPr>
        <w:spacing w:before="0" w:beforeAutospacing="0" w:after="0" w:line="240" w:lineRule="auto"/>
        <w:outlineLvl w:val="9"/>
        <w:rPr>
          <w:rFonts w:ascii="Times New Roman" w:hAnsi="Times New Roman"/>
          <w:noProof/>
          <w:sz w:val="24"/>
        </w:rPr>
      </w:pPr>
      <w:r>
        <w:rPr>
          <w:rFonts w:ascii="Times New Roman" w:hAnsi="Times New Roman"/>
          <w:sz w:val="24"/>
        </w:rPr>
        <w:t>i) Francijas valdība</w:t>
      </w:r>
    </w:p>
    <w:p w14:paraId="67ED6DD3" w14:textId="77777777" w:rsidR="00DA068F" w:rsidRPr="00DF4EB0" w:rsidRDefault="00DA068F" w:rsidP="00DA068F">
      <w:pPr>
        <w:pStyle w:val="JuPara"/>
        <w:widowControl w:val="0"/>
        <w:rPr>
          <w:lang w:val="en-US" w:bidi="en-US"/>
        </w:rPr>
      </w:pPr>
    </w:p>
    <w:p w14:paraId="1A9B226E"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478. Francijas valdība norādīja, ka </w:t>
      </w:r>
      <w:proofErr w:type="spellStart"/>
      <w:r>
        <w:rPr>
          <w:rFonts w:ascii="Times New Roman" w:hAnsi="Times New Roman"/>
        </w:rPr>
        <w:t>izlūkdatu</w:t>
      </w:r>
      <w:proofErr w:type="spellEnd"/>
      <w:r>
        <w:rPr>
          <w:rFonts w:ascii="Times New Roman" w:hAnsi="Times New Roman"/>
        </w:rPr>
        <w:t xml:space="preserve"> apmaiņa starp izlūkošanas partneriem neatkarīgi no tā, vai tā notiek pēc </w:t>
      </w:r>
      <w:proofErr w:type="spellStart"/>
      <w:r>
        <w:rPr>
          <w:rFonts w:ascii="Times New Roman" w:hAnsi="Times New Roman"/>
          <w:i/>
          <w:iCs/>
        </w:rPr>
        <w:t>ad</w:t>
      </w:r>
      <w:proofErr w:type="spellEnd"/>
      <w:r>
        <w:rPr>
          <w:rFonts w:ascii="Times New Roman" w:hAnsi="Times New Roman"/>
          <w:i/>
          <w:iCs/>
        </w:rPr>
        <w:t> </w:t>
      </w:r>
      <w:proofErr w:type="spellStart"/>
      <w:r>
        <w:rPr>
          <w:rFonts w:ascii="Times New Roman" w:hAnsi="Times New Roman"/>
          <w:i/>
          <w:iCs/>
        </w:rPr>
        <w:t>hoc</w:t>
      </w:r>
      <w:proofErr w:type="spellEnd"/>
      <w:r>
        <w:rPr>
          <w:rFonts w:ascii="Times New Roman" w:hAnsi="Times New Roman"/>
        </w:rPr>
        <w:t xml:space="preserve"> principa vai arī regulāri, bija ļoti svarīga, jo īpaši cīņā pret pieaugošajiem pārrobežu un plašas izplatības draudiem, kuri valstīm bija jānovērš, galvenokārt identificējot aizdomās turamos pirms to darbības. Šī cīņa attaisnoja izlūkošanas kopienas izveidi, jo bez tās izlūkdienesti ar to ierobežotajām pilnvarām ārvalstīs nevarētu izpildīt tiem uzticēto uzdevumu.</w:t>
      </w:r>
    </w:p>
    <w:p w14:paraId="4C848338"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479. Francijas valdība arī apgalvoja, ka </w:t>
      </w:r>
      <w:proofErr w:type="spellStart"/>
      <w:r>
        <w:rPr>
          <w:rFonts w:ascii="Times New Roman" w:hAnsi="Times New Roman"/>
        </w:rPr>
        <w:t>izlūkdatu</w:t>
      </w:r>
      <w:proofErr w:type="spellEnd"/>
      <w:r>
        <w:rPr>
          <w:rFonts w:ascii="Times New Roman" w:hAnsi="Times New Roman"/>
        </w:rPr>
        <w:t xml:space="preserve"> apmaiņas kontekstā iejaukšanās nenotika ar pārtveršanu, bet gan drīzāk ar informācijas iegūšanu, pat ja materiāls bija pārtverts pēc saņēmējas valsts pieprasījuma. Tā atsaucās uz palātas izmantoto pieeju, analizējot Apvienotās Karalistes </w:t>
      </w:r>
      <w:proofErr w:type="spellStart"/>
      <w:r>
        <w:rPr>
          <w:rFonts w:ascii="Times New Roman" w:hAnsi="Times New Roman"/>
        </w:rPr>
        <w:t>izlūkdatu</w:t>
      </w:r>
      <w:proofErr w:type="spellEnd"/>
      <w:r>
        <w:rPr>
          <w:rFonts w:ascii="Times New Roman" w:hAnsi="Times New Roman"/>
        </w:rPr>
        <w:t xml:space="preserve"> apmaiņas režīmu, un lūdza Lielo palātu izmantot tādu pašu pieeju.</w:t>
      </w:r>
    </w:p>
    <w:p w14:paraId="12AACA19" w14:textId="77777777" w:rsidR="00DA068F" w:rsidRDefault="00DA068F" w:rsidP="00DA068F">
      <w:pPr>
        <w:pStyle w:val="JuPara"/>
        <w:widowControl w:val="0"/>
        <w:ind w:firstLine="142"/>
        <w:rPr>
          <w:rFonts w:ascii="Times New Roman" w:hAnsi="Times New Roman"/>
          <w:noProof/>
        </w:rPr>
      </w:pPr>
      <w:r>
        <w:rPr>
          <w:rFonts w:ascii="Times New Roman" w:hAnsi="Times New Roman"/>
        </w:rPr>
        <w:t xml:space="preserve">480. Valdības ieskatā saņēmēja dienesta konfidencialitāte bija viens no galvenajiem kritērijiem, uz ko sūtītāja valsts balstīja savu lēmumu par datu apmaiņu, līdz ar to saņēmējai valstij bija jāgarantē stingra konfidencialitāte attiecībā uz tai paziņoto informāciju. Tādēļ garantijām, kas nepieciešamas, lai apstrādātu ar izlūkošanas partneri īstenotās datu apmaiņas ceļā apkopotos </w:t>
      </w:r>
      <w:proofErr w:type="spellStart"/>
      <w:r>
        <w:rPr>
          <w:rFonts w:ascii="Times New Roman" w:hAnsi="Times New Roman"/>
        </w:rPr>
        <w:t>izlūkdatus</w:t>
      </w:r>
      <w:proofErr w:type="spellEnd"/>
      <w:r>
        <w:rPr>
          <w:rFonts w:ascii="Times New Roman" w:hAnsi="Times New Roman"/>
        </w:rPr>
        <w:t>, bija jāatbilst “trešās personas principam”, kas liedza aģentūrai, kura bija saņēmusi informāciju no ārvalsts partnera, to koplietot ar trešo personu bez informācijas nosūtītāja piekrišanas. Bez šādas garantijas valstis varētu atteikties pārsūtīt informāciju.</w:t>
      </w:r>
    </w:p>
    <w:p w14:paraId="3D17D0E3" w14:textId="77777777" w:rsidR="00DA068F" w:rsidRPr="008D031E" w:rsidRDefault="00DA068F" w:rsidP="00DA068F">
      <w:pPr>
        <w:pStyle w:val="JuPara"/>
        <w:widowControl w:val="0"/>
        <w:ind w:firstLine="142"/>
        <w:rPr>
          <w:rFonts w:ascii="Times New Roman" w:hAnsi="Times New Roman"/>
          <w:noProof/>
          <w:lang w:val="en-US"/>
        </w:rPr>
      </w:pPr>
    </w:p>
    <w:p w14:paraId="55B569F5" w14:textId="77777777" w:rsidR="00DA068F" w:rsidRDefault="00DA068F" w:rsidP="00DA068F">
      <w:pPr>
        <w:pStyle w:val="JuHi"/>
        <w:keepNext w:val="0"/>
        <w:keepLines w:val="0"/>
        <w:widowControl w:val="0"/>
        <w:numPr>
          <w:ilvl w:val="0"/>
          <w:numId w:val="0"/>
        </w:numPr>
        <w:spacing w:before="0" w:beforeAutospacing="0" w:after="0" w:line="240" w:lineRule="auto"/>
        <w:outlineLvl w:val="9"/>
        <w:rPr>
          <w:rFonts w:ascii="Times New Roman" w:hAnsi="Times New Roman"/>
          <w:noProof/>
          <w:sz w:val="24"/>
        </w:rPr>
      </w:pPr>
      <w:r>
        <w:rPr>
          <w:rFonts w:ascii="Times New Roman" w:hAnsi="Times New Roman"/>
          <w:sz w:val="24"/>
        </w:rPr>
        <w:t>ii) Apvienoto Nāciju īpašais ziņotājs vārda brīvības jautājumos</w:t>
      </w:r>
    </w:p>
    <w:p w14:paraId="2BAEBF83" w14:textId="77777777" w:rsidR="00DA068F" w:rsidRPr="00DF4EB0" w:rsidRDefault="00DA068F" w:rsidP="00DA068F">
      <w:pPr>
        <w:pStyle w:val="JuPara"/>
        <w:widowControl w:val="0"/>
        <w:rPr>
          <w:lang w:val="en-US" w:bidi="en-US"/>
        </w:rPr>
      </w:pPr>
    </w:p>
    <w:p w14:paraId="69F5C075" w14:textId="77777777" w:rsidR="00DA068F" w:rsidRDefault="00DA068F" w:rsidP="00DA068F">
      <w:pPr>
        <w:pStyle w:val="JuPara"/>
        <w:widowControl w:val="0"/>
        <w:ind w:firstLine="142"/>
        <w:rPr>
          <w:rFonts w:ascii="Times New Roman" w:hAnsi="Times New Roman"/>
          <w:noProof/>
        </w:rPr>
      </w:pPr>
      <w:r>
        <w:rPr>
          <w:rFonts w:ascii="Times New Roman" w:hAnsi="Times New Roman"/>
        </w:rPr>
        <w:t xml:space="preserve">481. Īpašais ziņotājs apgalvoja, ka datu iegūšanai no ārvalstu izlūkdienestiem jāpiemēro tie paši standarti, ko piemēro tad, kad pašas valsts iestādes iegūst datus. Pretēja nostāja varētu radīt situāciju, kad valsts iestādes </w:t>
      </w:r>
      <w:proofErr w:type="spellStart"/>
      <w:r>
        <w:rPr>
          <w:rFonts w:ascii="Times New Roman" w:hAnsi="Times New Roman"/>
          <w:i/>
          <w:iCs/>
        </w:rPr>
        <w:t>de</w:t>
      </w:r>
      <w:proofErr w:type="spellEnd"/>
      <w:r>
        <w:rPr>
          <w:rFonts w:ascii="Times New Roman" w:hAnsi="Times New Roman"/>
          <w:i/>
          <w:iCs/>
        </w:rPr>
        <w:t> </w:t>
      </w:r>
      <w:proofErr w:type="spellStart"/>
      <w:r>
        <w:rPr>
          <w:rFonts w:ascii="Times New Roman" w:hAnsi="Times New Roman"/>
          <w:i/>
          <w:iCs/>
        </w:rPr>
        <w:t>facto</w:t>
      </w:r>
      <w:proofErr w:type="spellEnd"/>
      <w:r>
        <w:rPr>
          <w:rFonts w:ascii="Times New Roman" w:hAnsi="Times New Roman"/>
        </w:rPr>
        <w:t xml:space="preserve"> uztic uzraudzības darbības ārpakalpojumu sniedzējiem, apejot </w:t>
      </w:r>
      <w:proofErr w:type="spellStart"/>
      <w:r>
        <w:rPr>
          <w:rFonts w:ascii="Times New Roman" w:hAnsi="Times New Roman"/>
          <w:i/>
          <w:iCs/>
        </w:rPr>
        <w:t>ICCPR</w:t>
      </w:r>
      <w:proofErr w:type="spellEnd"/>
      <w:r>
        <w:rPr>
          <w:rFonts w:ascii="Times New Roman" w:hAnsi="Times New Roman"/>
        </w:rPr>
        <w:t xml:space="preserve"> paredzētos aizsardzības mehānismus.</w:t>
      </w:r>
    </w:p>
    <w:p w14:paraId="13E5275E" w14:textId="77777777" w:rsidR="00DA068F" w:rsidRPr="008D031E" w:rsidRDefault="00DA068F" w:rsidP="00DA068F">
      <w:pPr>
        <w:pStyle w:val="JuPara"/>
        <w:widowControl w:val="0"/>
        <w:ind w:firstLine="0"/>
        <w:rPr>
          <w:rFonts w:ascii="Times New Roman" w:hAnsi="Times New Roman"/>
          <w:noProof/>
          <w:lang w:val="en-US"/>
        </w:rPr>
      </w:pPr>
    </w:p>
    <w:p w14:paraId="5923F2F9" w14:textId="77777777" w:rsidR="00DA068F" w:rsidRDefault="00DA068F" w:rsidP="00DA068F">
      <w:pPr>
        <w:pStyle w:val="JuHi"/>
        <w:keepNext w:val="0"/>
        <w:keepLines w:val="0"/>
        <w:widowControl w:val="0"/>
        <w:numPr>
          <w:ilvl w:val="0"/>
          <w:numId w:val="0"/>
        </w:numPr>
        <w:spacing w:before="0" w:beforeAutospacing="0" w:after="0" w:line="240" w:lineRule="auto"/>
        <w:outlineLvl w:val="9"/>
        <w:rPr>
          <w:rFonts w:ascii="Times New Roman" w:hAnsi="Times New Roman"/>
          <w:noProof/>
          <w:sz w:val="24"/>
        </w:rPr>
      </w:pPr>
      <w:r>
        <w:rPr>
          <w:rFonts w:ascii="Times New Roman" w:hAnsi="Times New Roman"/>
          <w:sz w:val="24"/>
        </w:rPr>
        <w:t xml:space="preserve">iii) “Access </w:t>
      </w:r>
      <w:proofErr w:type="spellStart"/>
      <w:r>
        <w:rPr>
          <w:rFonts w:ascii="Times New Roman" w:hAnsi="Times New Roman"/>
          <w:sz w:val="24"/>
        </w:rPr>
        <w:t>Now</w:t>
      </w:r>
      <w:proofErr w:type="spellEnd"/>
      <w:r>
        <w:rPr>
          <w:rFonts w:ascii="Times New Roman" w:hAnsi="Times New Roman"/>
          <w:sz w:val="24"/>
        </w:rPr>
        <w:t>”</w:t>
      </w:r>
    </w:p>
    <w:p w14:paraId="532D32A4" w14:textId="77777777" w:rsidR="00DA068F" w:rsidRPr="00DF4EB0" w:rsidRDefault="00DA068F" w:rsidP="00DA068F">
      <w:pPr>
        <w:pStyle w:val="JuPara"/>
        <w:widowControl w:val="0"/>
        <w:rPr>
          <w:lang w:val="en-US" w:bidi="en-US"/>
        </w:rPr>
      </w:pPr>
    </w:p>
    <w:p w14:paraId="07FCA4E8" w14:textId="77777777" w:rsidR="00DA068F" w:rsidRDefault="00DA068F" w:rsidP="00DA068F">
      <w:pPr>
        <w:pStyle w:val="JuPara"/>
        <w:widowControl w:val="0"/>
        <w:ind w:firstLine="142"/>
        <w:rPr>
          <w:rFonts w:ascii="Times New Roman" w:hAnsi="Times New Roman"/>
          <w:noProof/>
        </w:rPr>
      </w:pPr>
      <w:r>
        <w:rPr>
          <w:rFonts w:ascii="Times New Roman" w:hAnsi="Times New Roman"/>
        </w:rPr>
        <w:t xml:space="preserve">482. “Access </w:t>
      </w:r>
      <w:proofErr w:type="spellStart"/>
      <w:r>
        <w:rPr>
          <w:rFonts w:ascii="Times New Roman" w:hAnsi="Times New Roman"/>
        </w:rPr>
        <w:t>Now</w:t>
      </w:r>
      <w:proofErr w:type="spellEnd"/>
      <w:r>
        <w:rPr>
          <w:rFonts w:ascii="Times New Roman" w:hAnsi="Times New Roman"/>
        </w:rPr>
        <w:t>” apgalvoja, ka, lai gan starptautiskās tiesiskās palīdzības līgumi (turpmāk tekstā – “</w:t>
      </w:r>
      <w:proofErr w:type="spellStart"/>
      <w:r>
        <w:rPr>
          <w:rFonts w:ascii="Times New Roman" w:hAnsi="Times New Roman"/>
        </w:rPr>
        <w:t>STPL</w:t>
      </w:r>
      <w:proofErr w:type="spellEnd"/>
      <w:r>
        <w:rPr>
          <w:rFonts w:ascii="Times New Roman" w:hAnsi="Times New Roman"/>
        </w:rPr>
        <w:t xml:space="preserve">”) paredz pārredzamu un formālu procesu, kas ļauj vienai valstij pieprasīt </w:t>
      </w:r>
      <w:proofErr w:type="spellStart"/>
      <w:r>
        <w:rPr>
          <w:rFonts w:ascii="Times New Roman" w:hAnsi="Times New Roman"/>
        </w:rPr>
        <w:t>izlūkdatus</w:t>
      </w:r>
      <w:proofErr w:type="spellEnd"/>
      <w:r>
        <w:rPr>
          <w:rFonts w:ascii="Times New Roman" w:hAnsi="Times New Roman"/>
        </w:rPr>
        <w:t xml:space="preserve"> no kādas citas valsts, slepenās sakaru </w:t>
      </w:r>
      <w:proofErr w:type="spellStart"/>
      <w:r>
        <w:rPr>
          <w:rFonts w:ascii="Times New Roman" w:hAnsi="Times New Roman"/>
        </w:rPr>
        <w:t>izlūkdatu</w:t>
      </w:r>
      <w:proofErr w:type="spellEnd"/>
      <w:r>
        <w:rPr>
          <w:rFonts w:ascii="Times New Roman" w:hAnsi="Times New Roman"/>
        </w:rPr>
        <w:t xml:space="preserve"> programmas (piemēram, “</w:t>
      </w:r>
      <w:proofErr w:type="spellStart"/>
      <w:r>
        <w:rPr>
          <w:rFonts w:ascii="Times New Roman" w:hAnsi="Times New Roman"/>
        </w:rPr>
        <w:t>Five</w:t>
      </w:r>
      <w:proofErr w:type="spellEnd"/>
      <w:r>
        <w:rPr>
          <w:rFonts w:ascii="Times New Roman" w:hAnsi="Times New Roman"/>
        </w:rPr>
        <w:t xml:space="preserve"> </w:t>
      </w:r>
      <w:proofErr w:type="spellStart"/>
      <w:r>
        <w:rPr>
          <w:rFonts w:ascii="Times New Roman" w:hAnsi="Times New Roman"/>
        </w:rPr>
        <w:t>Eyes</w:t>
      </w:r>
      <w:proofErr w:type="spellEnd"/>
      <w:r>
        <w:rPr>
          <w:rFonts w:ascii="Times New Roman" w:hAnsi="Times New Roman"/>
        </w:rPr>
        <w:t xml:space="preserve">” </w:t>
      </w:r>
      <w:proofErr w:type="spellStart"/>
      <w:r>
        <w:rPr>
          <w:rFonts w:ascii="Times New Roman" w:hAnsi="Times New Roman"/>
        </w:rPr>
        <w:t>izlūkdatu</w:t>
      </w:r>
      <w:proofErr w:type="spellEnd"/>
      <w:r>
        <w:rPr>
          <w:rFonts w:ascii="Times New Roman" w:hAnsi="Times New Roman"/>
        </w:rPr>
        <w:t xml:space="preserve"> apmaiņas tīkls, kam pievienojušās Amerikas Savienotās Valstis, Austrālija, Kanāda un Jaunzēlande) nebija pārskatāmas un tās aizliedza starptautiskie cilvēktiesību standarti. Šī organizācija norādīja, ka šādas slepenas programmas nav nepieciešamas, jo attiecīgos </w:t>
      </w:r>
      <w:proofErr w:type="spellStart"/>
      <w:r>
        <w:rPr>
          <w:rFonts w:ascii="Times New Roman" w:hAnsi="Times New Roman"/>
        </w:rPr>
        <w:t>izlūkdatus</w:t>
      </w:r>
      <w:proofErr w:type="spellEnd"/>
      <w:r>
        <w:rPr>
          <w:rFonts w:ascii="Times New Roman" w:hAnsi="Times New Roman"/>
        </w:rPr>
        <w:t xml:space="preserve"> varēja iegūt </w:t>
      </w:r>
      <w:proofErr w:type="spellStart"/>
      <w:r>
        <w:rPr>
          <w:rFonts w:ascii="Times New Roman" w:hAnsi="Times New Roman"/>
        </w:rPr>
        <w:t>STPL</w:t>
      </w:r>
      <w:proofErr w:type="spellEnd"/>
      <w:r>
        <w:rPr>
          <w:rFonts w:ascii="Times New Roman" w:hAnsi="Times New Roman"/>
        </w:rPr>
        <w:t xml:space="preserve"> ietvaros.</w:t>
      </w:r>
    </w:p>
    <w:p w14:paraId="024F1E45" w14:textId="77777777" w:rsidR="00DA068F" w:rsidRPr="008D031E" w:rsidRDefault="00DA068F" w:rsidP="00DA068F">
      <w:pPr>
        <w:pStyle w:val="JuPara"/>
        <w:widowControl w:val="0"/>
        <w:ind w:firstLine="0"/>
        <w:rPr>
          <w:rFonts w:ascii="Times New Roman" w:hAnsi="Times New Roman"/>
          <w:noProof/>
          <w:lang w:val="en-US"/>
        </w:rPr>
      </w:pPr>
    </w:p>
    <w:p w14:paraId="3048E335" w14:textId="77777777" w:rsidR="00DA068F" w:rsidRDefault="00DA068F" w:rsidP="00DA068F">
      <w:pPr>
        <w:pStyle w:val="JuHi"/>
        <w:keepNext w:val="0"/>
        <w:keepLines w:val="0"/>
        <w:widowControl w:val="0"/>
        <w:numPr>
          <w:ilvl w:val="0"/>
          <w:numId w:val="0"/>
        </w:numPr>
        <w:spacing w:before="0" w:beforeAutospacing="0" w:after="0" w:line="240" w:lineRule="auto"/>
        <w:outlineLvl w:val="9"/>
        <w:rPr>
          <w:rFonts w:ascii="Times New Roman" w:hAnsi="Times New Roman"/>
          <w:noProof/>
          <w:sz w:val="24"/>
        </w:rPr>
      </w:pPr>
      <w:r>
        <w:rPr>
          <w:rFonts w:ascii="Times New Roman" w:hAnsi="Times New Roman"/>
          <w:sz w:val="24"/>
        </w:rPr>
        <w:t xml:space="preserve">iv) Koalīcija “Nīderlandes pilsoņi pret </w:t>
      </w:r>
      <w:proofErr w:type="spellStart"/>
      <w:r>
        <w:rPr>
          <w:rFonts w:ascii="Times New Roman" w:hAnsi="Times New Roman"/>
          <w:sz w:val="24"/>
        </w:rPr>
        <w:t>Plasterku</w:t>
      </w:r>
      <w:proofErr w:type="spellEnd"/>
      <w:r>
        <w:rPr>
          <w:rFonts w:ascii="Times New Roman" w:hAnsi="Times New Roman"/>
          <w:sz w:val="24"/>
        </w:rPr>
        <w:t xml:space="preserve"> [</w:t>
      </w:r>
      <w:proofErr w:type="spellStart"/>
      <w:r>
        <w:rPr>
          <w:rFonts w:ascii="Times New Roman" w:hAnsi="Times New Roman"/>
          <w:sz w:val="24"/>
        </w:rPr>
        <w:t>Plasterk</w:t>
      </w:r>
      <w:proofErr w:type="spellEnd"/>
      <w:r>
        <w:rPr>
          <w:rFonts w:ascii="Times New Roman" w:hAnsi="Times New Roman"/>
          <w:sz w:val="24"/>
        </w:rPr>
        <w:t xml:space="preserve">]” (“Burgers </w:t>
      </w:r>
      <w:proofErr w:type="spellStart"/>
      <w:r>
        <w:rPr>
          <w:rFonts w:ascii="Times New Roman" w:hAnsi="Times New Roman"/>
          <w:sz w:val="24"/>
        </w:rPr>
        <w:t>tegen</w:t>
      </w:r>
      <w:proofErr w:type="spellEnd"/>
      <w:r>
        <w:rPr>
          <w:rFonts w:ascii="Times New Roman" w:hAnsi="Times New Roman"/>
          <w:sz w:val="24"/>
        </w:rPr>
        <w:t xml:space="preserve"> </w:t>
      </w:r>
      <w:proofErr w:type="spellStart"/>
      <w:r>
        <w:rPr>
          <w:rFonts w:ascii="Times New Roman" w:hAnsi="Times New Roman"/>
          <w:sz w:val="24"/>
        </w:rPr>
        <w:t>Plasterk</w:t>
      </w:r>
      <w:proofErr w:type="spellEnd"/>
      <w:r>
        <w:rPr>
          <w:rFonts w:ascii="Times New Roman" w:hAnsi="Times New Roman"/>
          <w:sz w:val="24"/>
        </w:rPr>
        <w:t>”)</w:t>
      </w:r>
    </w:p>
    <w:p w14:paraId="77412D30" w14:textId="77777777" w:rsidR="00DA068F" w:rsidRPr="00DF4EB0" w:rsidRDefault="00DA068F" w:rsidP="00DA068F">
      <w:pPr>
        <w:pStyle w:val="JuPara"/>
        <w:widowControl w:val="0"/>
        <w:rPr>
          <w:lang w:val="en-US" w:bidi="en-US"/>
        </w:rPr>
      </w:pPr>
    </w:p>
    <w:p w14:paraId="1A6F7F7A"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483. “Nīderlandes pilsoņi pret </w:t>
      </w:r>
      <w:proofErr w:type="spellStart"/>
      <w:r>
        <w:rPr>
          <w:rFonts w:ascii="Times New Roman" w:hAnsi="Times New Roman"/>
        </w:rPr>
        <w:t>Plasterku</w:t>
      </w:r>
      <w:proofErr w:type="spellEnd"/>
      <w:r>
        <w:rPr>
          <w:rFonts w:ascii="Times New Roman" w:hAnsi="Times New Roman"/>
        </w:rPr>
        <w:t>”, proti, koalīcija, ko veidoja piecas personas un četras asociācijas, bija pieteikuma iesniedzēji lietā pret Nīderlandi, kurā viņi mēģināja apstrīdēt datu apmaiņu starp Nīderlandes iestādēm un to ārvalstu izlūkošanas partneriem (tostarp Amerikas Savienotajām Valstīm un Apvienoto Karalisti).</w:t>
      </w:r>
    </w:p>
    <w:p w14:paraId="427A3AAB" w14:textId="77777777" w:rsidR="00DA068F" w:rsidRDefault="00DA068F" w:rsidP="00DA068F">
      <w:pPr>
        <w:pStyle w:val="JuPara"/>
        <w:widowControl w:val="0"/>
        <w:ind w:firstLine="142"/>
        <w:rPr>
          <w:rFonts w:ascii="Times New Roman" w:hAnsi="Times New Roman"/>
          <w:noProof/>
        </w:rPr>
      </w:pPr>
      <w:r>
        <w:rPr>
          <w:rFonts w:ascii="Times New Roman" w:hAnsi="Times New Roman"/>
        </w:rPr>
        <w:t xml:space="preserve">484. Iestājoties šajā Tiesā izskatāmajā lietā kā trešā persona, tā apgalvoja, ka </w:t>
      </w:r>
      <w:proofErr w:type="spellStart"/>
      <w:r>
        <w:rPr>
          <w:rFonts w:ascii="Times New Roman" w:hAnsi="Times New Roman"/>
        </w:rPr>
        <w:t>izlūkdatu</w:t>
      </w:r>
      <w:proofErr w:type="spellEnd"/>
      <w:r>
        <w:rPr>
          <w:rFonts w:ascii="Times New Roman" w:hAnsi="Times New Roman"/>
        </w:rPr>
        <w:t xml:space="preserve"> apmaiņa jāatļauj vienīgi tad, ja tiek paredzēti atbilstoši drošības pasākumi un ārvalstu iestādei </w:t>
      </w:r>
      <w:r>
        <w:rPr>
          <w:rFonts w:ascii="Times New Roman" w:hAnsi="Times New Roman"/>
        </w:rPr>
        <w:lastRenderedPageBreak/>
        <w:t>ir stabils juridiskais pamats materiāla iegūšanai. Pretējā gadījumā varētu tikt apieti Konvencijas 8. pantā paredzētie aizsardzības mehānismi. Valstīm nedrīkst ļaut iegūt no ārvalstu iestādēm materiālu, kuru tās pašas nav varējušas likumīgi iegūt.</w:t>
      </w:r>
    </w:p>
    <w:p w14:paraId="662999AC" w14:textId="77777777" w:rsidR="00DA068F" w:rsidRPr="008D031E" w:rsidRDefault="00DA068F" w:rsidP="00DA068F">
      <w:pPr>
        <w:pStyle w:val="JuPara"/>
        <w:widowControl w:val="0"/>
        <w:ind w:firstLine="0"/>
        <w:rPr>
          <w:rFonts w:ascii="Times New Roman" w:hAnsi="Times New Roman"/>
          <w:noProof/>
          <w:lang w:val="en-US"/>
        </w:rPr>
      </w:pPr>
    </w:p>
    <w:p w14:paraId="64F9365F" w14:textId="77777777" w:rsidR="00DA068F" w:rsidRDefault="00DA068F" w:rsidP="00DA068F">
      <w:pPr>
        <w:pStyle w:val="JuHi"/>
        <w:keepNext w:val="0"/>
        <w:keepLines w:val="0"/>
        <w:widowControl w:val="0"/>
        <w:numPr>
          <w:ilvl w:val="0"/>
          <w:numId w:val="0"/>
        </w:numPr>
        <w:spacing w:before="0" w:beforeAutospacing="0" w:after="0" w:line="240" w:lineRule="auto"/>
        <w:outlineLvl w:val="9"/>
        <w:rPr>
          <w:rFonts w:ascii="Times New Roman" w:hAnsi="Times New Roman"/>
          <w:noProof/>
          <w:sz w:val="24"/>
        </w:rPr>
      </w:pPr>
      <w:r>
        <w:rPr>
          <w:rFonts w:ascii="Times New Roman" w:hAnsi="Times New Roman"/>
          <w:sz w:val="24"/>
        </w:rPr>
        <w:t>v) “</w:t>
      </w:r>
      <w:proofErr w:type="spellStart"/>
      <w:r>
        <w:rPr>
          <w:rFonts w:ascii="Times New Roman" w:hAnsi="Times New Roman"/>
          <w:sz w:val="24"/>
        </w:rPr>
        <w:t>Center</w:t>
      </w:r>
      <w:proofErr w:type="spellEnd"/>
      <w:r>
        <w:rPr>
          <w:rFonts w:ascii="Times New Roman" w:hAnsi="Times New Roman"/>
          <w:sz w:val="24"/>
        </w:rPr>
        <w:t xml:space="preserve"> </w:t>
      </w:r>
      <w:proofErr w:type="spellStart"/>
      <w:r>
        <w:rPr>
          <w:rFonts w:ascii="Times New Roman" w:hAnsi="Times New Roman"/>
          <w:sz w:val="24"/>
        </w:rPr>
        <w:t>for</w:t>
      </w:r>
      <w:proofErr w:type="spellEnd"/>
      <w:r>
        <w:rPr>
          <w:rFonts w:ascii="Times New Roman" w:hAnsi="Times New Roman"/>
          <w:sz w:val="24"/>
        </w:rPr>
        <w:t xml:space="preserve"> </w:t>
      </w:r>
      <w:proofErr w:type="spellStart"/>
      <w:r>
        <w:rPr>
          <w:rFonts w:ascii="Times New Roman" w:hAnsi="Times New Roman"/>
          <w:sz w:val="24"/>
        </w:rPr>
        <w:t>Democracy</w:t>
      </w:r>
      <w:proofErr w:type="spellEnd"/>
      <w:r>
        <w:rPr>
          <w:rFonts w:ascii="Times New Roman" w:hAnsi="Times New Roman"/>
          <w:sz w:val="24"/>
        </w:rPr>
        <w:t xml:space="preserve"> </w:t>
      </w:r>
      <w:proofErr w:type="spellStart"/>
      <w:r>
        <w:rPr>
          <w:rFonts w:ascii="Times New Roman" w:hAnsi="Times New Roman"/>
          <w:sz w:val="24"/>
        </w:rPr>
        <w:t>and</w:t>
      </w:r>
      <w:proofErr w:type="spellEnd"/>
      <w:r>
        <w:rPr>
          <w:rFonts w:ascii="Times New Roman" w:hAnsi="Times New Roman"/>
          <w:sz w:val="24"/>
        </w:rPr>
        <w:t xml:space="preserve"> </w:t>
      </w:r>
      <w:proofErr w:type="spellStart"/>
      <w:r>
        <w:rPr>
          <w:rFonts w:ascii="Times New Roman" w:hAnsi="Times New Roman"/>
          <w:sz w:val="24"/>
        </w:rPr>
        <w:t>Technology</w:t>
      </w:r>
      <w:proofErr w:type="spellEnd"/>
      <w:r>
        <w:rPr>
          <w:rFonts w:ascii="Times New Roman" w:hAnsi="Times New Roman"/>
          <w:sz w:val="24"/>
        </w:rPr>
        <w:t>” (“</w:t>
      </w:r>
      <w:proofErr w:type="spellStart"/>
      <w:r>
        <w:rPr>
          <w:rFonts w:ascii="Times New Roman" w:hAnsi="Times New Roman"/>
          <w:sz w:val="24"/>
        </w:rPr>
        <w:t>CDT</w:t>
      </w:r>
      <w:proofErr w:type="spellEnd"/>
      <w:r>
        <w:rPr>
          <w:rFonts w:ascii="Times New Roman" w:hAnsi="Times New Roman"/>
          <w:sz w:val="24"/>
        </w:rPr>
        <w:t xml:space="preserve">”) un “Pen American </w:t>
      </w:r>
      <w:proofErr w:type="spellStart"/>
      <w:r>
        <w:rPr>
          <w:rFonts w:ascii="Times New Roman" w:hAnsi="Times New Roman"/>
          <w:sz w:val="24"/>
        </w:rPr>
        <w:t>Center</w:t>
      </w:r>
      <w:proofErr w:type="spellEnd"/>
      <w:r>
        <w:rPr>
          <w:rFonts w:ascii="Times New Roman" w:hAnsi="Times New Roman"/>
          <w:sz w:val="24"/>
        </w:rPr>
        <w:t>” (“PEN America”)</w:t>
      </w:r>
    </w:p>
    <w:p w14:paraId="47A7C103" w14:textId="77777777" w:rsidR="00DA068F" w:rsidRPr="0070665A" w:rsidRDefault="00DA068F" w:rsidP="00DA068F">
      <w:pPr>
        <w:pStyle w:val="JuPara"/>
        <w:widowControl w:val="0"/>
        <w:rPr>
          <w:lang w:val="en-US" w:bidi="en-US"/>
        </w:rPr>
      </w:pPr>
    </w:p>
    <w:p w14:paraId="09A47C84"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485. </w:t>
      </w:r>
      <w:proofErr w:type="spellStart"/>
      <w:r>
        <w:rPr>
          <w:rFonts w:ascii="Times New Roman" w:hAnsi="Times New Roman"/>
          <w:i/>
          <w:iCs/>
        </w:rPr>
        <w:t>CDT</w:t>
      </w:r>
      <w:proofErr w:type="spellEnd"/>
      <w:r>
        <w:rPr>
          <w:rFonts w:ascii="Times New Roman" w:hAnsi="Times New Roman"/>
        </w:rPr>
        <w:t xml:space="preserve"> un “PEN America” apgalvoja, ka apstākļos, kādos notiek starptautiskā sadarbība masveida datu un sakaru uzraudzībā, ir jānodrošina atbilstība trim nosacījumiem: valstis aktīvi izvērtē un pārliecinās, vai to ārvalstu partneru tiesiskais un administratīvais regulējums, kas regulē pārtveršanu, ir atbilstošs, un ietver šos atbilstības pasākumus valsts tiesību aktos; ir saņemta neatkarīga, uz pamatotām aizdomām balstīta atļauja, vēlams no tiesas, izmantot uz konkrētām personām attiecināmus selektorus, lai pieprasītu no ārvalstu partneriem iegūtu informāciju, kā arī ir noteikta prasība par uzraudzīto subjektu turpmāku informēšanu.</w:t>
      </w:r>
    </w:p>
    <w:p w14:paraId="06498110" w14:textId="77777777" w:rsidR="00DA068F" w:rsidRDefault="00DA068F" w:rsidP="00DA068F">
      <w:pPr>
        <w:pStyle w:val="JuPara"/>
        <w:widowControl w:val="0"/>
        <w:ind w:firstLine="142"/>
        <w:rPr>
          <w:rFonts w:ascii="Times New Roman" w:hAnsi="Times New Roman"/>
          <w:noProof/>
        </w:rPr>
      </w:pPr>
      <w:r>
        <w:rPr>
          <w:rFonts w:ascii="Times New Roman" w:hAnsi="Times New Roman"/>
        </w:rPr>
        <w:t xml:space="preserve">486. </w:t>
      </w:r>
      <w:proofErr w:type="spellStart"/>
      <w:r>
        <w:rPr>
          <w:rFonts w:ascii="Times New Roman" w:hAnsi="Times New Roman"/>
          <w:i/>
          <w:iCs/>
        </w:rPr>
        <w:t>CDT</w:t>
      </w:r>
      <w:proofErr w:type="spellEnd"/>
      <w:r>
        <w:rPr>
          <w:rFonts w:ascii="Times New Roman" w:hAnsi="Times New Roman"/>
        </w:rPr>
        <w:t xml:space="preserve"> un “PEN America” norādīja, ka </w:t>
      </w:r>
      <w:proofErr w:type="spellStart"/>
      <w:r>
        <w:rPr>
          <w:rFonts w:ascii="Times New Roman" w:hAnsi="Times New Roman"/>
          <w:i/>
          <w:iCs/>
        </w:rPr>
        <w:t>NSA</w:t>
      </w:r>
      <w:proofErr w:type="spellEnd"/>
      <w:r>
        <w:rPr>
          <w:rFonts w:ascii="Times New Roman" w:hAnsi="Times New Roman"/>
        </w:rPr>
        <w:t xml:space="preserve"> izmantotie pārtveršanas režīmi, jo īpaši saskaņā ar </w:t>
      </w:r>
      <w:proofErr w:type="spellStart"/>
      <w:r>
        <w:rPr>
          <w:rFonts w:ascii="Times New Roman" w:hAnsi="Times New Roman"/>
          <w:i/>
          <w:iCs/>
        </w:rPr>
        <w:t>FISA</w:t>
      </w:r>
      <w:proofErr w:type="spellEnd"/>
      <w:r>
        <w:rPr>
          <w:rFonts w:ascii="Times New Roman" w:hAnsi="Times New Roman"/>
        </w:rPr>
        <w:t xml:space="preserve"> 702. pantu un </w:t>
      </w:r>
      <w:proofErr w:type="spellStart"/>
      <w:r>
        <w:rPr>
          <w:rFonts w:ascii="Times New Roman" w:hAnsi="Times New Roman"/>
        </w:rPr>
        <w:t>izpildrīkojumu</w:t>
      </w:r>
      <w:proofErr w:type="spellEnd"/>
      <w:r>
        <w:rPr>
          <w:rFonts w:ascii="Times New Roman" w:hAnsi="Times New Roman"/>
        </w:rPr>
        <w:t xml:space="preserve"> Nr. 12333, neatbilda ne Konvencijas 8. pantā noteiktajai prasībai par pārtveršanu “saskaņā ar likumu”, ne prasībai par tās “samērīgumu” un ka šie trūkumi ietekmēja Apvienotās Karalistes </w:t>
      </w:r>
      <w:proofErr w:type="spellStart"/>
      <w:r>
        <w:rPr>
          <w:rFonts w:ascii="Times New Roman" w:hAnsi="Times New Roman"/>
        </w:rPr>
        <w:t>izlūkdatu</w:t>
      </w:r>
      <w:proofErr w:type="spellEnd"/>
      <w:r>
        <w:rPr>
          <w:rFonts w:ascii="Times New Roman" w:hAnsi="Times New Roman"/>
        </w:rPr>
        <w:t xml:space="preserve"> apmaiņas režīma likumību.</w:t>
      </w:r>
    </w:p>
    <w:p w14:paraId="4CE903A0" w14:textId="77777777" w:rsidR="00DA068F" w:rsidRPr="008D031E" w:rsidRDefault="00DA068F" w:rsidP="00DA068F">
      <w:pPr>
        <w:pStyle w:val="JuPara"/>
        <w:widowControl w:val="0"/>
        <w:ind w:firstLine="142"/>
        <w:rPr>
          <w:rFonts w:ascii="Times New Roman" w:hAnsi="Times New Roman"/>
          <w:noProof/>
          <w:lang w:val="en-US"/>
        </w:rPr>
      </w:pPr>
    </w:p>
    <w:p w14:paraId="223CEF89" w14:textId="77777777" w:rsidR="00DA068F" w:rsidRDefault="00DA068F" w:rsidP="00DA068F">
      <w:pPr>
        <w:pStyle w:val="JuHi"/>
        <w:keepNext w:val="0"/>
        <w:keepLines w:val="0"/>
        <w:widowControl w:val="0"/>
        <w:numPr>
          <w:ilvl w:val="0"/>
          <w:numId w:val="0"/>
        </w:numPr>
        <w:spacing w:before="0" w:beforeAutospacing="0" w:after="0" w:line="240" w:lineRule="auto"/>
        <w:outlineLvl w:val="9"/>
        <w:rPr>
          <w:rFonts w:ascii="Times New Roman" w:hAnsi="Times New Roman"/>
          <w:noProof/>
          <w:sz w:val="24"/>
        </w:rPr>
      </w:pPr>
      <w:r>
        <w:rPr>
          <w:rFonts w:ascii="Times New Roman" w:hAnsi="Times New Roman"/>
          <w:sz w:val="24"/>
        </w:rPr>
        <w:t>vi) Eiropas Nacionālo cilvēktiesību institūciju tīkls (“</w:t>
      </w:r>
      <w:proofErr w:type="spellStart"/>
      <w:r>
        <w:rPr>
          <w:rFonts w:ascii="Times New Roman" w:hAnsi="Times New Roman"/>
          <w:sz w:val="24"/>
        </w:rPr>
        <w:t>ENNHRI</w:t>
      </w:r>
      <w:proofErr w:type="spellEnd"/>
      <w:r>
        <w:rPr>
          <w:rFonts w:ascii="Times New Roman" w:hAnsi="Times New Roman"/>
          <w:sz w:val="24"/>
        </w:rPr>
        <w:t>”)</w:t>
      </w:r>
    </w:p>
    <w:p w14:paraId="16BE2F84" w14:textId="77777777" w:rsidR="00DA068F" w:rsidRPr="0070665A" w:rsidRDefault="00DA068F" w:rsidP="00DA068F">
      <w:pPr>
        <w:pStyle w:val="JuPara"/>
        <w:widowControl w:val="0"/>
        <w:rPr>
          <w:lang w:val="en-US" w:bidi="en-US"/>
        </w:rPr>
      </w:pPr>
    </w:p>
    <w:p w14:paraId="19319F24" w14:textId="77777777" w:rsidR="00DA068F" w:rsidRDefault="00DA068F" w:rsidP="00DA068F">
      <w:pPr>
        <w:pStyle w:val="JuPara"/>
        <w:widowControl w:val="0"/>
        <w:ind w:firstLine="142"/>
        <w:rPr>
          <w:rFonts w:ascii="Times New Roman" w:hAnsi="Times New Roman"/>
          <w:noProof/>
        </w:rPr>
      </w:pPr>
      <w:r>
        <w:rPr>
          <w:rFonts w:ascii="Times New Roman" w:hAnsi="Times New Roman"/>
        </w:rPr>
        <w:t xml:space="preserve">487. </w:t>
      </w:r>
      <w:proofErr w:type="spellStart"/>
      <w:r>
        <w:rPr>
          <w:rFonts w:ascii="Times New Roman" w:hAnsi="Times New Roman"/>
          <w:i/>
          <w:iCs/>
        </w:rPr>
        <w:t>ENNHRI</w:t>
      </w:r>
      <w:proofErr w:type="spellEnd"/>
      <w:r>
        <w:rPr>
          <w:rFonts w:ascii="Times New Roman" w:hAnsi="Times New Roman"/>
        </w:rPr>
        <w:t xml:space="preserve"> minēja piemērus par dalībvalstīm, kurās, tā ieskatā, bija būtiski mainījusies starptautiskās </w:t>
      </w:r>
      <w:proofErr w:type="spellStart"/>
      <w:r>
        <w:rPr>
          <w:rFonts w:ascii="Times New Roman" w:hAnsi="Times New Roman"/>
        </w:rPr>
        <w:t>izlūkdatu</w:t>
      </w:r>
      <w:proofErr w:type="spellEnd"/>
      <w:r>
        <w:rPr>
          <w:rFonts w:ascii="Times New Roman" w:hAnsi="Times New Roman"/>
        </w:rPr>
        <w:t xml:space="preserve"> apmaiņas būtība, kā rezultātā bija kļuvis grūti atšķirt “pieprasītos” un “nepieprasītos” datus. Tas norādīja, ka vēsturiski starptautiskā </w:t>
      </w:r>
      <w:proofErr w:type="spellStart"/>
      <w:r>
        <w:rPr>
          <w:rFonts w:ascii="Times New Roman" w:hAnsi="Times New Roman"/>
        </w:rPr>
        <w:t>izlūkdatu</w:t>
      </w:r>
      <w:proofErr w:type="spellEnd"/>
      <w:r>
        <w:rPr>
          <w:rFonts w:ascii="Times New Roman" w:hAnsi="Times New Roman"/>
        </w:rPr>
        <w:t xml:space="preserve"> apmaiņa ietvēra izvērtēto datu vai pabeigto </w:t>
      </w:r>
      <w:proofErr w:type="spellStart"/>
      <w:r>
        <w:rPr>
          <w:rFonts w:ascii="Times New Roman" w:hAnsi="Times New Roman"/>
        </w:rPr>
        <w:t>izlūkdatu</w:t>
      </w:r>
      <w:proofErr w:type="spellEnd"/>
      <w:r>
        <w:rPr>
          <w:rFonts w:ascii="Times New Roman" w:hAnsi="Times New Roman"/>
        </w:rPr>
        <w:t xml:space="preserve"> pārsūtīšanu. Tomēr jaunu tehnoloģiju rašanās bija par pamatu aizvien pieaugošai neizvērtēto “neapstrādāto” datu apmaiņai. Pat tad, kad bija noslēgta vienošanās par divpusējo vai daudzpusējo izlūkošanas sadarbību, automatizācijas un lielo datu rašanās kontekstā bija daudz grūtāk izvērtēt, ko viena puse saņēma no otras, tostarp to, vai informācija atbilda sākotnējā pieprasījuma parametriem. Līdz ar to bija nepieciešama stabila un neatkarīga starptautiskās </w:t>
      </w:r>
      <w:proofErr w:type="spellStart"/>
      <w:r>
        <w:rPr>
          <w:rFonts w:ascii="Times New Roman" w:hAnsi="Times New Roman"/>
        </w:rPr>
        <w:t>izlūkdatu</w:t>
      </w:r>
      <w:proofErr w:type="spellEnd"/>
      <w:r>
        <w:rPr>
          <w:rFonts w:ascii="Times New Roman" w:hAnsi="Times New Roman"/>
        </w:rPr>
        <w:t xml:space="preserve"> apmaiņas pārraudzība, nenošķirot pieprasītos datus no nepieprasītajiem datiem. Pārraudzības iestādēm jābūt juridiski pilnvarotām pārraudzīt visus to izlūkdienestu starptautisko sadarbību skarošos jautājumus, sadarboties ar neatkarīgām pārraudzības iestādēm no </w:t>
      </w:r>
      <w:proofErr w:type="spellStart"/>
      <w:r>
        <w:rPr>
          <w:rFonts w:ascii="Times New Roman" w:hAnsi="Times New Roman"/>
        </w:rPr>
        <w:t>trešām</w:t>
      </w:r>
      <w:proofErr w:type="spellEnd"/>
      <w:r>
        <w:rPr>
          <w:rFonts w:ascii="Times New Roman" w:hAnsi="Times New Roman"/>
        </w:rPr>
        <w:t xml:space="preserve"> valstīm </w:t>
      </w:r>
      <w:proofErr w:type="spellStart"/>
      <w:r>
        <w:rPr>
          <w:rFonts w:ascii="Times New Roman" w:hAnsi="Times New Roman"/>
        </w:rPr>
        <w:t>izlūkdatu</w:t>
      </w:r>
      <w:proofErr w:type="spellEnd"/>
      <w:r>
        <w:rPr>
          <w:rFonts w:ascii="Times New Roman" w:hAnsi="Times New Roman"/>
        </w:rPr>
        <w:t xml:space="preserve"> apmaiņas jomā un piesaistīt neatkarīgus speciālistus ar pieredzi moderno informācijas un komunikāciju tehnoloģiju jomā, ja tas nepieciešams.</w:t>
      </w:r>
    </w:p>
    <w:p w14:paraId="1FB2E6CC" w14:textId="77777777" w:rsidR="00DA068F" w:rsidRPr="008D031E" w:rsidRDefault="00DA068F" w:rsidP="00DA068F">
      <w:pPr>
        <w:pStyle w:val="JuPara"/>
        <w:widowControl w:val="0"/>
        <w:ind w:firstLine="142"/>
        <w:rPr>
          <w:rFonts w:ascii="Times New Roman" w:hAnsi="Times New Roman"/>
          <w:noProof/>
          <w:lang w:val="en-US"/>
        </w:rPr>
      </w:pPr>
    </w:p>
    <w:p w14:paraId="2D4CD4DC" w14:textId="77777777" w:rsidR="00DA068F" w:rsidRDefault="00DA068F" w:rsidP="00DA068F">
      <w:pPr>
        <w:pStyle w:val="JuHi"/>
        <w:keepNext w:val="0"/>
        <w:keepLines w:val="0"/>
        <w:widowControl w:val="0"/>
        <w:numPr>
          <w:ilvl w:val="0"/>
          <w:numId w:val="0"/>
        </w:numPr>
        <w:spacing w:before="0" w:beforeAutospacing="0" w:after="0" w:line="240" w:lineRule="auto"/>
        <w:outlineLvl w:val="9"/>
        <w:rPr>
          <w:rFonts w:ascii="Times New Roman" w:hAnsi="Times New Roman"/>
          <w:noProof/>
          <w:sz w:val="24"/>
        </w:rPr>
      </w:pPr>
      <w:r>
        <w:rPr>
          <w:rFonts w:ascii="Times New Roman" w:hAnsi="Times New Roman"/>
          <w:sz w:val="24"/>
        </w:rPr>
        <w:t>vii) “</w:t>
      </w:r>
      <w:proofErr w:type="spellStart"/>
      <w:r>
        <w:rPr>
          <w:rFonts w:ascii="Times New Roman" w:hAnsi="Times New Roman"/>
          <w:sz w:val="24"/>
        </w:rPr>
        <w:t>Human</w:t>
      </w:r>
      <w:proofErr w:type="spellEnd"/>
      <w:r>
        <w:rPr>
          <w:rFonts w:ascii="Times New Roman" w:hAnsi="Times New Roman"/>
          <w:sz w:val="24"/>
        </w:rPr>
        <w:t xml:space="preserve"> </w:t>
      </w:r>
      <w:proofErr w:type="spellStart"/>
      <w:r>
        <w:rPr>
          <w:rFonts w:ascii="Times New Roman" w:hAnsi="Times New Roman"/>
          <w:sz w:val="24"/>
        </w:rPr>
        <w:t>Rights</w:t>
      </w:r>
      <w:proofErr w:type="spellEnd"/>
      <w:r>
        <w:rPr>
          <w:rFonts w:ascii="Times New Roman" w:hAnsi="Times New Roman"/>
          <w:sz w:val="24"/>
        </w:rPr>
        <w:t xml:space="preserve"> </w:t>
      </w:r>
      <w:proofErr w:type="spellStart"/>
      <w:r>
        <w:rPr>
          <w:rFonts w:ascii="Times New Roman" w:hAnsi="Times New Roman"/>
          <w:sz w:val="24"/>
        </w:rPr>
        <w:t>Watch</w:t>
      </w:r>
      <w:proofErr w:type="spellEnd"/>
      <w:r>
        <w:rPr>
          <w:rFonts w:ascii="Times New Roman" w:hAnsi="Times New Roman"/>
          <w:sz w:val="24"/>
        </w:rPr>
        <w:t>” (“</w:t>
      </w:r>
      <w:proofErr w:type="spellStart"/>
      <w:r>
        <w:rPr>
          <w:rFonts w:ascii="Times New Roman" w:hAnsi="Times New Roman"/>
          <w:sz w:val="24"/>
        </w:rPr>
        <w:t>HRW</w:t>
      </w:r>
      <w:proofErr w:type="spellEnd"/>
      <w:r>
        <w:rPr>
          <w:rFonts w:ascii="Times New Roman" w:hAnsi="Times New Roman"/>
          <w:sz w:val="24"/>
        </w:rPr>
        <w:t>”)</w:t>
      </w:r>
    </w:p>
    <w:p w14:paraId="778ED0F6" w14:textId="77777777" w:rsidR="00DA068F" w:rsidRPr="00A10126" w:rsidRDefault="00DA068F" w:rsidP="00DA068F">
      <w:pPr>
        <w:pStyle w:val="JuPara"/>
        <w:widowControl w:val="0"/>
        <w:rPr>
          <w:lang w:val="en-US" w:bidi="en-US"/>
        </w:rPr>
      </w:pPr>
    </w:p>
    <w:p w14:paraId="3CF373CA" w14:textId="77777777" w:rsidR="00DA068F" w:rsidRDefault="00DA068F" w:rsidP="00DA068F">
      <w:pPr>
        <w:pStyle w:val="JuPara"/>
        <w:widowControl w:val="0"/>
        <w:ind w:firstLine="142"/>
        <w:rPr>
          <w:rFonts w:ascii="Times New Roman" w:hAnsi="Times New Roman"/>
          <w:noProof/>
        </w:rPr>
      </w:pPr>
      <w:r>
        <w:rPr>
          <w:rFonts w:ascii="Times New Roman" w:hAnsi="Times New Roman"/>
        </w:rPr>
        <w:t xml:space="preserve">488. Lai gan šie pieteikumi attiecās uz ārvalstu </w:t>
      </w:r>
      <w:proofErr w:type="spellStart"/>
      <w:r>
        <w:rPr>
          <w:rFonts w:ascii="Times New Roman" w:hAnsi="Times New Roman"/>
        </w:rPr>
        <w:t>izlūkdatu</w:t>
      </w:r>
      <w:proofErr w:type="spellEnd"/>
      <w:r>
        <w:rPr>
          <w:rFonts w:ascii="Times New Roman" w:hAnsi="Times New Roman"/>
        </w:rPr>
        <w:t xml:space="preserve"> saņemšanu no Amerikas Savienotajām Valstīm, </w:t>
      </w:r>
      <w:proofErr w:type="spellStart"/>
      <w:r>
        <w:rPr>
          <w:rFonts w:ascii="Times New Roman" w:hAnsi="Times New Roman"/>
          <w:i/>
          <w:iCs/>
        </w:rPr>
        <w:t>HRW</w:t>
      </w:r>
      <w:proofErr w:type="spellEnd"/>
      <w:r>
        <w:rPr>
          <w:rFonts w:ascii="Times New Roman" w:hAnsi="Times New Roman"/>
        </w:rPr>
        <w:t xml:space="preserve"> uzskatīja, ka to valstu tīkls, ar kurām tika koplietoti sakaru </w:t>
      </w:r>
      <w:proofErr w:type="spellStart"/>
      <w:r>
        <w:rPr>
          <w:rFonts w:ascii="Times New Roman" w:hAnsi="Times New Roman"/>
        </w:rPr>
        <w:t>izlūkdati</w:t>
      </w:r>
      <w:proofErr w:type="spellEnd"/>
      <w:r>
        <w:rPr>
          <w:rFonts w:ascii="Times New Roman" w:hAnsi="Times New Roman"/>
        </w:rPr>
        <w:t>, bija ievērojami plašāks. Piemēram, “</w:t>
      </w:r>
      <w:proofErr w:type="spellStart"/>
      <w:r>
        <w:rPr>
          <w:rFonts w:ascii="Times New Roman" w:hAnsi="Times New Roman"/>
        </w:rPr>
        <w:t>Five</w:t>
      </w:r>
      <w:proofErr w:type="spellEnd"/>
      <w:r>
        <w:rPr>
          <w:rFonts w:ascii="Times New Roman" w:hAnsi="Times New Roman"/>
        </w:rPr>
        <w:t xml:space="preserve"> </w:t>
      </w:r>
      <w:proofErr w:type="spellStart"/>
      <w:r>
        <w:rPr>
          <w:rFonts w:ascii="Times New Roman" w:hAnsi="Times New Roman"/>
        </w:rPr>
        <w:t>Eyes</w:t>
      </w:r>
      <w:proofErr w:type="spellEnd"/>
      <w:r>
        <w:rPr>
          <w:rFonts w:ascii="Times New Roman" w:hAnsi="Times New Roman"/>
        </w:rPr>
        <w:t xml:space="preserve"> Alliance” veidoja Apvienotā Karaliste, Amerikas Savienotās Valstis, Austrālija, Kanāda un Jaunzēlande, turklāt tika uzskatīts, ka pastāv citas, daudz ierobežotākas </w:t>
      </w:r>
      <w:proofErr w:type="spellStart"/>
      <w:r>
        <w:rPr>
          <w:rFonts w:ascii="Times New Roman" w:hAnsi="Times New Roman"/>
        </w:rPr>
        <w:t>izlūkdatu</w:t>
      </w:r>
      <w:proofErr w:type="spellEnd"/>
      <w:r>
        <w:rPr>
          <w:rFonts w:ascii="Times New Roman" w:hAnsi="Times New Roman"/>
        </w:rPr>
        <w:t xml:space="preserve"> apmaiņas koalīcijas (piemēram, “</w:t>
      </w:r>
      <w:proofErr w:type="spellStart"/>
      <w:r>
        <w:rPr>
          <w:rFonts w:ascii="Times New Roman" w:hAnsi="Times New Roman"/>
        </w:rPr>
        <w:t>Nine</w:t>
      </w:r>
      <w:proofErr w:type="spellEnd"/>
      <w:r>
        <w:rPr>
          <w:rFonts w:ascii="Times New Roman" w:hAnsi="Times New Roman"/>
        </w:rPr>
        <w:t xml:space="preserve"> </w:t>
      </w:r>
      <w:proofErr w:type="spellStart"/>
      <w:r>
        <w:rPr>
          <w:rFonts w:ascii="Times New Roman" w:hAnsi="Times New Roman"/>
        </w:rPr>
        <w:t>Eyes</w:t>
      </w:r>
      <w:proofErr w:type="spellEnd"/>
      <w:r>
        <w:rPr>
          <w:rFonts w:ascii="Times New Roman" w:hAnsi="Times New Roman"/>
        </w:rPr>
        <w:t>”, kurā papildus ietilpst arī Dānija, Francija, Nīderlande un Norvēģija, “</w:t>
      </w:r>
      <w:proofErr w:type="spellStart"/>
      <w:r>
        <w:rPr>
          <w:rFonts w:ascii="Times New Roman" w:hAnsi="Times New Roman"/>
        </w:rPr>
        <w:t>Fourteen</w:t>
      </w:r>
      <w:proofErr w:type="spellEnd"/>
      <w:r>
        <w:rPr>
          <w:rFonts w:ascii="Times New Roman" w:hAnsi="Times New Roman"/>
        </w:rPr>
        <w:t xml:space="preserve"> </w:t>
      </w:r>
      <w:proofErr w:type="spellStart"/>
      <w:r>
        <w:rPr>
          <w:rFonts w:ascii="Times New Roman" w:hAnsi="Times New Roman"/>
        </w:rPr>
        <w:t>Eyes</w:t>
      </w:r>
      <w:proofErr w:type="spellEnd"/>
      <w:r>
        <w:rPr>
          <w:rFonts w:ascii="Times New Roman" w:hAnsi="Times New Roman"/>
        </w:rPr>
        <w:t>”, kurā papildus ietilpst arī Vācija, Beļģija, Itālija, Spānija un Zviedrija, un “</w:t>
      </w:r>
      <w:proofErr w:type="spellStart"/>
      <w:r>
        <w:rPr>
          <w:rFonts w:ascii="Times New Roman" w:hAnsi="Times New Roman"/>
        </w:rPr>
        <w:t>Forty-One</w:t>
      </w:r>
      <w:proofErr w:type="spellEnd"/>
      <w:r>
        <w:rPr>
          <w:rFonts w:ascii="Times New Roman" w:hAnsi="Times New Roman"/>
        </w:rPr>
        <w:t xml:space="preserve"> </w:t>
      </w:r>
      <w:proofErr w:type="spellStart"/>
      <w:r>
        <w:rPr>
          <w:rFonts w:ascii="Times New Roman" w:hAnsi="Times New Roman"/>
        </w:rPr>
        <w:t>Eyes</w:t>
      </w:r>
      <w:proofErr w:type="spellEnd"/>
      <w:r>
        <w:rPr>
          <w:rFonts w:ascii="Times New Roman" w:hAnsi="Times New Roman"/>
        </w:rPr>
        <w:t>”, kurā papildus ietilpst arī citas sabiedrotās koalīcijas Afganistānā).</w:t>
      </w:r>
    </w:p>
    <w:p w14:paraId="62ADE120" w14:textId="77777777" w:rsidR="00DA068F" w:rsidRPr="008D031E" w:rsidRDefault="00DA068F" w:rsidP="00DA068F">
      <w:pPr>
        <w:pStyle w:val="JuPara"/>
        <w:widowControl w:val="0"/>
        <w:ind w:firstLine="0"/>
        <w:rPr>
          <w:rFonts w:ascii="Times New Roman" w:hAnsi="Times New Roman"/>
          <w:noProof/>
          <w:lang w:val="en-US"/>
        </w:rPr>
      </w:pPr>
    </w:p>
    <w:p w14:paraId="43A2732C" w14:textId="77777777" w:rsidR="00DA068F" w:rsidRDefault="00DA068F" w:rsidP="00DA068F">
      <w:pPr>
        <w:pStyle w:val="JuHi"/>
        <w:keepNext w:val="0"/>
        <w:keepLines w:val="0"/>
        <w:widowControl w:val="0"/>
        <w:numPr>
          <w:ilvl w:val="0"/>
          <w:numId w:val="0"/>
        </w:numPr>
        <w:spacing w:before="0" w:beforeAutospacing="0" w:after="0" w:line="240" w:lineRule="auto"/>
        <w:outlineLvl w:val="9"/>
        <w:rPr>
          <w:rFonts w:ascii="Times New Roman" w:hAnsi="Times New Roman"/>
          <w:noProof/>
          <w:sz w:val="24"/>
        </w:rPr>
      </w:pPr>
      <w:r>
        <w:rPr>
          <w:rFonts w:ascii="Times New Roman" w:hAnsi="Times New Roman"/>
          <w:sz w:val="24"/>
        </w:rPr>
        <w:t>viii) “</w:t>
      </w:r>
      <w:proofErr w:type="spellStart"/>
      <w:r>
        <w:rPr>
          <w:rFonts w:ascii="Times New Roman" w:hAnsi="Times New Roman"/>
          <w:sz w:val="24"/>
        </w:rPr>
        <w:t>Open</w:t>
      </w:r>
      <w:proofErr w:type="spellEnd"/>
      <w:r>
        <w:rPr>
          <w:rFonts w:ascii="Times New Roman" w:hAnsi="Times New Roman"/>
          <w:sz w:val="24"/>
        </w:rPr>
        <w:t xml:space="preserve"> </w:t>
      </w:r>
      <w:proofErr w:type="spellStart"/>
      <w:r>
        <w:rPr>
          <w:rFonts w:ascii="Times New Roman" w:hAnsi="Times New Roman"/>
          <w:sz w:val="24"/>
        </w:rPr>
        <w:t>Society</w:t>
      </w:r>
      <w:proofErr w:type="spellEnd"/>
      <w:r>
        <w:rPr>
          <w:rFonts w:ascii="Times New Roman" w:hAnsi="Times New Roman"/>
          <w:sz w:val="24"/>
        </w:rPr>
        <w:t xml:space="preserve"> </w:t>
      </w:r>
      <w:proofErr w:type="spellStart"/>
      <w:r>
        <w:rPr>
          <w:rFonts w:ascii="Times New Roman" w:hAnsi="Times New Roman"/>
          <w:sz w:val="24"/>
        </w:rPr>
        <w:t>Justice</w:t>
      </w:r>
      <w:proofErr w:type="spellEnd"/>
      <w:r>
        <w:rPr>
          <w:rFonts w:ascii="Times New Roman" w:hAnsi="Times New Roman"/>
          <w:sz w:val="24"/>
        </w:rPr>
        <w:t xml:space="preserve"> </w:t>
      </w:r>
      <w:proofErr w:type="spellStart"/>
      <w:r>
        <w:rPr>
          <w:rFonts w:ascii="Times New Roman" w:hAnsi="Times New Roman"/>
          <w:sz w:val="24"/>
        </w:rPr>
        <w:t>Initiative</w:t>
      </w:r>
      <w:proofErr w:type="spellEnd"/>
      <w:r>
        <w:rPr>
          <w:rFonts w:ascii="Times New Roman" w:hAnsi="Times New Roman"/>
          <w:sz w:val="24"/>
        </w:rPr>
        <w:t>” (“</w:t>
      </w:r>
      <w:proofErr w:type="spellStart"/>
      <w:r>
        <w:rPr>
          <w:rFonts w:ascii="Times New Roman" w:hAnsi="Times New Roman"/>
          <w:sz w:val="24"/>
        </w:rPr>
        <w:t>OSJI</w:t>
      </w:r>
      <w:proofErr w:type="spellEnd"/>
      <w:r>
        <w:rPr>
          <w:rFonts w:ascii="Times New Roman" w:hAnsi="Times New Roman"/>
          <w:sz w:val="24"/>
        </w:rPr>
        <w:t>”)</w:t>
      </w:r>
    </w:p>
    <w:p w14:paraId="4A294410" w14:textId="77777777" w:rsidR="00DA068F" w:rsidRPr="00A10126" w:rsidRDefault="00DA068F" w:rsidP="00DA068F">
      <w:pPr>
        <w:pStyle w:val="JuPara"/>
        <w:widowControl w:val="0"/>
        <w:rPr>
          <w:lang w:val="en-US" w:bidi="en-US"/>
        </w:rPr>
      </w:pPr>
    </w:p>
    <w:p w14:paraId="2C24F4ED" w14:textId="77777777" w:rsidR="00DA068F" w:rsidRDefault="00DA068F" w:rsidP="00DA068F">
      <w:pPr>
        <w:pStyle w:val="JuPara"/>
        <w:widowControl w:val="0"/>
        <w:ind w:firstLine="142"/>
        <w:rPr>
          <w:rFonts w:ascii="Times New Roman" w:hAnsi="Times New Roman"/>
          <w:noProof/>
        </w:rPr>
      </w:pPr>
      <w:r>
        <w:rPr>
          <w:rFonts w:ascii="Times New Roman" w:hAnsi="Times New Roman"/>
        </w:rPr>
        <w:t xml:space="preserve">489. </w:t>
      </w:r>
      <w:proofErr w:type="spellStart"/>
      <w:r>
        <w:rPr>
          <w:rFonts w:ascii="Times New Roman" w:hAnsi="Times New Roman"/>
          <w:i/>
          <w:iCs/>
        </w:rPr>
        <w:t>OSJI</w:t>
      </w:r>
      <w:proofErr w:type="spellEnd"/>
      <w:r>
        <w:rPr>
          <w:rFonts w:ascii="Times New Roman" w:hAnsi="Times New Roman"/>
        </w:rPr>
        <w:t xml:space="preserve"> apgalvoja, ka valstīm nav jāsaņem vai jāpieprasa dati no </w:t>
      </w:r>
      <w:proofErr w:type="spellStart"/>
      <w:r>
        <w:rPr>
          <w:rFonts w:ascii="Times New Roman" w:hAnsi="Times New Roman"/>
        </w:rPr>
        <w:t>trešām</w:t>
      </w:r>
      <w:proofErr w:type="spellEnd"/>
      <w:r>
        <w:rPr>
          <w:rFonts w:ascii="Times New Roman" w:hAnsi="Times New Roman"/>
        </w:rPr>
        <w:t xml:space="preserve"> personām tādā </w:t>
      </w:r>
      <w:r>
        <w:rPr>
          <w:rFonts w:ascii="Times New Roman" w:hAnsi="Times New Roman"/>
        </w:rPr>
        <w:lastRenderedPageBreak/>
        <w:t xml:space="preserve">veidā, ka tiek apietas 8. pantā noteiktās personu tiesības. Lai tas nenotiktu, materiāla sākotnējās apkopošanas brīdī bija jāveic drošības pasākumi, tostarp iepriekš jāpārbauda attiecīgās ārvalsts atbilstība cilvēktiesībām un tās pārtveršanas tiesību akti un prakse, kā arī neatkarīga, vēlams tiesas noteikta, apmaiņas pasākumu </w:t>
      </w:r>
      <w:r>
        <w:rPr>
          <w:rFonts w:ascii="Times New Roman" w:hAnsi="Times New Roman"/>
          <w:i/>
          <w:iCs/>
        </w:rPr>
        <w:t>a </w:t>
      </w:r>
      <w:proofErr w:type="spellStart"/>
      <w:r>
        <w:rPr>
          <w:rFonts w:ascii="Times New Roman" w:hAnsi="Times New Roman"/>
          <w:i/>
          <w:iCs/>
        </w:rPr>
        <w:t>posteriori</w:t>
      </w:r>
      <w:proofErr w:type="spellEnd"/>
      <w:r>
        <w:rPr>
          <w:rFonts w:ascii="Times New Roman" w:hAnsi="Times New Roman"/>
        </w:rPr>
        <w:t xml:space="preserve"> pārraudzība, lai nodrošinātu, ka ir ieviesti un īstenoti drošības pasākumi.</w:t>
      </w:r>
    </w:p>
    <w:p w14:paraId="20D4FD25" w14:textId="77777777" w:rsidR="00DA068F" w:rsidRPr="008D031E" w:rsidRDefault="00DA068F" w:rsidP="00DA068F">
      <w:pPr>
        <w:pStyle w:val="JuPara"/>
        <w:widowControl w:val="0"/>
        <w:ind w:firstLine="0"/>
        <w:rPr>
          <w:rFonts w:ascii="Times New Roman" w:hAnsi="Times New Roman"/>
          <w:noProof/>
          <w:lang w:val="en-US"/>
        </w:rPr>
      </w:pPr>
    </w:p>
    <w:p w14:paraId="26002E23" w14:textId="77777777" w:rsidR="00DA068F" w:rsidRDefault="00DA068F" w:rsidP="00DA068F">
      <w:pPr>
        <w:pStyle w:val="JuHi"/>
        <w:keepNext w:val="0"/>
        <w:keepLines w:val="0"/>
        <w:widowControl w:val="0"/>
        <w:numPr>
          <w:ilvl w:val="0"/>
          <w:numId w:val="0"/>
        </w:numPr>
        <w:spacing w:before="0" w:beforeAutospacing="0" w:after="0" w:line="240" w:lineRule="auto"/>
        <w:outlineLvl w:val="9"/>
        <w:rPr>
          <w:rFonts w:ascii="Times New Roman" w:hAnsi="Times New Roman"/>
          <w:noProof/>
          <w:sz w:val="24"/>
        </w:rPr>
      </w:pPr>
      <w:r>
        <w:rPr>
          <w:rFonts w:ascii="Times New Roman" w:hAnsi="Times New Roman"/>
          <w:sz w:val="24"/>
        </w:rPr>
        <w:t>ix) Elektroniskā privātuma informācijas centrs (“</w:t>
      </w:r>
      <w:proofErr w:type="spellStart"/>
      <w:r>
        <w:rPr>
          <w:rFonts w:ascii="Times New Roman" w:hAnsi="Times New Roman"/>
          <w:sz w:val="24"/>
        </w:rPr>
        <w:t>EPIC</w:t>
      </w:r>
      <w:proofErr w:type="spellEnd"/>
      <w:r>
        <w:rPr>
          <w:rFonts w:ascii="Times New Roman" w:hAnsi="Times New Roman"/>
          <w:sz w:val="24"/>
        </w:rPr>
        <w:t>”)</w:t>
      </w:r>
    </w:p>
    <w:p w14:paraId="6FF6C94E" w14:textId="77777777" w:rsidR="00DA068F" w:rsidRPr="00A10126" w:rsidRDefault="00DA068F" w:rsidP="00DA068F">
      <w:pPr>
        <w:pStyle w:val="JuPara"/>
        <w:widowControl w:val="0"/>
        <w:rPr>
          <w:lang w:val="en-US" w:bidi="en-US"/>
        </w:rPr>
      </w:pPr>
    </w:p>
    <w:p w14:paraId="6995B84F"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490. </w:t>
      </w:r>
      <w:proofErr w:type="spellStart"/>
      <w:r>
        <w:rPr>
          <w:rFonts w:ascii="Times New Roman" w:hAnsi="Times New Roman"/>
          <w:i/>
          <w:iCs/>
        </w:rPr>
        <w:t>EPIC</w:t>
      </w:r>
      <w:proofErr w:type="spellEnd"/>
      <w:r>
        <w:rPr>
          <w:rFonts w:ascii="Times New Roman" w:hAnsi="Times New Roman"/>
        </w:rPr>
        <w:t xml:space="preserve"> apgalvoja, ka Amerikas Savienoto Valstu tiesību akti pieļāva neselektīvi masveidā uzraudzīt personas, kuras nav ASV pilsoņi. Tas norādīja, ka uzraudzība notika saskaņā ar </w:t>
      </w:r>
      <w:proofErr w:type="spellStart"/>
      <w:r>
        <w:rPr>
          <w:rFonts w:ascii="Times New Roman" w:hAnsi="Times New Roman"/>
          <w:i/>
          <w:iCs/>
        </w:rPr>
        <w:t>FISA</w:t>
      </w:r>
      <w:proofErr w:type="spellEnd"/>
      <w:r>
        <w:rPr>
          <w:rFonts w:ascii="Times New Roman" w:hAnsi="Times New Roman"/>
        </w:rPr>
        <w:t xml:space="preserve"> 702. pantu un </w:t>
      </w:r>
      <w:proofErr w:type="spellStart"/>
      <w:r>
        <w:rPr>
          <w:rFonts w:ascii="Times New Roman" w:hAnsi="Times New Roman"/>
        </w:rPr>
        <w:t>izpildrīkojumu</w:t>
      </w:r>
      <w:proofErr w:type="spellEnd"/>
      <w:r>
        <w:rPr>
          <w:rFonts w:ascii="Times New Roman" w:hAnsi="Times New Roman"/>
        </w:rPr>
        <w:t xml:space="preserve"> Nr. 12333. Uzraudzība saskaņā ar 702. pantu Amerikas Savienotajās Valstīs notika ar pakalpojumu sniedzēju palīdzību piespiedu kārtā, un tā bija vērsta uz personām, kuras nav ASV pilsoņi un par kurām pamatoti uzskatīja, ka tās atrodas ārpus Amerikas Savienotajām Valstīm. Uzraudzības darbība netika iepriekš pārskatīta tiesā, nebija nepieciešams atsaukties uz pamatotām aizdomām, un nebija tiesību aktos noteikta pienākuma informēt uzraudzības subjektus. Vienīgā prasība bija tāda, ka </w:t>
      </w:r>
      <w:proofErr w:type="spellStart"/>
      <w:r>
        <w:rPr>
          <w:rFonts w:ascii="Times New Roman" w:hAnsi="Times New Roman"/>
          <w:i/>
          <w:iCs/>
        </w:rPr>
        <w:t>FISC</w:t>
      </w:r>
      <w:proofErr w:type="spellEnd"/>
      <w:r>
        <w:rPr>
          <w:rFonts w:ascii="Times New Roman" w:hAnsi="Times New Roman"/>
        </w:rPr>
        <w:t xml:space="preserve"> katru gadu ir jāpārskata novērojamo personu noteikšanas un </w:t>
      </w:r>
      <w:proofErr w:type="spellStart"/>
      <w:r>
        <w:rPr>
          <w:rFonts w:ascii="Times New Roman" w:hAnsi="Times New Roman"/>
        </w:rPr>
        <w:t>izlūkdatu</w:t>
      </w:r>
      <w:proofErr w:type="spellEnd"/>
      <w:r>
        <w:rPr>
          <w:rFonts w:ascii="Times New Roman" w:hAnsi="Times New Roman"/>
        </w:rPr>
        <w:t xml:space="preserve"> un ar to saistīto darbību samazināšanas procedūras, kuru mērķis ir ierobežot ASV pilsoņu vai Amerikas Savienotajās Valstīs esošu personu saziņas aktu satura iegūšanu.</w:t>
      </w:r>
    </w:p>
    <w:p w14:paraId="2FCC9C05"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491. Tas arī norādīja, ka saskaņā ar </w:t>
      </w:r>
      <w:proofErr w:type="spellStart"/>
      <w:r>
        <w:rPr>
          <w:rFonts w:ascii="Times New Roman" w:hAnsi="Times New Roman"/>
        </w:rPr>
        <w:t>izpildrīkojumu</w:t>
      </w:r>
      <w:proofErr w:type="spellEnd"/>
      <w:r>
        <w:rPr>
          <w:rFonts w:ascii="Times New Roman" w:hAnsi="Times New Roman"/>
        </w:rPr>
        <w:t xml:space="preserve"> Nr. 12333 </w:t>
      </w:r>
      <w:proofErr w:type="spellStart"/>
      <w:r>
        <w:rPr>
          <w:rFonts w:ascii="Times New Roman" w:hAnsi="Times New Roman"/>
          <w:i/>
          <w:iCs/>
        </w:rPr>
        <w:t>NSA</w:t>
      </w:r>
      <w:proofErr w:type="spellEnd"/>
      <w:r>
        <w:rPr>
          <w:rFonts w:ascii="Times New Roman" w:hAnsi="Times New Roman"/>
        </w:rPr>
        <w:t xml:space="preserve"> bija pilnvarota iegūt ārvalstu izlūkošanas un pretizlūkošanas datus. Rīkojums paredzēja plašas pilnvaras veikt sakaru </w:t>
      </w:r>
      <w:proofErr w:type="spellStart"/>
      <w:r>
        <w:rPr>
          <w:rFonts w:ascii="Times New Roman" w:hAnsi="Times New Roman"/>
        </w:rPr>
        <w:t>izlūkdatu</w:t>
      </w:r>
      <w:proofErr w:type="spellEnd"/>
      <w:r>
        <w:rPr>
          <w:rFonts w:ascii="Times New Roman" w:hAnsi="Times New Roman"/>
        </w:rPr>
        <w:t xml:space="preserve"> uzraudzību no dažādiem avotiem, tostarp optiskās šķiedras kabeļu tīkliem. Datus apkopoja ārpus Amerikas Savienoto Valstu teritorijas. Nebija pieejami ziņojumi vai oficiāla informācija par uzraudzības apmēru atbilstoši rīkojumam, ko tiesai nebija jāpārrauga.</w:t>
      </w:r>
    </w:p>
    <w:p w14:paraId="578A462E" w14:textId="77777777" w:rsidR="00DA068F" w:rsidRDefault="00DA068F" w:rsidP="00DA068F">
      <w:pPr>
        <w:pStyle w:val="JuPara"/>
        <w:widowControl w:val="0"/>
        <w:ind w:firstLine="142"/>
        <w:rPr>
          <w:rFonts w:ascii="Times New Roman" w:hAnsi="Times New Roman"/>
          <w:noProof/>
        </w:rPr>
      </w:pPr>
      <w:r>
        <w:rPr>
          <w:rFonts w:ascii="Times New Roman" w:hAnsi="Times New Roman"/>
        </w:rPr>
        <w:t xml:space="preserve">492. </w:t>
      </w:r>
      <w:proofErr w:type="spellStart"/>
      <w:r>
        <w:rPr>
          <w:rFonts w:ascii="Times New Roman" w:hAnsi="Times New Roman"/>
          <w:i/>
          <w:iCs/>
        </w:rPr>
        <w:t>EPIC</w:t>
      </w:r>
      <w:proofErr w:type="spellEnd"/>
      <w:r>
        <w:rPr>
          <w:rFonts w:ascii="Times New Roman" w:hAnsi="Times New Roman"/>
        </w:rPr>
        <w:t xml:space="preserve"> ieskatā ar </w:t>
      </w:r>
      <w:proofErr w:type="spellStart"/>
      <w:r>
        <w:rPr>
          <w:rFonts w:ascii="Times New Roman" w:hAnsi="Times New Roman"/>
          <w:i/>
          <w:iCs/>
        </w:rPr>
        <w:t>NSA</w:t>
      </w:r>
      <w:proofErr w:type="spellEnd"/>
      <w:r>
        <w:rPr>
          <w:rFonts w:ascii="Times New Roman" w:hAnsi="Times New Roman"/>
        </w:rPr>
        <w:t xml:space="preserve"> veikto uzraudzību tiktu pārkāpts Konvencijas 8. pants, pamatojoties uz to, ka nav ierobežots uzraudzības apjoms un ilgums un nav nodrošināta atbilstoša pārraudzība, informēšana un tiesiskās aizsardzības līdzekļi.</w:t>
      </w:r>
    </w:p>
    <w:p w14:paraId="6EB32ECC" w14:textId="77777777" w:rsidR="00DA068F" w:rsidRPr="008D031E" w:rsidRDefault="00DA068F" w:rsidP="00DA068F">
      <w:pPr>
        <w:pStyle w:val="JuPara"/>
        <w:widowControl w:val="0"/>
        <w:ind w:firstLine="142"/>
        <w:rPr>
          <w:rFonts w:ascii="Times New Roman" w:hAnsi="Times New Roman"/>
          <w:noProof/>
          <w:lang w:val="en-US"/>
        </w:rPr>
      </w:pPr>
    </w:p>
    <w:p w14:paraId="6B172B03" w14:textId="77777777" w:rsidR="00DA068F" w:rsidRDefault="00DA068F" w:rsidP="00DA068F">
      <w:pPr>
        <w:pStyle w:val="JuHi"/>
        <w:keepNext w:val="0"/>
        <w:keepLines w:val="0"/>
        <w:widowControl w:val="0"/>
        <w:numPr>
          <w:ilvl w:val="0"/>
          <w:numId w:val="0"/>
        </w:numPr>
        <w:spacing w:before="0" w:beforeAutospacing="0" w:after="0" w:line="240" w:lineRule="auto"/>
        <w:outlineLvl w:val="9"/>
        <w:rPr>
          <w:rFonts w:ascii="Times New Roman" w:hAnsi="Times New Roman"/>
          <w:noProof/>
          <w:sz w:val="24"/>
        </w:rPr>
      </w:pPr>
      <w:r>
        <w:rPr>
          <w:rFonts w:ascii="Times New Roman" w:hAnsi="Times New Roman"/>
          <w:sz w:val="24"/>
        </w:rPr>
        <w:t>x) Starptautiskā Juristu komisija (“</w:t>
      </w:r>
      <w:proofErr w:type="spellStart"/>
      <w:r>
        <w:rPr>
          <w:rFonts w:ascii="Times New Roman" w:hAnsi="Times New Roman"/>
          <w:sz w:val="24"/>
        </w:rPr>
        <w:t>ICJ</w:t>
      </w:r>
      <w:proofErr w:type="spellEnd"/>
      <w:r>
        <w:rPr>
          <w:rFonts w:ascii="Times New Roman" w:hAnsi="Times New Roman"/>
          <w:sz w:val="24"/>
        </w:rPr>
        <w:t>”)</w:t>
      </w:r>
    </w:p>
    <w:p w14:paraId="72DA094C" w14:textId="77777777" w:rsidR="00DA068F" w:rsidRPr="00A10126" w:rsidRDefault="00DA068F" w:rsidP="00DA068F">
      <w:pPr>
        <w:pStyle w:val="JuPara"/>
        <w:widowControl w:val="0"/>
        <w:rPr>
          <w:lang w:val="en-US" w:bidi="en-US"/>
        </w:rPr>
      </w:pPr>
    </w:p>
    <w:p w14:paraId="31A3A883" w14:textId="77777777" w:rsidR="00DA068F" w:rsidRDefault="00DA068F" w:rsidP="00DA068F">
      <w:pPr>
        <w:pStyle w:val="JuPara"/>
        <w:widowControl w:val="0"/>
        <w:ind w:firstLine="142"/>
        <w:rPr>
          <w:rFonts w:ascii="Times New Roman" w:hAnsi="Times New Roman"/>
          <w:noProof/>
        </w:rPr>
      </w:pPr>
      <w:r>
        <w:rPr>
          <w:rFonts w:ascii="Times New Roman" w:hAnsi="Times New Roman"/>
        </w:rPr>
        <w:t xml:space="preserve">493. </w:t>
      </w:r>
      <w:proofErr w:type="spellStart"/>
      <w:r>
        <w:rPr>
          <w:rFonts w:ascii="Times New Roman" w:hAnsi="Times New Roman"/>
          <w:i/>
          <w:iCs/>
        </w:rPr>
        <w:t>ICJ</w:t>
      </w:r>
      <w:proofErr w:type="spellEnd"/>
      <w:r>
        <w:rPr>
          <w:rFonts w:ascii="Times New Roman" w:hAnsi="Times New Roman"/>
        </w:rPr>
        <w:t xml:space="preserve"> Tiesā atsaucās uz Starptautisko tiesību komitejas noteikumu par valsts atbildību (turpmāk tekstā – “</w:t>
      </w:r>
      <w:proofErr w:type="spellStart"/>
      <w:r>
        <w:rPr>
          <w:rFonts w:ascii="Times New Roman" w:hAnsi="Times New Roman"/>
          <w:i/>
          <w:iCs/>
        </w:rPr>
        <w:t>ILC</w:t>
      </w:r>
      <w:proofErr w:type="spellEnd"/>
      <w:r>
        <w:rPr>
          <w:rFonts w:ascii="Times New Roman" w:hAnsi="Times New Roman"/>
        </w:rPr>
        <w:t xml:space="preserve"> noteikumi”) 15. un 16. pantu. Tā apgalvoja, ka saskaņā ar 15. pantu līgumslēdzēja valsts varētu būt atbildīga par masveida uzraudzību, ko veikusi valsts, kas nav līgumslēdzēja valsts, ja tās īstenotu organizētas un strukturētas sadarbības formas, un ka saskaņā ar 16. pantu līgumslēdzēja valsts varētu būt atbildīga par masveida uzraudzību, ko veic kāda valsts, kas nav līgumslēdzēja valsts, ja tā sniegtu ieguldījumu novērošanas programmā un tās rīcībā būtu faktiska vai konstruktīva informācija par sistēmā saistošo starptautisko cilvēktiesību ievērošanas pienākumu pārkāpumiem. </w:t>
      </w:r>
      <w:proofErr w:type="spellStart"/>
      <w:r>
        <w:rPr>
          <w:rFonts w:ascii="Times New Roman" w:hAnsi="Times New Roman"/>
          <w:i/>
          <w:iCs/>
        </w:rPr>
        <w:t>ICJ</w:t>
      </w:r>
      <w:proofErr w:type="spellEnd"/>
      <w:r>
        <w:rPr>
          <w:rFonts w:ascii="Times New Roman" w:hAnsi="Times New Roman"/>
        </w:rPr>
        <w:t xml:space="preserve"> arī norādīja, ka līgumslēdzējām valstīm, kuras piedalās vai sniedz ieguldījumu masveida uzraudzības programmā, bija pienākums izveidot drošības pasākumu sistēmu 8. pantā noteikto tiesību aizsardzībai un aizsargāt to jurisdikcijā esošās personas pret 8. pantā noteikto tiesību pārkāpumiem, kuru pamatā bija masveida uzraudzības programmas.</w:t>
      </w:r>
    </w:p>
    <w:p w14:paraId="6E8485D3" w14:textId="77777777" w:rsidR="00DA068F" w:rsidRPr="008D031E" w:rsidRDefault="00DA068F" w:rsidP="00DA068F">
      <w:pPr>
        <w:pStyle w:val="JuPara"/>
        <w:widowControl w:val="0"/>
        <w:ind w:firstLine="142"/>
        <w:rPr>
          <w:rFonts w:ascii="Times New Roman" w:hAnsi="Times New Roman"/>
          <w:noProof/>
          <w:lang w:val="en-US"/>
        </w:rPr>
      </w:pPr>
    </w:p>
    <w:p w14:paraId="6D0EE07E" w14:textId="77777777" w:rsidR="00DA068F" w:rsidRDefault="00DA068F" w:rsidP="00DA068F">
      <w:pPr>
        <w:pStyle w:val="JuHi"/>
        <w:keepNext w:val="0"/>
        <w:keepLines w:val="0"/>
        <w:widowControl w:val="0"/>
        <w:numPr>
          <w:ilvl w:val="0"/>
          <w:numId w:val="0"/>
        </w:numPr>
        <w:spacing w:before="0" w:beforeAutospacing="0" w:after="0" w:line="240" w:lineRule="auto"/>
        <w:outlineLvl w:val="9"/>
        <w:rPr>
          <w:rFonts w:ascii="Times New Roman" w:hAnsi="Times New Roman"/>
          <w:noProof/>
          <w:sz w:val="24"/>
        </w:rPr>
      </w:pPr>
      <w:r>
        <w:rPr>
          <w:rFonts w:ascii="Times New Roman" w:hAnsi="Times New Roman"/>
          <w:sz w:val="24"/>
        </w:rPr>
        <w:t>xi) Anglijas un Velsas Juridiskā biedrība</w:t>
      </w:r>
    </w:p>
    <w:p w14:paraId="6EC730E4" w14:textId="77777777" w:rsidR="00DA068F" w:rsidRPr="000C6276" w:rsidRDefault="00DA068F" w:rsidP="00DA068F">
      <w:pPr>
        <w:pStyle w:val="JuPara"/>
        <w:widowControl w:val="0"/>
        <w:rPr>
          <w:lang w:val="en-US" w:bidi="en-US"/>
        </w:rPr>
      </w:pPr>
    </w:p>
    <w:p w14:paraId="6AAB830D" w14:textId="77777777" w:rsidR="00DA068F" w:rsidRDefault="00DA068F" w:rsidP="00DA068F">
      <w:pPr>
        <w:pStyle w:val="JuPara"/>
        <w:widowControl w:val="0"/>
        <w:ind w:firstLine="142"/>
        <w:rPr>
          <w:rFonts w:ascii="Times New Roman" w:hAnsi="Times New Roman"/>
          <w:noProof/>
        </w:rPr>
      </w:pPr>
      <w:r>
        <w:rPr>
          <w:rFonts w:ascii="Times New Roman" w:hAnsi="Times New Roman"/>
        </w:rPr>
        <w:t>494. Juridiskā biedrība apgalvoja, ka 8. panta 4. punktā noteiktais režīms un saistītie kodeksi neparedzēja stabilus vai pārskatāmus drošības pasākumus attiecībā uz juridiski priviliģētu materiālu. Tā kā tie paši drošības pasākumi attiecās uz priviliģētu materiālu, ko ieguva ārvalstis un kas tika izpausts Apvienotās Karalistes izlūkdienestiem, tie paši trūkumi ietekmēja arī šo režīmu.</w:t>
      </w:r>
    </w:p>
    <w:p w14:paraId="50CF7D09" w14:textId="77777777" w:rsidR="00DA068F" w:rsidRPr="008D031E" w:rsidRDefault="00DA068F" w:rsidP="00DA068F">
      <w:pPr>
        <w:pStyle w:val="JuPara"/>
        <w:widowControl w:val="0"/>
        <w:ind w:firstLine="0"/>
        <w:rPr>
          <w:rFonts w:ascii="Times New Roman" w:hAnsi="Times New Roman"/>
          <w:noProof/>
          <w:lang w:val="en-US"/>
        </w:rPr>
      </w:pPr>
    </w:p>
    <w:p w14:paraId="42FCB104" w14:textId="77777777" w:rsidR="00DA068F" w:rsidRDefault="00DA068F" w:rsidP="00DA068F">
      <w:pPr>
        <w:pStyle w:val="JuHa0"/>
        <w:keepNext w:val="0"/>
        <w:keepLines w:val="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d) Tiesas vērtējums</w:t>
      </w:r>
    </w:p>
    <w:p w14:paraId="731FABC2" w14:textId="77777777" w:rsidR="00DA068F" w:rsidRPr="000C6276" w:rsidRDefault="00DA068F" w:rsidP="00DA068F">
      <w:pPr>
        <w:pStyle w:val="JuPara"/>
        <w:widowControl w:val="0"/>
        <w:rPr>
          <w:lang w:val="en-US"/>
        </w:rPr>
      </w:pPr>
    </w:p>
    <w:p w14:paraId="210D325B" w14:textId="77777777" w:rsidR="00DA068F" w:rsidRDefault="00DA068F" w:rsidP="00DA068F">
      <w:pPr>
        <w:pStyle w:val="JuHi"/>
        <w:keepNext w:val="0"/>
        <w:keepLines w:val="0"/>
        <w:widowControl w:val="0"/>
        <w:numPr>
          <w:ilvl w:val="0"/>
          <w:numId w:val="0"/>
        </w:numPr>
        <w:spacing w:before="0" w:beforeAutospacing="0" w:after="0" w:line="240" w:lineRule="auto"/>
        <w:outlineLvl w:val="9"/>
        <w:rPr>
          <w:rFonts w:ascii="Times New Roman" w:hAnsi="Times New Roman"/>
          <w:noProof/>
          <w:sz w:val="24"/>
        </w:rPr>
      </w:pPr>
      <w:r>
        <w:rPr>
          <w:rFonts w:ascii="Times New Roman" w:hAnsi="Times New Roman"/>
          <w:sz w:val="24"/>
        </w:rPr>
        <w:t xml:space="preserve">i) Veicamais </w:t>
      </w:r>
      <w:proofErr w:type="spellStart"/>
      <w:r>
        <w:rPr>
          <w:rFonts w:ascii="Times New Roman" w:hAnsi="Times New Roman"/>
          <w:sz w:val="24"/>
        </w:rPr>
        <w:t>izvērtējums</w:t>
      </w:r>
      <w:proofErr w:type="spellEnd"/>
    </w:p>
    <w:p w14:paraId="125190B9" w14:textId="77777777" w:rsidR="00DA068F" w:rsidRPr="000C6276" w:rsidRDefault="00DA068F" w:rsidP="00DA068F">
      <w:pPr>
        <w:pStyle w:val="JuPara"/>
        <w:widowControl w:val="0"/>
        <w:rPr>
          <w:lang w:val="en-US" w:bidi="en-US"/>
        </w:rPr>
      </w:pPr>
    </w:p>
    <w:p w14:paraId="5E29BD81"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495. Palāta uzskata, ka sakaru pārtveršana, ko veic ārvalstu izlūkdienesti, nevarēja ietilpt saņēmējas valsts atbildības jomā vai tās jurisdikcijā Konvencijas 1. panta izpratnē, pat ja pārtveršana veikta pēc šīs valsts pieprasījuma (skat. palātas sprieduma 420. punktu). Pirmkārt, ciktāl dažas trešās personas bija atsaukušās uz </w:t>
      </w:r>
      <w:proofErr w:type="spellStart"/>
      <w:r>
        <w:rPr>
          <w:rFonts w:ascii="Times New Roman" w:hAnsi="Times New Roman"/>
          <w:i/>
          <w:iCs/>
        </w:rPr>
        <w:t>ILC</w:t>
      </w:r>
      <w:proofErr w:type="spellEnd"/>
      <w:r>
        <w:rPr>
          <w:rFonts w:ascii="Times New Roman" w:hAnsi="Times New Roman"/>
        </w:rPr>
        <w:t xml:space="preserve"> noteikumiem, palāta uzskatīja, ka tiem būtu nozīme vienīgi tad, ja ārvalstu izlūkdienesti ir nodoti saņēmējas valsts rīcībā un rīkojas, īstenojot šīs valsts pārvaldības pilnvaru elementus (6. pants), ja saņēmēja valsts sniedz ārvalstu izlūkdienestiem palīdzību vai atbalstu sakaru pārtveršanā tad, kad tas kvalificējams kā starptautiska prettiesiska rīcība attiecībā uz valsti, kura ir atbildīga par pakalpojumiem, saņēmēja valsts apzinājās starptautiskās prettiesiskās rīcības apstākļus un šī rīcība būtu bijusi starptautiski prettiesiska, ja to pieļautu saņēmēja valsts (16. pants), vai vienīgi tad, ja saņēmēja valsts vada vai kontrolē ārvalsts valdību (17. pants). Otrkārt, no Tiesas judikatūras izriet, ka sakaru pārtveršana, ko veic ārvalstu izlūkdienesti, varēja ietilpt saņēmējas valsts jurisdikcijā vienīgi tad, ja valsts īstenoja pilnvaras vai kontroli pār ārvalstu izlūkdienestiem (skat., piemēram, sprieduma lietā Nr. 55721/07 “Al </w:t>
      </w:r>
      <w:proofErr w:type="spellStart"/>
      <w:r>
        <w:rPr>
          <w:rFonts w:ascii="Times New Roman" w:hAnsi="Times New Roman"/>
        </w:rPr>
        <w:t>Skeini</w:t>
      </w:r>
      <w:proofErr w:type="spellEnd"/>
      <w:r>
        <w:rPr>
          <w:rFonts w:ascii="Times New Roman" w:hAnsi="Times New Roman"/>
        </w:rPr>
        <w:t xml:space="preserve"> [</w:t>
      </w:r>
      <w:r>
        <w:rPr>
          <w:rFonts w:ascii="Times New Roman" w:hAnsi="Times New Roman"/>
          <w:i/>
          <w:iCs/>
        </w:rPr>
        <w:t>Al-</w:t>
      </w:r>
      <w:proofErr w:type="spellStart"/>
      <w:r>
        <w:rPr>
          <w:rFonts w:ascii="Times New Roman" w:hAnsi="Times New Roman"/>
          <w:i/>
          <w:iCs/>
        </w:rPr>
        <w:t>Skeini</w:t>
      </w:r>
      <w:proofErr w:type="spellEnd"/>
      <w:r>
        <w:rPr>
          <w:rFonts w:ascii="Times New Roman" w:hAnsi="Times New Roman"/>
        </w:rPr>
        <w:t>] un citi pret Apvienoto Karalisti” [</w:t>
      </w:r>
      <w:proofErr w:type="spellStart"/>
      <w:r>
        <w:rPr>
          <w:rFonts w:ascii="Times New Roman" w:hAnsi="Times New Roman"/>
          <w:i/>
          <w:iCs/>
        </w:rPr>
        <w:t>GC</w:t>
      </w:r>
      <w:proofErr w:type="spellEnd"/>
      <w:r>
        <w:rPr>
          <w:rFonts w:ascii="Times New Roman" w:hAnsi="Times New Roman"/>
        </w:rPr>
        <w:t xml:space="preserve">] 130.–139. punktu, </w:t>
      </w:r>
      <w:proofErr w:type="spellStart"/>
      <w:r>
        <w:rPr>
          <w:rFonts w:ascii="Times New Roman" w:hAnsi="Times New Roman"/>
        </w:rPr>
        <w:t>ECT</w:t>
      </w:r>
      <w:proofErr w:type="spellEnd"/>
      <w:r>
        <w:rPr>
          <w:rFonts w:ascii="Times New Roman" w:hAnsi="Times New Roman"/>
        </w:rPr>
        <w:t xml:space="preserve"> 2011, un sprieduma lietā Nr. 47708/08 “</w:t>
      </w:r>
      <w:proofErr w:type="spellStart"/>
      <w:r>
        <w:rPr>
          <w:rFonts w:ascii="Times New Roman" w:hAnsi="Times New Roman"/>
        </w:rPr>
        <w:t>Jalouds</w:t>
      </w:r>
      <w:proofErr w:type="spellEnd"/>
      <w:r>
        <w:rPr>
          <w:rFonts w:ascii="Times New Roman" w:hAnsi="Times New Roman"/>
        </w:rPr>
        <w:t xml:space="preserve"> [</w:t>
      </w:r>
      <w:proofErr w:type="spellStart"/>
      <w:r>
        <w:rPr>
          <w:rFonts w:ascii="Times New Roman" w:hAnsi="Times New Roman"/>
          <w:i/>
          <w:iCs/>
        </w:rPr>
        <w:t>Jaloud</w:t>
      </w:r>
      <w:proofErr w:type="spellEnd"/>
      <w:r>
        <w:rPr>
          <w:rFonts w:ascii="Times New Roman" w:hAnsi="Times New Roman"/>
        </w:rPr>
        <w:t>] pret Nīderlandi” [</w:t>
      </w:r>
      <w:proofErr w:type="spellStart"/>
      <w:r>
        <w:rPr>
          <w:rFonts w:ascii="Times New Roman" w:hAnsi="Times New Roman"/>
          <w:i/>
          <w:iCs/>
        </w:rPr>
        <w:t>GC</w:t>
      </w:r>
      <w:proofErr w:type="spellEnd"/>
      <w:r>
        <w:rPr>
          <w:rFonts w:ascii="Times New Roman" w:hAnsi="Times New Roman"/>
        </w:rPr>
        <w:t xml:space="preserve">] 139. un 151. punktu, </w:t>
      </w:r>
      <w:proofErr w:type="spellStart"/>
      <w:r>
        <w:rPr>
          <w:rFonts w:ascii="Times New Roman" w:hAnsi="Times New Roman"/>
        </w:rPr>
        <w:t>ECT</w:t>
      </w:r>
      <w:proofErr w:type="spellEnd"/>
      <w:r>
        <w:rPr>
          <w:rFonts w:ascii="Times New Roman" w:hAnsi="Times New Roman"/>
        </w:rPr>
        <w:t xml:space="preserve"> 2014).</w:t>
      </w:r>
    </w:p>
    <w:p w14:paraId="0257F5D4"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496. Lielā palāta ir vienisprātis ar palātu, ka izvērtējamajā situācijā nebija saskatāms neviens no šiem elementiem, turklāt pieteikuma iesniedzēji savos argumentu izklāstos Lielajā palātā uz tiem nav atsaukušies. Tādēļ jebkurš Konvencijas 8. pantā noteikto tiesību aizskārums varētu izrietēt vienīgi no sākotnējā pieprasījuma un turpmākas pārtvertā materiāla saņemšanas, pēc kuras to tālāk uzglabāja, pārbaudīja un izmantoja saņēmējas valsts izlūkdienesti.</w:t>
      </w:r>
    </w:p>
    <w:p w14:paraId="037E7214" w14:textId="77777777" w:rsidR="00DA068F" w:rsidRPr="008D031E" w:rsidRDefault="00DA068F" w:rsidP="00DA068F">
      <w:pPr>
        <w:widowControl w:val="0"/>
        <w:ind w:firstLine="142"/>
        <w:jc w:val="both"/>
        <w:rPr>
          <w:rFonts w:ascii="Times New Roman" w:eastAsia="Times New Roman" w:hAnsi="Times New Roman" w:cs="Times New Roman"/>
          <w:noProof/>
        </w:rPr>
      </w:pPr>
      <w:r>
        <w:rPr>
          <w:rFonts w:ascii="Times New Roman" w:hAnsi="Times New Roman"/>
        </w:rPr>
        <w:t xml:space="preserve">497. </w:t>
      </w:r>
      <w:bookmarkStart w:id="271" w:name="_Hlk51839747"/>
      <w:r>
        <w:rPr>
          <w:rFonts w:ascii="Times New Roman" w:hAnsi="Times New Roman"/>
        </w:rPr>
        <w:t>Konvencijā paredzētie aizsardzības mehānismi būtu neefektīvi, ja valstis varētu apiet savus Konvencijā noteiktos pienākumus, pieprasot to, lai valstis, kuras nav līgumslēdzējas valstis, pārtvertu sakarus, vai arī pārtverto sakaru nodošanu no šīm valstīm vai pat iegūstot šos sakarus, tieši piekļūstot šo valstu datubāzēm, lai gan tas šajās lietās nav tieši izvērtēts. Tādēļ Tiesa uzskata, ka tad, kad valstij, kura nav līgumslēdzēja valsts, tiek iesniegts pieprasījums par materiāla pārtveršanu, šim pieprasījumam ir jābūt pamatotam ar valsts tiesību aktiem, kuriem jābūt pieejamiem attiecīgajai personai un paredzamiem attiecībā uz to sekām (skat. iepriekš minētā spriedumā lietā “Romāns Zaharovs” 228. punktu). Tāpat būs jānodrošina skaidri un detalizēti noteikumi, kuri ļauj pilsoņiem gūt atbilstošu priekšstatu par apstākļiem un nosacījumiem, kādos iestādes ir pilnvarotas iesniegt šādu pieprasījumu (skat. iepriekš minētā spriedumā lietā “Romāns Zaharovs” 229. punktu, iepriekš minētā sprieduma lietā “Malons” 67. punktu, iepriekš minētā sprieduma lietā “</w:t>
      </w:r>
      <w:proofErr w:type="spellStart"/>
      <w:r>
        <w:rPr>
          <w:rFonts w:ascii="Times New Roman" w:hAnsi="Times New Roman"/>
        </w:rPr>
        <w:t>Leanders</w:t>
      </w:r>
      <w:proofErr w:type="spellEnd"/>
      <w:r>
        <w:rPr>
          <w:rFonts w:ascii="Times New Roman" w:hAnsi="Times New Roman"/>
        </w:rPr>
        <w:t>” 51. punktu, iepriekš minētā sprieduma lietā “</w:t>
      </w:r>
      <w:proofErr w:type="spellStart"/>
      <w:r>
        <w:rPr>
          <w:rFonts w:ascii="Times New Roman" w:hAnsi="Times New Roman"/>
        </w:rPr>
        <w:t>Huvigs</w:t>
      </w:r>
      <w:proofErr w:type="spellEnd"/>
      <w:r>
        <w:rPr>
          <w:rFonts w:ascii="Times New Roman" w:hAnsi="Times New Roman"/>
        </w:rPr>
        <w:t>” 29. punktu, iepriekš minētā sprieduma lietā “</w:t>
      </w:r>
      <w:proofErr w:type="spellStart"/>
      <w:r>
        <w:rPr>
          <w:rFonts w:ascii="Times New Roman" w:hAnsi="Times New Roman"/>
        </w:rPr>
        <w:t>Krulēns</w:t>
      </w:r>
      <w:proofErr w:type="spellEnd"/>
      <w:r>
        <w:rPr>
          <w:rFonts w:ascii="Times New Roman" w:hAnsi="Times New Roman"/>
        </w:rPr>
        <w:t>” 30. punktu, iepriekš minētā sprieduma lietā “</w:t>
      </w:r>
      <w:proofErr w:type="spellStart"/>
      <w:r>
        <w:rPr>
          <w:rFonts w:ascii="Times New Roman" w:hAnsi="Times New Roman"/>
        </w:rPr>
        <w:t>Valensvela</w:t>
      </w:r>
      <w:proofErr w:type="spellEnd"/>
      <w:r>
        <w:rPr>
          <w:rFonts w:ascii="Times New Roman" w:hAnsi="Times New Roman"/>
        </w:rPr>
        <w:t xml:space="preserve"> </w:t>
      </w:r>
      <w:proofErr w:type="spellStart"/>
      <w:r>
        <w:rPr>
          <w:rFonts w:ascii="Times New Roman" w:hAnsi="Times New Roman"/>
        </w:rPr>
        <w:t>Kontrerass</w:t>
      </w:r>
      <w:proofErr w:type="spellEnd"/>
      <w:r>
        <w:rPr>
          <w:rFonts w:ascii="Times New Roman" w:hAnsi="Times New Roman"/>
        </w:rPr>
        <w:t xml:space="preserve">” 46. punktu, iepriekš minētā sprieduma lietā “Rotaru” 55. punktu, iepriekš minētā sprieduma lietā “Vēbere un </w:t>
      </w:r>
      <w:proofErr w:type="spellStart"/>
      <w:r>
        <w:rPr>
          <w:rFonts w:ascii="Times New Roman" w:hAnsi="Times New Roman"/>
        </w:rPr>
        <w:t>Sarāvija</w:t>
      </w:r>
      <w:proofErr w:type="spellEnd"/>
      <w:r>
        <w:rPr>
          <w:rFonts w:ascii="Times New Roman" w:hAnsi="Times New Roman"/>
        </w:rPr>
        <w:t xml:space="preserve">” 93. punktu, kā arī iepriekš minētā sprieduma lietā “Eiropas integrācijas un cilvēktiesību asociācija un </w:t>
      </w:r>
      <w:proofErr w:type="spellStart"/>
      <w:r>
        <w:rPr>
          <w:rFonts w:ascii="Times New Roman" w:hAnsi="Times New Roman"/>
        </w:rPr>
        <w:t>Ekimdžijevs</w:t>
      </w:r>
      <w:proofErr w:type="spellEnd"/>
      <w:r>
        <w:rPr>
          <w:rFonts w:ascii="Times New Roman" w:hAnsi="Times New Roman"/>
        </w:rPr>
        <w:t>” 75. punktu),</w:t>
      </w:r>
      <w:bookmarkEnd w:id="271"/>
      <w:r>
        <w:rPr>
          <w:rFonts w:ascii="Times New Roman" w:hAnsi="Times New Roman"/>
        </w:rPr>
        <w:t xml:space="preserve"> un paredz efektīvas garantijas pret šo pilnvaru īstenošanu, lai apietu valsts tiesību aktus un/vai valstu pienākumus, kas noteikti Konvencijā.</w:t>
      </w:r>
    </w:p>
    <w:p w14:paraId="24EB1541" w14:textId="77777777" w:rsidR="00DA068F" w:rsidRPr="008D031E" w:rsidRDefault="00DA068F" w:rsidP="00DA068F">
      <w:pPr>
        <w:pStyle w:val="JuPara"/>
        <w:widowControl w:val="0"/>
        <w:ind w:firstLine="142"/>
        <w:rPr>
          <w:rFonts w:ascii="Times New Roman" w:hAnsi="Times New Roman" w:cstheme="minorHAnsi"/>
          <w:noProof/>
        </w:rPr>
      </w:pPr>
      <w:bookmarkStart w:id="272" w:name="ISProductIntercept"/>
      <w:r>
        <w:rPr>
          <w:rFonts w:ascii="Times New Roman" w:hAnsi="Times New Roman"/>
        </w:rPr>
        <w:t>498</w:t>
      </w:r>
      <w:bookmarkEnd w:id="272"/>
      <w:r>
        <w:rPr>
          <w:rFonts w:ascii="Times New Roman" w:hAnsi="Times New Roman"/>
        </w:rPr>
        <w:t xml:space="preserve">. Tiesa uzskata, ka pārtvertā materiāla saņemšanas brīdī saņēmējā valstī ir jābūt ieviestiem atbilstošiem drošības pasākumiem pārtvertā materiāla pārbaudei, izmantošanai un uzglabāšanai, kā arī tā turpmākai pārsūtīšanai, dzēšanai un iznīcināšanai. Šie drošības pasākumi, ko sākotnēji ieviesa Tiesa savā judikatūrā par līgumslēdzēju valstu veikto sakaru pārtveršanu, vienlīdz attiecas uz pieprasīto pārtverto materiālu, ko līgumslēdzēja valsts saņem no ārvalstu izlūkdienesta. Ja valstīm, kā to apgalvo Valdība, ne vienmēr ir zināms, vai no </w:t>
      </w:r>
      <w:r>
        <w:rPr>
          <w:rFonts w:ascii="Times New Roman" w:hAnsi="Times New Roman"/>
        </w:rPr>
        <w:lastRenderedPageBreak/>
        <w:t>izlūkdienestiem saņemtais materiāls ir pārtveršanas rezultāts, Tiesa uzskata, ka tādi paši standarti ir jāpiemēro visam materiālam, kas saņemts no izlūkdienestiem un varētu būt pārtveršanas rezultāts.</w:t>
      </w:r>
    </w:p>
    <w:p w14:paraId="699B1A9F" w14:textId="77777777" w:rsidR="00DA068F" w:rsidRDefault="00DA068F" w:rsidP="00DA068F">
      <w:pPr>
        <w:pStyle w:val="JuPara"/>
        <w:widowControl w:val="0"/>
        <w:ind w:firstLine="142"/>
        <w:rPr>
          <w:rFonts w:ascii="Times New Roman" w:hAnsi="Times New Roman" w:cstheme="minorHAnsi"/>
          <w:noProof/>
        </w:rPr>
      </w:pPr>
      <w:r>
        <w:rPr>
          <w:rFonts w:ascii="Times New Roman" w:hAnsi="Times New Roman"/>
        </w:rPr>
        <w:t xml:space="preserve">499. </w:t>
      </w:r>
      <w:bookmarkStart w:id="273" w:name="_Hlk65780491"/>
      <w:r>
        <w:rPr>
          <w:rFonts w:ascii="Times New Roman" w:hAnsi="Times New Roman"/>
        </w:rPr>
        <w:t xml:space="preserve">Visbeidzot, Tiesa uzskata, ka attiecībā uz jebkuru režīmu, kas ļauj izlūkdienestiem pieprasīt materiāla pārtveršanu vai pārtverto materiālu no valstīm, kuras nav līgumslēdzējas valstis, vai arī ļauj tiešu piekļuvi šim materiālam, ir jāīsteno neatkarīga pārraudzība, kā arī jāparedz iespēja veikt neatkarīgu </w:t>
      </w:r>
      <w:proofErr w:type="spellStart"/>
      <w:r>
        <w:rPr>
          <w:rFonts w:ascii="Times New Roman" w:hAnsi="Times New Roman"/>
          <w:i/>
          <w:iCs/>
        </w:rPr>
        <w:t>ex</w:t>
      </w:r>
      <w:proofErr w:type="spellEnd"/>
      <w:r>
        <w:rPr>
          <w:rFonts w:ascii="Times New Roman" w:hAnsi="Times New Roman"/>
          <w:i/>
          <w:iCs/>
        </w:rPr>
        <w:t> post </w:t>
      </w:r>
      <w:proofErr w:type="spellStart"/>
      <w:r>
        <w:rPr>
          <w:rFonts w:ascii="Times New Roman" w:hAnsi="Times New Roman"/>
          <w:i/>
          <w:iCs/>
        </w:rPr>
        <w:t>facto</w:t>
      </w:r>
      <w:proofErr w:type="spellEnd"/>
      <w:r>
        <w:rPr>
          <w:rFonts w:ascii="Times New Roman" w:hAnsi="Times New Roman"/>
        </w:rPr>
        <w:t xml:space="preserve"> pārskatīšanu.</w:t>
      </w:r>
    </w:p>
    <w:p w14:paraId="7E59234E" w14:textId="77777777" w:rsidR="00DA068F" w:rsidRPr="008D031E" w:rsidRDefault="00DA068F" w:rsidP="00DA068F">
      <w:pPr>
        <w:pStyle w:val="JuPara"/>
        <w:widowControl w:val="0"/>
        <w:ind w:firstLine="142"/>
        <w:rPr>
          <w:rFonts w:ascii="Times New Roman" w:hAnsi="Times New Roman" w:cstheme="minorHAnsi"/>
          <w:noProof/>
          <w:lang w:val="en-US"/>
        </w:rPr>
      </w:pPr>
    </w:p>
    <w:bookmarkEnd w:id="273"/>
    <w:p w14:paraId="3CAC7241" w14:textId="77777777" w:rsidR="00DA068F" w:rsidRDefault="00DA068F" w:rsidP="00DA068F">
      <w:pPr>
        <w:pStyle w:val="JuHi"/>
        <w:keepNext w:val="0"/>
        <w:keepLines w:val="0"/>
        <w:widowControl w:val="0"/>
        <w:numPr>
          <w:ilvl w:val="0"/>
          <w:numId w:val="0"/>
        </w:numPr>
        <w:spacing w:before="0" w:beforeAutospacing="0" w:after="0" w:line="240" w:lineRule="auto"/>
        <w:outlineLvl w:val="9"/>
        <w:rPr>
          <w:rFonts w:ascii="Times New Roman" w:hAnsi="Times New Roman"/>
          <w:noProof/>
          <w:sz w:val="24"/>
        </w:rPr>
      </w:pPr>
      <w:r>
        <w:rPr>
          <w:rFonts w:ascii="Times New Roman" w:hAnsi="Times New Roman"/>
          <w:sz w:val="24"/>
        </w:rPr>
        <w:t xml:space="preserve">ii) Šā </w:t>
      </w:r>
      <w:proofErr w:type="spellStart"/>
      <w:r>
        <w:rPr>
          <w:rFonts w:ascii="Times New Roman" w:hAnsi="Times New Roman"/>
          <w:sz w:val="24"/>
        </w:rPr>
        <w:t>izvērtējuma</w:t>
      </w:r>
      <w:proofErr w:type="spellEnd"/>
      <w:r>
        <w:rPr>
          <w:rFonts w:ascii="Times New Roman" w:hAnsi="Times New Roman"/>
          <w:sz w:val="24"/>
        </w:rPr>
        <w:t xml:space="preserve"> piemērošana izskatāmajā lietā</w:t>
      </w:r>
    </w:p>
    <w:p w14:paraId="3EA7F876" w14:textId="77777777" w:rsidR="00DA068F" w:rsidRPr="000C6276" w:rsidRDefault="00DA068F" w:rsidP="00DA068F">
      <w:pPr>
        <w:pStyle w:val="JuPara"/>
        <w:widowControl w:val="0"/>
        <w:rPr>
          <w:lang w:val="en-US" w:bidi="en-US"/>
        </w:rPr>
      </w:pPr>
    </w:p>
    <w:p w14:paraId="4CF3A055"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500. 1946. gada 5. marta Lielbritānijas–ASV līgums par sakaru izlūkošanu konkrēti noteica, ka ir pieļaujama materiāla apmaiņa starp Amerikas Savienotajām Valstīm un Apvienoto Karalisti (skat. iepriekš 103. punktu). Tomēr sīkāku informāciju par izlūkdienestu iekšējiem (jeb iekšēji regulētajiem) noteikumiem izpauda vienīgi “</w:t>
      </w:r>
      <w:proofErr w:type="spellStart"/>
      <w:r>
        <w:rPr>
          <w:rFonts w:ascii="Times New Roman" w:hAnsi="Times New Roman"/>
        </w:rPr>
        <w:t>Liberty</w:t>
      </w:r>
      <w:proofErr w:type="spellEnd"/>
      <w:r>
        <w:rPr>
          <w:rFonts w:ascii="Times New Roman" w:hAnsi="Times New Roman"/>
        </w:rPr>
        <w:t xml:space="preserve">” tiesvedībā (skat. iepriekš 33.–36. punktu). Šī jaunā informācija pēc tam tika iekļauta </w:t>
      </w:r>
      <w:proofErr w:type="spellStart"/>
      <w:r>
        <w:rPr>
          <w:rFonts w:ascii="Times New Roman" w:hAnsi="Times New Roman"/>
          <w:i/>
          <w:iCs/>
        </w:rPr>
        <w:t>IC</w:t>
      </w:r>
      <w:proofErr w:type="spellEnd"/>
      <w:r>
        <w:rPr>
          <w:rFonts w:ascii="Times New Roman" w:hAnsi="Times New Roman"/>
        </w:rPr>
        <w:t xml:space="preserve"> kodeksa 12. nodaļā (skat. iepriekš 116. punktu), kas, kā norādīts iepriekš, bija publisks dokuments, kuru apstiprināja abas parlamenta palātas, un kas bija jāņem vērā gan pārtveršanas pienākumus pildošajām iestādēm, gan tiesām un tribunāliem (skat. iepriekš 93.–94. punktu). Tiesa ir atzinusi, ka </w:t>
      </w:r>
      <w:proofErr w:type="spellStart"/>
      <w:r>
        <w:rPr>
          <w:rFonts w:ascii="Times New Roman" w:hAnsi="Times New Roman"/>
          <w:i/>
          <w:iCs/>
        </w:rPr>
        <w:t>IC</w:t>
      </w:r>
      <w:proofErr w:type="spellEnd"/>
      <w:r>
        <w:rPr>
          <w:rFonts w:ascii="Times New Roman" w:hAnsi="Times New Roman"/>
        </w:rPr>
        <w:t xml:space="preserve"> kodeksa noteikumus var ņemt vērā, izvērtējot </w:t>
      </w:r>
      <w:r>
        <w:rPr>
          <w:rFonts w:ascii="Times New Roman" w:hAnsi="Times New Roman"/>
          <w:i/>
          <w:iCs/>
        </w:rPr>
        <w:t>RIPA</w:t>
      </w:r>
      <w:r>
        <w:rPr>
          <w:rFonts w:ascii="Times New Roman" w:hAnsi="Times New Roman"/>
        </w:rPr>
        <w:t xml:space="preserve"> noteiktā režīma </w:t>
      </w:r>
      <w:proofErr w:type="spellStart"/>
      <w:r>
        <w:rPr>
          <w:rFonts w:ascii="Times New Roman" w:hAnsi="Times New Roman"/>
        </w:rPr>
        <w:t>paredzamību</w:t>
      </w:r>
      <w:proofErr w:type="spellEnd"/>
      <w:r>
        <w:rPr>
          <w:rFonts w:ascii="Times New Roman" w:hAnsi="Times New Roman"/>
        </w:rPr>
        <w:t xml:space="preserve"> (skat. iepriekš minētā sprieduma lietā “Kenedijs” 157. punktu un iepriekš 366. punktu), un ka tam pašam jāattiecas uz </w:t>
      </w:r>
      <w:proofErr w:type="spellStart"/>
      <w:r>
        <w:rPr>
          <w:rFonts w:ascii="Times New Roman" w:hAnsi="Times New Roman"/>
        </w:rPr>
        <w:t>izlūkdatu</w:t>
      </w:r>
      <w:proofErr w:type="spellEnd"/>
      <w:r>
        <w:rPr>
          <w:rFonts w:ascii="Times New Roman" w:hAnsi="Times New Roman"/>
        </w:rPr>
        <w:t xml:space="preserve"> apmaiņas režīmu.</w:t>
      </w:r>
    </w:p>
    <w:p w14:paraId="395AB213"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501. Līdz ar to Tiesa uzskata, ka režīms, kas reglamentē </w:t>
      </w:r>
      <w:proofErr w:type="spellStart"/>
      <w:r>
        <w:rPr>
          <w:rFonts w:ascii="Times New Roman" w:hAnsi="Times New Roman"/>
        </w:rPr>
        <w:t>izlūkdatu</w:t>
      </w:r>
      <w:proofErr w:type="spellEnd"/>
      <w:r>
        <w:rPr>
          <w:rFonts w:ascii="Times New Roman" w:hAnsi="Times New Roman"/>
        </w:rPr>
        <w:t xml:space="preserve"> pieprasīšanu un saņemšanu no valstīm, kuras nav līgumslēdzējas valstis, bija skaidri pamatots attiecīgās valsts tiesību aktos, kuri pēc grozījumu izdarīšanas </w:t>
      </w:r>
      <w:proofErr w:type="spellStart"/>
      <w:r>
        <w:rPr>
          <w:rFonts w:ascii="Times New Roman" w:hAnsi="Times New Roman"/>
          <w:i/>
          <w:iCs/>
        </w:rPr>
        <w:t>IC</w:t>
      </w:r>
      <w:proofErr w:type="spellEnd"/>
      <w:r>
        <w:rPr>
          <w:rFonts w:ascii="Times New Roman" w:hAnsi="Times New Roman"/>
        </w:rPr>
        <w:t xml:space="preserve"> kodeksā bija atbilstoši pieejami. Tā kā šā režīma leģitīmie mērķi, bez šaubām, bija aizsargāt valsts drošību, novērst nekārtības un noziedzību un aizsargāt citu personu tiesības un brīvības, Tiesa turpmāk kopīgi izvērtēs </w:t>
      </w:r>
      <w:proofErr w:type="spellStart"/>
      <w:r>
        <w:rPr>
          <w:rFonts w:ascii="Times New Roman" w:hAnsi="Times New Roman"/>
        </w:rPr>
        <w:t>izlūkdatu</w:t>
      </w:r>
      <w:proofErr w:type="spellEnd"/>
      <w:r>
        <w:rPr>
          <w:rFonts w:ascii="Times New Roman" w:hAnsi="Times New Roman"/>
        </w:rPr>
        <w:t xml:space="preserve"> apmaiņas režīmu atbilstoši tās ierastajai metodoloģijai (skat. iepriekš 334. punktu).</w:t>
      </w:r>
    </w:p>
    <w:p w14:paraId="676E4A88"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502. </w:t>
      </w:r>
      <w:proofErr w:type="spellStart"/>
      <w:r>
        <w:rPr>
          <w:rFonts w:ascii="Times New Roman" w:hAnsi="Times New Roman"/>
          <w:i/>
          <w:iCs/>
        </w:rPr>
        <w:t>IC</w:t>
      </w:r>
      <w:proofErr w:type="spellEnd"/>
      <w:r>
        <w:rPr>
          <w:rFonts w:ascii="Times New Roman" w:hAnsi="Times New Roman"/>
        </w:rPr>
        <w:t xml:space="preserve"> kodeksa 12. nodaļa (skat. iepriekš 116. punktu) paredz tādu pašu pieeju kā pieņemtais valsts tiesiskais regulējums saistībā ar masveida pārtveršanu. Saskaņā ar 12. nodaļu izlūkdienesti varēja iesniegt ārvalsts valdībai pieprasījumu par neanalizētiem pārtvertiem sakariem un/vai saistītiem sakaru datiem vienīgi tad, ja valsts sekretārs jau bija izdevis pārtveršanas orderi saskaņā ar </w:t>
      </w:r>
      <w:r>
        <w:rPr>
          <w:rFonts w:ascii="Times New Roman" w:hAnsi="Times New Roman"/>
          <w:i/>
          <w:iCs/>
        </w:rPr>
        <w:t>RIPA</w:t>
      </w:r>
      <w:r>
        <w:rPr>
          <w:rFonts w:ascii="Times New Roman" w:hAnsi="Times New Roman"/>
        </w:rPr>
        <w:t xml:space="preserve">, ja konkrētu sakaru iegūšanai bija nepieciešama ārvalsts valdības palīdzība, jo tos nebija iespējams iegūt atbilstoši esošajam orderim (skat. </w:t>
      </w:r>
      <w:proofErr w:type="spellStart"/>
      <w:r>
        <w:rPr>
          <w:rFonts w:ascii="Times New Roman" w:hAnsi="Times New Roman"/>
          <w:i/>
          <w:iCs/>
        </w:rPr>
        <w:t>IC</w:t>
      </w:r>
      <w:proofErr w:type="spellEnd"/>
      <w:r>
        <w:rPr>
          <w:rFonts w:ascii="Times New Roman" w:hAnsi="Times New Roman"/>
        </w:rPr>
        <w:t xml:space="preserve"> kodeksa 12.2. punktu iepriekš 116. punktā), un ja šo sakaru iegūšana pārtveršanas aģentūrai bija nepieciešama un samērīga. Šajā nolūkā attiecīgais </w:t>
      </w:r>
      <w:r>
        <w:rPr>
          <w:rFonts w:ascii="Times New Roman" w:hAnsi="Times New Roman"/>
          <w:i/>
          <w:iCs/>
        </w:rPr>
        <w:t>RIPA</w:t>
      </w:r>
      <w:r>
        <w:rPr>
          <w:rFonts w:ascii="Times New Roman" w:hAnsi="Times New Roman"/>
        </w:rPr>
        <w:t xml:space="preserve"> noteiktais pārtveršanas orderis bija vai nu 8. panta 1. punktā noteiktais orderis saistībā ar izvērtējamo jautājumu, 8. panta 4. punktā noteiktais orderis un tam pievienotais apliecinājums, kurā iekļauts viens vai vairāki “pārtvertā materiāla apraksti” saistībā ar subjekta saziņas aktu saturu, vai arī tad, kad par subjektu bija zināms, ka tas atrodas Britu salās, 8. panta 4. punktā noteiktais orderis un tam pievienotais apliecinājums, kurā iekļauts viens vai vairāki “pārtvertā materiāla apraksti” saistībā ar subjekta saziņas aktu saturu, kopā ar atbilstošajām 16. panta 3. punktā veiktajām izmaiņām.</w:t>
      </w:r>
    </w:p>
    <w:p w14:paraId="0D2E3620"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503. Izņēmuma apstākļos, kad nebija izdots </w:t>
      </w:r>
      <w:r>
        <w:rPr>
          <w:rFonts w:ascii="Times New Roman" w:hAnsi="Times New Roman"/>
          <w:i/>
          <w:iCs/>
        </w:rPr>
        <w:t>RIPA</w:t>
      </w:r>
      <w:r>
        <w:rPr>
          <w:rFonts w:ascii="Times New Roman" w:hAnsi="Times New Roman"/>
        </w:rPr>
        <w:t xml:space="preserve"> noteiktais pārtveršanas rīkojums, pieprasījumu attiecībā uz sakariem varēja iesniegt vienīgi tad, ja tas nebija kvalificējams kā apzināta </w:t>
      </w:r>
      <w:r>
        <w:rPr>
          <w:rFonts w:ascii="Times New Roman" w:hAnsi="Times New Roman"/>
          <w:i/>
          <w:iCs/>
        </w:rPr>
        <w:t>RIPA</w:t>
      </w:r>
      <w:r>
        <w:rPr>
          <w:rFonts w:ascii="Times New Roman" w:hAnsi="Times New Roman"/>
        </w:rPr>
        <w:t xml:space="preserve"> apiešana vai tas nekā citādi neietekmēja tā mērķus (piemēram, tādēļ, ka sakaru iegūšana atbilstoši </w:t>
      </w:r>
      <w:r>
        <w:rPr>
          <w:rFonts w:ascii="Times New Roman" w:hAnsi="Times New Roman"/>
          <w:i/>
          <w:iCs/>
        </w:rPr>
        <w:t>RIPA</w:t>
      </w:r>
      <w:r>
        <w:rPr>
          <w:rFonts w:ascii="Times New Roman" w:hAnsi="Times New Roman"/>
        </w:rPr>
        <w:t xml:space="preserve"> nebija tehniski iespējama) un ja pārtveršanas aģentūrai šo sakaru pārtveršana bija nepieciešama un samērīga. Šādā gadījumā valsts sekretāram šis pieprasījums bija jāizvērtē un jāizlemj personīgi un saskaņā ar pārskatīto </w:t>
      </w:r>
      <w:proofErr w:type="spellStart"/>
      <w:r>
        <w:rPr>
          <w:rFonts w:ascii="Times New Roman" w:hAnsi="Times New Roman"/>
          <w:i/>
          <w:iCs/>
        </w:rPr>
        <w:t>IC</w:t>
      </w:r>
      <w:proofErr w:type="spellEnd"/>
      <w:r>
        <w:rPr>
          <w:rFonts w:ascii="Times New Roman" w:hAnsi="Times New Roman"/>
        </w:rPr>
        <w:t xml:space="preserve"> kodeksu par to jāinformē </w:t>
      </w:r>
      <w:proofErr w:type="spellStart"/>
      <w:r>
        <w:rPr>
          <w:rFonts w:ascii="Times New Roman" w:hAnsi="Times New Roman"/>
          <w:i/>
          <w:iCs/>
        </w:rPr>
        <w:t>IC</w:t>
      </w:r>
      <w:proofErr w:type="spellEnd"/>
      <w:r>
        <w:rPr>
          <w:rFonts w:ascii="Times New Roman" w:hAnsi="Times New Roman"/>
        </w:rPr>
        <w:t xml:space="preserve"> komisārs. Saskaņā ar informāciju, kas tika izpausta “</w:t>
      </w:r>
      <w:proofErr w:type="spellStart"/>
      <w:r>
        <w:rPr>
          <w:rFonts w:ascii="Times New Roman" w:hAnsi="Times New Roman"/>
        </w:rPr>
        <w:t>Liberty</w:t>
      </w:r>
      <w:proofErr w:type="spellEnd"/>
      <w:r>
        <w:rPr>
          <w:rFonts w:ascii="Times New Roman" w:hAnsi="Times New Roman"/>
        </w:rPr>
        <w:t xml:space="preserve">” tiesvedībā un apstiprināta Valdības argumentos gan palātā, gan Lielajā palātā, nebija iesniegts neviens pieprasījums par materiāla pārtveršanu apstākļos, kad nebija izdots </w:t>
      </w:r>
      <w:r>
        <w:rPr>
          <w:rFonts w:ascii="Times New Roman" w:hAnsi="Times New Roman"/>
          <w:i/>
          <w:iCs/>
        </w:rPr>
        <w:t>RIPA</w:t>
      </w:r>
      <w:r>
        <w:rPr>
          <w:rFonts w:ascii="Times New Roman" w:hAnsi="Times New Roman"/>
        </w:rPr>
        <w:t xml:space="preserve"> noteiktais orderis (skat. iepriekš </w:t>
      </w:r>
      <w:r>
        <w:rPr>
          <w:rFonts w:ascii="Times New Roman" w:hAnsi="Times New Roman"/>
        </w:rPr>
        <w:lastRenderedPageBreak/>
        <w:t>42. punktu).</w:t>
      </w:r>
    </w:p>
    <w:p w14:paraId="40DF209F"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504. Ņemot vērā iepriekš minēto, Tiesa uzskata, ka valsts tiesību aktos bija noteiktas skaidras tiesību normas, kas ļauj pilsoņiem gūt atbilstošu priekšstatu par apstākļiem un nosacījumiem, kādos iestādes var pieprasīt ārvalstij pārtverto materiālu.</w:t>
      </w:r>
    </w:p>
    <w:p w14:paraId="4AF35A0A"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505. Ja bija izdots 8. panta 1. punktā vai 8. panta 4. punktā noteiktais orderis, tas bija jāapstiprina valsts sekretāram. Proti, no</w:t>
      </w:r>
      <w:r>
        <w:rPr>
          <w:rFonts w:ascii="Times New Roman" w:hAnsi="Times New Roman"/>
          <w:i/>
          <w:iCs/>
        </w:rPr>
        <w:t xml:space="preserve"> </w:t>
      </w:r>
      <w:proofErr w:type="spellStart"/>
      <w:r>
        <w:rPr>
          <w:rFonts w:ascii="Times New Roman" w:hAnsi="Times New Roman"/>
          <w:i/>
          <w:iCs/>
        </w:rPr>
        <w:t>IC</w:t>
      </w:r>
      <w:proofErr w:type="spellEnd"/>
      <w:r>
        <w:rPr>
          <w:rFonts w:ascii="Times New Roman" w:hAnsi="Times New Roman"/>
        </w:rPr>
        <w:t xml:space="preserve"> kodeksa 12.5. punkta, to lasot kopā ar attiecīgo zemsvītras piezīmi, izriet, ka tad, kad pieprasījums balstīts uz kādu esošu orderi, šim pieprasījumam ir jābūt vērstam “uz” konkrētiem selektoriem, “no” tiem jāizriet un jābūt “par” tiem (proti, saistībā ar kādu konkrētu personu vai </w:t>
      </w:r>
      <w:bookmarkStart w:id="274" w:name="_Hlk51850566"/>
      <w:r>
        <w:rPr>
          <w:rFonts w:ascii="Times New Roman" w:hAnsi="Times New Roman"/>
        </w:rPr>
        <w:t>personām</w:t>
      </w:r>
      <w:bookmarkEnd w:id="274"/>
      <w:r>
        <w:rPr>
          <w:rFonts w:ascii="Times New Roman" w:hAnsi="Times New Roman"/>
        </w:rPr>
        <w:t>) un valsts sekretārs jau būtu apstiprinājis pieprasījumu par šo personu saziņas aktu saturu. Lai gan izņēmuma apstākļos pieprasījumu varēja iesniegt tad, ja nebija izdots attiecīgais rīkojums, valsts sekretāram bija personīgi jāapstiprina šis pieprasījums un, ja tas bija balstīts uz konkrētiem selektoriem, personīgi jāizvērtē un jāapstiprina šo saziņas aktu satura pārbaude, atsaucoties uz šādiem faktoriem (skat. iepriekš 116. punktu).</w:t>
      </w:r>
    </w:p>
    <w:p w14:paraId="74D20925" w14:textId="77777777" w:rsidR="00DA068F" w:rsidRPr="008D031E" w:rsidRDefault="00DA068F" w:rsidP="00DA068F">
      <w:pPr>
        <w:pStyle w:val="JuPara"/>
        <w:widowControl w:val="0"/>
        <w:ind w:firstLine="142"/>
        <w:rPr>
          <w:rFonts w:ascii="Times New Roman" w:hAnsi="Times New Roman"/>
          <w:noProof/>
        </w:rPr>
      </w:pPr>
      <w:bookmarkStart w:id="275" w:name="ISAuth"/>
      <w:r>
        <w:rPr>
          <w:rFonts w:ascii="Times New Roman" w:hAnsi="Times New Roman"/>
        </w:rPr>
        <w:t>506</w:t>
      </w:r>
      <w:bookmarkEnd w:id="275"/>
      <w:r>
        <w:rPr>
          <w:rFonts w:ascii="Times New Roman" w:hAnsi="Times New Roman"/>
        </w:rPr>
        <w:t xml:space="preserve">. Tā kā valsts tiesību akti saistībā ar pieprasījumiem par </w:t>
      </w:r>
      <w:proofErr w:type="spellStart"/>
      <w:r>
        <w:rPr>
          <w:rFonts w:ascii="Times New Roman" w:hAnsi="Times New Roman"/>
        </w:rPr>
        <w:t>izlūkdatu</w:t>
      </w:r>
      <w:proofErr w:type="spellEnd"/>
      <w:r>
        <w:rPr>
          <w:rFonts w:ascii="Times New Roman" w:hAnsi="Times New Roman"/>
        </w:rPr>
        <w:t xml:space="preserve"> apmaiņu paredzēja tādu pašu pieeju kā masveida pārtveršanai un valsts tiesību akti konkrēti aizliedza tiesību normu apiešanu, Tiesa nesaskata nepieciešamību atsevišķi izvērtēt atļaujas izsniegšanas procedūru.</w:t>
      </w:r>
    </w:p>
    <w:p w14:paraId="38B5D6A4"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507. Attiecībā uz drošības pasākumiem pieprasītā pārtvertā materiāla pārbaudei, izmantošanai, uzglabāšanai, turpmākai pārraidīšanai, dzēšanai un iznīcināšanai no </w:t>
      </w:r>
      <w:proofErr w:type="spellStart"/>
      <w:r>
        <w:rPr>
          <w:rFonts w:ascii="Times New Roman" w:hAnsi="Times New Roman"/>
          <w:i/>
          <w:iCs/>
        </w:rPr>
        <w:t>IC</w:t>
      </w:r>
      <w:proofErr w:type="spellEnd"/>
      <w:r>
        <w:rPr>
          <w:rFonts w:ascii="Times New Roman" w:hAnsi="Times New Roman"/>
        </w:rPr>
        <w:t xml:space="preserve"> kodeksa 12.6. punkta skaidri izrietēja, ka pārtvertajam saturam vai saistītajiem sakaru datiem, ko Apvienotās Karalistes izlūkdienesti ieguva no citas valsts, bija piemērojami tie paši iekšējie noteikumi un drošības pasākumi, ko piemēroja tās pašas kategorijas saturam vai datiem, kad pārtveršanas aģentūras tos tieši ieguva pārtveršanas ceļā saskaņā ar </w:t>
      </w:r>
      <w:r>
        <w:rPr>
          <w:rFonts w:ascii="Times New Roman" w:hAnsi="Times New Roman"/>
          <w:i/>
          <w:iCs/>
        </w:rPr>
        <w:t>RIPA</w:t>
      </w:r>
      <w:r>
        <w:rPr>
          <w:rFonts w:ascii="Times New Roman" w:hAnsi="Times New Roman"/>
        </w:rPr>
        <w:t xml:space="preserve">. Līdz ar to drošības pasākumi, kuri noteikti </w:t>
      </w:r>
      <w:r>
        <w:rPr>
          <w:rFonts w:ascii="Times New Roman" w:hAnsi="Times New Roman"/>
          <w:i/>
          <w:iCs/>
        </w:rPr>
        <w:t>RIPA</w:t>
      </w:r>
      <w:r>
        <w:rPr>
          <w:rFonts w:ascii="Times New Roman" w:hAnsi="Times New Roman"/>
        </w:rPr>
        <w:t xml:space="preserve"> 15. un 16. pantā, ko papildina </w:t>
      </w:r>
      <w:proofErr w:type="spellStart"/>
      <w:r>
        <w:rPr>
          <w:rFonts w:ascii="Times New Roman" w:hAnsi="Times New Roman"/>
          <w:i/>
          <w:iCs/>
        </w:rPr>
        <w:t>IC</w:t>
      </w:r>
      <w:proofErr w:type="spellEnd"/>
      <w:r>
        <w:rPr>
          <w:rFonts w:ascii="Times New Roman" w:hAnsi="Times New Roman"/>
        </w:rPr>
        <w:t xml:space="preserve"> kodekss, attiecās vienādi uz pārtvertajiem sakariem un sakaru datiem, kas iegūti no ārvalstu izlūkdienestiem, ar nosacījumu, ka materiāls “pats par sevi liecina par to, ka tas ticis pārtverts”.</w:t>
      </w:r>
    </w:p>
    <w:p w14:paraId="32F81158"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508. Tiesa ir izvērtējusi 15. un 16. punktā noteiktos drošības pasākumus saistībā ar masveida pārtveršanas režīmu, un tā guva pārliecību, ka procedūras par iegūtā materiāla uzglabāšanu, piekļuvi, pārbaudi un izmantošanu, materiāla izpaušanu citām pusēm un iegūtā materiāla dzēšanu un iznīcināšanu bija pietiekami skaidras un paredzēja atbilstošu aizsardzību pret pilnvaru ļaunprātīgu izmantošanu (skat. iepriekš 384.–405. punktu). Ņemot vērā iepriekš 498. punktā izklāstītos Tiesas secinājumus, Tiesa norāda, ka </w:t>
      </w:r>
      <w:proofErr w:type="spellStart"/>
      <w:r>
        <w:rPr>
          <w:rFonts w:ascii="Times New Roman" w:hAnsi="Times New Roman"/>
          <w:i/>
          <w:iCs/>
        </w:rPr>
        <w:t>IC</w:t>
      </w:r>
      <w:proofErr w:type="spellEnd"/>
      <w:r>
        <w:rPr>
          <w:rFonts w:ascii="Times New Roman" w:hAnsi="Times New Roman"/>
        </w:rPr>
        <w:t xml:space="preserve"> kodeksa 12.6. punkts neparedz ar </w:t>
      </w:r>
      <w:proofErr w:type="spellStart"/>
      <w:r>
        <w:rPr>
          <w:rFonts w:ascii="Times New Roman" w:hAnsi="Times New Roman"/>
          <w:i/>
          <w:iCs/>
        </w:rPr>
        <w:t>IC</w:t>
      </w:r>
      <w:proofErr w:type="spellEnd"/>
      <w:r>
        <w:rPr>
          <w:rFonts w:ascii="Times New Roman" w:hAnsi="Times New Roman"/>
        </w:rPr>
        <w:t xml:space="preserve"> kodeksu papildinātā </w:t>
      </w:r>
      <w:r>
        <w:rPr>
          <w:rFonts w:ascii="Times New Roman" w:hAnsi="Times New Roman"/>
          <w:i/>
          <w:iCs/>
        </w:rPr>
        <w:t>RIPA</w:t>
      </w:r>
      <w:r>
        <w:rPr>
          <w:rFonts w:ascii="Times New Roman" w:hAnsi="Times New Roman"/>
        </w:rPr>
        <w:t xml:space="preserve"> 15. un 16. pantā noteikto drošības pasākumu attiecināšanu uz visu no ārvalstu izlūkdienestiem saņemto materiālu, kas varētu būt pārtverts, paredzot to attiecināšanu vienīgi uz materiālu, kas pats par sevi liecina par pārtveršanu, tomēr Tiesa neuzskata, ka no šā apstākļa vien būtu atkarīga </w:t>
      </w:r>
      <w:proofErr w:type="spellStart"/>
      <w:r>
        <w:rPr>
          <w:rFonts w:ascii="Times New Roman" w:hAnsi="Times New Roman"/>
        </w:rPr>
        <w:t>izlūkdatu</w:t>
      </w:r>
      <w:proofErr w:type="spellEnd"/>
      <w:r>
        <w:rPr>
          <w:rFonts w:ascii="Times New Roman" w:hAnsi="Times New Roman"/>
        </w:rPr>
        <w:t xml:space="preserve"> apmaiņas režīma atbilstība 8. pantam.</w:t>
      </w:r>
    </w:p>
    <w:p w14:paraId="71BE268C"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509. 8. panta 4. punktā noteiktā režīma kontekstā Tiesai radās bažas par to, ka uz saistītajiem sakaru datiem neattiecas 16. pantā noteiktie drošības pasākumi. Tomēr 8. panta 4. punktā noteiktā režīma ietvaros valsts varēja pārtvert, uzglabāt un meklēt visas to sakaru paketes, ko pārraida konkrēti nesēji. Tādējādi tas, ka uz saistītajiem sakaru datiem vispārīgi neattiecās 16. pantā noteiktie drošības pasākumi, nozīmēja, ka izlūkdienesti acīmredzot bez jebkādiem ierobežojumiem bija varējuši meklēt visus šos datus neatkarīgi no tā, vai tiem bija izlūkošanas vērtība. Tomēr saskaņā ar </w:t>
      </w:r>
      <w:proofErr w:type="spellStart"/>
      <w:r>
        <w:rPr>
          <w:rFonts w:ascii="Times New Roman" w:hAnsi="Times New Roman"/>
          <w:i/>
          <w:iCs/>
        </w:rPr>
        <w:t>IC</w:t>
      </w:r>
      <w:proofErr w:type="spellEnd"/>
      <w:r>
        <w:rPr>
          <w:rFonts w:ascii="Times New Roman" w:hAnsi="Times New Roman"/>
        </w:rPr>
        <w:t xml:space="preserve"> kodeksa 12. nodaļu izlūkdienesti masveidā nepieprasīja saturu un saistītos sakaru datus. No</w:t>
      </w:r>
      <w:r>
        <w:rPr>
          <w:rFonts w:ascii="Times New Roman" w:hAnsi="Times New Roman"/>
          <w:i/>
          <w:iCs/>
        </w:rPr>
        <w:t xml:space="preserve"> </w:t>
      </w:r>
      <w:proofErr w:type="spellStart"/>
      <w:r>
        <w:rPr>
          <w:rFonts w:ascii="Times New Roman" w:hAnsi="Times New Roman"/>
          <w:i/>
          <w:iCs/>
        </w:rPr>
        <w:t>IC</w:t>
      </w:r>
      <w:proofErr w:type="spellEnd"/>
      <w:r>
        <w:rPr>
          <w:rFonts w:ascii="Times New Roman" w:hAnsi="Times New Roman"/>
        </w:rPr>
        <w:t xml:space="preserve"> kodeksa 12.5. punkta, to lasot kopā ar attiecīgo zemsvītras piezīmi, izriet, ka tad, ja pieprasījums balstīts uz kādu esošu orderi, šim pieprasījumam ir jābūt vērstam “uz” konkrētiem selektoriem, “no” tiem jāizriet un jābūt “par” tiem (proti, konkrētām personām) un valsts sekretārs jau būtu apstiprinājis pieprasījumu par šo personu saziņas aktu saturu. Lai gan izņēmuma apstākļos pieprasījumu varēja iesniegt tad, ja rīkojums nebija izdots, valsts sekretāram bija personīgi jāapstiprina šis pieprasījums un, ja tas bija balstīts uz konkrētiem selektoriem, personīgi jāizvērtē un jāapstiprina šo sakaru pārbaude, atsaucoties uz </w:t>
      </w:r>
      <w:r>
        <w:rPr>
          <w:rFonts w:ascii="Times New Roman" w:hAnsi="Times New Roman"/>
        </w:rPr>
        <w:lastRenderedPageBreak/>
        <w:t xml:space="preserve">minētajiem faktoriem. Ja pieprasījums neattiecās uz konkrētiem selektoriem, jebkurus turpmāk iegūtos sakarus nevarēja pārbaudīt atbilstoši faktoram, kas attiecināms uz kādu personu, par kuru zināms, ka tā atradās Britu salās, ja vien valsts sekretārs nebija apstiprinājis šo sakaru pārbaudi (skat. iepriekš 116. punktu). Citiem vārdiem, izlūkdienesti pieprasīja </w:t>
      </w:r>
      <w:proofErr w:type="spellStart"/>
      <w:r>
        <w:rPr>
          <w:rFonts w:ascii="Times New Roman" w:hAnsi="Times New Roman"/>
        </w:rPr>
        <w:t>izlūkdatus</w:t>
      </w:r>
      <w:proofErr w:type="spellEnd"/>
      <w:r>
        <w:rPr>
          <w:rFonts w:ascii="Times New Roman" w:hAnsi="Times New Roman"/>
        </w:rPr>
        <w:t xml:space="preserve"> par kādu personu, attiecībā uz kuru valsts sekretārs tās saziņas aktu satura iegūšanu jau bija atzinis par nepieciešamu un samērīgu, vai arī iegūtajam materiālam tika piemērots 16. pantā noteiktais drošības pasākums. Tā kā iepriekš vēl nav iesniegts neviens pieprasījums apstākļos, kad nav izdots orderis, šķiet, ka līdz šim visi pieprasījumi ir ietilpuši pirmajā kategorijā.</w:t>
      </w:r>
    </w:p>
    <w:p w14:paraId="26D9B0F0"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510. Līdz ar to Tiesa uzskata, ka Apvienotajā Karalistē bija ieviesti atbilstoši drošības pasākumi no izlūkošanas partneriem saņemtā satura un sakaru datu pārbaudei, izmantošanai un uzglabāšanai, šā materiāla turpmākai pārraidīšanai, kā arī tā dzēšanai un iznīcināšanai.</w:t>
      </w:r>
    </w:p>
    <w:p w14:paraId="0865A635"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511. Visbeidzot, Tiesa norāda, ka </w:t>
      </w:r>
      <w:proofErr w:type="spellStart"/>
      <w:r>
        <w:rPr>
          <w:rFonts w:ascii="Times New Roman" w:hAnsi="Times New Roman"/>
          <w:i/>
          <w:iCs/>
        </w:rPr>
        <w:t>IC</w:t>
      </w:r>
      <w:proofErr w:type="spellEnd"/>
      <w:r>
        <w:rPr>
          <w:rFonts w:ascii="Times New Roman" w:hAnsi="Times New Roman"/>
        </w:rPr>
        <w:t xml:space="preserve"> komisārs un</w:t>
      </w:r>
      <w:r>
        <w:rPr>
          <w:rFonts w:ascii="Times New Roman" w:hAnsi="Times New Roman"/>
          <w:i/>
          <w:iCs/>
        </w:rPr>
        <w:t xml:space="preserve"> </w:t>
      </w:r>
      <w:proofErr w:type="spellStart"/>
      <w:r>
        <w:rPr>
          <w:rFonts w:ascii="Times New Roman" w:hAnsi="Times New Roman"/>
          <w:i/>
          <w:iCs/>
        </w:rPr>
        <w:t>IPT</w:t>
      </w:r>
      <w:proofErr w:type="spellEnd"/>
      <w:r>
        <w:rPr>
          <w:rFonts w:ascii="Times New Roman" w:hAnsi="Times New Roman"/>
        </w:rPr>
        <w:t xml:space="preserve"> bija nodrošinājuši papildu aizsardzības līmeni (skat. iepriekš 41. punktu). </w:t>
      </w:r>
      <w:proofErr w:type="spellStart"/>
      <w:r>
        <w:rPr>
          <w:rFonts w:ascii="Times New Roman" w:hAnsi="Times New Roman"/>
          <w:i/>
          <w:iCs/>
        </w:rPr>
        <w:t>IC</w:t>
      </w:r>
      <w:proofErr w:type="spellEnd"/>
      <w:r>
        <w:rPr>
          <w:rFonts w:ascii="Times New Roman" w:hAnsi="Times New Roman"/>
        </w:rPr>
        <w:t xml:space="preserve"> komisārs bija pārraudzījis </w:t>
      </w:r>
      <w:proofErr w:type="spellStart"/>
      <w:r>
        <w:rPr>
          <w:rFonts w:ascii="Times New Roman" w:hAnsi="Times New Roman"/>
        </w:rPr>
        <w:t>izlūkdatu</w:t>
      </w:r>
      <w:proofErr w:type="spellEnd"/>
      <w:r>
        <w:rPr>
          <w:rFonts w:ascii="Times New Roman" w:hAnsi="Times New Roman"/>
        </w:rPr>
        <w:t xml:space="preserve"> apmaiņas režīmu, proti, </w:t>
      </w:r>
      <w:proofErr w:type="spellStart"/>
      <w:r>
        <w:rPr>
          <w:rFonts w:ascii="Times New Roman" w:hAnsi="Times New Roman"/>
          <w:i/>
          <w:iCs/>
        </w:rPr>
        <w:t>IC</w:t>
      </w:r>
      <w:proofErr w:type="spellEnd"/>
      <w:r>
        <w:rPr>
          <w:rFonts w:ascii="Times New Roman" w:hAnsi="Times New Roman"/>
        </w:rPr>
        <w:t xml:space="preserve"> kodeksa 12.7. punkts (skat. iepriekš 116. punktu) noteica, ka viņš ir jāinformē par visiem pieprasījumiem, kas iesniegti apstākļos, kad nav izdots rīkojums, turklāt viņš jau uzraudzīja rīkojumu piešķiršanu un to, kā izlūkdienesti uzglabā materiālu.</w:t>
      </w:r>
    </w:p>
    <w:p w14:paraId="3EA5E984"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512. Līdzās </w:t>
      </w:r>
      <w:proofErr w:type="spellStart"/>
      <w:r>
        <w:rPr>
          <w:rFonts w:ascii="Times New Roman" w:hAnsi="Times New Roman"/>
          <w:i/>
          <w:iCs/>
        </w:rPr>
        <w:t>IC</w:t>
      </w:r>
      <w:proofErr w:type="spellEnd"/>
      <w:r>
        <w:rPr>
          <w:rFonts w:ascii="Times New Roman" w:hAnsi="Times New Roman"/>
        </w:rPr>
        <w:t xml:space="preserve"> komisāra veiktajai pārraudzībai </w:t>
      </w:r>
      <w:proofErr w:type="spellStart"/>
      <w:r>
        <w:rPr>
          <w:rFonts w:ascii="Times New Roman" w:hAnsi="Times New Roman"/>
          <w:i/>
          <w:iCs/>
        </w:rPr>
        <w:t>IPT</w:t>
      </w:r>
      <w:proofErr w:type="spellEnd"/>
      <w:r>
        <w:rPr>
          <w:rFonts w:ascii="Times New Roman" w:hAnsi="Times New Roman"/>
        </w:rPr>
        <w:t xml:space="preserve"> veica </w:t>
      </w:r>
      <w:proofErr w:type="spellStart"/>
      <w:r>
        <w:rPr>
          <w:rFonts w:ascii="Times New Roman" w:hAnsi="Times New Roman"/>
        </w:rPr>
        <w:t>izlūkdatu</w:t>
      </w:r>
      <w:proofErr w:type="spellEnd"/>
      <w:r>
        <w:rPr>
          <w:rFonts w:ascii="Times New Roman" w:hAnsi="Times New Roman"/>
        </w:rPr>
        <w:t xml:space="preserve"> apmaiņas režīma </w:t>
      </w:r>
      <w:proofErr w:type="spellStart"/>
      <w:r>
        <w:rPr>
          <w:rFonts w:ascii="Times New Roman" w:hAnsi="Times New Roman"/>
          <w:i/>
          <w:iCs/>
        </w:rPr>
        <w:t>ex</w:t>
      </w:r>
      <w:proofErr w:type="spellEnd"/>
      <w:r>
        <w:rPr>
          <w:rFonts w:ascii="Times New Roman" w:hAnsi="Times New Roman"/>
          <w:i/>
          <w:iCs/>
        </w:rPr>
        <w:t xml:space="preserve"> post </w:t>
      </w:r>
      <w:proofErr w:type="spellStart"/>
      <w:r>
        <w:rPr>
          <w:rFonts w:ascii="Times New Roman" w:hAnsi="Times New Roman"/>
          <w:i/>
          <w:iCs/>
        </w:rPr>
        <w:t>facto</w:t>
      </w:r>
      <w:proofErr w:type="spellEnd"/>
      <w:r>
        <w:rPr>
          <w:rFonts w:ascii="Times New Roman" w:hAnsi="Times New Roman"/>
        </w:rPr>
        <w:t xml:space="preserve"> pārskatīšanu. Kā izriet no “</w:t>
      </w:r>
      <w:proofErr w:type="spellStart"/>
      <w:r>
        <w:rPr>
          <w:rFonts w:ascii="Times New Roman" w:hAnsi="Times New Roman"/>
        </w:rPr>
        <w:t>Liberty</w:t>
      </w:r>
      <w:proofErr w:type="spellEnd"/>
      <w:r>
        <w:rPr>
          <w:rFonts w:ascii="Times New Roman" w:hAnsi="Times New Roman"/>
        </w:rPr>
        <w:t xml:space="preserve">” tiesvedības, </w:t>
      </w:r>
      <w:proofErr w:type="spellStart"/>
      <w:r>
        <w:rPr>
          <w:rFonts w:ascii="Times New Roman" w:hAnsi="Times New Roman"/>
          <w:i/>
          <w:iCs/>
        </w:rPr>
        <w:t>IPT</w:t>
      </w:r>
      <w:proofErr w:type="spellEnd"/>
      <w:r>
        <w:rPr>
          <w:rFonts w:ascii="Times New Roman" w:hAnsi="Times New Roman"/>
        </w:rPr>
        <w:t xml:space="preserve"> varēja vērsties ikviens, kurš vēlējās iesniegt konkrētu vai vispārīgu sūdzību par </w:t>
      </w:r>
      <w:proofErr w:type="spellStart"/>
      <w:r>
        <w:rPr>
          <w:rFonts w:ascii="Times New Roman" w:hAnsi="Times New Roman"/>
        </w:rPr>
        <w:t>izlūkdatu</w:t>
      </w:r>
      <w:proofErr w:type="spellEnd"/>
      <w:r>
        <w:rPr>
          <w:rFonts w:ascii="Times New Roman" w:hAnsi="Times New Roman"/>
        </w:rPr>
        <w:t xml:space="preserve"> apmaiņas režīmu, savukārt </w:t>
      </w:r>
      <w:proofErr w:type="spellStart"/>
      <w:r>
        <w:rPr>
          <w:rFonts w:ascii="Times New Roman" w:hAnsi="Times New Roman"/>
          <w:i/>
          <w:iCs/>
        </w:rPr>
        <w:t>IPT</w:t>
      </w:r>
      <w:proofErr w:type="spellEnd"/>
      <w:r>
        <w:rPr>
          <w:rFonts w:ascii="Times New Roman" w:hAnsi="Times New Roman"/>
        </w:rPr>
        <w:t xml:space="preserve"> varēja pārbaudīt gan ārēji, gan iekšēji regulētos noteikumus, lai izvērtētu režīma atbilstību Konvencijai.</w:t>
      </w:r>
    </w:p>
    <w:p w14:paraId="7DFC3182"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513. Līdz ar to Tiesa uzskata, ka pārtvertā materiāla pieprasīšanas un saņemšanas režīms atbilda Konvencijas 8. pantam. Bija ieviesti skaidri un detalizēti noteikumi, kas sniedza pilsoņiem atbilstošu priekšstatu par apstākļiem un nosacījumiem, kādos iestādes bija pilnvarotas iesniegt pieprasījumu ārvalstu izlūkdienestam; valsts tiesību akti paredzēja efektīvas garantijas pret šādu pieprasījumu izmantošanu, lai apietu valsts tiesību aktus un/vai Apvienotās Karalistes pienākumus saskaņā ar Konvenciju; Apvienotajā Karalistē bija ieviesti atbilstoši drošības pasākumi materiāla pārbaudei, izmantošanai, uzglabāšanai, turpmākai pārraidīšanai, dzēšanai un iznīcināšanai, savukārt </w:t>
      </w:r>
      <w:proofErr w:type="spellStart"/>
      <w:r>
        <w:rPr>
          <w:rFonts w:ascii="Times New Roman" w:hAnsi="Times New Roman"/>
          <w:i/>
          <w:iCs/>
        </w:rPr>
        <w:t>IC</w:t>
      </w:r>
      <w:proofErr w:type="spellEnd"/>
      <w:r>
        <w:rPr>
          <w:rFonts w:ascii="Times New Roman" w:hAnsi="Times New Roman"/>
        </w:rPr>
        <w:t xml:space="preserve"> komisārs attiecībā uz režīmu veica neatkarīgu pārraudzību, kā arī bija paredzēta iespēja, ka </w:t>
      </w:r>
      <w:proofErr w:type="spellStart"/>
      <w:r>
        <w:rPr>
          <w:rFonts w:ascii="Times New Roman" w:hAnsi="Times New Roman"/>
          <w:i/>
          <w:iCs/>
        </w:rPr>
        <w:t>IPT</w:t>
      </w:r>
      <w:proofErr w:type="spellEnd"/>
      <w:r>
        <w:rPr>
          <w:rFonts w:ascii="Times New Roman" w:hAnsi="Times New Roman"/>
        </w:rPr>
        <w:t xml:space="preserve"> veic </w:t>
      </w:r>
      <w:proofErr w:type="spellStart"/>
      <w:r>
        <w:rPr>
          <w:rFonts w:ascii="Times New Roman" w:hAnsi="Times New Roman"/>
          <w:i/>
          <w:iCs/>
        </w:rPr>
        <w:t>ex</w:t>
      </w:r>
      <w:proofErr w:type="spellEnd"/>
      <w:r>
        <w:rPr>
          <w:rFonts w:ascii="Times New Roman" w:hAnsi="Times New Roman"/>
          <w:i/>
          <w:iCs/>
        </w:rPr>
        <w:t xml:space="preserve"> post </w:t>
      </w:r>
      <w:proofErr w:type="spellStart"/>
      <w:r>
        <w:rPr>
          <w:rFonts w:ascii="Times New Roman" w:hAnsi="Times New Roman"/>
          <w:i/>
          <w:iCs/>
        </w:rPr>
        <w:t>facto</w:t>
      </w:r>
      <w:proofErr w:type="spellEnd"/>
      <w:r>
        <w:rPr>
          <w:rFonts w:ascii="Times New Roman" w:hAnsi="Times New Roman"/>
        </w:rPr>
        <w:t xml:space="preserve"> pārskatīšanu.</w:t>
      </w:r>
    </w:p>
    <w:p w14:paraId="4F045025" w14:textId="77777777" w:rsidR="00DA068F" w:rsidRDefault="00DA068F" w:rsidP="00DA068F">
      <w:pPr>
        <w:pStyle w:val="JuPara"/>
        <w:widowControl w:val="0"/>
        <w:ind w:firstLine="142"/>
        <w:rPr>
          <w:rFonts w:ascii="Times New Roman" w:eastAsia="Times New Roman" w:hAnsi="Times New Roman" w:cs="Times New Roman"/>
          <w:noProof/>
        </w:rPr>
      </w:pPr>
      <w:r>
        <w:rPr>
          <w:rFonts w:ascii="Times New Roman" w:hAnsi="Times New Roman"/>
        </w:rPr>
        <w:t>514. Līdz ar to nav pārkāpts Konvencijas 8. pants.</w:t>
      </w:r>
    </w:p>
    <w:p w14:paraId="73838876" w14:textId="77777777" w:rsidR="00DA068F" w:rsidRPr="008D031E" w:rsidRDefault="00DA068F" w:rsidP="00DA068F">
      <w:pPr>
        <w:pStyle w:val="JuPara"/>
        <w:widowControl w:val="0"/>
        <w:ind w:firstLine="142"/>
        <w:rPr>
          <w:rFonts w:ascii="Times New Roman" w:hAnsi="Times New Roman"/>
          <w:noProof/>
          <w:lang w:val="en-US"/>
        </w:rPr>
      </w:pPr>
    </w:p>
    <w:p w14:paraId="1816FBB9" w14:textId="77777777" w:rsidR="00DA068F" w:rsidRDefault="00DA068F" w:rsidP="00DA068F">
      <w:pPr>
        <w:pStyle w:val="JuHA"/>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B. Konvencijas 10. pants</w:t>
      </w:r>
    </w:p>
    <w:p w14:paraId="44C3AE91" w14:textId="77777777" w:rsidR="00DA068F" w:rsidRPr="000C6276" w:rsidRDefault="00DA068F" w:rsidP="00DA068F">
      <w:pPr>
        <w:pStyle w:val="JuPara"/>
        <w:widowControl w:val="0"/>
        <w:rPr>
          <w:lang w:val="en-US"/>
        </w:rPr>
      </w:pPr>
    </w:p>
    <w:p w14:paraId="220CB9A8"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515. Pieteikuma iesniedzēji trešajā no apvienotajām lietām arī bija izvirzījuši sūdzību par to, ka </w:t>
      </w:r>
      <w:proofErr w:type="spellStart"/>
      <w:r>
        <w:rPr>
          <w:rFonts w:ascii="Times New Roman" w:hAnsi="Times New Roman"/>
        </w:rPr>
        <w:t>izlūkdatu</w:t>
      </w:r>
      <w:proofErr w:type="spellEnd"/>
      <w:r>
        <w:rPr>
          <w:rFonts w:ascii="Times New Roman" w:hAnsi="Times New Roman"/>
        </w:rPr>
        <w:t xml:space="preserve"> apmaiņas režīma izmantošanas rezultātā tika pārkāptas viņu tiesības, kas paredzētas Konvencijas 10. pantā. Ciktāl šī sūdzība attiecās uz viņu kā NVO darbību, palāta to atzina par nepieņemamu, pamatojoties uz to, ka pieteikuma iesniedzēji nebija izsmēluši iekšējos tiesiskās aizsardzības līdzekļus, jo viņi sūdzību valsts tiesvedībā bija izvirzījuši pārāk vēlu, lai to varētu izskatīt (skat. palātas sprieduma 473. punktu). Tādējādi šis sūdzības aspekts ir ārpus Lielās palātas pārbaudes kompetences.</w:t>
      </w:r>
    </w:p>
    <w:p w14:paraId="5D3B38B9" w14:textId="77777777" w:rsidR="00DA068F" w:rsidRDefault="00DA068F" w:rsidP="00DA068F">
      <w:pPr>
        <w:pStyle w:val="JuPara"/>
        <w:widowControl w:val="0"/>
        <w:ind w:firstLine="142"/>
        <w:rPr>
          <w:rFonts w:ascii="Times New Roman" w:eastAsia="Times New Roman" w:hAnsi="Times New Roman" w:cs="Times New Roman"/>
          <w:noProof/>
        </w:rPr>
      </w:pPr>
      <w:bookmarkStart w:id="276" w:name="ASS2"/>
      <w:r>
        <w:rPr>
          <w:rFonts w:ascii="Times New Roman" w:hAnsi="Times New Roman"/>
        </w:rPr>
        <w:t>516</w:t>
      </w:r>
      <w:bookmarkEnd w:id="276"/>
      <w:r>
        <w:rPr>
          <w:rFonts w:ascii="Times New Roman" w:hAnsi="Times New Roman"/>
        </w:rPr>
        <w:t xml:space="preserve">. Pieteikuma iesniedzēji trešajā no apvienotajām lietām izvirzīja arī vispārīgāku sūdzību par </w:t>
      </w:r>
      <w:proofErr w:type="spellStart"/>
      <w:r>
        <w:rPr>
          <w:rFonts w:ascii="Times New Roman" w:hAnsi="Times New Roman"/>
        </w:rPr>
        <w:t>izlūkdatu</w:t>
      </w:r>
      <w:proofErr w:type="spellEnd"/>
      <w:r>
        <w:rPr>
          <w:rFonts w:ascii="Times New Roman" w:hAnsi="Times New Roman"/>
        </w:rPr>
        <w:t xml:space="preserve"> apmaiņas režīma atbilstību 10. pantam. Lai gan šis arguments </w:t>
      </w:r>
      <w:proofErr w:type="spellStart"/>
      <w:r>
        <w:rPr>
          <w:rFonts w:ascii="Times New Roman" w:hAnsi="Times New Roman"/>
          <w:i/>
          <w:iCs/>
        </w:rPr>
        <w:t>IPT</w:t>
      </w:r>
      <w:proofErr w:type="spellEnd"/>
      <w:r>
        <w:rPr>
          <w:rFonts w:ascii="Times New Roman" w:hAnsi="Times New Roman"/>
        </w:rPr>
        <w:t xml:space="preserve"> tika izvirzīts savlaicīgi, Tiesa piekrīt palātai, ka šis arguments nav iemesls, lai to aplūkotu kā atsevišķu jautājumu papildus tam, kas izriet no Konvencijas 8. panta. Līdz ar to tā uzskata, ka arī šajā jautājumā nav pārkāpts Konvencijas 10. pants.</w:t>
      </w:r>
    </w:p>
    <w:p w14:paraId="43FBF11E" w14:textId="77777777" w:rsidR="00DA068F" w:rsidRPr="008D031E" w:rsidRDefault="00DA068F" w:rsidP="00DA068F">
      <w:pPr>
        <w:pStyle w:val="JuPara"/>
        <w:widowControl w:val="0"/>
        <w:ind w:firstLine="0"/>
        <w:rPr>
          <w:rFonts w:ascii="Times New Roman" w:eastAsia="Times New Roman" w:hAnsi="Times New Roman" w:cs="Times New Roman"/>
          <w:noProof/>
          <w:lang w:val="en-US"/>
        </w:rPr>
      </w:pPr>
    </w:p>
    <w:p w14:paraId="335DD28F" w14:textId="77777777" w:rsidR="00DA068F" w:rsidRDefault="00DA068F" w:rsidP="00F8047C">
      <w:pPr>
        <w:pStyle w:val="JuHIRoman"/>
        <w:widowControl w:val="0"/>
        <w:numPr>
          <w:ilvl w:val="0"/>
          <w:numId w:val="0"/>
        </w:numPr>
        <w:spacing w:before="0" w:beforeAutospacing="0" w:after="0"/>
        <w:outlineLvl w:val="9"/>
        <w:rPr>
          <w:rFonts w:ascii="Times New Roman" w:hAnsi="Times New Roman"/>
          <w:caps w:val="0"/>
          <w:noProof/>
        </w:rPr>
      </w:pPr>
      <w:r>
        <w:rPr>
          <w:rFonts w:ascii="Times New Roman" w:hAnsi="Times New Roman"/>
          <w:caps w:val="0"/>
        </w:rPr>
        <w:lastRenderedPageBreak/>
        <w:t>IV. SAKARU DATU IEGŪŠANA NO SAKARU PAKALPOJUMU SNIEDZĒJIEM</w:t>
      </w:r>
    </w:p>
    <w:p w14:paraId="31637671" w14:textId="77777777" w:rsidR="00DA068F" w:rsidRPr="000C6276" w:rsidRDefault="00DA068F" w:rsidP="00F8047C">
      <w:pPr>
        <w:pStyle w:val="JuPara"/>
        <w:keepNext/>
        <w:keepLines/>
        <w:widowControl w:val="0"/>
        <w:rPr>
          <w:lang w:val="en-US"/>
        </w:rPr>
      </w:pPr>
    </w:p>
    <w:p w14:paraId="4FC39342" w14:textId="77777777" w:rsidR="00DA068F" w:rsidRDefault="00DA068F" w:rsidP="00F8047C">
      <w:pPr>
        <w:pStyle w:val="JuHA"/>
        <w:widowControl w:val="0"/>
        <w:numPr>
          <w:ilvl w:val="0"/>
          <w:numId w:val="0"/>
        </w:numPr>
        <w:spacing w:before="0" w:beforeAutospacing="0" w:after="0"/>
        <w:outlineLvl w:val="9"/>
        <w:rPr>
          <w:rFonts w:ascii="Times New Roman" w:hAnsi="Times New Roman"/>
          <w:noProof/>
        </w:rPr>
      </w:pPr>
      <w:r>
        <w:rPr>
          <w:rFonts w:ascii="Times New Roman" w:hAnsi="Times New Roman"/>
        </w:rPr>
        <w:t>A. Konvencijas 8. pants</w:t>
      </w:r>
    </w:p>
    <w:p w14:paraId="1CF52C63" w14:textId="77777777" w:rsidR="00DA068F" w:rsidRPr="002C1C08" w:rsidRDefault="00DA068F" w:rsidP="00F8047C">
      <w:pPr>
        <w:pStyle w:val="JuPara"/>
        <w:keepNext/>
        <w:keepLines/>
        <w:widowControl w:val="0"/>
        <w:rPr>
          <w:lang w:val="en-US"/>
        </w:rPr>
      </w:pPr>
    </w:p>
    <w:p w14:paraId="04B48A8A" w14:textId="77777777" w:rsidR="00DA068F" w:rsidRDefault="00DA068F" w:rsidP="00F8047C">
      <w:pPr>
        <w:pStyle w:val="JuPara"/>
        <w:keepNext/>
        <w:keepLines/>
        <w:widowControl w:val="0"/>
        <w:ind w:firstLine="142"/>
        <w:rPr>
          <w:rFonts w:ascii="Times New Roman" w:hAnsi="Times New Roman"/>
          <w:noProof/>
        </w:rPr>
      </w:pPr>
      <w:r>
        <w:rPr>
          <w:rFonts w:ascii="Times New Roman" w:hAnsi="Times New Roman"/>
        </w:rPr>
        <w:t xml:space="preserve">517. Pieteikuma iesniedzēji otrajā no apvienotajām lietām izvirzīja sūdzību, ka režīms, kas paredz sakaru datu iegūšanu saskaņā ar </w:t>
      </w:r>
      <w:r>
        <w:rPr>
          <w:rFonts w:ascii="Times New Roman" w:hAnsi="Times New Roman"/>
          <w:i/>
          <w:iCs/>
        </w:rPr>
        <w:t>RIPA</w:t>
      </w:r>
      <w:r>
        <w:rPr>
          <w:rFonts w:ascii="Times New Roman" w:hAnsi="Times New Roman"/>
        </w:rPr>
        <w:t xml:space="preserve"> II nodaļu, neatbilda viņu tiesībām, kas paredzētas Konvencijas 8. pantā.</w:t>
      </w:r>
    </w:p>
    <w:p w14:paraId="1D3388EE" w14:textId="77777777" w:rsidR="00DA068F" w:rsidRPr="008D031E" w:rsidRDefault="00DA068F" w:rsidP="00DA068F">
      <w:pPr>
        <w:pStyle w:val="JuPara"/>
        <w:widowControl w:val="0"/>
        <w:ind w:firstLine="0"/>
        <w:rPr>
          <w:rFonts w:ascii="Times New Roman" w:hAnsi="Times New Roman"/>
          <w:noProof/>
          <w:lang w:val="en-US"/>
        </w:rPr>
      </w:pPr>
    </w:p>
    <w:p w14:paraId="5D18E029" w14:textId="77777777" w:rsidR="00DA068F" w:rsidRDefault="00DA068F" w:rsidP="00DA068F">
      <w:pPr>
        <w:pStyle w:val="JuH1"/>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1. Palātas spriedums</w:t>
      </w:r>
    </w:p>
    <w:p w14:paraId="1E5C6C99" w14:textId="77777777" w:rsidR="00DA068F" w:rsidRPr="002C1C08" w:rsidRDefault="00DA068F" w:rsidP="00DA068F">
      <w:pPr>
        <w:pStyle w:val="JuPara"/>
        <w:widowControl w:val="0"/>
        <w:rPr>
          <w:lang w:val="en-US"/>
        </w:rPr>
      </w:pPr>
    </w:p>
    <w:p w14:paraId="5ABEEC0B"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518. Dienā, kad palāta izskatīja lietu, Apvienotās Karalistes valdība īstenoja atbilstošo procesu, lai aizstātu pašreizējo tiesisko režīmu, kas reglamentē slepenās uzraudzības veikšanu, ar jauno </w:t>
      </w:r>
      <w:proofErr w:type="spellStart"/>
      <w:r>
        <w:rPr>
          <w:rFonts w:ascii="Times New Roman" w:hAnsi="Times New Roman"/>
          <w:i/>
          <w:iCs/>
        </w:rPr>
        <w:t>IPA</w:t>
      </w:r>
      <w:proofErr w:type="spellEnd"/>
      <w:r>
        <w:rPr>
          <w:rFonts w:ascii="Times New Roman" w:hAnsi="Times New Roman"/>
        </w:rPr>
        <w:t>. “</w:t>
      </w:r>
      <w:proofErr w:type="spellStart"/>
      <w:r>
        <w:rPr>
          <w:rFonts w:ascii="Times New Roman" w:hAnsi="Times New Roman"/>
        </w:rPr>
        <w:t>Liberty</w:t>
      </w:r>
      <w:proofErr w:type="spellEnd"/>
      <w:r>
        <w:rPr>
          <w:rFonts w:ascii="Times New Roman" w:hAnsi="Times New Roman"/>
        </w:rPr>
        <w:t xml:space="preserve">” valsts tiesvedībā apstrīdēja tiesību normas jaunajā tiesiskajā regulējumā, kas noteica kārtību, kādā </w:t>
      </w:r>
      <w:proofErr w:type="spellStart"/>
      <w:r>
        <w:rPr>
          <w:rFonts w:ascii="Times New Roman" w:hAnsi="Times New Roman"/>
        </w:rPr>
        <w:t>SPS</w:t>
      </w:r>
      <w:proofErr w:type="spellEnd"/>
      <w:r>
        <w:rPr>
          <w:rFonts w:ascii="Times New Roman" w:hAnsi="Times New Roman"/>
        </w:rPr>
        <w:t xml:space="preserve"> saglabā sakaru datus. Šajā tiesvedībā Valdība atzina, ka attiecīgā tiesību norma bija pretrunā ar ES tiesību aktu prasībām. Līdz ar to Augstā tiesa atzina 4. daļu par tādu, kas nav saderīga ar ES </w:t>
      </w:r>
      <w:proofErr w:type="spellStart"/>
      <w:r>
        <w:rPr>
          <w:rFonts w:ascii="Times New Roman" w:hAnsi="Times New Roman"/>
        </w:rPr>
        <w:t>pamattiesībām</w:t>
      </w:r>
      <w:proofErr w:type="spellEnd"/>
      <w:r>
        <w:rPr>
          <w:rFonts w:ascii="Times New Roman" w:hAnsi="Times New Roman"/>
        </w:rPr>
        <w:t>, jo krimināltiesību jomā iestādes nepiekļuva saglabātajiem datiem vienīgi “smaga nozieguma” apkarošanas nolūkā, turklāt piekļuvi saglabātajiem datiem iepriekš nepārskatīja tiesa vai kāda neatkarīga pārvaldes struktūra.</w:t>
      </w:r>
    </w:p>
    <w:p w14:paraId="69724041" w14:textId="77777777" w:rsidR="00DA068F" w:rsidRDefault="00DA068F" w:rsidP="00DA068F">
      <w:pPr>
        <w:pStyle w:val="JuPara"/>
        <w:widowControl w:val="0"/>
        <w:ind w:firstLine="142"/>
        <w:rPr>
          <w:rFonts w:ascii="Times New Roman" w:hAnsi="Times New Roman"/>
          <w:noProof/>
        </w:rPr>
      </w:pPr>
      <w:r>
        <w:rPr>
          <w:rFonts w:ascii="Times New Roman" w:hAnsi="Times New Roman"/>
        </w:rPr>
        <w:t xml:space="preserve">519. Ņemot vērā gan ES tiesību aktu pārākumu pār Apvienotās Karalistes tiesību aktiem, gan Valdības piekāpšanos valsts tiesvedībā tam, ka </w:t>
      </w:r>
      <w:proofErr w:type="spellStart"/>
      <w:r>
        <w:rPr>
          <w:rFonts w:ascii="Times New Roman" w:hAnsi="Times New Roman"/>
          <w:i/>
          <w:iCs/>
        </w:rPr>
        <w:t>IPA</w:t>
      </w:r>
      <w:proofErr w:type="spellEnd"/>
      <w:r>
        <w:rPr>
          <w:rFonts w:ascii="Times New Roman" w:hAnsi="Times New Roman"/>
        </w:rPr>
        <w:t xml:space="preserve"> tiesību normas, kas noteica kārtību, kādā </w:t>
      </w:r>
      <w:proofErr w:type="spellStart"/>
      <w:r>
        <w:rPr>
          <w:rFonts w:ascii="Times New Roman" w:hAnsi="Times New Roman"/>
        </w:rPr>
        <w:t>SPS</w:t>
      </w:r>
      <w:proofErr w:type="spellEnd"/>
      <w:r>
        <w:rPr>
          <w:rFonts w:ascii="Times New Roman" w:hAnsi="Times New Roman"/>
        </w:rPr>
        <w:t xml:space="preserve"> saglabā sakaru datus, nebija saderīgas ar ES tiesību aktiem, palātas ieskatā bija “skaidrs”, ka valsts tiesību akti paredzēja, ka jebkuru režīmu, kas ļauj iestādēm piekļūt </w:t>
      </w:r>
      <w:proofErr w:type="spellStart"/>
      <w:r>
        <w:rPr>
          <w:rFonts w:ascii="Times New Roman" w:hAnsi="Times New Roman"/>
        </w:rPr>
        <w:t>SPS</w:t>
      </w:r>
      <w:proofErr w:type="spellEnd"/>
      <w:r>
        <w:rPr>
          <w:rFonts w:ascii="Times New Roman" w:hAnsi="Times New Roman"/>
        </w:rPr>
        <w:t xml:space="preserve"> saglabātajiem datiem, atļauts izmantot vienīgi “smaga nozieguma” apkarošanas nolūkā un ka šāda piekļuve iepriekš ir jāpārskata tiesai vai kādai neatkarīgai pārvaldes struktūrai. Tā kā iepriekšējam režīmam bija raksturīgi tādi paši “trūkumi” kā pēc tam ieviestajam režīmam, palāta atzina, ka to Konvencijas 8. panta nozīmē nevarēja uzskatīt par tādu, kas darbojas saskaņā ar likumu (skat. palātas sprieduma 465.–468. punktu).</w:t>
      </w:r>
    </w:p>
    <w:p w14:paraId="5F17EAC8" w14:textId="77777777" w:rsidR="00DA068F" w:rsidRPr="008D031E" w:rsidRDefault="00DA068F" w:rsidP="00DA068F">
      <w:pPr>
        <w:pStyle w:val="JuPara"/>
        <w:widowControl w:val="0"/>
        <w:ind w:firstLine="142"/>
        <w:rPr>
          <w:rFonts w:ascii="Times New Roman" w:hAnsi="Times New Roman"/>
          <w:noProof/>
          <w:lang w:val="en-US"/>
        </w:rPr>
      </w:pPr>
    </w:p>
    <w:p w14:paraId="3396ED73" w14:textId="77777777" w:rsidR="00DA068F" w:rsidRDefault="00DA068F" w:rsidP="00DA068F">
      <w:pPr>
        <w:pStyle w:val="JuH1"/>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2. Lietas dalībnieku argumenti</w:t>
      </w:r>
    </w:p>
    <w:p w14:paraId="402012BE" w14:textId="77777777" w:rsidR="00DA068F" w:rsidRPr="00135333" w:rsidRDefault="00DA068F" w:rsidP="00DA068F">
      <w:pPr>
        <w:pStyle w:val="JuPara"/>
        <w:widowControl w:val="0"/>
        <w:rPr>
          <w:lang w:val="en-US"/>
        </w:rPr>
      </w:pPr>
    </w:p>
    <w:p w14:paraId="297BE52E" w14:textId="77777777" w:rsidR="00DA068F" w:rsidRDefault="00DA068F" w:rsidP="00DA068F">
      <w:pPr>
        <w:pStyle w:val="JuPara"/>
        <w:widowControl w:val="0"/>
        <w:ind w:firstLine="142"/>
        <w:rPr>
          <w:rFonts w:ascii="Times New Roman" w:hAnsi="Times New Roman"/>
          <w:noProof/>
        </w:rPr>
      </w:pPr>
      <w:r>
        <w:rPr>
          <w:rFonts w:ascii="Times New Roman" w:hAnsi="Times New Roman"/>
        </w:rPr>
        <w:t>520. Lietas dalībnieki Lielajā palātā saistībā ar šo sūdzību neizvirzīja citus argumentus.</w:t>
      </w:r>
    </w:p>
    <w:p w14:paraId="1113ED9B" w14:textId="77777777" w:rsidR="00DA068F" w:rsidRPr="008D031E" w:rsidRDefault="00DA068F" w:rsidP="00DA068F">
      <w:pPr>
        <w:pStyle w:val="JuPara"/>
        <w:widowControl w:val="0"/>
        <w:ind w:firstLine="0"/>
        <w:rPr>
          <w:rFonts w:ascii="Times New Roman" w:hAnsi="Times New Roman"/>
          <w:noProof/>
          <w:lang w:val="en-US"/>
        </w:rPr>
      </w:pPr>
    </w:p>
    <w:p w14:paraId="448F0942" w14:textId="77777777" w:rsidR="00DA068F" w:rsidRDefault="00DA068F" w:rsidP="00DA068F">
      <w:pPr>
        <w:pStyle w:val="JuH1"/>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3. Tiesas vērtējums</w:t>
      </w:r>
    </w:p>
    <w:p w14:paraId="3E62FA6D" w14:textId="77777777" w:rsidR="00DA068F" w:rsidRPr="00135333" w:rsidRDefault="00DA068F" w:rsidP="00DA068F">
      <w:pPr>
        <w:pStyle w:val="JuPara"/>
        <w:widowControl w:val="0"/>
        <w:rPr>
          <w:lang w:val="en-US"/>
        </w:rPr>
      </w:pPr>
    </w:p>
    <w:p w14:paraId="762DEC14"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521. Valdība Lielajā palātā neapstrīdēja palātas secinājumus. Turklāt Lielā palāta nesaskata iemeslu, kādēļ nepiekrist palātas secinājumiem.</w:t>
      </w:r>
    </w:p>
    <w:p w14:paraId="5AC6BC37" w14:textId="77777777" w:rsidR="00DA068F" w:rsidRDefault="00DA068F" w:rsidP="00DA068F">
      <w:pPr>
        <w:pStyle w:val="JuPara"/>
        <w:widowControl w:val="0"/>
        <w:ind w:firstLine="142"/>
        <w:rPr>
          <w:rFonts w:ascii="Times New Roman" w:hAnsi="Times New Roman"/>
          <w:noProof/>
        </w:rPr>
      </w:pPr>
      <w:r>
        <w:rPr>
          <w:rFonts w:ascii="Times New Roman" w:hAnsi="Times New Roman"/>
        </w:rPr>
        <w:t xml:space="preserve">522. Līdz ar to Tiesa uzskata, ka izskatāmajā lietā tika pārkāpts Konvencijas 8. pants, pamatojoties uz to, ka režīms atbilstoši </w:t>
      </w:r>
      <w:r>
        <w:rPr>
          <w:rFonts w:ascii="Times New Roman" w:hAnsi="Times New Roman"/>
          <w:i/>
          <w:iCs/>
        </w:rPr>
        <w:t>RIPA</w:t>
      </w:r>
      <w:r>
        <w:rPr>
          <w:rFonts w:ascii="Times New Roman" w:hAnsi="Times New Roman"/>
        </w:rPr>
        <w:t xml:space="preserve"> II nodaļai nebija īstenots “saskaņā ar likumu”.</w:t>
      </w:r>
    </w:p>
    <w:p w14:paraId="152F7B0D" w14:textId="77777777" w:rsidR="00DA068F" w:rsidRPr="008D031E" w:rsidRDefault="00DA068F" w:rsidP="00DA068F">
      <w:pPr>
        <w:pStyle w:val="JuPara"/>
        <w:widowControl w:val="0"/>
        <w:ind w:firstLine="0"/>
        <w:rPr>
          <w:rFonts w:ascii="Times New Roman" w:hAnsi="Times New Roman"/>
          <w:noProof/>
          <w:lang w:val="en-US"/>
        </w:rPr>
      </w:pPr>
    </w:p>
    <w:p w14:paraId="599058DE" w14:textId="77777777" w:rsidR="00DA068F" w:rsidRDefault="00DA068F" w:rsidP="00DA068F">
      <w:pPr>
        <w:pStyle w:val="JuHA"/>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B. Konvencijas 10. pants</w:t>
      </w:r>
    </w:p>
    <w:p w14:paraId="11AE30DE" w14:textId="77777777" w:rsidR="00DA068F" w:rsidRPr="00A676E4" w:rsidRDefault="00DA068F" w:rsidP="00DA068F">
      <w:pPr>
        <w:pStyle w:val="JuPara"/>
        <w:widowControl w:val="0"/>
        <w:rPr>
          <w:lang w:val="en-US"/>
        </w:rPr>
      </w:pPr>
    </w:p>
    <w:p w14:paraId="62955D8F" w14:textId="77777777" w:rsidR="00DA068F" w:rsidRDefault="00DA068F" w:rsidP="00DA068F">
      <w:pPr>
        <w:pStyle w:val="JuPara"/>
        <w:widowControl w:val="0"/>
        <w:ind w:firstLine="142"/>
        <w:rPr>
          <w:rFonts w:ascii="Times New Roman" w:hAnsi="Times New Roman"/>
          <w:noProof/>
        </w:rPr>
      </w:pPr>
      <w:r>
        <w:rPr>
          <w:rFonts w:ascii="Times New Roman" w:hAnsi="Times New Roman"/>
        </w:rPr>
        <w:t xml:space="preserve">523. Pieteikuma iesniedzēji otrajā no apvienotajām lietām arīdzan izvirzīja sūdzību saskaņā ar Konvencijas 10. pantu saistībā ar režīmu, kas paredz sakaru datu iegūšanu no </w:t>
      </w:r>
      <w:proofErr w:type="spellStart"/>
      <w:r>
        <w:rPr>
          <w:rFonts w:ascii="Times New Roman" w:hAnsi="Times New Roman"/>
        </w:rPr>
        <w:t>SPS</w:t>
      </w:r>
      <w:proofErr w:type="spellEnd"/>
      <w:r>
        <w:rPr>
          <w:rFonts w:ascii="Times New Roman" w:hAnsi="Times New Roman"/>
        </w:rPr>
        <w:t>.</w:t>
      </w:r>
    </w:p>
    <w:p w14:paraId="17331789" w14:textId="77777777" w:rsidR="00DA068F" w:rsidRPr="008D031E" w:rsidRDefault="00DA068F" w:rsidP="00DA068F">
      <w:pPr>
        <w:pStyle w:val="JuPara"/>
        <w:widowControl w:val="0"/>
        <w:ind w:firstLine="0"/>
        <w:rPr>
          <w:rFonts w:ascii="Times New Roman" w:hAnsi="Times New Roman"/>
          <w:noProof/>
          <w:lang w:val="en-US"/>
        </w:rPr>
      </w:pPr>
    </w:p>
    <w:p w14:paraId="1E1A9B6B" w14:textId="77777777" w:rsidR="00DA068F" w:rsidRDefault="00DA068F" w:rsidP="004F6448">
      <w:pPr>
        <w:pStyle w:val="JuH1"/>
        <w:widowControl w:val="0"/>
        <w:numPr>
          <w:ilvl w:val="0"/>
          <w:numId w:val="0"/>
        </w:numPr>
        <w:spacing w:before="0" w:beforeAutospacing="0" w:after="0"/>
        <w:outlineLvl w:val="9"/>
        <w:rPr>
          <w:rFonts w:ascii="Times New Roman" w:hAnsi="Times New Roman"/>
          <w:noProof/>
        </w:rPr>
      </w:pPr>
      <w:r>
        <w:rPr>
          <w:rFonts w:ascii="Times New Roman" w:hAnsi="Times New Roman"/>
        </w:rPr>
        <w:lastRenderedPageBreak/>
        <w:t>1. Palātas spriedums</w:t>
      </w:r>
    </w:p>
    <w:p w14:paraId="7DC917A2" w14:textId="77777777" w:rsidR="00DA068F" w:rsidRPr="00A676E4" w:rsidRDefault="00DA068F" w:rsidP="004F6448">
      <w:pPr>
        <w:pStyle w:val="JuPara"/>
        <w:keepNext/>
        <w:keepLines/>
        <w:widowControl w:val="0"/>
        <w:rPr>
          <w:lang w:val="en-US"/>
        </w:rPr>
      </w:pPr>
    </w:p>
    <w:p w14:paraId="269C91CC" w14:textId="77777777" w:rsidR="00DA068F" w:rsidRPr="008D031E" w:rsidRDefault="00DA068F" w:rsidP="004F6448">
      <w:pPr>
        <w:pStyle w:val="JuPara"/>
        <w:keepNext/>
        <w:keepLines/>
        <w:widowControl w:val="0"/>
        <w:ind w:firstLine="142"/>
        <w:rPr>
          <w:rFonts w:ascii="Times New Roman" w:hAnsi="Times New Roman"/>
          <w:noProof/>
        </w:rPr>
      </w:pPr>
      <w:r>
        <w:rPr>
          <w:rFonts w:ascii="Times New Roman" w:hAnsi="Times New Roman"/>
        </w:rPr>
        <w:t>524. Palāta atzina, ka II nodaļā noteiktais režīms paredzēja labākus aizsardzības mehānismus tad, ja datus pieprasīja žurnālista avota identificēšanas nolūkā. Proti, Sakaru datu ieguves prakses kodeksa 3.77. punkts paredzēja, ka tad, ja pieteikuma mērķis bija noteikt žurnālistikas informācijas avotu, tam bija jāatbilst primārajai prasībai par rīcību sabiedrības interesēs, turklāt šim pieteikumam bija jāpiemēro 1984. gada Likumā par policiju un pierādījumiem krimināllietās [</w:t>
      </w:r>
      <w:proofErr w:type="spellStart"/>
      <w:r>
        <w:rPr>
          <w:rFonts w:ascii="Times New Roman" w:hAnsi="Times New Roman"/>
          <w:i/>
          <w:iCs/>
        </w:rPr>
        <w:t>Police</w:t>
      </w:r>
      <w:proofErr w:type="spellEnd"/>
      <w:r>
        <w:rPr>
          <w:rFonts w:ascii="Times New Roman" w:hAnsi="Times New Roman"/>
          <w:i/>
          <w:iCs/>
        </w:rPr>
        <w:t xml:space="preserve"> </w:t>
      </w:r>
      <w:proofErr w:type="spellStart"/>
      <w:r>
        <w:rPr>
          <w:rFonts w:ascii="Times New Roman" w:hAnsi="Times New Roman"/>
          <w:i/>
          <w:iCs/>
        </w:rPr>
        <w:t>and</w:t>
      </w:r>
      <w:proofErr w:type="spellEnd"/>
      <w:r>
        <w:rPr>
          <w:rFonts w:ascii="Times New Roman" w:hAnsi="Times New Roman"/>
          <w:i/>
          <w:iCs/>
        </w:rPr>
        <w:t xml:space="preserve"> </w:t>
      </w:r>
      <w:proofErr w:type="spellStart"/>
      <w:r>
        <w:rPr>
          <w:rFonts w:ascii="Times New Roman" w:hAnsi="Times New Roman"/>
          <w:i/>
          <w:iCs/>
        </w:rPr>
        <w:t>Criminal</w:t>
      </w:r>
      <w:proofErr w:type="spellEnd"/>
      <w:r>
        <w:rPr>
          <w:rFonts w:ascii="Times New Roman" w:hAnsi="Times New Roman"/>
          <w:i/>
          <w:iCs/>
        </w:rPr>
        <w:t xml:space="preserve"> </w:t>
      </w:r>
      <w:proofErr w:type="spellStart"/>
      <w:r>
        <w:rPr>
          <w:rFonts w:ascii="Times New Roman" w:hAnsi="Times New Roman"/>
          <w:i/>
          <w:iCs/>
        </w:rPr>
        <w:t>Evidence</w:t>
      </w:r>
      <w:proofErr w:type="spellEnd"/>
      <w:r>
        <w:rPr>
          <w:rFonts w:ascii="Times New Roman" w:hAnsi="Times New Roman"/>
          <w:i/>
          <w:iCs/>
        </w:rPr>
        <w:t xml:space="preserve"> </w:t>
      </w:r>
      <w:proofErr w:type="spellStart"/>
      <w:r>
        <w:rPr>
          <w:rFonts w:ascii="Times New Roman" w:hAnsi="Times New Roman"/>
          <w:i/>
          <w:iCs/>
        </w:rPr>
        <w:t>Act</w:t>
      </w:r>
      <w:proofErr w:type="spellEnd"/>
      <w:r>
        <w:rPr>
          <w:rFonts w:ascii="Times New Roman" w:hAnsi="Times New Roman"/>
          <w:i/>
          <w:iCs/>
        </w:rPr>
        <w:t xml:space="preserve"> 1984</w:t>
      </w:r>
      <w:r>
        <w:rPr>
          <w:rFonts w:ascii="Times New Roman" w:hAnsi="Times New Roman"/>
        </w:rPr>
        <w:t>] (turpmāk tekstā – “</w:t>
      </w:r>
      <w:proofErr w:type="spellStart"/>
      <w:r>
        <w:rPr>
          <w:rFonts w:ascii="Times New Roman" w:hAnsi="Times New Roman"/>
          <w:i/>
          <w:iCs/>
        </w:rPr>
        <w:t>PACE</w:t>
      </w:r>
      <w:proofErr w:type="spellEnd"/>
      <w:r>
        <w:rPr>
          <w:rFonts w:ascii="Times New Roman" w:hAnsi="Times New Roman"/>
        </w:rPr>
        <w:t xml:space="preserve">”) noteiktā kārtība, lai lūgtu tiesu izdot uzrādīšanas rīkojumu šo datu iegūšanai. Saskaņā ar </w:t>
      </w:r>
      <w:proofErr w:type="spellStart"/>
      <w:r>
        <w:rPr>
          <w:rFonts w:ascii="Times New Roman" w:hAnsi="Times New Roman"/>
          <w:i/>
          <w:iCs/>
        </w:rPr>
        <w:t>PACE</w:t>
      </w:r>
      <w:proofErr w:type="spellEnd"/>
      <w:r>
        <w:rPr>
          <w:rFonts w:ascii="Times New Roman" w:hAnsi="Times New Roman"/>
        </w:rPr>
        <w:t xml:space="preserve"> 1. papildinājumu pieteikumu uzrādīšanas rīkojuma izdošanai iesniedza tiesnesim, un tad, ja pieteikums attiecās uz materiālu, ko veido žurnālistikas materiāls vai kas šādu materiālu ietver, pieteikums bija jāiesniedz</w:t>
      </w:r>
      <w:r>
        <w:rPr>
          <w:rFonts w:ascii="Times New Roman" w:hAnsi="Times New Roman"/>
          <w:i/>
          <w:iCs/>
        </w:rPr>
        <w:t xml:space="preserve"> </w:t>
      </w:r>
      <w:proofErr w:type="spellStart"/>
      <w:r>
        <w:rPr>
          <w:rFonts w:ascii="Times New Roman" w:hAnsi="Times New Roman"/>
          <w:i/>
          <w:iCs/>
        </w:rPr>
        <w:t>inter</w:t>
      </w:r>
      <w:proofErr w:type="spellEnd"/>
      <w:r>
        <w:rPr>
          <w:rFonts w:ascii="Times New Roman" w:hAnsi="Times New Roman"/>
          <w:i/>
          <w:iCs/>
        </w:rPr>
        <w:t> </w:t>
      </w:r>
      <w:proofErr w:type="spellStart"/>
      <w:r>
        <w:rPr>
          <w:rFonts w:ascii="Times New Roman" w:hAnsi="Times New Roman"/>
          <w:i/>
          <w:iCs/>
        </w:rPr>
        <w:t>partes</w:t>
      </w:r>
      <w:proofErr w:type="spellEnd"/>
      <w:r>
        <w:rPr>
          <w:rFonts w:ascii="Times New Roman" w:hAnsi="Times New Roman"/>
        </w:rPr>
        <w:t>. Iekšēju atļauju varēja izmantot vienīgi tad, kad tika uzskatīts, ka pastāvēja tūlītējs risks cilvēka dzīvībai un ka tiesas atļaujas izsniegšanas procesam raksturīgā kavēšanās varēja apdraudēt personas dzīvību (skat. palātas sprieduma 498. punktu).</w:t>
      </w:r>
    </w:p>
    <w:p w14:paraId="5F9200F8" w14:textId="77777777" w:rsidR="00DA068F" w:rsidRDefault="00DA068F" w:rsidP="00DA068F">
      <w:pPr>
        <w:pStyle w:val="JuPara"/>
        <w:widowControl w:val="0"/>
        <w:ind w:firstLine="142"/>
        <w:rPr>
          <w:rFonts w:ascii="Times New Roman" w:hAnsi="Times New Roman"/>
          <w:noProof/>
        </w:rPr>
      </w:pPr>
      <w:r>
        <w:rPr>
          <w:rFonts w:ascii="Times New Roman" w:hAnsi="Times New Roman"/>
        </w:rPr>
        <w:t>525. Tomēr šīs tiesību normas piemēroja vienīgi tad, kad pieteikuma mērķis bija avota noteikšana; tās nebija piemērojamas visos gadījumos, kad tika pieprasīti žurnālista sakaru dati vai bija iespējama netieša iejaukšanās. Turklāt gadījumos, kad tika pieprasīta piekļuve žurnālista sakaru datiem, nebija noteiktas īpašas tiesību normas, kas ļautu tiem piekļūt vienīgi “smaga nozieguma” apkarošanas nolūkā. Līdz ar to palāta uzskatīja, ka attiecībā uz sūdzību, kas izvirzīta saskaņā ar 10. pantu, režīms nebija īstenots “saskaņā ar likumu” (skat. palātas sprieduma 496.–499. punktu).</w:t>
      </w:r>
    </w:p>
    <w:p w14:paraId="7F3C1D54" w14:textId="77777777" w:rsidR="00DA068F" w:rsidRPr="008D031E" w:rsidRDefault="00DA068F" w:rsidP="00DA068F">
      <w:pPr>
        <w:pStyle w:val="JuPara"/>
        <w:widowControl w:val="0"/>
        <w:ind w:firstLine="142"/>
        <w:rPr>
          <w:rFonts w:ascii="Times New Roman" w:hAnsi="Times New Roman"/>
          <w:noProof/>
          <w:lang w:val="en-US"/>
        </w:rPr>
      </w:pPr>
    </w:p>
    <w:p w14:paraId="403E2DA8" w14:textId="77777777" w:rsidR="00DA068F" w:rsidRDefault="00DA068F" w:rsidP="00DA068F">
      <w:pPr>
        <w:pStyle w:val="JuH1"/>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2. Lietas dalībnieku argumenti</w:t>
      </w:r>
    </w:p>
    <w:p w14:paraId="2C6A4F8A" w14:textId="77777777" w:rsidR="00DA068F" w:rsidRPr="00A676E4" w:rsidRDefault="00DA068F" w:rsidP="00DA068F">
      <w:pPr>
        <w:pStyle w:val="JuPara"/>
        <w:widowControl w:val="0"/>
        <w:rPr>
          <w:lang w:val="en-US"/>
        </w:rPr>
      </w:pPr>
    </w:p>
    <w:p w14:paraId="057A1BE1" w14:textId="77777777" w:rsidR="00DA068F" w:rsidRDefault="00DA068F" w:rsidP="00DA068F">
      <w:pPr>
        <w:pStyle w:val="JuPara"/>
        <w:widowControl w:val="0"/>
        <w:ind w:firstLine="142"/>
        <w:rPr>
          <w:rFonts w:ascii="Times New Roman" w:hAnsi="Times New Roman"/>
          <w:noProof/>
        </w:rPr>
      </w:pPr>
      <w:r>
        <w:rPr>
          <w:rFonts w:ascii="Times New Roman" w:hAnsi="Times New Roman"/>
        </w:rPr>
        <w:t>526. Lietas dalībnieki Lielajā palātā saistībā ar šo sūdzību neizvirzīja citus argumentus.</w:t>
      </w:r>
    </w:p>
    <w:p w14:paraId="388C49CD" w14:textId="77777777" w:rsidR="00DA068F" w:rsidRPr="008D031E" w:rsidRDefault="00DA068F" w:rsidP="00DA068F">
      <w:pPr>
        <w:pStyle w:val="JuPara"/>
        <w:widowControl w:val="0"/>
        <w:ind w:firstLine="0"/>
        <w:rPr>
          <w:rFonts w:ascii="Times New Roman" w:hAnsi="Times New Roman"/>
          <w:noProof/>
          <w:lang w:val="en-US"/>
        </w:rPr>
      </w:pPr>
    </w:p>
    <w:p w14:paraId="78F806C0" w14:textId="77777777" w:rsidR="00DA068F" w:rsidRDefault="00DA068F" w:rsidP="00DA068F">
      <w:pPr>
        <w:pStyle w:val="JuH1"/>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3. Tiesas vērtējums</w:t>
      </w:r>
    </w:p>
    <w:p w14:paraId="5E27E650" w14:textId="77777777" w:rsidR="00DA068F" w:rsidRPr="00A676E4" w:rsidRDefault="00DA068F" w:rsidP="00DA068F">
      <w:pPr>
        <w:pStyle w:val="JuPara"/>
        <w:widowControl w:val="0"/>
        <w:rPr>
          <w:lang w:val="en-US"/>
        </w:rPr>
      </w:pPr>
    </w:p>
    <w:p w14:paraId="3BBB80ED"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527. Valdība Lielajā palātā neapstrīdēja palātas secinājumus. Turklāt Lielā palāta nesaskata iemeslu, kādēļ nepiekrist palātas secinājumiem.</w:t>
      </w:r>
    </w:p>
    <w:p w14:paraId="234DD339" w14:textId="77777777" w:rsidR="00DA068F" w:rsidRDefault="00DA068F" w:rsidP="00DA068F">
      <w:pPr>
        <w:pStyle w:val="JuPara"/>
        <w:widowControl w:val="0"/>
        <w:ind w:firstLine="142"/>
        <w:rPr>
          <w:rFonts w:ascii="Times New Roman" w:hAnsi="Times New Roman"/>
          <w:noProof/>
        </w:rPr>
      </w:pPr>
      <w:r>
        <w:rPr>
          <w:rFonts w:ascii="Times New Roman" w:hAnsi="Times New Roman"/>
        </w:rPr>
        <w:t xml:space="preserve">528. Līdz ar to Tiesa uzskata, ka izskatāmajā lietā tika pārkāpts arī Konvencijas 10. pants, pamatojoties uz to, ka režīms atbilstoši </w:t>
      </w:r>
      <w:r>
        <w:rPr>
          <w:rFonts w:ascii="Times New Roman" w:hAnsi="Times New Roman"/>
          <w:i/>
          <w:iCs/>
        </w:rPr>
        <w:t>RIPA</w:t>
      </w:r>
      <w:r>
        <w:rPr>
          <w:rFonts w:ascii="Times New Roman" w:hAnsi="Times New Roman"/>
        </w:rPr>
        <w:t xml:space="preserve"> II nodaļai nebija īstenots “saskaņā ar likumu”.</w:t>
      </w:r>
    </w:p>
    <w:p w14:paraId="7BAD045A" w14:textId="77777777" w:rsidR="00DA068F" w:rsidRPr="008D031E" w:rsidRDefault="00DA068F" w:rsidP="00DA068F">
      <w:pPr>
        <w:pStyle w:val="JuPara"/>
        <w:widowControl w:val="0"/>
        <w:ind w:firstLine="0"/>
        <w:rPr>
          <w:rFonts w:ascii="Times New Roman" w:hAnsi="Times New Roman"/>
          <w:noProof/>
          <w:lang w:val="en-US"/>
        </w:rPr>
      </w:pPr>
    </w:p>
    <w:p w14:paraId="378CD7F3" w14:textId="77777777" w:rsidR="00DA068F" w:rsidRDefault="00DA068F" w:rsidP="00DA068F">
      <w:pPr>
        <w:pStyle w:val="JuHIRoman"/>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V. KONVENCIJAS 41. PANTA PIEMĒROŠANA</w:t>
      </w:r>
    </w:p>
    <w:p w14:paraId="31454471" w14:textId="77777777" w:rsidR="00DA068F" w:rsidRPr="00A676E4" w:rsidRDefault="00DA068F" w:rsidP="00DA068F">
      <w:pPr>
        <w:pStyle w:val="JuPara"/>
        <w:widowControl w:val="0"/>
        <w:rPr>
          <w:lang w:val="en-US"/>
        </w:rPr>
      </w:pPr>
    </w:p>
    <w:p w14:paraId="495F819C" w14:textId="77777777" w:rsidR="00DA068F" w:rsidRDefault="00DA068F" w:rsidP="00DA068F">
      <w:pPr>
        <w:pStyle w:val="JuPara"/>
        <w:widowControl w:val="0"/>
        <w:ind w:firstLine="142"/>
        <w:rPr>
          <w:rFonts w:ascii="Times New Roman" w:hAnsi="Times New Roman"/>
          <w:noProof/>
        </w:rPr>
      </w:pPr>
      <w:r>
        <w:rPr>
          <w:rFonts w:ascii="Times New Roman" w:hAnsi="Times New Roman"/>
        </w:rPr>
        <w:t>529. Konvencijas 41. pantā ir noteikts:</w:t>
      </w:r>
    </w:p>
    <w:p w14:paraId="6FFC205A" w14:textId="77777777" w:rsidR="00DA068F" w:rsidRPr="008D031E" w:rsidRDefault="00DA068F" w:rsidP="00DA068F">
      <w:pPr>
        <w:pStyle w:val="JuPara"/>
        <w:widowControl w:val="0"/>
        <w:ind w:firstLine="0"/>
        <w:rPr>
          <w:rFonts w:ascii="Times New Roman" w:hAnsi="Times New Roman"/>
          <w:noProof/>
          <w:lang w:val="en-US"/>
        </w:rPr>
      </w:pPr>
    </w:p>
    <w:p w14:paraId="3671FF01" w14:textId="77777777" w:rsidR="00DA068F" w:rsidRDefault="00DA068F" w:rsidP="00DA068F">
      <w:pPr>
        <w:pStyle w:val="JuQuot"/>
        <w:widowControl w:val="0"/>
        <w:spacing w:before="0" w:after="0"/>
        <w:ind w:left="284" w:firstLine="0"/>
        <w:rPr>
          <w:rFonts w:ascii="Times New Roman" w:hAnsi="Times New Roman"/>
          <w:noProof/>
          <w:sz w:val="24"/>
        </w:rPr>
      </w:pPr>
      <w:r>
        <w:rPr>
          <w:rFonts w:ascii="Times New Roman" w:hAnsi="Times New Roman"/>
          <w:sz w:val="24"/>
        </w:rPr>
        <w:t>“Ja Tiesa konstatē, ka ir noticis Konvencijas un tās protokolu pārkāpums, un ja attiecīgās Augstās Līgumslēdzējas puses iekšējā likumdošana pieļauj, ka tiek veikta tikai daļēja šā pārkāpuma seku labošana, Tiesa, ja nepieciešams, cietušajai pusei piedāvā taisnīgu kompensāciju.”</w:t>
      </w:r>
    </w:p>
    <w:p w14:paraId="4E5088D4" w14:textId="77777777" w:rsidR="00DA068F" w:rsidRPr="008D031E" w:rsidRDefault="00DA068F" w:rsidP="00DA068F">
      <w:pPr>
        <w:pStyle w:val="JuQuot"/>
        <w:widowControl w:val="0"/>
        <w:spacing w:before="0" w:after="0"/>
        <w:ind w:left="0" w:firstLine="0"/>
        <w:rPr>
          <w:rFonts w:ascii="Times New Roman" w:hAnsi="Times New Roman"/>
          <w:noProof/>
          <w:sz w:val="24"/>
          <w:lang w:val="en-US"/>
        </w:rPr>
      </w:pPr>
    </w:p>
    <w:p w14:paraId="029E0117" w14:textId="77777777" w:rsidR="00DA068F" w:rsidRDefault="00DA068F" w:rsidP="00DA068F">
      <w:pPr>
        <w:pStyle w:val="JuHA"/>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A. Kaitējums</w:t>
      </w:r>
    </w:p>
    <w:p w14:paraId="029C7B31" w14:textId="77777777" w:rsidR="00DA068F" w:rsidRPr="00A676E4" w:rsidRDefault="00DA068F" w:rsidP="00DA068F">
      <w:pPr>
        <w:pStyle w:val="JuPara"/>
        <w:widowControl w:val="0"/>
        <w:rPr>
          <w:lang w:val="en-US"/>
        </w:rPr>
      </w:pPr>
    </w:p>
    <w:p w14:paraId="482EC43F" w14:textId="77777777" w:rsidR="00DA068F" w:rsidRDefault="00DA068F" w:rsidP="00DA068F">
      <w:pPr>
        <w:pStyle w:val="JuPara"/>
        <w:widowControl w:val="0"/>
        <w:ind w:firstLine="142"/>
        <w:rPr>
          <w:rFonts w:ascii="Times New Roman" w:hAnsi="Times New Roman"/>
          <w:noProof/>
        </w:rPr>
      </w:pPr>
      <w:r>
        <w:rPr>
          <w:rFonts w:ascii="Times New Roman" w:hAnsi="Times New Roman"/>
        </w:rPr>
        <w:t>530. Pieteikuma iesniedzēji neiesniedza prasību saistībā ar naudas izteiksmē novērtēto vai morālo kaitējumu. Līdz ar to Tiesa uzskata, ka šajā ziņā nav pamata piešķirt viņiem jebkādas naudas summas.</w:t>
      </w:r>
    </w:p>
    <w:p w14:paraId="452B6D43" w14:textId="77777777" w:rsidR="00DA068F" w:rsidRPr="008D031E" w:rsidRDefault="00DA068F" w:rsidP="00DA068F">
      <w:pPr>
        <w:pStyle w:val="JuPara"/>
        <w:widowControl w:val="0"/>
        <w:ind w:firstLine="0"/>
        <w:rPr>
          <w:rFonts w:ascii="Times New Roman" w:hAnsi="Times New Roman"/>
          <w:noProof/>
          <w:lang w:val="en-US"/>
        </w:rPr>
      </w:pPr>
    </w:p>
    <w:p w14:paraId="2E0B875F" w14:textId="77777777" w:rsidR="00DA068F" w:rsidRDefault="00DA068F" w:rsidP="00F8047C">
      <w:pPr>
        <w:pStyle w:val="JuHA"/>
        <w:widowControl w:val="0"/>
        <w:numPr>
          <w:ilvl w:val="0"/>
          <w:numId w:val="0"/>
        </w:numPr>
        <w:spacing w:before="0" w:beforeAutospacing="0" w:after="0"/>
        <w:outlineLvl w:val="9"/>
        <w:rPr>
          <w:rFonts w:ascii="Times New Roman" w:hAnsi="Times New Roman"/>
          <w:noProof/>
        </w:rPr>
      </w:pPr>
      <w:r>
        <w:rPr>
          <w:rFonts w:ascii="Times New Roman" w:hAnsi="Times New Roman"/>
        </w:rPr>
        <w:lastRenderedPageBreak/>
        <w:t>B. Izmaksas un izdevumi</w:t>
      </w:r>
    </w:p>
    <w:p w14:paraId="0B550DCC" w14:textId="77777777" w:rsidR="00DA068F" w:rsidRPr="00A676E4" w:rsidRDefault="00DA068F" w:rsidP="00F8047C">
      <w:pPr>
        <w:pStyle w:val="JuPara"/>
        <w:keepNext/>
        <w:keepLines/>
        <w:widowControl w:val="0"/>
        <w:rPr>
          <w:lang w:val="en-US"/>
        </w:rPr>
      </w:pPr>
    </w:p>
    <w:p w14:paraId="58FF0D1F" w14:textId="77777777" w:rsidR="00DA068F" w:rsidRPr="008D031E" w:rsidRDefault="00DA068F" w:rsidP="00F8047C">
      <w:pPr>
        <w:pStyle w:val="JuPara"/>
        <w:keepNext/>
        <w:keepLines/>
        <w:widowControl w:val="0"/>
        <w:ind w:firstLine="142"/>
        <w:rPr>
          <w:rFonts w:ascii="Times New Roman" w:hAnsi="Times New Roman"/>
          <w:noProof/>
        </w:rPr>
      </w:pPr>
      <w:r>
        <w:rPr>
          <w:rFonts w:ascii="Times New Roman" w:hAnsi="Times New Roman"/>
        </w:rPr>
        <w:t>531. Pieteikuma iesniedzēji pirmajā no apvienotajām lietām palātā bija pieprasījuši 208 958,55 GBP saistībā ar viņu izmaksām un izdevumiem, savukārt pieteikuma iesniedzēji otrajā no apvienotajām lietām bija pieprasījuši 45 127,89 GBP. Pieteikuma iesniedzēji trešajā no apvienotajām lietām nebija iesnieguši prasību saistībā ar izmaksām un izdevumiem.</w:t>
      </w:r>
    </w:p>
    <w:p w14:paraId="4BA73913"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532. Palāta piešķīra pieteikuma iesniedzējiem pirmajā no apvienotajām lietām 150 000 EUR saistībā ar tiesvedību, savukārt pieteikuma iesniedzējiem otrajā no apvienotajām lietām – 35 000 EUR saistībā ar tiesvedību.</w:t>
      </w:r>
    </w:p>
    <w:p w14:paraId="69456D6F"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533. Pieteikuma iesniedzēji pirmajā no apvienotajām lietām Lielajā palātā bija papildus pieprasījuši 138 036,66 GBP, pieteikuma iesniedzēji otrajā no apvienotajām lietām bija papildus pieprasījuši 69 200,20 GBP, savukārt pieteikuma iesniedzēji trešajā no apvienotajām lietām bija pieprasījuši 44 993,60 GBP.</w:t>
      </w:r>
    </w:p>
    <w:p w14:paraId="27842BDE"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534. Valdība apstrīdēja pieprasītās naudas summas.</w:t>
      </w:r>
    </w:p>
    <w:p w14:paraId="1493B6BF" w14:textId="77777777" w:rsidR="00DA068F" w:rsidRDefault="00DA068F" w:rsidP="00DA068F">
      <w:pPr>
        <w:pStyle w:val="JuPara"/>
        <w:widowControl w:val="0"/>
        <w:ind w:firstLine="142"/>
        <w:rPr>
          <w:rFonts w:ascii="Times New Roman" w:hAnsi="Times New Roman"/>
          <w:noProof/>
        </w:rPr>
      </w:pPr>
      <w:r>
        <w:rPr>
          <w:rFonts w:ascii="Times New Roman" w:hAnsi="Times New Roman"/>
        </w:rPr>
        <w:t>535. Saskaņā ar Tiesas judikatūru pieteikuma iesniedzējs ir tiesīgs saņemt kompensāciju par izmaksām un izdevumiem vienīgi tad, ja ir pierādīts, ka šādas izmaksas un izdevumi faktiski bija radušies, kā arī bija nepieciešami un apjoma ziņā samērīgi. Šajā lietā, ņemot vērā Tiesas rīcībā esošos dokumentus un iepriekš minētos kritērijus, Tiesa uzskata, ka ir pamats piešķirt turpmāk minētās naudas summas, lai segtu visas palātā notikušās tiesvedības ietvaros radušās izmaksas: pieteikuma iesniedzējiem pirmajā no apvienotajām lietām – naudas summu 150 000 EUR apmērā, savukārt pieteikuma iesniedzējiem otrajā no apvienotajām lietām – naudas summu 35 000 EUR apmērā. Tā arī uzskata, ka ir pamats piešķirt turpmāk minētās naudas summas, lai segtu visas Lielajā palātā notikušās tiesvedības ietvaros radušās izmaksas: pieteikuma iesniedzējiem pirmajā no apvienotajām lietām – naudas summu 77 500 EUR apmērā, pieteikuma iesniedzējiem otrajā no apvienotajām lietām – naudas summu 55 000 EUR apmērā, savukārt pieteikuma iesniedzējiem trešajā no apvienotajām lietām – naudas summu 36 000 EUR apmērā.</w:t>
      </w:r>
    </w:p>
    <w:p w14:paraId="01D681BA" w14:textId="77777777" w:rsidR="00DA068F" w:rsidRPr="008D031E" w:rsidRDefault="00DA068F" w:rsidP="00DA068F">
      <w:pPr>
        <w:pStyle w:val="JuPara"/>
        <w:widowControl w:val="0"/>
        <w:ind w:firstLine="142"/>
        <w:rPr>
          <w:rFonts w:ascii="Times New Roman" w:hAnsi="Times New Roman"/>
          <w:noProof/>
          <w:lang w:val="en-US"/>
        </w:rPr>
      </w:pPr>
    </w:p>
    <w:p w14:paraId="1D3B62DC" w14:textId="77777777" w:rsidR="00DA068F" w:rsidRDefault="00DA068F" w:rsidP="00DA068F">
      <w:pPr>
        <w:pStyle w:val="JuHA"/>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C. Nokavējuma procenti</w:t>
      </w:r>
    </w:p>
    <w:p w14:paraId="0A4C64CC" w14:textId="77777777" w:rsidR="00DA068F" w:rsidRPr="000C50EE" w:rsidRDefault="00DA068F" w:rsidP="00DA068F">
      <w:pPr>
        <w:pStyle w:val="JuPara"/>
        <w:widowControl w:val="0"/>
        <w:rPr>
          <w:lang w:val="en-US"/>
        </w:rPr>
      </w:pPr>
    </w:p>
    <w:p w14:paraId="2FC3AC8B" w14:textId="77777777" w:rsidR="00DA068F" w:rsidRDefault="00DA068F" w:rsidP="00DA068F">
      <w:pPr>
        <w:pStyle w:val="JuPara"/>
        <w:widowControl w:val="0"/>
        <w:ind w:firstLine="142"/>
        <w:rPr>
          <w:rFonts w:ascii="Times New Roman" w:hAnsi="Times New Roman"/>
          <w:noProof/>
        </w:rPr>
      </w:pPr>
      <w:r>
        <w:rPr>
          <w:rFonts w:ascii="Times New Roman" w:hAnsi="Times New Roman"/>
        </w:rPr>
        <w:t>536. Tiesa uzskata, ka nokavējuma procentu likmei ir jābūt balstītai uz Eiropas Centrālās bankas aizdevuma uz nakti procentu likmi, kam jāpieskaita trīs procentpunkti.</w:t>
      </w:r>
    </w:p>
    <w:p w14:paraId="00BF2073" w14:textId="77777777" w:rsidR="00DA068F" w:rsidRPr="008D031E" w:rsidRDefault="00DA068F" w:rsidP="00DA068F">
      <w:pPr>
        <w:pStyle w:val="JuPara"/>
        <w:widowControl w:val="0"/>
        <w:ind w:firstLine="0"/>
        <w:rPr>
          <w:rFonts w:ascii="Times New Roman" w:hAnsi="Times New Roman"/>
          <w:noProof/>
          <w:lang w:val="en-US"/>
        </w:rPr>
      </w:pPr>
    </w:p>
    <w:p w14:paraId="3F4C87FC" w14:textId="77777777" w:rsidR="00DA068F" w:rsidRDefault="00DA068F" w:rsidP="00DA068F">
      <w:pPr>
        <w:pStyle w:val="JuHHead"/>
        <w:keepNext w:val="0"/>
        <w:keepLines w:val="0"/>
        <w:widowControl w:val="0"/>
        <w:spacing w:before="0" w:beforeAutospacing="0" w:after="0"/>
        <w:outlineLvl w:val="9"/>
        <w:rPr>
          <w:rFonts w:ascii="Times New Roman" w:hAnsi="Times New Roman"/>
          <w:noProof/>
          <w:sz w:val="24"/>
        </w:rPr>
      </w:pPr>
      <w:r>
        <w:rPr>
          <w:rFonts w:ascii="Times New Roman" w:hAnsi="Times New Roman"/>
          <w:sz w:val="24"/>
        </w:rPr>
        <w:t>ŠO IEMESLU DĒĻ TIESA</w:t>
      </w:r>
    </w:p>
    <w:p w14:paraId="7609AED4" w14:textId="77777777" w:rsidR="00DA068F" w:rsidRPr="000C50EE" w:rsidRDefault="00DA068F" w:rsidP="00DA068F">
      <w:pPr>
        <w:pStyle w:val="JuPara"/>
        <w:widowControl w:val="0"/>
        <w:rPr>
          <w:lang w:val="en-US"/>
        </w:rPr>
      </w:pPr>
    </w:p>
    <w:p w14:paraId="6C84EFFA" w14:textId="77777777" w:rsidR="00DA068F" w:rsidRDefault="00DA068F" w:rsidP="00DA068F">
      <w:pPr>
        <w:pStyle w:val="JuList"/>
        <w:widowControl w:val="0"/>
        <w:numPr>
          <w:ilvl w:val="0"/>
          <w:numId w:val="0"/>
        </w:numPr>
        <w:spacing w:before="0" w:after="0"/>
        <w:rPr>
          <w:rFonts w:ascii="Times New Roman" w:hAnsi="Times New Roman"/>
          <w:noProof/>
        </w:rPr>
      </w:pPr>
      <w:r>
        <w:rPr>
          <w:rFonts w:ascii="Times New Roman" w:hAnsi="Times New Roman"/>
        </w:rPr>
        <w:t>1.</w:t>
      </w:r>
      <w:r>
        <w:rPr>
          <w:rFonts w:ascii="Times New Roman" w:hAnsi="Times New Roman"/>
          <w:i/>
        </w:rPr>
        <w:t xml:space="preserve"> </w:t>
      </w:r>
      <w:r>
        <w:rPr>
          <w:rFonts w:ascii="Times New Roman" w:hAnsi="Times New Roman"/>
        </w:rPr>
        <w:t xml:space="preserve">vienprātīgi </w:t>
      </w:r>
      <w:r>
        <w:rPr>
          <w:rFonts w:ascii="Times New Roman" w:hAnsi="Times New Roman"/>
          <w:i/>
        </w:rPr>
        <w:t>nospriež</w:t>
      </w:r>
      <w:r>
        <w:rPr>
          <w:rFonts w:ascii="Times New Roman" w:hAnsi="Times New Roman"/>
        </w:rPr>
        <w:t>, ka ir ticis pārkāpts Konvencijas 8. pants attiecībā uz 8. panta 4. punktā noteikto režīmu;</w:t>
      </w:r>
    </w:p>
    <w:p w14:paraId="42F7387D" w14:textId="77777777" w:rsidR="00DA068F" w:rsidRPr="008D031E" w:rsidRDefault="00DA068F" w:rsidP="00DA068F">
      <w:pPr>
        <w:pStyle w:val="JuList"/>
        <w:widowControl w:val="0"/>
        <w:numPr>
          <w:ilvl w:val="0"/>
          <w:numId w:val="0"/>
        </w:numPr>
        <w:spacing w:before="0" w:after="0"/>
        <w:rPr>
          <w:rFonts w:ascii="Times New Roman" w:hAnsi="Times New Roman"/>
          <w:noProof/>
          <w:lang w:val="en-US"/>
        </w:rPr>
      </w:pPr>
    </w:p>
    <w:p w14:paraId="213EF831" w14:textId="77777777" w:rsidR="00DA068F" w:rsidRDefault="00DA068F" w:rsidP="00DA068F">
      <w:pPr>
        <w:pStyle w:val="JuList"/>
        <w:widowControl w:val="0"/>
        <w:numPr>
          <w:ilvl w:val="0"/>
          <w:numId w:val="0"/>
        </w:numPr>
        <w:spacing w:before="0" w:after="0"/>
        <w:rPr>
          <w:rFonts w:ascii="Times New Roman" w:hAnsi="Times New Roman"/>
          <w:noProof/>
        </w:rPr>
      </w:pPr>
      <w:r>
        <w:rPr>
          <w:rFonts w:ascii="Times New Roman" w:hAnsi="Times New Roman"/>
        </w:rPr>
        <w:t>2.</w:t>
      </w:r>
      <w:r>
        <w:rPr>
          <w:rFonts w:ascii="Times New Roman" w:hAnsi="Times New Roman"/>
          <w:i/>
        </w:rPr>
        <w:t xml:space="preserve"> </w:t>
      </w:r>
      <w:r>
        <w:rPr>
          <w:rFonts w:ascii="Times New Roman" w:hAnsi="Times New Roman"/>
        </w:rPr>
        <w:t xml:space="preserve">vienprātīgi </w:t>
      </w:r>
      <w:r>
        <w:rPr>
          <w:rFonts w:ascii="Times New Roman" w:hAnsi="Times New Roman"/>
          <w:i/>
        </w:rPr>
        <w:t>nospriež</w:t>
      </w:r>
      <w:r>
        <w:rPr>
          <w:rFonts w:ascii="Times New Roman" w:hAnsi="Times New Roman"/>
        </w:rPr>
        <w:t>, ka ir ticis pārkāpts Konvencijas 8. pants attiecībā uz II nodaļā noteikto režīmu;</w:t>
      </w:r>
    </w:p>
    <w:p w14:paraId="07C42F0B" w14:textId="77777777" w:rsidR="00DA068F" w:rsidRPr="008D031E" w:rsidRDefault="00DA068F" w:rsidP="00DA068F">
      <w:pPr>
        <w:pStyle w:val="JuList"/>
        <w:widowControl w:val="0"/>
        <w:numPr>
          <w:ilvl w:val="0"/>
          <w:numId w:val="0"/>
        </w:numPr>
        <w:spacing w:before="0" w:after="0"/>
        <w:rPr>
          <w:rFonts w:ascii="Times New Roman" w:hAnsi="Times New Roman"/>
          <w:noProof/>
          <w:lang w:val="en-US"/>
        </w:rPr>
      </w:pPr>
    </w:p>
    <w:p w14:paraId="0C4D782A" w14:textId="77777777" w:rsidR="00DA068F" w:rsidRDefault="00DA068F" w:rsidP="00DA068F">
      <w:pPr>
        <w:pStyle w:val="JuList"/>
        <w:widowControl w:val="0"/>
        <w:numPr>
          <w:ilvl w:val="0"/>
          <w:numId w:val="0"/>
        </w:numPr>
        <w:spacing w:before="0" w:after="0"/>
        <w:rPr>
          <w:rFonts w:ascii="Times New Roman" w:hAnsi="Times New Roman"/>
          <w:noProof/>
        </w:rPr>
      </w:pPr>
      <w:r>
        <w:rPr>
          <w:rFonts w:ascii="Times New Roman" w:hAnsi="Times New Roman"/>
        </w:rPr>
        <w:t>3.</w:t>
      </w:r>
      <w:r>
        <w:rPr>
          <w:rFonts w:ascii="Times New Roman" w:hAnsi="Times New Roman"/>
          <w:i/>
        </w:rPr>
        <w:t xml:space="preserve"> </w:t>
      </w:r>
      <w:r>
        <w:rPr>
          <w:rFonts w:ascii="Times New Roman" w:hAnsi="Times New Roman"/>
        </w:rPr>
        <w:t xml:space="preserve">ar divpadsmit balsīm par un piecām balsīm pret </w:t>
      </w:r>
      <w:r>
        <w:rPr>
          <w:rFonts w:ascii="Times New Roman" w:hAnsi="Times New Roman"/>
          <w:i/>
          <w:iCs/>
        </w:rPr>
        <w:t>nospriež</w:t>
      </w:r>
      <w:r>
        <w:rPr>
          <w:rFonts w:ascii="Times New Roman" w:hAnsi="Times New Roman"/>
        </w:rPr>
        <w:t xml:space="preserve">, ka nav ticis pārkāpts Konvencijas 8. pants attiecībā uz </w:t>
      </w:r>
      <w:proofErr w:type="spellStart"/>
      <w:r>
        <w:rPr>
          <w:rFonts w:ascii="Times New Roman" w:hAnsi="Times New Roman"/>
        </w:rPr>
        <w:t>izlūkdatu</w:t>
      </w:r>
      <w:proofErr w:type="spellEnd"/>
      <w:r>
        <w:rPr>
          <w:rFonts w:ascii="Times New Roman" w:hAnsi="Times New Roman"/>
        </w:rPr>
        <w:t xml:space="preserve"> saņemšanu no ārvalstu izlūkdienestiem;</w:t>
      </w:r>
    </w:p>
    <w:p w14:paraId="13079B75" w14:textId="77777777" w:rsidR="00DA068F" w:rsidRPr="008D031E" w:rsidRDefault="00DA068F" w:rsidP="00DA068F">
      <w:pPr>
        <w:pStyle w:val="JuList"/>
        <w:widowControl w:val="0"/>
        <w:numPr>
          <w:ilvl w:val="0"/>
          <w:numId w:val="0"/>
        </w:numPr>
        <w:spacing w:before="0" w:after="0"/>
        <w:rPr>
          <w:rFonts w:ascii="Times New Roman" w:hAnsi="Times New Roman"/>
          <w:noProof/>
          <w:lang w:val="en-US"/>
        </w:rPr>
      </w:pPr>
    </w:p>
    <w:p w14:paraId="25E393D3" w14:textId="77777777" w:rsidR="00DA068F" w:rsidRDefault="00DA068F" w:rsidP="00DA068F">
      <w:pPr>
        <w:pStyle w:val="JuList"/>
        <w:widowControl w:val="0"/>
        <w:numPr>
          <w:ilvl w:val="0"/>
          <w:numId w:val="0"/>
        </w:numPr>
        <w:spacing w:before="0" w:after="0"/>
        <w:rPr>
          <w:rFonts w:ascii="Times New Roman" w:hAnsi="Times New Roman"/>
          <w:noProof/>
        </w:rPr>
      </w:pPr>
      <w:r>
        <w:rPr>
          <w:rFonts w:ascii="Times New Roman" w:hAnsi="Times New Roman"/>
        </w:rPr>
        <w:t>4.</w:t>
      </w:r>
      <w:r>
        <w:rPr>
          <w:rFonts w:ascii="Times New Roman" w:hAnsi="Times New Roman"/>
          <w:i/>
        </w:rPr>
        <w:t xml:space="preserve"> </w:t>
      </w:r>
      <w:r>
        <w:rPr>
          <w:rFonts w:ascii="Times New Roman" w:hAnsi="Times New Roman"/>
        </w:rPr>
        <w:t xml:space="preserve">vienprātīgi </w:t>
      </w:r>
      <w:r>
        <w:rPr>
          <w:rFonts w:ascii="Times New Roman" w:hAnsi="Times New Roman"/>
          <w:i/>
          <w:iCs/>
        </w:rPr>
        <w:t>nospriež</w:t>
      </w:r>
      <w:r>
        <w:rPr>
          <w:rFonts w:ascii="Times New Roman" w:hAnsi="Times New Roman"/>
        </w:rPr>
        <w:t>, ka, ciktāl to izvirzīja pieteikuma iesniedzēji otrajā no apvienotajām lietām, ir ticis pārkāpts Konvencijas 10. pants attiecībā uz 8. panta 4. punktā un II nodaļā noteikto režīmu;</w:t>
      </w:r>
    </w:p>
    <w:p w14:paraId="26AAC199" w14:textId="77777777" w:rsidR="00DA068F" w:rsidRPr="008D031E" w:rsidRDefault="00DA068F" w:rsidP="00DA068F">
      <w:pPr>
        <w:pStyle w:val="JuList"/>
        <w:widowControl w:val="0"/>
        <w:numPr>
          <w:ilvl w:val="0"/>
          <w:numId w:val="0"/>
        </w:numPr>
        <w:spacing w:before="0" w:after="0"/>
        <w:rPr>
          <w:rFonts w:ascii="Times New Roman" w:hAnsi="Times New Roman"/>
          <w:noProof/>
          <w:lang w:val="en-US"/>
        </w:rPr>
      </w:pPr>
    </w:p>
    <w:p w14:paraId="7FD1CA0B" w14:textId="77777777" w:rsidR="00DA068F" w:rsidRDefault="00DA068F" w:rsidP="00DA068F">
      <w:pPr>
        <w:pStyle w:val="JuList"/>
        <w:widowControl w:val="0"/>
        <w:numPr>
          <w:ilvl w:val="0"/>
          <w:numId w:val="0"/>
        </w:numPr>
        <w:spacing w:before="0" w:after="0"/>
        <w:rPr>
          <w:rFonts w:ascii="Times New Roman" w:eastAsia="Times New Roman" w:hAnsi="Times New Roman"/>
          <w:noProof/>
        </w:rPr>
      </w:pPr>
      <w:r>
        <w:rPr>
          <w:rFonts w:ascii="Times New Roman" w:hAnsi="Times New Roman"/>
        </w:rPr>
        <w:t>5.</w:t>
      </w:r>
      <w:r>
        <w:rPr>
          <w:rFonts w:ascii="Times New Roman" w:hAnsi="Times New Roman"/>
          <w:i/>
        </w:rPr>
        <w:t xml:space="preserve"> </w:t>
      </w:r>
      <w:r>
        <w:rPr>
          <w:rFonts w:ascii="Times New Roman" w:hAnsi="Times New Roman"/>
        </w:rPr>
        <w:t xml:space="preserve">ar divpadsmit balsīm par un piecām balsīm pret </w:t>
      </w:r>
      <w:r>
        <w:rPr>
          <w:rFonts w:ascii="Times New Roman" w:hAnsi="Times New Roman"/>
          <w:i/>
          <w:iCs/>
        </w:rPr>
        <w:t>nospriež</w:t>
      </w:r>
      <w:r>
        <w:rPr>
          <w:rFonts w:ascii="Times New Roman" w:hAnsi="Times New Roman"/>
        </w:rPr>
        <w:t xml:space="preserve">, ka nav ticis pārkāpts Konvencijas 10. pants attiecībā uz </w:t>
      </w:r>
      <w:proofErr w:type="spellStart"/>
      <w:r>
        <w:rPr>
          <w:rFonts w:ascii="Times New Roman" w:hAnsi="Times New Roman"/>
        </w:rPr>
        <w:t>izlūkdatu</w:t>
      </w:r>
      <w:proofErr w:type="spellEnd"/>
      <w:r>
        <w:rPr>
          <w:rFonts w:ascii="Times New Roman" w:hAnsi="Times New Roman"/>
        </w:rPr>
        <w:t xml:space="preserve"> saņemšanu no ārvalstu izlūkdienestiem;</w:t>
      </w:r>
    </w:p>
    <w:p w14:paraId="2E41026E" w14:textId="77777777" w:rsidR="00DA068F" w:rsidRPr="008D031E" w:rsidRDefault="00DA068F" w:rsidP="00DA068F">
      <w:pPr>
        <w:pStyle w:val="JuList"/>
        <w:widowControl w:val="0"/>
        <w:numPr>
          <w:ilvl w:val="0"/>
          <w:numId w:val="0"/>
        </w:numPr>
        <w:spacing w:before="0" w:after="0"/>
        <w:rPr>
          <w:rFonts w:ascii="Times New Roman" w:hAnsi="Times New Roman"/>
          <w:noProof/>
          <w:lang w:val="en-US"/>
        </w:rPr>
      </w:pPr>
    </w:p>
    <w:p w14:paraId="0F07084F" w14:textId="77777777" w:rsidR="00DA068F" w:rsidRPr="008D031E" w:rsidRDefault="00DA068F" w:rsidP="00DA068F">
      <w:pPr>
        <w:pStyle w:val="JuList"/>
        <w:widowControl w:val="0"/>
        <w:numPr>
          <w:ilvl w:val="0"/>
          <w:numId w:val="0"/>
        </w:numPr>
        <w:spacing w:before="0" w:after="0"/>
        <w:rPr>
          <w:rFonts w:ascii="Times New Roman" w:hAnsi="Times New Roman"/>
          <w:noProof/>
        </w:rPr>
      </w:pPr>
      <w:r>
        <w:rPr>
          <w:rFonts w:ascii="Times New Roman" w:hAnsi="Times New Roman"/>
        </w:rPr>
        <w:t>6.</w:t>
      </w:r>
      <w:r>
        <w:rPr>
          <w:rFonts w:ascii="Times New Roman" w:hAnsi="Times New Roman"/>
          <w:i/>
        </w:rPr>
        <w:t xml:space="preserve"> </w:t>
      </w:r>
      <w:r>
        <w:rPr>
          <w:rFonts w:ascii="Times New Roman" w:hAnsi="Times New Roman"/>
        </w:rPr>
        <w:t xml:space="preserve">vienprātīgi </w:t>
      </w:r>
      <w:r>
        <w:rPr>
          <w:rFonts w:ascii="Times New Roman" w:hAnsi="Times New Roman"/>
          <w:i/>
          <w:iCs/>
        </w:rPr>
        <w:t>nospriež</w:t>
      </w:r>
      <w:r>
        <w:rPr>
          <w:rFonts w:ascii="Times New Roman" w:hAnsi="Times New Roman"/>
        </w:rPr>
        <w:t>, ka:</w:t>
      </w:r>
    </w:p>
    <w:p w14:paraId="1BD68A14" w14:textId="77777777" w:rsidR="00DA068F" w:rsidRPr="008D031E" w:rsidRDefault="00DA068F" w:rsidP="00DA068F">
      <w:pPr>
        <w:pStyle w:val="JuLista"/>
        <w:widowControl w:val="0"/>
        <w:numPr>
          <w:ilvl w:val="0"/>
          <w:numId w:val="0"/>
        </w:numPr>
        <w:ind w:left="284"/>
        <w:rPr>
          <w:rFonts w:ascii="Times New Roman" w:hAnsi="Times New Roman"/>
          <w:noProof/>
        </w:rPr>
      </w:pPr>
      <w:r>
        <w:rPr>
          <w:rFonts w:ascii="Times New Roman" w:hAnsi="Times New Roman"/>
        </w:rPr>
        <w:t>a) atbildētājai valstij trīs mēnešu laikā ir jāsamaksā pieteikuma iesniedzējiem šādas summas, kas konvertējamas atbildētājas valsts valūtā atbilstoši maksājuma dienā spēkā esošajam kursam:</w:t>
      </w:r>
    </w:p>
    <w:p w14:paraId="107BF0C5" w14:textId="77777777" w:rsidR="00DA068F" w:rsidRPr="008D031E" w:rsidRDefault="00DA068F" w:rsidP="00DA068F">
      <w:pPr>
        <w:pStyle w:val="JuListi"/>
        <w:widowControl w:val="0"/>
        <w:numPr>
          <w:ilvl w:val="0"/>
          <w:numId w:val="0"/>
        </w:numPr>
        <w:ind w:left="567"/>
        <w:rPr>
          <w:rFonts w:ascii="Times New Roman" w:hAnsi="Times New Roman"/>
          <w:noProof/>
        </w:rPr>
      </w:pPr>
      <w:r>
        <w:rPr>
          <w:rFonts w:ascii="Times New Roman" w:hAnsi="Times New Roman"/>
        </w:rPr>
        <w:t xml:space="preserve">i) pieteikuma iesniedzējiem pirmajā no apvienotajām lietām: 227 500 EUR (divi simti divdesmit septiņi tūkstoši pieci simti </w:t>
      </w:r>
      <w:proofErr w:type="spellStart"/>
      <w:r>
        <w:rPr>
          <w:rFonts w:ascii="Times New Roman" w:hAnsi="Times New Roman"/>
          <w:i/>
          <w:iCs/>
        </w:rPr>
        <w:t>euro</w:t>
      </w:r>
      <w:proofErr w:type="spellEnd"/>
      <w:r>
        <w:rPr>
          <w:rFonts w:ascii="Times New Roman" w:hAnsi="Times New Roman"/>
        </w:rPr>
        <w:t>), kā arī visi nodokļi, kas var būt piemērojami pieteikuma iesniedzējiem attiecībā uz izmaksām un izdevumiem;</w:t>
      </w:r>
    </w:p>
    <w:p w14:paraId="7DD05E53" w14:textId="77777777" w:rsidR="00DA068F" w:rsidRPr="008D031E" w:rsidRDefault="00DA068F" w:rsidP="00DA068F">
      <w:pPr>
        <w:pStyle w:val="JuListi"/>
        <w:widowControl w:val="0"/>
        <w:numPr>
          <w:ilvl w:val="0"/>
          <w:numId w:val="0"/>
        </w:numPr>
        <w:ind w:left="567"/>
        <w:rPr>
          <w:rFonts w:ascii="Times New Roman" w:hAnsi="Times New Roman"/>
          <w:noProof/>
        </w:rPr>
      </w:pPr>
      <w:r>
        <w:rPr>
          <w:rFonts w:ascii="Times New Roman" w:hAnsi="Times New Roman"/>
        </w:rPr>
        <w:t xml:space="preserve">ii) pieteikuma iesniedzējiem otrajā no apvienotajām lietām: 90 000 EUR (deviņdesmit tūkstoši </w:t>
      </w:r>
      <w:proofErr w:type="spellStart"/>
      <w:r>
        <w:rPr>
          <w:rFonts w:ascii="Times New Roman" w:hAnsi="Times New Roman"/>
          <w:i/>
          <w:iCs/>
        </w:rPr>
        <w:t>euro</w:t>
      </w:r>
      <w:proofErr w:type="spellEnd"/>
      <w:r>
        <w:rPr>
          <w:rFonts w:ascii="Times New Roman" w:hAnsi="Times New Roman"/>
        </w:rPr>
        <w:t>), kā arī visi nodokļi, kas var būt piemērojami pieteikuma iesniedzējiem attiecībā uz izmaksām un izdevumiem;</w:t>
      </w:r>
    </w:p>
    <w:p w14:paraId="3DBF8F29" w14:textId="77777777" w:rsidR="00DA068F" w:rsidRPr="008D031E" w:rsidRDefault="00DA068F" w:rsidP="00DA068F">
      <w:pPr>
        <w:pStyle w:val="JuListi"/>
        <w:widowControl w:val="0"/>
        <w:numPr>
          <w:ilvl w:val="0"/>
          <w:numId w:val="0"/>
        </w:numPr>
        <w:ind w:left="567"/>
        <w:rPr>
          <w:rFonts w:ascii="Times New Roman" w:hAnsi="Times New Roman"/>
          <w:noProof/>
        </w:rPr>
      </w:pPr>
      <w:r>
        <w:rPr>
          <w:rFonts w:ascii="Times New Roman" w:hAnsi="Times New Roman"/>
        </w:rPr>
        <w:t xml:space="preserve">iii) pieteikuma iesniedzējiem trešajā no apvienotajām lietām: 36 000 EUR (trīsdesmit seši tūkstoši </w:t>
      </w:r>
      <w:proofErr w:type="spellStart"/>
      <w:r>
        <w:rPr>
          <w:rFonts w:ascii="Times New Roman" w:hAnsi="Times New Roman"/>
          <w:i/>
          <w:iCs/>
        </w:rPr>
        <w:t>euro</w:t>
      </w:r>
      <w:proofErr w:type="spellEnd"/>
      <w:r>
        <w:rPr>
          <w:rFonts w:ascii="Times New Roman" w:hAnsi="Times New Roman"/>
        </w:rPr>
        <w:t>), kā arī visi nodokļi, kas var būt piemērojami pieteikuma iesniedzējiem attiecībā uz izmaksām un izdevumiem;</w:t>
      </w:r>
    </w:p>
    <w:p w14:paraId="78E3FF38" w14:textId="77777777" w:rsidR="00DA068F" w:rsidRDefault="00DA068F" w:rsidP="00DA068F">
      <w:pPr>
        <w:pStyle w:val="JuLista"/>
        <w:widowControl w:val="0"/>
        <w:numPr>
          <w:ilvl w:val="0"/>
          <w:numId w:val="0"/>
        </w:numPr>
        <w:ind w:firstLine="284"/>
        <w:rPr>
          <w:rFonts w:ascii="Times New Roman" w:hAnsi="Times New Roman"/>
          <w:noProof/>
        </w:rPr>
      </w:pPr>
      <w:r>
        <w:rPr>
          <w:rFonts w:ascii="Times New Roman" w:hAnsi="Times New Roman"/>
        </w:rPr>
        <w:t>b) no dienas, kad pagājuši minētie trīs mēneši, līdz maksājuma veikšanai šīm summām pieskaitāmi procenti pēc vienkāršas likmes, kas vienāda ar Eiropas Centrālās bankas aizdevuma uz nakti procentu likmi kavējuma periodā, pieskaitot trīs procentpunktus;</w:t>
      </w:r>
    </w:p>
    <w:p w14:paraId="5DC2F3B0" w14:textId="77777777" w:rsidR="00DA068F" w:rsidRPr="008D031E" w:rsidRDefault="00DA068F" w:rsidP="00DA068F">
      <w:pPr>
        <w:pStyle w:val="JuLista"/>
        <w:widowControl w:val="0"/>
        <w:numPr>
          <w:ilvl w:val="0"/>
          <w:numId w:val="0"/>
        </w:numPr>
        <w:rPr>
          <w:rFonts w:ascii="Times New Roman" w:hAnsi="Times New Roman"/>
          <w:noProof/>
          <w:lang w:val="en-US"/>
        </w:rPr>
      </w:pPr>
    </w:p>
    <w:p w14:paraId="1B0B99F4" w14:textId="77777777" w:rsidR="00DA068F" w:rsidRDefault="00DA068F" w:rsidP="00DA068F">
      <w:pPr>
        <w:pStyle w:val="JuList"/>
        <w:widowControl w:val="0"/>
        <w:numPr>
          <w:ilvl w:val="0"/>
          <w:numId w:val="0"/>
        </w:numPr>
        <w:spacing w:before="0" w:after="0"/>
        <w:rPr>
          <w:rFonts w:ascii="Times New Roman" w:hAnsi="Times New Roman"/>
          <w:noProof/>
        </w:rPr>
      </w:pPr>
      <w:r>
        <w:rPr>
          <w:rFonts w:ascii="Times New Roman" w:hAnsi="Times New Roman"/>
        </w:rPr>
        <w:t>7.</w:t>
      </w:r>
      <w:r>
        <w:rPr>
          <w:rFonts w:ascii="Times New Roman" w:hAnsi="Times New Roman"/>
          <w:i/>
        </w:rPr>
        <w:t xml:space="preserve"> </w:t>
      </w:r>
      <w:r>
        <w:rPr>
          <w:rFonts w:ascii="Times New Roman" w:hAnsi="Times New Roman"/>
        </w:rPr>
        <w:t xml:space="preserve">vienprātīgi </w:t>
      </w:r>
      <w:r>
        <w:rPr>
          <w:rFonts w:ascii="Times New Roman" w:hAnsi="Times New Roman"/>
          <w:i/>
          <w:iCs/>
        </w:rPr>
        <w:t>noraida</w:t>
      </w:r>
      <w:r>
        <w:rPr>
          <w:rFonts w:ascii="Times New Roman" w:hAnsi="Times New Roman"/>
        </w:rPr>
        <w:t xml:space="preserve"> pieteikuma iesniedzēju prasību pārējā daļā par taisnīgu atlīdzību.</w:t>
      </w:r>
    </w:p>
    <w:p w14:paraId="271DF883" w14:textId="77777777" w:rsidR="00DA068F" w:rsidRPr="008D031E" w:rsidRDefault="00DA068F" w:rsidP="00DA068F">
      <w:pPr>
        <w:pStyle w:val="JuList"/>
        <w:widowControl w:val="0"/>
        <w:numPr>
          <w:ilvl w:val="0"/>
          <w:numId w:val="0"/>
        </w:numPr>
        <w:spacing w:before="0" w:after="0"/>
        <w:rPr>
          <w:rFonts w:ascii="Times New Roman" w:hAnsi="Times New Roman"/>
          <w:noProof/>
          <w:lang w:val="en-US"/>
        </w:rPr>
      </w:pPr>
    </w:p>
    <w:p w14:paraId="43D38F62" w14:textId="77777777" w:rsidR="00DA068F" w:rsidRDefault="00DA068F" w:rsidP="00DA068F">
      <w:pPr>
        <w:pStyle w:val="JuParaLast"/>
        <w:keepNext w:val="0"/>
        <w:keepLines w:val="0"/>
        <w:widowControl w:val="0"/>
        <w:spacing w:before="0" w:after="0"/>
        <w:ind w:firstLine="0"/>
        <w:rPr>
          <w:rFonts w:ascii="Times New Roman" w:hAnsi="Times New Roman"/>
          <w:noProof/>
        </w:rPr>
      </w:pPr>
      <w:r>
        <w:rPr>
          <w:rFonts w:ascii="Times New Roman" w:hAnsi="Times New Roman"/>
        </w:rPr>
        <w:t>Sagatavots angļu un franču valodā un paziņots 2021. gada 25. maija sēdē saskaņā ar Tiesas reglamenta 77. panta 2. un 3. punktu.</w:t>
      </w:r>
    </w:p>
    <w:p w14:paraId="26307B9E" w14:textId="77777777" w:rsidR="00DA068F" w:rsidRPr="008D031E" w:rsidRDefault="00DA068F" w:rsidP="00DA068F">
      <w:pPr>
        <w:pStyle w:val="JuParaLast"/>
        <w:keepNext w:val="0"/>
        <w:keepLines w:val="0"/>
        <w:widowControl w:val="0"/>
        <w:spacing w:before="0" w:after="0"/>
        <w:ind w:firstLine="0"/>
        <w:rPr>
          <w:rFonts w:ascii="Times New Roman" w:hAnsi="Times New Roman"/>
          <w:noProof/>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DA068F" w14:paraId="7D0E2584" w14:textId="77777777" w:rsidTr="00C1333D">
        <w:tc>
          <w:tcPr>
            <w:tcW w:w="4530" w:type="dxa"/>
          </w:tcPr>
          <w:p w14:paraId="2D032E26" w14:textId="77777777" w:rsidR="00DA068F" w:rsidRDefault="00DA068F" w:rsidP="00C1333D">
            <w:pPr>
              <w:pStyle w:val="JuSigned"/>
              <w:widowControl w:val="0"/>
              <w:tabs>
                <w:tab w:val="clear" w:pos="851"/>
                <w:tab w:val="center" w:pos="1134"/>
              </w:tabs>
              <w:spacing w:before="0"/>
              <w:jc w:val="center"/>
              <w:rPr>
                <w:rFonts w:ascii="Times New Roman" w:hAnsi="Times New Roman"/>
                <w:noProof/>
              </w:rPr>
            </w:pPr>
            <w:proofErr w:type="spellStart"/>
            <w:r>
              <w:rPr>
                <w:rFonts w:ascii="Times New Roman" w:hAnsi="Times New Roman"/>
              </w:rPr>
              <w:t>Sorens</w:t>
            </w:r>
            <w:proofErr w:type="spellEnd"/>
            <w:r>
              <w:rPr>
                <w:rFonts w:ascii="Times New Roman" w:hAnsi="Times New Roman"/>
              </w:rPr>
              <w:t xml:space="preserve"> </w:t>
            </w:r>
            <w:proofErr w:type="spellStart"/>
            <w:r>
              <w:rPr>
                <w:rFonts w:ascii="Times New Roman" w:hAnsi="Times New Roman"/>
              </w:rPr>
              <w:t>Prebensens</w:t>
            </w:r>
            <w:proofErr w:type="spellEnd"/>
          </w:p>
          <w:p w14:paraId="6E0E21CC" w14:textId="77777777" w:rsidR="00DA068F" w:rsidRDefault="00DA068F" w:rsidP="00C1333D">
            <w:pPr>
              <w:pStyle w:val="JuSigned"/>
              <w:widowControl w:val="0"/>
              <w:tabs>
                <w:tab w:val="clear" w:pos="851"/>
                <w:tab w:val="center" w:pos="1134"/>
              </w:tabs>
              <w:spacing w:before="0"/>
              <w:jc w:val="center"/>
              <w:rPr>
                <w:rFonts w:ascii="Times New Roman" w:hAnsi="Times New Roman"/>
                <w:noProof/>
              </w:rPr>
            </w:pPr>
            <w:r>
              <w:rPr>
                <w:rFonts w:ascii="Times New Roman" w:hAnsi="Times New Roman"/>
              </w:rPr>
              <w:t>Sekretāra palīgs</w:t>
            </w:r>
          </w:p>
        </w:tc>
        <w:tc>
          <w:tcPr>
            <w:tcW w:w="4531" w:type="dxa"/>
          </w:tcPr>
          <w:p w14:paraId="2F337F94" w14:textId="77777777" w:rsidR="00DA068F" w:rsidRDefault="00DA068F" w:rsidP="00C1333D">
            <w:pPr>
              <w:pStyle w:val="JuSigned"/>
              <w:widowControl w:val="0"/>
              <w:tabs>
                <w:tab w:val="clear" w:pos="851"/>
                <w:tab w:val="center" w:pos="1134"/>
              </w:tabs>
              <w:spacing w:before="0"/>
              <w:jc w:val="center"/>
              <w:rPr>
                <w:rFonts w:ascii="Times New Roman" w:hAnsi="Times New Roman"/>
                <w:noProof/>
              </w:rPr>
            </w:pPr>
            <w:r>
              <w:rPr>
                <w:rFonts w:ascii="Times New Roman" w:hAnsi="Times New Roman"/>
              </w:rPr>
              <w:t xml:space="preserve">Roberts </w:t>
            </w:r>
            <w:proofErr w:type="spellStart"/>
            <w:r>
              <w:rPr>
                <w:rFonts w:ascii="Times New Roman" w:hAnsi="Times New Roman"/>
              </w:rPr>
              <w:t>Spano</w:t>
            </w:r>
            <w:proofErr w:type="spellEnd"/>
          </w:p>
          <w:p w14:paraId="65B21CF7" w14:textId="77777777" w:rsidR="00DA068F" w:rsidRDefault="00DA068F" w:rsidP="00C1333D">
            <w:pPr>
              <w:pStyle w:val="JuSigned"/>
              <w:widowControl w:val="0"/>
              <w:tabs>
                <w:tab w:val="clear" w:pos="851"/>
                <w:tab w:val="center" w:pos="1134"/>
              </w:tabs>
              <w:spacing w:before="0"/>
              <w:jc w:val="center"/>
              <w:rPr>
                <w:rFonts w:ascii="Times New Roman" w:hAnsi="Times New Roman"/>
                <w:noProof/>
              </w:rPr>
            </w:pPr>
            <w:r>
              <w:rPr>
                <w:rFonts w:ascii="Times New Roman" w:hAnsi="Times New Roman"/>
              </w:rPr>
              <w:t>Priekšsēdētājs</w:t>
            </w:r>
          </w:p>
        </w:tc>
      </w:tr>
    </w:tbl>
    <w:p w14:paraId="22C22779" w14:textId="77777777" w:rsidR="00DA068F" w:rsidRPr="008D031E" w:rsidRDefault="00DA068F" w:rsidP="00DA068F">
      <w:pPr>
        <w:widowControl w:val="0"/>
        <w:jc w:val="both"/>
        <w:rPr>
          <w:rFonts w:ascii="Times New Roman" w:hAnsi="Times New Roman"/>
          <w:b/>
          <w:caps/>
          <w:noProof/>
          <w:lang w:val="en-US"/>
        </w:rPr>
      </w:pPr>
    </w:p>
    <w:p w14:paraId="0D7123CD" w14:textId="77777777" w:rsidR="00DA068F" w:rsidRDefault="00DA068F" w:rsidP="00DA068F">
      <w:pPr>
        <w:widowControl w:val="0"/>
        <w:rPr>
          <w:rFonts w:ascii="Times New Roman" w:hAnsi="Times New Roman"/>
          <w:noProof/>
        </w:rPr>
      </w:pPr>
      <w:r>
        <w:br w:type="page"/>
      </w:r>
    </w:p>
    <w:p w14:paraId="487736F4" w14:textId="77777777" w:rsidR="00DA068F" w:rsidRDefault="00DA068F" w:rsidP="00943BD6">
      <w:pPr>
        <w:pStyle w:val="JuParaLast"/>
        <w:keepNext w:val="0"/>
        <w:keepLines w:val="0"/>
        <w:widowControl w:val="0"/>
        <w:spacing w:before="0" w:after="0"/>
        <w:ind w:firstLine="142"/>
        <w:rPr>
          <w:rFonts w:ascii="Times New Roman" w:hAnsi="Times New Roman"/>
          <w:noProof/>
        </w:rPr>
      </w:pPr>
      <w:r>
        <w:rPr>
          <w:rFonts w:ascii="Times New Roman" w:hAnsi="Times New Roman"/>
        </w:rPr>
        <w:lastRenderedPageBreak/>
        <w:t>Saskaņā ar Konvencijas 45. panta 2. punktu un Tiesas reglamenta 74. panta 2. punktu šim spriedumam ir pievienoti šādi atsevišķi viedokļi:</w:t>
      </w:r>
    </w:p>
    <w:p w14:paraId="2084136C" w14:textId="77777777" w:rsidR="00DA068F" w:rsidRPr="008D031E" w:rsidRDefault="00DA068F" w:rsidP="00DA068F">
      <w:pPr>
        <w:pStyle w:val="JuParaLast"/>
        <w:keepNext w:val="0"/>
        <w:keepLines w:val="0"/>
        <w:widowControl w:val="0"/>
        <w:spacing w:before="0" w:after="0"/>
        <w:ind w:firstLine="0"/>
        <w:rPr>
          <w:rFonts w:ascii="Times New Roman" w:hAnsi="Times New Roman"/>
          <w:noProof/>
          <w:lang w:val="en-US"/>
        </w:rPr>
      </w:pPr>
    </w:p>
    <w:p w14:paraId="05E9D57A" w14:textId="77777777" w:rsidR="00DA068F" w:rsidRPr="008D031E" w:rsidRDefault="00DA068F" w:rsidP="00943BD6">
      <w:pPr>
        <w:pStyle w:val="JuPara"/>
        <w:widowControl w:val="0"/>
        <w:ind w:firstLine="142"/>
        <w:rPr>
          <w:rFonts w:ascii="Times New Roman" w:hAnsi="Times New Roman"/>
          <w:noProof/>
        </w:rPr>
      </w:pPr>
      <w:r>
        <w:rPr>
          <w:rFonts w:ascii="Times New Roman" w:hAnsi="Times New Roman"/>
        </w:rPr>
        <w:t xml:space="preserve">a) </w:t>
      </w:r>
      <w:bookmarkStart w:id="277" w:name="_Hlk69744356"/>
      <w:r>
        <w:rPr>
          <w:rFonts w:ascii="Times New Roman" w:hAnsi="Times New Roman"/>
        </w:rPr>
        <w:t xml:space="preserve">tiesnešu </w:t>
      </w:r>
      <w:proofErr w:type="spellStart"/>
      <w:r>
        <w:rPr>
          <w:rFonts w:ascii="Times New Roman" w:hAnsi="Times New Roman"/>
        </w:rPr>
        <w:t>Lemensa</w:t>
      </w:r>
      <w:proofErr w:type="spellEnd"/>
      <w:r>
        <w:rPr>
          <w:rFonts w:ascii="Times New Roman" w:hAnsi="Times New Roman"/>
        </w:rPr>
        <w:t xml:space="preserve">, </w:t>
      </w:r>
      <w:bookmarkStart w:id="278" w:name="_Hlk69744065"/>
      <w:proofErr w:type="spellStart"/>
      <w:r>
        <w:rPr>
          <w:rFonts w:ascii="Times New Roman" w:hAnsi="Times New Roman"/>
        </w:rPr>
        <w:t>Vehaboviča</w:t>
      </w:r>
      <w:proofErr w:type="spellEnd"/>
      <w:r>
        <w:rPr>
          <w:rFonts w:ascii="Times New Roman" w:hAnsi="Times New Roman"/>
        </w:rPr>
        <w:t xml:space="preserve"> </w:t>
      </w:r>
      <w:bookmarkEnd w:id="278"/>
      <w:r>
        <w:rPr>
          <w:rFonts w:ascii="Times New Roman" w:hAnsi="Times New Roman"/>
        </w:rPr>
        <w:t xml:space="preserve">un </w:t>
      </w:r>
      <w:bookmarkStart w:id="279" w:name="_Hlk69744086"/>
      <w:proofErr w:type="spellStart"/>
      <w:r>
        <w:rPr>
          <w:rFonts w:ascii="Times New Roman" w:hAnsi="Times New Roman"/>
        </w:rPr>
        <w:t>Bošņaka</w:t>
      </w:r>
      <w:bookmarkEnd w:id="279"/>
      <w:proofErr w:type="spellEnd"/>
      <w:r>
        <w:rPr>
          <w:rFonts w:ascii="Times New Roman" w:hAnsi="Times New Roman"/>
        </w:rPr>
        <w:t xml:space="preserve"> kopīgais daļēji piekrītošais viedoklis;</w:t>
      </w:r>
      <w:bookmarkEnd w:id="277"/>
    </w:p>
    <w:p w14:paraId="76AF687B" w14:textId="77777777" w:rsidR="00DA068F" w:rsidRPr="008D031E" w:rsidRDefault="00DA068F" w:rsidP="00943BD6">
      <w:pPr>
        <w:pStyle w:val="JuPara"/>
        <w:widowControl w:val="0"/>
        <w:ind w:firstLine="142"/>
        <w:rPr>
          <w:rFonts w:ascii="Times New Roman" w:hAnsi="Times New Roman"/>
          <w:noProof/>
        </w:rPr>
      </w:pPr>
      <w:bookmarkStart w:id="280" w:name="_Hlk69475775"/>
      <w:r>
        <w:rPr>
          <w:rFonts w:ascii="Times New Roman" w:hAnsi="Times New Roman"/>
        </w:rPr>
        <w:t xml:space="preserve">b) tiesneša </w:t>
      </w:r>
      <w:proofErr w:type="spellStart"/>
      <w:r>
        <w:rPr>
          <w:rFonts w:ascii="Times New Roman" w:hAnsi="Times New Roman"/>
        </w:rPr>
        <w:t>Pinto</w:t>
      </w:r>
      <w:proofErr w:type="spellEnd"/>
      <w:r>
        <w:rPr>
          <w:rFonts w:ascii="Times New Roman" w:hAnsi="Times New Roman"/>
        </w:rPr>
        <w:t xml:space="preserve"> </w:t>
      </w:r>
      <w:proofErr w:type="spellStart"/>
      <w:r>
        <w:rPr>
          <w:rFonts w:ascii="Times New Roman" w:hAnsi="Times New Roman"/>
        </w:rPr>
        <w:t>de</w:t>
      </w:r>
      <w:proofErr w:type="spellEnd"/>
      <w:r>
        <w:rPr>
          <w:rFonts w:ascii="Times New Roman" w:hAnsi="Times New Roman"/>
        </w:rPr>
        <w:t xml:space="preserve"> Albukerkes daļēji piekrītošais un daļēji nepiekrītošais viedoklis</w:t>
      </w:r>
      <w:bookmarkEnd w:id="280"/>
      <w:r>
        <w:rPr>
          <w:rFonts w:ascii="Times New Roman" w:hAnsi="Times New Roman"/>
        </w:rPr>
        <w:t>;</w:t>
      </w:r>
    </w:p>
    <w:p w14:paraId="42483B9B" w14:textId="77777777" w:rsidR="00DA068F" w:rsidRPr="008D031E" w:rsidRDefault="00DA068F" w:rsidP="00943BD6">
      <w:pPr>
        <w:pStyle w:val="JuPara"/>
        <w:widowControl w:val="0"/>
        <w:ind w:firstLine="142"/>
        <w:rPr>
          <w:rFonts w:ascii="Times New Roman" w:hAnsi="Times New Roman"/>
          <w:noProof/>
        </w:rPr>
      </w:pPr>
      <w:r>
        <w:rPr>
          <w:rFonts w:ascii="Times New Roman" w:hAnsi="Times New Roman"/>
        </w:rPr>
        <w:t xml:space="preserve">c) tiesnešu </w:t>
      </w:r>
      <w:proofErr w:type="spellStart"/>
      <w:r>
        <w:rPr>
          <w:rFonts w:ascii="Times New Roman" w:hAnsi="Times New Roman"/>
        </w:rPr>
        <w:t>Lemensa</w:t>
      </w:r>
      <w:proofErr w:type="spellEnd"/>
      <w:r>
        <w:rPr>
          <w:rFonts w:ascii="Times New Roman" w:hAnsi="Times New Roman"/>
        </w:rPr>
        <w:t xml:space="preserve">, </w:t>
      </w:r>
      <w:proofErr w:type="spellStart"/>
      <w:r>
        <w:rPr>
          <w:rFonts w:ascii="Times New Roman" w:hAnsi="Times New Roman"/>
        </w:rPr>
        <w:t>Vehaboviča</w:t>
      </w:r>
      <w:proofErr w:type="spellEnd"/>
      <w:r>
        <w:rPr>
          <w:rFonts w:ascii="Times New Roman" w:hAnsi="Times New Roman"/>
        </w:rPr>
        <w:t xml:space="preserve">, </w:t>
      </w:r>
      <w:proofErr w:type="spellStart"/>
      <w:r>
        <w:rPr>
          <w:rFonts w:ascii="Times New Roman" w:hAnsi="Times New Roman"/>
        </w:rPr>
        <w:t>Ranconi</w:t>
      </w:r>
      <w:proofErr w:type="spellEnd"/>
      <w:r>
        <w:rPr>
          <w:rFonts w:ascii="Times New Roman" w:hAnsi="Times New Roman"/>
        </w:rPr>
        <w:t xml:space="preserve"> un </w:t>
      </w:r>
      <w:proofErr w:type="spellStart"/>
      <w:r>
        <w:rPr>
          <w:rFonts w:ascii="Times New Roman" w:hAnsi="Times New Roman"/>
        </w:rPr>
        <w:t>Bošņaka</w:t>
      </w:r>
      <w:proofErr w:type="spellEnd"/>
      <w:r>
        <w:rPr>
          <w:rFonts w:ascii="Times New Roman" w:hAnsi="Times New Roman"/>
        </w:rPr>
        <w:t xml:space="preserve"> kopīgais daļēji nepiekrītošais viedoklis.</w:t>
      </w:r>
    </w:p>
    <w:p w14:paraId="68238C23" w14:textId="77777777" w:rsidR="00DA068F" w:rsidRDefault="00DA068F" w:rsidP="00DA068F">
      <w:pPr>
        <w:pStyle w:val="JuInitialled"/>
        <w:widowControl w:val="0"/>
        <w:spacing w:before="0"/>
        <w:jc w:val="both"/>
        <w:rPr>
          <w:rFonts w:ascii="Times New Roman" w:hAnsi="Times New Roman"/>
          <w:noProof/>
          <w:lang w:val="en-US"/>
        </w:rPr>
      </w:pPr>
    </w:p>
    <w:p w14:paraId="36C40AF5" w14:textId="77777777" w:rsidR="00DA068F" w:rsidRDefault="00DA068F" w:rsidP="00DA068F">
      <w:pPr>
        <w:pStyle w:val="JuInitialled"/>
        <w:widowControl w:val="0"/>
        <w:spacing w:before="0"/>
        <w:jc w:val="both"/>
        <w:rPr>
          <w:rFonts w:ascii="Times New Roman" w:hAnsi="Times New Roman"/>
          <w:noProof/>
          <w:lang w:val="en-US"/>
        </w:rPr>
      </w:pPr>
    </w:p>
    <w:p w14:paraId="19E53698" w14:textId="77777777" w:rsidR="00DA068F" w:rsidRPr="008D031E" w:rsidRDefault="00DA068F" w:rsidP="00DA068F">
      <w:pPr>
        <w:pStyle w:val="JuInitialled"/>
        <w:widowControl w:val="0"/>
        <w:spacing w:before="0"/>
        <w:rPr>
          <w:rFonts w:ascii="Times New Roman" w:hAnsi="Times New Roman"/>
          <w:noProof/>
        </w:rPr>
      </w:pPr>
      <w:r>
        <w:rPr>
          <w:rFonts w:ascii="Times New Roman" w:hAnsi="Times New Roman"/>
        </w:rPr>
        <w:t>R. S. O.</w:t>
      </w:r>
      <w:r>
        <w:rPr>
          <w:rFonts w:ascii="Times New Roman" w:hAnsi="Times New Roman"/>
        </w:rPr>
        <w:br/>
        <w:t>S. C. P.</w:t>
      </w:r>
    </w:p>
    <w:p w14:paraId="096C13AE" w14:textId="77777777" w:rsidR="00DA068F" w:rsidRPr="008D031E" w:rsidRDefault="00DA068F" w:rsidP="00DA068F">
      <w:pPr>
        <w:widowControl w:val="0"/>
        <w:jc w:val="both"/>
        <w:rPr>
          <w:rFonts w:ascii="Times New Roman" w:hAnsi="Times New Roman"/>
          <w:b/>
          <w:caps/>
          <w:noProof/>
          <w:lang w:val="en-US"/>
        </w:rPr>
      </w:pPr>
    </w:p>
    <w:p w14:paraId="085B703D" w14:textId="77777777" w:rsidR="001B0A3C" w:rsidRDefault="001B0A3C" w:rsidP="00DA068F">
      <w:pPr>
        <w:widowControl w:val="0"/>
        <w:sectPr w:rsidR="001B0A3C" w:rsidSect="008D031E">
          <w:headerReference w:type="default" r:id="rId13"/>
          <w:footerReference w:type="default" r:id="rId14"/>
          <w:headerReference w:type="first" r:id="rId15"/>
          <w:footerReference w:type="first" r:id="rId16"/>
          <w:pgSz w:w="11906" w:h="16838" w:code="9"/>
          <w:pgMar w:top="1134" w:right="1134" w:bottom="1134" w:left="1701" w:header="567" w:footer="567" w:gutter="0"/>
          <w:cols w:space="720"/>
          <w:titlePg/>
          <w:docGrid w:linePitch="326"/>
        </w:sectPr>
      </w:pPr>
    </w:p>
    <w:p w14:paraId="144FA3F6" w14:textId="77777777" w:rsidR="00DA068F" w:rsidRPr="00D674CF" w:rsidRDefault="00DA068F" w:rsidP="00DA068F">
      <w:pPr>
        <w:pStyle w:val="ECHRTitleCentre1"/>
        <w:keepNext w:val="0"/>
        <w:keepLines w:val="0"/>
        <w:widowControl w:val="0"/>
        <w:spacing w:before="0"/>
        <w:contextualSpacing w:val="0"/>
        <w:rPr>
          <w:rFonts w:ascii="Times New Roman" w:hAnsi="Times New Roman"/>
          <w:b w:val="0"/>
          <w:bCs/>
          <w:noProof/>
          <w:color w:val="auto"/>
          <w:sz w:val="28"/>
          <w:szCs w:val="32"/>
        </w:rPr>
      </w:pPr>
      <w:r w:rsidRPr="00D674CF">
        <w:rPr>
          <w:rFonts w:ascii="Times New Roman" w:hAnsi="Times New Roman"/>
          <w:b w:val="0"/>
          <w:color w:val="auto"/>
          <w:sz w:val="28"/>
          <w:szCs w:val="28"/>
        </w:rPr>
        <w:lastRenderedPageBreak/>
        <w:t xml:space="preserve">TIESNEŠU </w:t>
      </w:r>
      <w:proofErr w:type="spellStart"/>
      <w:r w:rsidRPr="00D674CF">
        <w:rPr>
          <w:rFonts w:ascii="Times New Roman" w:hAnsi="Times New Roman"/>
          <w:b w:val="0"/>
          <w:color w:val="auto"/>
          <w:sz w:val="28"/>
          <w:szCs w:val="28"/>
        </w:rPr>
        <w:t>LEMENSA</w:t>
      </w:r>
      <w:proofErr w:type="spellEnd"/>
      <w:r w:rsidRPr="00D674CF">
        <w:rPr>
          <w:rFonts w:ascii="Times New Roman" w:hAnsi="Times New Roman"/>
          <w:b w:val="0"/>
          <w:color w:val="auto"/>
          <w:sz w:val="28"/>
          <w:szCs w:val="28"/>
        </w:rPr>
        <w:t xml:space="preserve">, </w:t>
      </w:r>
      <w:proofErr w:type="spellStart"/>
      <w:r w:rsidRPr="00D674CF">
        <w:rPr>
          <w:rFonts w:ascii="Times New Roman" w:hAnsi="Times New Roman"/>
          <w:b w:val="0"/>
          <w:color w:val="auto"/>
          <w:sz w:val="28"/>
          <w:szCs w:val="28"/>
        </w:rPr>
        <w:t>VEHABOVIČA</w:t>
      </w:r>
      <w:proofErr w:type="spellEnd"/>
      <w:r w:rsidRPr="00D674CF">
        <w:rPr>
          <w:rFonts w:ascii="Times New Roman" w:hAnsi="Times New Roman"/>
          <w:b w:val="0"/>
          <w:color w:val="auto"/>
          <w:sz w:val="28"/>
          <w:szCs w:val="28"/>
        </w:rPr>
        <w:t xml:space="preserve"> UN </w:t>
      </w:r>
      <w:proofErr w:type="spellStart"/>
      <w:r w:rsidRPr="00D674CF">
        <w:rPr>
          <w:rFonts w:ascii="Times New Roman" w:hAnsi="Times New Roman"/>
          <w:b w:val="0"/>
          <w:color w:val="auto"/>
          <w:sz w:val="28"/>
          <w:szCs w:val="28"/>
        </w:rPr>
        <w:t>BOŠŅAKA</w:t>
      </w:r>
      <w:proofErr w:type="spellEnd"/>
      <w:r w:rsidRPr="00D674CF">
        <w:rPr>
          <w:rFonts w:ascii="Times New Roman" w:hAnsi="Times New Roman"/>
          <w:b w:val="0"/>
          <w:color w:val="auto"/>
          <w:sz w:val="28"/>
          <w:szCs w:val="28"/>
        </w:rPr>
        <w:t xml:space="preserve"> KOPĪGAIS DAĻĒJI PIEKRĪTOŠAIS VIEDOKLIS</w:t>
      </w:r>
    </w:p>
    <w:p w14:paraId="4E51C97E" w14:textId="77777777" w:rsidR="00DA068F" w:rsidRPr="008D031E" w:rsidRDefault="00DA068F" w:rsidP="00DA068F">
      <w:pPr>
        <w:pStyle w:val="JuPara"/>
        <w:widowControl w:val="0"/>
        <w:ind w:firstLine="0"/>
        <w:rPr>
          <w:rFonts w:ascii="Times New Roman" w:hAnsi="Times New Roman"/>
          <w:b/>
          <w:noProof/>
          <w:lang w:val="en-US"/>
        </w:rPr>
      </w:pPr>
    </w:p>
    <w:p w14:paraId="32ABB84C" w14:textId="77777777" w:rsidR="00DA068F" w:rsidRDefault="00DA068F" w:rsidP="00DA068F">
      <w:pPr>
        <w:pStyle w:val="JuPara"/>
        <w:widowControl w:val="0"/>
        <w:ind w:firstLine="142"/>
        <w:rPr>
          <w:rFonts w:ascii="Times New Roman" w:hAnsi="Times New Roman"/>
          <w:noProof/>
        </w:rPr>
      </w:pPr>
      <w:r>
        <w:rPr>
          <w:rFonts w:ascii="Times New Roman" w:hAnsi="Times New Roman"/>
        </w:rPr>
        <w:t xml:space="preserve">1. Šajā lietā mēs piekrītam vairākumam visos sprieduma rezolutīvās daļas aspektos, izņemot attiecībā uz 3. punktu (nav pārkāpts Konvencijas 8. pants attiecībā uz </w:t>
      </w:r>
      <w:proofErr w:type="spellStart"/>
      <w:r>
        <w:rPr>
          <w:rFonts w:ascii="Times New Roman" w:hAnsi="Times New Roman"/>
        </w:rPr>
        <w:t>izlūkdatu</w:t>
      </w:r>
      <w:proofErr w:type="spellEnd"/>
      <w:r>
        <w:rPr>
          <w:rFonts w:ascii="Times New Roman" w:hAnsi="Times New Roman"/>
        </w:rPr>
        <w:t xml:space="preserve"> saņemšanu no ārvalstu izlūkdienestiem) un 5. punktu (nav pārkāpts Konvencijas 10. pants saistībā ar </w:t>
      </w:r>
      <w:proofErr w:type="spellStart"/>
      <w:r>
        <w:rPr>
          <w:rFonts w:ascii="Times New Roman" w:hAnsi="Times New Roman"/>
        </w:rPr>
        <w:t>izlūkdatu</w:t>
      </w:r>
      <w:proofErr w:type="spellEnd"/>
      <w:r>
        <w:rPr>
          <w:rFonts w:ascii="Times New Roman" w:hAnsi="Times New Roman"/>
        </w:rPr>
        <w:t xml:space="preserve"> saņemšanu no ārvalstu izlūkdienestiem). Lai pamatotu punktus, kuros mēs nepiekrītam lietas iznākumam, mēs iesniedzam nepiekrītošo viedokli kopā ar mūsu kolēģi, tiesnesi </w:t>
      </w:r>
      <w:proofErr w:type="spellStart"/>
      <w:r>
        <w:rPr>
          <w:rFonts w:ascii="Times New Roman" w:hAnsi="Times New Roman"/>
        </w:rPr>
        <w:t>Ranconi</w:t>
      </w:r>
      <w:proofErr w:type="spellEnd"/>
      <w:r>
        <w:rPr>
          <w:rFonts w:ascii="Times New Roman" w:hAnsi="Times New Roman"/>
        </w:rPr>
        <w:t>. Turklāt mēs iesniedzam šo piekrītošo viedokli, lai uzsvērtu, ka, lai gan šis spriedums kopumā ir veiksmīgi strukturēts un satura ziņā lielākoties skaidri formulēts, tajā nav izmantota iespēja pilnībā uzsvērt to, cik nozīmīga ir privātās dzīves un korespondences neaizskaramība, kad iejaukšanās pieļauta masveida uzraudzības rezultātā.</w:t>
      </w:r>
    </w:p>
    <w:p w14:paraId="00CA0711" w14:textId="77777777" w:rsidR="00DA068F" w:rsidRPr="008D031E" w:rsidRDefault="00DA068F" w:rsidP="00DA068F">
      <w:pPr>
        <w:pStyle w:val="JuPara"/>
        <w:widowControl w:val="0"/>
        <w:ind w:firstLine="0"/>
        <w:rPr>
          <w:rFonts w:ascii="Times New Roman" w:hAnsi="Times New Roman"/>
          <w:noProof/>
          <w:lang w:val="en-US"/>
        </w:rPr>
      </w:pPr>
    </w:p>
    <w:p w14:paraId="617DC747" w14:textId="77777777" w:rsidR="00DA068F" w:rsidRDefault="00DA068F" w:rsidP="00DA068F">
      <w:pPr>
        <w:pStyle w:val="JuHIRoman"/>
        <w:keepNext w:val="0"/>
        <w:keepLines w:val="0"/>
        <w:widowControl w:val="0"/>
        <w:numPr>
          <w:ilvl w:val="0"/>
          <w:numId w:val="0"/>
        </w:numPr>
        <w:spacing w:before="0" w:beforeAutospacing="0" w:after="0"/>
        <w:outlineLvl w:val="9"/>
        <w:rPr>
          <w:rFonts w:ascii="Times New Roman" w:hAnsi="Times New Roman"/>
          <w:caps w:val="0"/>
          <w:noProof/>
        </w:rPr>
      </w:pPr>
      <w:r>
        <w:rPr>
          <w:rFonts w:ascii="Times New Roman" w:hAnsi="Times New Roman"/>
          <w:caps w:val="0"/>
        </w:rPr>
        <w:t>I. SĀKOTNĒJĀS PIEZĪMES</w:t>
      </w:r>
    </w:p>
    <w:p w14:paraId="3152E029" w14:textId="77777777" w:rsidR="00DA068F" w:rsidRPr="007441F3" w:rsidRDefault="00DA068F" w:rsidP="00DA068F">
      <w:pPr>
        <w:pStyle w:val="JuPara"/>
        <w:widowControl w:val="0"/>
        <w:rPr>
          <w:lang w:val="en-US"/>
        </w:rPr>
      </w:pPr>
    </w:p>
    <w:p w14:paraId="536E6361"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2. Šī lieta ir saistīta ar līdzsvara panākšanu starp līgumslēdzēju valstu leģitīmajām interesēm un cilvēktiesībām un pamatbrīvībām, ko īpaši aizsargā Konvencijas 8. pants. </w:t>
      </w:r>
      <w:proofErr w:type="spellStart"/>
      <w:r>
        <w:rPr>
          <w:rFonts w:ascii="Times New Roman" w:hAnsi="Times New Roman"/>
        </w:rPr>
        <w:t>Izvērtējuma</w:t>
      </w:r>
      <w:proofErr w:type="spellEnd"/>
      <w:r>
        <w:rPr>
          <w:rFonts w:ascii="Times New Roman" w:hAnsi="Times New Roman"/>
        </w:rPr>
        <w:t xml:space="preserve"> sākumā (sprieduma 322. un 323. punktā) Lielā palāta izvērsti raksturo to moderno draudu būtību, ar kuriem saskaras līgumslēdzējas puses, un atzīst, cik vērtīga var būt masveida pārtveršana, identificējot un novēršot šos draudus. Turklāt spriedumā uzsvērta darbību slepenības nepieciešamība šajā jomā, ko Lielā palāta atzīst par pamatotu, proti, sabiedrībai būs pieejams ļoti neliels daudzums informācijas par attiecīgo režīmu vai šāda informācija nebūs pieejama vispār. Zināmā mērā var piekrist tam, kā ir raksturotas leģitīmās intereses saistībā ar masveida pārtveršanas režīma izmantošanu, tomēr jānorāda, ka tajās pašās sākotnējās piezīmēs nav tikpat spēcīgi uzsvērta privātuma vai jebkuru citu privāto interešu nozīme. Lai gan tas tieši neietekmē konkrētās masveida pārtveršanas sistēmas </w:t>
      </w:r>
      <w:proofErr w:type="spellStart"/>
      <w:r>
        <w:rPr>
          <w:rFonts w:ascii="Times New Roman" w:hAnsi="Times New Roman"/>
        </w:rPr>
        <w:t>izvērtējumu</w:t>
      </w:r>
      <w:proofErr w:type="spellEnd"/>
      <w:r>
        <w:rPr>
          <w:rFonts w:ascii="Times New Roman" w:hAnsi="Times New Roman"/>
        </w:rPr>
        <w:t xml:space="preserve">, mēs šajā </w:t>
      </w:r>
      <w:proofErr w:type="spellStart"/>
      <w:r>
        <w:rPr>
          <w:rFonts w:ascii="Times New Roman" w:hAnsi="Times New Roman"/>
        </w:rPr>
        <w:t>izvērtējumā</w:t>
      </w:r>
      <w:proofErr w:type="spellEnd"/>
      <w:r>
        <w:rPr>
          <w:rFonts w:ascii="Times New Roman" w:hAnsi="Times New Roman"/>
        </w:rPr>
        <w:t xml:space="preserve"> būtu devuši priekšroku daudz līdzsvarotākam ievadam.</w:t>
      </w:r>
    </w:p>
    <w:p w14:paraId="4CE75BF3"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3. Pirms izvērtēt šā sprieduma, mūsuprāt, vājās puses, vēlamies atgādināt, ka privātās dzīves neaizskaramība ir ne tikai dažādu individuālu </w:t>
      </w:r>
      <w:proofErr w:type="spellStart"/>
      <w:r>
        <w:rPr>
          <w:rFonts w:ascii="Times New Roman" w:hAnsi="Times New Roman"/>
        </w:rPr>
        <w:t>pamatinterešu</w:t>
      </w:r>
      <w:proofErr w:type="spellEnd"/>
      <w:r>
        <w:rPr>
          <w:rFonts w:ascii="Times New Roman" w:hAnsi="Times New Roman"/>
        </w:rPr>
        <w:t>, bet arī demokrātiskas sabiedrības pastāvēšanas priekšnoteikums. Tā būtiski ietekmē cilvēka labsajūtu, autonomiju, personīgo attīstību un spēju veidot jēgpilnas attiecības ar citām personām. Tā arī ir svarīgs priekšnoteikums, lai personas varētu īstenot savas pilsoniskās tiesības un līdz ar to arī izmantot brīva un vienlīdzīga demokrātiskas sabiedrības locekļa statusu. Privātās dzīves aizskaršana ne tikai mazina personas autonomiju un pasliktina tās garīgo un fizisko veselību, bet arī apgrūtina demokrātisku pašpārvaldi.</w:t>
      </w:r>
    </w:p>
    <w:p w14:paraId="62BF5FB4"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4. Pirmkārt, privātās dzīves neaizskaramība ir svarīga personas garīgajai un fiziskajai veselībai.</w:t>
      </w:r>
      <w:r>
        <w:rPr>
          <w:rFonts w:ascii="Times New Roman" w:hAnsi="Times New Roman"/>
          <w:vertAlign w:val="superscript"/>
        </w:rPr>
        <w:t xml:space="preserve"> </w:t>
      </w:r>
      <w:r>
        <w:rPr>
          <w:rFonts w:ascii="Times New Roman" w:hAnsi="Times New Roman"/>
        </w:rPr>
        <w:t xml:space="preserve">Tikai sajūta vien, ka citas personas tevi pastāvīgi novēro un vērtē, var nopietni ietekmēt cilvēka garīgo un fizisko labsajūtu. Tādējādi tiek pārāk ierobežota cilvēku sociālā uzvedība, liekot viņiem justies vainīgiem vai kaunēties par savām jūtām vai domām, vēlmēm vai rīcību, ko viņi nevēlētos paust publiski. Šāda spriedze starp viņu iekšējās pasaules vajadzībām un </w:t>
      </w:r>
      <w:proofErr w:type="spellStart"/>
      <w:r>
        <w:rPr>
          <w:rFonts w:ascii="Times New Roman" w:hAnsi="Times New Roman"/>
        </w:rPr>
        <w:t>pašapliecināšanās</w:t>
      </w:r>
      <w:proofErr w:type="spellEnd"/>
      <w:r>
        <w:rPr>
          <w:rFonts w:ascii="Times New Roman" w:hAnsi="Times New Roman"/>
        </w:rPr>
        <w:t xml:space="preserve"> radīto spiedienu var radīt nopietnas veselības problēmas.</w:t>
      </w:r>
    </w:p>
    <w:p w14:paraId="62C761D7"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5. Otrkārt, ārējie novērojumi un </w:t>
      </w:r>
      <w:proofErr w:type="spellStart"/>
      <w:r>
        <w:rPr>
          <w:rFonts w:ascii="Times New Roman" w:hAnsi="Times New Roman"/>
        </w:rPr>
        <w:t>pašapliecināšanās</w:t>
      </w:r>
      <w:proofErr w:type="spellEnd"/>
      <w:r>
        <w:rPr>
          <w:rFonts w:ascii="Times New Roman" w:hAnsi="Times New Roman"/>
        </w:rPr>
        <w:t xml:space="preserve"> radītais spiediens kavē “brīvības, autonomijas, patības un cilvēku savstarpējo attiecību sekmēšanu un brīvas sabiedrības pastāvēšanu”.</w:t>
      </w:r>
      <w:r w:rsidRPr="008D031E">
        <w:rPr>
          <w:rFonts w:ascii="Times New Roman" w:hAnsi="Times New Roman"/>
          <w:noProof/>
          <w:vertAlign w:val="superscript"/>
          <w:lang w:val="en-US"/>
        </w:rPr>
        <w:footnoteReference w:id="3"/>
      </w:r>
      <w:r>
        <w:rPr>
          <w:rFonts w:ascii="Times New Roman" w:hAnsi="Times New Roman"/>
        </w:rPr>
        <w:t xml:space="preserve"> Uzraudzība rada kavējošu iedarbību, jo tā samazina apmēru, kādā mēs varam spontāni un patiesi sazināties ar citiem cilvēkiem un iesaistīties zināmās darbībās. Privātās dzīves neaizskaramības trūkums radītu bremzējošu ietekmi uz mūsu iekšējo pasauli, mūsu savstarpējām attiecībām un līdz ar to arī mūsu autonomiju. “Tādējādi tiks zaudēts (..) iekšējais </w:t>
      </w:r>
      <w:r>
        <w:rPr>
          <w:rFonts w:ascii="Times New Roman" w:hAnsi="Times New Roman"/>
        </w:rPr>
        <w:lastRenderedPageBreak/>
        <w:t>personīgais kodols, kas ir mūsu paražu kritikas, radošuma, pretošanās un atjaunošanās avots.”</w:t>
      </w:r>
      <w:r w:rsidRPr="008D031E">
        <w:rPr>
          <w:rFonts w:ascii="Times New Roman" w:hAnsi="Times New Roman"/>
          <w:noProof/>
          <w:vertAlign w:val="superscript"/>
          <w:lang w:val="en-US"/>
        </w:rPr>
        <w:footnoteReference w:id="4"/>
      </w:r>
    </w:p>
    <w:p w14:paraId="16017310" w14:textId="77777777" w:rsidR="00DA068F" w:rsidRDefault="00DA068F" w:rsidP="00DA068F">
      <w:pPr>
        <w:pStyle w:val="JuPara"/>
        <w:widowControl w:val="0"/>
        <w:ind w:firstLine="142"/>
        <w:rPr>
          <w:rFonts w:ascii="Times New Roman" w:hAnsi="Times New Roman"/>
          <w:noProof/>
        </w:rPr>
      </w:pPr>
      <w:r>
        <w:rPr>
          <w:rFonts w:ascii="Times New Roman" w:hAnsi="Times New Roman"/>
        </w:rPr>
        <w:t>6. Treškārt, privātās dzīves neaizskaramība ir svarīga demokrātiskai pašpārvaldei. Masveida uzraudzība rada ārēju un iekšēju spiedienu, liekot indivīdiem pielāgoties un padarot viņus pakļāvīgus un godbijīgus. Lai izvairītos no tiešas apspiešanas un piešķirtu sev leģitimitātes akcentu, pastāv risks, ka valsts veiks uzraudzību, lai panāktu atbilstību un pakļāvību. Kā Džordžs Orvels [</w:t>
      </w:r>
      <w:r>
        <w:rPr>
          <w:rFonts w:ascii="Times New Roman" w:hAnsi="Times New Roman"/>
          <w:i/>
          <w:iCs/>
        </w:rPr>
        <w:t xml:space="preserve">George </w:t>
      </w:r>
      <w:proofErr w:type="spellStart"/>
      <w:r>
        <w:rPr>
          <w:rFonts w:ascii="Times New Roman" w:hAnsi="Times New Roman"/>
          <w:i/>
          <w:iCs/>
        </w:rPr>
        <w:t>Orwell</w:t>
      </w:r>
      <w:proofErr w:type="spellEnd"/>
      <w:r>
        <w:rPr>
          <w:rFonts w:ascii="Times New Roman" w:hAnsi="Times New Roman"/>
        </w:rPr>
        <w:t>] izklāstīja savā romānā “1984” [</w:t>
      </w:r>
      <w:r>
        <w:rPr>
          <w:rFonts w:ascii="Times New Roman" w:hAnsi="Times New Roman"/>
          <w:i/>
        </w:rPr>
        <w:t>“</w:t>
      </w:r>
      <w:proofErr w:type="spellStart"/>
      <w:r>
        <w:rPr>
          <w:rFonts w:ascii="Times New Roman" w:hAnsi="Times New Roman"/>
          <w:i/>
        </w:rPr>
        <w:t>Nineteen</w:t>
      </w:r>
      <w:proofErr w:type="spellEnd"/>
      <w:r>
        <w:rPr>
          <w:rFonts w:ascii="Times New Roman" w:hAnsi="Times New Roman"/>
          <w:i/>
        </w:rPr>
        <w:t xml:space="preserve"> </w:t>
      </w:r>
      <w:proofErr w:type="spellStart"/>
      <w:r>
        <w:rPr>
          <w:rFonts w:ascii="Times New Roman" w:hAnsi="Times New Roman"/>
          <w:i/>
        </w:rPr>
        <w:t>Eighty-Four</w:t>
      </w:r>
      <w:proofErr w:type="spellEnd"/>
      <w:r>
        <w:rPr>
          <w:rFonts w:ascii="Times New Roman" w:hAnsi="Times New Roman"/>
          <w:i/>
        </w:rPr>
        <w:t>”</w:t>
      </w:r>
      <w:r>
        <w:rPr>
          <w:rFonts w:ascii="Times New Roman" w:hAnsi="Times New Roman"/>
        </w:rPr>
        <w:t>]:</w:t>
      </w:r>
    </w:p>
    <w:p w14:paraId="50A7ED40" w14:textId="77777777" w:rsidR="00DA068F" w:rsidRPr="008D031E" w:rsidRDefault="00DA068F" w:rsidP="00DA068F">
      <w:pPr>
        <w:pStyle w:val="JuPara"/>
        <w:widowControl w:val="0"/>
        <w:ind w:firstLine="142"/>
        <w:rPr>
          <w:rFonts w:ascii="Times New Roman" w:hAnsi="Times New Roman"/>
          <w:noProof/>
          <w:lang w:val="en-US"/>
        </w:rPr>
      </w:pPr>
    </w:p>
    <w:p w14:paraId="5545922E" w14:textId="77777777" w:rsidR="00DA068F" w:rsidRDefault="00DA068F" w:rsidP="00DA068F">
      <w:pPr>
        <w:pStyle w:val="JuQuot"/>
        <w:widowControl w:val="0"/>
        <w:spacing w:before="0" w:after="0"/>
        <w:ind w:left="284" w:firstLine="0"/>
        <w:rPr>
          <w:rFonts w:ascii="Times New Roman" w:hAnsi="Times New Roman"/>
          <w:noProof/>
          <w:sz w:val="24"/>
        </w:rPr>
      </w:pPr>
      <w:r>
        <w:rPr>
          <w:rFonts w:ascii="Times New Roman" w:hAnsi="Times New Roman"/>
          <w:sz w:val="24"/>
        </w:rPr>
        <w:t>“Protams, nebija iespējams pateikt, vai attiecīgajā brīdī jūs novēro vai ne. Cik bieži vai pēc kādas metodes domu policija pieslēdzas katram atsevišķam vadam, to varēja tikai minēt. Bija pat iespējams, ka tā nemitīgi novēro visus. Lai būtu kā būdams, bija skaidrs, ka tā var pieslēgties katram vadam, kad vien vēlas. Bija jādzīvo, un aiz ieraduma, kas bija pārvērties instinktā, ikviens arī dzīvoja pārliecībā, ka jebkuru skaņu un vārdu kaut kur dzird un, izņemot tumsas brīžus, ik kustību novēro.”</w:t>
      </w:r>
      <w:r w:rsidRPr="008D031E">
        <w:rPr>
          <w:rFonts w:ascii="Times New Roman" w:hAnsi="Times New Roman"/>
          <w:noProof/>
          <w:sz w:val="24"/>
          <w:vertAlign w:val="superscript"/>
          <w:lang w:val="en-US"/>
        </w:rPr>
        <w:footnoteReference w:id="5"/>
      </w:r>
    </w:p>
    <w:p w14:paraId="6905D80F" w14:textId="77777777" w:rsidR="00DA068F" w:rsidRPr="008D031E" w:rsidRDefault="00DA068F" w:rsidP="00DA068F">
      <w:pPr>
        <w:pStyle w:val="JuQuot"/>
        <w:widowControl w:val="0"/>
        <w:spacing w:before="0" w:after="0"/>
        <w:ind w:left="0" w:firstLine="0"/>
        <w:rPr>
          <w:rFonts w:ascii="Times New Roman" w:hAnsi="Times New Roman"/>
          <w:noProof/>
          <w:sz w:val="24"/>
          <w:lang w:val="en-US"/>
        </w:rPr>
      </w:pPr>
    </w:p>
    <w:p w14:paraId="203EA020"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7. Nodrošinot nenovērotas darbības vidi, privātās dzīves neaizskaramība veicina un sekmē pilsoņu morālo autonomiju, kas ir galvenā pašpārvaldes prasība demokrātiskā sabiedrībā.</w:t>
      </w:r>
      <w:r w:rsidRPr="008D031E">
        <w:rPr>
          <w:rFonts w:ascii="Times New Roman" w:hAnsi="Times New Roman"/>
          <w:noProof/>
          <w:vertAlign w:val="superscript"/>
          <w:lang w:val="en-US"/>
        </w:rPr>
        <w:footnoteReference w:id="6"/>
      </w:r>
      <w:r>
        <w:rPr>
          <w:rFonts w:ascii="Times New Roman" w:hAnsi="Times New Roman"/>
        </w:rPr>
        <w:t xml:space="preserve"> Vienīgi autonomas personas var patiesi pārvaldīt sevi un īstenot visas pilsoniskās tiesības, piemēram, tiesības balsot, biedrošanās brīvību, tiesības piedalīties pilsoniskās sabiedrības dzīvē, kā arī domu un apziņas, vārda un izpausmes, un reliģijas brīvību, kas ir būtiski aspekti pašpārvaldē. Nevar apgalvot, ka mēs pilnībā īstenojam brīvības, kuras šīm tiesībām ir jāgarantē, ja tiek apdraudēta mūsu iekšējā brīvība.</w:t>
      </w:r>
    </w:p>
    <w:p w14:paraId="1D91BBF3" w14:textId="77777777" w:rsidR="00DA068F" w:rsidRDefault="00DA068F" w:rsidP="00DA068F">
      <w:pPr>
        <w:pStyle w:val="JuPara"/>
        <w:widowControl w:val="0"/>
        <w:ind w:firstLine="142"/>
        <w:rPr>
          <w:rFonts w:ascii="Times New Roman" w:hAnsi="Times New Roman"/>
          <w:noProof/>
        </w:rPr>
      </w:pPr>
      <w:r>
        <w:rPr>
          <w:rFonts w:ascii="Times New Roman" w:hAnsi="Times New Roman"/>
        </w:rPr>
        <w:t>8. Tomēr uzraudzība nerada vienīgi iekšējo spiedienu uz brīvību. Ciktāl pilsoņi saglabā savu autonomiju, tā rada arī ārējo spiedienu uz viņu brīvību īstenot savas pilsoniskās tiesības. Gluži kā pastāvīgas sociālās kontroles ietekmē ir mazāk ticams, ka mēs bailēs no atstumtības rīkosimies savu jūtu un domu vadīti, dzīvošana pastāvīgā valdības uzraudzībā var likt pilsoņiem būt nedaudz piesardzīgākiem, paužot savu politisko pārliecību, nedaudz mazāk brīvi biedroties, nedaudz mazāk brīvi izteikties, nedaudz mazāk paust pretēju viedokli un ne tik aktīvi kandidēt uz valsts amatiem. Bieži vien šķietami nebūtisku traucēkļu kopums var nomākt to, ko reiz dēvējām par brīvu sabiedrību, vēl jo vairāk tādēļ, ka cilvēki uzaug vidē, kurai raksturīgs izteikts konformisms un morālais gļēvums. ASV Augstākās tiesas tiesnesis Viljams O. Duglass [</w:t>
      </w:r>
      <w:proofErr w:type="spellStart"/>
      <w:r>
        <w:rPr>
          <w:rFonts w:ascii="Times New Roman" w:hAnsi="Times New Roman"/>
          <w:i/>
          <w:iCs/>
        </w:rPr>
        <w:t>William</w:t>
      </w:r>
      <w:proofErr w:type="spellEnd"/>
      <w:r>
        <w:rPr>
          <w:rFonts w:ascii="Times New Roman" w:hAnsi="Times New Roman"/>
          <w:i/>
          <w:iCs/>
        </w:rPr>
        <w:t xml:space="preserve"> O. </w:t>
      </w:r>
      <w:proofErr w:type="spellStart"/>
      <w:r>
        <w:rPr>
          <w:rFonts w:ascii="Times New Roman" w:hAnsi="Times New Roman"/>
          <w:i/>
          <w:iCs/>
        </w:rPr>
        <w:t>Douglas</w:t>
      </w:r>
      <w:proofErr w:type="spellEnd"/>
      <w:r>
        <w:rPr>
          <w:rFonts w:ascii="Times New Roman" w:hAnsi="Times New Roman"/>
        </w:rPr>
        <w:t>], formulējot savu nepiekrītošo viedokli, bija pārsteidzoši raksturojis draudus, kurus masveida uzraudzība rada mūsu demokrātiskajām brīvībām:</w:t>
      </w:r>
    </w:p>
    <w:p w14:paraId="7AE42853" w14:textId="77777777" w:rsidR="00DA068F" w:rsidRPr="008D031E" w:rsidRDefault="00DA068F" w:rsidP="00DA068F">
      <w:pPr>
        <w:pStyle w:val="JuPara"/>
        <w:widowControl w:val="0"/>
        <w:ind w:firstLine="142"/>
        <w:rPr>
          <w:rFonts w:ascii="Times New Roman" w:hAnsi="Times New Roman"/>
          <w:noProof/>
          <w:lang w:val="en-US"/>
        </w:rPr>
      </w:pPr>
    </w:p>
    <w:p w14:paraId="1DEBEA32" w14:textId="77777777" w:rsidR="00DA068F" w:rsidRDefault="00DA068F" w:rsidP="001B0A3C">
      <w:pPr>
        <w:pStyle w:val="JuQuot"/>
        <w:widowControl w:val="0"/>
        <w:spacing w:before="0" w:after="0"/>
        <w:ind w:left="284"/>
        <w:rPr>
          <w:rFonts w:ascii="Times New Roman" w:hAnsi="Times New Roman"/>
          <w:noProof/>
          <w:sz w:val="24"/>
        </w:rPr>
      </w:pPr>
      <w:r>
        <w:rPr>
          <w:rFonts w:ascii="Times New Roman" w:hAnsi="Times New Roman"/>
          <w:sz w:val="24"/>
        </w:rPr>
        <w:t xml:space="preserve">“(..) Var pienākt brīdis, kad neviens vairs nevarēs būt drošs par to, vai viņa sacītais tiek ierakstīts, lai to kādā brīdī izmantotu nākotnē, kad ikviens baidīsies, ka viņa slēptākās domas vairs nepiederēs viņam vien, bet gan valdībai, kad visdedzīgākie un ziņkārākie vienmēr būs gatavi noklausīties mūsu konfidenciālākās un intīmākās sarunas. Ja tāds brīdis pienāks, privātās dzīves neaizskaramība un līdz ar to arī brīvība beigs pastāvēt. Ja var aizskart cilvēka tiesības uz privātās dzīves neaizskaramību, kurš var apgalvot, ka ir brīvs? Ja tiek fiksēts un izvērtēts ikviens vārds vai rodas bažas, ka tas varētu notikt, kurš var apgalvot, ka bauda tiesības uz vārda brīvību? Ja ir zināma un tiek fiksēta ikviena saistība ar kādu biedrību un ja tiek pārtvertas sarunas ar biedriem, kurš var apgalvot, ka bauda biedrošanās brīvību? Šādos apstākļos mūsu pilsoņi baidīsies paust savas domas, izsakot vienīgi visdrošākos un pieņemamākos uzskatus, un biedroties ar citiem, tā vietā biedrojoties vienīgi ar vispieņemamākajām personām. Brīvība, kādu mēs to uztveram Konstitūcijas izpratnē, </w:t>
      </w:r>
      <w:r>
        <w:rPr>
          <w:rFonts w:ascii="Times New Roman" w:hAnsi="Times New Roman"/>
          <w:sz w:val="24"/>
        </w:rPr>
        <w:lastRenderedPageBreak/>
        <w:t>izzudīs.”</w:t>
      </w:r>
      <w:r w:rsidRPr="008D031E">
        <w:rPr>
          <w:rFonts w:ascii="Times New Roman" w:hAnsi="Times New Roman"/>
          <w:noProof/>
          <w:sz w:val="24"/>
          <w:vertAlign w:val="superscript"/>
          <w:lang w:val="en-US"/>
        </w:rPr>
        <w:footnoteReference w:id="7"/>
      </w:r>
    </w:p>
    <w:p w14:paraId="7E844552" w14:textId="77777777" w:rsidR="00DA068F" w:rsidRPr="008D031E" w:rsidRDefault="00DA068F" w:rsidP="00DA068F">
      <w:pPr>
        <w:pStyle w:val="JuQuot"/>
        <w:widowControl w:val="0"/>
        <w:spacing w:before="0" w:after="0"/>
        <w:ind w:left="0" w:firstLine="0"/>
        <w:rPr>
          <w:rFonts w:ascii="Times New Roman" w:hAnsi="Times New Roman"/>
          <w:noProof/>
          <w:sz w:val="24"/>
          <w:lang w:val="en-US"/>
        </w:rPr>
      </w:pPr>
    </w:p>
    <w:p w14:paraId="33644DBB"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9. Visbeidzot, ņemot vērā jauno tehnoloģiju attīstību, kas ļauj veikt masveida uzraudzību un efektīvāk izmantot apkopoto informāciju, ir pieauguši draudi privātās dzīves neaizskaramībai, kā arī personas datu ļaunprātīgas izmantošanas risks. Mēs nevēlamies apgalvot, ka šie draudi un riski jau ir īstenojušies plašā mērogā vai radījuši iepriekš apspriestās sekas. Tomēr mums ir jāapzinās, ka tie pastāv, kad mēs izstrādājam sistēmu, kas ļauj novērst, atklāt un sodīt jebkuru iespējamu ļaunprātīgu rīcību.</w:t>
      </w:r>
    </w:p>
    <w:p w14:paraId="2A06CAFD" w14:textId="77777777" w:rsidR="00DA068F" w:rsidRDefault="00DA068F" w:rsidP="00DA068F">
      <w:pPr>
        <w:pStyle w:val="JuPara"/>
        <w:widowControl w:val="0"/>
        <w:ind w:firstLine="142"/>
        <w:rPr>
          <w:rFonts w:ascii="Times New Roman" w:hAnsi="Times New Roman"/>
          <w:noProof/>
        </w:rPr>
      </w:pPr>
      <w:r>
        <w:rPr>
          <w:rFonts w:ascii="Times New Roman" w:hAnsi="Times New Roman"/>
        </w:rPr>
        <w:t>10. Mūsuprāt, Tiesai, ņemot vērā šos apsvērumus, bija jāpiešķir ievērojami lielāka nozīme privātajai dzīvei kopumā un īpaši korespondences konfidencialitātei, mēģinot panākt līdzsvaru starp šiem aspektiem un atbildētājas valsts leģitīmajām interesēm, izmantojot masveida pārtveršanas režīmu. Līdz ar to Lielajai palātai bija: a) jāprecizē un pienācīgi jāuzsver iejaukšanās tiesībās uz privātās dzīves un korespondences neaizskaramību, b) jāparedz skaidri minimālie drošības pasākumi, lai aizsargātu indivīdus pret patvaļīgu vai pārmērīgu iejaukšanos, un līdz ar to c) stingrāk jāizvērtē apstrīdētais masveida pārtveršanas režīms.</w:t>
      </w:r>
    </w:p>
    <w:p w14:paraId="61A60D65" w14:textId="77777777" w:rsidR="00DA068F" w:rsidRPr="008D031E" w:rsidRDefault="00DA068F" w:rsidP="00DA068F">
      <w:pPr>
        <w:pStyle w:val="JuPara"/>
        <w:widowControl w:val="0"/>
        <w:ind w:firstLine="142"/>
        <w:rPr>
          <w:rFonts w:ascii="Times New Roman" w:hAnsi="Times New Roman"/>
          <w:noProof/>
          <w:lang w:val="en-US"/>
        </w:rPr>
      </w:pPr>
    </w:p>
    <w:p w14:paraId="3A5CD274" w14:textId="77777777" w:rsidR="00DA068F" w:rsidRDefault="00DA068F" w:rsidP="00DA068F">
      <w:pPr>
        <w:pStyle w:val="JuHIRoman"/>
        <w:keepNext w:val="0"/>
        <w:keepLines w:val="0"/>
        <w:widowControl w:val="0"/>
        <w:numPr>
          <w:ilvl w:val="0"/>
          <w:numId w:val="0"/>
        </w:numPr>
        <w:spacing w:before="0" w:beforeAutospacing="0" w:after="0"/>
        <w:outlineLvl w:val="9"/>
        <w:rPr>
          <w:rFonts w:ascii="Times New Roman" w:hAnsi="Times New Roman"/>
          <w:caps w:val="0"/>
          <w:noProof/>
        </w:rPr>
      </w:pPr>
      <w:r>
        <w:rPr>
          <w:rFonts w:ascii="Times New Roman" w:hAnsi="Times New Roman"/>
          <w:caps w:val="0"/>
        </w:rPr>
        <w:t>II. IEJAUKŠANĀS TIESĪBĀS UZ PRIVĀTĀS DZĪVES UN KORESPONDENCES NEAIZSKARAMĪBU</w:t>
      </w:r>
    </w:p>
    <w:p w14:paraId="16028229" w14:textId="77777777" w:rsidR="00DA068F" w:rsidRPr="001B4C8E" w:rsidRDefault="00DA068F" w:rsidP="00DA068F">
      <w:pPr>
        <w:pStyle w:val="JuPara"/>
        <w:widowControl w:val="0"/>
        <w:rPr>
          <w:lang w:val="en-US"/>
        </w:rPr>
      </w:pPr>
    </w:p>
    <w:p w14:paraId="79482673"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11. Sprieduma 325. punktā vairākums raksturo masveida pārtveršanas sistēmas posmus. Tas uzskata, ka sākotnējais posms, kas raksturots kā sakaru un saistīto sakaru datu pārtveršana un sākotnēja saglabāšana, pēc kura sakaru daļas tiek nekavējoties atmestas, “nerada būtisku iejaukšanos” (sprieduma 330. punkts). Visu cieņu, taču mēs nepiekrītam. Mēs uzskatām, ka iejaukšanās ir būtiska jau šajā posmā. Pirmkārt, satura pārtveršanas un sākotnējās saglabāšanas rezultātā visi kādas personas sakari, kas plūst cauri atlasītajiem nesējiem, un visi saistītie sakaru dati nonāk valsts iestāžu rokās. Otrkārt, lai gan tiesa, ka šajā posmā šo sakaru saturs vēl nav analizēts vai darīts zināms lēmumu pieņēmējiem un līdz ar to pret attiecīgo indivīdu vēl nevar vērst nekādas darbības, pirmais posms ir </w:t>
      </w:r>
      <w:proofErr w:type="spellStart"/>
      <w:r>
        <w:rPr>
          <w:rFonts w:ascii="Times New Roman" w:hAnsi="Times New Roman"/>
          <w:i/>
          <w:iCs/>
        </w:rPr>
        <w:t>sine</w:t>
      </w:r>
      <w:proofErr w:type="spellEnd"/>
      <w:r>
        <w:rPr>
          <w:rFonts w:ascii="Times New Roman" w:hAnsi="Times New Roman"/>
          <w:i/>
          <w:iCs/>
        </w:rPr>
        <w:t> </w:t>
      </w:r>
      <w:proofErr w:type="spellStart"/>
      <w:r>
        <w:rPr>
          <w:rFonts w:ascii="Times New Roman" w:hAnsi="Times New Roman"/>
          <w:i/>
          <w:iCs/>
        </w:rPr>
        <w:t>qua</w:t>
      </w:r>
      <w:proofErr w:type="spellEnd"/>
      <w:r>
        <w:rPr>
          <w:rFonts w:ascii="Times New Roman" w:hAnsi="Times New Roman"/>
          <w:i/>
          <w:iCs/>
        </w:rPr>
        <w:t> non</w:t>
      </w:r>
      <w:r>
        <w:rPr>
          <w:rFonts w:ascii="Times New Roman" w:hAnsi="Times New Roman"/>
        </w:rPr>
        <w:t xml:space="preserve"> jebkuram turpmākajam posmam. Nav zināms precīzs apmērs, kādā izlūkdienesti apkopo sakarus un ar tiem saistītos datus. Tomēr pastāv vairāki iemesli uzskatīt, ka regulāri tiek pārtverta liela daļa no miljoniem personu sakariem. Šo situāciju saasina fakts, ka attiecīgajām personām parasti par šādu iejaukšanos nav ne jausmas. Šādā situācijā, kad cilvēki nevar zināt, vai viņu sakarus paredzēts pārtvert, bet viņi apzinās, ka šāda iespējamība ir ļoti liela, rodas iejaukšanās trešais elements, proti, cilvēki var pielāgot savu rīcību, bieži radot nopietnas sekas, kā norādīts šā atsevišķā viedokļa 3.–8. punktā.</w:t>
      </w:r>
    </w:p>
    <w:p w14:paraId="5FF7F586" w14:textId="77777777" w:rsidR="00DA068F" w:rsidRDefault="00DA068F" w:rsidP="00DA068F">
      <w:pPr>
        <w:pStyle w:val="JuPara"/>
        <w:widowControl w:val="0"/>
        <w:ind w:firstLine="142"/>
        <w:rPr>
          <w:rFonts w:ascii="Times New Roman" w:hAnsi="Times New Roman"/>
          <w:noProof/>
        </w:rPr>
      </w:pPr>
      <w:r>
        <w:rPr>
          <w:rFonts w:ascii="Times New Roman" w:hAnsi="Times New Roman"/>
        </w:rPr>
        <w:t xml:space="preserve">12. Saskaņā ar sprieduma 330. punktu daļa pārtverto sakaru tiek nekavējoties atmesta. Tiesas rīcībā nav informācijas par šo “atmešanas” kārtību. Var pamatoti pieņemt, ka tas netiek veikts nejauši bez jebkādas iekšējas loģikas un ka šajā procesā izlūkdienesti piemēro noteiktus kritērijus, ar kuriem nederīgais materiāls tiek nošķirts no potenciāli lietderīgā materiāla. Fakts vien, ka šo procesu veic slepenībā un ar nezināmu pamatojumu, mūsuprāt, rada nopietnu pamatu bažām. Ir maz ticams, ka šāds pārskatāmības trūkums atbildīs prasībai par </w:t>
      </w:r>
      <w:proofErr w:type="spellStart"/>
      <w:r>
        <w:rPr>
          <w:rFonts w:ascii="Times New Roman" w:hAnsi="Times New Roman"/>
        </w:rPr>
        <w:t>paredzamību</w:t>
      </w:r>
      <w:proofErr w:type="spellEnd"/>
      <w:r>
        <w:rPr>
          <w:rFonts w:ascii="Times New Roman" w:hAnsi="Times New Roman"/>
        </w:rPr>
        <w:t>, kas savukārt ir viens no priekšnoteikumiem tam, lai iejaukšanās ar Konvencijas 8. pantu aizsargātajās tiesībās būtu likumīga. Neraugoties uz to, vairākums vispār nav pievērsies šim konkrētajam masveida pārtveršanas procesa posmam. Mūsuprāt, tas ir būtisks šā sprieduma trūkums.</w:t>
      </w:r>
    </w:p>
    <w:p w14:paraId="4692F750" w14:textId="77777777" w:rsidR="00DA068F" w:rsidRPr="008D031E" w:rsidRDefault="00DA068F" w:rsidP="00DA068F">
      <w:pPr>
        <w:pStyle w:val="JuPara"/>
        <w:widowControl w:val="0"/>
        <w:ind w:firstLine="142"/>
        <w:rPr>
          <w:rFonts w:ascii="Times New Roman" w:hAnsi="Times New Roman"/>
          <w:noProof/>
          <w:lang w:val="en-US"/>
        </w:rPr>
      </w:pPr>
    </w:p>
    <w:p w14:paraId="0F26858B" w14:textId="77777777" w:rsidR="00DA068F" w:rsidRDefault="00DA068F" w:rsidP="00F8047C">
      <w:pPr>
        <w:pStyle w:val="JuHIRoman"/>
        <w:widowControl w:val="0"/>
        <w:numPr>
          <w:ilvl w:val="0"/>
          <w:numId w:val="0"/>
        </w:numPr>
        <w:spacing w:before="0" w:beforeAutospacing="0" w:after="0"/>
        <w:outlineLvl w:val="9"/>
        <w:rPr>
          <w:rFonts w:ascii="Times New Roman" w:hAnsi="Times New Roman"/>
          <w:caps w:val="0"/>
          <w:noProof/>
        </w:rPr>
      </w:pPr>
      <w:r>
        <w:rPr>
          <w:rFonts w:ascii="Times New Roman" w:hAnsi="Times New Roman"/>
          <w:caps w:val="0"/>
        </w:rPr>
        <w:lastRenderedPageBreak/>
        <w:t>III. MINIMĀLIE DROŠĪBAS PASĀKUMI PERSONU AIZSARDZĪBAI PRET PATVAĻĪGU VAI PĀRMĒRĪGU IEJAUKŠANOS</w:t>
      </w:r>
    </w:p>
    <w:p w14:paraId="53DDD1ED" w14:textId="77777777" w:rsidR="00DA068F" w:rsidRPr="00467DF4" w:rsidRDefault="00DA068F" w:rsidP="00F8047C">
      <w:pPr>
        <w:pStyle w:val="JuPara"/>
        <w:keepNext/>
        <w:keepLines/>
        <w:widowControl w:val="0"/>
        <w:rPr>
          <w:lang w:val="en-US"/>
        </w:rPr>
      </w:pPr>
    </w:p>
    <w:p w14:paraId="7FCB6648" w14:textId="77777777" w:rsidR="00DA068F" w:rsidRPr="008D031E" w:rsidRDefault="00DA068F" w:rsidP="00F8047C">
      <w:pPr>
        <w:pStyle w:val="JuPara"/>
        <w:keepNext/>
        <w:keepLines/>
        <w:widowControl w:val="0"/>
        <w:ind w:firstLine="142"/>
        <w:rPr>
          <w:rFonts w:ascii="Times New Roman" w:hAnsi="Times New Roman"/>
          <w:noProof/>
        </w:rPr>
      </w:pPr>
      <w:r>
        <w:rPr>
          <w:rFonts w:ascii="Times New Roman" w:hAnsi="Times New Roman"/>
        </w:rPr>
        <w:t xml:space="preserve">13. Sprieduma 335. punktā ir izklāstīta Tiesas judikatūra par sešām minimālajām prasībām, kas jānorāda valsts tiesību aktos, lai novērstu pilnvaru ļaunprātīgu izmantošanu gadījumos, kad sakari tiek pārtverti </w:t>
      </w:r>
      <w:proofErr w:type="spellStart"/>
      <w:r>
        <w:rPr>
          <w:rFonts w:ascii="Times New Roman" w:hAnsi="Times New Roman"/>
        </w:rPr>
        <w:t>kriminālizmeklēšanas</w:t>
      </w:r>
      <w:proofErr w:type="spellEnd"/>
      <w:r>
        <w:rPr>
          <w:rFonts w:ascii="Times New Roman" w:hAnsi="Times New Roman"/>
        </w:rPr>
        <w:t xml:space="preserve"> nolūkos. Tajā arī ir paskaidrots, ka spriedumā lietā “Romāns Zaharovs pret Krieviju” ([</w:t>
      </w:r>
      <w:proofErr w:type="spellStart"/>
      <w:r>
        <w:rPr>
          <w:rFonts w:ascii="Times New Roman" w:hAnsi="Times New Roman"/>
          <w:i/>
          <w:iCs/>
        </w:rPr>
        <w:t>GC</w:t>
      </w:r>
      <w:proofErr w:type="spellEnd"/>
      <w:r>
        <w:rPr>
          <w:rFonts w:ascii="Times New Roman" w:hAnsi="Times New Roman"/>
        </w:rPr>
        <w:t xml:space="preserve">], Nr. 47143/06, </w:t>
      </w:r>
      <w:proofErr w:type="spellStart"/>
      <w:r>
        <w:rPr>
          <w:rFonts w:ascii="Times New Roman" w:hAnsi="Times New Roman"/>
        </w:rPr>
        <w:t>ECT</w:t>
      </w:r>
      <w:proofErr w:type="spellEnd"/>
      <w:r>
        <w:rPr>
          <w:rFonts w:ascii="Times New Roman" w:hAnsi="Times New Roman"/>
        </w:rPr>
        <w:t> 2015) Tiesa atzina, ka tie paši minimālie drošības pasākumi piemērojami gadījumos, kad pārtveršana notiek valsts drošības apsvērumu dēļ. Pēc tam Lielā palāta min nepieciešamību izstrādāt šīs prasības un tās pielāgot masveida pārtveršanas īpatnībām un noslēgumā uzskaita astoņus kritērijus, kas valsts tiesiskajā regulējumā ir skaidri jādefinē, lai nodrošinātu atbilstību Konvencijas 8. pantam (sprieduma 361. punkts).</w:t>
      </w:r>
    </w:p>
    <w:p w14:paraId="391FDBA8"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14. Šis uzskaitījums ir lieliski pamatots ar argumentiem, un to pavisam noteikti var izmantot, lai nodrošinātu aizsardzību pret patvaļību un pilnvaru ļaunprātīgu izmantošanu. Tomēr uzskaitītie kritēriji:</w:t>
      </w:r>
    </w:p>
    <w:p w14:paraId="163A8D7B"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a) nav viennozīmīgi uzskatāmi par autonomiem minimālajiem drošības pasākumiem, jo jebkura neatbilstība kādam no šiem standartiem šķiet “labojama”, veicot visaptverošu novērtējumu;</w:t>
      </w:r>
    </w:p>
    <w:p w14:paraId="5F526C2B"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b) </w:t>
      </w:r>
      <w:bookmarkStart w:id="301" w:name="_Hlk72166455"/>
      <w:r>
        <w:rPr>
          <w:rFonts w:ascii="Times New Roman" w:hAnsi="Times New Roman"/>
        </w:rPr>
        <w:t>ir jāīsteno, skaidri definējot attiecīgos drošības pasākumus valsts tiesību aktos, taču tie paši par sevi nenosaka nekādus minimālos drošības pasākumus, un</w:t>
      </w:r>
    </w:p>
    <w:bookmarkEnd w:id="301"/>
    <w:p w14:paraId="780C8835"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c) neparedz skaidru indivīda pamata aizsardzību pret nesamērīgu iejaukšanos, jo īpaši posmā, kad apkopotajam materiālam tiek piemēroti spēcīgie selektori, turklāt arī ar šiem kritērijiem paredzētā procesuālā aizsardzība ir nepietiekama.</w:t>
      </w:r>
    </w:p>
    <w:p w14:paraId="13D24A40"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15. Attiecībā uz a) apakšpunktu vēlamies vērst uzmanību uz sprieduma 360. punktu, kurā pausta nepieciešamība veikt visaptverošu konkrētā masveida pārtveršanas režīma novērtēšanu. Lai gan tas izklausās pievilcīgi, tas pavisam noteikti mazina katra drošības pasākuma nozīmīgumu. Tomēr, mūsuprāt, nevienu drošības pasākumu, ko uzskata par minimālu, nekad nevar kompensēt ar jebkādiem līdzsvarojošiem faktoriem attiecībā uz citiem kritērijiem. Citiem vārdiem, konstatējot neatbilstību šādam minimālam drošības pasākumam, automātiski jāuzskata, ka pārkāpts Konvencijas 8. pants neatkarīgi no tā, vai visaptverošs vērtējums varētu liecināt par pozitīvāku rezultātu. Diemžēl vairākums, šķiet, nav izvēlējies šādu pieeju. Jāpiebilst, ka pieeja, kas nosaka minimālos standartus kā absolūtas robežas, proti, biezas sarkanās līnijas, kuras nedrīkst šķērsot, nodrošinātu stingrāku un paredzamāku aizsardzību, kas ir ārkārtīgi svarīgi jomā, kurā valsts iestāžu darbība tiek turēta stingrā slepenībā, kā rezultātā atbilstoši šajā spriedumā minētajam (skat. 322. punktu) ir pieejams maz informācijas par režīma darbību vai šāda informācija nav pieejama vispār, turklāt pieejamā informācija var būt formulēta, izmantojot neskaidru terminoloģiju.</w:t>
      </w:r>
    </w:p>
    <w:p w14:paraId="0577296F"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16. Attiecībā uz b) apakšpunktu vairākums ir norādījis, ka astoņi 361. punktā minētie kritēriji ir skaidri jādefinē valsts tiesiskajā regulējumā. Lai gan šī prasība ir apsveicama, jo īpaši no tiesību akta </w:t>
      </w:r>
      <w:proofErr w:type="spellStart"/>
      <w:r>
        <w:rPr>
          <w:rFonts w:ascii="Times New Roman" w:hAnsi="Times New Roman"/>
        </w:rPr>
        <w:t>paredzamības</w:t>
      </w:r>
      <w:proofErr w:type="spellEnd"/>
      <w:r>
        <w:rPr>
          <w:rFonts w:ascii="Times New Roman" w:hAnsi="Times New Roman"/>
        </w:rPr>
        <w:t xml:space="preserve"> viedokļa, šie kritēriji paši par sevi nenosaka minimālās prasības attiecībā uz materiālajiem vai procesuālajiem nosacījumiem, kas jāievēro, lai izmantotu masveida pārtveršanas režīmu un pārietu no tā sākotnējā posma uz posmiem, kas ir ierobežojošāki. Šo trūkumu daļēji kompensē fakts, ka konkrēti (bet ne visi) sprieduma 348.–360. punktā aplūkotie elementi ir izklāstīti ne tikai aprakstošās daļās, kurās ietverta atsauce uz pastāvošo judikatūru, bet arī preskriptīvajā formulējumā, kas nosaka konkrētas prasības, jo īpaši attiecībā uz atļauju veikt masveida pārtveršanu tās konkrētajos posmos. Taču mēs uzskatām, ka vairākuma izvirzītās prasības nav pietiekamas, lai aizsargātu personu pret patvaļīgu, pārmērīgu vai ļaunprātīgu iejaukšanos viņa vai viņas tiesībās uz privātās dzīves neaizskaramību un korespondenci.</w:t>
      </w:r>
    </w:p>
    <w:p w14:paraId="477D32EF"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17. Līdz ar to nonākam pie c) apakšpunkta. Mērķētas pārtveršanas kontekstā, galvenokārt </w:t>
      </w:r>
      <w:r>
        <w:rPr>
          <w:rFonts w:ascii="Times New Roman" w:hAnsi="Times New Roman"/>
        </w:rPr>
        <w:lastRenderedPageBreak/>
        <w:t xml:space="preserve">noziedzīgu darbību atklāšanas un izmeklēšanas nolūkos, Tiesa ir atsaukusies uz noteiktiem būtiskiem drošības pasākumiem pret pilnvaru ļaunprātīgu izmantošanu. Tādējādi Tiesa ir noteikusi, ka ir jādefinē to noziedzīgo nodarījumu būtība, kas var būt par pamatu pārtveršanas rīkojumam, kā arī to personu kategorijas, kuru sakari var tikt pārtverti. Turklāt Tiesa vairākkārt ir atsaukusies uz prasību par pamatotām aizdomām. Vairākums vienkārši uzskata, ka šie drošības pasākumi nav viegli piemērojami masveida pārtveršanai. Lai gan mēs varam piekrist, ka tos nevar tieši transponēt, joprojām ir jāizstrādā stabila </w:t>
      </w:r>
      <w:proofErr w:type="spellStart"/>
      <w:r>
        <w:rPr>
          <w:rFonts w:ascii="Times New Roman" w:hAnsi="Times New Roman"/>
        </w:rPr>
        <w:t>pamataizsardzība</w:t>
      </w:r>
      <w:proofErr w:type="spellEnd"/>
      <w:r>
        <w:rPr>
          <w:rFonts w:ascii="Times New Roman" w:hAnsi="Times New Roman"/>
        </w:rPr>
        <w:t>, lai drošības pasākumi, kas izstrādāti saistībā ar mērķētu pārtveršanu noziedzības apkarošanas nolūkā, var būt kā lielisks iedvesmas avots, kā mēs to centīsimies paskaidrot turpmāk.</w:t>
      </w:r>
    </w:p>
    <w:p w14:paraId="2917C9BA"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18. Pirmkārt, atšķirībā no mērķētas pārtveršanas noziedzības novēršanā masveida pārtveršanu lielākoties veic valsts drošības nolūkos. Ir grūti saprast, kādēļ nav jārēķinās ar to, ka valsts tiesiskais regulējums skaidri definē iespējamos draudus valsts drošībai un apstākļus, kādos šie draudi var būt par pamatu masveida pārtveršanai.</w:t>
      </w:r>
    </w:p>
    <w:p w14:paraId="10A2A250"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19. Attiecībā uz otro pamatprasību, kas saistīta ar mērķētu pārtveršanu, proti, to personu kategoriju definēšanu, kuru sakari var tikt pārtverti, var atzīt, ka līdzīgai prasībai būtu maz jēgas masveida pārtveršanas pirmajā posmā, kad neselektīvi tiek pārtverti visi sakari, kas plūst cauri konkrētiem nesējiem. Tomēr iejaukšanās apmērs nav jāattaisno, lai atteiktos no noteikta drošības pasākuma. Turklāt masveida pārtveršanas vēlākos posmos, jo īpaši tad, ja tiek izmantoti spēcīgi selektori nolūkā atlasīt un analizēt kādas identificētas personas saziņas aktu saturu, situācija ir lielā mērā pielīdzināma mērķētai pārtveršanai. Rēķināšanās ar to, ka tiesiskais regulējums definē to personu kategorijas, uz kurām var attiecināt spēcīgos selektorus, nebūtu pārmērīga, bet gan pilnībā atbilstoša prasība.</w:t>
      </w:r>
    </w:p>
    <w:p w14:paraId="4A39A450"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20. Treškārt, prasība par pamatotām aizdomām ir svarīgs aizsardzības mehānisms pret patvaļīgu un nesamērīgu iejaukšanos vairākās Konvencijā garantētajās tiesībās. Tā attiecas uz iespējamību, ka ir ticis vai tiks izdarīts noziedzīgs nodarījums, kas izraisa iejaukšanos. Lai gan masveida pārtveršana nav jāveic noziegumu izmeklēšanā, bet gan drīzāk valsts drošības nolūkos, mēs uzskatām, ka standartam, kas līdzinās prasībai par pamatotām aizdomām, jāattiecas uz pamatu, atbilstoši kuram var atļaut veikt masveida pārtveršanu. Tas jo īpaši attiecas uz gadījumiem, kad masveida pārtveršana ir vērsta uz kādu identificētu personu, piemērojot spēcīgus selektorus. Skaidrības labad jānorāda, ka demokrātiskā sabiedrībā izlūkdienesti var pārbaudīt kādas personas saziņas aktu saturu un saistītos sakaru datus vienīgi tad, ja tie objektīvam novērotājam var pierādīt, ka attiecīgā persona var būt iesaistīta vai iesaistīsies darbībās, ar kurām tiek aizskartas konkrētas valsts drošības intereses, vai tā ir persona, kura uztur vai var uzturēt kontaktu ar personām, kas ir iesaistītas vai iesaistīsies šādās darbībās. Vairākums šajā spriedumā šādu vai līdzīgu prasību nav apsvēruši.</w:t>
      </w:r>
    </w:p>
    <w:p w14:paraId="20617552"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21. Šo trīs drošības pasākumu vietā vairākums ir noteicis pārāk plašu pamatprasību, proti, ka valsts tiesiskajā regulējumā ir skaidri jādefinē pamatojums, atbilstoši kuram var atļaut veikt masveida pārtveršanu, un apstākļi, kādos var pārtvert personas sakarus. Diemžēl atsauce uz “pamatojumu” un “apstākļiem” ir diezgan neskaidra, jo īpaši tad, ja nav atsauces uz to, kāds šis pamatojums un apstākļi var būt vai nebūt. Turklāt saskaņā ar sprieduma 361. punktā lietoto valodu konkrētā prasība attiecībā uz pamatojumu attiecas vienīgi uz masveida pārtveršanas atļaujas sniegšanas posmu, nevis uz jebkuru turpmāku posmu, tādējādi nesniedzot norādes par to, vai ir noteikta jebkāda pamatprasība, piemēram, attiecībā uz spēcīgo selektoru piemērošanu kādas identificētas personas sakaru pārtveršanai.</w:t>
      </w:r>
    </w:p>
    <w:p w14:paraId="55DE7F9D"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22. Atbilstošas </w:t>
      </w:r>
      <w:proofErr w:type="spellStart"/>
      <w:r>
        <w:rPr>
          <w:rFonts w:ascii="Times New Roman" w:hAnsi="Times New Roman"/>
        </w:rPr>
        <w:t>pamataizsardzības</w:t>
      </w:r>
      <w:proofErr w:type="spellEnd"/>
      <w:r>
        <w:rPr>
          <w:rFonts w:ascii="Times New Roman" w:hAnsi="Times New Roman"/>
        </w:rPr>
        <w:t xml:space="preserve"> trūkums būtiski ietekmē procesuālās aizsardzības efektivitāti. Procesuālās aizsardzības galvenais elements ir prasība par iepriekšēju atļauju, ko ar šo spriedumu paredz gan masveida pārtveršanas pirmajā posmā, gan pirms spēcīgo selektoru piemērošanas. Jebkuras iepriekšējās atļaujas izšķirošais aspekts ir pārliecināties, vai paredzētā iejaukšanās atbilst tai noteiktajiem pamatkritērijiem. Tomēr, ja šie pamatkritēriji ir neskaidri, pārāk plaši vai pat tādi nav noteikti, ar prasību par iepriekšēju atļauju ne vienmēr būs </w:t>
      </w:r>
      <w:r>
        <w:rPr>
          <w:rFonts w:ascii="Times New Roman" w:hAnsi="Times New Roman"/>
        </w:rPr>
        <w:lastRenderedPageBreak/>
        <w:t>nodrošināta pietiekami efektīva aizsardzība pret patvaļību vai pilnvaru ļaunprātīgu izmantošanu.</w:t>
      </w:r>
    </w:p>
    <w:p w14:paraId="53D2860C"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23. Attiecībā uz prasību par iepriekšēju atļauju spriedumā ir norādīts, ka šī atļauja sākotnējā posmā ir jāizmanto struktūrai, kura ir neatkarīga no izpildvaras. Mēs varam piekrist. Lai gan mēs cienām šādu nostāju, mēs stingri iebilstam pret to, ka pietiek ar to vien, ka attiecībā uz spēcīgo selektoru piemērošanu identificējamām personām tiek sniegta vienīgi iepriekšēja </w:t>
      </w:r>
      <w:r>
        <w:rPr>
          <w:rFonts w:ascii="Times New Roman" w:hAnsi="Times New Roman"/>
          <w:i/>
          <w:iCs/>
          <w:u w:val="single"/>
        </w:rPr>
        <w:t>iekšēja</w:t>
      </w:r>
      <w:r>
        <w:rPr>
          <w:rFonts w:ascii="Times New Roman" w:hAnsi="Times New Roman"/>
        </w:rPr>
        <w:t xml:space="preserve"> atļauja. Proti, mēs uzskatām, ka šajā posmā būtu nepieciešama iepriekšēja tiesas kontrole. Lai gan Tiesas pašreizējā judikatūra neparedz prasību par tiesas atļauju personu sakaru mērķētai pārtveršanai, mēs uzskatām, ka ir pamatoti iemesli stiprināt aizsardzības standartu gadījumos, kad masveida pārtveršanā piemēro spēcīgos selektorus. Šie iemesli ir šādi:</w:t>
      </w:r>
    </w:p>
    <w:p w14:paraId="4E6D564C"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a) masveida pārtveršana pretēji mērķētai pārtveršanai nav vērsta vienīgi uz kādu konkrētu personu kategoriju, līdz ar to iespējams pārbaudīt daudz lielāku sakaru apjomu nekā mērķētu sakaru gadījumā;</w:t>
      </w:r>
    </w:p>
    <w:p w14:paraId="53947694"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b) turklāt, piemērojot kādu spēcīgu selektoru, kas attiecināms uz kādu identificētu personu, var tikt pavērta iespēja pārtvert daudz lielāku sakaru apjomu, proti, jebkur, kur konkrētā persona pieminēta, pat ja tā pati nav iesaistījusies šajā saziņā (pretēji saziņai ar saziņas līdzekļiem, ko tā personīgi izmanto);</w:t>
      </w:r>
    </w:p>
    <w:p w14:paraId="0195E4DC"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c) veicot mērķētu pārtveršanu tiesībaizsardzības nolūkos, kādā konkrētā brīdī procesa gaitā parasti tiks īstenota tiesas kontrole. Piemēram, tad, kad pierādījumus iegūst ar mērķētas pārtveršanas palīdzību, to aplūko turpmākajā kriminālprocesā, lai šo procesu īstenojošā tiesa varētu pārliecināties, vai mērķētā pārtveršana attiecīgajā lietā atbilda likumā noteiktajām prasībām. Šāda turpmāka tiesas kontrole parasti netiks veikta masveida pārtveršanas gadījumos, kad tiek piemēroti spēcīgie selektori.</w:t>
      </w:r>
    </w:p>
    <w:p w14:paraId="6E797E45"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24. Gluži pretēji šim uzskatam vairākums uzskata, ka pietiek vien ar iepriekšēju iekšēju atļauju. Mūsuprāt, iekšēja atļauja nevar nodrošināt tāda līmeņa aizsardzību pret patvaļību un pilnvaru ļaunprātīgu izmantošanu, kādu nodrošina neatkarīga pārbaude. Turklāt ir grūti iedomāties, kā persona, kura uztur organizatorisku un, iespējams, koleģiālu saikni ar pieprasījuma iesniedzēju iestādi, varētu izvērtēt pieprasījumu taisnīgi un nesavtīgi. Iespējams, ka prasības par atļaujas saņemšanu netiks pilnībā izpildītas, līdz ar to netiks sasniegts šā drošības pasākuma mērķis. Tas ir vēl jo vairāk iespējams to augsto līgumslēdzēju pušu valstīs, kurās nav iedibinātas izlūkdienestu demokrātiskas pārraudzības tradīcijas.</w:t>
      </w:r>
    </w:p>
    <w:p w14:paraId="45EE1FAB" w14:textId="77777777" w:rsidR="00DA068F" w:rsidRDefault="00DA068F" w:rsidP="00DA068F">
      <w:pPr>
        <w:pStyle w:val="JuPara"/>
        <w:widowControl w:val="0"/>
        <w:ind w:firstLine="142"/>
        <w:rPr>
          <w:rFonts w:ascii="Times New Roman" w:hAnsi="Times New Roman"/>
          <w:noProof/>
        </w:rPr>
      </w:pPr>
      <w:r>
        <w:rPr>
          <w:rFonts w:ascii="Times New Roman" w:hAnsi="Times New Roman"/>
        </w:rPr>
        <w:t xml:space="preserve">25. Jāpiebilst, ka Apvienotās Karalistes un Nīderlandes valdība ir norādījušas, ka jebkura prasība precizēt vai pamatot selektorus vai meklēšanas kritērijus nopietni ierobežotu masveida pārtveršanas efektivitāti (sprieduma 353. punkts) un ka vairākums šim argumentam ir zināmā mērā piekritis (sprieduma 354. punkts). Mēs šim argumentam nevaram piekrist. Mēs uzskatām, ka demokrātiskā sabiedrībā identificētas personas sakarus un saistītos sakaru datus nevar atlasīt un pārbaudīt bez šīs personas piekrišanas, ja vien nav pārliecinošu iemeslu šādi rīkoties. Ja izlūkdienests vai kāda cita iestāde nespēj minēt šādus iemeslus un tos pamatot kādai neatkarīgai iestādei, tas nozīmē vien to, ka šim izlūkdienestam vai iestādei nevajadzētu piekļūt šiem sakariem. </w:t>
      </w:r>
      <w:bookmarkStart w:id="302" w:name="_Hlk72166350"/>
      <w:r>
        <w:rPr>
          <w:rFonts w:ascii="Times New Roman" w:hAnsi="Times New Roman"/>
        </w:rPr>
        <w:t xml:space="preserve">Mēs atzīstam, ka var rasties situācija, kad ierastais atļaujas sniegšanas process ir pārāk apgrūtinošs, lai efektīvi neitralizētu draudus valsts drošībai, un ka šajā ziņā jārod citi risinājumi. </w:t>
      </w:r>
      <w:bookmarkEnd w:id="302"/>
      <w:r>
        <w:rPr>
          <w:rFonts w:ascii="Times New Roman" w:hAnsi="Times New Roman"/>
        </w:rPr>
        <w:t>Tomēr, ja stabila atļaujas sniegšanas sistēma, kas izstrādāta, lai atbilstoši aizsargātu cilvēktiesības, tiek uztverta kā lieks šķērslis, demokrātiskas sabiedrības uzmanība ir jāvērš uz šo apstākli.</w:t>
      </w:r>
    </w:p>
    <w:p w14:paraId="5B41B936" w14:textId="77777777" w:rsidR="00DA068F" w:rsidRPr="008D031E" w:rsidRDefault="00DA068F" w:rsidP="00DA068F">
      <w:pPr>
        <w:pStyle w:val="JuPara"/>
        <w:widowControl w:val="0"/>
        <w:ind w:firstLine="142"/>
        <w:rPr>
          <w:rFonts w:ascii="Times New Roman" w:hAnsi="Times New Roman"/>
          <w:noProof/>
          <w:lang w:val="en-US"/>
        </w:rPr>
      </w:pPr>
    </w:p>
    <w:p w14:paraId="036B4182" w14:textId="77777777" w:rsidR="00DA068F" w:rsidRDefault="00DA068F" w:rsidP="00DA068F">
      <w:pPr>
        <w:pStyle w:val="JuHIRoman"/>
        <w:keepNext w:val="0"/>
        <w:keepLines w:val="0"/>
        <w:widowControl w:val="0"/>
        <w:numPr>
          <w:ilvl w:val="0"/>
          <w:numId w:val="0"/>
        </w:numPr>
        <w:spacing w:before="0" w:beforeAutospacing="0" w:after="0"/>
        <w:outlineLvl w:val="9"/>
        <w:rPr>
          <w:rFonts w:ascii="Times New Roman" w:hAnsi="Times New Roman"/>
          <w:caps w:val="0"/>
          <w:noProof/>
        </w:rPr>
      </w:pPr>
      <w:r>
        <w:rPr>
          <w:rFonts w:ascii="Times New Roman" w:hAnsi="Times New Roman"/>
          <w:caps w:val="0"/>
        </w:rPr>
        <w:t xml:space="preserve">IV. APLŪKOJAMĀ MASVEIDA PĀRTVERŠANAS REŽĪMA </w:t>
      </w:r>
      <w:proofErr w:type="spellStart"/>
      <w:r>
        <w:rPr>
          <w:rFonts w:ascii="Times New Roman" w:hAnsi="Times New Roman"/>
          <w:caps w:val="0"/>
        </w:rPr>
        <w:t>IZVĒRTĒJUMS</w:t>
      </w:r>
      <w:proofErr w:type="spellEnd"/>
    </w:p>
    <w:p w14:paraId="44BCD97D" w14:textId="77777777" w:rsidR="00DA068F" w:rsidRPr="00467DF4" w:rsidRDefault="00DA068F" w:rsidP="00DA068F">
      <w:pPr>
        <w:pStyle w:val="JuPara"/>
        <w:widowControl w:val="0"/>
        <w:rPr>
          <w:lang w:val="en-US"/>
        </w:rPr>
      </w:pPr>
    </w:p>
    <w:p w14:paraId="1BF07245"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26. Mēs piekrītam pārējo Lielās palātas locekļu secinājumiem sprieduma rezolutīvās daļas 1., 2. un 4. punktā. Līdz ar to mēs uzskatām, ka atsevišķu apstrīdētā režīma iezīmju novērtējums nav pietiekami detalizēts un neļauj pienācīgi apzināt dažus tā trūkumus.</w:t>
      </w:r>
    </w:p>
    <w:p w14:paraId="725C7D15"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lastRenderedPageBreak/>
        <w:t>27. Piemēram, mēs vēlamies pievērst lasītāja uzmanību pamatojumam, atbilstoši kuram masveida pārtveršanu var atļaut veikt saskaņā ar Apvienotās Karalistes sistēmu (sprieduma 368.–371. punkts). Masveida pārtveršanas orderi varēja izdot, ja tas bija nepieciešams: a) valsts drošības interesēs, b) smaga nozieguma novēršanai vai atklāšanai vai c) Apvienotās Karalistes ekonomiskās labklājības nodrošināšanai, ciktāl šīs intereses sasaucās ar valsts drošības interesēm.</w:t>
      </w:r>
    </w:p>
    <w:p w14:paraId="61377B6C"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28. a) un c) apakšpunktā minētie nolūki sasaucās ar valsts drošības interesēm. Šķiet, ka nekur nebija definēta ne valsts drošība, ne valsts intereses. Lai gan mēs atsaucamies uz tiesneša norādi par </w:t>
      </w:r>
      <w:proofErr w:type="spellStart"/>
      <w:r>
        <w:rPr>
          <w:rFonts w:ascii="Times New Roman" w:hAnsi="Times New Roman"/>
          <w:i/>
          <w:iCs/>
        </w:rPr>
        <w:t>IC</w:t>
      </w:r>
      <w:proofErr w:type="spellEnd"/>
      <w:r>
        <w:rPr>
          <w:rFonts w:ascii="Times New Roman" w:hAnsi="Times New Roman"/>
        </w:rPr>
        <w:t xml:space="preserve"> komisāra skaidrojumu saistībā ar to, kā praksē uztvēra terminu “valsts drošība” (sprieduma 369. punkts), mēs uzskatām, ka prasības par </w:t>
      </w:r>
      <w:proofErr w:type="spellStart"/>
      <w:r>
        <w:rPr>
          <w:rFonts w:ascii="Times New Roman" w:hAnsi="Times New Roman"/>
        </w:rPr>
        <w:t>paredzamību</w:t>
      </w:r>
      <w:proofErr w:type="spellEnd"/>
      <w:r>
        <w:rPr>
          <w:rFonts w:ascii="Times New Roman" w:hAnsi="Times New Roman"/>
        </w:rPr>
        <w:t xml:space="preserve"> kontekstā šis precizējums joprojām ir nepietiekams. Turklāt mēs apšaubām, vai </w:t>
      </w:r>
      <w:proofErr w:type="spellStart"/>
      <w:r>
        <w:rPr>
          <w:rFonts w:ascii="Times New Roman" w:hAnsi="Times New Roman"/>
          <w:i/>
          <w:iCs/>
        </w:rPr>
        <w:t>IC</w:t>
      </w:r>
      <w:proofErr w:type="spellEnd"/>
      <w:r>
        <w:rPr>
          <w:rFonts w:ascii="Times New Roman" w:hAnsi="Times New Roman"/>
        </w:rPr>
        <w:t xml:space="preserve"> komisāra precizējumu var pielīdzināt pastāvīgajai tiesu praksei, kas saskaņā ar Tiesas praksi pieļauj nenoteiktības kompensēšanu tiesību aktos. Tā kā nav skaidras definīcijas, persona nevarēja būt droša par precīzu pamatojumu, kādēļ izlūkdienesti varēja pārtvert un analizēt tās sakarus, pat ja šī persona ir vērsusies pie profesionāla konsultanta.</w:t>
      </w:r>
    </w:p>
    <w:p w14:paraId="2886D48C" w14:textId="77777777" w:rsidR="00DA068F" w:rsidRDefault="00DA068F" w:rsidP="00DA068F">
      <w:pPr>
        <w:pStyle w:val="JuPara"/>
        <w:widowControl w:val="0"/>
        <w:ind w:firstLine="142"/>
        <w:rPr>
          <w:rFonts w:ascii="Times New Roman" w:hAnsi="Times New Roman"/>
          <w:noProof/>
        </w:rPr>
      </w:pPr>
      <w:r>
        <w:rPr>
          <w:rFonts w:ascii="Times New Roman" w:hAnsi="Times New Roman"/>
        </w:rPr>
        <w:t>29. Nolūkam, kas minēts b) apakšpunktā, nebija a) un c) apakšpunktā minētajiem nolūkiem raksturīgo trūkumu. Smags noziegums bija definēts kā nodarījums, par kuru personai (kura sasniegusi divdesmit viena gada vecumu un kurai nav iepriekšējas sodāmības) pamatoti varētu piespriest brīvības atņemšanu uz trim gadiem vai ilgāk, vai ja rīcība izpaužas kā vardarbība, tās rezultātā tiek gūts būtisks finansiāls labums vai arī rīcība ir attiecināma uz lielu skaitu personu, kas rīkojušās kopēja mērķa sasniegšanai (skat. sprieduma 369. punktu). Šāda definīcija aptver ļoti plašu rīcību spektru, kas rada nopietnas šaubas par šā pamatojuma samērīgumu. Turklāt demokrātiskā sabiedrībā izlūkdienestiem nav jābūt pilnvarotiem apkarot noziedzību, ja vien noziedzīgās darbības neapdraud valsts drošību.</w:t>
      </w:r>
      <w:r w:rsidRPr="008D031E">
        <w:rPr>
          <w:rFonts w:ascii="Times New Roman" w:hAnsi="Times New Roman"/>
          <w:noProof/>
          <w:vertAlign w:val="superscript"/>
          <w:lang w:val="en-US"/>
        </w:rPr>
        <w:footnoteReference w:id="8"/>
      </w:r>
      <w:r>
        <w:rPr>
          <w:rFonts w:ascii="Times New Roman" w:hAnsi="Times New Roman"/>
        </w:rPr>
        <w:t xml:space="preserve"> Valdības skaidrojums, proti, ka masveida pārtveršanas ceļā iegūto informāciju nevar izmantot noziedzīga nodarījuma izmeklēšanā, mūsuprāt, nav pārliecinošs. Šķiet, ka, pamatojoties uz šādi iegūto informāciju, </w:t>
      </w:r>
      <w:proofErr w:type="spellStart"/>
      <w:r>
        <w:rPr>
          <w:rFonts w:ascii="Times New Roman" w:hAnsi="Times New Roman"/>
        </w:rPr>
        <w:t>tiesībsargājošās</w:t>
      </w:r>
      <w:proofErr w:type="spellEnd"/>
      <w:r>
        <w:rPr>
          <w:rFonts w:ascii="Times New Roman" w:hAnsi="Times New Roman"/>
        </w:rPr>
        <w:t xml:space="preserve"> iestādes varētu rīkoties, piemēram, veicot ar izmeklēšanu saistītus pasākumus vai pat noteikt arestus, kas savukārt kļūtu kā pierādījums kriminālvajāšanas nolūkā. Iespējams, ka ne tik tālā nākotnē, izpētot tuvāk šo konkrēto jomu, noziegumu izmeklēšana varētu pāriet no mērķētas uzraudzības uz masveida datu pārtveršanu.</w:t>
      </w:r>
    </w:p>
    <w:p w14:paraId="5794D16E" w14:textId="77777777" w:rsidR="00DA068F" w:rsidRPr="008D031E" w:rsidRDefault="00DA068F" w:rsidP="00DA068F">
      <w:pPr>
        <w:pStyle w:val="JuPara"/>
        <w:widowControl w:val="0"/>
        <w:ind w:firstLine="142"/>
        <w:rPr>
          <w:rFonts w:ascii="Times New Roman" w:hAnsi="Times New Roman"/>
          <w:noProof/>
          <w:lang w:val="en-US"/>
        </w:rPr>
      </w:pPr>
    </w:p>
    <w:p w14:paraId="0333493F" w14:textId="77777777" w:rsidR="00DA068F" w:rsidRDefault="00DA068F" w:rsidP="00DA068F">
      <w:pPr>
        <w:pStyle w:val="JuHIRoman"/>
        <w:keepNext w:val="0"/>
        <w:keepLines w:val="0"/>
        <w:widowControl w:val="0"/>
        <w:numPr>
          <w:ilvl w:val="0"/>
          <w:numId w:val="0"/>
        </w:numPr>
        <w:spacing w:before="0" w:beforeAutospacing="0" w:after="0"/>
        <w:outlineLvl w:val="9"/>
        <w:rPr>
          <w:rFonts w:ascii="Times New Roman" w:hAnsi="Times New Roman"/>
          <w:caps w:val="0"/>
          <w:noProof/>
        </w:rPr>
      </w:pPr>
      <w:r>
        <w:rPr>
          <w:rFonts w:ascii="Times New Roman" w:hAnsi="Times New Roman"/>
          <w:caps w:val="0"/>
        </w:rPr>
        <w:t>V. SECINĀJUMI</w:t>
      </w:r>
    </w:p>
    <w:p w14:paraId="618DB905" w14:textId="77777777" w:rsidR="00DA068F" w:rsidRPr="00AF710B" w:rsidRDefault="00DA068F" w:rsidP="00DA068F">
      <w:pPr>
        <w:pStyle w:val="JuPara"/>
        <w:widowControl w:val="0"/>
        <w:rPr>
          <w:lang w:val="en-US"/>
        </w:rPr>
      </w:pPr>
    </w:p>
    <w:p w14:paraId="14FFEB6F" w14:textId="2A61B320" w:rsidR="00E67B38" w:rsidRDefault="00DA068F" w:rsidP="00DA068F">
      <w:pPr>
        <w:pStyle w:val="JuPara"/>
        <w:widowControl w:val="0"/>
        <w:ind w:firstLine="142"/>
        <w:rPr>
          <w:rFonts w:ascii="Times New Roman" w:hAnsi="Times New Roman"/>
          <w:noProof/>
        </w:rPr>
        <w:sectPr w:rsidR="00E67B38" w:rsidSect="001B0A3C">
          <w:footnotePr>
            <w:numRestart w:val="eachSect"/>
          </w:footnotePr>
          <w:pgSz w:w="11906" w:h="16838" w:code="9"/>
          <w:pgMar w:top="1134" w:right="1134" w:bottom="1134" w:left="1701" w:header="567" w:footer="567" w:gutter="0"/>
          <w:cols w:space="720"/>
          <w:docGrid w:linePitch="326"/>
        </w:sectPr>
      </w:pPr>
      <w:r>
        <w:rPr>
          <w:rFonts w:ascii="Times New Roman" w:hAnsi="Times New Roman"/>
        </w:rPr>
        <w:t>30. Retos gadījumos Tiesa izskata lietu, kas veido mūsu sabiedrības nākotni. Šis ir viens no šādiem gadījumiem. Lielā palāta ir daļēji izmantojusi iespēju, lai visaptveroši izklāstītu principus, kuru mērķis ir aizsargāt cilvēktiesības un pamatbrīvības, jo īpaši tās, kas noteiktas Konvencijas 8. un 10. pantā. Tomēr šajā atsevišķajā viedoklī paskaidroto iemeslu dēļ, veicot iepriekš minēto līdzsvarošanu, vairākums nav pietiekami uzsvēris privātās dzīves un korespondences neaizskaramību, kam vairākos aspektos netiek nodrošināta pietiekama aizsardzība, kad iejaukšanās notikusi masveida pārtveršanas rezultātā. Atliek vien cerēt, ka turpmāk lietās saistībā ar konkrētu iejaukšanos noteiktu personu tiesībās Tiesa interpretēs un turpinās attīstīt principus tā, kā tas pienākas demokrātiskā sabiedrībā un atbilstoši tās vērtībā</w:t>
      </w:r>
    </w:p>
    <w:p w14:paraId="38F7BA0C" w14:textId="5AF6822A" w:rsidR="00DA068F" w:rsidRPr="00E67B38" w:rsidRDefault="00DA068F" w:rsidP="00DA068F">
      <w:pPr>
        <w:pStyle w:val="JuPara"/>
        <w:widowControl w:val="0"/>
        <w:ind w:firstLine="0"/>
        <w:jc w:val="center"/>
        <w:rPr>
          <w:rFonts w:ascii="Times New Roman" w:hAnsi="Times New Roman"/>
          <w:noProof/>
          <w:sz w:val="28"/>
          <w:szCs w:val="28"/>
        </w:rPr>
      </w:pPr>
      <w:r w:rsidRPr="00E67B38">
        <w:rPr>
          <w:rFonts w:ascii="Times New Roman" w:hAnsi="Times New Roman"/>
          <w:sz w:val="28"/>
          <w:szCs w:val="28"/>
        </w:rPr>
        <w:lastRenderedPageBreak/>
        <w:t xml:space="preserve">TIESNEŠA </w:t>
      </w:r>
      <w:proofErr w:type="spellStart"/>
      <w:r w:rsidRPr="00E67B38">
        <w:rPr>
          <w:rFonts w:ascii="Times New Roman" w:hAnsi="Times New Roman"/>
          <w:sz w:val="28"/>
          <w:szCs w:val="28"/>
        </w:rPr>
        <w:t>PINTO</w:t>
      </w:r>
      <w:proofErr w:type="spellEnd"/>
      <w:r w:rsidRPr="00E67B38">
        <w:rPr>
          <w:rFonts w:ascii="Times New Roman" w:hAnsi="Times New Roman"/>
          <w:sz w:val="28"/>
          <w:szCs w:val="28"/>
        </w:rPr>
        <w:t xml:space="preserve"> </w:t>
      </w:r>
      <w:proofErr w:type="spellStart"/>
      <w:r w:rsidRPr="00E67B38">
        <w:rPr>
          <w:rFonts w:ascii="Times New Roman" w:hAnsi="Times New Roman"/>
          <w:sz w:val="28"/>
          <w:szCs w:val="28"/>
        </w:rPr>
        <w:t>DE</w:t>
      </w:r>
      <w:proofErr w:type="spellEnd"/>
      <w:r w:rsidRPr="00E67B38">
        <w:rPr>
          <w:rFonts w:ascii="Times New Roman" w:hAnsi="Times New Roman"/>
          <w:sz w:val="28"/>
          <w:szCs w:val="28"/>
        </w:rPr>
        <w:t xml:space="preserve"> ALBUKERKES DAĻĒJI PIEKRĪTOŠAIS UN DAĻĒJI NEPIEKRĪTOŠAIS VIEDOKLIS</w:t>
      </w:r>
    </w:p>
    <w:p w14:paraId="12A92518" w14:textId="77777777" w:rsidR="00DA068F" w:rsidRPr="008D031E" w:rsidRDefault="00DA068F" w:rsidP="00DA068F">
      <w:pPr>
        <w:widowControl w:val="0"/>
        <w:jc w:val="both"/>
        <w:rPr>
          <w:rFonts w:ascii="Times New Roman" w:hAnsi="Times New Roman"/>
          <w:noProof/>
          <w:lang w:val="en-US"/>
        </w:rPr>
      </w:pPr>
    </w:p>
    <w:p w14:paraId="7E00CF2C" w14:textId="77777777" w:rsidR="00DA068F" w:rsidRPr="008D031E" w:rsidRDefault="00DA068F" w:rsidP="00DA068F">
      <w:pPr>
        <w:pStyle w:val="JuPara"/>
        <w:widowControl w:val="0"/>
        <w:ind w:firstLine="0"/>
        <w:rPr>
          <w:rFonts w:ascii="Times New Roman" w:hAnsi="Times New Roman"/>
          <w:b/>
          <w:bCs/>
          <w:noProof/>
        </w:rPr>
      </w:pPr>
      <w:r>
        <w:rPr>
          <w:rFonts w:ascii="Times New Roman" w:hAnsi="Times New Roman"/>
          <w:b/>
        </w:rPr>
        <w:t>I. Ievads (1. punkts)</w:t>
      </w:r>
    </w:p>
    <w:p w14:paraId="0018D9CD" w14:textId="77777777" w:rsidR="00DA068F" w:rsidRPr="008D031E" w:rsidRDefault="00DA068F" w:rsidP="00DA068F">
      <w:pPr>
        <w:pStyle w:val="JuPara"/>
        <w:widowControl w:val="0"/>
        <w:ind w:firstLine="0"/>
        <w:rPr>
          <w:rFonts w:ascii="Times New Roman" w:hAnsi="Times New Roman"/>
          <w:b/>
          <w:bCs/>
          <w:noProof/>
        </w:rPr>
      </w:pPr>
      <w:r>
        <w:rPr>
          <w:rFonts w:ascii="Times New Roman" w:hAnsi="Times New Roman"/>
          <w:b/>
        </w:rPr>
        <w:t xml:space="preserve">II. Tiesas </w:t>
      </w:r>
      <w:proofErr w:type="spellStart"/>
      <w:r>
        <w:rPr>
          <w:rFonts w:ascii="Times New Roman" w:hAnsi="Times New Roman"/>
          <w:b/>
          <w:i/>
          <w:iCs/>
        </w:rPr>
        <w:t>pro</w:t>
      </w:r>
      <w:proofErr w:type="spellEnd"/>
      <w:r>
        <w:rPr>
          <w:rFonts w:ascii="Times New Roman" w:hAnsi="Times New Roman"/>
          <w:b/>
          <w:i/>
          <w:iCs/>
        </w:rPr>
        <w:t> </w:t>
      </w:r>
      <w:proofErr w:type="spellStart"/>
      <w:r>
        <w:rPr>
          <w:rFonts w:ascii="Times New Roman" w:hAnsi="Times New Roman"/>
          <w:b/>
          <w:i/>
          <w:iCs/>
        </w:rPr>
        <w:t>autoritate</w:t>
      </w:r>
      <w:proofErr w:type="spellEnd"/>
      <w:r>
        <w:rPr>
          <w:rFonts w:ascii="Times New Roman" w:hAnsi="Times New Roman"/>
          <w:b/>
        </w:rPr>
        <w:t xml:space="preserve"> masveida pārtveršanas režīma kritisks </w:t>
      </w:r>
      <w:proofErr w:type="spellStart"/>
      <w:r>
        <w:rPr>
          <w:rFonts w:ascii="Times New Roman" w:hAnsi="Times New Roman"/>
          <w:b/>
        </w:rPr>
        <w:t>izvērtējums</w:t>
      </w:r>
      <w:proofErr w:type="spellEnd"/>
      <w:r>
        <w:rPr>
          <w:rFonts w:ascii="Times New Roman" w:hAnsi="Times New Roman"/>
          <w:b/>
        </w:rPr>
        <w:t xml:space="preserve"> (2.–18. punkts)</w:t>
      </w:r>
    </w:p>
    <w:p w14:paraId="5468490A"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A. Neskaidra valoda (2.–3. punkts)</w:t>
      </w:r>
    </w:p>
    <w:p w14:paraId="3FC6EDFC" w14:textId="77777777" w:rsidR="00DA068F" w:rsidRPr="008D031E" w:rsidRDefault="00DA068F" w:rsidP="00DA068F">
      <w:pPr>
        <w:pStyle w:val="JuPara"/>
        <w:widowControl w:val="0"/>
        <w:ind w:firstLine="142"/>
        <w:rPr>
          <w:rFonts w:ascii="Times New Roman" w:hAnsi="Times New Roman"/>
          <w:noProof/>
        </w:rPr>
      </w:pPr>
      <w:bookmarkStart w:id="303" w:name="_Hlk65945808"/>
      <w:r>
        <w:rPr>
          <w:rFonts w:ascii="Times New Roman" w:hAnsi="Times New Roman"/>
        </w:rPr>
        <w:t>B. Neobjektīva metodoloģija (4.–12. punkts)</w:t>
      </w:r>
    </w:p>
    <w:bookmarkEnd w:id="303"/>
    <w:p w14:paraId="4DA4AC7F"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C. Nepilnīgs drošības pasākumu režīms (13.–15. punkts)</w:t>
      </w:r>
    </w:p>
    <w:p w14:paraId="417A56B5"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D. Sākotnējais secinājums (16.–18. punkts)</w:t>
      </w:r>
    </w:p>
    <w:p w14:paraId="0D5D3E0A" w14:textId="77777777" w:rsidR="00DA068F" w:rsidRPr="008D031E" w:rsidRDefault="00DA068F" w:rsidP="00DA068F">
      <w:pPr>
        <w:pStyle w:val="JuPara"/>
        <w:widowControl w:val="0"/>
        <w:ind w:firstLine="0"/>
        <w:rPr>
          <w:rFonts w:ascii="Times New Roman" w:hAnsi="Times New Roman"/>
          <w:b/>
          <w:bCs/>
          <w:noProof/>
        </w:rPr>
      </w:pPr>
      <w:r>
        <w:rPr>
          <w:rFonts w:ascii="Times New Roman" w:hAnsi="Times New Roman"/>
          <w:b/>
        </w:rPr>
        <w:t xml:space="preserve">III. </w:t>
      </w:r>
      <w:proofErr w:type="spellStart"/>
      <w:r>
        <w:rPr>
          <w:rFonts w:ascii="Times New Roman" w:hAnsi="Times New Roman"/>
          <w:b/>
          <w:i/>
          <w:iCs/>
        </w:rPr>
        <w:t>Pro</w:t>
      </w:r>
      <w:proofErr w:type="spellEnd"/>
      <w:r>
        <w:rPr>
          <w:rFonts w:ascii="Times New Roman" w:hAnsi="Times New Roman"/>
          <w:b/>
          <w:i/>
          <w:iCs/>
        </w:rPr>
        <w:t> persona</w:t>
      </w:r>
      <w:r>
        <w:rPr>
          <w:rFonts w:ascii="Times New Roman" w:hAnsi="Times New Roman"/>
          <w:b/>
        </w:rPr>
        <w:t xml:space="preserve"> masveida pārtveršanas režīma </w:t>
      </w:r>
      <w:proofErr w:type="spellStart"/>
      <w:r>
        <w:rPr>
          <w:rFonts w:ascii="Times New Roman" w:hAnsi="Times New Roman"/>
          <w:b/>
        </w:rPr>
        <w:t>izvērtējums</w:t>
      </w:r>
      <w:proofErr w:type="spellEnd"/>
      <w:r>
        <w:rPr>
          <w:rFonts w:ascii="Times New Roman" w:hAnsi="Times New Roman"/>
          <w:b/>
        </w:rPr>
        <w:t xml:space="preserve"> (19.–34. punkts)</w:t>
      </w:r>
    </w:p>
    <w:p w14:paraId="4D21C8C5"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A. Sakaru masveida pārtveršana (19.–29. punkts)</w:t>
      </w:r>
    </w:p>
    <w:p w14:paraId="241FFDD1"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B. Pārtverto datu apmaiņa ar ārvalstu izlūkdienestiem (30.–31. punkts)</w:t>
      </w:r>
    </w:p>
    <w:p w14:paraId="7A590301"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C. Saistīto sakaru datu masveida pārtveršana (32. punkts)</w:t>
      </w:r>
    </w:p>
    <w:p w14:paraId="43D53386"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D. Sākotnējais secinājums (33.–34. punkts)</w:t>
      </w:r>
    </w:p>
    <w:p w14:paraId="652686C0" w14:textId="77777777" w:rsidR="00DA068F" w:rsidRPr="008D031E" w:rsidRDefault="00DA068F" w:rsidP="00DA068F">
      <w:pPr>
        <w:pStyle w:val="JuPara"/>
        <w:widowControl w:val="0"/>
        <w:ind w:firstLine="0"/>
        <w:rPr>
          <w:rFonts w:ascii="Times New Roman" w:hAnsi="Times New Roman"/>
          <w:b/>
          <w:bCs/>
          <w:noProof/>
        </w:rPr>
      </w:pPr>
      <w:r>
        <w:rPr>
          <w:rFonts w:ascii="Times New Roman" w:hAnsi="Times New Roman"/>
          <w:b/>
        </w:rPr>
        <w:t xml:space="preserve">IV. </w:t>
      </w:r>
      <w:r>
        <w:rPr>
          <w:rFonts w:ascii="Times New Roman" w:hAnsi="Times New Roman"/>
          <w:b/>
          <w:bCs/>
        </w:rPr>
        <w:t>Apstrīdētā Apvienotās Karalistes pārtveršanas režīma kritika (35.–58. punkts)</w:t>
      </w:r>
    </w:p>
    <w:p w14:paraId="120C633F"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A. Sakaru masveida pārtveršana saskaņā ar </w:t>
      </w:r>
      <w:r>
        <w:rPr>
          <w:rFonts w:ascii="Times New Roman" w:hAnsi="Times New Roman"/>
          <w:i/>
          <w:iCs/>
        </w:rPr>
        <w:t>RIPA</w:t>
      </w:r>
      <w:r>
        <w:rPr>
          <w:rFonts w:ascii="Times New Roman" w:hAnsi="Times New Roman"/>
        </w:rPr>
        <w:t xml:space="preserve"> (35.–49. punkts)</w:t>
      </w:r>
    </w:p>
    <w:p w14:paraId="00482628" w14:textId="77777777" w:rsidR="00DA068F" w:rsidRPr="008D031E" w:rsidRDefault="00DA068F" w:rsidP="00DA068F">
      <w:pPr>
        <w:pStyle w:val="JuPara"/>
        <w:widowControl w:val="0"/>
        <w:ind w:left="142" w:firstLine="0"/>
        <w:rPr>
          <w:rFonts w:ascii="Times New Roman" w:hAnsi="Times New Roman"/>
          <w:noProof/>
        </w:rPr>
      </w:pPr>
      <w:bookmarkStart w:id="304" w:name="_Hlk65945347"/>
      <w:r>
        <w:rPr>
          <w:rFonts w:ascii="Times New Roman" w:hAnsi="Times New Roman"/>
        </w:rPr>
        <w:t xml:space="preserve">B. Pārtverto datu apmaiņa ar ārvalstu izlūkdienestiem saskaņā ar </w:t>
      </w:r>
      <w:proofErr w:type="spellStart"/>
      <w:r>
        <w:rPr>
          <w:rFonts w:ascii="Times New Roman" w:hAnsi="Times New Roman"/>
          <w:i/>
          <w:iCs/>
        </w:rPr>
        <w:t>IC</w:t>
      </w:r>
      <w:proofErr w:type="spellEnd"/>
      <w:r>
        <w:rPr>
          <w:rFonts w:ascii="Times New Roman" w:hAnsi="Times New Roman"/>
        </w:rPr>
        <w:t xml:space="preserve"> kodeksa 12. nodaļu (50.–54. punkts)</w:t>
      </w:r>
    </w:p>
    <w:bookmarkEnd w:id="304"/>
    <w:p w14:paraId="6AEC7DD5"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C. Saistīto sakaru datu masveida pārtveršana saskaņā ar </w:t>
      </w:r>
      <w:r>
        <w:rPr>
          <w:rFonts w:ascii="Times New Roman" w:hAnsi="Times New Roman"/>
          <w:i/>
          <w:iCs/>
        </w:rPr>
        <w:t>RIPA</w:t>
      </w:r>
      <w:r>
        <w:rPr>
          <w:rFonts w:ascii="Times New Roman" w:hAnsi="Times New Roman"/>
        </w:rPr>
        <w:t xml:space="preserve"> (55.–57. punkts)</w:t>
      </w:r>
    </w:p>
    <w:p w14:paraId="0DA44227"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D. Sākotnējais secinājums (58. punkts)</w:t>
      </w:r>
    </w:p>
    <w:p w14:paraId="718A9813" w14:textId="77777777" w:rsidR="00DA068F" w:rsidRPr="008D031E" w:rsidRDefault="00DA068F" w:rsidP="00DA068F">
      <w:pPr>
        <w:pStyle w:val="JuPara"/>
        <w:widowControl w:val="0"/>
        <w:ind w:firstLine="0"/>
        <w:rPr>
          <w:rFonts w:ascii="Times New Roman" w:hAnsi="Times New Roman"/>
          <w:b/>
          <w:bCs/>
          <w:noProof/>
        </w:rPr>
      </w:pPr>
      <w:r>
        <w:rPr>
          <w:rFonts w:ascii="Times New Roman" w:hAnsi="Times New Roman"/>
          <w:b/>
        </w:rPr>
        <w:t>V. Secinājums (59.–60. punkts)</w:t>
      </w:r>
    </w:p>
    <w:p w14:paraId="6CF8FCCC" w14:textId="77777777" w:rsidR="00DA068F" w:rsidRPr="008D031E" w:rsidRDefault="00DA068F" w:rsidP="00DA068F">
      <w:pPr>
        <w:pStyle w:val="JuPara"/>
        <w:widowControl w:val="0"/>
        <w:ind w:firstLine="0"/>
        <w:rPr>
          <w:rFonts w:ascii="Times New Roman" w:hAnsi="Times New Roman"/>
          <w:b/>
          <w:bCs/>
          <w:noProof/>
          <w:lang w:val="en-US"/>
        </w:rPr>
      </w:pPr>
    </w:p>
    <w:p w14:paraId="27070D88" w14:textId="77777777" w:rsidR="00DA068F" w:rsidRPr="008D031E" w:rsidRDefault="00DA068F" w:rsidP="00DA068F">
      <w:pPr>
        <w:pStyle w:val="JuPara"/>
        <w:widowControl w:val="0"/>
        <w:ind w:firstLine="0"/>
        <w:rPr>
          <w:rFonts w:ascii="Times New Roman" w:hAnsi="Times New Roman"/>
          <w:b/>
          <w:bCs/>
          <w:noProof/>
          <w:lang w:val="en-US"/>
        </w:rPr>
      </w:pPr>
    </w:p>
    <w:p w14:paraId="549ED1C7" w14:textId="77777777" w:rsidR="00DA068F" w:rsidRDefault="00DA068F" w:rsidP="00DA068F">
      <w:pPr>
        <w:pStyle w:val="JuHIRoman"/>
        <w:keepNext w:val="0"/>
        <w:keepLines w:val="0"/>
        <w:widowControl w:val="0"/>
        <w:numPr>
          <w:ilvl w:val="0"/>
          <w:numId w:val="0"/>
        </w:numPr>
        <w:spacing w:before="0" w:beforeAutospacing="0" w:after="0"/>
        <w:outlineLvl w:val="9"/>
        <w:rPr>
          <w:rFonts w:ascii="Times New Roman" w:hAnsi="Times New Roman"/>
          <w:caps w:val="0"/>
          <w:noProof/>
        </w:rPr>
      </w:pPr>
      <w:r>
        <w:rPr>
          <w:rFonts w:ascii="Times New Roman" w:hAnsi="Times New Roman"/>
          <w:caps w:val="0"/>
        </w:rPr>
        <w:t>I. IEVADS</w:t>
      </w:r>
    </w:p>
    <w:p w14:paraId="6BE2A20C" w14:textId="77777777" w:rsidR="00DA068F" w:rsidRPr="00C53060" w:rsidRDefault="00DA068F" w:rsidP="00DA068F">
      <w:pPr>
        <w:pStyle w:val="JuPara"/>
        <w:widowControl w:val="0"/>
        <w:rPr>
          <w:lang w:val="en-US"/>
        </w:rPr>
      </w:pPr>
    </w:p>
    <w:p w14:paraId="706F8FA2" w14:textId="77777777" w:rsidR="00DA068F" w:rsidRDefault="00DA068F" w:rsidP="00DA068F">
      <w:pPr>
        <w:pStyle w:val="JuPara"/>
        <w:widowControl w:val="0"/>
        <w:ind w:firstLine="142"/>
        <w:rPr>
          <w:rFonts w:ascii="Times New Roman" w:hAnsi="Times New Roman"/>
          <w:noProof/>
        </w:rPr>
      </w:pPr>
      <w:r>
        <w:rPr>
          <w:rFonts w:ascii="Times New Roman" w:hAnsi="Times New Roman"/>
        </w:rPr>
        <w:t>1. Es balsoju ar vairākumu, izņemot secinājumu par to, ka nav pārkāpts Konvencijas 8. un 10. punkts saistībā ar pārtvertā materiāla saņemšanu no ārvalstu izlūkdienestiem, proti, attiecībā uz masveida materiālu, ko Amerikas Savienoto Valstu Nacionālās drošības aģentūra (</w:t>
      </w:r>
      <w:proofErr w:type="spellStart"/>
      <w:r>
        <w:rPr>
          <w:rFonts w:ascii="Times New Roman" w:hAnsi="Times New Roman"/>
          <w:i/>
          <w:iCs/>
        </w:rPr>
        <w:t>NSA</w:t>
      </w:r>
      <w:proofErr w:type="spellEnd"/>
      <w:r>
        <w:rPr>
          <w:rFonts w:ascii="Times New Roman" w:hAnsi="Times New Roman"/>
        </w:rPr>
        <w:t>) pārtvēra, izmantojot programmas “</w:t>
      </w:r>
      <w:proofErr w:type="spellStart"/>
      <w:r>
        <w:rPr>
          <w:rFonts w:ascii="Times New Roman" w:hAnsi="Times New Roman"/>
        </w:rPr>
        <w:t>PRISM</w:t>
      </w:r>
      <w:proofErr w:type="spellEnd"/>
      <w:r>
        <w:rPr>
          <w:rFonts w:ascii="Times New Roman" w:hAnsi="Times New Roman"/>
        </w:rPr>
        <w:t>” un “</w:t>
      </w:r>
      <w:proofErr w:type="spellStart"/>
      <w:r>
        <w:rPr>
          <w:rFonts w:ascii="Times New Roman" w:hAnsi="Times New Roman"/>
        </w:rPr>
        <w:t>Upstream</w:t>
      </w:r>
      <w:proofErr w:type="spellEnd"/>
      <w:r>
        <w:rPr>
          <w:rFonts w:ascii="Times New Roman" w:hAnsi="Times New Roman"/>
        </w:rPr>
        <w:t>”. Turklāt es nepiekrītu vairākuma pamata argumentācijai saistībā ar secinājumu par 8. un 10. panta pārkāpumu. Šā viedokļa mērķis ir norādīt mana nepiekrītošā viedokļa iemeslus.</w:t>
      </w:r>
      <w:r w:rsidRPr="008D031E">
        <w:rPr>
          <w:rFonts w:ascii="Times New Roman" w:hAnsi="Times New Roman"/>
          <w:noProof/>
          <w:vertAlign w:val="superscript"/>
          <w:lang w:val="en-US"/>
        </w:rPr>
        <w:footnoteReference w:id="9"/>
      </w:r>
    </w:p>
    <w:p w14:paraId="02E61BA3" w14:textId="77777777" w:rsidR="00DA068F" w:rsidRPr="008D031E" w:rsidRDefault="00DA068F" w:rsidP="00DA068F">
      <w:pPr>
        <w:pStyle w:val="JuPara"/>
        <w:widowControl w:val="0"/>
        <w:ind w:firstLine="0"/>
        <w:rPr>
          <w:rFonts w:ascii="Times New Roman" w:hAnsi="Times New Roman"/>
          <w:noProof/>
          <w:lang w:val="en-US"/>
        </w:rPr>
      </w:pPr>
    </w:p>
    <w:p w14:paraId="50BEF157" w14:textId="77777777" w:rsidR="00DA068F" w:rsidRDefault="00DA068F" w:rsidP="00DA068F">
      <w:pPr>
        <w:pStyle w:val="JuHIRoman"/>
        <w:keepNext w:val="0"/>
        <w:keepLines w:val="0"/>
        <w:widowControl w:val="0"/>
        <w:numPr>
          <w:ilvl w:val="0"/>
          <w:numId w:val="0"/>
        </w:numPr>
        <w:spacing w:before="0" w:beforeAutospacing="0" w:after="0"/>
        <w:outlineLvl w:val="9"/>
        <w:rPr>
          <w:rFonts w:ascii="Times New Roman" w:hAnsi="Times New Roman"/>
          <w:caps w:val="0"/>
          <w:noProof/>
        </w:rPr>
      </w:pPr>
      <w:r>
        <w:rPr>
          <w:rFonts w:ascii="Times New Roman" w:hAnsi="Times New Roman"/>
          <w:caps w:val="0"/>
        </w:rPr>
        <w:t xml:space="preserve">II. TIESAS </w:t>
      </w:r>
      <w:proofErr w:type="spellStart"/>
      <w:r>
        <w:rPr>
          <w:rFonts w:ascii="Times New Roman" w:hAnsi="Times New Roman"/>
          <w:i/>
          <w:iCs/>
          <w:caps w:val="0"/>
        </w:rPr>
        <w:t>PRO</w:t>
      </w:r>
      <w:proofErr w:type="spellEnd"/>
      <w:r>
        <w:rPr>
          <w:rFonts w:ascii="Times New Roman" w:hAnsi="Times New Roman"/>
          <w:i/>
          <w:iCs/>
          <w:caps w:val="0"/>
        </w:rPr>
        <w:t> </w:t>
      </w:r>
      <w:proofErr w:type="spellStart"/>
      <w:r>
        <w:rPr>
          <w:rFonts w:ascii="Times New Roman" w:hAnsi="Times New Roman"/>
          <w:i/>
          <w:iCs/>
          <w:caps w:val="0"/>
        </w:rPr>
        <w:t>AUTORITATE</w:t>
      </w:r>
      <w:proofErr w:type="spellEnd"/>
      <w:r>
        <w:rPr>
          <w:rFonts w:ascii="Times New Roman" w:hAnsi="Times New Roman"/>
          <w:caps w:val="0"/>
        </w:rPr>
        <w:t xml:space="preserve"> MASVEIDA PĀRTVERŠANAS REŽĪMA KRITISKS </w:t>
      </w:r>
      <w:proofErr w:type="spellStart"/>
      <w:r>
        <w:rPr>
          <w:rFonts w:ascii="Times New Roman" w:hAnsi="Times New Roman"/>
          <w:caps w:val="0"/>
        </w:rPr>
        <w:t>IZVĒRTĒJUMS</w:t>
      </w:r>
      <w:proofErr w:type="spellEnd"/>
    </w:p>
    <w:p w14:paraId="483D6821" w14:textId="77777777" w:rsidR="00DA068F" w:rsidRPr="00C53060" w:rsidRDefault="00DA068F" w:rsidP="00DA068F">
      <w:pPr>
        <w:pStyle w:val="JuPara"/>
        <w:widowControl w:val="0"/>
        <w:rPr>
          <w:lang w:val="en-US"/>
        </w:rPr>
      </w:pPr>
    </w:p>
    <w:p w14:paraId="76D09C71" w14:textId="77777777" w:rsidR="00DA068F" w:rsidRDefault="00DA068F" w:rsidP="00DA068F">
      <w:pPr>
        <w:pStyle w:val="JuHA"/>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A. Neskaidra valoda</w:t>
      </w:r>
    </w:p>
    <w:p w14:paraId="3C0E8ED1" w14:textId="77777777" w:rsidR="00DA068F" w:rsidRPr="00C53060" w:rsidRDefault="00DA068F" w:rsidP="00DA068F">
      <w:pPr>
        <w:pStyle w:val="JuPara"/>
        <w:widowControl w:val="0"/>
        <w:rPr>
          <w:lang w:val="en-US"/>
        </w:rPr>
      </w:pPr>
    </w:p>
    <w:p w14:paraId="1589B3D5"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2. Diemžēl jau iesākumā jānorāda, ka Tiesas lietotā valoda ir nepieņemami neskaidra, kas tiks paskaidrots turpmāk šā viedokļa izklāstā. Lai gan dažkārt lietotā valoda atspoguļo Tiesas apzinātu nodomu piešķirt atbildētājai valstij rīcības brīvību šā sprieduma izpildē, citos gadījumos tā liecina par tiesnešu vilcināšanos viņu tiesas spriešanas funkcijas izpildē. Līdz ar to tiek ne tikai vājināta Tiesas autoritāte, bet arī mazināta šā sprieduma vērtība standartu </w:t>
      </w:r>
      <w:r>
        <w:rPr>
          <w:rFonts w:ascii="Times New Roman" w:hAnsi="Times New Roman"/>
        </w:rPr>
        <w:lastRenderedPageBreak/>
        <w:t>izvirzīšanas ziņā.</w:t>
      </w:r>
    </w:p>
    <w:p w14:paraId="5EC4A5EE" w14:textId="77777777" w:rsidR="00DA068F" w:rsidRDefault="00DA068F" w:rsidP="00DA068F">
      <w:pPr>
        <w:pStyle w:val="JuPara"/>
        <w:widowControl w:val="0"/>
        <w:ind w:firstLine="142"/>
        <w:rPr>
          <w:rFonts w:ascii="Times New Roman" w:hAnsi="Times New Roman"/>
          <w:noProof/>
        </w:rPr>
      </w:pPr>
      <w:r>
        <w:rPr>
          <w:rFonts w:ascii="Times New Roman" w:hAnsi="Times New Roman"/>
        </w:rPr>
        <w:t>3. Tā kā Eiropas cilvēktiesību juridiskie jēdzieni ir autonomi tādējādi, ka tie nav absolūti atkarīgi no attiecīgo valstu juridisko jēdzienu nozīmes un piemērošanas jomas, un ņemot vērā juridisko jautājumu novatorismu Lielajā palātā aplūkotajā lietā, Tiesai bija jādefinē kā “melns uz balta” juridiskie pamatjēdzieni, ko tā izmanto šajā spriedumā,</w:t>
      </w:r>
      <w:r w:rsidRPr="008D031E">
        <w:rPr>
          <w:rFonts w:ascii="Times New Roman" w:hAnsi="Times New Roman"/>
          <w:noProof/>
          <w:vertAlign w:val="superscript"/>
          <w:lang w:val="en-US"/>
        </w:rPr>
        <w:footnoteReference w:id="10"/>
      </w:r>
      <w:r>
        <w:rPr>
          <w:rFonts w:ascii="Times New Roman" w:hAnsi="Times New Roman"/>
        </w:rPr>
        <w:t xml:space="preserve"> neatkarīgi no tā, kā tie ir definēti 2000. gada Likumā par izmeklēšanas pilnvaru regulējumu (</w:t>
      </w:r>
      <w:r>
        <w:rPr>
          <w:rFonts w:ascii="Times New Roman" w:hAnsi="Times New Roman"/>
          <w:i/>
          <w:iCs/>
        </w:rPr>
        <w:t>RIPA</w:t>
      </w:r>
      <w:r>
        <w:rPr>
          <w:rFonts w:ascii="Times New Roman" w:hAnsi="Times New Roman"/>
        </w:rPr>
        <w:t>), Sakaru pārtveršanas prakses kodeksā (</w:t>
      </w:r>
      <w:proofErr w:type="spellStart"/>
      <w:r>
        <w:rPr>
          <w:rFonts w:ascii="Times New Roman" w:hAnsi="Times New Roman"/>
          <w:i/>
          <w:iCs/>
        </w:rPr>
        <w:t>IC</w:t>
      </w:r>
      <w:proofErr w:type="spellEnd"/>
      <w:r>
        <w:rPr>
          <w:rFonts w:ascii="Times New Roman" w:hAnsi="Times New Roman"/>
        </w:rPr>
        <w:t xml:space="preserve"> kodekss) vai jebkuros iekšēji regulētos noteikumos. Skaidrības labad jānorāda, ka izmantošu turpmāk uzskaitītos terminus, kas definēti šādi:</w:t>
      </w:r>
    </w:p>
    <w:p w14:paraId="391E741A" w14:textId="77777777" w:rsidR="00DA068F" w:rsidRPr="008D031E" w:rsidRDefault="00DA068F" w:rsidP="00DA068F">
      <w:pPr>
        <w:pStyle w:val="JuPara"/>
        <w:widowControl w:val="0"/>
        <w:ind w:firstLine="142"/>
        <w:rPr>
          <w:rFonts w:ascii="Times New Roman" w:hAnsi="Times New Roman"/>
          <w:noProof/>
          <w:lang w:val="en-US"/>
        </w:rPr>
      </w:pPr>
    </w:p>
    <w:p w14:paraId="6058DEB6" w14:textId="77777777" w:rsidR="00DA068F" w:rsidRPr="008D031E" w:rsidRDefault="00DA068F" w:rsidP="00DA068F">
      <w:pPr>
        <w:pStyle w:val="JuQuot"/>
        <w:widowControl w:val="0"/>
        <w:spacing w:before="0" w:after="0"/>
        <w:ind w:left="284"/>
        <w:rPr>
          <w:rFonts w:ascii="Times New Roman" w:hAnsi="Times New Roman"/>
          <w:noProof/>
          <w:sz w:val="24"/>
        </w:rPr>
      </w:pPr>
      <w:r>
        <w:rPr>
          <w:rFonts w:ascii="Times New Roman" w:hAnsi="Times New Roman"/>
          <w:b/>
          <w:bCs/>
          <w:sz w:val="24"/>
        </w:rPr>
        <w:t>a) “pārtveršanas subjekts”</w:t>
      </w:r>
      <w:r>
        <w:rPr>
          <w:rFonts w:ascii="Times New Roman" w:hAnsi="Times New Roman"/>
          <w:sz w:val="24"/>
        </w:rPr>
        <w:t xml:space="preserve"> ir fiziskas un juridiskas personas, tostarp valsts dienesti, privātas sabiedrības, NVO un jebkuras pilsoniskās sabiedrības organizācijas, kuru elektroniskie sakari var tikt vai ir tikuši pārtverti;</w:t>
      </w:r>
      <w:r w:rsidRPr="008D031E">
        <w:rPr>
          <w:rFonts w:ascii="Times New Roman" w:hAnsi="Times New Roman"/>
          <w:noProof/>
          <w:sz w:val="24"/>
          <w:vertAlign w:val="superscript"/>
          <w:lang w:val="en-US"/>
        </w:rPr>
        <w:footnoteReference w:id="11"/>
      </w:r>
    </w:p>
    <w:p w14:paraId="4C64E114" w14:textId="77777777" w:rsidR="00DA068F" w:rsidRPr="008D031E" w:rsidRDefault="00DA068F" w:rsidP="00DA068F">
      <w:pPr>
        <w:pStyle w:val="JuQuot"/>
        <w:widowControl w:val="0"/>
        <w:spacing w:before="0" w:after="0"/>
        <w:ind w:left="284"/>
        <w:rPr>
          <w:rFonts w:ascii="Times New Roman" w:hAnsi="Times New Roman"/>
          <w:noProof/>
          <w:sz w:val="24"/>
        </w:rPr>
      </w:pPr>
      <w:r>
        <w:rPr>
          <w:rFonts w:ascii="Times New Roman" w:hAnsi="Times New Roman"/>
          <w:b/>
          <w:bCs/>
          <w:sz w:val="24"/>
        </w:rPr>
        <w:t>b) “pārtvertais materiāls” vai “masveida materiāls”</w:t>
      </w:r>
      <w:r>
        <w:rPr>
          <w:rFonts w:ascii="Times New Roman" w:hAnsi="Times New Roman"/>
          <w:sz w:val="24"/>
        </w:rPr>
        <w:t xml:space="preserve"> ir elektronisko sakaru saturs vai saistīto sakaru datu saturs, kas apkopots masveida pārtveršanas veidā;</w:t>
      </w:r>
      <w:r w:rsidRPr="008D031E">
        <w:rPr>
          <w:rFonts w:ascii="Times New Roman" w:hAnsi="Times New Roman"/>
          <w:noProof/>
          <w:sz w:val="24"/>
          <w:vertAlign w:val="superscript"/>
          <w:lang w:val="en-US"/>
        </w:rPr>
        <w:footnoteReference w:id="12"/>
      </w:r>
    </w:p>
    <w:p w14:paraId="551BAADC" w14:textId="77777777" w:rsidR="00DA068F" w:rsidRPr="008D031E" w:rsidRDefault="00DA068F" w:rsidP="00DA068F">
      <w:pPr>
        <w:pStyle w:val="JuQuot"/>
        <w:widowControl w:val="0"/>
        <w:spacing w:before="0" w:after="0"/>
        <w:ind w:left="284"/>
        <w:rPr>
          <w:rFonts w:ascii="Times New Roman" w:hAnsi="Times New Roman"/>
          <w:noProof/>
          <w:sz w:val="24"/>
        </w:rPr>
      </w:pPr>
      <w:r>
        <w:rPr>
          <w:rFonts w:ascii="Times New Roman" w:hAnsi="Times New Roman"/>
          <w:b/>
          <w:bCs/>
          <w:sz w:val="24"/>
        </w:rPr>
        <w:t>c) “saistītie sakaru dati”</w:t>
      </w:r>
      <w:r>
        <w:rPr>
          <w:rFonts w:ascii="Times New Roman" w:hAnsi="Times New Roman"/>
          <w:sz w:val="24"/>
        </w:rPr>
        <w:t xml:space="preserve"> ir dati, kas nepieciešami, lai noteiktu elektronisko sakaru avota atrašanās vietu un to galamērķi, kā arī sakaru datumu, laiku, ilgumu un veidu, identificētu izmantoto sakaru ierīci, kā arī noteiktu galiekārtas atrašanās vietu un sakarus, datus, kas </w:t>
      </w:r>
      <w:proofErr w:type="spellStart"/>
      <w:r>
        <w:rPr>
          <w:rFonts w:ascii="Times New Roman" w:hAnsi="Times New Roman"/>
          <w:i/>
          <w:iCs/>
          <w:sz w:val="24"/>
        </w:rPr>
        <w:t>inter</w:t>
      </w:r>
      <w:proofErr w:type="spellEnd"/>
      <w:r>
        <w:rPr>
          <w:rFonts w:ascii="Times New Roman" w:hAnsi="Times New Roman"/>
          <w:i/>
          <w:iCs/>
          <w:sz w:val="24"/>
        </w:rPr>
        <w:t xml:space="preserve"> </w:t>
      </w:r>
      <w:proofErr w:type="spellStart"/>
      <w:r>
        <w:rPr>
          <w:rFonts w:ascii="Times New Roman" w:hAnsi="Times New Roman"/>
          <w:i/>
          <w:iCs/>
          <w:sz w:val="24"/>
        </w:rPr>
        <w:t>alia</w:t>
      </w:r>
      <w:proofErr w:type="spellEnd"/>
      <w:r>
        <w:rPr>
          <w:rFonts w:ascii="Times New Roman" w:hAnsi="Times New Roman"/>
          <w:sz w:val="24"/>
        </w:rPr>
        <w:t xml:space="preserve"> ietver lietotāja vārdu un adresi, zvanītāja un zvanu saņemošās personas tālruņa numurus, kā arī </w:t>
      </w:r>
      <w:proofErr w:type="spellStart"/>
      <w:r>
        <w:rPr>
          <w:rFonts w:ascii="Times New Roman" w:hAnsi="Times New Roman"/>
          <w:sz w:val="24"/>
        </w:rPr>
        <w:t>IP</w:t>
      </w:r>
      <w:proofErr w:type="spellEnd"/>
      <w:r>
        <w:rPr>
          <w:rFonts w:ascii="Times New Roman" w:hAnsi="Times New Roman"/>
          <w:sz w:val="24"/>
        </w:rPr>
        <w:t xml:space="preserve"> adresi attiecībā uz interneta pakalpojumiem;</w:t>
      </w:r>
      <w:r w:rsidRPr="008D031E">
        <w:rPr>
          <w:rFonts w:ascii="Times New Roman" w:hAnsi="Times New Roman"/>
          <w:noProof/>
          <w:sz w:val="24"/>
          <w:vertAlign w:val="superscript"/>
          <w:lang w:val="en-US"/>
        </w:rPr>
        <w:footnoteReference w:id="13"/>
      </w:r>
    </w:p>
    <w:p w14:paraId="217697A9" w14:textId="77777777" w:rsidR="00DA068F" w:rsidRPr="008D031E" w:rsidRDefault="00DA068F" w:rsidP="00DA068F">
      <w:pPr>
        <w:pStyle w:val="JuQuot"/>
        <w:widowControl w:val="0"/>
        <w:spacing w:before="0" w:after="0"/>
        <w:ind w:left="284"/>
        <w:rPr>
          <w:rFonts w:ascii="Times New Roman" w:hAnsi="Times New Roman"/>
          <w:noProof/>
          <w:sz w:val="24"/>
        </w:rPr>
      </w:pPr>
      <w:r>
        <w:rPr>
          <w:rFonts w:ascii="Times New Roman" w:hAnsi="Times New Roman"/>
          <w:b/>
          <w:bCs/>
          <w:sz w:val="24"/>
        </w:rPr>
        <w:t>d) “masveida pārtveršana”</w:t>
      </w:r>
      <w:r>
        <w:rPr>
          <w:rFonts w:ascii="Times New Roman" w:hAnsi="Times New Roman"/>
          <w:sz w:val="24"/>
        </w:rPr>
        <w:t xml:space="preserve"> ir elektronisko sakaru (un saistīto sakaru datu), kas cirkulē cauri nesējiem, mērķēta un nemērķēta pārtveršana ar spēcīgajiem selektoriem un selektoriem;</w:t>
      </w:r>
    </w:p>
    <w:p w14:paraId="5DA4EAC9" w14:textId="77777777" w:rsidR="00DA068F" w:rsidRPr="008D031E" w:rsidRDefault="00DA068F" w:rsidP="00DA068F">
      <w:pPr>
        <w:pStyle w:val="JuQuot"/>
        <w:widowControl w:val="0"/>
        <w:spacing w:before="0" w:after="0"/>
        <w:ind w:left="284"/>
        <w:rPr>
          <w:rFonts w:ascii="Times New Roman" w:hAnsi="Times New Roman"/>
          <w:noProof/>
          <w:sz w:val="24"/>
        </w:rPr>
      </w:pPr>
      <w:r>
        <w:rPr>
          <w:rFonts w:ascii="Times New Roman" w:hAnsi="Times New Roman"/>
          <w:b/>
          <w:bCs/>
          <w:sz w:val="24"/>
        </w:rPr>
        <w:t>e) “nesēji”</w:t>
      </w:r>
      <w:r>
        <w:rPr>
          <w:rFonts w:ascii="Times New Roman" w:hAnsi="Times New Roman"/>
          <w:sz w:val="24"/>
        </w:rPr>
        <w:t xml:space="preserve"> ir elektronisko sakaru nesēji (galvenokārt zemūdens optiskās šķiedras kabeļi);</w:t>
      </w:r>
    </w:p>
    <w:p w14:paraId="1AD00A4C" w14:textId="77777777" w:rsidR="00DA068F" w:rsidRPr="008D031E" w:rsidRDefault="00DA068F" w:rsidP="00DA068F">
      <w:pPr>
        <w:pStyle w:val="JuQuot"/>
        <w:widowControl w:val="0"/>
        <w:spacing w:before="0" w:after="0"/>
        <w:ind w:left="284"/>
        <w:rPr>
          <w:rFonts w:ascii="Times New Roman" w:hAnsi="Times New Roman"/>
          <w:noProof/>
          <w:sz w:val="24"/>
        </w:rPr>
      </w:pPr>
      <w:r>
        <w:rPr>
          <w:rFonts w:ascii="Times New Roman" w:hAnsi="Times New Roman"/>
          <w:b/>
          <w:bCs/>
          <w:sz w:val="24"/>
        </w:rPr>
        <w:t>f) “spēcīgie selektori”</w:t>
      </w:r>
      <w:r>
        <w:rPr>
          <w:rFonts w:ascii="Times New Roman" w:hAnsi="Times New Roman"/>
          <w:sz w:val="24"/>
        </w:rPr>
        <w:t xml:space="preserve"> ir specifiski (uz personu attiecināmi) identifikatori, kas saistīti ar kādu identificētu vai identificējamu mērķi un ļauj iegūt elektroniskos sakarus, ko pārraida uz šo mērķi, no tā vai par to;</w:t>
      </w:r>
    </w:p>
    <w:p w14:paraId="3A27C0F4" w14:textId="77777777" w:rsidR="00DA068F" w:rsidRPr="008D031E" w:rsidRDefault="00DA068F" w:rsidP="00DA068F">
      <w:pPr>
        <w:pStyle w:val="JuQuot"/>
        <w:widowControl w:val="0"/>
        <w:spacing w:before="0" w:after="0"/>
        <w:ind w:left="284"/>
        <w:rPr>
          <w:rFonts w:ascii="Times New Roman" w:hAnsi="Times New Roman"/>
          <w:noProof/>
          <w:sz w:val="24"/>
        </w:rPr>
      </w:pPr>
      <w:r>
        <w:rPr>
          <w:rFonts w:ascii="Times New Roman" w:hAnsi="Times New Roman"/>
          <w:b/>
          <w:bCs/>
          <w:sz w:val="24"/>
        </w:rPr>
        <w:t>g) “selektori”</w:t>
      </w:r>
      <w:r>
        <w:rPr>
          <w:rFonts w:ascii="Times New Roman" w:hAnsi="Times New Roman"/>
          <w:sz w:val="24"/>
        </w:rPr>
        <w:t xml:space="preserve"> ir nemērķēti (uz personu neattiecināmi) identifikatori;</w:t>
      </w:r>
    </w:p>
    <w:p w14:paraId="22222516" w14:textId="77777777" w:rsidR="00DA068F" w:rsidRPr="008D031E" w:rsidRDefault="00DA068F" w:rsidP="00DA068F">
      <w:pPr>
        <w:pStyle w:val="JuQuot"/>
        <w:widowControl w:val="0"/>
        <w:spacing w:before="0" w:after="0"/>
        <w:ind w:left="284"/>
        <w:rPr>
          <w:rFonts w:ascii="Times New Roman" w:hAnsi="Times New Roman"/>
          <w:noProof/>
          <w:sz w:val="24"/>
        </w:rPr>
      </w:pPr>
      <w:r>
        <w:rPr>
          <w:rFonts w:ascii="Times New Roman" w:hAnsi="Times New Roman"/>
          <w:b/>
          <w:bCs/>
          <w:sz w:val="24"/>
        </w:rPr>
        <w:t>h) “uz” vai “no” sakari</w:t>
      </w:r>
      <w:r>
        <w:rPr>
          <w:rFonts w:ascii="Times New Roman" w:hAnsi="Times New Roman"/>
          <w:sz w:val="24"/>
        </w:rPr>
        <w:t xml:space="preserve"> ir elektroniski sakari, kuru nosūtītājs vai saņēmējs ir izmantotā selektora lietotājs;</w:t>
      </w:r>
    </w:p>
    <w:p w14:paraId="12F58BAC" w14:textId="77777777" w:rsidR="00DA068F" w:rsidRPr="008D031E" w:rsidRDefault="00DA068F" w:rsidP="00DA068F">
      <w:pPr>
        <w:pStyle w:val="JuQuot"/>
        <w:widowControl w:val="0"/>
        <w:spacing w:before="0" w:after="0"/>
        <w:ind w:left="284"/>
        <w:rPr>
          <w:rFonts w:ascii="Times New Roman" w:hAnsi="Times New Roman"/>
          <w:noProof/>
          <w:sz w:val="24"/>
        </w:rPr>
      </w:pPr>
      <w:r>
        <w:rPr>
          <w:rFonts w:ascii="Times New Roman" w:hAnsi="Times New Roman"/>
          <w:b/>
          <w:bCs/>
          <w:sz w:val="24"/>
        </w:rPr>
        <w:t>i) “par” sakari</w:t>
      </w:r>
      <w:r>
        <w:rPr>
          <w:rFonts w:ascii="Times New Roman" w:hAnsi="Times New Roman"/>
          <w:sz w:val="24"/>
        </w:rPr>
        <w:t xml:space="preserve"> ir tādi, kuros izmantotais selektors ir minēts iegūtajos elektroniskajos sakaros, bet mērķis ne vienmēr ir saziņas dalībnieks;</w:t>
      </w:r>
    </w:p>
    <w:p w14:paraId="70FBEE51" w14:textId="77777777" w:rsidR="00DA068F" w:rsidRPr="008D031E" w:rsidRDefault="00DA068F" w:rsidP="00DA068F">
      <w:pPr>
        <w:pStyle w:val="JuQuot"/>
        <w:widowControl w:val="0"/>
        <w:spacing w:before="0" w:after="0"/>
        <w:ind w:left="284"/>
        <w:rPr>
          <w:rFonts w:ascii="Times New Roman" w:hAnsi="Times New Roman"/>
          <w:noProof/>
          <w:sz w:val="24"/>
        </w:rPr>
      </w:pPr>
      <w:r>
        <w:rPr>
          <w:rFonts w:ascii="Times New Roman" w:hAnsi="Times New Roman"/>
          <w:b/>
          <w:bCs/>
          <w:sz w:val="24"/>
        </w:rPr>
        <w:t>j) “ārējie sakari”</w:t>
      </w:r>
      <w:r>
        <w:rPr>
          <w:rFonts w:ascii="Times New Roman" w:hAnsi="Times New Roman"/>
          <w:sz w:val="24"/>
        </w:rPr>
        <w:t xml:space="preserve"> ir sakari, ko pārraida vai saņem ārpus valsts teritorijas;</w:t>
      </w:r>
      <w:r w:rsidRPr="008D031E">
        <w:rPr>
          <w:rFonts w:ascii="Times New Roman" w:hAnsi="Times New Roman"/>
          <w:noProof/>
          <w:sz w:val="24"/>
          <w:vertAlign w:val="superscript"/>
          <w:lang w:val="en-US"/>
        </w:rPr>
        <w:footnoteReference w:id="14"/>
      </w:r>
    </w:p>
    <w:p w14:paraId="0BF29968" w14:textId="77777777" w:rsidR="00DA068F" w:rsidRPr="008D031E" w:rsidRDefault="00DA068F" w:rsidP="00DA068F">
      <w:pPr>
        <w:pStyle w:val="JuQuot"/>
        <w:widowControl w:val="0"/>
        <w:spacing w:before="0" w:after="0"/>
        <w:ind w:left="284"/>
        <w:rPr>
          <w:rFonts w:ascii="Times New Roman" w:hAnsi="Times New Roman"/>
          <w:noProof/>
          <w:sz w:val="24"/>
        </w:rPr>
      </w:pPr>
      <w:r>
        <w:rPr>
          <w:rFonts w:ascii="Times New Roman" w:hAnsi="Times New Roman"/>
          <w:b/>
          <w:bCs/>
          <w:sz w:val="24"/>
        </w:rPr>
        <w:t>k) “sakari”</w:t>
      </w:r>
      <w:r>
        <w:rPr>
          <w:rFonts w:ascii="Times New Roman" w:hAnsi="Times New Roman"/>
          <w:sz w:val="24"/>
        </w:rPr>
        <w:t xml:space="preserve"> ir “jebkas, kas ietver sacīto, mūziku, skaņas, vizuālus attēlus vai jebkāda apraksta datus un signālus, kas paredzēti vai nu kaut kā izplatīšanai starp personām, starp personu un lietu vai starp lietām, vai jebkuras ierīces iedarbināšanai vai kontrolei”;</w:t>
      </w:r>
      <w:r w:rsidRPr="008D031E">
        <w:rPr>
          <w:rFonts w:ascii="Times New Roman" w:hAnsi="Times New Roman"/>
          <w:noProof/>
          <w:sz w:val="24"/>
          <w:vertAlign w:val="superscript"/>
          <w:lang w:val="en-US"/>
        </w:rPr>
        <w:footnoteReference w:id="15"/>
      </w:r>
    </w:p>
    <w:p w14:paraId="74F3E78C" w14:textId="77777777" w:rsidR="00DA068F" w:rsidRDefault="00DA068F" w:rsidP="00DA068F">
      <w:pPr>
        <w:pStyle w:val="JuQuot"/>
        <w:widowControl w:val="0"/>
        <w:spacing w:before="0" w:after="0"/>
        <w:ind w:left="284"/>
        <w:rPr>
          <w:rFonts w:ascii="Times New Roman" w:hAnsi="Times New Roman"/>
          <w:noProof/>
          <w:sz w:val="24"/>
        </w:rPr>
      </w:pPr>
      <w:r>
        <w:rPr>
          <w:rFonts w:ascii="Times New Roman" w:hAnsi="Times New Roman"/>
          <w:b/>
          <w:bCs/>
          <w:sz w:val="24"/>
        </w:rPr>
        <w:t>l) “iekšēji regulēti noteikumi”</w:t>
      </w:r>
      <w:r>
        <w:rPr>
          <w:rFonts w:ascii="Times New Roman" w:hAnsi="Times New Roman"/>
          <w:sz w:val="24"/>
        </w:rPr>
        <w:t xml:space="preserve"> ir slepeni iekšēji pārtveršanas iestādes noteikumi un rīcība.</w:t>
      </w:r>
    </w:p>
    <w:p w14:paraId="4C06CB9D" w14:textId="77777777" w:rsidR="00DA068F" w:rsidRPr="008D031E" w:rsidRDefault="00DA068F" w:rsidP="00DA068F">
      <w:pPr>
        <w:pStyle w:val="JuQuot"/>
        <w:widowControl w:val="0"/>
        <w:spacing w:before="0" w:after="0"/>
        <w:ind w:left="284"/>
        <w:rPr>
          <w:rFonts w:ascii="Times New Roman" w:hAnsi="Times New Roman"/>
          <w:noProof/>
          <w:sz w:val="24"/>
          <w:lang w:val="en-US"/>
        </w:rPr>
      </w:pPr>
    </w:p>
    <w:p w14:paraId="3BBE1349" w14:textId="77777777" w:rsidR="00DA068F" w:rsidRDefault="00DA068F" w:rsidP="00DA068F">
      <w:pPr>
        <w:pStyle w:val="JuHA"/>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B. Neobjektīva metodoloģija</w:t>
      </w:r>
    </w:p>
    <w:p w14:paraId="05F6BBC7" w14:textId="77777777" w:rsidR="00DA068F" w:rsidRPr="009329EA" w:rsidRDefault="00DA068F" w:rsidP="00DA068F">
      <w:pPr>
        <w:pStyle w:val="JuPara"/>
        <w:widowControl w:val="0"/>
        <w:rPr>
          <w:lang w:val="en-US"/>
        </w:rPr>
      </w:pPr>
    </w:p>
    <w:p w14:paraId="658E761E"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4. Tiesas metodoloģiskā pieeja šajā lietā ir neatbilstoša divu galveno iemeslu dēļ. Pirmkārt, Tiesa bija gatava izlemt tik svarīgu lietu, “pamatojoties uz ierobežotu informāciju par šo [līgumslēdzēju valstu masveida pārtveršanas] režīmu darbības veidu”.</w:t>
      </w:r>
      <w:r w:rsidRPr="008D031E">
        <w:rPr>
          <w:rFonts w:ascii="Times New Roman" w:hAnsi="Times New Roman"/>
          <w:noProof/>
          <w:vertAlign w:val="superscript"/>
          <w:lang w:val="en-US"/>
        </w:rPr>
        <w:footnoteReference w:id="16"/>
      </w:r>
      <w:r>
        <w:rPr>
          <w:rFonts w:ascii="Times New Roman" w:hAnsi="Times New Roman"/>
        </w:rPr>
        <w:t xml:space="preserve"> Piemēram, Valdība </w:t>
      </w:r>
      <w:r>
        <w:rPr>
          <w:rFonts w:ascii="Times New Roman" w:hAnsi="Times New Roman"/>
        </w:rPr>
        <w:lastRenderedPageBreak/>
        <w:t>nenorādīja izmantoto selektoru skaitu vai precizitātes pakāpi, pārtverto nesēju skaitu vai to, kā tieši šie nesēji tika atlasīti, vai sagatavoto izlūkošanas ziņojumu veidu attiecībā uz saistītajiem sakaru datiem, tomēr Tiesa neuzstāja uz šīs svarīgās informācijas iegūšanu. Izmeklēšanas pilnvaru tiesa (</w:t>
      </w:r>
      <w:proofErr w:type="spellStart"/>
      <w:r>
        <w:rPr>
          <w:rFonts w:ascii="Times New Roman" w:hAnsi="Times New Roman"/>
          <w:i/>
          <w:iCs/>
        </w:rPr>
        <w:t>IPT</w:t>
      </w:r>
      <w:proofErr w:type="spellEnd"/>
      <w:r>
        <w:rPr>
          <w:rFonts w:ascii="Times New Roman" w:hAnsi="Times New Roman"/>
        </w:rPr>
        <w:t>) izvērtēja iekšēji regulētos noteikumus,</w:t>
      </w:r>
      <w:r w:rsidRPr="008D031E">
        <w:rPr>
          <w:rFonts w:ascii="Times New Roman" w:hAnsi="Times New Roman"/>
          <w:noProof/>
          <w:vertAlign w:val="superscript"/>
          <w:lang w:val="en-US"/>
        </w:rPr>
        <w:footnoteReference w:id="17"/>
      </w:r>
      <w:r>
        <w:rPr>
          <w:rFonts w:ascii="Times New Roman" w:hAnsi="Times New Roman"/>
        </w:rPr>
        <w:t xml:space="preserve"> komisāram sakaru pārtveršanas jautājumos (</w:t>
      </w:r>
      <w:proofErr w:type="spellStart"/>
      <w:r>
        <w:rPr>
          <w:rFonts w:ascii="Times New Roman" w:hAnsi="Times New Roman"/>
          <w:i/>
          <w:iCs/>
        </w:rPr>
        <w:t>IC</w:t>
      </w:r>
      <w:proofErr w:type="spellEnd"/>
      <w:r>
        <w:rPr>
          <w:rFonts w:ascii="Times New Roman" w:hAnsi="Times New Roman"/>
        </w:rPr>
        <w:t xml:space="preserve"> komisārs) bija piekļuve “konfidenciālam materiālam”,</w:t>
      </w:r>
      <w:r w:rsidRPr="008D031E">
        <w:rPr>
          <w:rFonts w:ascii="Times New Roman" w:hAnsi="Times New Roman"/>
          <w:noProof/>
          <w:vertAlign w:val="superscript"/>
          <w:lang w:val="en-US"/>
        </w:rPr>
        <w:footnoteReference w:id="18"/>
      </w:r>
      <w:r>
        <w:rPr>
          <w:rFonts w:ascii="Times New Roman" w:hAnsi="Times New Roman"/>
        </w:rPr>
        <w:t xml:space="preserve"> un pat neatkarīgais terorisma apkarošanas tiesiskā regulējuma pārskatītājs izvērtēja “lielu daudzumu konfidenciālā materiāla”,</w:t>
      </w:r>
      <w:r w:rsidRPr="008D031E">
        <w:rPr>
          <w:rFonts w:ascii="Times New Roman" w:hAnsi="Times New Roman"/>
          <w:noProof/>
          <w:vertAlign w:val="superscript"/>
          <w:lang w:val="en-US"/>
        </w:rPr>
        <w:footnoteReference w:id="19"/>
      </w:r>
      <w:r>
        <w:rPr>
          <w:rFonts w:ascii="Times New Roman" w:hAnsi="Times New Roman"/>
        </w:rPr>
        <w:t xml:space="preserve"> taču Tiesa šādi nerīkojās un nespēja rīkoties. Tiesai acīmredzami trūka detalizēta materiāla, kas nepieciešams, lai veiktu pilnīgu strukturālo analīzi un izvērtētu masveida pārtveršanu Apvienotajā Karalistē. Ir sarūgtinoši, ka šā sprieduma priekšmeta </w:t>
      </w:r>
      <w:proofErr w:type="spellStart"/>
      <w:r>
        <w:rPr>
          <w:rFonts w:ascii="Times New Roman" w:hAnsi="Times New Roman"/>
        </w:rPr>
        <w:t>sensitivitāte</w:t>
      </w:r>
      <w:proofErr w:type="spellEnd"/>
      <w:r>
        <w:rPr>
          <w:rFonts w:ascii="Times New Roman" w:hAnsi="Times New Roman"/>
        </w:rPr>
        <w:t>, ko Tiesa vairākkārt uzsvēra, derēja vienīgi tam, lai uzsvērtu nepieciešamību pēc masveida pārtveršanas sistēmas “efektivitātes”</w:t>
      </w:r>
      <w:r w:rsidRPr="008D031E">
        <w:rPr>
          <w:rFonts w:ascii="Times New Roman" w:hAnsi="Times New Roman"/>
          <w:noProof/>
          <w:vertAlign w:val="superscript"/>
          <w:lang w:val="en-US"/>
        </w:rPr>
        <w:footnoteReference w:id="20"/>
      </w:r>
      <w:r>
        <w:rPr>
          <w:rFonts w:ascii="Times New Roman" w:hAnsi="Times New Roman"/>
        </w:rPr>
        <w:t xml:space="preserve"> un “elastīguma”,</w:t>
      </w:r>
      <w:r w:rsidRPr="008D031E">
        <w:rPr>
          <w:rFonts w:ascii="Times New Roman" w:hAnsi="Times New Roman"/>
          <w:noProof/>
          <w:vertAlign w:val="superscript"/>
          <w:lang w:val="en-US"/>
        </w:rPr>
        <w:footnoteReference w:id="21"/>
      </w:r>
      <w:r>
        <w:rPr>
          <w:rFonts w:ascii="Times New Roman" w:hAnsi="Times New Roman"/>
        </w:rPr>
        <w:t xml:space="preserve"> nevis tam, lai apkopotu visus atbilstošos pierādījumus, kas nepieciešami ar faktiem pamatotam Tiesas spriedumam. Šis pašas Tiesas noteiktais ierobežojums tās pilnvarām apkopot pierādījumus liecina par to, ka Strasbūras tiesneši neuzskata Tiesu par īstu tiesu iestādi, kas ir pilnvarota uzlikt lietas dalībniekiem par pienākumu nodrošināt neierobežotu un beznosacījuma piekļuvi pierādījumiem attiecībā uz lietas priekšmetu. Tā rezultātā Tiesa izteica “gudrus minējumus” par apmēru, kādā notikusi iejaukšanās personas tiesībās dažādos pārtveršanas procesa posmos. Problēma ar reglamentējošo standartu izstrādi, pamatojoties uz “gudriem minējumiem”, ir tāda, ka tie atspoguļo reglamentējošās institūcijas pieņēmumus un aizspriedumus. Turklāt tie skaidri izpaužas arī šajā lietā. Valdības nostājas pamatā ir vienkāršs priekšlikums, proti, “uzticieties mums”. Vairākums bija gatavs pieņemt šo nostāju, riskējot kļūdīties un pieļaujot pārmērīgu </w:t>
      </w:r>
      <w:proofErr w:type="spellStart"/>
      <w:r>
        <w:rPr>
          <w:rFonts w:ascii="Times New Roman" w:hAnsi="Times New Roman"/>
        </w:rPr>
        <w:t>izlūkdatu</w:t>
      </w:r>
      <w:proofErr w:type="spellEnd"/>
      <w:r>
        <w:rPr>
          <w:rFonts w:ascii="Times New Roman" w:hAnsi="Times New Roman"/>
        </w:rPr>
        <w:t xml:space="preserve"> apkopošanu. Es nepieņemu. Kā norādījusi Amerikas Savienoto Valstu Prezidenta kanceleja, “Amerikas pilsoņi nedrīkst pieļaut kļūdu, uzticoties amatpersonām”.</w:t>
      </w:r>
      <w:r w:rsidRPr="008D031E">
        <w:rPr>
          <w:rFonts w:ascii="Times New Roman" w:hAnsi="Times New Roman"/>
          <w:noProof/>
          <w:vertAlign w:val="superscript"/>
          <w:lang w:val="en-US"/>
        </w:rPr>
        <w:footnoteReference w:id="22"/>
      </w:r>
      <w:r>
        <w:rPr>
          <w:rFonts w:ascii="Times New Roman" w:hAnsi="Times New Roman"/>
        </w:rPr>
        <w:t xml:space="preserve"> To pašu es teiktu eiropiešiem.</w:t>
      </w:r>
    </w:p>
    <w:p w14:paraId="255638EA" w14:textId="77777777" w:rsidR="00DA068F" w:rsidRDefault="00DA068F" w:rsidP="00DA068F">
      <w:pPr>
        <w:pStyle w:val="JuPara"/>
        <w:widowControl w:val="0"/>
        <w:ind w:firstLine="142"/>
        <w:rPr>
          <w:rFonts w:ascii="Times New Roman" w:hAnsi="Times New Roman"/>
          <w:noProof/>
        </w:rPr>
      </w:pPr>
      <w:r>
        <w:rPr>
          <w:rFonts w:ascii="Times New Roman" w:hAnsi="Times New Roman"/>
        </w:rPr>
        <w:t>5. Otrkārt, iepriekš minētais pašas Tiesas noteiktais acīmredzamais un tiesas spriešanas spējas ietekmējošais ierobežojums liek Tiesai pieņemt to, ka masveida pārtveršana ir neizbēgama, un pat to, ka tikpat neizbēgams ir vispārīgs, nemērķēts, uz aizdomām balstīts pārtveršanas režīms, kā to norādījusi atbildētāja valsts un trešās personas šajā lietā un spriedumā lietā ““</w:t>
      </w:r>
      <w:proofErr w:type="spellStart"/>
      <w:r>
        <w:rPr>
          <w:rFonts w:ascii="Times New Roman" w:hAnsi="Times New Roman"/>
        </w:rPr>
        <w:t>Centrum</w:t>
      </w:r>
      <w:proofErr w:type="spellEnd"/>
      <w:r>
        <w:rPr>
          <w:rFonts w:ascii="Times New Roman" w:hAnsi="Times New Roman"/>
        </w:rPr>
        <w:t xml:space="preserve"> </w:t>
      </w:r>
      <w:proofErr w:type="spellStart"/>
      <w:r>
        <w:rPr>
          <w:rFonts w:ascii="Times New Roman" w:hAnsi="Times New Roman"/>
        </w:rPr>
        <w:t>för</w:t>
      </w:r>
      <w:proofErr w:type="spellEnd"/>
      <w:r>
        <w:rPr>
          <w:rFonts w:ascii="Times New Roman" w:hAnsi="Times New Roman"/>
        </w:rPr>
        <w:t xml:space="preserve"> </w:t>
      </w:r>
      <w:proofErr w:type="spellStart"/>
      <w:r>
        <w:rPr>
          <w:rFonts w:ascii="Times New Roman" w:hAnsi="Times New Roman"/>
        </w:rPr>
        <w:t>rättvisa</w:t>
      </w:r>
      <w:proofErr w:type="spellEnd"/>
      <w:r>
        <w:rPr>
          <w:rFonts w:ascii="Times New Roman" w:hAnsi="Times New Roman"/>
        </w:rPr>
        <w:t>” pret Zviedriju”.</w:t>
      </w:r>
      <w:r w:rsidRPr="008D031E">
        <w:rPr>
          <w:rFonts w:ascii="Times New Roman" w:hAnsi="Times New Roman"/>
          <w:noProof/>
          <w:vertAlign w:val="superscript"/>
          <w:lang w:val="en-US"/>
        </w:rPr>
        <w:footnoteReference w:id="23"/>
      </w:r>
      <w:r>
        <w:rPr>
          <w:rFonts w:ascii="Times New Roman" w:hAnsi="Times New Roman"/>
        </w:rPr>
        <w:t xml:space="preserve"> Pamatojoties uz cirkulāru argumentāciju, Valdība apstiprināja, ka masveida pārtveršana neatbilda prasībai par pamatotām aizdomām, jo tā bija nemērķēta, pamatojoties uz tās definīciju un to, ka nebija jāievēro prasība par pamatotām aizdomām.</w:t>
      </w:r>
      <w:r w:rsidRPr="008D031E">
        <w:rPr>
          <w:rFonts w:ascii="Times New Roman" w:hAnsi="Times New Roman"/>
          <w:noProof/>
          <w:vertAlign w:val="superscript"/>
          <w:lang w:val="en-US"/>
        </w:rPr>
        <w:footnoteReference w:id="24"/>
      </w:r>
      <w:r>
        <w:rPr>
          <w:rFonts w:ascii="Times New Roman" w:hAnsi="Times New Roman"/>
        </w:rPr>
        <w:t xml:space="preserve"> Tiesa sekoja šim piemēram un to formulēja aksiomātiski:</w:t>
      </w:r>
    </w:p>
    <w:p w14:paraId="77D21E94" w14:textId="77777777" w:rsidR="00DA068F" w:rsidRPr="008D031E" w:rsidRDefault="00DA068F" w:rsidP="00DA068F">
      <w:pPr>
        <w:pStyle w:val="JuPara"/>
        <w:widowControl w:val="0"/>
        <w:ind w:firstLine="142"/>
        <w:rPr>
          <w:rFonts w:ascii="Times New Roman" w:hAnsi="Times New Roman"/>
          <w:noProof/>
          <w:lang w:val="en-US"/>
        </w:rPr>
      </w:pPr>
    </w:p>
    <w:p w14:paraId="52EC0F19" w14:textId="77777777" w:rsidR="00DA068F" w:rsidRDefault="00DA068F" w:rsidP="00DA068F">
      <w:pPr>
        <w:pStyle w:val="JuQuot"/>
        <w:widowControl w:val="0"/>
        <w:spacing w:before="0" w:after="0"/>
        <w:ind w:left="284" w:firstLine="0"/>
        <w:rPr>
          <w:rFonts w:ascii="Times New Roman" w:hAnsi="Times New Roman"/>
          <w:noProof/>
          <w:sz w:val="24"/>
        </w:rPr>
      </w:pPr>
      <w:r>
        <w:rPr>
          <w:rFonts w:ascii="Times New Roman" w:hAnsi="Times New Roman"/>
          <w:sz w:val="24"/>
        </w:rPr>
        <w:t xml:space="preserve">“prasība par “pamatotām aizdomām”, kas paredzēta Tiesas judikatūrā par mērķētu pārtveršanu </w:t>
      </w:r>
      <w:proofErr w:type="spellStart"/>
      <w:r>
        <w:rPr>
          <w:rFonts w:ascii="Times New Roman" w:hAnsi="Times New Roman"/>
          <w:sz w:val="24"/>
        </w:rPr>
        <w:t>kriminālizmeklēšanas</w:t>
      </w:r>
      <w:proofErr w:type="spellEnd"/>
      <w:r>
        <w:rPr>
          <w:rFonts w:ascii="Times New Roman" w:hAnsi="Times New Roman"/>
          <w:sz w:val="24"/>
        </w:rPr>
        <w:t xml:space="preserve"> kontekstā, ir mazāk raksturīga masveida pārtveršanas </w:t>
      </w:r>
      <w:r>
        <w:rPr>
          <w:rFonts w:ascii="Times New Roman" w:hAnsi="Times New Roman"/>
          <w:sz w:val="24"/>
        </w:rPr>
        <w:lastRenderedPageBreak/>
        <w:t>kontekstā, kuras nolūks principā ir preventīvs, nevis konkrēta mērķa un/vai identificējama noziedzīga nodarījuma izmeklēšanai”.</w:t>
      </w:r>
      <w:r w:rsidRPr="008D031E">
        <w:rPr>
          <w:rFonts w:ascii="Times New Roman" w:hAnsi="Times New Roman"/>
          <w:noProof/>
          <w:sz w:val="24"/>
          <w:vertAlign w:val="superscript"/>
          <w:lang w:val="en-US"/>
        </w:rPr>
        <w:footnoteReference w:id="25"/>
      </w:r>
    </w:p>
    <w:p w14:paraId="450C0B52" w14:textId="77777777" w:rsidR="00DA068F" w:rsidRPr="008D031E" w:rsidRDefault="00DA068F" w:rsidP="00DA068F">
      <w:pPr>
        <w:pStyle w:val="JuQuot"/>
        <w:widowControl w:val="0"/>
        <w:spacing w:before="0" w:after="0"/>
        <w:ind w:left="0"/>
        <w:rPr>
          <w:rFonts w:ascii="Times New Roman" w:hAnsi="Times New Roman"/>
          <w:noProof/>
          <w:sz w:val="24"/>
          <w:lang w:val="en-US"/>
        </w:rPr>
      </w:pPr>
    </w:p>
    <w:p w14:paraId="7A1B2F70" w14:textId="77777777" w:rsidR="00DA068F" w:rsidRPr="008D031E" w:rsidRDefault="00DA068F" w:rsidP="00E67B38">
      <w:pPr>
        <w:pStyle w:val="JuPara"/>
        <w:keepNext/>
        <w:keepLines/>
        <w:widowControl w:val="0"/>
        <w:ind w:firstLine="0"/>
        <w:rPr>
          <w:rFonts w:ascii="Times New Roman" w:hAnsi="Times New Roman"/>
          <w:noProof/>
        </w:rPr>
      </w:pPr>
      <w:r>
        <w:rPr>
          <w:rFonts w:ascii="Times New Roman" w:hAnsi="Times New Roman"/>
        </w:rPr>
        <w:t>No šīs jaunās paradigmas izriet, ka Tiesa ir atkāpusies no pastāvīgās judikatūras, saskaņā ar kuru tā “neuzskata, ka ir pamats piemērot atšķirīgus principus par tādu noteikumu pieejamību un skaidrību, kas reglamentē, no vienas puses, atsevišķu sakaru pārtveršanu un, no otras puses, vispārīgākas uzraudzības programmas”.</w:t>
      </w:r>
      <w:r w:rsidRPr="008D031E">
        <w:rPr>
          <w:rFonts w:ascii="Times New Roman" w:hAnsi="Times New Roman"/>
          <w:noProof/>
          <w:vertAlign w:val="superscript"/>
          <w:lang w:val="en-US"/>
        </w:rPr>
        <w:footnoteReference w:id="26"/>
      </w:r>
      <w:r>
        <w:rPr>
          <w:rFonts w:ascii="Times New Roman" w:hAnsi="Times New Roman"/>
        </w:rPr>
        <w:t xml:space="preserve"> Tiesa ir izvērtējusi gan Vācijas, gan Lielbritānijas masveida pārtveršanas sistēmas, piemērojot tos pašus kritērijus, ko piemēro mērķētai pārtveršanai. Es atsaucos uz vispārīgu stratēģisku uzraudzību saskaņā ar spriedumā lietā “Vēbere un </w:t>
      </w:r>
      <w:proofErr w:type="spellStart"/>
      <w:r>
        <w:rPr>
          <w:rFonts w:ascii="Times New Roman" w:hAnsi="Times New Roman"/>
        </w:rPr>
        <w:t>Sarāvija</w:t>
      </w:r>
      <w:proofErr w:type="spellEnd"/>
      <w:r>
        <w:rPr>
          <w:rFonts w:ascii="Times New Roman" w:hAnsi="Times New Roman"/>
        </w:rPr>
        <w:t xml:space="preserve"> pret Vāciju”</w:t>
      </w:r>
      <w:r w:rsidRPr="008D031E">
        <w:rPr>
          <w:rFonts w:ascii="Times New Roman" w:hAnsi="Times New Roman"/>
          <w:noProof/>
          <w:vertAlign w:val="superscript"/>
          <w:lang w:val="en-US"/>
        </w:rPr>
        <w:footnoteReference w:id="27"/>
      </w:r>
      <w:r>
        <w:rPr>
          <w:rFonts w:ascii="Times New Roman" w:hAnsi="Times New Roman"/>
        </w:rPr>
        <w:t xml:space="preserve"> aplūkoto Vācijas federālā likuma 10. pantu [G-10], kā arī neselektīvu ārpus Britu salām nosūtītu vai saņemtu telekomunikāciju apkopošanu saskaņā ar spriedumā lietā ““</w:t>
      </w:r>
      <w:proofErr w:type="spellStart"/>
      <w:r>
        <w:rPr>
          <w:rFonts w:ascii="Times New Roman" w:hAnsi="Times New Roman"/>
        </w:rPr>
        <w:t>Liberty</w:t>
      </w:r>
      <w:proofErr w:type="spellEnd"/>
      <w:r>
        <w:rPr>
          <w:rFonts w:ascii="Times New Roman" w:hAnsi="Times New Roman"/>
        </w:rPr>
        <w:t>” un citi pret Apvienoto Karalisti”</w:t>
      </w:r>
      <w:r w:rsidRPr="008D031E">
        <w:rPr>
          <w:rFonts w:ascii="Times New Roman" w:hAnsi="Times New Roman"/>
          <w:noProof/>
          <w:vertAlign w:val="superscript"/>
          <w:lang w:val="en-US"/>
        </w:rPr>
        <w:footnoteReference w:id="28"/>
      </w:r>
      <w:r>
        <w:rPr>
          <w:rFonts w:ascii="Times New Roman" w:hAnsi="Times New Roman"/>
        </w:rPr>
        <w:t xml:space="preserve"> aplūkoto 1985. gada Likumu par sakaru pārtveršanu un liela apjoma iekšējo sakaru pārtveršanu saskaņā ar spriedumā lietā “Kenedijs pret Apvienoto Karalisti”</w:t>
      </w:r>
      <w:r w:rsidRPr="008D031E">
        <w:rPr>
          <w:rFonts w:ascii="Times New Roman" w:hAnsi="Times New Roman"/>
          <w:noProof/>
          <w:vertAlign w:val="superscript"/>
          <w:lang w:val="en-US"/>
        </w:rPr>
        <w:footnoteReference w:id="29"/>
      </w:r>
      <w:r>
        <w:rPr>
          <w:rFonts w:ascii="Times New Roman" w:hAnsi="Times New Roman"/>
        </w:rPr>
        <w:t xml:space="preserve"> aplūkoto 2000. gada Izmeklēšanas pilnvaru likumu. Tiesa ir atkāpusies no šīs judikatūras pamatprincipiem bez pamatota iemesla, ko es paskaidrošu turpmāk.</w:t>
      </w:r>
    </w:p>
    <w:p w14:paraId="7FF7D60B"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6. Turklāt Tiesa pietiekami neuzsvēra to, ka tā bija atjaunojusi un efektīvi piemērojusi līdzšinējo judikatūru trīs nesen izskatītās lietās, kuru priekšmets bija sakaru nemērķēta pārtveršana – vienā no lietām netieši, savukārt abās pārējās lietās – konkrēti. Es atsaucos uz spriedumiem lietās “Romāns Zaharovs pret Krieviju”,</w:t>
      </w:r>
      <w:r w:rsidRPr="008D031E">
        <w:rPr>
          <w:rFonts w:ascii="Times New Roman" w:hAnsi="Times New Roman"/>
          <w:noProof/>
          <w:vertAlign w:val="superscript"/>
          <w:lang w:val="en-US"/>
        </w:rPr>
        <w:footnoteReference w:id="30"/>
      </w:r>
      <w:r>
        <w:rPr>
          <w:rFonts w:ascii="Times New Roman" w:hAnsi="Times New Roman"/>
        </w:rPr>
        <w:t xml:space="preserve"> “</w:t>
      </w:r>
      <w:proofErr w:type="spellStart"/>
      <w:r>
        <w:rPr>
          <w:rFonts w:ascii="Times New Roman" w:hAnsi="Times New Roman"/>
        </w:rPr>
        <w:t>Zabo</w:t>
      </w:r>
      <w:proofErr w:type="spellEnd"/>
      <w:r>
        <w:rPr>
          <w:rFonts w:ascii="Times New Roman" w:hAnsi="Times New Roman"/>
        </w:rPr>
        <w:t xml:space="preserve"> un </w:t>
      </w:r>
      <w:proofErr w:type="spellStart"/>
      <w:r>
        <w:rPr>
          <w:rFonts w:ascii="Times New Roman" w:hAnsi="Times New Roman"/>
        </w:rPr>
        <w:t>Visija</w:t>
      </w:r>
      <w:proofErr w:type="spellEnd"/>
      <w:r>
        <w:rPr>
          <w:rFonts w:ascii="Times New Roman" w:hAnsi="Times New Roman"/>
        </w:rPr>
        <w:t xml:space="preserve"> pret Ungāriju”</w:t>
      </w:r>
      <w:r w:rsidRPr="008D031E">
        <w:rPr>
          <w:rFonts w:ascii="Times New Roman" w:hAnsi="Times New Roman"/>
          <w:noProof/>
          <w:vertAlign w:val="superscript"/>
          <w:lang w:val="en-US"/>
        </w:rPr>
        <w:footnoteReference w:id="31"/>
      </w:r>
      <w:r>
        <w:rPr>
          <w:rFonts w:ascii="Times New Roman" w:hAnsi="Times New Roman"/>
        </w:rPr>
        <w:t xml:space="preserve"> un “</w:t>
      </w:r>
      <w:proofErr w:type="spellStart"/>
      <w:r>
        <w:rPr>
          <w:rFonts w:ascii="Times New Roman" w:hAnsi="Times New Roman"/>
        </w:rPr>
        <w:t>Mustafa</w:t>
      </w:r>
      <w:proofErr w:type="spellEnd"/>
      <w:r>
        <w:rPr>
          <w:rFonts w:ascii="Times New Roman" w:hAnsi="Times New Roman"/>
        </w:rPr>
        <w:t xml:space="preserve"> </w:t>
      </w:r>
      <w:proofErr w:type="spellStart"/>
      <w:r>
        <w:rPr>
          <w:rFonts w:ascii="Times New Roman" w:hAnsi="Times New Roman"/>
        </w:rPr>
        <w:t>Sezgins</w:t>
      </w:r>
      <w:proofErr w:type="spellEnd"/>
      <w:r>
        <w:rPr>
          <w:rFonts w:ascii="Times New Roman" w:hAnsi="Times New Roman"/>
        </w:rPr>
        <w:t xml:space="preserve"> </w:t>
      </w:r>
      <w:proofErr w:type="spellStart"/>
      <w:r>
        <w:rPr>
          <w:rFonts w:ascii="Times New Roman" w:hAnsi="Times New Roman"/>
        </w:rPr>
        <w:t>Tanrikulu</w:t>
      </w:r>
      <w:proofErr w:type="spellEnd"/>
      <w:r>
        <w:rPr>
          <w:rFonts w:ascii="Times New Roman" w:hAnsi="Times New Roman"/>
        </w:rPr>
        <w:t xml:space="preserve"> [</w:t>
      </w:r>
      <w:proofErr w:type="spellStart"/>
      <w:r>
        <w:rPr>
          <w:rFonts w:ascii="Times New Roman" w:hAnsi="Times New Roman"/>
          <w:i/>
        </w:rPr>
        <w:t>Mustafa</w:t>
      </w:r>
      <w:proofErr w:type="spellEnd"/>
      <w:r>
        <w:rPr>
          <w:rFonts w:ascii="Times New Roman" w:hAnsi="Times New Roman"/>
          <w:i/>
        </w:rPr>
        <w:t xml:space="preserve"> </w:t>
      </w:r>
      <w:proofErr w:type="spellStart"/>
      <w:r>
        <w:rPr>
          <w:rFonts w:ascii="Times New Roman" w:hAnsi="Times New Roman"/>
          <w:i/>
        </w:rPr>
        <w:t>Sezgin</w:t>
      </w:r>
      <w:proofErr w:type="spellEnd"/>
      <w:r>
        <w:rPr>
          <w:rFonts w:ascii="Times New Roman" w:hAnsi="Times New Roman"/>
          <w:i/>
        </w:rPr>
        <w:t xml:space="preserve"> </w:t>
      </w:r>
      <w:proofErr w:type="spellStart"/>
      <w:r>
        <w:rPr>
          <w:rFonts w:ascii="Times New Roman" w:hAnsi="Times New Roman"/>
          <w:i/>
        </w:rPr>
        <w:t>Tanrıkulu</w:t>
      </w:r>
      <w:proofErr w:type="spellEnd"/>
      <w:r>
        <w:rPr>
          <w:rFonts w:ascii="Times New Roman" w:hAnsi="Times New Roman"/>
        </w:rPr>
        <w:t>] pret Turciju”</w:t>
      </w:r>
      <w:r w:rsidRPr="008D031E">
        <w:rPr>
          <w:rFonts w:ascii="Times New Roman" w:hAnsi="Times New Roman"/>
          <w:noProof/>
          <w:vertAlign w:val="superscript"/>
          <w:lang w:val="en-US"/>
        </w:rPr>
        <w:footnoteReference w:id="32"/>
      </w:r>
      <w:r>
        <w:rPr>
          <w:rFonts w:ascii="Times New Roman" w:hAnsi="Times New Roman"/>
        </w:rPr>
        <w:t>.</w:t>
      </w:r>
      <w:r>
        <w:rPr>
          <w:rFonts w:ascii="Times New Roman" w:hAnsi="Times New Roman"/>
          <w:i/>
        </w:rPr>
        <w:t xml:space="preserve"> </w:t>
      </w:r>
      <w:r>
        <w:rPr>
          <w:rFonts w:ascii="Times New Roman" w:hAnsi="Times New Roman"/>
        </w:rPr>
        <w:t>Jānorāda, ka arī spriedumā lietā “Romāns Zaharovs pret Krieviju”</w:t>
      </w:r>
      <w:r w:rsidRPr="008D031E">
        <w:rPr>
          <w:rFonts w:ascii="Times New Roman" w:hAnsi="Times New Roman"/>
          <w:noProof/>
          <w:vertAlign w:val="superscript"/>
          <w:lang w:val="en-US"/>
        </w:rPr>
        <w:footnoteReference w:id="33"/>
      </w:r>
      <w:r>
        <w:rPr>
          <w:rFonts w:ascii="Times New Roman" w:hAnsi="Times New Roman"/>
        </w:rPr>
        <w:t xml:space="preserve"> lietoja spriedumā lietā “Vēbere un </w:t>
      </w:r>
      <w:proofErr w:type="spellStart"/>
      <w:r>
        <w:rPr>
          <w:rFonts w:ascii="Times New Roman" w:hAnsi="Times New Roman"/>
        </w:rPr>
        <w:t>Sarāvija</w:t>
      </w:r>
      <w:proofErr w:type="spellEnd"/>
      <w:r>
        <w:rPr>
          <w:rFonts w:ascii="Times New Roman" w:hAnsi="Times New Roman"/>
        </w:rPr>
        <w:t>” noteiktos kritērijus, izvērtējot operatīvās meklēšanas darbības, tostarp iejaukšanos pasta, telegrāfa un cita veida sakaros, kas varēja ietekmēt “jebkuru personu, kura izmanto šos mobilā tālruņa pakalpojumus”</w:t>
      </w:r>
      <w:r w:rsidRPr="008D031E">
        <w:rPr>
          <w:rFonts w:ascii="Times New Roman" w:hAnsi="Times New Roman"/>
          <w:noProof/>
          <w:vertAlign w:val="superscript"/>
          <w:lang w:val="en-US"/>
        </w:rPr>
        <w:footnoteReference w:id="34"/>
      </w:r>
      <w:r>
        <w:rPr>
          <w:rFonts w:ascii="Times New Roman" w:hAnsi="Times New Roman"/>
        </w:rPr>
        <w:t xml:space="preserve"> valsts, militārās, ekonomiskās vai ekoloģiskās drošības nolūkā</w:t>
      </w:r>
      <w:r w:rsidRPr="008D031E">
        <w:rPr>
          <w:rFonts w:ascii="Times New Roman" w:hAnsi="Times New Roman"/>
          <w:noProof/>
          <w:vertAlign w:val="superscript"/>
          <w:lang w:val="en-US"/>
        </w:rPr>
        <w:footnoteReference w:id="35"/>
      </w:r>
      <w:r>
        <w:rPr>
          <w:rFonts w:ascii="Times New Roman" w:hAnsi="Times New Roman"/>
        </w:rPr>
        <w:t>. Lielā palāta minētajā lietā nonāca tik tālu, ka tā nosodīja praksi attiecībā uz “pārtveršanas atļaujām, kurās nav minēta konkrēta persona vai tālruņa numurs, kas jānoklausās, bet kuras ļauj pārtvert visus tālruņu sakarus teritorijā, kurā izdarīts noziedzīgs nodarījums”.</w:t>
      </w:r>
      <w:r w:rsidRPr="008D031E">
        <w:rPr>
          <w:rFonts w:ascii="Times New Roman" w:hAnsi="Times New Roman"/>
          <w:noProof/>
          <w:vertAlign w:val="superscript"/>
          <w:lang w:val="en-US"/>
        </w:rPr>
        <w:footnoteReference w:id="36"/>
      </w:r>
      <w:r>
        <w:rPr>
          <w:rFonts w:ascii="Times New Roman" w:hAnsi="Times New Roman"/>
        </w:rPr>
        <w:t xml:space="preserve"> Spriedumā lietā “</w:t>
      </w:r>
      <w:proofErr w:type="spellStart"/>
      <w:r>
        <w:rPr>
          <w:rFonts w:ascii="Times New Roman" w:hAnsi="Times New Roman"/>
        </w:rPr>
        <w:t>Zabo</w:t>
      </w:r>
      <w:proofErr w:type="spellEnd"/>
      <w:r>
        <w:rPr>
          <w:rFonts w:ascii="Times New Roman" w:hAnsi="Times New Roman"/>
        </w:rPr>
        <w:t xml:space="preserve"> un </w:t>
      </w:r>
      <w:proofErr w:type="spellStart"/>
      <w:r>
        <w:rPr>
          <w:rFonts w:ascii="Times New Roman" w:hAnsi="Times New Roman"/>
        </w:rPr>
        <w:t>Visija</w:t>
      </w:r>
      <w:proofErr w:type="spellEnd"/>
      <w:r>
        <w:rPr>
          <w:rFonts w:ascii="Times New Roman" w:hAnsi="Times New Roman"/>
        </w:rPr>
        <w:t xml:space="preserve"> pret Ungāriju”</w:t>
      </w:r>
      <w:r w:rsidRPr="008D031E">
        <w:rPr>
          <w:rFonts w:ascii="Times New Roman" w:hAnsi="Times New Roman"/>
          <w:noProof/>
          <w:vertAlign w:val="superscript"/>
          <w:lang w:val="en-US"/>
        </w:rPr>
        <w:footnoteReference w:id="37"/>
      </w:r>
      <w:r>
        <w:rPr>
          <w:rFonts w:ascii="Times New Roman" w:hAnsi="Times New Roman"/>
        </w:rPr>
        <w:t xml:space="preserve"> Tiesa pat vēl vairāk nosodīja “liela pilsoņu skaita neierobežotu uzraudzību”</w:t>
      </w:r>
      <w:r w:rsidRPr="008D031E">
        <w:rPr>
          <w:rFonts w:ascii="Times New Roman" w:hAnsi="Times New Roman"/>
          <w:noProof/>
          <w:vertAlign w:val="superscript"/>
          <w:lang w:val="en-US"/>
        </w:rPr>
        <w:footnoteReference w:id="38"/>
      </w:r>
      <w:r>
        <w:rPr>
          <w:rFonts w:ascii="Times New Roman" w:hAnsi="Times New Roman"/>
        </w:rPr>
        <w:t xml:space="preserve"> terorisma apkarošanas un ārvalstīs nelaimē nonākušu Ungārijas pilsoņu glābšanas nolūkā</w:t>
      </w:r>
      <w:r w:rsidRPr="008D031E">
        <w:rPr>
          <w:rFonts w:ascii="Times New Roman" w:hAnsi="Times New Roman"/>
          <w:noProof/>
          <w:vertAlign w:val="superscript"/>
          <w:lang w:val="en-US"/>
        </w:rPr>
        <w:footnoteReference w:id="39"/>
      </w:r>
      <w:r>
        <w:rPr>
          <w:rFonts w:ascii="Times New Roman" w:hAnsi="Times New Roman"/>
        </w:rPr>
        <w:t>. Lai gan Tiesa atzina, ka masveida pārtveršana ir nepieciešama cīņā ar iekšējiem un ārējiem draudiem, tā noteica prasību par “pamatotām aizdomām”</w:t>
      </w:r>
      <w:r w:rsidRPr="008D031E">
        <w:rPr>
          <w:rFonts w:ascii="Times New Roman" w:hAnsi="Times New Roman"/>
          <w:noProof/>
          <w:vertAlign w:val="superscript"/>
          <w:lang w:val="en-US"/>
        </w:rPr>
        <w:footnoteReference w:id="40"/>
      </w:r>
      <w:r>
        <w:rPr>
          <w:rFonts w:ascii="Times New Roman" w:hAnsi="Times New Roman"/>
        </w:rPr>
        <w:t xml:space="preserve"> attiecībā uz ikvienu uzraudzības pasākumu, ņemot vērā spriedumā lietā “Vēbere un </w:t>
      </w:r>
      <w:proofErr w:type="spellStart"/>
      <w:r>
        <w:rPr>
          <w:rFonts w:ascii="Times New Roman" w:hAnsi="Times New Roman"/>
        </w:rPr>
        <w:t>Sarāvija</w:t>
      </w:r>
      <w:proofErr w:type="spellEnd"/>
      <w:r>
        <w:rPr>
          <w:rFonts w:ascii="Times New Roman" w:hAnsi="Times New Roman"/>
        </w:rPr>
        <w:t>” noteiktos kritērijus</w:t>
      </w:r>
      <w:r w:rsidRPr="008D031E">
        <w:rPr>
          <w:rFonts w:ascii="Times New Roman" w:hAnsi="Times New Roman"/>
          <w:noProof/>
          <w:vertAlign w:val="superscript"/>
          <w:lang w:val="en-US"/>
        </w:rPr>
        <w:footnoteReference w:id="41"/>
      </w:r>
      <w:r>
        <w:rPr>
          <w:rFonts w:ascii="Times New Roman" w:hAnsi="Times New Roman"/>
        </w:rPr>
        <w:t>. Savukārt spriedumā lietā “</w:t>
      </w:r>
      <w:proofErr w:type="spellStart"/>
      <w:r>
        <w:rPr>
          <w:rFonts w:ascii="Times New Roman" w:hAnsi="Times New Roman"/>
        </w:rPr>
        <w:t>Mustafa</w:t>
      </w:r>
      <w:proofErr w:type="spellEnd"/>
      <w:r>
        <w:rPr>
          <w:rFonts w:ascii="Times New Roman" w:hAnsi="Times New Roman"/>
        </w:rPr>
        <w:t xml:space="preserve"> </w:t>
      </w:r>
      <w:proofErr w:type="spellStart"/>
      <w:r>
        <w:rPr>
          <w:rFonts w:ascii="Times New Roman" w:hAnsi="Times New Roman"/>
        </w:rPr>
        <w:t>Sezgins</w:t>
      </w:r>
      <w:proofErr w:type="spellEnd"/>
      <w:r>
        <w:rPr>
          <w:rFonts w:ascii="Times New Roman" w:hAnsi="Times New Roman"/>
        </w:rPr>
        <w:t xml:space="preserve"> </w:t>
      </w:r>
      <w:proofErr w:type="spellStart"/>
      <w:r>
        <w:rPr>
          <w:rFonts w:ascii="Times New Roman" w:hAnsi="Times New Roman"/>
        </w:rPr>
        <w:t>Tanrikulu</w:t>
      </w:r>
      <w:proofErr w:type="spellEnd"/>
      <w:r>
        <w:rPr>
          <w:rFonts w:ascii="Times New Roman" w:hAnsi="Times New Roman"/>
        </w:rPr>
        <w:t xml:space="preserve"> pret </w:t>
      </w:r>
      <w:r>
        <w:rPr>
          <w:rFonts w:ascii="Times New Roman" w:hAnsi="Times New Roman"/>
        </w:rPr>
        <w:lastRenderedPageBreak/>
        <w:t>Turciju”</w:t>
      </w:r>
      <w:r w:rsidRPr="008D031E">
        <w:rPr>
          <w:rFonts w:ascii="Times New Roman" w:hAnsi="Times New Roman"/>
          <w:noProof/>
          <w:vertAlign w:val="superscript"/>
          <w:lang w:val="en-US"/>
        </w:rPr>
        <w:footnoteReference w:id="42"/>
      </w:r>
      <w:r>
        <w:rPr>
          <w:rFonts w:ascii="Times New Roman" w:hAnsi="Times New Roman"/>
        </w:rPr>
        <w:t xml:space="preserve"> Tiesa nosodīja valsts tiesas lēmumu ļaut pārtvert jebkuras Turcijā esošas personas tālruņa un elektroniskos sakarus nolūkā novērst teroristu organizāciju draudus pēc tam, kad tā bija atsaukusi un apstiprinājusi judikatūru lietās “Vēbere un </w:t>
      </w:r>
      <w:proofErr w:type="spellStart"/>
      <w:r>
        <w:rPr>
          <w:rFonts w:ascii="Times New Roman" w:hAnsi="Times New Roman"/>
        </w:rPr>
        <w:t>Sarāvija</w:t>
      </w:r>
      <w:proofErr w:type="spellEnd"/>
      <w:r>
        <w:rPr>
          <w:rFonts w:ascii="Times New Roman" w:hAnsi="Times New Roman"/>
        </w:rPr>
        <w:t>”, “Romāns Zaharovs” un “</w:t>
      </w:r>
      <w:proofErr w:type="spellStart"/>
      <w:r>
        <w:rPr>
          <w:rFonts w:ascii="Times New Roman" w:hAnsi="Times New Roman"/>
        </w:rPr>
        <w:t>Zabo</w:t>
      </w:r>
      <w:proofErr w:type="spellEnd"/>
      <w:r>
        <w:rPr>
          <w:rFonts w:ascii="Times New Roman" w:hAnsi="Times New Roman"/>
        </w:rPr>
        <w:t xml:space="preserve"> un </w:t>
      </w:r>
      <w:proofErr w:type="spellStart"/>
      <w:r>
        <w:rPr>
          <w:rFonts w:ascii="Times New Roman" w:hAnsi="Times New Roman"/>
        </w:rPr>
        <w:t>Visija</w:t>
      </w:r>
      <w:proofErr w:type="spellEnd"/>
      <w:r>
        <w:rPr>
          <w:rFonts w:ascii="Times New Roman" w:hAnsi="Times New Roman"/>
        </w:rPr>
        <w:t>”.</w:t>
      </w:r>
    </w:p>
    <w:p w14:paraId="61DB55A9"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7. Papildus apgalvojumam, ka “abas lietas [““</w:t>
      </w:r>
      <w:proofErr w:type="spellStart"/>
      <w:r>
        <w:rPr>
          <w:rFonts w:ascii="Times New Roman" w:hAnsi="Times New Roman"/>
        </w:rPr>
        <w:t>Liberty</w:t>
      </w:r>
      <w:proofErr w:type="spellEnd"/>
      <w:r>
        <w:rPr>
          <w:rFonts w:ascii="Times New Roman" w:hAnsi="Times New Roman"/>
        </w:rPr>
        <w:t xml:space="preserve">” un citi” un “Vēbere un </w:t>
      </w:r>
      <w:proofErr w:type="spellStart"/>
      <w:r>
        <w:rPr>
          <w:rFonts w:ascii="Times New Roman" w:hAnsi="Times New Roman"/>
        </w:rPr>
        <w:t>Sarāvija</w:t>
      </w:r>
      <w:proofErr w:type="spellEnd"/>
      <w:r>
        <w:rPr>
          <w:rFonts w:ascii="Times New Roman" w:hAnsi="Times New Roman"/>
        </w:rPr>
        <w:t>”] tika izskatītas vairāk nekā pirms desmit gadiem” un ka minētajās lietās aplūkotās uzraudzības darbības apjoms bija “daudz šaurāks”,</w:t>
      </w:r>
      <w:r w:rsidRPr="008D031E">
        <w:rPr>
          <w:rFonts w:ascii="Times New Roman" w:hAnsi="Times New Roman"/>
          <w:noProof/>
          <w:vertAlign w:val="superscript"/>
          <w:lang w:val="en-US"/>
        </w:rPr>
        <w:footnoteReference w:id="43"/>
      </w:r>
      <w:r>
        <w:rPr>
          <w:rFonts w:ascii="Times New Roman" w:hAnsi="Times New Roman"/>
        </w:rPr>
        <w:t xml:space="preserve"> Tiesa minēja trīs iemeslus, lai atkāptos no līdzšinējās judikatūras,</w:t>
      </w:r>
      <w:r w:rsidRPr="008D031E">
        <w:rPr>
          <w:rFonts w:ascii="Times New Roman" w:hAnsi="Times New Roman"/>
          <w:noProof/>
          <w:vertAlign w:val="superscript"/>
          <w:lang w:val="en-US"/>
        </w:rPr>
        <w:footnoteReference w:id="44"/>
      </w:r>
      <w:r>
        <w:rPr>
          <w:rFonts w:ascii="Times New Roman" w:hAnsi="Times New Roman"/>
        </w:rPr>
        <w:t xml:space="preserve"> kas visi faktiski bija nepamatoti.</w:t>
      </w:r>
    </w:p>
    <w:p w14:paraId="3672235D"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8. Pirmais arguments ir tāds, ka masveida pārtveršanas “norādītais nolūks” “daudzos gadījumos” ir uzraudzīt to personu sakarus, kuras atrodas ārpus valsts teritoriālās jurisdikcijas, “kuru nevarētu pārraudzīt ar citiem uzraudzības veidiem”.</w:t>
      </w:r>
      <w:r w:rsidRPr="008D031E">
        <w:rPr>
          <w:rFonts w:ascii="Times New Roman" w:hAnsi="Times New Roman"/>
          <w:noProof/>
          <w:vertAlign w:val="superscript"/>
          <w:lang w:val="en-US"/>
        </w:rPr>
        <w:footnoteReference w:id="45"/>
      </w:r>
      <w:r>
        <w:rPr>
          <w:rFonts w:ascii="Times New Roman" w:hAnsi="Times New Roman"/>
        </w:rPr>
        <w:t xml:space="preserve"> Tiesa nesniedza un nevarēja sniegt nekādus pierādījumus tam, ka “daudzos gadījumos” masveida pārtveršana “norādītā nolūka” un vēl jo mazāk reālās prakses ziņā attiecās uz personām ārpus valsts teritoriālās jurisdikcijas. Gluži pretēji, visi pieejamie nozīmīgie dokumenti par masveida pārtveršanu, kurus Tiesa izvēlējās ignorēt, vēsta par ko citu. Nav saprotams, kādēļ, ņemot vērā atbildētājas Valdības sniegto pierādījumu trūkumu, Tiesa ir ignorējusi Eiropas Padomes un Eiropas Savienības faktu vērtējumus, kas bija publiski pieejami daudzos nozīmīgos dokumentos par masveida pārtveršanu un publicēti pēc </w:t>
      </w:r>
      <w:proofErr w:type="spellStart"/>
      <w:r>
        <w:rPr>
          <w:rFonts w:ascii="Times New Roman" w:hAnsi="Times New Roman"/>
        </w:rPr>
        <w:t>Snoudena</w:t>
      </w:r>
      <w:proofErr w:type="spellEnd"/>
      <w:r>
        <w:rPr>
          <w:rFonts w:ascii="Times New Roman" w:hAnsi="Times New Roman"/>
        </w:rPr>
        <w:t xml:space="preserve"> skandāla izcelšanās, piemēram, Eiropas Padomes Parlamentārās asamblejas (turpmāk tekstā – “</w:t>
      </w:r>
      <w:proofErr w:type="spellStart"/>
      <w:r>
        <w:rPr>
          <w:rFonts w:ascii="Times New Roman" w:hAnsi="Times New Roman"/>
          <w:i/>
          <w:iCs/>
        </w:rPr>
        <w:t>PACE</w:t>
      </w:r>
      <w:proofErr w:type="spellEnd"/>
      <w:r>
        <w:rPr>
          <w:rFonts w:ascii="Times New Roman" w:hAnsi="Times New Roman"/>
        </w:rPr>
        <w:t xml:space="preserve">”) rezolūcijas 1954 (2013) un 2045 (2015) un rekomendāciju 2067 (2015), 2013. gada 11. jūnija Ministru komitejas deklarāciju un tās atbildi uz </w:t>
      </w:r>
      <w:proofErr w:type="spellStart"/>
      <w:r>
        <w:rPr>
          <w:rFonts w:ascii="Times New Roman" w:hAnsi="Times New Roman"/>
          <w:i/>
          <w:iCs/>
        </w:rPr>
        <w:t>PACE</w:t>
      </w:r>
      <w:proofErr w:type="spellEnd"/>
      <w:r>
        <w:rPr>
          <w:rFonts w:ascii="Times New Roman" w:hAnsi="Times New Roman"/>
        </w:rPr>
        <w:t xml:space="preserve"> rekomendāciju 2067 (2015), Eiropas Komisijas pret rasismu un neiecietību Vispārēji politisko rekomendāciju Nr. 11, Cilvēktiesību komisāra 2013. gada 24. oktobra komentārus, viņa 2014. gada 8. decembra un 2015. gada maija dokumentus un viņa 2015. gada 1. oktobra Ziņojumu par trūkumiem Vācijas izlūkošanas un drošības dienestu pārraudzībā [</w:t>
      </w:r>
      <w:proofErr w:type="spellStart"/>
      <w:r>
        <w:rPr>
          <w:rFonts w:ascii="Times New Roman" w:hAnsi="Times New Roman"/>
          <w:i/>
          <w:iCs/>
        </w:rPr>
        <w:t>Report</w:t>
      </w:r>
      <w:proofErr w:type="spellEnd"/>
      <w:r>
        <w:rPr>
          <w:rFonts w:ascii="Times New Roman" w:hAnsi="Times New Roman"/>
          <w:i/>
          <w:iCs/>
        </w:rPr>
        <w:t xml:space="preserve"> </w:t>
      </w:r>
      <w:proofErr w:type="spellStart"/>
      <w:r>
        <w:rPr>
          <w:rFonts w:ascii="Times New Roman" w:hAnsi="Times New Roman"/>
          <w:i/>
          <w:iCs/>
        </w:rPr>
        <w:t>on</w:t>
      </w:r>
      <w:proofErr w:type="spellEnd"/>
      <w:r>
        <w:rPr>
          <w:rFonts w:ascii="Times New Roman" w:hAnsi="Times New Roman"/>
          <w:i/>
          <w:iCs/>
        </w:rPr>
        <w:t xml:space="preserve"> </w:t>
      </w:r>
      <w:proofErr w:type="spellStart"/>
      <w:r>
        <w:rPr>
          <w:rFonts w:ascii="Times New Roman" w:hAnsi="Times New Roman"/>
          <w:i/>
          <w:iCs/>
        </w:rPr>
        <w:t>the</w:t>
      </w:r>
      <w:proofErr w:type="spellEnd"/>
      <w:r>
        <w:rPr>
          <w:rFonts w:ascii="Times New Roman" w:hAnsi="Times New Roman"/>
          <w:i/>
          <w:iCs/>
        </w:rPr>
        <w:t xml:space="preserve"> </w:t>
      </w:r>
      <w:proofErr w:type="spellStart"/>
      <w:r>
        <w:rPr>
          <w:rFonts w:ascii="Times New Roman" w:hAnsi="Times New Roman"/>
          <w:i/>
          <w:iCs/>
        </w:rPr>
        <w:t>shortcomings</w:t>
      </w:r>
      <w:proofErr w:type="spellEnd"/>
      <w:r>
        <w:rPr>
          <w:rFonts w:ascii="Times New Roman" w:hAnsi="Times New Roman"/>
          <w:i/>
          <w:iCs/>
        </w:rPr>
        <w:t xml:space="preserve"> </w:t>
      </w:r>
      <w:proofErr w:type="spellStart"/>
      <w:r>
        <w:rPr>
          <w:rFonts w:ascii="Times New Roman" w:hAnsi="Times New Roman"/>
          <w:i/>
          <w:iCs/>
        </w:rPr>
        <w:t>in</w:t>
      </w:r>
      <w:proofErr w:type="spellEnd"/>
      <w:r>
        <w:rPr>
          <w:rFonts w:ascii="Times New Roman" w:hAnsi="Times New Roman"/>
          <w:i/>
          <w:iCs/>
        </w:rPr>
        <w:t xml:space="preserve"> </w:t>
      </w:r>
      <w:proofErr w:type="spellStart"/>
      <w:r>
        <w:rPr>
          <w:rFonts w:ascii="Times New Roman" w:hAnsi="Times New Roman"/>
          <w:i/>
          <w:iCs/>
        </w:rPr>
        <w:t>the</w:t>
      </w:r>
      <w:proofErr w:type="spellEnd"/>
      <w:r>
        <w:rPr>
          <w:rFonts w:ascii="Times New Roman" w:hAnsi="Times New Roman"/>
          <w:i/>
          <w:iCs/>
        </w:rPr>
        <w:t xml:space="preserve"> </w:t>
      </w:r>
      <w:proofErr w:type="spellStart"/>
      <w:r>
        <w:rPr>
          <w:rFonts w:ascii="Times New Roman" w:hAnsi="Times New Roman"/>
          <w:i/>
          <w:iCs/>
        </w:rPr>
        <w:t>oversight</w:t>
      </w:r>
      <w:proofErr w:type="spellEnd"/>
      <w:r>
        <w:rPr>
          <w:rFonts w:ascii="Times New Roman" w:hAnsi="Times New Roman"/>
          <w:i/>
          <w:iCs/>
        </w:rPr>
        <w:t xml:space="preserve"> </w:t>
      </w:r>
      <w:proofErr w:type="spellStart"/>
      <w:r>
        <w:rPr>
          <w:rFonts w:ascii="Times New Roman" w:hAnsi="Times New Roman"/>
          <w:i/>
          <w:iCs/>
        </w:rPr>
        <w:t>of</w:t>
      </w:r>
      <w:proofErr w:type="spellEnd"/>
      <w:r>
        <w:rPr>
          <w:rFonts w:ascii="Times New Roman" w:hAnsi="Times New Roman"/>
          <w:i/>
          <w:iCs/>
        </w:rPr>
        <w:t xml:space="preserve"> German </w:t>
      </w:r>
      <w:proofErr w:type="spellStart"/>
      <w:r>
        <w:rPr>
          <w:rFonts w:ascii="Times New Roman" w:hAnsi="Times New Roman"/>
          <w:i/>
          <w:iCs/>
        </w:rPr>
        <w:t>intelligence</w:t>
      </w:r>
      <w:proofErr w:type="spellEnd"/>
      <w:r>
        <w:rPr>
          <w:rFonts w:ascii="Times New Roman" w:hAnsi="Times New Roman"/>
          <w:i/>
          <w:iCs/>
        </w:rPr>
        <w:t xml:space="preserve"> </w:t>
      </w:r>
      <w:proofErr w:type="spellStart"/>
      <w:r>
        <w:rPr>
          <w:rFonts w:ascii="Times New Roman" w:hAnsi="Times New Roman"/>
          <w:i/>
          <w:iCs/>
        </w:rPr>
        <w:t>and</w:t>
      </w:r>
      <w:proofErr w:type="spellEnd"/>
      <w:r>
        <w:rPr>
          <w:rFonts w:ascii="Times New Roman" w:hAnsi="Times New Roman"/>
          <w:i/>
          <w:iCs/>
        </w:rPr>
        <w:t xml:space="preserve"> </w:t>
      </w:r>
      <w:proofErr w:type="spellStart"/>
      <w:r>
        <w:rPr>
          <w:rFonts w:ascii="Times New Roman" w:hAnsi="Times New Roman"/>
          <w:i/>
          <w:iCs/>
        </w:rPr>
        <w:t>security</w:t>
      </w:r>
      <w:proofErr w:type="spellEnd"/>
      <w:r>
        <w:rPr>
          <w:rFonts w:ascii="Times New Roman" w:hAnsi="Times New Roman"/>
          <w:i/>
          <w:iCs/>
        </w:rPr>
        <w:t xml:space="preserve"> </w:t>
      </w:r>
      <w:proofErr w:type="spellStart"/>
      <w:r>
        <w:rPr>
          <w:rFonts w:ascii="Times New Roman" w:hAnsi="Times New Roman"/>
          <w:i/>
          <w:iCs/>
        </w:rPr>
        <w:t>services</w:t>
      </w:r>
      <w:proofErr w:type="spellEnd"/>
      <w:r>
        <w:rPr>
          <w:rFonts w:ascii="Times New Roman" w:hAnsi="Times New Roman"/>
        </w:rPr>
        <w:t>], Eiropas Parlamenta 2014. gada 12. marta rezolūciju un 2015. gada 29. oktobra rezolūciju, Eiropas datu aizsardzības uzraudzītāja 2014. gada 20. februāra atzinumu un Darba grupas atzinuma Nr. 4/2014 29. pantu. Tā arī nebija ņēmusi vērā Apvienoto Nāciju Organizācijas Ģenerālās asamblejas 2013. gada 18. decembra Rezolūciju Nr. 68/167, Apvienoto Nāciju Organizācijas Cilvēktiesību komitejas (turpmāk tekstā – “</w:t>
      </w:r>
      <w:proofErr w:type="spellStart"/>
      <w:r>
        <w:rPr>
          <w:rFonts w:ascii="Times New Roman" w:hAnsi="Times New Roman"/>
          <w:i/>
          <w:iCs/>
        </w:rPr>
        <w:t>HRC</w:t>
      </w:r>
      <w:proofErr w:type="spellEnd"/>
      <w:r>
        <w:rPr>
          <w:rFonts w:ascii="Times New Roman" w:hAnsi="Times New Roman"/>
        </w:rPr>
        <w:t>”) noslēguma apsvērumus par ASV 2014. gada 26. marta ceturto ziņojumu, kā arī Apvienoto Nāciju Organizācijas īpašā ziņotāja un Amerikas Cilvēktiesību komisijas īpašā ziņotāja vārda brīvības jautājumos 2013. gada 21. jūnija kopīgo deklarāciju.</w:t>
      </w:r>
      <w:r w:rsidRPr="008D031E">
        <w:rPr>
          <w:rFonts w:ascii="Times New Roman" w:hAnsi="Times New Roman"/>
          <w:noProof/>
          <w:vertAlign w:val="superscript"/>
          <w:lang w:val="en-US"/>
        </w:rPr>
        <w:footnoteReference w:id="46"/>
      </w:r>
      <w:r>
        <w:rPr>
          <w:rFonts w:ascii="Times New Roman" w:hAnsi="Times New Roman"/>
        </w:rPr>
        <w:t xml:space="preserve"> Pārsteidzošākais ir tas, ka vairākums pat nav ņēmis vērā pieejamos starptautiskos nozīmīgos dokumentus par Lielbritānijas masveida pārtveršanas režīmu, piemēram, </w:t>
      </w:r>
      <w:proofErr w:type="spellStart"/>
      <w:r>
        <w:rPr>
          <w:rFonts w:ascii="Times New Roman" w:hAnsi="Times New Roman"/>
          <w:i/>
          <w:iCs/>
        </w:rPr>
        <w:t>HRC</w:t>
      </w:r>
      <w:proofErr w:type="spellEnd"/>
      <w:r>
        <w:rPr>
          <w:rFonts w:ascii="Times New Roman" w:hAnsi="Times New Roman"/>
        </w:rPr>
        <w:t xml:space="preserve"> noslēguma apsvērumus par Apvienotās Karalistes 2015. gada 17. augusta septīto periodisko ziņojumu</w:t>
      </w:r>
      <w:r w:rsidRPr="008D031E">
        <w:rPr>
          <w:rFonts w:ascii="Times New Roman" w:hAnsi="Times New Roman"/>
          <w:noProof/>
          <w:vertAlign w:val="superscript"/>
          <w:lang w:val="en-US"/>
        </w:rPr>
        <w:footnoteReference w:id="47"/>
      </w:r>
      <w:r>
        <w:rPr>
          <w:rFonts w:ascii="Times New Roman" w:hAnsi="Times New Roman"/>
        </w:rPr>
        <w:t xml:space="preserve"> un Eiropas Padomes cilvēktiesību komisāra 2016. gada maija Memorandu par uzraudzības un pārraudzības mehānismiem Apvienotajā Karalistē [</w:t>
      </w:r>
      <w:proofErr w:type="spellStart"/>
      <w:r>
        <w:rPr>
          <w:rFonts w:ascii="Times New Roman" w:hAnsi="Times New Roman"/>
          <w:i/>
          <w:iCs/>
        </w:rPr>
        <w:t>Memorandum</w:t>
      </w:r>
      <w:proofErr w:type="spellEnd"/>
      <w:r>
        <w:rPr>
          <w:rFonts w:ascii="Times New Roman" w:hAnsi="Times New Roman"/>
          <w:i/>
          <w:iCs/>
        </w:rPr>
        <w:t xml:space="preserve"> </w:t>
      </w:r>
      <w:proofErr w:type="spellStart"/>
      <w:r>
        <w:rPr>
          <w:rFonts w:ascii="Times New Roman" w:hAnsi="Times New Roman"/>
          <w:i/>
          <w:iCs/>
        </w:rPr>
        <w:t>on</w:t>
      </w:r>
      <w:proofErr w:type="spellEnd"/>
      <w:r>
        <w:rPr>
          <w:rFonts w:ascii="Times New Roman" w:hAnsi="Times New Roman"/>
          <w:i/>
          <w:iCs/>
        </w:rPr>
        <w:t xml:space="preserve"> </w:t>
      </w:r>
      <w:proofErr w:type="spellStart"/>
      <w:r>
        <w:rPr>
          <w:rFonts w:ascii="Times New Roman" w:hAnsi="Times New Roman"/>
          <w:i/>
          <w:iCs/>
        </w:rPr>
        <w:t>Surveillance</w:t>
      </w:r>
      <w:proofErr w:type="spellEnd"/>
      <w:r>
        <w:rPr>
          <w:rFonts w:ascii="Times New Roman" w:hAnsi="Times New Roman"/>
          <w:i/>
          <w:iCs/>
        </w:rPr>
        <w:t xml:space="preserve"> </w:t>
      </w:r>
      <w:proofErr w:type="spellStart"/>
      <w:r>
        <w:rPr>
          <w:rFonts w:ascii="Times New Roman" w:hAnsi="Times New Roman"/>
          <w:i/>
          <w:iCs/>
        </w:rPr>
        <w:t>and</w:t>
      </w:r>
      <w:proofErr w:type="spellEnd"/>
      <w:r>
        <w:rPr>
          <w:rFonts w:ascii="Times New Roman" w:hAnsi="Times New Roman"/>
          <w:i/>
          <w:iCs/>
        </w:rPr>
        <w:t xml:space="preserve"> </w:t>
      </w:r>
      <w:proofErr w:type="spellStart"/>
      <w:r>
        <w:rPr>
          <w:rFonts w:ascii="Times New Roman" w:hAnsi="Times New Roman"/>
          <w:i/>
          <w:iCs/>
        </w:rPr>
        <w:t>Oversight</w:t>
      </w:r>
      <w:proofErr w:type="spellEnd"/>
      <w:r>
        <w:rPr>
          <w:rFonts w:ascii="Times New Roman" w:hAnsi="Times New Roman"/>
          <w:i/>
          <w:iCs/>
        </w:rPr>
        <w:t xml:space="preserve"> </w:t>
      </w:r>
      <w:proofErr w:type="spellStart"/>
      <w:r>
        <w:rPr>
          <w:rFonts w:ascii="Times New Roman" w:hAnsi="Times New Roman"/>
          <w:i/>
          <w:iCs/>
        </w:rPr>
        <w:t>Mechanisms</w:t>
      </w:r>
      <w:proofErr w:type="spellEnd"/>
      <w:r>
        <w:rPr>
          <w:rFonts w:ascii="Times New Roman" w:hAnsi="Times New Roman"/>
          <w:i/>
          <w:iCs/>
        </w:rPr>
        <w:t xml:space="preserve"> </w:t>
      </w:r>
      <w:proofErr w:type="spellStart"/>
      <w:r>
        <w:rPr>
          <w:rFonts w:ascii="Times New Roman" w:hAnsi="Times New Roman"/>
          <w:i/>
          <w:iCs/>
        </w:rPr>
        <w:t>in</w:t>
      </w:r>
      <w:proofErr w:type="spellEnd"/>
      <w:r>
        <w:rPr>
          <w:rFonts w:ascii="Times New Roman" w:hAnsi="Times New Roman"/>
          <w:i/>
          <w:iCs/>
        </w:rPr>
        <w:t xml:space="preserve"> </w:t>
      </w:r>
      <w:proofErr w:type="spellStart"/>
      <w:r>
        <w:rPr>
          <w:rFonts w:ascii="Times New Roman" w:hAnsi="Times New Roman"/>
          <w:i/>
          <w:iCs/>
        </w:rPr>
        <w:t>the</w:t>
      </w:r>
      <w:proofErr w:type="spellEnd"/>
      <w:r>
        <w:rPr>
          <w:rFonts w:ascii="Times New Roman" w:hAnsi="Times New Roman"/>
          <w:i/>
          <w:iCs/>
        </w:rPr>
        <w:t xml:space="preserve"> </w:t>
      </w:r>
      <w:proofErr w:type="spellStart"/>
      <w:r>
        <w:rPr>
          <w:rFonts w:ascii="Times New Roman" w:hAnsi="Times New Roman"/>
          <w:i/>
          <w:iCs/>
        </w:rPr>
        <w:t>United</w:t>
      </w:r>
      <w:proofErr w:type="spellEnd"/>
      <w:r>
        <w:rPr>
          <w:rFonts w:ascii="Times New Roman" w:hAnsi="Times New Roman"/>
          <w:i/>
          <w:iCs/>
        </w:rPr>
        <w:t xml:space="preserve"> </w:t>
      </w:r>
      <w:proofErr w:type="spellStart"/>
      <w:r>
        <w:rPr>
          <w:rFonts w:ascii="Times New Roman" w:hAnsi="Times New Roman"/>
          <w:i/>
          <w:iCs/>
        </w:rPr>
        <w:t>Kingdom</w:t>
      </w:r>
      <w:proofErr w:type="spellEnd"/>
      <w:r>
        <w:rPr>
          <w:rFonts w:ascii="Times New Roman" w:hAnsi="Times New Roman"/>
        </w:rPr>
        <w:t>]</w:t>
      </w:r>
      <w:r w:rsidRPr="008D031E">
        <w:rPr>
          <w:rFonts w:ascii="Times New Roman" w:hAnsi="Times New Roman"/>
          <w:noProof/>
          <w:vertAlign w:val="superscript"/>
          <w:lang w:val="en-US"/>
        </w:rPr>
        <w:footnoteReference w:id="48"/>
      </w:r>
      <w:r>
        <w:rPr>
          <w:rFonts w:ascii="Times New Roman" w:hAnsi="Times New Roman"/>
        </w:rPr>
        <w:t>.</w:t>
      </w:r>
    </w:p>
    <w:p w14:paraId="53C380FF"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9. Visi šie dokumenti, kā arī šīs Tiesas nesenie spriedumi lietās “</w:t>
      </w:r>
      <w:proofErr w:type="spellStart"/>
      <w:r>
        <w:rPr>
          <w:rFonts w:ascii="Times New Roman" w:hAnsi="Times New Roman"/>
        </w:rPr>
        <w:t>Zabo</w:t>
      </w:r>
      <w:proofErr w:type="spellEnd"/>
      <w:r>
        <w:rPr>
          <w:rFonts w:ascii="Times New Roman" w:hAnsi="Times New Roman"/>
        </w:rPr>
        <w:t xml:space="preserve"> un </w:t>
      </w:r>
      <w:proofErr w:type="spellStart"/>
      <w:r>
        <w:rPr>
          <w:rFonts w:ascii="Times New Roman" w:hAnsi="Times New Roman"/>
        </w:rPr>
        <w:t>Visija</w:t>
      </w:r>
      <w:proofErr w:type="spellEnd"/>
      <w:r>
        <w:rPr>
          <w:rFonts w:ascii="Times New Roman" w:hAnsi="Times New Roman"/>
        </w:rPr>
        <w:t>”</w:t>
      </w:r>
      <w:r w:rsidRPr="008D031E">
        <w:rPr>
          <w:rFonts w:ascii="Times New Roman" w:hAnsi="Times New Roman"/>
          <w:noProof/>
          <w:vertAlign w:val="superscript"/>
          <w:lang w:val="en-US"/>
        </w:rPr>
        <w:footnoteReference w:id="49"/>
      </w:r>
      <w:r>
        <w:rPr>
          <w:rFonts w:ascii="Times New Roman" w:hAnsi="Times New Roman"/>
        </w:rPr>
        <w:t xml:space="preserve"> un </w:t>
      </w:r>
      <w:r>
        <w:rPr>
          <w:rFonts w:ascii="Times New Roman" w:hAnsi="Times New Roman"/>
        </w:rPr>
        <w:lastRenderedPageBreak/>
        <w:t>“</w:t>
      </w:r>
      <w:proofErr w:type="spellStart"/>
      <w:r>
        <w:rPr>
          <w:rFonts w:ascii="Times New Roman" w:hAnsi="Times New Roman"/>
        </w:rPr>
        <w:t>Mustafa</w:t>
      </w:r>
      <w:proofErr w:type="spellEnd"/>
      <w:r>
        <w:rPr>
          <w:rFonts w:ascii="Times New Roman" w:hAnsi="Times New Roman"/>
        </w:rPr>
        <w:t xml:space="preserve"> </w:t>
      </w:r>
      <w:proofErr w:type="spellStart"/>
      <w:r>
        <w:rPr>
          <w:rFonts w:ascii="Times New Roman" w:hAnsi="Times New Roman"/>
        </w:rPr>
        <w:t>Sezgins</w:t>
      </w:r>
      <w:proofErr w:type="spellEnd"/>
      <w:r>
        <w:rPr>
          <w:rFonts w:ascii="Times New Roman" w:hAnsi="Times New Roman"/>
        </w:rPr>
        <w:t xml:space="preserve"> </w:t>
      </w:r>
      <w:proofErr w:type="spellStart"/>
      <w:r>
        <w:rPr>
          <w:rFonts w:ascii="Times New Roman" w:hAnsi="Times New Roman"/>
        </w:rPr>
        <w:t>Tanrikulu</w:t>
      </w:r>
      <w:proofErr w:type="spellEnd"/>
      <w:r>
        <w:rPr>
          <w:rFonts w:ascii="Times New Roman" w:hAnsi="Times New Roman"/>
        </w:rPr>
        <w:t xml:space="preserve"> pret Turciju”</w:t>
      </w:r>
      <w:r w:rsidRPr="008D031E">
        <w:rPr>
          <w:rFonts w:ascii="Times New Roman" w:hAnsi="Times New Roman"/>
          <w:noProof/>
          <w:vertAlign w:val="superscript"/>
          <w:lang w:val="en-US"/>
        </w:rPr>
        <w:footnoteReference w:id="50"/>
      </w:r>
      <w:r>
        <w:rPr>
          <w:rFonts w:ascii="Times New Roman" w:hAnsi="Times New Roman"/>
        </w:rPr>
        <w:t xml:space="preserve"> un Eiropas Savienības Tiesas (turpmāk tekstā – “</w:t>
      </w:r>
      <w:proofErr w:type="spellStart"/>
      <w:r>
        <w:rPr>
          <w:rFonts w:ascii="Times New Roman" w:hAnsi="Times New Roman"/>
        </w:rPr>
        <w:t>EST</w:t>
      </w:r>
      <w:proofErr w:type="spellEnd"/>
      <w:r>
        <w:rPr>
          <w:rFonts w:ascii="Times New Roman" w:hAnsi="Times New Roman"/>
        </w:rPr>
        <w:t>”) attiecīgā judikatūra</w:t>
      </w:r>
      <w:r w:rsidRPr="008D031E">
        <w:rPr>
          <w:rFonts w:ascii="Times New Roman" w:hAnsi="Times New Roman"/>
          <w:noProof/>
          <w:vertAlign w:val="superscript"/>
          <w:lang w:val="en-US"/>
        </w:rPr>
        <w:footnoteReference w:id="51"/>
      </w:r>
      <w:r>
        <w:rPr>
          <w:rFonts w:ascii="Times New Roman" w:hAnsi="Times New Roman"/>
        </w:rPr>
        <w:t xml:space="preserve"> ir pretrunā ar iespējamo ārpus valsts teritoriālās jurisdikcijas esošo personu novērošanas izplatību. Šīs iestādes, gluži pretēji, apstiprina, ka masveida uzraudzība ir galvenokārt vērsta uz personām, kuras atrodas valsts teritoriālajā jurisdikcijā.</w:t>
      </w:r>
      <w:r w:rsidRPr="008D031E">
        <w:rPr>
          <w:rFonts w:ascii="Times New Roman" w:hAnsi="Times New Roman"/>
          <w:noProof/>
          <w:vertAlign w:val="superscript"/>
          <w:lang w:val="en-US"/>
        </w:rPr>
        <w:footnoteReference w:id="52"/>
      </w:r>
      <w:r>
        <w:rPr>
          <w:rFonts w:ascii="Times New Roman" w:hAnsi="Times New Roman"/>
        </w:rPr>
        <w:t xml:space="preserve"> Pati Valdība ir atzinusi, ka vaicājumu skaits saistībā ar saistītajiem sakaru datiem saskaņā ar </w:t>
      </w:r>
      <w:r>
        <w:rPr>
          <w:rFonts w:ascii="Times New Roman" w:hAnsi="Times New Roman"/>
          <w:i/>
          <w:iCs/>
        </w:rPr>
        <w:t>RIPA</w:t>
      </w:r>
      <w:r>
        <w:rPr>
          <w:rFonts w:ascii="Times New Roman" w:hAnsi="Times New Roman"/>
        </w:rPr>
        <w:t xml:space="preserve"> 8. panta 4. punktu attiecībā uz personām, par kurām zināms, ka tās atrodas Apvienotajā Karalistē – tātad kā iekšējās uzraudzības līdzeklis – sasniedz vairākus tūkstošus nedēļā.</w:t>
      </w:r>
      <w:r w:rsidRPr="008D031E">
        <w:rPr>
          <w:rFonts w:ascii="Times New Roman" w:hAnsi="Times New Roman"/>
          <w:noProof/>
          <w:vertAlign w:val="superscript"/>
          <w:lang w:val="en-US"/>
        </w:rPr>
        <w:footnoteReference w:id="53"/>
      </w:r>
    </w:p>
    <w:p w14:paraId="0E38AB27"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10. Otrais arguments, kas neatbilst līdzšinējai judikatūrai, ir fakts, ka Eiropas Padomes dalībvalstis, “šķiet, veic”</w:t>
      </w:r>
      <w:r w:rsidRPr="008D031E">
        <w:rPr>
          <w:rFonts w:ascii="Times New Roman" w:hAnsi="Times New Roman"/>
          <w:noProof/>
          <w:vertAlign w:val="superscript"/>
          <w:lang w:val="en-US"/>
        </w:rPr>
        <w:footnoteReference w:id="54"/>
      </w:r>
      <w:r>
        <w:rPr>
          <w:rFonts w:ascii="Times New Roman" w:hAnsi="Times New Roman"/>
        </w:rPr>
        <w:t xml:space="preserve"> masveida pārtveršanu nevis noziegumu izmeklēšanai, bet gan citos nolūkos. Šķiet, ka no Tiesas argumentācijas izriet, ka, tā kā mērķēta pārtveršana “lielākoties”</w:t>
      </w:r>
      <w:r w:rsidRPr="008D031E">
        <w:rPr>
          <w:rFonts w:ascii="Times New Roman" w:hAnsi="Times New Roman"/>
          <w:noProof/>
          <w:vertAlign w:val="superscript"/>
          <w:lang w:val="en-US"/>
        </w:rPr>
        <w:footnoteReference w:id="55"/>
      </w:r>
      <w:r>
        <w:rPr>
          <w:rFonts w:ascii="Times New Roman" w:hAnsi="Times New Roman"/>
        </w:rPr>
        <w:t xml:space="preserve"> tiek veikta masveida pārtveršanas ietvaros noziegumu atklāšanas un izmeklēšanas nolūkos, bet masveida pārtveršanu var veikt arī ārvalstu </w:t>
      </w:r>
      <w:proofErr w:type="spellStart"/>
      <w:r>
        <w:rPr>
          <w:rFonts w:ascii="Times New Roman" w:hAnsi="Times New Roman"/>
        </w:rPr>
        <w:t>izlūkdatu</w:t>
      </w:r>
      <w:proofErr w:type="spellEnd"/>
      <w:r>
        <w:rPr>
          <w:rFonts w:ascii="Times New Roman" w:hAnsi="Times New Roman"/>
        </w:rPr>
        <w:t xml:space="preserve"> iegūšanai tad, kad var nebūt noteikts ne konkrēts mērķis, ne identificējams nodarījums, uz masveida pārtveršanu neattiecas (un nav </w:t>
      </w:r>
      <w:proofErr w:type="spellStart"/>
      <w:r>
        <w:rPr>
          <w:rFonts w:ascii="Times New Roman" w:hAnsi="Times New Roman"/>
        </w:rPr>
        <w:t>jāatiecina</w:t>
      </w:r>
      <w:proofErr w:type="spellEnd"/>
      <w:r>
        <w:rPr>
          <w:rFonts w:ascii="Times New Roman" w:hAnsi="Times New Roman"/>
        </w:rPr>
        <w:t>) tie paši standarti kā uz mērķētu uzraudzību.</w:t>
      </w:r>
      <w:r w:rsidRPr="008D031E">
        <w:rPr>
          <w:rFonts w:ascii="Times New Roman" w:hAnsi="Times New Roman"/>
          <w:noProof/>
          <w:vertAlign w:val="superscript"/>
          <w:lang w:val="en-US"/>
        </w:rPr>
        <w:footnoteReference w:id="56"/>
      </w:r>
      <w:r>
        <w:rPr>
          <w:rFonts w:ascii="Times New Roman" w:hAnsi="Times New Roman"/>
        </w:rPr>
        <w:t xml:space="preserve"> Šis ir vēl viens arguments, ko Tiesa nav pierādījusi, jo tā nolēma pieņemt lēmumu, pamatojoties uz šķietamību, nevis faktiem.</w:t>
      </w:r>
    </w:p>
    <w:p w14:paraId="2F0ABBF4"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11. Patiesībā nemērķēta masveida pārtveršana ir tieši vai netieši aizliegta divdesmit trīs Eiropas valstīs.</w:t>
      </w:r>
      <w:r w:rsidRPr="008D031E">
        <w:rPr>
          <w:rFonts w:ascii="Times New Roman" w:hAnsi="Times New Roman"/>
          <w:noProof/>
          <w:vertAlign w:val="superscript"/>
          <w:lang w:val="en-US"/>
        </w:rPr>
        <w:footnoteReference w:id="57"/>
      </w:r>
      <w:r>
        <w:rPr>
          <w:rFonts w:ascii="Times New Roman" w:hAnsi="Times New Roman"/>
        </w:rPr>
        <w:t xml:space="preserve"> Kā pārliecinoši pierādīja </w:t>
      </w:r>
      <w:proofErr w:type="spellStart"/>
      <w:r>
        <w:rPr>
          <w:rFonts w:ascii="Times New Roman" w:hAnsi="Times New Roman"/>
          <w:i/>
          <w:iCs/>
        </w:rPr>
        <w:t>PACE</w:t>
      </w:r>
      <w:proofErr w:type="spellEnd"/>
      <w:r w:rsidRPr="008D031E">
        <w:rPr>
          <w:rFonts w:ascii="Times New Roman" w:hAnsi="Times New Roman"/>
          <w:noProof/>
          <w:vertAlign w:val="superscript"/>
          <w:lang w:val="en-US"/>
        </w:rPr>
        <w:footnoteReference w:id="58"/>
      </w:r>
      <w:r>
        <w:rPr>
          <w:rFonts w:ascii="Times New Roman" w:hAnsi="Times New Roman"/>
        </w:rPr>
        <w:t xml:space="preserve"> un Eiropas Padomes cilvēktiesību komisārs,</w:t>
      </w:r>
      <w:r w:rsidRPr="008D031E">
        <w:rPr>
          <w:rFonts w:ascii="Times New Roman" w:hAnsi="Times New Roman"/>
          <w:noProof/>
          <w:vertAlign w:val="superscript"/>
          <w:lang w:val="en-US"/>
        </w:rPr>
        <w:footnoteReference w:id="59"/>
      </w:r>
      <w:r>
        <w:rPr>
          <w:rFonts w:ascii="Times New Roman" w:hAnsi="Times New Roman"/>
        </w:rPr>
        <w:t xml:space="preserve"> neselektīva masveida sakaru uzraudzība ir izrādījusies neefektīva terorisma novēršanā, tāpēc ir ne tikai drauds cilvēktiesību aizsardzībai, bet arī resursu izšķērdēšana. Tādējādi, ja Eiropā ir vienprātība par nemērķētu masveida pārtveršanu, jāņem vērā kopējā nostāja, ka tā ir jāaizliedz, taču Tiesa to ir ignorējusi. Tikai septiņas Eiropas Padomes dalībvalstis izmanto šādus režīmus,</w:t>
      </w:r>
      <w:r w:rsidRPr="008D031E">
        <w:rPr>
          <w:rFonts w:ascii="Times New Roman" w:hAnsi="Times New Roman"/>
          <w:noProof/>
          <w:vertAlign w:val="superscript"/>
          <w:lang w:val="en-US"/>
        </w:rPr>
        <w:footnoteReference w:id="60"/>
      </w:r>
      <w:r>
        <w:rPr>
          <w:rFonts w:ascii="Times New Roman" w:hAnsi="Times New Roman"/>
        </w:rPr>
        <w:t xml:space="preserve"> un lielākoties tās šādi rīkojas, lai novērstu, atklātu un izmeklētu tādus noziegumus kā terorisms, spiegošana, kiberuzbrukumi un vispārīgākā nozīmē “smagus noziegumus”,</w:t>
      </w:r>
      <w:r w:rsidRPr="008D031E">
        <w:rPr>
          <w:rFonts w:ascii="Times New Roman" w:hAnsi="Times New Roman"/>
          <w:noProof/>
          <w:vertAlign w:val="superscript"/>
          <w:lang w:val="en-US"/>
        </w:rPr>
        <w:footnoteReference w:id="61"/>
      </w:r>
      <w:r>
        <w:rPr>
          <w:rFonts w:ascii="Times New Roman" w:hAnsi="Times New Roman"/>
        </w:rPr>
        <w:t xml:space="preserve"> kā norādīts iepriekš minētajos nozīmīgajos Eiropas Padomes un </w:t>
      </w:r>
      <w:r>
        <w:rPr>
          <w:rFonts w:ascii="Times New Roman" w:hAnsi="Times New Roman"/>
        </w:rPr>
        <w:lastRenderedPageBreak/>
        <w:t>Eiropas Savienības dokumentos, šīs Tiesas spriedumā lietās “</w:t>
      </w:r>
      <w:proofErr w:type="spellStart"/>
      <w:r>
        <w:rPr>
          <w:rFonts w:ascii="Times New Roman" w:hAnsi="Times New Roman"/>
        </w:rPr>
        <w:t>Zabo</w:t>
      </w:r>
      <w:proofErr w:type="spellEnd"/>
      <w:r>
        <w:rPr>
          <w:rFonts w:ascii="Times New Roman" w:hAnsi="Times New Roman"/>
        </w:rPr>
        <w:t xml:space="preserve"> un </w:t>
      </w:r>
      <w:proofErr w:type="spellStart"/>
      <w:r>
        <w:rPr>
          <w:rFonts w:ascii="Times New Roman" w:hAnsi="Times New Roman"/>
        </w:rPr>
        <w:t>Visija</w:t>
      </w:r>
      <w:proofErr w:type="spellEnd"/>
      <w:r>
        <w:rPr>
          <w:rFonts w:ascii="Times New Roman" w:hAnsi="Times New Roman"/>
        </w:rPr>
        <w:t>” un “</w:t>
      </w:r>
      <w:proofErr w:type="spellStart"/>
      <w:r>
        <w:rPr>
          <w:rFonts w:ascii="Times New Roman" w:hAnsi="Times New Roman"/>
        </w:rPr>
        <w:t>Mustafa</w:t>
      </w:r>
      <w:proofErr w:type="spellEnd"/>
      <w:r>
        <w:rPr>
          <w:rFonts w:ascii="Times New Roman" w:hAnsi="Times New Roman"/>
        </w:rPr>
        <w:t xml:space="preserve"> </w:t>
      </w:r>
      <w:proofErr w:type="spellStart"/>
      <w:r>
        <w:rPr>
          <w:rFonts w:ascii="Times New Roman" w:hAnsi="Times New Roman"/>
        </w:rPr>
        <w:t>Sezgins</w:t>
      </w:r>
      <w:proofErr w:type="spellEnd"/>
      <w:r>
        <w:rPr>
          <w:rFonts w:ascii="Times New Roman" w:hAnsi="Times New Roman"/>
        </w:rPr>
        <w:t xml:space="preserve"> </w:t>
      </w:r>
      <w:proofErr w:type="spellStart"/>
      <w:r>
        <w:rPr>
          <w:rFonts w:ascii="Times New Roman" w:hAnsi="Times New Roman"/>
        </w:rPr>
        <w:t>Tanrikulu</w:t>
      </w:r>
      <w:proofErr w:type="spellEnd"/>
      <w:r>
        <w:rPr>
          <w:rFonts w:ascii="Times New Roman" w:hAnsi="Times New Roman"/>
        </w:rPr>
        <w:t xml:space="preserve">”, kā arī attiecīgajā </w:t>
      </w:r>
      <w:proofErr w:type="spellStart"/>
      <w:r>
        <w:rPr>
          <w:rFonts w:ascii="Times New Roman" w:hAnsi="Times New Roman"/>
        </w:rPr>
        <w:t>EST</w:t>
      </w:r>
      <w:proofErr w:type="spellEnd"/>
      <w:r>
        <w:rPr>
          <w:rFonts w:ascii="Times New Roman" w:hAnsi="Times New Roman"/>
        </w:rPr>
        <w:t xml:space="preserve"> judikatūrā. Ārvalstu </w:t>
      </w:r>
      <w:proofErr w:type="spellStart"/>
      <w:r>
        <w:rPr>
          <w:rFonts w:ascii="Times New Roman" w:hAnsi="Times New Roman"/>
        </w:rPr>
        <w:t>izlūkdatu</w:t>
      </w:r>
      <w:proofErr w:type="spellEnd"/>
      <w:r>
        <w:rPr>
          <w:rFonts w:ascii="Times New Roman" w:hAnsi="Times New Roman"/>
        </w:rPr>
        <w:t xml:space="preserve"> vākšana ir tikai viens no daudziem nolūkiem, un Tiesas rīcībā nav statistikas vai citu pierādījumu minimālā elementa par to, kā šī rīcība šajā nolūkā tiek īstenota, neatkarīgi no tā, vai tas ir balstīts uz konkrētu mērķu uzraudzību vai kā citādi. Pat ja izvērtēšanas nolūkos varētu pieņemt, ka ārvalstu </w:t>
      </w:r>
      <w:proofErr w:type="spellStart"/>
      <w:r>
        <w:rPr>
          <w:rFonts w:ascii="Times New Roman" w:hAnsi="Times New Roman"/>
        </w:rPr>
        <w:t>izlūkdatu</w:t>
      </w:r>
      <w:proofErr w:type="spellEnd"/>
      <w:r>
        <w:rPr>
          <w:rFonts w:ascii="Times New Roman" w:hAnsi="Times New Roman"/>
        </w:rPr>
        <w:t xml:space="preserve"> vākšana lielākoties tiek veikta nemērķētas masveida pārtveršanas veidā, tas ne vienmēr nozīmē, ka jebkādai masveida pārtveršanai, tostarp masveida pārtveršanai noziegumu atklāšanas un izmeklēšanas nolūkā, ir jābūt nemērķētai. Pretējā gadījumā masveida pārtveršana kļūst par nepilnību, ko izmanto, lai apietu drošības mehānismus attiecībā uz atsevišķu orderi apstākļos, kad šāds orderis būtu lieliski piemērots attiecīgo sakaru iegūšanai. Tomēr nekas neizslēdz iespēju, ka pašu ārvalstu </w:t>
      </w:r>
      <w:proofErr w:type="spellStart"/>
      <w:r>
        <w:rPr>
          <w:rFonts w:ascii="Times New Roman" w:hAnsi="Times New Roman"/>
        </w:rPr>
        <w:t>izlūkdatu</w:t>
      </w:r>
      <w:proofErr w:type="spellEnd"/>
      <w:r>
        <w:rPr>
          <w:rFonts w:ascii="Times New Roman" w:hAnsi="Times New Roman"/>
        </w:rPr>
        <w:t xml:space="preserve"> vākšanu var veikt masveida pārtveršanas veidā, pamatojoties uz prasību par pamatotām aizdomām par novērojamās personas vai personu grupas līdzdalību valsts drošībai kaitīgās darbībās, pat ja tās nav kvalificējamas kā noziedzīgi nodarījumi.</w:t>
      </w:r>
      <w:r w:rsidRPr="008D031E">
        <w:rPr>
          <w:rFonts w:ascii="Times New Roman" w:hAnsi="Times New Roman"/>
          <w:noProof/>
          <w:vertAlign w:val="superscript"/>
          <w:lang w:val="en-US"/>
        </w:rPr>
        <w:footnoteReference w:id="62"/>
      </w:r>
    </w:p>
    <w:p w14:paraId="49D94FBD" w14:textId="77777777" w:rsidR="00DA068F" w:rsidRDefault="00DA068F" w:rsidP="00DA068F">
      <w:pPr>
        <w:pStyle w:val="JuPara"/>
        <w:widowControl w:val="0"/>
        <w:ind w:firstLine="142"/>
        <w:rPr>
          <w:rFonts w:ascii="Times New Roman" w:hAnsi="Times New Roman"/>
          <w:noProof/>
        </w:rPr>
      </w:pPr>
      <w:r>
        <w:rPr>
          <w:rFonts w:ascii="Times New Roman" w:hAnsi="Times New Roman"/>
        </w:rPr>
        <w:t>12. Trešais arguments attiecas tieši uz šo trauslo robežu starp vecmodīgo mērķēto pārtveršanu un jaunajiem masveida pārtveršanas veidiem, ko izmanto, lai izraudzītu noteiktas personas, un tas ir vājākais Tiesas arguments. Attiecībā uz gadījumiem, kad pārtveršanu veic, izmantojot spēcīgos selektorus, Tiesa apgalvo, ka “izraudzīto personu ierīces netiek pārraudzītas”,</w:t>
      </w:r>
      <w:r w:rsidRPr="008D031E">
        <w:rPr>
          <w:rFonts w:ascii="Times New Roman" w:hAnsi="Times New Roman"/>
          <w:noProof/>
          <w:vertAlign w:val="superscript"/>
          <w:lang w:val="en-US"/>
        </w:rPr>
        <w:footnoteReference w:id="63"/>
      </w:r>
      <w:r>
        <w:rPr>
          <w:rFonts w:ascii="Times New Roman" w:hAnsi="Times New Roman"/>
        </w:rPr>
        <w:t xml:space="preserve"> līdz ar to attiecībā uz masveida pārtveršanu nav jānodrošina tādas pašas garantijas kā parastai mērķētai pārtveršanai. Šis apgalvojums nav pārliecinošs. Automātiska datu vākšana un apstrāde, izmantojot spēcīgos selektorus, kas ļauj iegūt elektroniskos sakarus uz mērķi, no tā vai par to, izmantojot izlūkdienestu izvēlētos datu nesējus, var radīt daudz nopietnāku iejaukšanos 8. pantā noteiktajās tiesībās nekā vienīgi izraudzīto personu ierīču pārraudzība.</w:t>
      </w:r>
      <w:r w:rsidRPr="008D031E">
        <w:rPr>
          <w:rFonts w:ascii="Times New Roman" w:hAnsi="Times New Roman"/>
          <w:noProof/>
          <w:vertAlign w:val="superscript"/>
          <w:lang w:val="en-US"/>
        </w:rPr>
        <w:footnoteReference w:id="64"/>
      </w:r>
      <w:r>
        <w:rPr>
          <w:rFonts w:ascii="Times New Roman" w:hAnsi="Times New Roman"/>
        </w:rPr>
        <w:t xml:space="preserve"> Līdz ar to ir maldinoši apgalvot, ka tiks pārtvertas “vienīgi” (346. punkts) izraudzīto personu sakaru paketes, radot iespaidu, ka masveida pārtveršana, pamatojoties uz spēcīgajiem selektoriem, ir mazāk nopietna nekā ierastā personas ierīču pārraudzība.</w:t>
      </w:r>
    </w:p>
    <w:p w14:paraId="30D4E62B" w14:textId="77777777" w:rsidR="00DA068F" w:rsidRPr="008D031E" w:rsidRDefault="00DA068F" w:rsidP="00DA068F">
      <w:pPr>
        <w:pStyle w:val="JuPara"/>
        <w:widowControl w:val="0"/>
        <w:ind w:firstLine="142"/>
        <w:rPr>
          <w:rFonts w:ascii="Times New Roman" w:hAnsi="Times New Roman"/>
          <w:noProof/>
          <w:lang w:val="en-US"/>
        </w:rPr>
      </w:pPr>
    </w:p>
    <w:p w14:paraId="728ED7A9" w14:textId="77777777" w:rsidR="00DA068F" w:rsidRDefault="00DA068F" w:rsidP="00DA068F">
      <w:pPr>
        <w:pStyle w:val="JuHA"/>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C. Nepilnīgs drošības pasākumu režīms</w:t>
      </w:r>
    </w:p>
    <w:p w14:paraId="6CF458A4" w14:textId="77777777" w:rsidR="00DA068F" w:rsidRPr="00EB5140" w:rsidRDefault="00DA068F" w:rsidP="00DA068F">
      <w:pPr>
        <w:pStyle w:val="JuPara"/>
        <w:widowControl w:val="0"/>
        <w:rPr>
          <w:lang w:val="en-US"/>
        </w:rPr>
      </w:pPr>
    </w:p>
    <w:p w14:paraId="74F97B4B"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13. No šīs faktiski nepamatotās argumentācijas Tiesa izdarīja divus juridiskus secinājumus par “pieeju, kas jāievēro masveida pārtveršanas lietās”</w:t>
      </w:r>
      <w:r w:rsidRPr="008D031E">
        <w:rPr>
          <w:rFonts w:ascii="Times New Roman" w:hAnsi="Times New Roman"/>
          <w:noProof/>
          <w:vertAlign w:val="superscript"/>
          <w:lang w:val="en-US"/>
        </w:rPr>
        <w:footnoteReference w:id="65"/>
      </w:r>
      <w:r>
        <w:rPr>
          <w:rFonts w:ascii="Times New Roman" w:hAnsi="Times New Roman"/>
        </w:rPr>
        <w:t>, proti, valsts tiesību aktos nav jāidentificē to noziedzīgo nodarījumu būtība, kas var būt par pamatu pārtveršanas rīkojumam, un personu kategorijas, kuru sakarus var pārtvert, un, lai pamatotu šādu pārtveršanas rīkojumu, nav vajadzīgas nekādas pamatotas aizdomas.</w:t>
      </w:r>
      <w:r w:rsidRPr="008D031E">
        <w:rPr>
          <w:rFonts w:ascii="Times New Roman" w:hAnsi="Times New Roman"/>
          <w:noProof/>
          <w:vertAlign w:val="superscript"/>
          <w:lang w:val="en-US"/>
        </w:rPr>
        <w:footnoteReference w:id="66"/>
      </w:r>
      <w:r>
        <w:rPr>
          <w:rFonts w:ascii="Times New Roman" w:hAnsi="Times New Roman"/>
        </w:rPr>
        <w:t xml:space="preserve"> Vadoties pēc Tiesas loģikas, tā kā “[masveida pārtveršanas] nolūks principā ir preventīvs, nevis konkrēta mērķa un/vai identificējama noziedzīga nodarījuma izmeklēšana”</w:t>
      </w:r>
      <w:r w:rsidRPr="008D031E">
        <w:rPr>
          <w:rFonts w:ascii="Times New Roman" w:hAnsi="Times New Roman"/>
          <w:noProof/>
          <w:vertAlign w:val="superscript"/>
          <w:lang w:val="en-US"/>
        </w:rPr>
        <w:footnoteReference w:id="67"/>
      </w:r>
      <w:r>
        <w:rPr>
          <w:rFonts w:ascii="Times New Roman" w:hAnsi="Times New Roman"/>
        </w:rPr>
        <w:t>, valsts tiesību aktos nav jāparedz neviens no iepriekš minētajiem drošības pasākumiem, pat ja masveida pārtveršana ir vērsta uz kādu konkrētu personu, kas iesaistīta identificējamā noziedzīgā nodarījumā. Līdz ar to masveida pārtveršanas uzsākšanai kopumā nepieciešams vien uz aizdomām nebalstīts pārtveršanas rīkojums neatkarīgi no tā, vai pārtveršana veicama nozieguma atklāšanas un izmeklēšanas vai citos nolūkos.</w:t>
      </w:r>
    </w:p>
    <w:p w14:paraId="21FBE5DB"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14. Šāda Tiesas nostāja atstāj neatbildētus daudzus jautājumus. Kāds ir masveida pārtveršanas pieļaujamais pamatojums? Piemēram, vai “nopietnu noziedzīgu nodarījumu” izmeklēšana bez </w:t>
      </w:r>
      <w:r>
        <w:rPr>
          <w:rFonts w:ascii="Times New Roman" w:hAnsi="Times New Roman"/>
        </w:rPr>
        <w:lastRenderedPageBreak/>
        <w:t>jebkāda papildu precizējuma ir pieļaujams pamatojums? Kādai ir jābūt izmeklējamā nozieguma smaguma pakāpei? Vai naudas maka un mobilā tālruņa zādzības izmeklēšana ir pieļaujams pamatojums?</w:t>
      </w:r>
      <w:r w:rsidRPr="008D031E">
        <w:rPr>
          <w:rFonts w:ascii="Times New Roman" w:hAnsi="Times New Roman"/>
          <w:noProof/>
          <w:vertAlign w:val="superscript"/>
          <w:lang w:val="en-US"/>
        </w:rPr>
        <w:footnoteReference w:id="68"/>
      </w:r>
      <w:r>
        <w:rPr>
          <w:rFonts w:ascii="Times New Roman" w:hAnsi="Times New Roman"/>
        </w:rPr>
        <w:t xml:space="preserve"> Vai ekonomiskās un rūpnieciskās spiegošanas veicināšana pārtverošās valsts ekonomiskās labklājības un valsts drošības nolūkos ir pieļaujams pamatojums?</w:t>
      </w:r>
      <w:r w:rsidRPr="008D031E">
        <w:rPr>
          <w:rFonts w:ascii="Times New Roman" w:hAnsi="Times New Roman"/>
          <w:noProof/>
          <w:vertAlign w:val="superscript"/>
          <w:lang w:val="en-US"/>
        </w:rPr>
        <w:footnoteReference w:id="69"/>
      </w:r>
      <w:r>
        <w:rPr>
          <w:rFonts w:ascii="Times New Roman" w:hAnsi="Times New Roman"/>
        </w:rPr>
        <w:t xml:space="preserve"> Kādi ir pieņemamie “apstākļi”, kādos personas sakarus var pārtvert? Cik nopietnās interesēs veicama personas sakaru pārtveršana masveida pārtveršanas rīkojumā minētajos nolūkos, lai attaisnotu personas sakaru masveida pārtveršanu? Vai ir jāpiemēro spriedumā lietā “</w:t>
      </w:r>
      <w:proofErr w:type="spellStart"/>
      <w:r>
        <w:rPr>
          <w:rFonts w:ascii="Times New Roman" w:hAnsi="Times New Roman"/>
        </w:rPr>
        <w:t>Zabo</w:t>
      </w:r>
      <w:proofErr w:type="spellEnd"/>
      <w:r>
        <w:rPr>
          <w:rFonts w:ascii="Times New Roman" w:hAnsi="Times New Roman"/>
        </w:rPr>
        <w:t xml:space="preserve"> un </w:t>
      </w:r>
      <w:proofErr w:type="spellStart"/>
      <w:r>
        <w:rPr>
          <w:rFonts w:ascii="Times New Roman" w:hAnsi="Times New Roman"/>
        </w:rPr>
        <w:t>Visija</w:t>
      </w:r>
      <w:proofErr w:type="spellEnd"/>
      <w:r>
        <w:rPr>
          <w:rFonts w:ascii="Times New Roman" w:hAnsi="Times New Roman"/>
        </w:rPr>
        <w:t>”</w:t>
      </w:r>
      <w:r w:rsidRPr="008D031E">
        <w:rPr>
          <w:rFonts w:ascii="Times New Roman" w:hAnsi="Times New Roman"/>
          <w:noProof/>
          <w:vertAlign w:val="superscript"/>
          <w:lang w:val="en-US"/>
        </w:rPr>
        <w:footnoteReference w:id="70"/>
      </w:r>
      <w:r>
        <w:rPr>
          <w:rFonts w:ascii="Times New Roman" w:hAnsi="Times New Roman"/>
        </w:rPr>
        <w:t xml:space="preserve"> noteiktais standarts par atsevišķām aizdomām vai arī spriedumā lietā “Romāns Zaharovs”</w:t>
      </w:r>
      <w:r w:rsidRPr="008D031E">
        <w:rPr>
          <w:rFonts w:ascii="Times New Roman" w:hAnsi="Times New Roman"/>
          <w:noProof/>
          <w:vertAlign w:val="superscript"/>
          <w:lang w:val="en-US"/>
        </w:rPr>
        <w:footnoteReference w:id="71"/>
      </w:r>
      <w:r>
        <w:rPr>
          <w:rFonts w:ascii="Times New Roman" w:hAnsi="Times New Roman"/>
        </w:rPr>
        <w:t xml:space="preserve"> noteiktie pamatoto aizdomu kritēriji? Kā Tiesa var pieprasīt, lai valsts tiesību aktos “pietiekami skaidri”</w:t>
      </w:r>
      <w:r w:rsidRPr="008D031E">
        <w:rPr>
          <w:rFonts w:ascii="Times New Roman" w:hAnsi="Times New Roman"/>
          <w:noProof/>
          <w:vertAlign w:val="superscript"/>
          <w:lang w:val="en-US"/>
        </w:rPr>
        <w:footnoteReference w:id="72"/>
      </w:r>
      <w:r>
        <w:rPr>
          <w:rFonts w:ascii="Times New Roman" w:hAnsi="Times New Roman"/>
        </w:rPr>
        <w:t xml:space="preserve"> būtu noteikts pamatojums, atbilstoši kuram var atļaut veikt masveida pārtveršanu, un apstākļi, kādos var pārtvert personas sakarus, ja Tiesai pašai nav pietiekami skaidrs, uz kādu “pamatojumu” un “apstākļiem” tā atsaucas?</w:t>
      </w:r>
    </w:p>
    <w:p w14:paraId="57ADD4E7" w14:textId="2CD90BAD" w:rsidR="00DA068F" w:rsidRDefault="00DA068F" w:rsidP="00DA068F">
      <w:pPr>
        <w:pStyle w:val="JuPara"/>
        <w:widowControl w:val="0"/>
        <w:ind w:firstLine="142"/>
        <w:rPr>
          <w:rFonts w:ascii="Times New Roman" w:hAnsi="Times New Roman"/>
          <w:noProof/>
        </w:rPr>
      </w:pPr>
      <w:r>
        <w:rPr>
          <w:rFonts w:ascii="Times New Roman" w:hAnsi="Times New Roman"/>
        </w:rPr>
        <w:t>15. Tā kā 8. pants attiecas uz visiem masveida pārtveršanas posmiem, tostarp sākotnējo sakaru un saistīto sakaru datu saglabāšanu,</w:t>
      </w:r>
      <w:r w:rsidRPr="008D031E">
        <w:rPr>
          <w:rFonts w:ascii="Times New Roman" w:hAnsi="Times New Roman"/>
          <w:noProof/>
          <w:vertAlign w:val="superscript"/>
          <w:lang w:val="en-US"/>
        </w:rPr>
        <w:footnoteReference w:id="73"/>
      </w:r>
      <w:r>
        <w:rPr>
          <w:rFonts w:ascii="Times New Roman" w:hAnsi="Times New Roman"/>
        </w:rPr>
        <w:t xml:space="preserve"> Tiesa ir pareizi noteikusi “no gala līdz galam drošības pasākumus”</w:t>
      </w:r>
      <w:r w:rsidRPr="008D031E">
        <w:rPr>
          <w:rFonts w:ascii="Times New Roman" w:hAnsi="Times New Roman"/>
          <w:noProof/>
          <w:vertAlign w:val="superscript"/>
          <w:lang w:val="en-US"/>
        </w:rPr>
        <w:footnoteReference w:id="74"/>
      </w:r>
      <w:r>
        <w:rPr>
          <w:rFonts w:ascii="Times New Roman" w:hAnsi="Times New Roman"/>
        </w:rPr>
        <w:t>. Problēma ir tāda, ka Tiesai nav skaidrības par šo “no gala līdz galam drošības pasākumu” juridisko būtību. No vienas puses, tā ir lietojusi pavēles izteiksmi (“jāīsteno”</w:t>
      </w:r>
      <w:r w:rsidRPr="008D031E">
        <w:rPr>
          <w:rFonts w:ascii="Times New Roman" w:hAnsi="Times New Roman"/>
          <w:noProof/>
          <w:vertAlign w:val="superscript"/>
          <w:lang w:val="en-US"/>
        </w:rPr>
        <w:footnoteReference w:id="75"/>
      </w:r>
      <w:r>
        <w:rPr>
          <w:rFonts w:ascii="Times New Roman" w:hAnsi="Times New Roman"/>
        </w:rPr>
        <w:t>, “jāpakļauj”</w:t>
      </w:r>
      <w:r w:rsidRPr="008D031E">
        <w:rPr>
          <w:rFonts w:ascii="Times New Roman" w:hAnsi="Times New Roman"/>
          <w:noProof/>
          <w:vertAlign w:val="superscript"/>
          <w:lang w:val="en-US"/>
        </w:rPr>
        <w:footnoteReference w:id="76"/>
      </w:r>
      <w:r>
        <w:rPr>
          <w:rFonts w:ascii="Times New Roman" w:hAnsi="Times New Roman"/>
        </w:rPr>
        <w:t>, “jāatļauj”</w:t>
      </w:r>
      <w:r w:rsidRPr="008D031E">
        <w:rPr>
          <w:rFonts w:ascii="Times New Roman" w:hAnsi="Times New Roman"/>
          <w:noProof/>
          <w:vertAlign w:val="superscript"/>
          <w:lang w:val="en-US"/>
        </w:rPr>
        <w:footnoteReference w:id="77"/>
      </w:r>
      <w:r>
        <w:rPr>
          <w:rFonts w:ascii="Times New Roman" w:hAnsi="Times New Roman"/>
        </w:rPr>
        <w:t>, “jāinformē”</w:t>
      </w:r>
      <w:r w:rsidRPr="008D031E">
        <w:rPr>
          <w:rFonts w:ascii="Times New Roman" w:hAnsi="Times New Roman"/>
          <w:noProof/>
          <w:vertAlign w:val="superscript"/>
          <w:lang w:val="en-US"/>
        </w:rPr>
        <w:footnoteReference w:id="78"/>
      </w:r>
      <w:r>
        <w:rPr>
          <w:rFonts w:ascii="Times New Roman" w:hAnsi="Times New Roman"/>
        </w:rPr>
        <w:t>, “jāpamato”</w:t>
      </w:r>
      <w:r w:rsidRPr="008D031E">
        <w:rPr>
          <w:rFonts w:ascii="Times New Roman" w:hAnsi="Times New Roman"/>
          <w:noProof/>
          <w:vertAlign w:val="superscript"/>
          <w:lang w:val="en-US"/>
        </w:rPr>
        <w:footnoteReference w:id="79"/>
      </w:r>
      <w:r>
        <w:rPr>
          <w:rFonts w:ascii="Times New Roman" w:hAnsi="Times New Roman"/>
        </w:rPr>
        <w:t>, “rūpīgi jāfiksē”</w:t>
      </w:r>
      <w:r w:rsidRPr="008D031E">
        <w:rPr>
          <w:rFonts w:ascii="Times New Roman" w:hAnsi="Times New Roman"/>
          <w:noProof/>
          <w:vertAlign w:val="superscript"/>
          <w:lang w:val="en-US"/>
        </w:rPr>
        <w:footnoteReference w:id="80"/>
      </w:r>
      <w:r>
        <w:rPr>
          <w:rFonts w:ascii="Times New Roman" w:hAnsi="Times New Roman"/>
        </w:rPr>
        <w:t>, “arī jāpakļauj”</w:t>
      </w:r>
      <w:r w:rsidRPr="008D031E">
        <w:rPr>
          <w:rFonts w:ascii="Times New Roman" w:hAnsi="Times New Roman"/>
          <w:noProof/>
          <w:vertAlign w:val="superscript"/>
          <w:lang w:val="en-US"/>
        </w:rPr>
        <w:footnoteReference w:id="81"/>
      </w:r>
      <w:r>
        <w:rPr>
          <w:rFonts w:ascii="Times New Roman" w:hAnsi="Times New Roman"/>
        </w:rPr>
        <w:t>, “ir svarīgi, lai tiesiskās aizsardzības līdzeklis būtu”</w:t>
      </w:r>
      <w:r w:rsidR="004A10A3">
        <w:rPr>
          <w:rStyle w:val="FootnoteReference"/>
          <w:rFonts w:ascii="Times New Roman" w:hAnsi="Times New Roman"/>
        </w:rPr>
        <w:footnoteReference w:id="82"/>
      </w:r>
      <w:r>
        <w:rPr>
          <w:rFonts w:ascii="Times New Roman" w:hAnsi="Times New Roman"/>
        </w:rPr>
        <w:t>) un tos atzinusi par “fundamentāliem drošības pasākumiem”</w:t>
      </w:r>
      <w:r w:rsidRPr="008D031E">
        <w:rPr>
          <w:rFonts w:ascii="Times New Roman" w:hAnsi="Times New Roman"/>
          <w:noProof/>
          <w:vertAlign w:val="superscript"/>
          <w:lang w:val="en-US"/>
        </w:rPr>
        <w:footnoteReference w:id="83"/>
      </w:r>
      <w:r>
        <w:rPr>
          <w:rFonts w:ascii="Times New Roman" w:hAnsi="Times New Roman"/>
        </w:rPr>
        <w:t xml:space="preserve"> un pat “minimālajiem drošības pasākumiem”</w:t>
      </w:r>
      <w:r w:rsidRPr="008D031E">
        <w:rPr>
          <w:rFonts w:ascii="Times New Roman" w:hAnsi="Times New Roman"/>
          <w:noProof/>
          <w:vertAlign w:val="superscript"/>
          <w:lang w:val="en-US"/>
        </w:rPr>
        <w:footnoteReference w:id="84"/>
      </w:r>
      <w:r>
        <w:rPr>
          <w:rFonts w:ascii="Times New Roman" w:hAnsi="Times New Roman"/>
        </w:rPr>
        <w:t xml:space="preserve">. No otras puses, tā ir mazinājusi šo drošības pasākumu efektivitāti, veicot “visaptverošu režīma darbības </w:t>
      </w:r>
      <w:proofErr w:type="spellStart"/>
      <w:r>
        <w:rPr>
          <w:rFonts w:ascii="Times New Roman" w:hAnsi="Times New Roman"/>
        </w:rPr>
        <w:t>izvērtējumu</w:t>
      </w:r>
      <w:proofErr w:type="spellEnd"/>
      <w:r>
        <w:rPr>
          <w:rFonts w:ascii="Times New Roman" w:hAnsi="Times New Roman"/>
        </w:rPr>
        <w:t>”</w:t>
      </w:r>
      <w:r w:rsidRPr="008D031E">
        <w:rPr>
          <w:rFonts w:ascii="Times New Roman" w:hAnsi="Times New Roman"/>
          <w:noProof/>
          <w:vertAlign w:val="superscript"/>
          <w:lang w:val="en-US"/>
        </w:rPr>
        <w:footnoteReference w:id="85"/>
      </w:r>
      <w:r>
        <w:rPr>
          <w:rFonts w:ascii="Times New Roman" w:hAnsi="Times New Roman"/>
        </w:rPr>
        <w:t>, līdz ar to ļaujot panākt kompromisu starp drošības pasākumiem</w:t>
      </w:r>
      <w:r w:rsidRPr="008D031E">
        <w:rPr>
          <w:rFonts w:ascii="Times New Roman" w:hAnsi="Times New Roman"/>
          <w:noProof/>
          <w:vertAlign w:val="superscript"/>
          <w:lang w:val="en-US"/>
        </w:rPr>
        <w:footnoteReference w:id="86"/>
      </w:r>
      <w:r>
        <w:rPr>
          <w:rFonts w:ascii="Times New Roman" w:hAnsi="Times New Roman"/>
        </w:rPr>
        <w:t>. Šķiet, ka galu galā neviens no drošības pasākumiem nav obligāts, un Tiesas lietotā preskriptīvā valoda īsti neatbilst valsts tiesību sistēmas neapspriežamajām iezīmēm. Dažos Eiropas nostūros dedzīgiem slepenajiem dienestiem šķitīs vilinoši izmantot Tiesas izteikti brīvo juridisko standartu formulējumu, un nevainīgi cilvēki agrāk vai vēlāk no tā cietīs.</w:t>
      </w:r>
    </w:p>
    <w:p w14:paraId="42CD93A9" w14:textId="77777777" w:rsidR="00DA068F" w:rsidRPr="008D031E" w:rsidRDefault="00DA068F" w:rsidP="00DA068F">
      <w:pPr>
        <w:pStyle w:val="JuPara"/>
        <w:widowControl w:val="0"/>
        <w:ind w:firstLine="142"/>
        <w:rPr>
          <w:rFonts w:ascii="Times New Roman" w:hAnsi="Times New Roman"/>
          <w:noProof/>
          <w:lang w:val="en-US"/>
        </w:rPr>
      </w:pPr>
    </w:p>
    <w:p w14:paraId="63A689E4" w14:textId="77777777" w:rsidR="00DA068F" w:rsidRDefault="00DA068F" w:rsidP="00F8047C">
      <w:pPr>
        <w:pStyle w:val="JuHA"/>
        <w:widowControl w:val="0"/>
        <w:numPr>
          <w:ilvl w:val="0"/>
          <w:numId w:val="0"/>
        </w:numPr>
        <w:spacing w:before="0" w:beforeAutospacing="0" w:after="0"/>
        <w:outlineLvl w:val="9"/>
        <w:rPr>
          <w:rFonts w:ascii="Times New Roman" w:hAnsi="Times New Roman"/>
          <w:noProof/>
        </w:rPr>
      </w:pPr>
      <w:r>
        <w:rPr>
          <w:rFonts w:ascii="Times New Roman" w:hAnsi="Times New Roman"/>
        </w:rPr>
        <w:lastRenderedPageBreak/>
        <w:t>D. Sākotnējais secinājums</w:t>
      </w:r>
    </w:p>
    <w:p w14:paraId="0704E552" w14:textId="77777777" w:rsidR="00DA068F" w:rsidRPr="00EB5140" w:rsidRDefault="00DA068F" w:rsidP="00F8047C">
      <w:pPr>
        <w:pStyle w:val="JuPara"/>
        <w:keepNext/>
        <w:keepLines/>
        <w:widowControl w:val="0"/>
        <w:rPr>
          <w:lang w:val="en-US"/>
        </w:rPr>
      </w:pPr>
    </w:p>
    <w:p w14:paraId="61DE2712" w14:textId="77777777" w:rsidR="00DA068F" w:rsidRPr="008D031E" w:rsidRDefault="00DA068F" w:rsidP="00F8047C">
      <w:pPr>
        <w:pStyle w:val="JuPara"/>
        <w:keepNext/>
        <w:keepLines/>
        <w:widowControl w:val="0"/>
        <w:ind w:firstLine="142"/>
        <w:rPr>
          <w:rFonts w:ascii="Times New Roman" w:hAnsi="Times New Roman"/>
          <w:noProof/>
        </w:rPr>
      </w:pPr>
      <w:r>
        <w:rPr>
          <w:rFonts w:ascii="Times New Roman" w:hAnsi="Times New Roman"/>
        </w:rPr>
        <w:t>16. Tiesas ieskatā neatkarīgai iestādei,</w:t>
      </w:r>
      <w:r w:rsidRPr="008D031E">
        <w:rPr>
          <w:rFonts w:ascii="Times New Roman" w:hAnsi="Times New Roman"/>
          <w:noProof/>
          <w:vertAlign w:val="superscript"/>
          <w:lang w:val="en-US"/>
        </w:rPr>
        <w:footnoteReference w:id="87"/>
      </w:r>
      <w:r>
        <w:rPr>
          <w:rFonts w:ascii="Times New Roman" w:hAnsi="Times New Roman"/>
        </w:rPr>
        <w:t xml:space="preserve"> t. i., no izpildvaras neatkarīgai iestādei, jau sākotnēji ir jāizvērtē pārtveršanas nolūks, datu nesēju atlase</w:t>
      </w:r>
      <w:r w:rsidRPr="008D031E">
        <w:rPr>
          <w:rFonts w:ascii="Times New Roman" w:hAnsi="Times New Roman"/>
          <w:noProof/>
          <w:vertAlign w:val="superscript"/>
          <w:lang w:val="en-US"/>
        </w:rPr>
        <w:footnoteReference w:id="88"/>
      </w:r>
      <w:r>
        <w:rPr>
          <w:rFonts w:ascii="Times New Roman" w:hAnsi="Times New Roman"/>
        </w:rPr>
        <w:t xml:space="preserve"> un selektoru kategorijas,</w:t>
      </w:r>
      <w:r w:rsidRPr="008D031E">
        <w:rPr>
          <w:rFonts w:ascii="Times New Roman" w:hAnsi="Times New Roman"/>
          <w:noProof/>
          <w:vertAlign w:val="superscript"/>
          <w:lang w:val="en-US"/>
        </w:rPr>
        <w:footnoteReference w:id="89"/>
      </w:r>
      <w:r>
        <w:rPr>
          <w:rFonts w:ascii="Times New Roman" w:hAnsi="Times New Roman"/>
        </w:rPr>
        <w:t xml:space="preserve"> ņemot vērā nepieciešamības un proporcionalitātes principu. Īpaši problemātiska ir ar identificējamām personām saistītu spēcīgu selektoru atlase, jo, lai atlasītu un “izmantotu katru spēcīgo selektoru”,</w:t>
      </w:r>
      <w:r w:rsidRPr="008D031E">
        <w:rPr>
          <w:rFonts w:ascii="Times New Roman" w:hAnsi="Times New Roman"/>
          <w:noProof/>
          <w:vertAlign w:val="superscript"/>
          <w:lang w:val="en-US"/>
        </w:rPr>
        <w:footnoteReference w:id="90"/>
      </w:r>
      <w:r>
        <w:rPr>
          <w:rFonts w:ascii="Times New Roman" w:hAnsi="Times New Roman"/>
        </w:rPr>
        <w:t xml:space="preserve"> nav nepieciešama iepriekšēja neatkarīga atļauja. Tiesa uzskata, ka šajā lietā pietiek vien ar iekšējo atļauju kopā ar garantijām, ka pieprasījums par spēcīgo selektoru izmantošanu ir pamatots un iekšējais process ir “rūpīgi” fiksēts.</w:t>
      </w:r>
      <w:r w:rsidRPr="008D031E">
        <w:rPr>
          <w:rFonts w:ascii="Times New Roman" w:hAnsi="Times New Roman"/>
          <w:noProof/>
          <w:vertAlign w:val="superscript"/>
          <w:lang w:val="en-US"/>
        </w:rPr>
        <w:footnoteReference w:id="91"/>
      </w:r>
    </w:p>
    <w:p w14:paraId="228DC4CB"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17. Turklāt no izpildvaras neatkarīgai iestādei ir jāuzrauga masveida pārtveršanas rīkojuma izpilde, tostarp jebkura tā turpmāka atjaunošana, iegūto datu izmantošana, uzglabāšana, turpmāka pārraidīšana un dzēšana, detalizēti fiksējot procesu katrā pārtveršanas posmā, lai atvieglotu šo pārraudzību.</w:t>
      </w:r>
      <w:r w:rsidRPr="008D031E">
        <w:rPr>
          <w:rFonts w:ascii="Times New Roman" w:hAnsi="Times New Roman"/>
          <w:noProof/>
          <w:vertAlign w:val="superscript"/>
          <w:lang w:val="en-US"/>
        </w:rPr>
        <w:footnoteReference w:id="92"/>
      </w:r>
    </w:p>
    <w:p w14:paraId="33C35EC3" w14:textId="77777777" w:rsidR="00DA068F" w:rsidRDefault="00DA068F" w:rsidP="00DA068F">
      <w:pPr>
        <w:pStyle w:val="JuPara"/>
        <w:widowControl w:val="0"/>
        <w:ind w:firstLine="142"/>
        <w:rPr>
          <w:rFonts w:ascii="Times New Roman" w:hAnsi="Times New Roman"/>
          <w:noProof/>
        </w:rPr>
      </w:pPr>
      <w:r>
        <w:rPr>
          <w:rFonts w:ascii="Times New Roman" w:hAnsi="Times New Roman"/>
        </w:rPr>
        <w:t xml:space="preserve">18. Visbeidzot, no izpildvaras neatkarīgai iestādei ir jāveic visa procesa </w:t>
      </w:r>
      <w:proofErr w:type="spellStart"/>
      <w:r>
        <w:rPr>
          <w:rFonts w:ascii="Times New Roman" w:hAnsi="Times New Roman"/>
          <w:i/>
        </w:rPr>
        <w:t>ex</w:t>
      </w:r>
      <w:proofErr w:type="spellEnd"/>
      <w:r>
        <w:rPr>
          <w:rFonts w:ascii="Times New Roman" w:hAnsi="Times New Roman"/>
          <w:i/>
        </w:rPr>
        <w:t> post </w:t>
      </w:r>
      <w:proofErr w:type="spellStart"/>
      <w:r>
        <w:rPr>
          <w:rFonts w:ascii="Times New Roman" w:hAnsi="Times New Roman"/>
          <w:i/>
        </w:rPr>
        <w:t>facto</w:t>
      </w:r>
      <w:proofErr w:type="spellEnd"/>
      <w:r>
        <w:rPr>
          <w:rFonts w:ascii="Times New Roman" w:hAnsi="Times New Roman"/>
        </w:rPr>
        <w:t xml:space="preserve"> pārskatīšana, nodrošinot taisnīgu, uz argumentu apmaiņu vērstu procedūru un īstenojot saistošas pilnvaras pārtraukt prettiesisku pārtveršanu un noteikt iznīcināt prettiesiski iegūtus vai uzglabātus datus, kā arī novecojušus, neprecīzus un nesamērīgus datus.</w:t>
      </w:r>
      <w:r w:rsidRPr="008D031E">
        <w:rPr>
          <w:rFonts w:ascii="Times New Roman" w:hAnsi="Times New Roman"/>
          <w:noProof/>
          <w:vertAlign w:val="superscript"/>
          <w:lang w:val="en-US"/>
        </w:rPr>
        <w:footnoteReference w:id="93"/>
      </w:r>
    </w:p>
    <w:p w14:paraId="69172F76" w14:textId="77777777" w:rsidR="00DA068F" w:rsidRPr="008D031E" w:rsidRDefault="00DA068F" w:rsidP="00DA068F">
      <w:pPr>
        <w:pStyle w:val="JuPara"/>
        <w:widowControl w:val="0"/>
        <w:ind w:firstLine="142"/>
        <w:rPr>
          <w:rFonts w:ascii="Times New Roman" w:hAnsi="Times New Roman"/>
          <w:noProof/>
          <w:lang w:val="en-US"/>
        </w:rPr>
      </w:pPr>
    </w:p>
    <w:p w14:paraId="3984ACCA" w14:textId="77777777" w:rsidR="00DA068F" w:rsidRDefault="00DA068F" w:rsidP="00DA068F">
      <w:pPr>
        <w:pStyle w:val="JuHIRoman"/>
        <w:keepNext w:val="0"/>
        <w:keepLines w:val="0"/>
        <w:widowControl w:val="0"/>
        <w:numPr>
          <w:ilvl w:val="0"/>
          <w:numId w:val="0"/>
        </w:numPr>
        <w:spacing w:before="0" w:beforeAutospacing="0" w:after="0"/>
        <w:outlineLvl w:val="9"/>
        <w:rPr>
          <w:rFonts w:ascii="Times New Roman" w:hAnsi="Times New Roman"/>
          <w:caps w:val="0"/>
          <w:noProof/>
        </w:rPr>
      </w:pPr>
      <w:r>
        <w:rPr>
          <w:rFonts w:ascii="Times New Roman" w:hAnsi="Times New Roman"/>
          <w:caps w:val="0"/>
        </w:rPr>
        <w:t xml:space="preserve">III. </w:t>
      </w:r>
      <w:proofErr w:type="spellStart"/>
      <w:r>
        <w:rPr>
          <w:rFonts w:ascii="Times New Roman" w:hAnsi="Times New Roman"/>
          <w:i/>
          <w:iCs/>
          <w:caps w:val="0"/>
        </w:rPr>
        <w:t>PRO</w:t>
      </w:r>
      <w:proofErr w:type="spellEnd"/>
      <w:r>
        <w:rPr>
          <w:rFonts w:ascii="Times New Roman" w:hAnsi="Times New Roman"/>
          <w:i/>
          <w:iCs/>
          <w:caps w:val="0"/>
        </w:rPr>
        <w:t> PERSONA</w:t>
      </w:r>
      <w:r>
        <w:rPr>
          <w:rFonts w:ascii="Times New Roman" w:hAnsi="Times New Roman"/>
          <w:caps w:val="0"/>
        </w:rPr>
        <w:t xml:space="preserve"> MASVEIDA PĀRTVERŠANAS REŽĪMA </w:t>
      </w:r>
      <w:proofErr w:type="spellStart"/>
      <w:r>
        <w:rPr>
          <w:rFonts w:ascii="Times New Roman" w:hAnsi="Times New Roman"/>
          <w:caps w:val="0"/>
        </w:rPr>
        <w:t>IZVĒRTĒJUMS</w:t>
      </w:r>
      <w:proofErr w:type="spellEnd"/>
    </w:p>
    <w:p w14:paraId="31E5A2F1" w14:textId="77777777" w:rsidR="00DA068F" w:rsidRPr="003E252D" w:rsidRDefault="00DA068F" w:rsidP="00DA068F">
      <w:pPr>
        <w:pStyle w:val="JuPara"/>
        <w:widowControl w:val="0"/>
        <w:rPr>
          <w:lang w:val="en-US"/>
        </w:rPr>
      </w:pPr>
    </w:p>
    <w:p w14:paraId="51A8BE0F" w14:textId="77777777" w:rsidR="00DA068F" w:rsidRDefault="00DA068F" w:rsidP="00DA068F">
      <w:pPr>
        <w:pStyle w:val="JuHA"/>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A. Sakaru masveida pārtveršana</w:t>
      </w:r>
    </w:p>
    <w:p w14:paraId="51901C5E" w14:textId="77777777" w:rsidR="00DA068F" w:rsidRPr="003E252D" w:rsidRDefault="00DA068F" w:rsidP="00DA068F">
      <w:pPr>
        <w:pStyle w:val="JuPara"/>
        <w:widowControl w:val="0"/>
        <w:rPr>
          <w:lang w:val="en-US"/>
        </w:rPr>
      </w:pPr>
    </w:p>
    <w:p w14:paraId="209D109A"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19. Man šķiet, ka iepriekš minētais režīms nav pielīdzināms pietiekamam garantiju kopumam, ko paredz no 8. un 10. panta izrietošās tiesības. Manuprāt, ir pienācis laiks atteikties no tiesas atļaujas, pārraudzības un </w:t>
      </w:r>
      <w:proofErr w:type="spellStart"/>
      <w:r>
        <w:rPr>
          <w:rFonts w:ascii="Times New Roman" w:hAnsi="Times New Roman"/>
          <w:i/>
          <w:iCs/>
        </w:rPr>
        <w:t>ex</w:t>
      </w:r>
      <w:proofErr w:type="spellEnd"/>
      <w:r>
        <w:rPr>
          <w:rFonts w:ascii="Times New Roman" w:hAnsi="Times New Roman"/>
          <w:i/>
          <w:iCs/>
        </w:rPr>
        <w:t> post </w:t>
      </w:r>
      <w:proofErr w:type="spellStart"/>
      <w:r>
        <w:rPr>
          <w:rFonts w:ascii="Times New Roman" w:hAnsi="Times New Roman"/>
          <w:i/>
          <w:iCs/>
        </w:rPr>
        <w:t>facto</w:t>
      </w:r>
      <w:proofErr w:type="spellEnd"/>
      <w:r>
        <w:rPr>
          <w:rFonts w:ascii="Times New Roman" w:hAnsi="Times New Roman"/>
        </w:rPr>
        <w:t xml:space="preserve"> pārskatīšanas pamata garantijām masveida pārtveršanas jomā.</w:t>
      </w:r>
      <w:r w:rsidRPr="008D031E">
        <w:rPr>
          <w:rFonts w:ascii="Times New Roman" w:hAnsi="Times New Roman"/>
          <w:noProof/>
          <w:vertAlign w:val="superscript"/>
          <w:lang w:val="en-US"/>
        </w:rPr>
        <w:footnoteReference w:id="94"/>
      </w:r>
      <w:r>
        <w:rPr>
          <w:rFonts w:ascii="Times New Roman" w:hAnsi="Times New Roman"/>
        </w:rPr>
        <w:t xml:space="preserve"> Principā masveida pārtveršanas “no gala līdz galam” tiesas īstenotu pārraudzību nodrošina šā procesa ārkārtīgi ierobežojošais veids. Es nesaskatu iemeslu, kādēļ tiesiskai valstij nebūtu jāuzticas saviem tiesnešiem, galu galā – saviem gados vecākiem un </w:t>
      </w:r>
      <w:proofErr w:type="spellStart"/>
      <w:r>
        <w:rPr>
          <w:rFonts w:ascii="Times New Roman" w:hAnsi="Times New Roman"/>
        </w:rPr>
        <w:t>pieredzējušākiem</w:t>
      </w:r>
      <w:proofErr w:type="spellEnd"/>
      <w:r>
        <w:rPr>
          <w:rFonts w:ascii="Times New Roman" w:hAnsi="Times New Roman"/>
        </w:rPr>
        <w:t xml:space="preserve"> tiesnešiem, lai lemtu par šādiem jautājumiem. Ja vien Tiesa neuzskata, ka tiesu iestādēm līdzīgas struktūras ir neatkarīgākas nekā parastās tiesas... Manuprāt, tiesu iestādēm līdzīgu struktūru neatkarība nav pašsaprotama. Turklāt, ja parastajām tiesām ir kompetence atļaut, uzraudzīt un pārskatīt sakaru pārtveršanu ļoti sarežģītos kriminālprocesos, piemēram, organizētās noziedzības un terorisma izmeklēšanā, es nesaskatu iemeslu, kādēļ tām nav jābūt kompetentām pildīt tieši tādu pašu funkciju attiecībā uz masveida pārtveršanas procesa darbību. Tādējādi nav jāapšauba ne parasto tiesu neatkarība, ne kompetence, lai izveidotu Konvencijai atbilstošu drošības pasākumu sistēmu attiecībā uz masveida pārtveršanas režīmu. Valstij, kura uzskata, ka tās tiesu vara nav piemērota šo funkciju veikšanai, ir nopietna problēma ar tiesiskumu.</w:t>
      </w:r>
    </w:p>
    <w:p w14:paraId="44929E3D"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lastRenderedPageBreak/>
        <w:t>20. Protams, tiesas iejaukšanās nedrīkst būt panaceja.</w:t>
      </w:r>
      <w:r w:rsidRPr="008D031E">
        <w:rPr>
          <w:rFonts w:ascii="Times New Roman" w:hAnsi="Times New Roman"/>
          <w:noProof/>
          <w:vertAlign w:val="superscript"/>
          <w:lang w:val="en-US"/>
        </w:rPr>
        <w:footnoteReference w:id="95"/>
      </w:r>
      <w:r>
        <w:rPr>
          <w:rFonts w:ascii="Times New Roman" w:hAnsi="Times New Roman"/>
        </w:rPr>
        <w:t xml:space="preserve"> Ir acīmredzams, ka tiesas īstenota visa procesa pārraudzība būtu bezjēdzīga, ja uzraugāmo noziedzīgo nodarījumu un darbību kategorijas un pārtveršanas subjekti nebūtu noteikti valsts tiesību aktos ar nepieciešamo skaidrības un precizitātes pakāpi. Līdz ar to tiesas kontrolei ir jāietver konkrētu nesēju un spēcīgu selektoru atlase. Ar vārdu “konkrēts” es domāju atsevišķus nesējus un spēcīgus selektorus, nevis nesēju vai selektoru “šķiras” vai “kategorijas”, kas garantētu pārtveršanas iestādei absolūtu rīcības brīvību, lai rīkotos pēc savas patikas.</w:t>
      </w:r>
    </w:p>
    <w:p w14:paraId="47CD7023"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21. Dubultas drošības sistēmas gadījumā, kad tiesnesis izskata politiķa vai administratīvās amatpersonas iepriekš pieņemtos orderus, tiesas īstenotā pārraudzība nedrīkst paredzēt vienīgi iespēju atcelt administratīvo lēmumu, ja tiesnesis uzskata, ka politiķis vai administratīvā amatpersona ir rīkojusies nesaprātīgi. Tā nebūtu īsti tiesas atļauja, jo Konvencijā noteiktais nepieciešamības un proporcionalitātes </w:t>
      </w:r>
      <w:proofErr w:type="spellStart"/>
      <w:r>
        <w:rPr>
          <w:rFonts w:ascii="Times New Roman" w:hAnsi="Times New Roman"/>
        </w:rPr>
        <w:t>izvērtējums</w:t>
      </w:r>
      <w:proofErr w:type="spellEnd"/>
      <w:r>
        <w:rPr>
          <w:rFonts w:ascii="Times New Roman" w:hAnsi="Times New Roman"/>
        </w:rPr>
        <w:t xml:space="preserve"> ir stingrāks nekā vienkāršs saprātīguma </w:t>
      </w:r>
      <w:proofErr w:type="spellStart"/>
      <w:r>
        <w:rPr>
          <w:rFonts w:ascii="Times New Roman" w:hAnsi="Times New Roman"/>
        </w:rPr>
        <w:t>izvērtējums</w:t>
      </w:r>
      <w:proofErr w:type="spellEnd"/>
      <w:r>
        <w:rPr>
          <w:rFonts w:ascii="Times New Roman" w:hAnsi="Times New Roman"/>
        </w:rPr>
        <w:t>.</w:t>
      </w:r>
    </w:p>
    <w:p w14:paraId="2F53D0B9"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22. Kā esmu norādījis spriedumā lietā “</w:t>
      </w:r>
      <w:proofErr w:type="spellStart"/>
      <w:r>
        <w:rPr>
          <w:rFonts w:ascii="Times New Roman" w:hAnsi="Times New Roman"/>
        </w:rPr>
        <w:t>Zabo</w:t>
      </w:r>
      <w:proofErr w:type="spellEnd"/>
      <w:r>
        <w:rPr>
          <w:rFonts w:ascii="Times New Roman" w:hAnsi="Times New Roman"/>
        </w:rPr>
        <w:t xml:space="preserve"> un </w:t>
      </w:r>
      <w:proofErr w:type="spellStart"/>
      <w:r>
        <w:rPr>
          <w:rFonts w:ascii="Times New Roman" w:hAnsi="Times New Roman"/>
        </w:rPr>
        <w:t>Visija</w:t>
      </w:r>
      <w:proofErr w:type="spellEnd"/>
      <w:r>
        <w:rPr>
          <w:rFonts w:ascii="Times New Roman" w:hAnsi="Times New Roman"/>
        </w:rPr>
        <w:t>”, Konvencija nepieļauj “datu piezveju” vai “pētnieciskas” ekspedīcijas nemērķētas uzraudzības veidā, pamatojoties uz nemērķētiem selektoriem, vai tādas uzraudzības veidā, kas balstīta uz spēcīgajiem selektoriem un vērsta uz sakariem par izraudzīto pārtveršanas subjektu.</w:t>
      </w:r>
      <w:r w:rsidRPr="008D031E">
        <w:rPr>
          <w:rFonts w:ascii="Times New Roman" w:hAnsi="Times New Roman"/>
          <w:noProof/>
          <w:vertAlign w:val="superscript"/>
          <w:lang w:val="en-US"/>
        </w:rPr>
        <w:footnoteReference w:id="96"/>
      </w:r>
      <w:r>
        <w:rPr>
          <w:rFonts w:ascii="Times New Roman" w:hAnsi="Times New Roman"/>
        </w:rPr>
        <w:t xml:space="preserve"> Nav pieļaujams arī paplašināt pārtveršanas subjektu tīklu, izmantojot neskaidrākus meklēšanas vārdus. Vēlos atgādināt galveno iemeslu, kāpēc esmu nonācis pie šāda secinājuma. Atļaujot veikt nemērķētu masveida pārtveršanu, būtiski tiek mainīts veids, kā mēs uztveram izmeklēšanu un </w:t>
      </w:r>
      <w:proofErr w:type="spellStart"/>
      <w:r>
        <w:rPr>
          <w:rFonts w:ascii="Times New Roman" w:hAnsi="Times New Roman"/>
        </w:rPr>
        <w:t>izlūkdatu</w:t>
      </w:r>
      <w:proofErr w:type="spellEnd"/>
      <w:r>
        <w:rPr>
          <w:rFonts w:ascii="Times New Roman" w:hAnsi="Times New Roman"/>
        </w:rPr>
        <w:t xml:space="preserve"> vākšanu Eiropā, sākot ar identificējama aizdomās turamā izraudzīšanu līdz ikvienas personas uzskatīšanai par potenciālo aizdomās turamo, kura dati ir jāuzglabā, jāanalizē un jāprofilē.</w:t>
      </w:r>
      <w:r w:rsidRPr="008D031E">
        <w:rPr>
          <w:rFonts w:ascii="Times New Roman" w:hAnsi="Times New Roman"/>
          <w:noProof/>
          <w:vertAlign w:val="superscript"/>
          <w:lang w:val="en-US"/>
        </w:rPr>
        <w:footnoteReference w:id="97"/>
      </w:r>
      <w:r>
        <w:rPr>
          <w:rFonts w:ascii="Times New Roman" w:hAnsi="Times New Roman"/>
        </w:rPr>
        <w:t xml:space="preserve"> Protams, šādu izmaiņu ietekmi uz nevainīgām personām, galu galā, varētu mazināt vairāk vai mazāk elastīgu tiesnešu un reglamentējošu iestāžu grupa, kā arī vairāk vai mazāk izdevīgu likumu un prakses kodeksu kopums, taču uz šādiem pamatiem balstīta sabiedrība vairāk līdzinātos policijas kontrolētai valstij, nevis demokrātiskai sabiedrībai. Tas būtu pretrunā ar to, ko Eiropai vēlēja dibinātāji, 1950. gadā parakstot Konvenciju.</w:t>
      </w:r>
    </w:p>
    <w:p w14:paraId="3D7B1329"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23. Tādējādi jebkuram uzraudzības mērķim vienmēr jābūt iepriekš identificētam vai identificējamam, balstoties uz pamatotām aizdomām. Skaidrības labad jānorāda, ka masveida pārtveršanai jābūt pieļaujamai, vienīgi pamatojoties uz spēcīgiem selektoriem, kas vērsti uz sakariem no izraudzītā pārtveršanas subjekta un uz to, ja radušās pamatotas aizdomas, ka tas ir iesaistīts tādu juridiski noteiktu kategoriju smagos nodarījumos vai darbībās, kas kaitē valsts drošībai, taču ne vienmēr ir noziedzīgi.</w:t>
      </w:r>
      <w:r w:rsidRPr="008D031E">
        <w:rPr>
          <w:rFonts w:ascii="Times New Roman" w:hAnsi="Times New Roman"/>
          <w:noProof/>
          <w:vertAlign w:val="superscript"/>
          <w:lang w:val="en-US"/>
        </w:rPr>
        <w:footnoteReference w:id="98"/>
      </w:r>
    </w:p>
    <w:p w14:paraId="359AF073"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lastRenderedPageBreak/>
        <w:t>24. Kārtībai, kādā izdod tiesu orderus, jāattiecas arī uz atļauju uzraudzīt sakarus vai saistītos sakaru datus, tostarp slepenus un konfidenciālus datus, izņemot steidzamus gadījumus, kad kompetentais tiesnesis nav uzreiz pieejams, jo tad atļauju var dot prokurors, bet kompetentais tiesnesis to apstiprina vēlāk.</w:t>
      </w:r>
    </w:p>
    <w:p w14:paraId="14073C7A"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25. Valsts tiesību aktiem ir jāparedz konkrēts režīms, lai aizsargātu priviliģētu profesionālu saziņas aktu saturu attiecībā uz parlamenta deputātiem, ārstiem, advokātiem un žurnālistiem.</w:t>
      </w:r>
      <w:r w:rsidRPr="008D031E">
        <w:rPr>
          <w:rFonts w:ascii="Times New Roman" w:hAnsi="Times New Roman"/>
          <w:noProof/>
          <w:vertAlign w:val="superscript"/>
          <w:lang w:val="en-US"/>
        </w:rPr>
        <w:footnoteReference w:id="99"/>
      </w:r>
      <w:r>
        <w:rPr>
          <w:rFonts w:ascii="Times New Roman" w:hAnsi="Times New Roman"/>
        </w:rPr>
        <w:t xml:space="preserve"> Tā kā neselektīva, uz aizdomām nebalstīta sakaru masveida apkopošana varētu traucēt ar likumu aizsargātas un konfidenciālas informācijas aizsardzību, to var efektīvi garantēt vienīgi ar tiesas atļauju pārtvert šādus sakarus, ja tiek iesniegti pierādījumi, kas apstiprina pamatotas aizdomas par šo speciālistu izdarītajiem smagiem nodarījumiem vai rīcību, kas kaitē valsts drošībai.</w:t>
      </w:r>
      <w:r w:rsidRPr="008D031E">
        <w:rPr>
          <w:rFonts w:ascii="Times New Roman" w:hAnsi="Times New Roman"/>
          <w:noProof/>
          <w:vertAlign w:val="superscript"/>
          <w:lang w:val="en-US"/>
        </w:rPr>
        <w:footnoteReference w:id="100"/>
      </w:r>
      <w:r>
        <w:rPr>
          <w:rFonts w:ascii="Times New Roman" w:hAnsi="Times New Roman"/>
        </w:rPr>
        <w:t xml:space="preserve"> Turklāt ir nekavējoties jāiznīcina jebkādi šīm kategorijām pieskaitāmo speciālistu sakari, uz ko attiecas viņu profesionālais noslēpums, ja tie pārtverti nejauši. Valsts tiesību aktiem jāparedz arī absolūts aizliegums pārtvert sakarus, uz ko attiecas reliģisks noslēpums.</w:t>
      </w:r>
    </w:p>
    <w:p w14:paraId="74A7DFD8"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26. Tiesas īstenotajai pārraudzībai nav jāapstājas pārtveršanas darbības sākumā. Ja tiesneši nevarētu pārraudzīt pārtveršanas sistēmas darbību, tiesneša sākotnējo iejaukšanos varētu viegli ietekmēt un tā zaudētu efektivitāti, kļūstot par faktiski virtuālu, maldinošu drošības pasākumu. Gluži pretēji, tiesnesim ir jāpiedalās visā procesā, regulāri un uzmanīgi pārbaudot pārtveršanas rīkojuma nepieciešamību un samērīgumu, ņemot vērā iegūtos pārtveršanas datus. Ja vien tiesnesis nesaņem pastāvīgu atgriezenisko saiti no pārtverošās iestādes, pilnvarotais tiesnesis nezinās, kā šī atļauja faktiski tiek izmantota. Pārtveršanas rīkojuma neievērošanas gadījumā tiesnesim jābūt iespējai nekavējoties pārtraukt tā izmantošanu un noteikt pretlikumīgi iegūto datu iznīcināšanu. Tas pats jāattiecina uz gadījumiem, kad operācija vairs nav jāturpina, piemēram, tāpēc, ka uz iegūtajiem datiem neattiecas pārtveršanas rīkojumā minētie nolūki. Tikai tiesnesis, kuram ir tiesības pieņemt šādus saistošus lēmumus, var sniegt efektīvu garantiju par glabājamā materiāla likumību. Kopumā jānorāda, ka tiesnesim jāspēj regulāri pārskatīt sistēmas darbību, tostarp visus pārtveršanas un konfidenciālo pavaddokumentu reģistrus,</w:t>
      </w:r>
      <w:r w:rsidRPr="008D031E">
        <w:rPr>
          <w:rFonts w:ascii="Times New Roman" w:hAnsi="Times New Roman"/>
          <w:noProof/>
          <w:vertAlign w:val="superscript"/>
          <w:lang w:val="en-US"/>
        </w:rPr>
        <w:footnoteReference w:id="101"/>
      </w:r>
      <w:r>
        <w:rPr>
          <w:rFonts w:ascii="Times New Roman" w:hAnsi="Times New Roman"/>
        </w:rPr>
        <w:t xml:space="preserve"> lai izvairītos no liekas un nesamērīgas iejaukšanās 8. un 10. pantā noteiktajās tiesībās.</w:t>
      </w:r>
    </w:p>
    <w:p w14:paraId="67436544"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27. Visbeidzot, pārtveršanas rīkojuma izmantošanas </w:t>
      </w:r>
      <w:proofErr w:type="spellStart"/>
      <w:r>
        <w:rPr>
          <w:rFonts w:ascii="Times New Roman" w:hAnsi="Times New Roman"/>
          <w:i/>
          <w:iCs/>
        </w:rPr>
        <w:t>ex</w:t>
      </w:r>
      <w:proofErr w:type="spellEnd"/>
      <w:r>
        <w:rPr>
          <w:rFonts w:ascii="Times New Roman" w:hAnsi="Times New Roman"/>
          <w:i/>
          <w:iCs/>
        </w:rPr>
        <w:t> post</w:t>
      </w:r>
      <w:r>
        <w:rPr>
          <w:rFonts w:ascii="Times New Roman" w:hAnsi="Times New Roman"/>
        </w:rPr>
        <w:t xml:space="preserve"> pārskatīšana jāveic, arī informējot personu, uz kuru pārtveršana ir vērsta. Ja nav nekādu šķēršļu, lai informētu personu, kuras sakari ir pārtverti, tas ļautu viņam vai viņai taisnīgā un uz argumentu apmaiņu vērstā procedūrā apstrīdēt šādas pārtveršanas pamatojumu.</w:t>
      </w:r>
      <w:r w:rsidRPr="008D031E">
        <w:rPr>
          <w:rFonts w:ascii="Times New Roman" w:hAnsi="Times New Roman"/>
          <w:noProof/>
          <w:vertAlign w:val="superscript"/>
          <w:lang w:val="en-US"/>
        </w:rPr>
        <w:footnoteReference w:id="102"/>
      </w:r>
      <w:r>
        <w:rPr>
          <w:rFonts w:ascii="Times New Roman" w:hAnsi="Times New Roman"/>
        </w:rPr>
        <w:t xml:space="preserve"> Tāpēc, maigi izsakoties, ir ļoti apšaubāmi cerēt, ka sistēma, kas nav atkarīga no pārtveršanas subjekta informēšanas, “var sniegt labākas garantijas </w:t>
      </w:r>
      <w:r>
        <w:rPr>
          <w:rFonts w:ascii="Times New Roman" w:hAnsi="Times New Roman"/>
        </w:rPr>
        <w:lastRenderedPageBreak/>
        <w:t>atbilstošai procedūras norisei nekā sistēma, kuras pamatā ir informēšana”</w:t>
      </w:r>
      <w:r w:rsidRPr="008D031E">
        <w:rPr>
          <w:rFonts w:ascii="Times New Roman" w:hAnsi="Times New Roman"/>
          <w:noProof/>
          <w:vertAlign w:val="superscript"/>
          <w:lang w:val="en-US"/>
        </w:rPr>
        <w:footnoteReference w:id="103"/>
      </w:r>
      <w:r>
        <w:rPr>
          <w:rFonts w:ascii="Times New Roman" w:hAnsi="Times New Roman"/>
        </w:rPr>
        <w:t>. Nevienam pārtveršanas subjekta intereses nerūp vairāk kā pašam subjektam.</w:t>
      </w:r>
    </w:p>
    <w:p w14:paraId="1F90CF07"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28. Ja kāda iemesla, piemēram, valsts drošības interešu, dēļ nav iespējams informēt personu, kuras sakari ir pārtverti, personai reāli nav iespējas uzzināt par uzraudzības pasākumu, kas attiecībā uz viņu ir veikts. Šajā gadījumā kompetentajam tiesnesim obligāti ir jānosaka pienākums pēc savas iniciatīvas (</w:t>
      </w:r>
      <w:proofErr w:type="spellStart"/>
      <w:r>
        <w:rPr>
          <w:rFonts w:ascii="Times New Roman" w:hAnsi="Times New Roman"/>
          <w:i/>
          <w:iCs/>
        </w:rPr>
        <w:t>ex</w:t>
      </w:r>
      <w:proofErr w:type="spellEnd"/>
      <w:r>
        <w:rPr>
          <w:rFonts w:ascii="Times New Roman" w:hAnsi="Times New Roman"/>
          <w:i/>
          <w:iCs/>
        </w:rPr>
        <w:t> </w:t>
      </w:r>
      <w:proofErr w:type="spellStart"/>
      <w:r>
        <w:rPr>
          <w:rFonts w:ascii="Times New Roman" w:hAnsi="Times New Roman"/>
          <w:i/>
          <w:iCs/>
        </w:rPr>
        <w:t>proprio</w:t>
      </w:r>
      <w:proofErr w:type="spellEnd"/>
      <w:r>
        <w:rPr>
          <w:rFonts w:ascii="Times New Roman" w:hAnsi="Times New Roman"/>
          <w:i/>
          <w:iCs/>
        </w:rPr>
        <w:t> </w:t>
      </w:r>
      <w:proofErr w:type="spellStart"/>
      <w:r>
        <w:rPr>
          <w:rFonts w:ascii="Times New Roman" w:hAnsi="Times New Roman"/>
          <w:i/>
          <w:iCs/>
        </w:rPr>
        <w:t>motu</w:t>
      </w:r>
      <w:proofErr w:type="spellEnd"/>
      <w:r>
        <w:rPr>
          <w:rFonts w:ascii="Times New Roman" w:hAnsi="Times New Roman"/>
        </w:rPr>
        <w:t>) vai pēc trešās personas (piemēram, prokurora) iniciatīvas izvērtēt veidu, kādā pārtveršanas rīkojums bija izpildīts, lai noteiktu, vai attiecīgie dati bija apkopoti likumīgi un vai tie ir jāsaglabā vai jāiznīcina; pārtveršanas subjekts tad jāpārstāv advokātam, kurš specializējies privātās dzīves neaizskaramības jomā.</w:t>
      </w:r>
    </w:p>
    <w:p w14:paraId="1162F38C" w14:textId="77777777" w:rsidR="00DA068F" w:rsidRDefault="00DA068F" w:rsidP="00DA068F">
      <w:pPr>
        <w:pStyle w:val="JuPara"/>
        <w:widowControl w:val="0"/>
        <w:ind w:firstLine="142"/>
        <w:rPr>
          <w:rFonts w:ascii="Times New Roman" w:hAnsi="Times New Roman"/>
          <w:noProof/>
        </w:rPr>
      </w:pPr>
      <w:r>
        <w:rPr>
          <w:rFonts w:ascii="Times New Roman" w:hAnsi="Times New Roman"/>
        </w:rPr>
        <w:t xml:space="preserve">29. Turklāt, kas nav mazsvarīgi, cilvēku un finanšu pārraudzības resursiem un iespējām ir jāatbilst pārraudzīto darbību apjomam, citādi visa sistēma būs tikai fasāde, kas aptvers pārtverošo iestāžu </w:t>
      </w:r>
      <w:proofErr w:type="spellStart"/>
      <w:r>
        <w:rPr>
          <w:rFonts w:ascii="Times New Roman" w:hAnsi="Times New Roman"/>
        </w:rPr>
        <w:t>diskrecionāro</w:t>
      </w:r>
      <w:proofErr w:type="spellEnd"/>
      <w:r>
        <w:rPr>
          <w:rFonts w:ascii="Times New Roman" w:hAnsi="Times New Roman"/>
        </w:rPr>
        <w:t xml:space="preserve"> administratīvo procesu.</w:t>
      </w:r>
    </w:p>
    <w:p w14:paraId="1C25F796" w14:textId="77777777" w:rsidR="00DA068F" w:rsidRPr="008D031E" w:rsidRDefault="00DA068F" w:rsidP="00DA068F">
      <w:pPr>
        <w:pStyle w:val="JuPara"/>
        <w:widowControl w:val="0"/>
        <w:ind w:firstLine="142"/>
        <w:rPr>
          <w:rFonts w:ascii="Times New Roman" w:hAnsi="Times New Roman"/>
          <w:noProof/>
          <w:lang w:val="en-US"/>
        </w:rPr>
      </w:pPr>
    </w:p>
    <w:p w14:paraId="7797F208" w14:textId="77777777" w:rsidR="00DA068F" w:rsidRDefault="00DA068F" w:rsidP="00DA068F">
      <w:pPr>
        <w:pStyle w:val="JuHA"/>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B. Pārtverto datu apmaiņa ar ārvalstu izlūkdienestiem</w:t>
      </w:r>
    </w:p>
    <w:p w14:paraId="1B2D141F" w14:textId="77777777" w:rsidR="00DA068F" w:rsidRPr="001057BF" w:rsidRDefault="00DA068F" w:rsidP="00DA068F">
      <w:pPr>
        <w:pStyle w:val="JuPara"/>
        <w:widowControl w:val="0"/>
        <w:rPr>
          <w:lang w:val="en-US"/>
        </w:rPr>
      </w:pPr>
    </w:p>
    <w:p w14:paraId="2B699C70"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30. Tiesa ir noteikusi zemāku aizsardzības standartu masveida pārtveršanas veidā iegūtu datu pārsūtīšanai ārvalstu izlūkdienestiem. Pirmkārt, pārsūtošajai valstij nav pienākuma pārbaudīt, vai saņēmējā valstī ir nodrošināts līdzvērtīgs aizsardzības līmenis. Turklāt pirms katras pārsūtīšanas nav jāpieprasa garantijas, ka saņēmēja valsts, nododot datus, ievēros drošības pasākumus, kas spēj novērst pilnvaru ļaunprātīgu izmantošanu un nesamērīgu iejaukšanos.</w:t>
      </w:r>
      <w:r w:rsidRPr="008D031E">
        <w:rPr>
          <w:rFonts w:ascii="Times New Roman" w:hAnsi="Times New Roman"/>
          <w:noProof/>
          <w:vertAlign w:val="superscript"/>
          <w:lang w:val="en-US"/>
        </w:rPr>
        <w:footnoteReference w:id="104"/>
      </w:r>
      <w:r>
        <w:rPr>
          <w:rFonts w:ascii="Times New Roman" w:hAnsi="Times New Roman"/>
        </w:rPr>
        <w:t xml:space="preserve"> Tādējādi Tiesa nav izslēgusi iespēju, ka dati pastāvīgi masveidā ir pārsūtīti ārvalstu izlūkdienestam tikai vienā konkrētā nolūkā. Ņemot vērā šo sistēmu, kurai raksturīga izteikta rīcības brīvība, nav skaidrs, kas ir Tiesas pieprasītās “neatkarīgās kontroles” pamatā.</w:t>
      </w:r>
      <w:r w:rsidRPr="008D031E">
        <w:rPr>
          <w:rFonts w:ascii="Times New Roman" w:hAnsi="Times New Roman"/>
          <w:noProof/>
          <w:vertAlign w:val="superscript"/>
          <w:lang w:val="en-US"/>
        </w:rPr>
        <w:footnoteReference w:id="105"/>
      </w:r>
      <w:r>
        <w:rPr>
          <w:rFonts w:ascii="Times New Roman" w:hAnsi="Times New Roman"/>
        </w:rPr>
        <w:t xml:space="preserve"> Kāds ir neatkarīgas kontroles nolūks, ja nav nepieciešams izvērtēt saņēmējas valsts ieviestos drošības pasākumus (ņemot vērā, ka tie “garantēs materiāla drošu uzglabāšanu un ierobežos tā tālāku izpaušanu”</w:t>
      </w:r>
      <w:r w:rsidRPr="008D031E">
        <w:rPr>
          <w:rFonts w:ascii="Times New Roman" w:hAnsi="Times New Roman"/>
          <w:noProof/>
          <w:vertAlign w:val="superscript"/>
          <w:lang w:val="en-US"/>
        </w:rPr>
        <w:footnoteReference w:id="106"/>
      </w:r>
      <w:r>
        <w:rPr>
          <w:rFonts w:ascii="Times New Roman" w:hAnsi="Times New Roman"/>
        </w:rPr>
        <w:t>) pirms katras datu pārsūtīšanas reizes? Vai neatkarīga kontrole attiecas vienīgi uz gadījumiem, kad “ir skaidrs, ka tiek pārsūtīts materiāls, attiecībā uz kuru jāievēro īpaša konfidencialitāte, piemēram, žurnālistikas materiāls”</w:t>
      </w:r>
      <w:r w:rsidRPr="008D031E">
        <w:rPr>
          <w:rFonts w:ascii="Times New Roman" w:hAnsi="Times New Roman"/>
          <w:noProof/>
          <w:vertAlign w:val="superscript"/>
          <w:lang w:val="en-US"/>
        </w:rPr>
        <w:footnoteReference w:id="107"/>
      </w:r>
      <w:r>
        <w:rPr>
          <w:rFonts w:ascii="Times New Roman" w:hAnsi="Times New Roman"/>
        </w:rPr>
        <w:t>? Kam par to jābūt skaidrībai – datus pārsūtošajam izlūkdienestam vai tiesnesim? Vai ir jebkāda atšķirība starp neatkarīgu kontroli un neatkarīgu atļauju? Lietojot tik neskaidru valodu, Tiesa, šķiet, apzināti mazina uz datu pārsūtīšanu attiecināmo drošības pasākumu efektivitāti.</w:t>
      </w:r>
    </w:p>
    <w:p w14:paraId="0DA350DA" w14:textId="77777777" w:rsidR="00DA068F" w:rsidRDefault="00DA068F" w:rsidP="00DA068F">
      <w:pPr>
        <w:pStyle w:val="JuPara"/>
        <w:widowControl w:val="0"/>
        <w:ind w:firstLine="142"/>
        <w:rPr>
          <w:rFonts w:ascii="Times New Roman" w:hAnsi="Times New Roman"/>
          <w:noProof/>
        </w:rPr>
      </w:pPr>
      <w:r>
        <w:rPr>
          <w:rFonts w:ascii="Times New Roman" w:hAnsi="Times New Roman"/>
        </w:rPr>
        <w:t xml:space="preserve">31. Es nesaskatu iemeslu šādai Konvencijā paredzētā aizsardzības mehānisma efektivitātes mazināšanai gadījumos, kad tiek koplietoti masveida dati, un šādu iemeslu nemin arī Tiesa. Saskaņā ar konsolidētajiem Eiropas Padomes un Eiropas Savienības standartiem personas datu apmaiņa ir jāīsteno vienīgi ar </w:t>
      </w:r>
      <w:proofErr w:type="spellStart"/>
      <w:r>
        <w:rPr>
          <w:rFonts w:ascii="Times New Roman" w:hAnsi="Times New Roman"/>
        </w:rPr>
        <w:t>trešām</w:t>
      </w:r>
      <w:proofErr w:type="spellEnd"/>
      <w:r>
        <w:rPr>
          <w:rFonts w:ascii="Times New Roman" w:hAnsi="Times New Roman"/>
        </w:rPr>
        <w:t xml:space="preserve"> valstīm, kas nodrošina aizsardzības līmeni, kurš būtībā ir līdzvērtīgs tam, kas tiek garantēts attiecīgi Eiropas Padomē un Eiropas Savienībā.</w:t>
      </w:r>
      <w:r w:rsidRPr="008D031E">
        <w:rPr>
          <w:rFonts w:ascii="Times New Roman" w:hAnsi="Times New Roman"/>
          <w:noProof/>
          <w:vertAlign w:val="superscript"/>
          <w:lang w:val="en-US"/>
        </w:rPr>
        <w:footnoteReference w:id="108"/>
      </w:r>
      <w:r>
        <w:rPr>
          <w:rFonts w:ascii="Times New Roman" w:hAnsi="Times New Roman"/>
        </w:rPr>
        <w:t xml:space="preserve"> Tiesas īstenotajai pārraudzībai šeit jābūt tikpat stingrai kā jebkurā citā gadījumā. Šī rūpīgā tiesas īstenotā pārraudzība ir īpaši pamatota, ja Eiropas Padomes dalībvalsts </w:t>
      </w:r>
      <w:proofErr w:type="spellStart"/>
      <w:r>
        <w:rPr>
          <w:rFonts w:ascii="Times New Roman" w:hAnsi="Times New Roman"/>
        </w:rPr>
        <w:t>pārsūta</w:t>
      </w:r>
      <w:proofErr w:type="spellEnd"/>
      <w:r>
        <w:rPr>
          <w:rFonts w:ascii="Times New Roman" w:hAnsi="Times New Roman"/>
        </w:rPr>
        <w:t xml:space="preserve"> datus uz valsti, </w:t>
      </w:r>
      <w:r>
        <w:rPr>
          <w:rFonts w:ascii="Times New Roman" w:hAnsi="Times New Roman"/>
        </w:rPr>
        <w:lastRenderedPageBreak/>
        <w:t>kas nav dalībvalsts, tāda acīmredzama iemesla dēļ, ka šo datu turpmāka izmantošana valstī, kas nav dalībvalsts, neietilpst Tiesas jurisdikcijā. Šādu tiesas īstenotu pārraudzību nav jāierobežo ar “trešās personas principu”, kas liedz izlūkošanas aģentūrai, kura saņēma informāciju no ārvalstu izlūkdienesta, to koplietot ar trešo personu bez informācijas nosūtītāja piekrišanas.</w:t>
      </w:r>
      <w:r w:rsidRPr="008D031E">
        <w:rPr>
          <w:rFonts w:ascii="Times New Roman" w:hAnsi="Times New Roman"/>
          <w:noProof/>
          <w:vertAlign w:val="superscript"/>
          <w:lang w:val="en-US"/>
        </w:rPr>
        <w:footnoteReference w:id="109"/>
      </w:r>
    </w:p>
    <w:p w14:paraId="4D617EB5" w14:textId="77777777" w:rsidR="00DA068F" w:rsidRPr="008D031E" w:rsidRDefault="00DA068F" w:rsidP="00DA068F">
      <w:pPr>
        <w:pStyle w:val="JuPara"/>
        <w:widowControl w:val="0"/>
        <w:ind w:firstLine="142"/>
        <w:rPr>
          <w:rFonts w:ascii="Times New Roman" w:hAnsi="Times New Roman"/>
          <w:noProof/>
          <w:lang w:val="en-US"/>
        </w:rPr>
      </w:pPr>
    </w:p>
    <w:p w14:paraId="3046B27B" w14:textId="77777777" w:rsidR="00DA068F" w:rsidRDefault="00DA068F" w:rsidP="00DA068F">
      <w:pPr>
        <w:pStyle w:val="JuHA"/>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C. Saistīto sakaru datu masveida pārtveršana</w:t>
      </w:r>
    </w:p>
    <w:p w14:paraId="2339F286" w14:textId="77777777" w:rsidR="00DA068F" w:rsidRPr="00840801" w:rsidRDefault="00DA068F" w:rsidP="00DA068F">
      <w:pPr>
        <w:pStyle w:val="JuPara"/>
        <w:widowControl w:val="0"/>
        <w:rPr>
          <w:lang w:val="en-US"/>
        </w:rPr>
      </w:pPr>
    </w:p>
    <w:p w14:paraId="0119D05B" w14:textId="77777777" w:rsidR="00DA068F" w:rsidRDefault="00DA068F" w:rsidP="00DA068F">
      <w:pPr>
        <w:pStyle w:val="JuPara"/>
        <w:widowControl w:val="0"/>
        <w:ind w:firstLine="142"/>
        <w:rPr>
          <w:rFonts w:ascii="Times New Roman" w:hAnsi="Times New Roman"/>
          <w:noProof/>
        </w:rPr>
      </w:pPr>
      <w:r>
        <w:rPr>
          <w:rFonts w:ascii="Times New Roman" w:hAnsi="Times New Roman"/>
        </w:rPr>
        <w:t>32. Visbeidzot, Tiesa ir atzinusi, ka saistīto sakaru datu masveida pārtveršana var radīt ļoti nopietnu iejaukšanos personas tiesībās,</w:t>
      </w:r>
      <w:r w:rsidRPr="008D031E">
        <w:rPr>
          <w:rFonts w:ascii="Times New Roman" w:hAnsi="Times New Roman"/>
          <w:noProof/>
          <w:vertAlign w:val="superscript"/>
          <w:lang w:val="en-US"/>
        </w:rPr>
        <w:footnoteReference w:id="110"/>
      </w:r>
      <w:r>
        <w:rPr>
          <w:rFonts w:ascii="Times New Roman" w:hAnsi="Times New Roman"/>
        </w:rPr>
        <w:t xml:space="preserve"> taču šajā lietā tā nav noteikusi tāda paša apmēra aizsardzību.</w:t>
      </w:r>
      <w:r w:rsidRPr="008D031E">
        <w:rPr>
          <w:rFonts w:ascii="Times New Roman" w:hAnsi="Times New Roman"/>
          <w:noProof/>
          <w:vertAlign w:val="superscript"/>
          <w:lang w:val="en-US"/>
        </w:rPr>
        <w:footnoteReference w:id="111"/>
      </w:r>
      <w:r>
        <w:rPr>
          <w:rFonts w:ascii="Times New Roman" w:hAnsi="Times New Roman"/>
        </w:rPr>
        <w:t xml:space="preserve"> No vienas puses, tā uzliek par pienākumu nodrošināt, lai “būtu ieviesti iepriekš minētie drošības pasākumi”, atsaucoties uz tiem, kas norādīti šā sprieduma 361. punktā, taču, no otras puses, tā atzīst, ka dalībvalstīm ir rīcības brīvība izvēlēties, kādus konkrētus drošības pasākumus ieviest valsts tiesību aktos, jo “tiesību normām, kas reglamentē [saistīto sakaru datu] apstrādi, ne vienmēr visos aspektos jābūt identiskām satura apstrādi regulējošajām tiesību normām”.</w:t>
      </w:r>
      <w:r w:rsidRPr="008D031E">
        <w:rPr>
          <w:rFonts w:ascii="Times New Roman" w:hAnsi="Times New Roman"/>
          <w:noProof/>
          <w:vertAlign w:val="superscript"/>
          <w:lang w:val="en-US"/>
        </w:rPr>
        <w:footnoteReference w:id="112"/>
      </w:r>
      <w:r>
        <w:rPr>
          <w:rFonts w:ascii="Times New Roman" w:hAnsi="Times New Roman"/>
        </w:rPr>
        <w:t xml:space="preserve"> Tiesas neskaidrais arguments ir tik vispārīgs, ka tas nesniedz norādes par valstīm, kurām “iepriekš minētie drošības pasākumi” attiecībā uz saistīto sakaru datu masveida pārtveršanu ir obligāti, ja tādi vispār noteikti. Līdz ar to Tiesas vilcināšanās nemazina risku, ka tiks analizēta visa personas sociālā dzīve, ko pati Tiesa ir konstatējusi.</w:t>
      </w:r>
    </w:p>
    <w:p w14:paraId="565AE615" w14:textId="77777777" w:rsidR="00DA068F" w:rsidRPr="008D031E" w:rsidRDefault="00DA068F" w:rsidP="00DA068F">
      <w:pPr>
        <w:pStyle w:val="JuPara"/>
        <w:widowControl w:val="0"/>
        <w:ind w:firstLine="142"/>
        <w:rPr>
          <w:rFonts w:ascii="Times New Roman" w:hAnsi="Times New Roman"/>
          <w:noProof/>
          <w:lang w:val="en-US"/>
        </w:rPr>
      </w:pPr>
    </w:p>
    <w:p w14:paraId="7839A837" w14:textId="77777777" w:rsidR="00DA068F" w:rsidRDefault="00DA068F" w:rsidP="00DA068F">
      <w:pPr>
        <w:pStyle w:val="JuHA"/>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D. Sākotnējais secinājums</w:t>
      </w:r>
    </w:p>
    <w:p w14:paraId="56F7438F" w14:textId="77777777" w:rsidR="00DA068F" w:rsidRPr="00840801" w:rsidRDefault="00DA068F" w:rsidP="00DA068F">
      <w:pPr>
        <w:pStyle w:val="JuPara"/>
        <w:widowControl w:val="0"/>
        <w:rPr>
          <w:lang w:val="en-US"/>
        </w:rPr>
      </w:pPr>
    </w:p>
    <w:p w14:paraId="66E7AF45"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33. Es nepiekrītu tam, ka “valstīm ir plaša rīcības brīvība, lemjot par to, kāda veida pārtveršanas režīms ir nepieciešams šiem nolūkiem [valsts drošības un citu svarīgu valsts interešu aizsardzībai pret nopietniem ārējiem draudiem], [bet] izmantojot šādu sistēmu, tām piešķirtajai rīcības brīvībai ir jābūt šaurākai”</w:t>
      </w:r>
      <w:r w:rsidRPr="008D031E">
        <w:rPr>
          <w:rFonts w:ascii="Times New Roman" w:hAnsi="Times New Roman"/>
          <w:noProof/>
          <w:vertAlign w:val="superscript"/>
          <w:lang w:val="en-US"/>
        </w:rPr>
        <w:footnoteReference w:id="113"/>
      </w:r>
      <w:r>
        <w:rPr>
          <w:rFonts w:ascii="Times New Roman" w:hAnsi="Times New Roman"/>
        </w:rPr>
        <w:t>. Ja valsts rīcības brīvības robežas ir plašas, pat visstingrākā to kārtības nodrošināšana garantē vienīgi minimālu aizsardzību pret pilnvaru ļaunprātīgu izmantošanu. Rīcības brīvībai jābūt vienādai gan sistēmas izstrādē, gan tās izmantošanā, un šī rīcības brīvība ir neliela, ņemot vērā attiecīgo valsts uzraudzības pilnvaru īpašo nopietnību, šo pilnvaru ļaunprātīgas izmantošanas augsta līmeņa risku un, ko nevajadzētu piemirst, Eiropas kopējo nostāju attiecībā uz nemērķētas masveida pārtveršanas aizliegumu. Šo risku vēl jo vairāk palielina dažu valstu valdības, kuras pārmērīgi nodarbojas ar drošības jautājumu risināšanu un nerimstoši vēlas iegūt datus, attiecībā uz kuriem tagad ir pieejami tehnoloģiski līdzekļi digitālo sakaru kontrolēšanai visā pasaulē.</w:t>
      </w:r>
    </w:p>
    <w:p w14:paraId="613BE09A"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34. Kopumā jānorāda, ka valsts tiesību aktiem ir jābūt pietiekami skaidriem, lai tie sniegtu fiziskām un juridiskām personām</w:t>
      </w:r>
      <w:r w:rsidRPr="008D031E">
        <w:rPr>
          <w:rFonts w:ascii="Times New Roman" w:hAnsi="Times New Roman"/>
          <w:noProof/>
          <w:vertAlign w:val="superscript"/>
          <w:lang w:val="en-US"/>
        </w:rPr>
        <w:footnoteReference w:id="114"/>
      </w:r>
      <w:r>
        <w:rPr>
          <w:rFonts w:ascii="Times New Roman" w:hAnsi="Times New Roman"/>
        </w:rPr>
        <w:t xml:space="preserve"> atbilstošu priekšstatu par obligātajiem nosacījumiem un kompleksajām procedūrām, saskaņā ar kurām iestādes ir pilnvarotas veikt masveida </w:t>
      </w:r>
      <w:r>
        <w:rPr>
          <w:rFonts w:ascii="Times New Roman" w:hAnsi="Times New Roman"/>
        </w:rPr>
        <w:lastRenderedPageBreak/>
        <w:t>pārtveršanu; šajos nosacījumos un procedūrās ietver turpmāk minēto</w:t>
      </w:r>
      <w:r w:rsidRPr="008D031E">
        <w:rPr>
          <w:rFonts w:ascii="Times New Roman" w:hAnsi="Times New Roman"/>
          <w:noProof/>
          <w:vertAlign w:val="superscript"/>
          <w:lang w:val="en-US"/>
        </w:rPr>
        <w:footnoteReference w:id="115"/>
      </w:r>
      <w:r>
        <w:rPr>
          <w:rFonts w:ascii="Times New Roman" w:hAnsi="Times New Roman"/>
        </w:rPr>
        <w:t>:</w:t>
      </w:r>
    </w:p>
    <w:p w14:paraId="51245B6C" w14:textId="77777777" w:rsidR="00DA068F" w:rsidRPr="008D031E" w:rsidRDefault="00DA068F" w:rsidP="00DA068F">
      <w:pPr>
        <w:pStyle w:val="JuPara"/>
        <w:widowControl w:val="0"/>
        <w:ind w:left="142" w:firstLine="142"/>
        <w:rPr>
          <w:rFonts w:ascii="Times New Roman" w:hAnsi="Times New Roman"/>
          <w:noProof/>
        </w:rPr>
      </w:pPr>
      <w:r>
        <w:rPr>
          <w:rFonts w:ascii="Times New Roman" w:hAnsi="Times New Roman"/>
        </w:rPr>
        <w:t>a) tāda pamatojuma definīciju, kas var attaisnot pārtveršanas rīkojuma pieņemšanu, piemēram, tādu darbību atklāšana, kas apdraud valsts drošību, vai nopietnu noziegumu novēršana, atklāšana vai izmeklēšana, kad nodarījumiem, kas var būt par pamatu pārtveršanas veikšanai, jāatbilst vai nu uzskaitītajiem konkrētajiem smagajiem nodarījumiem, vai arī vispārīgi nodarījumiem, par kuriem paredzēts sods ar brīvības atņemšanu uz četriem vai vairāk gadiem;</w:t>
      </w:r>
      <w:r w:rsidRPr="008D031E">
        <w:rPr>
          <w:rFonts w:ascii="Times New Roman" w:hAnsi="Times New Roman"/>
          <w:noProof/>
          <w:vertAlign w:val="superscript"/>
          <w:lang w:val="en-US"/>
        </w:rPr>
        <w:footnoteReference w:id="116"/>
      </w:r>
    </w:p>
    <w:p w14:paraId="7AD41227" w14:textId="77777777" w:rsidR="00DA068F" w:rsidRDefault="00DA068F" w:rsidP="00DA068F">
      <w:pPr>
        <w:pStyle w:val="JuPara"/>
        <w:widowControl w:val="0"/>
        <w:ind w:left="142" w:firstLine="142"/>
        <w:rPr>
          <w:rFonts w:ascii="Times New Roman" w:hAnsi="Times New Roman"/>
          <w:noProof/>
        </w:rPr>
      </w:pPr>
      <w:r>
        <w:rPr>
          <w:rFonts w:ascii="Times New Roman" w:hAnsi="Times New Roman"/>
        </w:rPr>
        <w:t>b) pārtveršanas subjektu, citiem vārdiem, personu vai iestāžu, kuru sakarus var pārtvert, definīcija:</w:t>
      </w:r>
    </w:p>
    <w:p w14:paraId="34C94CCB" w14:textId="77777777" w:rsidR="00DA068F" w:rsidRPr="008D031E" w:rsidRDefault="00DA068F" w:rsidP="00DA068F">
      <w:pPr>
        <w:pStyle w:val="JuPara"/>
        <w:widowControl w:val="0"/>
        <w:ind w:firstLine="0"/>
        <w:rPr>
          <w:rFonts w:ascii="Times New Roman" w:hAnsi="Times New Roman"/>
          <w:noProof/>
          <w:lang w:val="en-US"/>
        </w:rPr>
      </w:pPr>
    </w:p>
    <w:p w14:paraId="2993CD82" w14:textId="77777777" w:rsidR="00DA068F" w:rsidRPr="008D031E" w:rsidRDefault="00DA068F" w:rsidP="00DA068F">
      <w:pPr>
        <w:pStyle w:val="JuQuot"/>
        <w:widowControl w:val="0"/>
        <w:spacing w:before="0" w:after="0"/>
        <w:ind w:left="426"/>
        <w:rPr>
          <w:rFonts w:ascii="Times New Roman" w:hAnsi="Times New Roman"/>
          <w:noProof/>
          <w:sz w:val="24"/>
        </w:rPr>
      </w:pPr>
      <w:r>
        <w:rPr>
          <w:rFonts w:ascii="Times New Roman" w:hAnsi="Times New Roman"/>
          <w:sz w:val="24"/>
        </w:rPr>
        <w:t>i) stingrs aizliegums veikt datu piezveju vai pētnieciskas ekspedīcijas, lai atklātu “vēl nezināmo”, tostarp jebkāda veida nemērķētu uzraudzību, balstoties uz nespecifiskajiem selektoriem;</w:t>
      </w:r>
    </w:p>
    <w:p w14:paraId="263FABD3" w14:textId="77777777" w:rsidR="00DA068F" w:rsidRPr="008D031E" w:rsidRDefault="00DA068F" w:rsidP="00DA068F">
      <w:pPr>
        <w:pStyle w:val="JuQuot"/>
        <w:widowControl w:val="0"/>
        <w:spacing w:before="0" w:after="0"/>
        <w:ind w:left="426"/>
        <w:rPr>
          <w:rFonts w:ascii="Times New Roman" w:hAnsi="Times New Roman"/>
          <w:noProof/>
          <w:sz w:val="24"/>
        </w:rPr>
      </w:pPr>
      <w:r>
        <w:rPr>
          <w:rFonts w:ascii="Times New Roman" w:hAnsi="Times New Roman"/>
          <w:sz w:val="24"/>
        </w:rPr>
        <w:t>ii) stingrs aizliegums izmantot spēcīgos selektorus, kas vērsti uz sakariem par izraudzīto pārtveršanas subjektu;</w:t>
      </w:r>
    </w:p>
    <w:p w14:paraId="73AF8EF2" w14:textId="77777777" w:rsidR="00DA068F" w:rsidRDefault="00DA068F" w:rsidP="00DA068F">
      <w:pPr>
        <w:pStyle w:val="JuQuot"/>
        <w:widowControl w:val="0"/>
        <w:spacing w:before="0" w:after="0"/>
        <w:ind w:left="426"/>
        <w:rPr>
          <w:rFonts w:ascii="Times New Roman" w:hAnsi="Times New Roman"/>
          <w:noProof/>
          <w:sz w:val="24"/>
        </w:rPr>
      </w:pPr>
      <w:r>
        <w:rPr>
          <w:rFonts w:ascii="Times New Roman" w:hAnsi="Times New Roman"/>
          <w:sz w:val="24"/>
        </w:rPr>
        <w:t>iii) atļauja izmantot spēcīgos selektorus, kas vērsti uz sakariem no izraudzītā pārtveršanas subjekta un uz to, ja radušās aizdomas, ka pārtveršanas subjekts ir iesaistīts iepriekš minētajos nodarījumos vai darbībās;</w:t>
      </w:r>
    </w:p>
    <w:p w14:paraId="310BDD31" w14:textId="77777777" w:rsidR="00DA068F" w:rsidRPr="008D031E" w:rsidRDefault="00DA068F" w:rsidP="00DA068F">
      <w:pPr>
        <w:pStyle w:val="JuQuot"/>
        <w:widowControl w:val="0"/>
        <w:spacing w:before="0" w:after="0"/>
        <w:ind w:left="142"/>
        <w:rPr>
          <w:rFonts w:ascii="Times New Roman" w:hAnsi="Times New Roman"/>
          <w:noProof/>
          <w:sz w:val="24"/>
          <w:lang w:val="en-US"/>
        </w:rPr>
      </w:pPr>
    </w:p>
    <w:p w14:paraId="2F315D45" w14:textId="77777777" w:rsidR="00DA068F" w:rsidRPr="008D031E" w:rsidRDefault="00DA068F" w:rsidP="00DA068F">
      <w:pPr>
        <w:pStyle w:val="JuPara"/>
        <w:widowControl w:val="0"/>
        <w:ind w:left="142" w:firstLine="142"/>
        <w:rPr>
          <w:rFonts w:ascii="Times New Roman" w:hAnsi="Times New Roman"/>
          <w:noProof/>
        </w:rPr>
      </w:pPr>
      <w:r>
        <w:rPr>
          <w:rFonts w:ascii="Times New Roman" w:hAnsi="Times New Roman"/>
        </w:rPr>
        <w:t xml:space="preserve">c) to elektronisko sakaru veidu katalogu, ko var pārtvert, piemēram, tālrunis, telefakss, fakss, e-pasts, informācijas meklēšana “Google”, interneta pārlūkošana, sociālie tīkli un </w:t>
      </w:r>
      <w:proofErr w:type="spellStart"/>
      <w:r>
        <w:rPr>
          <w:rFonts w:ascii="Times New Roman" w:hAnsi="Times New Roman"/>
        </w:rPr>
        <w:t>mākoņkrātuve</w:t>
      </w:r>
      <w:proofErr w:type="spellEnd"/>
      <w:r>
        <w:rPr>
          <w:rFonts w:ascii="Times New Roman" w:hAnsi="Times New Roman"/>
        </w:rPr>
        <w:t>;</w:t>
      </w:r>
    </w:p>
    <w:p w14:paraId="13D3E9F3" w14:textId="77777777" w:rsidR="00DA068F" w:rsidRDefault="00DA068F" w:rsidP="00DA068F">
      <w:pPr>
        <w:pStyle w:val="JuPara"/>
        <w:widowControl w:val="0"/>
        <w:ind w:left="142" w:firstLine="142"/>
        <w:rPr>
          <w:rFonts w:ascii="Times New Roman" w:hAnsi="Times New Roman"/>
          <w:noProof/>
        </w:rPr>
      </w:pPr>
      <w:r>
        <w:rPr>
          <w:rFonts w:ascii="Times New Roman" w:hAnsi="Times New Roman"/>
        </w:rPr>
        <w:t>d) prasību par nepieciešamības principa ievērošanu, kas nosaka, ka:</w:t>
      </w:r>
    </w:p>
    <w:p w14:paraId="43C2C680" w14:textId="77777777" w:rsidR="00DA068F" w:rsidRPr="008D031E" w:rsidRDefault="00DA068F" w:rsidP="00DA068F">
      <w:pPr>
        <w:pStyle w:val="JuPara"/>
        <w:widowControl w:val="0"/>
        <w:ind w:left="142" w:firstLine="0"/>
        <w:rPr>
          <w:rFonts w:ascii="Times New Roman" w:hAnsi="Times New Roman"/>
          <w:noProof/>
          <w:lang w:val="en-US"/>
        </w:rPr>
      </w:pPr>
    </w:p>
    <w:p w14:paraId="2245F152" w14:textId="77777777" w:rsidR="00DA068F" w:rsidRPr="008D031E" w:rsidRDefault="00DA068F" w:rsidP="00DA068F">
      <w:pPr>
        <w:pStyle w:val="JuQuot"/>
        <w:widowControl w:val="0"/>
        <w:spacing w:before="0" w:after="0"/>
        <w:ind w:left="426"/>
        <w:rPr>
          <w:rFonts w:ascii="Times New Roman" w:hAnsi="Times New Roman"/>
          <w:noProof/>
          <w:sz w:val="24"/>
        </w:rPr>
      </w:pPr>
      <w:r>
        <w:rPr>
          <w:rFonts w:ascii="Times New Roman" w:hAnsi="Times New Roman"/>
          <w:sz w:val="24"/>
        </w:rPr>
        <w:t>i) iejaukšanās pārtveršanas subjektu tiesībās ir pienācīgi jāveic izvirzītajos nolūkos un nepārsniedz šo mērķu sasniegšanai nepieciešamo;</w:t>
      </w:r>
    </w:p>
    <w:p w14:paraId="7047A1F1" w14:textId="77777777" w:rsidR="00DA068F" w:rsidRPr="008D031E" w:rsidRDefault="00DA068F" w:rsidP="00DA068F">
      <w:pPr>
        <w:pStyle w:val="JuQuot"/>
        <w:widowControl w:val="0"/>
        <w:spacing w:before="0" w:after="0"/>
        <w:ind w:left="426"/>
        <w:rPr>
          <w:rFonts w:ascii="Times New Roman" w:hAnsi="Times New Roman"/>
          <w:noProof/>
          <w:sz w:val="24"/>
        </w:rPr>
      </w:pPr>
      <w:r>
        <w:rPr>
          <w:rFonts w:ascii="Times New Roman" w:hAnsi="Times New Roman"/>
          <w:sz w:val="24"/>
        </w:rPr>
        <w:t>ii) pārtveršana ir jāpamato vienīgi kā galējais līdzeklis, proti, ja nav pieejami citi līdzekļi pierādījumu vai informācijas iegūšanai, jo citu mazāk ierobežojošu metožu izmantošana ir izrādījusies neveiksmīga vai, izņēmuma kārtā, ja citas mazāk ierobežojošas metodes tiek uzskatītas par mazāk veiksmīgām;</w:t>
      </w:r>
    </w:p>
    <w:p w14:paraId="071C7B83" w14:textId="77777777" w:rsidR="00DA068F" w:rsidRPr="008D031E" w:rsidRDefault="00DA068F" w:rsidP="00DA068F">
      <w:pPr>
        <w:pStyle w:val="JuQuot"/>
        <w:widowControl w:val="0"/>
        <w:spacing w:before="0" w:after="0"/>
        <w:ind w:left="426"/>
        <w:rPr>
          <w:rFonts w:ascii="Times New Roman" w:hAnsi="Times New Roman"/>
          <w:noProof/>
          <w:sz w:val="24"/>
        </w:rPr>
      </w:pPr>
      <w:r>
        <w:rPr>
          <w:rFonts w:ascii="Times New Roman" w:hAnsi="Times New Roman"/>
          <w:sz w:val="24"/>
        </w:rPr>
        <w:t>iii) pārtveršanai jābūt pielāgotai tā, lai pēc iespējas izvairītos no tādu personu vai iestāžu iesaistīšanas, kas nav atbildīgas par iepriekš minētajiem nodarījumiem vai darbībām, un</w:t>
      </w:r>
    </w:p>
    <w:p w14:paraId="6ABB05DD" w14:textId="77777777" w:rsidR="00DA068F" w:rsidRDefault="00DA068F" w:rsidP="00DA068F">
      <w:pPr>
        <w:pStyle w:val="JuQuot"/>
        <w:widowControl w:val="0"/>
        <w:spacing w:before="0" w:after="0"/>
        <w:ind w:left="426"/>
        <w:rPr>
          <w:rFonts w:ascii="Times New Roman" w:hAnsi="Times New Roman"/>
          <w:noProof/>
          <w:sz w:val="24"/>
        </w:rPr>
      </w:pPr>
      <w:r>
        <w:rPr>
          <w:rFonts w:ascii="Times New Roman" w:hAnsi="Times New Roman"/>
          <w:sz w:val="24"/>
        </w:rPr>
        <w:t>iv) pārtveršana nekavējoties jāpārtrauc, kad tā vairs neatbilst izvirzītajiem nolūkiem;</w:t>
      </w:r>
    </w:p>
    <w:p w14:paraId="23DCCEBF" w14:textId="77777777" w:rsidR="00DA068F" w:rsidRPr="008D031E" w:rsidRDefault="00DA068F" w:rsidP="00DA068F">
      <w:pPr>
        <w:pStyle w:val="JuQuot"/>
        <w:widowControl w:val="0"/>
        <w:spacing w:before="0" w:after="0"/>
        <w:ind w:left="284"/>
        <w:rPr>
          <w:rFonts w:ascii="Times New Roman" w:hAnsi="Times New Roman"/>
          <w:noProof/>
          <w:sz w:val="24"/>
          <w:lang w:val="en-US"/>
        </w:rPr>
      </w:pPr>
    </w:p>
    <w:p w14:paraId="68F43898" w14:textId="77777777" w:rsidR="00DA068F" w:rsidRDefault="00DA068F" w:rsidP="00DA068F">
      <w:pPr>
        <w:pStyle w:val="JuPara"/>
        <w:widowControl w:val="0"/>
        <w:ind w:left="142" w:firstLine="0"/>
        <w:rPr>
          <w:rFonts w:ascii="Times New Roman" w:hAnsi="Times New Roman"/>
          <w:noProof/>
        </w:rPr>
      </w:pPr>
      <w:r>
        <w:rPr>
          <w:rFonts w:ascii="Times New Roman" w:hAnsi="Times New Roman"/>
        </w:rPr>
        <w:t>e) prasību par samērīguma principa ievērošanu, kas nosaka, ka:</w:t>
      </w:r>
    </w:p>
    <w:p w14:paraId="7C2C1CCC" w14:textId="77777777" w:rsidR="00DA068F" w:rsidRPr="008D031E" w:rsidRDefault="00DA068F" w:rsidP="00DA068F">
      <w:pPr>
        <w:pStyle w:val="JuPara"/>
        <w:widowControl w:val="0"/>
        <w:ind w:left="142" w:firstLine="142"/>
        <w:rPr>
          <w:rFonts w:ascii="Times New Roman" w:hAnsi="Times New Roman"/>
          <w:noProof/>
          <w:lang w:val="en-US"/>
        </w:rPr>
      </w:pPr>
    </w:p>
    <w:p w14:paraId="4359A86F" w14:textId="77777777" w:rsidR="00DA068F" w:rsidRPr="008D031E" w:rsidRDefault="00DA068F" w:rsidP="00DA068F">
      <w:pPr>
        <w:pStyle w:val="JuQuot"/>
        <w:widowControl w:val="0"/>
        <w:spacing w:before="0" w:after="0"/>
        <w:ind w:left="284"/>
        <w:rPr>
          <w:rFonts w:ascii="Times New Roman" w:hAnsi="Times New Roman"/>
          <w:noProof/>
          <w:sz w:val="24"/>
        </w:rPr>
      </w:pPr>
      <w:r>
        <w:rPr>
          <w:rFonts w:ascii="Times New Roman" w:hAnsi="Times New Roman"/>
          <w:sz w:val="24"/>
        </w:rPr>
        <w:t>i) ir jāatrod taisnīgs līdzsvars starp pārtveršanas subjektu konkurējošām tiesībām un izvirzītajiem nolūkiem saskaņā ar principu – jo smagāki ir iepriekš minētie nodarījumi vai darbības un to pagātnes vai nākotnes sekas, jo nopietnāka un apjomīgāka pārtveršana var tikt veikta, un</w:t>
      </w:r>
    </w:p>
    <w:p w14:paraId="619F7A92" w14:textId="77777777" w:rsidR="00DA068F" w:rsidRDefault="00DA068F" w:rsidP="00DA068F">
      <w:pPr>
        <w:pStyle w:val="JuQuot"/>
        <w:widowControl w:val="0"/>
        <w:spacing w:before="0" w:after="0"/>
        <w:ind w:left="284"/>
        <w:rPr>
          <w:rFonts w:ascii="Times New Roman" w:hAnsi="Times New Roman"/>
          <w:noProof/>
          <w:sz w:val="24"/>
        </w:rPr>
      </w:pPr>
      <w:r>
        <w:rPr>
          <w:rFonts w:ascii="Times New Roman" w:hAnsi="Times New Roman"/>
          <w:sz w:val="24"/>
        </w:rPr>
        <w:t>ii) jebkurā gadījumā pārtveršanai ir jānodrošina, ka tiek ievērota pārtveršanas subjektu tiesību būtība (vai minimālā būtība), piemēram, fizisko personu tiesības uz intīmās privātās dzīves neaizskaramību. Pārtveršana ir jāpārtrauc, tiklīdz kļūst skaidrs, ka tā aizskar privātās dzīves neaizskaramības būtību;</w:t>
      </w:r>
    </w:p>
    <w:p w14:paraId="3E2E217C" w14:textId="77777777" w:rsidR="00DA068F" w:rsidRPr="008D031E" w:rsidRDefault="00DA068F" w:rsidP="00DA068F">
      <w:pPr>
        <w:pStyle w:val="JuQuot"/>
        <w:widowControl w:val="0"/>
        <w:spacing w:before="0" w:after="0"/>
        <w:ind w:left="284"/>
        <w:rPr>
          <w:rFonts w:ascii="Times New Roman" w:hAnsi="Times New Roman"/>
          <w:noProof/>
          <w:sz w:val="24"/>
          <w:lang w:val="en-US"/>
        </w:rPr>
      </w:pPr>
    </w:p>
    <w:p w14:paraId="0AC761D9" w14:textId="77777777" w:rsidR="00DA068F" w:rsidRPr="008D031E" w:rsidRDefault="00DA068F" w:rsidP="00DA068F">
      <w:pPr>
        <w:pStyle w:val="JuPara"/>
        <w:widowControl w:val="0"/>
        <w:ind w:left="142" w:firstLine="142"/>
        <w:rPr>
          <w:rFonts w:ascii="Times New Roman" w:hAnsi="Times New Roman"/>
          <w:noProof/>
        </w:rPr>
      </w:pPr>
      <w:r>
        <w:rPr>
          <w:rFonts w:ascii="Times New Roman" w:hAnsi="Times New Roman"/>
        </w:rPr>
        <w:t>f) pārtveršanas rīkojuma ilguma ierobežojumu, ko var pagarināt vienu vai vairākas reizes pēc operācijas rezultātu novērtējuma, bet jebkurā gadījumā ar maksimālo laika ierobežojumu, kas noteikts visai operācijai;</w:t>
      </w:r>
    </w:p>
    <w:p w14:paraId="1E018678" w14:textId="77777777" w:rsidR="00DA068F" w:rsidRDefault="00DA068F" w:rsidP="00DA068F">
      <w:pPr>
        <w:pStyle w:val="JuPara"/>
        <w:widowControl w:val="0"/>
        <w:ind w:left="142" w:firstLine="142"/>
        <w:rPr>
          <w:rFonts w:ascii="Times New Roman" w:hAnsi="Times New Roman"/>
          <w:noProof/>
        </w:rPr>
      </w:pPr>
      <w:r>
        <w:rPr>
          <w:rFonts w:ascii="Times New Roman" w:hAnsi="Times New Roman"/>
        </w:rPr>
        <w:t>g) tiesas pārraudzību “no gala līdz galam”, kurai jāietver:</w:t>
      </w:r>
    </w:p>
    <w:p w14:paraId="3B906BC2" w14:textId="77777777" w:rsidR="00DA068F" w:rsidRPr="008D031E" w:rsidRDefault="00DA068F" w:rsidP="00DA068F">
      <w:pPr>
        <w:pStyle w:val="JuPara"/>
        <w:widowControl w:val="0"/>
        <w:ind w:left="142" w:firstLine="142"/>
        <w:rPr>
          <w:rFonts w:ascii="Times New Roman" w:hAnsi="Times New Roman"/>
          <w:noProof/>
          <w:lang w:val="en-US"/>
        </w:rPr>
      </w:pPr>
    </w:p>
    <w:p w14:paraId="2E82B3DD" w14:textId="77777777" w:rsidR="00DA068F" w:rsidRPr="008D031E" w:rsidRDefault="00DA068F" w:rsidP="00DA068F">
      <w:pPr>
        <w:pStyle w:val="JuQuot"/>
        <w:widowControl w:val="0"/>
        <w:spacing w:before="0" w:after="0"/>
        <w:ind w:left="426"/>
        <w:rPr>
          <w:rFonts w:ascii="Times New Roman" w:hAnsi="Times New Roman"/>
          <w:noProof/>
          <w:sz w:val="24"/>
        </w:rPr>
      </w:pPr>
      <w:r>
        <w:rPr>
          <w:rFonts w:ascii="Times New Roman" w:hAnsi="Times New Roman"/>
          <w:sz w:val="24"/>
        </w:rPr>
        <w:t>i) pārtveršanas atļauja, tostarp konkrētie pārtveramie nesēji un izmantojamie spēcīgie selektori;</w:t>
      </w:r>
    </w:p>
    <w:p w14:paraId="673AFC93" w14:textId="77777777" w:rsidR="00DA068F" w:rsidRPr="008D031E" w:rsidRDefault="00DA068F" w:rsidP="00DA068F">
      <w:pPr>
        <w:pStyle w:val="JuQuot"/>
        <w:widowControl w:val="0"/>
        <w:spacing w:before="0" w:after="0"/>
        <w:ind w:left="426"/>
        <w:rPr>
          <w:rFonts w:ascii="Times New Roman" w:hAnsi="Times New Roman"/>
          <w:noProof/>
          <w:sz w:val="24"/>
        </w:rPr>
      </w:pPr>
      <w:r>
        <w:rPr>
          <w:rFonts w:ascii="Times New Roman" w:hAnsi="Times New Roman"/>
          <w:sz w:val="24"/>
        </w:rPr>
        <w:t xml:space="preserve">ii) regulāra pārtveršanas rīkojuma izpildes kontrole pietiekami īsos intervālos, tostarp pārtveršanas rīkojuma termiņa pagarināšana un iegūto datu pārsūtīšana </w:t>
      </w:r>
      <w:proofErr w:type="spellStart"/>
      <w:r>
        <w:rPr>
          <w:rFonts w:ascii="Times New Roman" w:hAnsi="Times New Roman"/>
          <w:sz w:val="24"/>
        </w:rPr>
        <w:t>trešām</w:t>
      </w:r>
      <w:proofErr w:type="spellEnd"/>
      <w:r>
        <w:rPr>
          <w:rFonts w:ascii="Times New Roman" w:hAnsi="Times New Roman"/>
          <w:sz w:val="24"/>
        </w:rPr>
        <w:t xml:space="preserve"> personām, un</w:t>
      </w:r>
    </w:p>
    <w:p w14:paraId="5CF884B1" w14:textId="77777777" w:rsidR="00DA068F" w:rsidRDefault="00DA068F" w:rsidP="00DA068F">
      <w:pPr>
        <w:pStyle w:val="JuQuot"/>
        <w:widowControl w:val="0"/>
        <w:spacing w:before="0" w:after="0"/>
        <w:ind w:left="426"/>
        <w:rPr>
          <w:rFonts w:ascii="Times New Roman" w:hAnsi="Times New Roman"/>
          <w:noProof/>
          <w:sz w:val="24"/>
        </w:rPr>
      </w:pPr>
      <w:r>
        <w:rPr>
          <w:rFonts w:ascii="Times New Roman" w:hAnsi="Times New Roman"/>
          <w:sz w:val="24"/>
        </w:rPr>
        <w:t>iii) pārtveršanas procesa un pārtverto datu</w:t>
      </w:r>
      <w:r>
        <w:rPr>
          <w:rFonts w:ascii="Times New Roman" w:hAnsi="Times New Roman"/>
          <w:i/>
          <w:iCs/>
          <w:sz w:val="24"/>
        </w:rPr>
        <w:t xml:space="preserve"> </w:t>
      </w:r>
      <w:proofErr w:type="spellStart"/>
      <w:r>
        <w:rPr>
          <w:rFonts w:ascii="Times New Roman" w:hAnsi="Times New Roman"/>
          <w:i/>
          <w:iCs/>
          <w:sz w:val="24"/>
        </w:rPr>
        <w:t>ex</w:t>
      </w:r>
      <w:proofErr w:type="spellEnd"/>
      <w:r>
        <w:rPr>
          <w:rFonts w:ascii="Times New Roman" w:hAnsi="Times New Roman"/>
          <w:i/>
          <w:iCs/>
          <w:sz w:val="24"/>
        </w:rPr>
        <w:t> post </w:t>
      </w:r>
      <w:proofErr w:type="spellStart"/>
      <w:r>
        <w:rPr>
          <w:rFonts w:ascii="Times New Roman" w:hAnsi="Times New Roman"/>
          <w:i/>
          <w:iCs/>
          <w:sz w:val="24"/>
        </w:rPr>
        <w:t>facto</w:t>
      </w:r>
      <w:proofErr w:type="spellEnd"/>
      <w:r>
        <w:rPr>
          <w:rFonts w:ascii="Times New Roman" w:hAnsi="Times New Roman"/>
          <w:sz w:val="24"/>
        </w:rPr>
        <w:t xml:space="preserve"> pārskatīšana;</w:t>
      </w:r>
    </w:p>
    <w:p w14:paraId="45076CB7" w14:textId="77777777" w:rsidR="00DA068F" w:rsidRPr="008D031E" w:rsidRDefault="00DA068F" w:rsidP="00DA068F">
      <w:pPr>
        <w:pStyle w:val="JuQuot"/>
        <w:widowControl w:val="0"/>
        <w:spacing w:before="0" w:after="0"/>
        <w:ind w:left="426" w:firstLine="0"/>
        <w:rPr>
          <w:rFonts w:ascii="Times New Roman" w:hAnsi="Times New Roman"/>
          <w:noProof/>
          <w:sz w:val="24"/>
          <w:lang w:val="en-US"/>
        </w:rPr>
      </w:pPr>
    </w:p>
    <w:p w14:paraId="48E29055" w14:textId="77777777" w:rsidR="00DA068F" w:rsidRPr="008D031E" w:rsidRDefault="00DA068F" w:rsidP="00DA068F">
      <w:pPr>
        <w:pStyle w:val="JuPara"/>
        <w:widowControl w:val="0"/>
        <w:ind w:left="142" w:firstLine="142"/>
        <w:rPr>
          <w:rFonts w:ascii="Times New Roman" w:hAnsi="Times New Roman"/>
          <w:noProof/>
        </w:rPr>
      </w:pPr>
      <w:r>
        <w:rPr>
          <w:rFonts w:ascii="Times New Roman" w:hAnsi="Times New Roman"/>
        </w:rPr>
        <w:t>h) steidzamos gadījumos prokurors var izdot īpašu pārtveršanas rīkojumu, taču tas īsā laikposmā jāapstiprina tiesnesim;</w:t>
      </w:r>
    </w:p>
    <w:p w14:paraId="36C7DD47" w14:textId="77777777" w:rsidR="00DA068F" w:rsidRPr="008D031E" w:rsidRDefault="00DA068F" w:rsidP="00DA068F">
      <w:pPr>
        <w:pStyle w:val="JuPara"/>
        <w:widowControl w:val="0"/>
        <w:ind w:left="142" w:firstLine="142"/>
        <w:rPr>
          <w:rFonts w:ascii="Times New Roman" w:hAnsi="Times New Roman"/>
          <w:noProof/>
        </w:rPr>
      </w:pPr>
      <w:r>
        <w:rPr>
          <w:rFonts w:ascii="Times New Roman" w:hAnsi="Times New Roman"/>
        </w:rPr>
        <w:t>i) procedūru, kas jāievēro, pārbaudot, izmantojot, uzglabājot un iznīcinot iegūtos datus, ar detalizētu aprakstu par tiesas īstenotās pārraudzības apmēru pārtveršanas laikā un pēc tās beigām un ar dokumentāciju par datu dzēšanas galvenajiem posmiem, ciktāl tas nepieciešams tiesas īstenotajai pārraudzībai;</w:t>
      </w:r>
    </w:p>
    <w:p w14:paraId="2C80C2D0" w14:textId="77777777" w:rsidR="00DA068F" w:rsidRDefault="00DA068F" w:rsidP="00DA068F">
      <w:pPr>
        <w:pStyle w:val="JuPara"/>
        <w:widowControl w:val="0"/>
        <w:ind w:left="142" w:firstLine="142"/>
        <w:rPr>
          <w:rFonts w:ascii="Times New Roman" w:hAnsi="Times New Roman"/>
          <w:noProof/>
        </w:rPr>
      </w:pPr>
      <w:r>
        <w:rPr>
          <w:rFonts w:ascii="Times New Roman" w:hAnsi="Times New Roman"/>
        </w:rPr>
        <w:t>j) izpildāmos nosacījumus un veicamos piesardzības pasākumus, apmainoties ar pārtvertajiem datiem ar ārvalstu izlūkdienestiem, proti:</w:t>
      </w:r>
    </w:p>
    <w:p w14:paraId="62BE6D1E" w14:textId="77777777" w:rsidR="00DA068F" w:rsidRPr="008D031E" w:rsidRDefault="00DA068F" w:rsidP="00DA068F">
      <w:pPr>
        <w:pStyle w:val="JuPara"/>
        <w:widowControl w:val="0"/>
        <w:ind w:left="142" w:firstLine="142"/>
        <w:rPr>
          <w:rFonts w:ascii="Times New Roman" w:hAnsi="Times New Roman"/>
          <w:noProof/>
          <w:lang w:val="en-US"/>
        </w:rPr>
      </w:pPr>
    </w:p>
    <w:p w14:paraId="3E6D03A5" w14:textId="77777777" w:rsidR="00DA068F" w:rsidRPr="008D031E" w:rsidRDefault="00DA068F" w:rsidP="00DA068F">
      <w:pPr>
        <w:pStyle w:val="JuQuot"/>
        <w:widowControl w:val="0"/>
        <w:spacing w:before="0" w:after="0"/>
        <w:ind w:left="426"/>
        <w:rPr>
          <w:rFonts w:ascii="Times New Roman" w:hAnsi="Times New Roman"/>
          <w:noProof/>
          <w:sz w:val="24"/>
        </w:rPr>
      </w:pPr>
      <w:r>
        <w:rPr>
          <w:rFonts w:ascii="Times New Roman" w:hAnsi="Times New Roman"/>
          <w:sz w:val="24"/>
        </w:rPr>
        <w:t>i) absolūts aizliegums izmantot ārpakalpojumus uzraudzības darbībām, apejot valsts tiesību aktos paredzētos noteikumus;</w:t>
      </w:r>
    </w:p>
    <w:p w14:paraId="7731B26C" w14:textId="77777777" w:rsidR="00DA068F" w:rsidRPr="008D031E" w:rsidRDefault="00DA068F" w:rsidP="00DA068F">
      <w:pPr>
        <w:pStyle w:val="JuQuot"/>
        <w:widowControl w:val="0"/>
        <w:spacing w:before="0" w:after="0"/>
        <w:ind w:left="426"/>
        <w:rPr>
          <w:rFonts w:ascii="Times New Roman" w:hAnsi="Times New Roman"/>
          <w:noProof/>
          <w:sz w:val="24"/>
        </w:rPr>
      </w:pPr>
      <w:r>
        <w:rPr>
          <w:rFonts w:ascii="Times New Roman" w:hAnsi="Times New Roman"/>
          <w:sz w:val="24"/>
        </w:rPr>
        <w:t>ii) absolūts aizliegums izlūkošanas iestādei, kas saņēmusi datus no ārvalstu izlūkdienesta, koplietot tos ar trešo personu bez tās nosūtītāja piekrišanas, ar šo noteikumu neierobežojot saņēmējas valsts tiesneša piekļuvi pārsūtītajiem datiem;</w:t>
      </w:r>
    </w:p>
    <w:p w14:paraId="4896BF23" w14:textId="77777777" w:rsidR="00DA068F" w:rsidRPr="008D031E" w:rsidRDefault="00DA068F" w:rsidP="00DA068F">
      <w:pPr>
        <w:pStyle w:val="JuQuot"/>
        <w:widowControl w:val="0"/>
        <w:spacing w:before="0" w:after="0"/>
        <w:ind w:left="426"/>
        <w:rPr>
          <w:rFonts w:ascii="Times New Roman" w:hAnsi="Times New Roman"/>
          <w:noProof/>
          <w:sz w:val="24"/>
        </w:rPr>
      </w:pPr>
      <w:r>
        <w:rPr>
          <w:rFonts w:ascii="Times New Roman" w:hAnsi="Times New Roman"/>
          <w:sz w:val="24"/>
        </w:rPr>
        <w:t>iii) absolūts aizliegums apmainīties ar datiem ar ārvalstu izlūkdienestiem, kas nenodrošina aizsardzības līmeni, kurš būtībā ir līdzvērtīgs Konvencijā garantētajam aizsardzības līmenim;</w:t>
      </w:r>
    </w:p>
    <w:p w14:paraId="5A2F7CC0" w14:textId="77777777" w:rsidR="00DA068F" w:rsidRPr="008D031E" w:rsidRDefault="00DA068F" w:rsidP="00DA068F">
      <w:pPr>
        <w:pStyle w:val="JuQuot"/>
        <w:widowControl w:val="0"/>
        <w:spacing w:before="0" w:after="0"/>
        <w:ind w:left="426"/>
        <w:rPr>
          <w:rFonts w:ascii="Times New Roman" w:hAnsi="Times New Roman"/>
          <w:noProof/>
          <w:sz w:val="24"/>
        </w:rPr>
      </w:pPr>
      <w:r>
        <w:rPr>
          <w:rFonts w:ascii="Times New Roman" w:hAnsi="Times New Roman"/>
          <w:sz w:val="24"/>
        </w:rPr>
        <w:t>iv) absolūtu aizliegumu veikt datu masveida pārsūtīšanu uz ārvalstu izlūkdienestu vai tos saņemt no šī dienesta nepārtrauktā procesā tikai vienā konkrētā nolūkā;</w:t>
      </w:r>
    </w:p>
    <w:p w14:paraId="6AD1C630" w14:textId="77777777" w:rsidR="00DA068F" w:rsidRPr="008D031E" w:rsidRDefault="00DA068F" w:rsidP="00DA068F">
      <w:pPr>
        <w:pStyle w:val="JuQuot"/>
        <w:widowControl w:val="0"/>
        <w:spacing w:before="0" w:after="0"/>
        <w:ind w:left="426"/>
        <w:rPr>
          <w:rFonts w:ascii="Times New Roman" w:hAnsi="Times New Roman"/>
          <w:noProof/>
          <w:sz w:val="24"/>
        </w:rPr>
      </w:pPr>
      <w:r>
        <w:rPr>
          <w:rFonts w:ascii="Times New Roman" w:hAnsi="Times New Roman"/>
          <w:sz w:val="24"/>
        </w:rPr>
        <w:t>v) tiesas atļauja pirms katras datu pārsūtīšanas/saņemšanas saskaņā ar tieši tiem pašiem principiem un noteikumiem par iekšzemes masveida pārtveršanu, tostarp, citu starpā, nepieciešamības un proporcionalitātes principu;</w:t>
      </w:r>
    </w:p>
    <w:p w14:paraId="0CAD039F" w14:textId="77777777" w:rsidR="00DA068F" w:rsidRDefault="00DA068F" w:rsidP="00DA068F">
      <w:pPr>
        <w:pStyle w:val="JuQuot"/>
        <w:widowControl w:val="0"/>
        <w:spacing w:before="0" w:after="0"/>
        <w:ind w:left="426"/>
        <w:rPr>
          <w:rFonts w:ascii="Times New Roman" w:hAnsi="Times New Roman"/>
          <w:noProof/>
          <w:sz w:val="24"/>
        </w:rPr>
      </w:pPr>
      <w:r>
        <w:rPr>
          <w:rFonts w:ascii="Times New Roman" w:hAnsi="Times New Roman"/>
          <w:sz w:val="24"/>
        </w:rPr>
        <w:t>vi) šos noteikumus piemēro, neizšķirot pieprasītos un nepieprasītos datus, “jēldatus” (neizvērtētos) un izvērtētos datus;</w:t>
      </w:r>
    </w:p>
    <w:p w14:paraId="647098B1" w14:textId="77777777" w:rsidR="00DA068F" w:rsidRPr="008D031E" w:rsidRDefault="00DA068F" w:rsidP="00DA068F">
      <w:pPr>
        <w:pStyle w:val="JuQuot"/>
        <w:widowControl w:val="0"/>
        <w:spacing w:before="0" w:after="0"/>
        <w:ind w:left="0" w:firstLine="0"/>
        <w:rPr>
          <w:rFonts w:ascii="Times New Roman" w:hAnsi="Times New Roman"/>
          <w:noProof/>
          <w:sz w:val="24"/>
          <w:lang w:val="en-US"/>
        </w:rPr>
      </w:pPr>
    </w:p>
    <w:p w14:paraId="4E9EA567" w14:textId="77777777" w:rsidR="00DA068F" w:rsidRPr="008D031E" w:rsidRDefault="00DA068F" w:rsidP="00DA068F">
      <w:pPr>
        <w:pStyle w:val="JuPara"/>
        <w:widowControl w:val="0"/>
        <w:ind w:left="142" w:firstLine="142"/>
        <w:rPr>
          <w:rFonts w:ascii="Times New Roman" w:hAnsi="Times New Roman"/>
          <w:noProof/>
        </w:rPr>
      </w:pPr>
      <w:r>
        <w:rPr>
          <w:rFonts w:ascii="Times New Roman" w:hAnsi="Times New Roman"/>
        </w:rPr>
        <w:t>k) pienākumu paziņot pārtveršanas subjektam, kad pārtveršana ir beigusies, izņemot tad, kad šāda izpaušana apdraudētu valsts drošības intereses, un tādā gadījumā kompetentajam tiesnesim jābūt pilnvarotam pārskatīt pēc savas iniciatīvas (</w:t>
      </w:r>
      <w:proofErr w:type="spellStart"/>
      <w:r>
        <w:rPr>
          <w:rFonts w:ascii="Times New Roman" w:hAnsi="Times New Roman"/>
          <w:i/>
          <w:iCs/>
        </w:rPr>
        <w:t>ex</w:t>
      </w:r>
      <w:proofErr w:type="spellEnd"/>
      <w:r>
        <w:rPr>
          <w:rFonts w:ascii="Times New Roman" w:hAnsi="Times New Roman"/>
          <w:i/>
          <w:iCs/>
        </w:rPr>
        <w:t> </w:t>
      </w:r>
      <w:proofErr w:type="spellStart"/>
      <w:r>
        <w:rPr>
          <w:rFonts w:ascii="Times New Roman" w:hAnsi="Times New Roman"/>
          <w:i/>
          <w:iCs/>
        </w:rPr>
        <w:t>proprio</w:t>
      </w:r>
      <w:proofErr w:type="spellEnd"/>
      <w:r>
        <w:rPr>
          <w:rFonts w:ascii="Times New Roman" w:hAnsi="Times New Roman"/>
          <w:i/>
          <w:iCs/>
        </w:rPr>
        <w:t> </w:t>
      </w:r>
      <w:proofErr w:type="spellStart"/>
      <w:r>
        <w:rPr>
          <w:rFonts w:ascii="Times New Roman" w:hAnsi="Times New Roman"/>
          <w:i/>
          <w:iCs/>
        </w:rPr>
        <w:t>motu</w:t>
      </w:r>
      <w:proofErr w:type="spellEnd"/>
      <w:r>
        <w:rPr>
          <w:rFonts w:ascii="Times New Roman" w:hAnsi="Times New Roman"/>
        </w:rPr>
        <w:t>) vai pēc trešās personas iniciatīvas (piemēram, prokurora) visu pārtveršanas procesu, lai noteiktu, vai dati iegūti likumīgi un vai tie ir jāsaglabā vai jāiznīcina, un pārtveršanas subjektu tad aizstāv advokāts, kurš specializējies privātās dzīves neaizskaramības jomā;</w:t>
      </w:r>
    </w:p>
    <w:p w14:paraId="373C37DC" w14:textId="77777777" w:rsidR="00DA068F" w:rsidRPr="008D031E" w:rsidRDefault="00DA068F" w:rsidP="00DA068F">
      <w:pPr>
        <w:pStyle w:val="JuPara"/>
        <w:widowControl w:val="0"/>
        <w:ind w:left="142" w:firstLine="142"/>
        <w:rPr>
          <w:rFonts w:ascii="Times New Roman" w:hAnsi="Times New Roman"/>
          <w:noProof/>
        </w:rPr>
      </w:pPr>
      <w:r>
        <w:rPr>
          <w:rFonts w:ascii="Times New Roman" w:hAnsi="Times New Roman"/>
        </w:rPr>
        <w:t>l) īpašas garantijas attiecībā uz priviliģētu personu, piemēram, parlamenta deputātu, ārstu, juristu, žurnālistu un mācītāju, profesionālo saziņas aktu satura noslēpumu;</w:t>
      </w:r>
    </w:p>
    <w:p w14:paraId="1C37CBCA" w14:textId="77777777" w:rsidR="00DA068F" w:rsidRPr="008D031E" w:rsidRDefault="00DA068F" w:rsidP="00DA068F">
      <w:pPr>
        <w:pStyle w:val="JuPara"/>
        <w:widowControl w:val="0"/>
        <w:ind w:left="142" w:firstLine="142"/>
        <w:rPr>
          <w:rFonts w:ascii="Times New Roman" w:hAnsi="Times New Roman"/>
          <w:noProof/>
        </w:rPr>
      </w:pPr>
      <w:r>
        <w:rPr>
          <w:rFonts w:ascii="Times New Roman" w:hAnsi="Times New Roman"/>
        </w:rPr>
        <w:t>m) garantiju, ka notiesājoša sprieduma pamatā nevar būt vienīgi vai izšķirošā mērā pierādījumi, kas iegūti masveida pārtveršanas veidā;</w:t>
      </w:r>
    </w:p>
    <w:p w14:paraId="2391C832" w14:textId="77777777" w:rsidR="00DA068F" w:rsidRPr="008D031E" w:rsidRDefault="00DA068F" w:rsidP="00DA068F">
      <w:pPr>
        <w:pStyle w:val="JuPara"/>
        <w:widowControl w:val="0"/>
        <w:ind w:left="142" w:firstLine="142"/>
        <w:rPr>
          <w:rFonts w:ascii="Times New Roman" w:hAnsi="Times New Roman"/>
          <w:noProof/>
        </w:rPr>
      </w:pPr>
      <w:r>
        <w:rPr>
          <w:rFonts w:ascii="Times New Roman" w:hAnsi="Times New Roman"/>
        </w:rPr>
        <w:t xml:space="preserve">n) šie principi attiecas uz uzraudzību, kas tiek veikta pašas Līgumslēdzējas puses teritorijā, kā arī uz tās uzraudzību, kas tiek veikta ārpus tās teritorijas, neatkarīgi no uzraudzības nolūka, </w:t>
      </w:r>
      <w:r>
        <w:rPr>
          <w:rFonts w:ascii="Times New Roman" w:hAnsi="Times New Roman"/>
        </w:rPr>
        <w:lastRenderedPageBreak/>
        <w:t>datu stāvokļa (uzglabāti vai kustībā) vai datu valdījuma (pārtveršanas subjekta vai pakalpojuma sniedzēja valdījumā);</w:t>
      </w:r>
    </w:p>
    <w:p w14:paraId="2AB9E867" w14:textId="77777777" w:rsidR="00DA068F" w:rsidRDefault="00DA068F" w:rsidP="00DA068F">
      <w:pPr>
        <w:pStyle w:val="JuPara"/>
        <w:widowControl w:val="0"/>
        <w:ind w:left="142" w:firstLine="142"/>
        <w:rPr>
          <w:rFonts w:ascii="Times New Roman" w:hAnsi="Times New Roman"/>
          <w:noProof/>
        </w:rPr>
      </w:pPr>
      <w:r>
        <w:rPr>
          <w:rFonts w:ascii="Times New Roman" w:hAnsi="Times New Roman"/>
        </w:rPr>
        <w:t>o) valsts pienākumu ievērot un īstenot indivīdu tiesības papildina pienākums aizsargāt personu tiesības no ārpus publiskā sektora esošo dalībnieku, tostarp, korporatīvo struktūru, ļaunprātīgas rīcības.</w:t>
      </w:r>
    </w:p>
    <w:p w14:paraId="391580C6" w14:textId="77777777" w:rsidR="00DA068F" w:rsidRPr="008D031E" w:rsidRDefault="00DA068F" w:rsidP="00DA068F">
      <w:pPr>
        <w:pStyle w:val="JuPara"/>
        <w:widowControl w:val="0"/>
        <w:ind w:left="142" w:firstLine="142"/>
        <w:rPr>
          <w:rFonts w:ascii="Times New Roman" w:hAnsi="Times New Roman"/>
          <w:noProof/>
          <w:lang w:val="en-US"/>
        </w:rPr>
      </w:pPr>
    </w:p>
    <w:p w14:paraId="08F9FF1B" w14:textId="77777777" w:rsidR="00DA068F" w:rsidRDefault="00DA068F" w:rsidP="00DA068F">
      <w:pPr>
        <w:pStyle w:val="JuHIRoman"/>
        <w:keepNext w:val="0"/>
        <w:keepLines w:val="0"/>
        <w:widowControl w:val="0"/>
        <w:numPr>
          <w:ilvl w:val="0"/>
          <w:numId w:val="0"/>
        </w:numPr>
        <w:spacing w:before="0" w:beforeAutospacing="0" w:after="0"/>
        <w:outlineLvl w:val="9"/>
        <w:rPr>
          <w:rFonts w:ascii="Times New Roman" w:hAnsi="Times New Roman"/>
          <w:caps w:val="0"/>
          <w:noProof/>
        </w:rPr>
      </w:pPr>
      <w:r>
        <w:rPr>
          <w:rFonts w:ascii="Times New Roman" w:hAnsi="Times New Roman"/>
          <w:caps w:val="0"/>
        </w:rPr>
        <w:t>IV. APSTRĪDĒTĀ APVIENOTĀS KARALISTES PĀRTVERŠANAS REŽĪMA KRITIKA</w:t>
      </w:r>
    </w:p>
    <w:p w14:paraId="79BC53BF" w14:textId="77777777" w:rsidR="00DA068F" w:rsidRPr="000E09EA" w:rsidRDefault="00DA068F" w:rsidP="00DA068F">
      <w:pPr>
        <w:pStyle w:val="JuPara"/>
        <w:widowControl w:val="0"/>
        <w:rPr>
          <w:lang w:val="en-US"/>
        </w:rPr>
      </w:pPr>
    </w:p>
    <w:p w14:paraId="48E5B548" w14:textId="77777777" w:rsidR="00DA068F" w:rsidRDefault="00DA068F" w:rsidP="00DA068F">
      <w:pPr>
        <w:pStyle w:val="JuHA"/>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 xml:space="preserve">A. Sakaru masveida pārtveršana saskaņā ar 2000. gada </w:t>
      </w:r>
      <w:r>
        <w:rPr>
          <w:rFonts w:ascii="Times New Roman" w:hAnsi="Times New Roman"/>
          <w:i/>
          <w:iCs/>
        </w:rPr>
        <w:t>RIPA</w:t>
      </w:r>
    </w:p>
    <w:p w14:paraId="2F685E67" w14:textId="77777777" w:rsidR="00DA068F" w:rsidRPr="000E09EA" w:rsidRDefault="00DA068F" w:rsidP="00DA068F">
      <w:pPr>
        <w:pStyle w:val="JuPara"/>
        <w:widowControl w:val="0"/>
        <w:rPr>
          <w:lang w:val="en-US"/>
        </w:rPr>
      </w:pPr>
    </w:p>
    <w:p w14:paraId="51FA67B0"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35. Ņemot vērā iepriekš minēto, man ir principiāls iebildums, kas ir daudz plašāks par Lielās palātas niecīgo problēmu, proti, pret Apvienotās Karalistes masveida pārtveršanas režīmu, kāds tas bija 2017. gada 7. novembrī, proti, pirms 2016. gada Izmeklēšanas pilnvaru likuma (</w:t>
      </w:r>
      <w:proofErr w:type="spellStart"/>
      <w:r>
        <w:rPr>
          <w:rFonts w:ascii="Times New Roman" w:hAnsi="Times New Roman"/>
          <w:i/>
          <w:iCs/>
        </w:rPr>
        <w:t>IPA</w:t>
      </w:r>
      <w:proofErr w:type="spellEnd"/>
      <w:r>
        <w:rPr>
          <w:rFonts w:ascii="Times New Roman" w:hAnsi="Times New Roman"/>
        </w:rPr>
        <w:t>) pilnīgas stāšanās spēkā.</w:t>
      </w:r>
      <w:r w:rsidRPr="008D031E">
        <w:rPr>
          <w:rFonts w:ascii="Times New Roman" w:hAnsi="Times New Roman"/>
          <w:noProof/>
          <w:vertAlign w:val="superscript"/>
          <w:lang w:val="en-US"/>
        </w:rPr>
        <w:footnoteReference w:id="117"/>
      </w:r>
    </w:p>
    <w:p w14:paraId="0E68B5B7"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36. Masveida pārtveršanas nolūks smagu noziegumu atklāšanā un izmeklēšanā, kā noteikts </w:t>
      </w:r>
      <w:r>
        <w:rPr>
          <w:rFonts w:ascii="Times New Roman" w:hAnsi="Times New Roman"/>
          <w:i/>
          <w:iCs/>
        </w:rPr>
        <w:t>RIPA</w:t>
      </w:r>
      <w:r>
        <w:rPr>
          <w:rFonts w:ascii="Times New Roman" w:hAnsi="Times New Roman"/>
        </w:rPr>
        <w:t xml:space="preserve"> 81. panta 2. punkta b) apakšpunktā, pavisam noteikti nav savienojams ar starptautiskajās tiesībās dominējošo smaga nozieguma jēdzienu, ciktāl valsts tiesību aktos noteiktais jēdziens ietver nodarījumus, par kuriem paredzēts sods ar brīvības atņemšanu uz laiku, kas nepārsniedz četrus gadus. Turklāt nolūks aizsargāt Apvienotās Karalistes ekonomisko labklājību, ciktāl šīs intereses sasaucas ar valsts drošības interesēm, nav pietiekami precīzs, pieļaujot, ka masveida pārtveršanu veic, piemēram, ekonomiskai un rūpnieciskai spiegošanai un “tirdzniecības kara” nolūkā.</w:t>
      </w:r>
      <w:r w:rsidRPr="008D031E">
        <w:rPr>
          <w:rFonts w:ascii="Times New Roman" w:hAnsi="Times New Roman"/>
          <w:noProof/>
          <w:vertAlign w:val="superscript"/>
          <w:lang w:val="en-US"/>
        </w:rPr>
        <w:footnoteReference w:id="118"/>
      </w:r>
    </w:p>
    <w:p w14:paraId="620FDABC"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37. Parlamenta Izlūkošanas un drošības komiteja (</w:t>
      </w:r>
      <w:proofErr w:type="spellStart"/>
      <w:r>
        <w:rPr>
          <w:rFonts w:ascii="Times New Roman" w:hAnsi="Times New Roman"/>
          <w:i/>
          <w:iCs/>
        </w:rPr>
        <w:t>ISC</w:t>
      </w:r>
      <w:proofErr w:type="spellEnd"/>
      <w:r>
        <w:rPr>
          <w:rFonts w:ascii="Times New Roman" w:hAnsi="Times New Roman"/>
        </w:rPr>
        <w:t>) arī nosodīja 8. panta 4. punktā noteikto valsts sekretāra apliecinājumu plašo formulējumu, un jānorāda, ka šis nosodījums bija pamatots.</w:t>
      </w:r>
      <w:r w:rsidRPr="008D031E">
        <w:rPr>
          <w:rFonts w:ascii="Times New Roman" w:hAnsi="Times New Roman"/>
          <w:noProof/>
          <w:vertAlign w:val="superscript"/>
          <w:lang w:val="en-US"/>
        </w:rPr>
        <w:footnoteReference w:id="119"/>
      </w:r>
    </w:p>
    <w:p w14:paraId="1547536A"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38. Iekšējo un ārējo sakaru nodalīšana, kā norādīts </w:t>
      </w:r>
      <w:r>
        <w:rPr>
          <w:rFonts w:ascii="Times New Roman" w:hAnsi="Times New Roman"/>
          <w:i/>
          <w:iCs/>
        </w:rPr>
        <w:t>RIPA</w:t>
      </w:r>
      <w:r>
        <w:rPr>
          <w:rFonts w:ascii="Times New Roman" w:hAnsi="Times New Roman"/>
        </w:rPr>
        <w:t xml:space="preserve"> 20. pantā, ir ļoti nepilnīga un nepietiekami ierobežo to personu kategorijas, kuru sakari var tikt pārtverti. Kā secinājusi </w:t>
      </w:r>
      <w:proofErr w:type="spellStart"/>
      <w:r>
        <w:rPr>
          <w:rFonts w:ascii="Times New Roman" w:hAnsi="Times New Roman"/>
          <w:i/>
          <w:iCs/>
        </w:rPr>
        <w:t>ISC</w:t>
      </w:r>
      <w:proofErr w:type="spellEnd"/>
      <w:r>
        <w:rPr>
          <w:rFonts w:ascii="Times New Roman" w:hAnsi="Times New Roman"/>
        </w:rPr>
        <w:t>, šāda nodalīšana bija mulsinoša un nebija pārskatāma.</w:t>
      </w:r>
      <w:r w:rsidRPr="008D031E">
        <w:rPr>
          <w:rFonts w:ascii="Times New Roman" w:hAnsi="Times New Roman"/>
          <w:noProof/>
          <w:vertAlign w:val="superscript"/>
          <w:lang w:val="en-US"/>
        </w:rPr>
        <w:footnoteReference w:id="120"/>
      </w:r>
    </w:p>
    <w:p w14:paraId="6C57B94F"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39. Valdība pamatoja šo nošķiršanu ar argumentu, ka, “iegūstot </w:t>
      </w:r>
      <w:proofErr w:type="spellStart"/>
      <w:r>
        <w:rPr>
          <w:rFonts w:ascii="Times New Roman" w:hAnsi="Times New Roman"/>
        </w:rPr>
        <w:t>izlūkdatus</w:t>
      </w:r>
      <w:proofErr w:type="spellEnd"/>
      <w:r>
        <w:rPr>
          <w:rFonts w:ascii="Times New Roman" w:hAnsi="Times New Roman"/>
        </w:rPr>
        <w:t xml:space="preserve"> par darbībām ārvalstīs, izlūkdienestiem nav tādas pašas iespējas identificēt mērķus vai draudus, kādas tiem ir Apvienotajā Karalistē”.</w:t>
      </w:r>
      <w:r w:rsidRPr="008D031E">
        <w:rPr>
          <w:rFonts w:ascii="Times New Roman" w:hAnsi="Times New Roman"/>
          <w:noProof/>
          <w:vertAlign w:val="superscript"/>
          <w:lang w:val="en-US"/>
        </w:rPr>
        <w:footnoteReference w:id="121"/>
      </w:r>
      <w:r>
        <w:rPr>
          <w:rFonts w:ascii="Times New Roman" w:hAnsi="Times New Roman"/>
        </w:rPr>
        <w:t xml:space="preserve"> </w:t>
      </w:r>
      <w:proofErr w:type="spellStart"/>
      <w:r>
        <w:rPr>
          <w:rFonts w:ascii="Times New Roman" w:hAnsi="Times New Roman"/>
          <w:i/>
          <w:iCs/>
        </w:rPr>
        <w:t>IPT</w:t>
      </w:r>
      <w:proofErr w:type="spellEnd"/>
      <w:r>
        <w:rPr>
          <w:rFonts w:ascii="Times New Roman" w:hAnsi="Times New Roman"/>
        </w:rPr>
        <w:t xml:space="preserve"> atkārtoti uzsvēra argumentu, norādot, ka “ir grūtāk izmeklēt terorisma un noziedzīgus draudus no ārvalstīm”.</w:t>
      </w:r>
      <w:r w:rsidRPr="008D031E">
        <w:rPr>
          <w:rFonts w:ascii="Times New Roman" w:hAnsi="Times New Roman"/>
          <w:noProof/>
          <w:vertAlign w:val="superscript"/>
          <w:lang w:val="en-US"/>
        </w:rPr>
        <w:footnoteReference w:id="122"/>
      </w:r>
      <w:r>
        <w:rPr>
          <w:rFonts w:ascii="Times New Roman" w:hAnsi="Times New Roman"/>
        </w:rPr>
        <w:t xml:space="preserve"> Šis pamatojums ir jāinterpretē, ņemot vērā Valdības 2014. gada paziņojumus, kuros atzīts, ka masveida materiāla pieprasījumi ārvalstu izlūkdienestam bija iesniegti “citādi, nevis saskaņā ar kādu starptautisku savstarpējās tiesiskās palīdzības līgumu”.</w:t>
      </w:r>
      <w:r w:rsidRPr="008D031E">
        <w:rPr>
          <w:rFonts w:ascii="Times New Roman" w:hAnsi="Times New Roman"/>
          <w:noProof/>
          <w:vertAlign w:val="superscript"/>
          <w:lang w:val="en-US"/>
        </w:rPr>
        <w:footnoteReference w:id="123"/>
      </w:r>
      <w:r>
        <w:rPr>
          <w:rFonts w:ascii="Times New Roman" w:hAnsi="Times New Roman"/>
        </w:rPr>
        <w:t xml:space="preserve"> Tādējādi apstrīdēto masveida pārtveršanas sistēmu izveidoja, lai izvairītos no laikietilpīgām un resursu ietilpīgām procedūrām un “stingrākām” saistībām, kas izriet no esošā starptautiskā tiesiskā regulējuma par savstarpēju tiesisko palīdzību, citiem vārdiem, lai apietu drošības pasākumus saskaņā ar esošo starptautisko savstarpējās palīdzības līgumu sistēmu un izmantotu situāciju, kad trūkst regulējuma par jaunajām starptautiskajām uzraudzības tehnoloģijām.</w:t>
      </w:r>
    </w:p>
    <w:p w14:paraId="7C6D078D"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lastRenderedPageBreak/>
        <w:t>40. Turklāt, palielinoties to sakaru apjomam, ko uzskata par ārējiem,</w:t>
      </w:r>
      <w:r w:rsidRPr="008D031E">
        <w:rPr>
          <w:rFonts w:ascii="Times New Roman" w:hAnsi="Times New Roman"/>
          <w:noProof/>
          <w:vertAlign w:val="superscript"/>
          <w:lang w:val="en-US"/>
        </w:rPr>
        <w:footnoteReference w:id="124"/>
      </w:r>
      <w:r>
        <w:rPr>
          <w:rFonts w:ascii="Times New Roman" w:hAnsi="Times New Roman"/>
        </w:rPr>
        <w:t xml:space="preserve"> un eksponenciāli palielinoties Britu salās esošo personu arvien pieaugošā sakaru apjoma masveida pārtveršanai,</w:t>
      </w:r>
      <w:r w:rsidRPr="008D031E">
        <w:rPr>
          <w:rFonts w:ascii="Times New Roman" w:hAnsi="Times New Roman"/>
          <w:noProof/>
          <w:vertAlign w:val="superscript"/>
          <w:lang w:val="en-US"/>
        </w:rPr>
        <w:footnoteReference w:id="125"/>
      </w:r>
      <w:r>
        <w:rPr>
          <w:rFonts w:ascii="Times New Roman" w:hAnsi="Times New Roman"/>
        </w:rPr>
        <w:t xml:space="preserve"> ārējo/iekšējo sakaru nošķiršana tehniskā ziņā vienkārši vairs nav iespējama, līdz ar to tā ir bezjēdzīga. Teritoriālajā jurisdikcijā balstītā iekšējo un ārējo sakaru nošķiršana pēc būtības ir pretrunā ar mūsdienu sakaru plūsmu internetā, kur “</w:t>
      </w:r>
      <w:proofErr w:type="spellStart"/>
      <w:r>
        <w:rPr>
          <w:rFonts w:ascii="Times New Roman" w:hAnsi="Times New Roman"/>
        </w:rPr>
        <w:t>Facebook</w:t>
      </w:r>
      <w:proofErr w:type="spellEnd"/>
      <w:r>
        <w:rPr>
          <w:rFonts w:ascii="Times New Roman" w:hAnsi="Times New Roman"/>
        </w:rPr>
        <w:t>” ziņojums, ar kuru dalījusies kāda draugu grupa Londonā, tiek maršrutēts caur Kaliforniju un līdz ar to attiecībā uz Apvienoto Karalisti ir ārējs.</w:t>
      </w:r>
      <w:r w:rsidRPr="008D031E">
        <w:rPr>
          <w:rFonts w:ascii="Times New Roman" w:hAnsi="Times New Roman"/>
          <w:noProof/>
          <w:vertAlign w:val="superscript"/>
          <w:lang w:val="en-US"/>
        </w:rPr>
        <w:footnoteReference w:id="126"/>
      </w:r>
      <w:r>
        <w:rPr>
          <w:rFonts w:ascii="Times New Roman" w:hAnsi="Times New Roman"/>
        </w:rPr>
        <w:t xml:space="preserve"> Kā Tiesai atgādināja Juridiskā biedrība, konfidenciāli sakari starp advokātiem un klientiem, pat ja abi atradušies Apvienotajā Karalistē, var būt pārtverti saskaņā ar 8. panta 4. punktā noteikto režīmu.</w:t>
      </w:r>
      <w:r w:rsidRPr="008D031E">
        <w:rPr>
          <w:rFonts w:ascii="Times New Roman" w:hAnsi="Times New Roman"/>
          <w:noProof/>
          <w:vertAlign w:val="superscript"/>
          <w:lang w:val="en-US"/>
        </w:rPr>
        <w:footnoteReference w:id="127"/>
      </w:r>
      <w:r>
        <w:rPr>
          <w:rFonts w:ascii="Times New Roman" w:hAnsi="Times New Roman"/>
        </w:rPr>
        <w:t xml:space="preserve"> Praksē Valdības norādītais plašais ārējo sakaru jēdziens ietver arī </w:t>
      </w:r>
      <w:proofErr w:type="spellStart"/>
      <w:r>
        <w:rPr>
          <w:rFonts w:ascii="Times New Roman" w:hAnsi="Times New Roman"/>
        </w:rPr>
        <w:t>mākoņkrātuvi</w:t>
      </w:r>
      <w:proofErr w:type="spellEnd"/>
      <w:r>
        <w:rPr>
          <w:rFonts w:ascii="Times New Roman" w:hAnsi="Times New Roman"/>
        </w:rPr>
        <w:t>, informācijas meklēšanu “Google”, pārlūkošanu un darbības sociālajos tīklos.</w:t>
      </w:r>
      <w:r w:rsidRPr="008D031E">
        <w:rPr>
          <w:rFonts w:ascii="Times New Roman" w:hAnsi="Times New Roman"/>
          <w:noProof/>
          <w:vertAlign w:val="superscript"/>
          <w:lang w:val="en-US"/>
        </w:rPr>
        <w:footnoteReference w:id="128"/>
      </w:r>
      <w:r>
        <w:rPr>
          <w:rFonts w:ascii="Times New Roman" w:hAnsi="Times New Roman"/>
        </w:rPr>
        <w:t xml:space="preserve"> Attiecībā uz daudziem sakaru veidiem var pat nebūt iespējams atšķirt ārējos un iekšējos sakarus, jo saistītie sakaru dati ne vienmēr liecinās par paredzētā saņēmēja atrašanās vietu. Faktu </w:t>
      </w:r>
      <w:proofErr w:type="spellStart"/>
      <w:r>
        <w:rPr>
          <w:rFonts w:ascii="Times New Roman" w:hAnsi="Times New Roman"/>
        </w:rPr>
        <w:t>izvērtējumu</w:t>
      </w:r>
      <w:proofErr w:type="spellEnd"/>
      <w:r>
        <w:rPr>
          <w:rFonts w:ascii="Times New Roman" w:hAnsi="Times New Roman"/>
        </w:rPr>
        <w:t xml:space="preserve"> par to, vai konkrētie sakari ir ārēji vai iekšēji, atsevišķos gadījumos var veikt, vienīgi balstoties uz gūto pieredzi.</w:t>
      </w:r>
      <w:r w:rsidRPr="008D031E">
        <w:rPr>
          <w:rFonts w:ascii="Times New Roman" w:hAnsi="Times New Roman"/>
          <w:noProof/>
          <w:vertAlign w:val="superscript"/>
          <w:lang w:val="en-US"/>
        </w:rPr>
        <w:footnoteReference w:id="129"/>
      </w:r>
      <w:r>
        <w:rPr>
          <w:rFonts w:ascii="Times New Roman" w:hAnsi="Times New Roman"/>
        </w:rPr>
        <w:t xml:space="preserve"> Mūsdienu dzīves un saziņas apstākļu ciešāka saikne, kas sniedzas pāri valstu robežām, pavisam noteikti nav pamats tam, lai apstrādātu ārējos un iekšējos sakarus atšķirīgi, drīzāk gluži pretēji. Tas, protams, nav jāuztver kā aicinājums pazemināt iekšējo sakaru aizsardzības līmeni, bet gan paaugstināt ārējo sakaru aizsardzības līmeni.</w:t>
      </w:r>
    </w:p>
    <w:p w14:paraId="7DC7B62A"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41. Šajā ziņā nav acīmredzami, ka attiecībā uz saziņu starp personu Strasbūrā un personu Londonā saskaņā ar Konvenciju jāparedz ierobežotāka aizsardzība nekā attiecībā uz saziņu starp divām personām Londonā. Tāpēc šķiet, ka nav nekāda objektīva attaisnojuma atšķirīgai attieksmei pret šādām personām, izņemot pieņēmumu, ka draudi biežāk nāk no ārvalstīm un ka ārvalstnieki nav pelnījuši tik daudz uzticības kā pilsoņi, jo viņi rada nopietnāku risku valsts un sabiedrības drošībai nekā pilsoņi, tādējādi attaisnojot nepieciešamību uzraudzīt ārpus Britu salām nosūtītos vai </w:t>
      </w:r>
      <w:proofErr w:type="spellStart"/>
      <w:r>
        <w:rPr>
          <w:rFonts w:ascii="Times New Roman" w:hAnsi="Times New Roman"/>
        </w:rPr>
        <w:t>saņemtossakarus</w:t>
      </w:r>
      <w:proofErr w:type="spellEnd"/>
      <w:r>
        <w:rPr>
          <w:rFonts w:ascii="Times New Roman" w:hAnsi="Times New Roman"/>
        </w:rPr>
        <w:t>.</w:t>
      </w:r>
      <w:r w:rsidRPr="008D031E">
        <w:rPr>
          <w:rFonts w:ascii="Times New Roman" w:hAnsi="Times New Roman"/>
          <w:noProof/>
          <w:vertAlign w:val="superscript"/>
          <w:lang w:val="en-US"/>
        </w:rPr>
        <w:footnoteReference w:id="130"/>
      </w:r>
      <w:r>
        <w:rPr>
          <w:rFonts w:ascii="Times New Roman" w:hAnsi="Times New Roman"/>
        </w:rPr>
        <w:t xml:space="preserve"> Tas izpaužas arī tajā, kā pret ārvalstniekiem izturas tiesā, kad viņi vēlas īstenot savas tiesības uz privātās dzīves neaizskaramību.</w:t>
      </w:r>
      <w:bookmarkStart w:id="310" w:name="_Hlk71278900"/>
      <w:r>
        <w:rPr>
          <w:rFonts w:ascii="Times New Roman" w:hAnsi="Times New Roman"/>
        </w:rPr>
        <w:t xml:space="preserve"> </w:t>
      </w:r>
      <w:proofErr w:type="spellStart"/>
      <w:r>
        <w:rPr>
          <w:rFonts w:ascii="Times New Roman" w:hAnsi="Times New Roman"/>
          <w:i/>
          <w:iCs/>
        </w:rPr>
        <w:t>IPT</w:t>
      </w:r>
      <w:proofErr w:type="spellEnd"/>
      <w:r>
        <w:rPr>
          <w:rFonts w:ascii="Times New Roman" w:hAnsi="Times New Roman"/>
        </w:rPr>
        <w:t xml:space="preserve"> neizskata sūdzības no pieteikuma iesniedzējiem ārpus valsts teritorijas</w:t>
      </w:r>
      <w:r w:rsidRPr="008D031E">
        <w:rPr>
          <w:rFonts w:ascii="Times New Roman" w:hAnsi="Times New Roman"/>
          <w:noProof/>
          <w:vertAlign w:val="superscript"/>
          <w:lang w:val="en-US"/>
        </w:rPr>
        <w:footnoteReference w:id="131"/>
      </w:r>
      <w:bookmarkEnd w:id="310"/>
      <w:r>
        <w:rPr>
          <w:rFonts w:ascii="Times New Roman" w:hAnsi="Times New Roman"/>
        </w:rPr>
        <w:t>. Šī pret ārvalstniekiem naidīgā “</w:t>
      </w:r>
      <w:proofErr w:type="spellStart"/>
      <w:r>
        <w:rPr>
          <w:rFonts w:ascii="Times New Roman" w:hAnsi="Times New Roman"/>
        </w:rPr>
        <w:t>Weltanschauung</w:t>
      </w:r>
      <w:proofErr w:type="spellEnd"/>
      <w:r>
        <w:rPr>
          <w:rFonts w:ascii="Times New Roman" w:hAnsi="Times New Roman"/>
        </w:rPr>
        <w:t>” jeb nostāja nevar būt vēl neatbilstošāka Konvencijas būtībai.</w:t>
      </w:r>
      <w:r w:rsidRPr="008D031E">
        <w:rPr>
          <w:rFonts w:ascii="Times New Roman" w:hAnsi="Times New Roman"/>
          <w:noProof/>
          <w:vertAlign w:val="superscript"/>
          <w:lang w:val="en-US"/>
        </w:rPr>
        <w:footnoteReference w:id="132"/>
      </w:r>
      <w:r>
        <w:rPr>
          <w:rFonts w:ascii="Times New Roman" w:hAnsi="Times New Roman"/>
        </w:rPr>
        <w:t xml:space="preserve"> Konvencijas </w:t>
      </w:r>
      <w:r>
        <w:rPr>
          <w:rFonts w:ascii="Times New Roman" w:hAnsi="Times New Roman"/>
        </w:rPr>
        <w:lastRenderedPageBreak/>
        <w:t xml:space="preserve">centrā ir indivīds, nevis valsts pilsonis, kas nozīmē to, ka Konvencijā noteiktajām tiesībām kā indivīda tiesībām ir jānodrošina aizsardzība ikreiz, kad kāda Līgumslēdzēja puse rīkojas un tādējādi potenciāli rada nepieciešamību pēc aizsardzības neatkarīgi no tā, kur, pret ko un kādā veidā tā rīkojas. Turklāt Konvencijā noteiktajām tiesībām jāattiecas uz visām Eiropas Padomes dalībvalstīm starptautiskajā sabiedrībā, ciktāl “Eiropas Padomes tiesisko kārtību vairs nevar sajaukt ar tradicionālo starptautisko savstarpējo egoismu. Suverenitāte vairs nav absolūta, kā tas bija </w:t>
      </w:r>
      <w:proofErr w:type="spellStart"/>
      <w:r>
        <w:rPr>
          <w:rFonts w:ascii="Times New Roman" w:hAnsi="Times New Roman"/>
        </w:rPr>
        <w:t>Vestfālenes</w:t>
      </w:r>
      <w:proofErr w:type="spellEnd"/>
      <w:r>
        <w:rPr>
          <w:rFonts w:ascii="Times New Roman" w:hAnsi="Times New Roman"/>
        </w:rPr>
        <w:t xml:space="preserve"> miera laikos, bet gan uz cilvēktiesību ievērošanu vērstas sabiedrības neatņemama daļa.”</w:t>
      </w:r>
      <w:r w:rsidRPr="008D031E">
        <w:rPr>
          <w:rFonts w:ascii="Times New Roman" w:hAnsi="Times New Roman"/>
          <w:noProof/>
          <w:vertAlign w:val="superscript"/>
          <w:lang w:val="en-US"/>
        </w:rPr>
        <w:footnoteReference w:id="133"/>
      </w:r>
    </w:p>
    <w:p w14:paraId="71A45288"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42. Galu galā, </w:t>
      </w:r>
      <w:r>
        <w:rPr>
          <w:rFonts w:ascii="Times New Roman" w:hAnsi="Times New Roman"/>
          <w:i/>
          <w:iCs/>
        </w:rPr>
        <w:t>RIPA</w:t>
      </w:r>
      <w:r>
        <w:rPr>
          <w:rFonts w:ascii="Times New Roman" w:hAnsi="Times New Roman"/>
        </w:rPr>
        <w:t xml:space="preserve"> noteiktā satura nošķiršana jaunā interneta laikmeta kontekstā bija neatbilstoša un palīdzēja vienīgi politiskajam mērķim, proti, </w:t>
      </w:r>
      <w:proofErr w:type="spellStart"/>
      <w:r>
        <w:rPr>
          <w:rFonts w:ascii="Times New Roman" w:hAnsi="Times New Roman"/>
        </w:rPr>
        <w:t>leģitimizēt</w:t>
      </w:r>
      <w:proofErr w:type="spellEnd"/>
      <w:r>
        <w:rPr>
          <w:rFonts w:ascii="Times New Roman" w:hAnsi="Times New Roman"/>
        </w:rPr>
        <w:t xml:space="preserve"> sistēmu Lielbritānijas sabiedrības acīs ar ilūziju, ka Apvienotās Karalistes teritoriālajā jurisdikcijā esošās personas tiks saudzētas no valdības īstenotās kontroles (“</w:t>
      </w:r>
      <w:proofErr w:type="spellStart"/>
      <w:r>
        <w:rPr>
          <w:rFonts w:ascii="Times New Roman" w:hAnsi="Times New Roman"/>
        </w:rPr>
        <w:t>Big</w:t>
      </w:r>
      <w:proofErr w:type="spellEnd"/>
      <w:r>
        <w:rPr>
          <w:rFonts w:ascii="Times New Roman" w:hAnsi="Times New Roman"/>
        </w:rPr>
        <w:t xml:space="preserve"> </w:t>
      </w:r>
      <w:proofErr w:type="spellStart"/>
      <w:r>
        <w:rPr>
          <w:rFonts w:ascii="Times New Roman" w:hAnsi="Times New Roman"/>
        </w:rPr>
        <w:t>Brother</w:t>
      </w:r>
      <w:proofErr w:type="spellEnd"/>
      <w:r>
        <w:rPr>
          <w:rFonts w:ascii="Times New Roman" w:hAnsi="Times New Roman"/>
        </w:rPr>
        <w:t>”). Patiesībā tā tas nebija. Valsts sekretārs, ja viņš vai viņa to uzskatīja par nepieciešamu, varēja noteikt tāda materiāla pārbaudi, kas atlasīts, pamatojoties uz faktoriem, kas attiecas uz personu, kura atradās Britu salās,</w:t>
      </w:r>
      <w:r w:rsidRPr="008D031E">
        <w:rPr>
          <w:rFonts w:ascii="Times New Roman" w:hAnsi="Times New Roman"/>
          <w:noProof/>
          <w:vertAlign w:val="superscript"/>
          <w:lang w:val="en-US"/>
        </w:rPr>
        <w:footnoteReference w:id="134"/>
      </w:r>
      <w:r>
        <w:rPr>
          <w:rFonts w:ascii="Times New Roman" w:hAnsi="Times New Roman"/>
        </w:rPr>
        <w:t xml:space="preserve"> un izdarīt grozījumus apliecinājumā, lai atļautu atlasīt šīs personas sakarus</w:t>
      </w:r>
      <w:r w:rsidRPr="008D031E">
        <w:rPr>
          <w:rFonts w:ascii="Times New Roman" w:hAnsi="Times New Roman"/>
          <w:noProof/>
          <w:vertAlign w:val="superscript"/>
          <w:lang w:val="en-US"/>
        </w:rPr>
        <w:footnoteReference w:id="135"/>
      </w:r>
      <w:r>
        <w:rPr>
          <w:rFonts w:ascii="Times New Roman" w:hAnsi="Times New Roman"/>
        </w:rPr>
        <w:t>. Turklāt valsts sekretāra orderī nenorādītā iekšējo sakaru piezveja bija atļauta ikreiz, kad tas bija nepieciešams, lai iegūtu ārējos sakarus, uz ko attiecas orderis</w:t>
      </w:r>
      <w:r w:rsidRPr="008D031E">
        <w:rPr>
          <w:rFonts w:ascii="Times New Roman" w:hAnsi="Times New Roman"/>
          <w:noProof/>
          <w:vertAlign w:val="superscript"/>
          <w:lang w:val="en-US"/>
        </w:rPr>
        <w:footnoteReference w:id="136"/>
      </w:r>
      <w:r>
        <w:rPr>
          <w:rFonts w:ascii="Times New Roman" w:hAnsi="Times New Roman"/>
        </w:rPr>
        <w:t>, un, pēc pašas Valdības domām, tas “praksē ir neizbēgami”</w:t>
      </w:r>
      <w:r w:rsidRPr="008D031E">
        <w:rPr>
          <w:rFonts w:ascii="Times New Roman" w:hAnsi="Times New Roman"/>
          <w:noProof/>
          <w:vertAlign w:val="superscript"/>
          <w:lang w:val="en-US"/>
        </w:rPr>
        <w:footnoteReference w:id="137"/>
      </w:r>
      <w:r>
        <w:rPr>
          <w:rFonts w:ascii="Times New Roman" w:hAnsi="Times New Roman"/>
        </w:rPr>
        <w:t>. Ņemot vērā iepriekš minēto, jāatzīmē, ka attiecībā uz saistīto sakaru datu masveida pārtveršanu nebija noteikti pat ārējo sakaru ierobežojumi.</w:t>
      </w:r>
    </w:p>
    <w:p w14:paraId="47FF0D30"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43. Pat ja masveida pārtveršana bija vērsta uz ārvalstu </w:t>
      </w:r>
      <w:proofErr w:type="spellStart"/>
      <w:r>
        <w:rPr>
          <w:rFonts w:ascii="Times New Roman" w:hAnsi="Times New Roman"/>
        </w:rPr>
        <w:t>izlūkdatu</w:t>
      </w:r>
      <w:proofErr w:type="spellEnd"/>
      <w:r>
        <w:rPr>
          <w:rFonts w:ascii="Times New Roman" w:hAnsi="Times New Roman"/>
        </w:rPr>
        <w:t xml:space="preserve"> vākšanu</w:t>
      </w:r>
      <w:r w:rsidRPr="008D031E">
        <w:rPr>
          <w:rFonts w:ascii="Times New Roman" w:hAnsi="Times New Roman"/>
          <w:noProof/>
          <w:vertAlign w:val="superscript"/>
          <w:lang w:val="en-US"/>
        </w:rPr>
        <w:footnoteReference w:id="138"/>
      </w:r>
      <w:r>
        <w:rPr>
          <w:rFonts w:ascii="Times New Roman" w:hAnsi="Times New Roman"/>
        </w:rPr>
        <w:t>, nevis noziegumu novēršanu, atklāšanu un izmeklēšanu</w:t>
      </w:r>
      <w:r w:rsidRPr="008D031E">
        <w:rPr>
          <w:rFonts w:ascii="Times New Roman" w:hAnsi="Times New Roman"/>
          <w:noProof/>
          <w:vertAlign w:val="superscript"/>
          <w:lang w:val="en-US"/>
        </w:rPr>
        <w:footnoteReference w:id="139"/>
      </w:r>
      <w:r>
        <w:rPr>
          <w:rFonts w:ascii="Times New Roman" w:hAnsi="Times New Roman"/>
        </w:rPr>
        <w:t>, tas neattaisnoja regulējuma trūkumu vai pārtverošo iestāžu pilnvaru plašumu. Jebkurā gadījumā digitālo sakaru attīstības rezultātā ārējo sakaru drošības pasākums vairs nefunkcionē kā jēgpilns ierobežojums,</w:t>
      </w:r>
      <w:r w:rsidRPr="008D031E">
        <w:rPr>
          <w:rFonts w:ascii="Times New Roman" w:hAnsi="Times New Roman"/>
          <w:noProof/>
          <w:vertAlign w:val="superscript"/>
          <w:lang w:val="en-US"/>
        </w:rPr>
        <w:footnoteReference w:id="140"/>
      </w:r>
      <w:r>
        <w:rPr>
          <w:rFonts w:ascii="Times New Roman" w:hAnsi="Times New Roman"/>
        </w:rPr>
        <w:t xml:space="preserve"> ja tas kādreiz tāds ir bijis. Manuprāt, tas nekad tāds nav bijis turpmāk minēto iemeslu dēļ.</w:t>
      </w:r>
    </w:p>
    <w:p w14:paraId="1EA9C5ED"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44. Valsts sekretārs nesniedza atsevišķu atļauju 8. panta 4. punktā noteiktā ordera izpildei,</w:t>
      </w:r>
      <w:r w:rsidRPr="008D031E">
        <w:rPr>
          <w:rFonts w:ascii="Times New Roman" w:hAnsi="Times New Roman"/>
          <w:noProof/>
          <w:vertAlign w:val="superscript"/>
          <w:lang w:val="en-US"/>
        </w:rPr>
        <w:footnoteReference w:id="141"/>
      </w:r>
      <w:r>
        <w:rPr>
          <w:rFonts w:ascii="Times New Roman" w:hAnsi="Times New Roman"/>
        </w:rPr>
        <w:t xml:space="preserve"> jo ​​viņa pārtveršanas orderis paredzēja neierobežotu rīcības brīvību, turklāt tajā nebija minēts vai raksturots pārtveršanas subjekts, nebija paredzēts nepārprotams ierobežojums pārtveramo sakaru apmēram un nebija norādīti konkrēti nesēji vai selektori. Neviens īpašs noteikums nereglamentēja gadījumu, kad tika pieprasīti žurnālista, ārsta vai mācītāja sakari vai kad šāda netieša iejaukšanās bija iespējama, izņemot</w:t>
      </w:r>
      <w:r>
        <w:rPr>
          <w:rFonts w:ascii="Times New Roman" w:hAnsi="Times New Roman"/>
          <w:i/>
          <w:iCs/>
        </w:rPr>
        <w:t xml:space="preserve"> </w:t>
      </w:r>
      <w:proofErr w:type="spellStart"/>
      <w:r>
        <w:rPr>
          <w:rFonts w:ascii="Times New Roman" w:hAnsi="Times New Roman"/>
          <w:i/>
          <w:iCs/>
        </w:rPr>
        <w:t>IC</w:t>
      </w:r>
      <w:proofErr w:type="spellEnd"/>
      <w:r>
        <w:rPr>
          <w:rFonts w:ascii="Times New Roman" w:hAnsi="Times New Roman"/>
        </w:rPr>
        <w:t xml:space="preserve"> kodeksa nekaitīgo 4.28.–4.31. punktu.</w:t>
      </w:r>
      <w:r w:rsidRPr="008D031E">
        <w:rPr>
          <w:rFonts w:ascii="Times New Roman" w:hAnsi="Times New Roman"/>
          <w:noProof/>
          <w:vertAlign w:val="superscript"/>
          <w:lang w:val="en-US"/>
        </w:rPr>
        <w:footnoteReference w:id="142"/>
      </w:r>
      <w:r>
        <w:rPr>
          <w:rFonts w:ascii="Times New Roman" w:hAnsi="Times New Roman"/>
        </w:rPr>
        <w:t xml:space="preserve"> Nesēju izvēle un selektoru, tostarp spēcīgu selektoru, izmantošana ārējiem sakariem bija atkarīga no pārtverošās iestādes galīgā lēmuma.</w:t>
      </w:r>
      <w:r w:rsidRPr="008D031E">
        <w:rPr>
          <w:rFonts w:ascii="Times New Roman" w:hAnsi="Times New Roman"/>
          <w:noProof/>
          <w:vertAlign w:val="superscript"/>
          <w:lang w:val="en-US"/>
        </w:rPr>
        <w:footnoteReference w:id="143"/>
      </w:r>
      <w:r>
        <w:rPr>
          <w:rFonts w:ascii="Times New Roman" w:hAnsi="Times New Roman"/>
        </w:rPr>
        <w:t xml:space="preserve"> Vienkāršāk sakot, izlūkdienestu kopiena pilnībā kontrolēja atļauju piešķiršanas procedūru, neizpaužot valsts sekretāram svarīgu informāciju, kā rezultātā viņš nevarēja pienācīgi izvērtēt samērīgumu un nepieciešamību, bet tikai politiski </w:t>
      </w:r>
      <w:r>
        <w:rPr>
          <w:rFonts w:ascii="Times New Roman" w:hAnsi="Times New Roman"/>
        </w:rPr>
        <w:lastRenderedPageBreak/>
        <w:t>piesedza sistēmas darbību.</w:t>
      </w:r>
      <w:r w:rsidRPr="008D031E">
        <w:rPr>
          <w:rFonts w:ascii="Times New Roman" w:hAnsi="Times New Roman"/>
          <w:noProof/>
          <w:vertAlign w:val="superscript"/>
          <w:lang w:val="en-US"/>
        </w:rPr>
        <w:footnoteReference w:id="144"/>
      </w:r>
    </w:p>
    <w:p w14:paraId="721AE69E"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45. Turklāt valsts sekretāra izdotais prakses kodekss nebija saistošs, ļaujot atkāpties no tajā minētajiem noteikumiem pamatota iemesla dēļ. Situāciju vēl jo vairāk pasliktināja tas, ka analītiķu ikdienas darbu reglamentēja iekšēji regulētie noteikumi, kas nebija pieejami sabiedrībai, pat ne virspusēji vai rediģētā veidā.</w:t>
      </w:r>
      <w:r w:rsidRPr="008D031E">
        <w:rPr>
          <w:rFonts w:ascii="Times New Roman" w:hAnsi="Times New Roman"/>
          <w:noProof/>
          <w:vertAlign w:val="superscript"/>
          <w:lang w:val="en-US"/>
        </w:rPr>
        <w:footnoteReference w:id="145"/>
      </w:r>
      <w:r>
        <w:rPr>
          <w:rFonts w:ascii="Times New Roman" w:hAnsi="Times New Roman"/>
        </w:rPr>
        <w:t xml:space="preserve"> Šāda pārtverošās iestādes administratīvā rīcības brīvība ir pretrunā ar likumības principa mērķi, saskaņā ar kuru masveida pārtveršanu reglamentējošajiem noteikumiem ir jābūt noteiktiem valsts tiesību aktos, turklāt šim likumam ir jābūt pieejamam un paredzamam attiecībā uz tā sekām.</w:t>
      </w:r>
    </w:p>
    <w:p w14:paraId="0D0E2D38"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46. Sistēmas regulējuma nepilnības vēl jo vairāk pasliktināja komisāra sakaru pārtveršanas jautājumos (</w:t>
      </w:r>
      <w:proofErr w:type="spellStart"/>
      <w:r>
        <w:rPr>
          <w:rFonts w:ascii="Times New Roman" w:hAnsi="Times New Roman"/>
          <w:i/>
          <w:iCs/>
        </w:rPr>
        <w:t>IC</w:t>
      </w:r>
      <w:proofErr w:type="spellEnd"/>
      <w:r>
        <w:rPr>
          <w:rFonts w:ascii="Times New Roman" w:hAnsi="Times New Roman"/>
        </w:rPr>
        <w:t xml:space="preserve"> komisārs) statuss, kas nebija neatkarīga iestāde un nenodrošināja efektīvu pārtveršanas ordera izpildes pārraudzību.</w:t>
      </w:r>
      <w:r w:rsidRPr="008D031E">
        <w:rPr>
          <w:rFonts w:ascii="Times New Roman" w:hAnsi="Times New Roman"/>
          <w:noProof/>
          <w:vertAlign w:val="superscript"/>
          <w:lang w:val="en-US"/>
        </w:rPr>
        <w:footnoteReference w:id="146"/>
      </w:r>
      <w:r>
        <w:rPr>
          <w:rFonts w:ascii="Times New Roman" w:hAnsi="Times New Roman"/>
        </w:rPr>
        <w:t xml:space="preserve"> </w:t>
      </w:r>
      <w:bookmarkStart w:id="311" w:name="_Hlk69815982"/>
      <w:r>
        <w:rPr>
          <w:rFonts w:ascii="Times New Roman" w:hAnsi="Times New Roman"/>
        </w:rPr>
        <w:t xml:space="preserve">Kā norādīts 2015. gada </w:t>
      </w:r>
      <w:proofErr w:type="spellStart"/>
      <w:r>
        <w:rPr>
          <w:rFonts w:ascii="Times New Roman" w:hAnsi="Times New Roman"/>
          <w:i/>
          <w:iCs/>
        </w:rPr>
        <w:t>ISC</w:t>
      </w:r>
      <w:proofErr w:type="spellEnd"/>
      <w:r>
        <w:rPr>
          <w:rFonts w:ascii="Times New Roman" w:hAnsi="Times New Roman"/>
        </w:rPr>
        <w:t xml:space="preserve"> ziņojumā, “lai gan abi komisāri ir bijušie tiesneši, viņi kā komisāri darbojas ārpus oficiālās tiesu sistēmas”, tādēļ secinot, ka “vairāki no šiem pienākumiem pašlaik tiek pildīti bez juridiskām pilnvarām. Tas ir neapmierinoši un nepieņemami.”</w:t>
      </w:r>
      <w:r w:rsidRPr="008D031E">
        <w:rPr>
          <w:rFonts w:ascii="Times New Roman" w:hAnsi="Times New Roman"/>
          <w:noProof/>
          <w:vertAlign w:val="superscript"/>
          <w:lang w:val="en-US"/>
        </w:rPr>
        <w:footnoteReference w:id="147"/>
      </w:r>
      <w:bookmarkEnd w:id="311"/>
      <w:r>
        <w:rPr>
          <w:rFonts w:ascii="Times New Roman" w:hAnsi="Times New Roman"/>
        </w:rPr>
        <w:t xml:space="preserve"> Un tas attiecībā uz </w:t>
      </w:r>
      <w:proofErr w:type="spellStart"/>
      <w:r>
        <w:rPr>
          <w:rFonts w:ascii="Times New Roman" w:hAnsi="Times New Roman"/>
          <w:i/>
          <w:iCs/>
        </w:rPr>
        <w:t>IC</w:t>
      </w:r>
      <w:proofErr w:type="spellEnd"/>
      <w:r>
        <w:rPr>
          <w:rFonts w:ascii="Times New Roman" w:hAnsi="Times New Roman"/>
        </w:rPr>
        <w:t xml:space="preserve"> komisāra statusu vēl nav tas ļaunākais. Saskaņā ar likumu Ministru prezidents iecēla </w:t>
      </w:r>
      <w:proofErr w:type="spellStart"/>
      <w:r>
        <w:rPr>
          <w:rFonts w:ascii="Times New Roman" w:hAnsi="Times New Roman"/>
          <w:i/>
          <w:iCs/>
        </w:rPr>
        <w:t>IC</w:t>
      </w:r>
      <w:proofErr w:type="spellEnd"/>
      <w:r>
        <w:rPr>
          <w:rFonts w:ascii="Times New Roman" w:hAnsi="Times New Roman"/>
        </w:rPr>
        <w:t xml:space="preserve"> komisāru, kurš darbojās viņa vai viņas pakļautībā un bija atkarīgs no valsts sekretāra ieceltā personāla.</w:t>
      </w:r>
      <w:r w:rsidRPr="008D031E">
        <w:rPr>
          <w:rFonts w:ascii="Times New Roman" w:hAnsi="Times New Roman"/>
          <w:noProof/>
          <w:vertAlign w:val="superscript"/>
          <w:lang w:val="en-US"/>
        </w:rPr>
        <w:footnoteReference w:id="148"/>
      </w:r>
      <w:r>
        <w:rPr>
          <w:rFonts w:ascii="Times New Roman" w:hAnsi="Times New Roman"/>
        </w:rPr>
        <w:t xml:space="preserve"> Turklāt tas bija nepilnas slodzes darbs un Ministru prezidents varēja atbrīvot </w:t>
      </w:r>
      <w:proofErr w:type="spellStart"/>
      <w:r>
        <w:rPr>
          <w:rFonts w:ascii="Times New Roman" w:hAnsi="Times New Roman"/>
          <w:i/>
          <w:iCs/>
        </w:rPr>
        <w:t>IC</w:t>
      </w:r>
      <w:proofErr w:type="spellEnd"/>
      <w:r>
        <w:rPr>
          <w:rFonts w:ascii="Times New Roman" w:hAnsi="Times New Roman"/>
        </w:rPr>
        <w:t xml:space="preserve"> komisāru no amata jebkurā brīdī.</w:t>
      </w:r>
      <w:r w:rsidRPr="008D031E">
        <w:rPr>
          <w:rFonts w:ascii="Times New Roman" w:hAnsi="Times New Roman"/>
          <w:noProof/>
          <w:vertAlign w:val="superscript"/>
          <w:lang w:val="en-US"/>
        </w:rPr>
        <w:footnoteReference w:id="149"/>
      </w:r>
      <w:r>
        <w:rPr>
          <w:rFonts w:ascii="Times New Roman" w:hAnsi="Times New Roman"/>
        </w:rPr>
        <w:t xml:space="preserve"> Šis statuss acīmredzami nebija savienojams ar neatkarību, kas nepieciešama, lai efektīvi pārraudzītu 8. panta 4. punktā noteikto režīmu. Īsāk sakot, komisāri nebija “institucionāli, funkcionāli un finansiāli neatkarīgi no iestādēm, kuras viņi [bija] pilnvaroti pārraudzīt”, kā to paredz </w:t>
      </w:r>
      <w:proofErr w:type="spellStart"/>
      <w:r>
        <w:rPr>
          <w:rFonts w:ascii="Times New Roman" w:hAnsi="Times New Roman"/>
        </w:rPr>
        <w:t>Tšvānes</w:t>
      </w:r>
      <w:proofErr w:type="spellEnd"/>
      <w:r>
        <w:rPr>
          <w:rFonts w:ascii="Times New Roman" w:hAnsi="Times New Roman"/>
        </w:rPr>
        <w:t xml:space="preserve"> principi.</w:t>
      </w:r>
      <w:r w:rsidRPr="008D031E">
        <w:rPr>
          <w:rFonts w:ascii="Times New Roman" w:hAnsi="Times New Roman"/>
          <w:noProof/>
          <w:vertAlign w:val="superscript"/>
          <w:lang w:val="en-US"/>
        </w:rPr>
        <w:footnoteReference w:id="150"/>
      </w:r>
    </w:p>
    <w:p w14:paraId="73E96D85"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47. Pat ja argumentācijas apspriešanas nolūkā varētu pieņemt, ka komisāra īstenotā uzraudzība Apvienotajā Karalistē bija neatkarīga, tā nebija efektīva tā vienkāršā iemesla dēļ, ka, saskaroties ar nopietnu pārkāpumu, komisārs varētu vienīgi par to ziņot Ministru prezidentam, vēršot viņa vai viņas uzmanību uz šo pārkāpumu, un, ja tā, izlemt, cik lielā mērā šo pārkāpumu bija iespējams publiskot.</w:t>
      </w:r>
      <w:r w:rsidRPr="008D031E">
        <w:rPr>
          <w:rFonts w:ascii="Times New Roman" w:hAnsi="Times New Roman"/>
          <w:noProof/>
          <w:vertAlign w:val="superscript"/>
          <w:lang w:val="en-US"/>
        </w:rPr>
        <w:footnoteReference w:id="151"/>
      </w:r>
      <w:r>
        <w:rPr>
          <w:rFonts w:ascii="Times New Roman" w:hAnsi="Times New Roman"/>
        </w:rPr>
        <w:t xml:space="preserve"> Piemēram, viņš nevarēja ne nodot lietu izskatīšanai </w:t>
      </w:r>
      <w:proofErr w:type="spellStart"/>
      <w:r>
        <w:rPr>
          <w:rFonts w:ascii="Times New Roman" w:hAnsi="Times New Roman"/>
          <w:i/>
          <w:iCs/>
        </w:rPr>
        <w:t>IPT</w:t>
      </w:r>
      <w:proofErr w:type="spellEnd"/>
      <w:r>
        <w:rPr>
          <w:rFonts w:ascii="Times New Roman" w:hAnsi="Times New Roman"/>
        </w:rPr>
        <w:t>, ne informēt cietušo par pārmērīgu pārtveršanu. Patiesībā komisārs pat nespēja konstatēt, ka pieteikuma iesniedzēji “</w:t>
      </w:r>
      <w:proofErr w:type="spellStart"/>
      <w:r>
        <w:rPr>
          <w:rFonts w:ascii="Times New Roman" w:hAnsi="Times New Roman"/>
        </w:rPr>
        <w:t>Amnesty</w:t>
      </w:r>
      <w:proofErr w:type="spellEnd"/>
      <w:r>
        <w:rPr>
          <w:rFonts w:ascii="Times New Roman" w:hAnsi="Times New Roman"/>
        </w:rPr>
        <w:t xml:space="preserve"> </w:t>
      </w:r>
      <w:proofErr w:type="spellStart"/>
      <w:r>
        <w:rPr>
          <w:rFonts w:ascii="Times New Roman" w:hAnsi="Times New Roman"/>
        </w:rPr>
        <w:t>International</w:t>
      </w:r>
      <w:proofErr w:type="spellEnd"/>
      <w:r>
        <w:rPr>
          <w:rFonts w:ascii="Times New Roman" w:hAnsi="Times New Roman"/>
        </w:rPr>
        <w:t xml:space="preserve">” un Dienvidāfrikas Juridisko resursu centrs bija </w:t>
      </w:r>
      <w:proofErr w:type="spellStart"/>
      <w:r>
        <w:rPr>
          <w:rFonts w:ascii="Times New Roman" w:hAnsi="Times New Roman"/>
        </w:rPr>
        <w:t>saskārušies</w:t>
      </w:r>
      <w:proofErr w:type="spellEnd"/>
      <w:r>
        <w:rPr>
          <w:rFonts w:ascii="Times New Roman" w:hAnsi="Times New Roman"/>
        </w:rPr>
        <w:t xml:space="preserve"> ar pretlikumīgu uzraudzību!</w:t>
      </w:r>
    </w:p>
    <w:p w14:paraId="5D1B7FA6"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48. Pārtveršanas un saglabāšanas periodu ilgumam likumā nebija noteikts maksimālais termiņš, un praksē šis trūkums netika novērsts.</w:t>
      </w:r>
      <w:r w:rsidRPr="008D031E">
        <w:rPr>
          <w:rFonts w:ascii="Times New Roman" w:hAnsi="Times New Roman"/>
          <w:noProof/>
          <w:vertAlign w:val="superscript"/>
          <w:lang w:val="en-US"/>
        </w:rPr>
        <w:footnoteReference w:id="152"/>
      </w:r>
      <w:r>
        <w:rPr>
          <w:rFonts w:ascii="Times New Roman" w:hAnsi="Times New Roman"/>
        </w:rPr>
        <w:t xml:space="preserve"> 8. panta 4. punktā noteiktos orderus varēja atjaunot </w:t>
      </w:r>
      <w:proofErr w:type="spellStart"/>
      <w:r>
        <w:rPr>
          <w:rFonts w:ascii="Times New Roman" w:hAnsi="Times New Roman"/>
          <w:i/>
          <w:iCs/>
        </w:rPr>
        <w:t>ad</w:t>
      </w:r>
      <w:proofErr w:type="spellEnd"/>
      <w:r>
        <w:rPr>
          <w:rFonts w:ascii="Times New Roman" w:hAnsi="Times New Roman"/>
          <w:i/>
          <w:iCs/>
        </w:rPr>
        <w:t> </w:t>
      </w:r>
      <w:proofErr w:type="spellStart"/>
      <w:r>
        <w:rPr>
          <w:rFonts w:ascii="Times New Roman" w:hAnsi="Times New Roman"/>
          <w:i/>
          <w:iCs/>
        </w:rPr>
        <w:t>aeternum</w:t>
      </w:r>
      <w:proofErr w:type="spellEnd"/>
      <w:r>
        <w:rPr>
          <w:rFonts w:ascii="Times New Roman" w:hAnsi="Times New Roman"/>
        </w:rPr>
        <w:t>.</w:t>
      </w:r>
      <w:r w:rsidRPr="008D031E">
        <w:rPr>
          <w:rFonts w:ascii="Times New Roman" w:hAnsi="Times New Roman"/>
          <w:noProof/>
          <w:vertAlign w:val="superscript"/>
          <w:lang w:val="en-US"/>
        </w:rPr>
        <w:footnoteReference w:id="153"/>
      </w:r>
      <w:r>
        <w:rPr>
          <w:rFonts w:ascii="Times New Roman" w:hAnsi="Times New Roman"/>
        </w:rPr>
        <w:t xml:space="preserve"> Turklāt saglabāšanas periodi dažādām pārtverošajām iestādēm</w:t>
      </w:r>
      <w:r w:rsidRPr="008D031E">
        <w:rPr>
          <w:rFonts w:ascii="Times New Roman" w:hAnsi="Times New Roman"/>
          <w:noProof/>
          <w:vertAlign w:val="superscript"/>
          <w:lang w:val="en-US"/>
        </w:rPr>
        <w:footnoteReference w:id="154"/>
      </w:r>
      <w:r>
        <w:rPr>
          <w:rFonts w:ascii="Times New Roman" w:hAnsi="Times New Roman"/>
        </w:rPr>
        <w:t xml:space="preserve"> atšķīrās un no “ierastā” maksimālā saglabāšanas termiņa (t. i., divi gadi) saskaņā ar</w:t>
      </w:r>
      <w:r>
        <w:rPr>
          <w:rFonts w:ascii="Times New Roman" w:hAnsi="Times New Roman"/>
          <w:i/>
          <w:iCs/>
        </w:rPr>
        <w:t xml:space="preserve"> </w:t>
      </w:r>
      <w:proofErr w:type="spellStart"/>
      <w:r>
        <w:rPr>
          <w:rFonts w:ascii="Times New Roman" w:hAnsi="Times New Roman"/>
          <w:i/>
          <w:iCs/>
        </w:rPr>
        <w:t>IC</w:t>
      </w:r>
      <w:proofErr w:type="spellEnd"/>
      <w:r>
        <w:rPr>
          <w:rFonts w:ascii="Times New Roman" w:hAnsi="Times New Roman"/>
        </w:rPr>
        <w:t xml:space="preserve"> kodeksa </w:t>
      </w:r>
      <w:r>
        <w:rPr>
          <w:rFonts w:ascii="Times New Roman" w:hAnsi="Times New Roman"/>
        </w:rPr>
        <w:lastRenderedPageBreak/>
        <w:t>7.9. punktu varēja atteikties pati pārtverošās iestādes vadošā amatpersona. Šis ir spilgts pierādījums tam, kuram Lielbritānijas masveida pārtveršanas sistēmā bija vadošā loma.</w:t>
      </w:r>
      <w:r w:rsidRPr="008D031E">
        <w:rPr>
          <w:rFonts w:ascii="Times New Roman" w:hAnsi="Times New Roman"/>
          <w:noProof/>
          <w:vertAlign w:val="superscript"/>
          <w:lang w:val="en-US"/>
        </w:rPr>
        <w:footnoteReference w:id="155"/>
      </w:r>
    </w:p>
    <w:p w14:paraId="02FCF8B9" w14:textId="77777777" w:rsidR="00DA068F" w:rsidRDefault="00DA068F" w:rsidP="00DA068F">
      <w:pPr>
        <w:pStyle w:val="JuPara"/>
        <w:widowControl w:val="0"/>
        <w:ind w:firstLine="142"/>
        <w:rPr>
          <w:rFonts w:ascii="Times New Roman" w:hAnsi="Times New Roman"/>
          <w:noProof/>
        </w:rPr>
      </w:pPr>
      <w:r>
        <w:rPr>
          <w:rFonts w:ascii="Times New Roman" w:hAnsi="Times New Roman"/>
        </w:rPr>
        <w:t>49. Pārtveršanas procesa beigās nebija jāizpilda pienākums par subjekta informēšanu.</w:t>
      </w:r>
      <w:r w:rsidRPr="008D031E">
        <w:rPr>
          <w:rFonts w:ascii="Times New Roman" w:hAnsi="Times New Roman"/>
          <w:noProof/>
          <w:vertAlign w:val="superscript"/>
          <w:lang w:val="en-US"/>
        </w:rPr>
        <w:footnoteReference w:id="156"/>
      </w:r>
      <w:r>
        <w:rPr>
          <w:rFonts w:ascii="Times New Roman" w:hAnsi="Times New Roman"/>
        </w:rPr>
        <w:t xml:space="preserve"> Ja šāda informēšana netika veikta, tiesības vērsties tiesā lielākoties bija veltīgas. Tā tas bija Apvienotajā Karalistē.</w:t>
      </w:r>
      <w:r w:rsidRPr="008D031E">
        <w:rPr>
          <w:rFonts w:ascii="Times New Roman" w:hAnsi="Times New Roman"/>
          <w:noProof/>
          <w:vertAlign w:val="superscript"/>
          <w:lang w:val="en-US"/>
        </w:rPr>
        <w:footnoteReference w:id="157"/>
      </w:r>
      <w:r>
        <w:rPr>
          <w:rFonts w:ascii="Times New Roman" w:hAnsi="Times New Roman"/>
        </w:rPr>
        <w:t xml:space="preserve"> </w:t>
      </w:r>
      <w:proofErr w:type="spellStart"/>
      <w:r>
        <w:rPr>
          <w:rFonts w:ascii="Times New Roman" w:hAnsi="Times New Roman"/>
          <w:i/>
          <w:iCs/>
        </w:rPr>
        <w:t>IPT</w:t>
      </w:r>
      <w:proofErr w:type="spellEnd"/>
      <w:r>
        <w:rPr>
          <w:rFonts w:ascii="Times New Roman" w:hAnsi="Times New Roman"/>
        </w:rPr>
        <w:t xml:space="preserve"> rīkojās tikai pēc tam, kad bija saņēmusi sūdzību no personas, kura uzskatīja, ka attiecībā uz to veikta slepena uzraudzība, kas nozīmēja, ka </w:t>
      </w:r>
      <w:proofErr w:type="spellStart"/>
      <w:r>
        <w:rPr>
          <w:rFonts w:ascii="Times New Roman" w:hAnsi="Times New Roman"/>
          <w:i/>
          <w:iCs/>
        </w:rPr>
        <w:t>IPT</w:t>
      </w:r>
      <w:proofErr w:type="spellEnd"/>
      <w:r>
        <w:rPr>
          <w:rFonts w:ascii="Times New Roman" w:hAnsi="Times New Roman"/>
        </w:rPr>
        <w:t xml:space="preserve"> bija tikai teorētiska garantija visiem tiem pārtveršanas subjektiem, kuriem nebija ne jausmas, ka viņu sakari ir pārtverti.</w:t>
      </w:r>
      <w:r w:rsidRPr="008D031E">
        <w:rPr>
          <w:rFonts w:ascii="Times New Roman" w:hAnsi="Times New Roman"/>
          <w:noProof/>
          <w:vertAlign w:val="superscript"/>
          <w:lang w:val="en-US"/>
        </w:rPr>
        <w:footnoteReference w:id="158"/>
      </w:r>
      <w:r>
        <w:rPr>
          <w:rFonts w:ascii="Times New Roman" w:hAnsi="Times New Roman"/>
        </w:rPr>
        <w:t xml:space="preserve"> </w:t>
      </w:r>
      <w:proofErr w:type="spellStart"/>
      <w:r>
        <w:rPr>
          <w:rFonts w:ascii="Times New Roman" w:hAnsi="Times New Roman"/>
          <w:i/>
          <w:iCs/>
        </w:rPr>
        <w:t>IPT</w:t>
      </w:r>
      <w:proofErr w:type="spellEnd"/>
      <w:r>
        <w:rPr>
          <w:rFonts w:ascii="Times New Roman" w:hAnsi="Times New Roman"/>
        </w:rPr>
        <w:t xml:space="preserve"> nepietiekamo pārraudzību vēl jo vairāk pasliktināja tas, ka tai nebija tiesību vērsties </w:t>
      </w:r>
      <w:proofErr w:type="spellStart"/>
      <w:r>
        <w:rPr>
          <w:rFonts w:ascii="Times New Roman" w:hAnsi="Times New Roman"/>
        </w:rPr>
        <w:t>ECT</w:t>
      </w:r>
      <w:proofErr w:type="spellEnd"/>
      <w:r>
        <w:rPr>
          <w:rFonts w:ascii="Times New Roman" w:hAnsi="Times New Roman"/>
        </w:rPr>
        <w:t>, lai paziņotu par primāro tiesību neatbilstību, jo tā Konvencijas 4. panta izpratnē nebija “tiesa”, turklāt tās nolēmumi nebija pārsūdzami, un dīvainā kārtā valsts sekretāram bija tiesības pieņemt</w:t>
      </w:r>
      <w:r>
        <w:rPr>
          <w:rFonts w:ascii="Times New Roman" w:hAnsi="Times New Roman"/>
          <w:i/>
          <w:iCs/>
        </w:rPr>
        <w:t xml:space="preserve"> </w:t>
      </w:r>
      <w:proofErr w:type="spellStart"/>
      <w:r>
        <w:rPr>
          <w:rFonts w:ascii="Times New Roman" w:hAnsi="Times New Roman"/>
          <w:i/>
          <w:iCs/>
        </w:rPr>
        <w:t>IPT</w:t>
      </w:r>
      <w:proofErr w:type="spellEnd"/>
      <w:r>
        <w:rPr>
          <w:rFonts w:ascii="Times New Roman" w:hAnsi="Times New Roman"/>
        </w:rPr>
        <w:t xml:space="preserve"> procesuālos noteikumus, kas praksē nozīmēja to, ka uzraudzītajai iestādei bija tiesības noteikt noteikumus, kas reglamentē uzraudzības struktūru.</w:t>
      </w:r>
      <w:r w:rsidRPr="008D031E">
        <w:rPr>
          <w:rFonts w:ascii="Times New Roman" w:hAnsi="Times New Roman"/>
          <w:noProof/>
          <w:vertAlign w:val="superscript"/>
          <w:lang w:val="en-US"/>
        </w:rPr>
        <w:footnoteReference w:id="159"/>
      </w:r>
    </w:p>
    <w:p w14:paraId="3DDE7686" w14:textId="77777777" w:rsidR="00DA068F" w:rsidRPr="008D031E" w:rsidRDefault="00DA068F" w:rsidP="00DA068F">
      <w:pPr>
        <w:pStyle w:val="JuPara"/>
        <w:widowControl w:val="0"/>
        <w:ind w:firstLine="142"/>
        <w:rPr>
          <w:rFonts w:ascii="Times New Roman" w:hAnsi="Times New Roman"/>
          <w:noProof/>
          <w:lang w:val="en-US"/>
        </w:rPr>
      </w:pPr>
    </w:p>
    <w:p w14:paraId="1A75B7B2" w14:textId="77777777" w:rsidR="00DA068F" w:rsidRDefault="00DA068F" w:rsidP="00DA068F">
      <w:pPr>
        <w:pStyle w:val="JuHA"/>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B. Pārtverto datu apmaiņa ar ārvalstu izlūkdienestiem</w:t>
      </w:r>
    </w:p>
    <w:p w14:paraId="3114D6F2" w14:textId="77777777" w:rsidR="00DA068F" w:rsidRPr="002F03D6" w:rsidRDefault="00DA068F" w:rsidP="00DA068F">
      <w:pPr>
        <w:pStyle w:val="JuPara"/>
        <w:widowControl w:val="0"/>
        <w:rPr>
          <w:lang w:val="en-US"/>
        </w:rPr>
      </w:pPr>
    </w:p>
    <w:p w14:paraId="0786CCFF"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50. Nav skaidra tiesiskā regulējuma, kas būtu analogs </w:t>
      </w:r>
      <w:r>
        <w:rPr>
          <w:rFonts w:ascii="Times New Roman" w:hAnsi="Times New Roman"/>
          <w:i/>
          <w:iCs/>
        </w:rPr>
        <w:t>RIPA</w:t>
      </w:r>
      <w:r>
        <w:rPr>
          <w:rFonts w:ascii="Times New Roman" w:hAnsi="Times New Roman"/>
        </w:rPr>
        <w:t xml:space="preserve"> un regulētu pilnvaras, kuras Lielbritānijas valdība var izmantot, lai pārtvertu datus no ārvalstīm. Tikai 2016. gada janvārī </w:t>
      </w:r>
      <w:proofErr w:type="spellStart"/>
      <w:r>
        <w:rPr>
          <w:rFonts w:ascii="Times New Roman" w:hAnsi="Times New Roman"/>
          <w:i/>
          <w:iCs/>
        </w:rPr>
        <w:t>IC</w:t>
      </w:r>
      <w:proofErr w:type="spellEnd"/>
      <w:r>
        <w:rPr>
          <w:rFonts w:ascii="Times New Roman" w:hAnsi="Times New Roman"/>
        </w:rPr>
        <w:t xml:space="preserve"> kodeksa 12. nodaļa noteica pamatu šādai apmaiņai.</w:t>
      </w:r>
      <w:r w:rsidRPr="008D031E">
        <w:rPr>
          <w:rFonts w:ascii="Times New Roman" w:hAnsi="Times New Roman"/>
          <w:noProof/>
          <w:vertAlign w:val="superscript"/>
          <w:lang w:val="en-US"/>
        </w:rPr>
        <w:footnoteReference w:id="160"/>
      </w:r>
      <w:r>
        <w:rPr>
          <w:rFonts w:ascii="Times New Roman" w:hAnsi="Times New Roman"/>
        </w:rPr>
        <w:t xml:space="preserve"> Saskaņā ar </w:t>
      </w:r>
      <w:proofErr w:type="spellStart"/>
      <w:r>
        <w:rPr>
          <w:rFonts w:ascii="Times New Roman" w:hAnsi="Times New Roman"/>
          <w:i/>
          <w:iCs/>
        </w:rPr>
        <w:t>IC</w:t>
      </w:r>
      <w:proofErr w:type="spellEnd"/>
      <w:r>
        <w:rPr>
          <w:rFonts w:ascii="Times New Roman" w:hAnsi="Times New Roman"/>
        </w:rPr>
        <w:t xml:space="preserve"> kodeksa 12.5. punktu un tā zemsvītras piezīmi ārvalstu izlūkdienestu pieprasījumus par pārtvertiem sakariem un saistītajiem sakaru datiem var iesniegt attiecībā uz “materiālu uz konkrētiem selektoriem, no tiem un par tiem”.</w:t>
      </w:r>
      <w:r w:rsidRPr="008D031E">
        <w:rPr>
          <w:rFonts w:ascii="Times New Roman" w:hAnsi="Times New Roman"/>
          <w:noProof/>
          <w:vertAlign w:val="superscript"/>
          <w:lang w:val="en-US"/>
        </w:rPr>
        <w:footnoteReference w:id="161"/>
      </w:r>
      <w:r>
        <w:rPr>
          <w:rFonts w:ascii="Times New Roman" w:hAnsi="Times New Roman"/>
        </w:rPr>
        <w:t xml:space="preserve"> </w:t>
      </w:r>
      <w:proofErr w:type="spellStart"/>
      <w:r>
        <w:rPr>
          <w:rFonts w:ascii="Times New Roman" w:hAnsi="Times New Roman"/>
          <w:i/>
          <w:iCs/>
        </w:rPr>
        <w:t>NSA</w:t>
      </w:r>
      <w:proofErr w:type="spellEnd"/>
      <w:r>
        <w:rPr>
          <w:rFonts w:ascii="Times New Roman" w:hAnsi="Times New Roman"/>
        </w:rPr>
        <w:t xml:space="preserve"> atteicās no “par” materiāla apkopošanas 2017. gada aprīlī, jo šādu rīcību tās pārmērīgā apmēra dēļ nevarēja veikt likumīgi.</w:t>
      </w:r>
      <w:r w:rsidRPr="008D031E">
        <w:rPr>
          <w:rFonts w:ascii="Times New Roman" w:hAnsi="Times New Roman"/>
          <w:noProof/>
          <w:vertAlign w:val="superscript"/>
          <w:lang w:val="en-US"/>
        </w:rPr>
        <w:footnoteReference w:id="162"/>
      </w:r>
      <w:r>
        <w:rPr>
          <w:rFonts w:ascii="Times New Roman" w:hAnsi="Times New Roman"/>
        </w:rPr>
        <w:t xml:space="preserve"> Tomēr Tiesas pārsteidzošā vēlme pieņemt atbildētājas Valdības “apkopojiet visu” politiku</w:t>
      </w:r>
      <w:r w:rsidRPr="008D031E">
        <w:rPr>
          <w:rFonts w:ascii="Times New Roman" w:hAnsi="Times New Roman"/>
          <w:noProof/>
          <w:vertAlign w:val="superscript"/>
          <w:lang w:val="en-US"/>
        </w:rPr>
        <w:footnoteReference w:id="163"/>
      </w:r>
      <w:r>
        <w:rPr>
          <w:rFonts w:ascii="Times New Roman" w:hAnsi="Times New Roman"/>
        </w:rPr>
        <w:t xml:space="preserve"> pārsniedz pat </w:t>
      </w:r>
      <w:proofErr w:type="spellStart"/>
      <w:r>
        <w:rPr>
          <w:rFonts w:ascii="Times New Roman" w:hAnsi="Times New Roman"/>
          <w:i/>
          <w:iCs/>
        </w:rPr>
        <w:t>NSA</w:t>
      </w:r>
      <w:proofErr w:type="spellEnd"/>
      <w:r>
        <w:rPr>
          <w:rFonts w:ascii="Times New Roman" w:hAnsi="Times New Roman"/>
        </w:rPr>
        <w:t xml:space="preserve"> pilnvaras, pieļaujot ne tikai “par” apkopošanas pieprasījumus, bet pat pieprasījumus par tādu materiālu, kas nav saistīts ar konkrētiem selektoriem.</w:t>
      </w:r>
      <w:r w:rsidRPr="008D031E">
        <w:rPr>
          <w:rFonts w:ascii="Times New Roman" w:hAnsi="Times New Roman"/>
          <w:noProof/>
          <w:vertAlign w:val="superscript"/>
          <w:lang w:val="en-US"/>
        </w:rPr>
        <w:footnoteReference w:id="164"/>
      </w:r>
    </w:p>
    <w:p w14:paraId="59730643"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51. Tiesa uzskata, ka attiecībā uz masveida materiāla pārsūtīšanu ārvalstu izlūkošanas partneriem ir jāveic “neatkarīga kontrole,</w:t>
      </w:r>
      <w:r w:rsidRPr="008D031E">
        <w:rPr>
          <w:rFonts w:ascii="Times New Roman" w:hAnsi="Times New Roman"/>
          <w:noProof/>
          <w:vertAlign w:val="superscript"/>
          <w:lang w:val="en-US"/>
        </w:rPr>
        <w:footnoteReference w:id="165"/>
      </w:r>
      <w:r>
        <w:rPr>
          <w:rFonts w:ascii="Times New Roman" w:hAnsi="Times New Roman"/>
        </w:rPr>
        <w:t>, bet ne attiecībā uz ārvalstu izlūkošanas iestāžu apkopoto materiālu</w:t>
      </w:r>
      <w:r w:rsidRPr="008D031E">
        <w:rPr>
          <w:rFonts w:ascii="Times New Roman" w:hAnsi="Times New Roman"/>
          <w:noProof/>
          <w:vertAlign w:val="superscript"/>
          <w:lang w:val="en-US"/>
        </w:rPr>
        <w:footnoteReference w:id="166"/>
      </w:r>
      <w:r>
        <w:rPr>
          <w:rFonts w:ascii="Times New Roman" w:hAnsi="Times New Roman"/>
        </w:rPr>
        <w:t xml:space="preserve">. Ja drošības pasākumi saistībā ar Apvienotās Karalistes pārtverošo iestāžu veikto tiešo uzraudzību ir neatbilstoši, tie būtu jāuzskata par neatbilstošiem arī to </w:t>
      </w:r>
      <w:r>
        <w:rPr>
          <w:rFonts w:ascii="Times New Roman" w:hAnsi="Times New Roman"/>
        </w:rPr>
        <w:lastRenderedPageBreak/>
        <w:t xml:space="preserve">veiktajai netiešajai uzraudzībai, kas izriet no trešo personu pārtvertā materiāla </w:t>
      </w:r>
      <w:proofErr w:type="spellStart"/>
      <w:r>
        <w:rPr>
          <w:rFonts w:ascii="Times New Roman" w:hAnsi="Times New Roman"/>
        </w:rPr>
        <w:t>izlūkdatu</w:t>
      </w:r>
      <w:proofErr w:type="spellEnd"/>
      <w:r>
        <w:rPr>
          <w:rFonts w:ascii="Times New Roman" w:hAnsi="Times New Roman"/>
        </w:rPr>
        <w:t xml:space="preserve"> apmaiņas, vēl jo vairāk, ja šādu materiālu apkopo trešā persona, kurai Konvencija nav saistoša. Ja pastāv lielāks risks, ka materiāls tiks apkopots un uzglabāts pretēji Konvencijā noteiktajam, un tāpēc ir visvairāk nepieciešama neatkarīga pārraudzība, Tiesa ir atteikusies no šī drošības pasākuma bez jebkāda pienācīga pamatojuma.</w:t>
      </w:r>
      <w:r w:rsidRPr="008D031E">
        <w:rPr>
          <w:rFonts w:ascii="Times New Roman" w:hAnsi="Times New Roman"/>
          <w:noProof/>
          <w:vertAlign w:val="superscript"/>
          <w:lang w:val="en-US"/>
        </w:rPr>
        <w:footnoteReference w:id="167"/>
      </w:r>
      <w:r>
        <w:rPr>
          <w:rFonts w:ascii="Times New Roman" w:hAnsi="Times New Roman"/>
        </w:rPr>
        <w:t xml:space="preserve"> Šajā ziņā </w:t>
      </w:r>
      <w:proofErr w:type="spellStart"/>
      <w:r>
        <w:rPr>
          <w:rFonts w:ascii="Times New Roman" w:hAnsi="Times New Roman"/>
          <w:i/>
          <w:iCs/>
        </w:rPr>
        <w:t>IC</w:t>
      </w:r>
      <w:proofErr w:type="spellEnd"/>
      <w:r>
        <w:rPr>
          <w:rFonts w:ascii="Times New Roman" w:hAnsi="Times New Roman"/>
        </w:rPr>
        <w:t xml:space="preserve"> komisāra un </w:t>
      </w:r>
      <w:proofErr w:type="spellStart"/>
      <w:r>
        <w:rPr>
          <w:rFonts w:ascii="Times New Roman" w:hAnsi="Times New Roman"/>
          <w:i/>
          <w:iCs/>
        </w:rPr>
        <w:t>IPT</w:t>
      </w:r>
      <w:proofErr w:type="spellEnd"/>
      <w:r>
        <w:rPr>
          <w:rFonts w:ascii="Times New Roman" w:hAnsi="Times New Roman"/>
        </w:rPr>
        <w:t xml:space="preserve"> īstenotā pārraudzība, uz kuru atsaucās Valdība un Lielās palātas vairākums, bija praktiski neefektīva, ko varēja novērot, gan kontrolējot trešās personas pārtvertā materiāla </w:t>
      </w:r>
      <w:proofErr w:type="spellStart"/>
      <w:r>
        <w:rPr>
          <w:rFonts w:ascii="Times New Roman" w:hAnsi="Times New Roman"/>
        </w:rPr>
        <w:t>izlūkdatu</w:t>
      </w:r>
      <w:proofErr w:type="spellEnd"/>
      <w:r>
        <w:rPr>
          <w:rFonts w:ascii="Times New Roman" w:hAnsi="Times New Roman"/>
        </w:rPr>
        <w:t xml:space="preserve"> apmaiņu, gan pārraugot valsts līmeņa uzraudzību, jo </w:t>
      </w:r>
      <w:proofErr w:type="spellStart"/>
      <w:r>
        <w:rPr>
          <w:rFonts w:ascii="Times New Roman" w:hAnsi="Times New Roman"/>
          <w:i/>
          <w:iCs/>
        </w:rPr>
        <w:t>IPT</w:t>
      </w:r>
      <w:proofErr w:type="spellEnd"/>
      <w:r>
        <w:rPr>
          <w:rFonts w:ascii="Times New Roman" w:hAnsi="Times New Roman"/>
        </w:rPr>
        <w:t xml:space="preserve"> iejaucās vienīgi tad, ja bija iesniegta sūdzība, savukārt </w:t>
      </w:r>
      <w:proofErr w:type="spellStart"/>
      <w:r>
        <w:rPr>
          <w:rFonts w:ascii="Times New Roman" w:hAnsi="Times New Roman"/>
          <w:i/>
          <w:iCs/>
        </w:rPr>
        <w:t>IC</w:t>
      </w:r>
      <w:proofErr w:type="spellEnd"/>
      <w:r>
        <w:rPr>
          <w:rFonts w:ascii="Times New Roman" w:hAnsi="Times New Roman"/>
        </w:rPr>
        <w:t xml:space="preserve"> komisāram nebija citu pilnvaru, kā vien iesniegt ziņojumu Ministru prezidentam, lai vērstu viņa vai viņas uzmanību uz kādu nopietnu pārkāpumu.</w:t>
      </w:r>
    </w:p>
    <w:p w14:paraId="2CC417F3"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52. Vairākuma argumentācijas absurdās sekas ir vēl acīmredzamākas šādā piemērā, proti, ja viens londonietis vietnē “</w:t>
      </w:r>
      <w:proofErr w:type="spellStart"/>
      <w:r>
        <w:rPr>
          <w:rFonts w:ascii="Times New Roman" w:hAnsi="Times New Roman"/>
        </w:rPr>
        <w:t>Twitter</w:t>
      </w:r>
      <w:proofErr w:type="spellEnd"/>
      <w:r>
        <w:rPr>
          <w:rFonts w:ascii="Times New Roman" w:hAnsi="Times New Roman"/>
        </w:rPr>
        <w:t xml:space="preserve">” </w:t>
      </w:r>
      <w:proofErr w:type="spellStart"/>
      <w:r>
        <w:rPr>
          <w:rFonts w:ascii="Times New Roman" w:hAnsi="Times New Roman"/>
        </w:rPr>
        <w:t>nosūta</w:t>
      </w:r>
      <w:proofErr w:type="spellEnd"/>
      <w:r>
        <w:rPr>
          <w:rFonts w:ascii="Times New Roman" w:hAnsi="Times New Roman"/>
        </w:rPr>
        <w:t xml:space="preserve"> ziņu kādam citam londonietim un šī ziņa tiek pārraidīta, izmantojot serveri ASV, Tiesa atzīst, ka, Valdības komunikāciju galvenajai pārvaldei (</w:t>
      </w:r>
      <w:proofErr w:type="spellStart"/>
      <w:r>
        <w:rPr>
          <w:rFonts w:ascii="Times New Roman" w:hAnsi="Times New Roman"/>
          <w:i/>
          <w:iCs/>
        </w:rPr>
        <w:t>GCHQ</w:t>
      </w:r>
      <w:proofErr w:type="spellEnd"/>
      <w:r>
        <w:rPr>
          <w:rFonts w:ascii="Times New Roman" w:hAnsi="Times New Roman"/>
        </w:rPr>
        <w:t xml:space="preserve">) pārtverot šo ziņu un saistītos sakaru datus, kad tā atstāj Apvienoto Karalisti pa kabeli, kas ved uz Amerikas Savienotajām Valstīm, ir jāgarantē atsevišķa atļauja. Taču, ja </w:t>
      </w:r>
      <w:proofErr w:type="spellStart"/>
      <w:r>
        <w:rPr>
          <w:rFonts w:ascii="Times New Roman" w:hAnsi="Times New Roman"/>
          <w:i/>
          <w:iCs/>
        </w:rPr>
        <w:t>NSA</w:t>
      </w:r>
      <w:proofErr w:type="spellEnd"/>
      <w:r>
        <w:rPr>
          <w:rFonts w:ascii="Times New Roman" w:hAnsi="Times New Roman"/>
        </w:rPr>
        <w:t xml:space="preserve"> pārtver to pašu ziņu tā paša kabeļa otrā galā un pēc tam nodod kopiju </w:t>
      </w:r>
      <w:proofErr w:type="spellStart"/>
      <w:r>
        <w:rPr>
          <w:rFonts w:ascii="Times New Roman" w:hAnsi="Times New Roman"/>
          <w:i/>
          <w:iCs/>
        </w:rPr>
        <w:t>GCHQ</w:t>
      </w:r>
      <w:proofErr w:type="spellEnd"/>
      <w:r>
        <w:rPr>
          <w:rFonts w:ascii="Times New Roman" w:hAnsi="Times New Roman"/>
        </w:rPr>
        <w:t xml:space="preserve"> vai ar to saistītos sakaru datus, garantija par atsevišķu atļauju nav piemērojama. Šāda rīcība ir pilnībā patvaļīga, ja tiem pašiem datiem tiek noteikta atšķirīga tiesiskā aizsardzība, pamatojoties vienīgi uz tās iestādes nejaušo atrašanās vietu, kura ir veikusi sākotnējo pārtveršanu. Tas, ka nav drošības pasākumu sistēmas no ārvalstīm pārtvertu datu izmantošanai, kas paredz tādus pašus aizsardzības mehānismus kā tā, ko piemēro mītnes valstī savākto datu pārtveršanai, nozīmē, ka Apvienotās Karalistes tiesību akti nav atbilstoši tam, lai nodrošinātu aizsardzību pret patvaļu un ļaunprātību.</w:t>
      </w:r>
      <w:r w:rsidRPr="008D031E">
        <w:rPr>
          <w:rFonts w:ascii="Times New Roman" w:hAnsi="Times New Roman"/>
          <w:noProof/>
          <w:vertAlign w:val="superscript"/>
          <w:lang w:val="en-US"/>
        </w:rPr>
        <w:footnoteReference w:id="168"/>
      </w:r>
    </w:p>
    <w:p w14:paraId="79D7966C"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53. Turklāt saskaņā ar </w:t>
      </w:r>
      <w:proofErr w:type="spellStart"/>
      <w:r>
        <w:rPr>
          <w:rFonts w:ascii="Times New Roman" w:hAnsi="Times New Roman"/>
          <w:i/>
          <w:iCs/>
        </w:rPr>
        <w:t>IC</w:t>
      </w:r>
      <w:proofErr w:type="spellEnd"/>
      <w:r>
        <w:rPr>
          <w:rFonts w:ascii="Times New Roman" w:hAnsi="Times New Roman"/>
        </w:rPr>
        <w:t xml:space="preserve"> kodeksa 12.6. punktu </w:t>
      </w:r>
      <w:r>
        <w:rPr>
          <w:rFonts w:ascii="Times New Roman" w:hAnsi="Times New Roman"/>
          <w:i/>
          <w:iCs/>
        </w:rPr>
        <w:t>RIPA</w:t>
      </w:r>
      <w:r>
        <w:rPr>
          <w:rFonts w:ascii="Times New Roman" w:hAnsi="Times New Roman"/>
        </w:rPr>
        <w:t xml:space="preserve"> 15. un 16. pants neattiecās uz visiem materiāliem, kas saņemti no ārvalstu izlūkdienestiem un kas varētu būt iegūti masveida pārtveršanas veidā, bet gan vienīgi uz pieprasīto pārtveršanas materiālu vai “ja tas pats par sevi liecinājis par pārtveršanu”, kas saņēmējas valsts (Apvienotās Karalistes) iekšējo garantiju sistēmu padarīja atkarīgu no ārvalstu izlūkdienestu lēmuma.</w:t>
      </w:r>
    </w:p>
    <w:p w14:paraId="5EB2A292" w14:textId="77777777" w:rsidR="00DA068F" w:rsidRDefault="00DA068F" w:rsidP="00DA068F">
      <w:pPr>
        <w:pStyle w:val="JuPara"/>
        <w:widowControl w:val="0"/>
        <w:ind w:firstLine="142"/>
        <w:rPr>
          <w:rFonts w:ascii="Times New Roman" w:hAnsi="Times New Roman"/>
          <w:noProof/>
        </w:rPr>
      </w:pPr>
      <w:r>
        <w:rPr>
          <w:rFonts w:ascii="Times New Roman" w:hAnsi="Times New Roman"/>
        </w:rPr>
        <w:t xml:space="preserve">54. Ar citām pusēm veiktās masveida materiāla apmaiņas </w:t>
      </w:r>
      <w:proofErr w:type="spellStart"/>
      <w:r>
        <w:rPr>
          <w:rFonts w:ascii="Times New Roman" w:hAnsi="Times New Roman"/>
        </w:rPr>
        <w:t>izvērtējums</w:t>
      </w:r>
      <w:proofErr w:type="spellEnd"/>
      <w:r>
        <w:rPr>
          <w:rFonts w:ascii="Times New Roman" w:hAnsi="Times New Roman"/>
        </w:rPr>
        <w:t xml:space="preserve"> būtu nepilnīgs, ja netiktu minēta vēl viena būtiska iezīme. Jāpiebilst, ka</w:t>
      </w:r>
      <w:r>
        <w:rPr>
          <w:rFonts w:ascii="Times New Roman" w:hAnsi="Times New Roman"/>
          <w:i/>
          <w:iCs/>
        </w:rPr>
        <w:t xml:space="preserve"> </w:t>
      </w:r>
      <w:proofErr w:type="spellStart"/>
      <w:r>
        <w:rPr>
          <w:rFonts w:ascii="Times New Roman" w:hAnsi="Times New Roman"/>
          <w:i/>
          <w:iCs/>
        </w:rPr>
        <w:t>IC</w:t>
      </w:r>
      <w:proofErr w:type="spellEnd"/>
      <w:r>
        <w:rPr>
          <w:rFonts w:ascii="Times New Roman" w:hAnsi="Times New Roman"/>
        </w:rPr>
        <w:t xml:space="preserve"> kodeksa 7.3. punkts ļāva pārtverto materiālu izpaust citām pusēm tikai tādēļ vien, ka tas bija ērti, kas ir pārsteidzoši vienkāršots kritērijs. “Nepieciešamības zināt princips”</w:t>
      </w:r>
      <w:r w:rsidRPr="008D031E">
        <w:rPr>
          <w:rFonts w:ascii="Times New Roman" w:hAnsi="Times New Roman"/>
          <w:noProof/>
          <w:vertAlign w:val="superscript"/>
          <w:lang w:val="en-US"/>
        </w:rPr>
        <w:footnoteReference w:id="169"/>
      </w:r>
      <w:r>
        <w:rPr>
          <w:rFonts w:ascii="Times New Roman" w:hAnsi="Times New Roman"/>
        </w:rPr>
        <w:t xml:space="preserve"> ir loģisks pretstats nepieciešamības un proporcionalitātes </w:t>
      </w:r>
      <w:proofErr w:type="spellStart"/>
      <w:r>
        <w:rPr>
          <w:rFonts w:ascii="Times New Roman" w:hAnsi="Times New Roman"/>
        </w:rPr>
        <w:t>izvērtējumam</w:t>
      </w:r>
      <w:proofErr w:type="spellEnd"/>
      <w:r>
        <w:rPr>
          <w:rFonts w:ascii="Times New Roman" w:hAnsi="Times New Roman"/>
        </w:rPr>
        <w:t xml:space="preserve">, proti, princips, kas paredz, ka var atklāt tikai tik daudz pārtveramā materiāla, cik nepieciešams saņēmējam, ir pretstatā šādam </w:t>
      </w:r>
      <w:proofErr w:type="spellStart"/>
      <w:r>
        <w:rPr>
          <w:rFonts w:ascii="Times New Roman" w:hAnsi="Times New Roman"/>
        </w:rPr>
        <w:t>izvērtējumam</w:t>
      </w:r>
      <w:proofErr w:type="spellEnd"/>
      <w:r>
        <w:rPr>
          <w:rFonts w:ascii="Times New Roman" w:hAnsi="Times New Roman"/>
        </w:rPr>
        <w:t>. Šādu izpaušanas pilnvaru īstenošanu nereglamentē konkrēta likumā noteikta prasība, bet gan nosaka, iespējams, maldīgi, vienīgi izvirzītais nolūks. Tādējādi papildu iejaukšanās personas tiesībās, kam par pamatu bija pārtvertā materiāla izpaušana citām pusēm, attiecībā uz tās nepieciešamību un samērīgumu vērtēta savtīgos nolūkos. Vienkāršāk sakot, indivīda sakari tiek uztverti kā valsts īpašums, prece, ar ko valsts pēc saviem ieskatiem var dalīties ar citām pusēm, lai “noskaidrotu, vai siena kaudzē atrodama adata”.</w:t>
      </w:r>
      <w:r w:rsidRPr="008D031E">
        <w:rPr>
          <w:rFonts w:ascii="Times New Roman" w:hAnsi="Times New Roman"/>
          <w:noProof/>
          <w:vertAlign w:val="superscript"/>
          <w:lang w:val="en-US"/>
        </w:rPr>
        <w:footnoteReference w:id="170"/>
      </w:r>
    </w:p>
    <w:p w14:paraId="0613A644" w14:textId="77777777" w:rsidR="00DA068F" w:rsidRPr="008D031E" w:rsidRDefault="00DA068F" w:rsidP="00DA068F">
      <w:pPr>
        <w:pStyle w:val="JuPara"/>
        <w:widowControl w:val="0"/>
        <w:ind w:firstLine="142"/>
        <w:rPr>
          <w:rFonts w:ascii="Times New Roman" w:hAnsi="Times New Roman"/>
          <w:noProof/>
          <w:lang w:val="en-US"/>
        </w:rPr>
      </w:pPr>
    </w:p>
    <w:p w14:paraId="3ADE2F68" w14:textId="77777777" w:rsidR="00DA068F" w:rsidRDefault="00DA068F" w:rsidP="00DA068F">
      <w:pPr>
        <w:pStyle w:val="JuHA"/>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C. Saistīto sakaru datu masveida pārtveršana</w:t>
      </w:r>
    </w:p>
    <w:p w14:paraId="78CD852A" w14:textId="77777777" w:rsidR="00DA068F" w:rsidRPr="00965163" w:rsidRDefault="00DA068F" w:rsidP="00DA068F">
      <w:pPr>
        <w:pStyle w:val="JuPara"/>
        <w:widowControl w:val="0"/>
        <w:rPr>
          <w:lang w:val="en-US"/>
        </w:rPr>
      </w:pPr>
    </w:p>
    <w:p w14:paraId="7F7A9B08"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55. Visbeidzot, </w:t>
      </w:r>
      <w:r>
        <w:rPr>
          <w:rFonts w:ascii="Times New Roman" w:hAnsi="Times New Roman"/>
          <w:i/>
          <w:iCs/>
        </w:rPr>
        <w:t>RIPA</w:t>
      </w:r>
      <w:r>
        <w:rPr>
          <w:rFonts w:ascii="Times New Roman" w:hAnsi="Times New Roman"/>
        </w:rPr>
        <w:t xml:space="preserve"> 16. panta 2. punkts neattiecās uz saistīto sakaru datu masveida </w:t>
      </w:r>
      <w:r>
        <w:rPr>
          <w:rFonts w:ascii="Times New Roman" w:hAnsi="Times New Roman"/>
        </w:rPr>
        <w:lastRenderedPageBreak/>
        <w:t>pārtveršanu, kas nozīmēja to, ka jebkurš analītiķis varēja izmantot spēcīgu selektoru, kas attiecas uz personu, par kuru zināms, ka tā atrodas Britu salās, bez nepieciešamības saņemt attiecīgo valsts sekretāra izdoto apliecinājumu, un, kas ir vēl ļaunāk, pārtvertos datus var saglabāt “vairākus mēnešus”, ja nepieciešams, un tik ilgi, cik nepieciešams, lai atklātu “vēl nezināmo”.</w:t>
      </w:r>
      <w:r w:rsidRPr="008D031E">
        <w:rPr>
          <w:rFonts w:ascii="Times New Roman" w:hAnsi="Times New Roman"/>
          <w:noProof/>
          <w:vertAlign w:val="superscript"/>
          <w:lang w:val="en-US"/>
        </w:rPr>
        <w:footnoteReference w:id="171"/>
      </w:r>
      <w:r>
        <w:rPr>
          <w:rFonts w:ascii="Times New Roman" w:hAnsi="Times New Roman"/>
        </w:rPr>
        <w:t xml:space="preserve"> Praktiskā ziņā saistīto sakaru datu pārtveršanu un apstrādi ierobežoja vienīgi pārtveršanas pakalpojumu ietilpība. Patiesībā </w:t>
      </w:r>
      <w:r>
        <w:rPr>
          <w:rFonts w:ascii="Times New Roman" w:hAnsi="Times New Roman"/>
          <w:i/>
          <w:iCs/>
        </w:rPr>
        <w:t>RIPA</w:t>
      </w:r>
      <w:r>
        <w:rPr>
          <w:rFonts w:ascii="Times New Roman" w:hAnsi="Times New Roman"/>
        </w:rPr>
        <w:t xml:space="preserve"> īsti neregulē ārvalstu </w:t>
      </w:r>
      <w:proofErr w:type="spellStart"/>
      <w:r>
        <w:rPr>
          <w:rFonts w:ascii="Times New Roman" w:hAnsi="Times New Roman"/>
        </w:rPr>
        <w:t>izlūkdatu</w:t>
      </w:r>
      <w:proofErr w:type="spellEnd"/>
      <w:r>
        <w:rPr>
          <w:rFonts w:ascii="Times New Roman" w:hAnsi="Times New Roman"/>
        </w:rPr>
        <w:t xml:space="preserve"> vākšanas varu, jo tehnoloģiju attīstības rezultātā tā ir pārtapusi par valsts līmeņa uzraudzības varu, tāpēc Valdība tagad uzskata, ka Britu salu drošības pasākumi, kas paredzēti </w:t>
      </w:r>
      <w:r>
        <w:rPr>
          <w:rFonts w:ascii="Times New Roman" w:hAnsi="Times New Roman"/>
          <w:i/>
          <w:iCs/>
        </w:rPr>
        <w:t>RIPA</w:t>
      </w:r>
      <w:r>
        <w:rPr>
          <w:rFonts w:ascii="Times New Roman" w:hAnsi="Times New Roman"/>
        </w:rPr>
        <w:t xml:space="preserve"> 16. pantā, nav “nepieciešami”, lai nodrošinātu atbilstību Konvencijai.</w:t>
      </w:r>
      <w:r w:rsidRPr="008D031E">
        <w:rPr>
          <w:rFonts w:ascii="Times New Roman" w:hAnsi="Times New Roman"/>
          <w:noProof/>
          <w:vertAlign w:val="superscript"/>
          <w:lang w:val="en-US"/>
        </w:rPr>
        <w:footnoteReference w:id="172"/>
      </w:r>
    </w:p>
    <w:p w14:paraId="1D9A8F00"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56. Arī mani Valdības arguments</w:t>
      </w:r>
      <w:r w:rsidRPr="008D031E">
        <w:rPr>
          <w:rFonts w:ascii="Times New Roman" w:hAnsi="Times New Roman"/>
          <w:noProof/>
          <w:vertAlign w:val="superscript"/>
          <w:lang w:val="en-US"/>
        </w:rPr>
        <w:footnoteReference w:id="173"/>
      </w:r>
      <w:r>
        <w:rPr>
          <w:rFonts w:ascii="Times New Roman" w:hAnsi="Times New Roman"/>
        </w:rPr>
        <w:t xml:space="preserve"> par šādu iespējamību nepārliecina. Tiesnesis netraucēti noteiktajā kārtībā var izvērtēt, cik lielā mērā pieprasījums atļaujas piešķiršanai ir nepieciešams un samērīgs, lai katrā atsevišķā gadījumā iegūtu ar kādu personu saistītus sakaru datus, neradot nopietnu risku to izmantošanai.</w:t>
      </w:r>
      <w:r w:rsidRPr="008D031E">
        <w:rPr>
          <w:rFonts w:ascii="Times New Roman" w:hAnsi="Times New Roman"/>
          <w:noProof/>
          <w:vertAlign w:val="superscript"/>
          <w:lang w:val="en-US"/>
        </w:rPr>
        <w:footnoteReference w:id="174"/>
      </w:r>
      <w:r>
        <w:rPr>
          <w:rFonts w:ascii="Times New Roman" w:hAnsi="Times New Roman"/>
        </w:rPr>
        <w:t xml:space="preserve"> Ja šo atļaujas piešķiršanas procesu iespējams vērst uz žurnālistiem un citiem speciālistiem, kuru saistītie sakaru dati ir juridiski aizsargāti, kā to atzinusi Tiesa,</w:t>
      </w:r>
      <w:r w:rsidRPr="008D031E">
        <w:rPr>
          <w:rFonts w:ascii="Times New Roman" w:hAnsi="Times New Roman"/>
          <w:noProof/>
          <w:vertAlign w:val="superscript"/>
          <w:lang w:val="en-US"/>
        </w:rPr>
        <w:footnoteReference w:id="175"/>
      </w:r>
      <w:r>
        <w:rPr>
          <w:rFonts w:ascii="Times New Roman" w:hAnsi="Times New Roman"/>
        </w:rPr>
        <w:t xml:space="preserve"> kāpēc to nevarētu vērst uz “parasto mirstīgo” sakaru datiem? Šādas plaša mēroga apstiprināšanas sistēmas ir pilnīgi iespējamas. Galvenā ideja ir tāda, ka attiecībā uz plaša mēroga iejaukšanos tiesībās uz privātās dzīves neaizskaramību ir jānodrošina plaša mēroga drošības pasākumu sistēma.</w:t>
      </w:r>
    </w:p>
    <w:p w14:paraId="4D6CA7AD" w14:textId="77777777" w:rsidR="00DA068F" w:rsidRDefault="00DA068F" w:rsidP="00DA068F">
      <w:pPr>
        <w:pStyle w:val="JuPara"/>
        <w:widowControl w:val="0"/>
        <w:ind w:firstLine="142"/>
        <w:rPr>
          <w:rFonts w:ascii="Times New Roman" w:hAnsi="Times New Roman"/>
          <w:noProof/>
        </w:rPr>
      </w:pPr>
      <w:r>
        <w:rPr>
          <w:rFonts w:ascii="Times New Roman" w:hAnsi="Times New Roman"/>
        </w:rPr>
        <w:t>57. Neskatoties uz tās ierobežojošo ietekmi gan Britu salās, gan ārpus tām, Tiesas iecietība pret šādu praksi nav saprotama, ņemot vērā, ka pati Tiesa uzskata 16. panta 2. punktu par “galveno likumā noteikto drošības pasākumu, kas ierobežo kārtību, kādā pārtverto materiālu atlasa pārbaudei”.</w:t>
      </w:r>
      <w:r w:rsidRPr="008D031E">
        <w:rPr>
          <w:rFonts w:ascii="Times New Roman" w:hAnsi="Times New Roman"/>
          <w:noProof/>
          <w:vertAlign w:val="superscript"/>
          <w:lang w:val="en-US"/>
        </w:rPr>
        <w:footnoteReference w:id="176"/>
      </w:r>
    </w:p>
    <w:p w14:paraId="5C6965EC" w14:textId="77777777" w:rsidR="00DA068F" w:rsidRPr="008D031E" w:rsidRDefault="00DA068F" w:rsidP="00DA068F">
      <w:pPr>
        <w:pStyle w:val="JuPara"/>
        <w:widowControl w:val="0"/>
        <w:ind w:firstLine="142"/>
        <w:rPr>
          <w:rFonts w:ascii="Times New Roman" w:hAnsi="Times New Roman"/>
          <w:noProof/>
          <w:lang w:val="en-US"/>
        </w:rPr>
      </w:pPr>
    </w:p>
    <w:p w14:paraId="5277F2EA" w14:textId="77777777" w:rsidR="00DA068F" w:rsidRDefault="00DA068F" w:rsidP="004A10A3">
      <w:pPr>
        <w:pStyle w:val="JuHA"/>
        <w:widowControl w:val="0"/>
        <w:numPr>
          <w:ilvl w:val="0"/>
          <w:numId w:val="0"/>
        </w:numPr>
        <w:spacing w:before="0" w:beforeAutospacing="0" w:after="0"/>
        <w:outlineLvl w:val="9"/>
        <w:rPr>
          <w:rFonts w:ascii="Times New Roman" w:hAnsi="Times New Roman"/>
          <w:noProof/>
        </w:rPr>
      </w:pPr>
      <w:r>
        <w:rPr>
          <w:rFonts w:ascii="Times New Roman" w:hAnsi="Times New Roman"/>
        </w:rPr>
        <w:lastRenderedPageBreak/>
        <w:t>D. Sākotnējais secinājums</w:t>
      </w:r>
    </w:p>
    <w:p w14:paraId="5EAECF3A" w14:textId="77777777" w:rsidR="00DA068F" w:rsidRPr="00E05719" w:rsidRDefault="00DA068F" w:rsidP="004A10A3">
      <w:pPr>
        <w:pStyle w:val="JuPara"/>
        <w:keepNext/>
        <w:keepLines/>
        <w:widowControl w:val="0"/>
        <w:rPr>
          <w:lang w:val="en-US"/>
        </w:rPr>
      </w:pPr>
    </w:p>
    <w:p w14:paraId="7350C433" w14:textId="77777777" w:rsidR="00DA068F" w:rsidRDefault="00DA068F" w:rsidP="004A10A3">
      <w:pPr>
        <w:pStyle w:val="JuPara"/>
        <w:keepNext/>
        <w:keepLines/>
        <w:widowControl w:val="0"/>
        <w:ind w:firstLine="142"/>
        <w:rPr>
          <w:rFonts w:ascii="Times New Roman" w:hAnsi="Times New Roman"/>
          <w:noProof/>
        </w:rPr>
      </w:pPr>
      <w:r>
        <w:rPr>
          <w:rFonts w:ascii="Times New Roman" w:hAnsi="Times New Roman"/>
        </w:rPr>
        <w:t xml:space="preserve">58. Kopumā faktam, ka spriedumos lietās “Vēbere un </w:t>
      </w:r>
      <w:proofErr w:type="spellStart"/>
      <w:r>
        <w:rPr>
          <w:rFonts w:ascii="Times New Roman" w:hAnsi="Times New Roman"/>
        </w:rPr>
        <w:t>Sarāvija</w:t>
      </w:r>
      <w:proofErr w:type="spellEnd"/>
      <w:r>
        <w:rPr>
          <w:rFonts w:ascii="Times New Roman" w:hAnsi="Times New Roman"/>
        </w:rPr>
        <w:t>” (2006) un ““</w:t>
      </w:r>
      <w:proofErr w:type="spellStart"/>
      <w:r>
        <w:rPr>
          <w:rFonts w:ascii="Times New Roman" w:hAnsi="Times New Roman"/>
        </w:rPr>
        <w:t>Liberty</w:t>
      </w:r>
      <w:proofErr w:type="spellEnd"/>
      <w:r>
        <w:rPr>
          <w:rFonts w:ascii="Times New Roman" w:hAnsi="Times New Roman"/>
        </w:rPr>
        <w:t>” un citi” (2008) izvērtētās uzraudzības darbības joma bija daudz šaurāka nekā pašlaik, nav jābūt par pamatu tam, lai Tiesa ieņemtu mazāk stingru nostāju attiecībā uz nepieciešamo aizsardzības līmeni, kas pašlaik jānodrošina tiesībām uz privātās dzīves neaizskaramību. Ņemot vērā uzraudzības darbību eksponenciālo pieaugumu pēdējo desmit gadu laikā un sabiedrības sašutumu, ko tas izraisījis, ir nepieciešama stingrāka izlūkdienestu darbības pārraudzība, lai saglabātu demokrātiju un aizstāvētu tiesiskumu. Nevis otrādi. Palielinoties valsts pilnvaru ļaunprātīgas izmantošanas riskam, ir jāpalielina, nevis jāsamazina Konvencijā paredzētie drošības pasākumi un atbilstošās valsts tiesību aktos noteiktās garantijas.</w:t>
      </w:r>
      <w:r w:rsidRPr="008D031E">
        <w:rPr>
          <w:rFonts w:ascii="Times New Roman" w:hAnsi="Times New Roman"/>
          <w:noProof/>
          <w:vertAlign w:val="superscript"/>
          <w:lang w:val="en-US"/>
        </w:rPr>
        <w:footnoteReference w:id="177"/>
      </w:r>
      <w:r>
        <w:rPr>
          <w:rFonts w:ascii="Times New Roman" w:hAnsi="Times New Roman"/>
        </w:rPr>
        <w:t xml:space="preserve"> Citiem vārdiem, Tiesas standartiem pašlaik jābūt stingrākiem nekā 2006. vai 2008. gadā. Tas ir tieši pretēji tam, kas noteikts ar šo spriedumu. Šajā spriedumā Tiesa ir piekāpusies vispārējas masveida pārtveršanas </w:t>
      </w:r>
      <w:proofErr w:type="spellStart"/>
      <w:r>
        <w:rPr>
          <w:rFonts w:ascii="Times New Roman" w:hAnsi="Times New Roman"/>
          <w:i/>
          <w:iCs/>
        </w:rPr>
        <w:t>fait</w:t>
      </w:r>
      <w:proofErr w:type="spellEnd"/>
      <w:r>
        <w:rPr>
          <w:rFonts w:ascii="Times New Roman" w:hAnsi="Times New Roman"/>
          <w:i/>
          <w:iCs/>
        </w:rPr>
        <w:t> </w:t>
      </w:r>
      <w:proofErr w:type="spellStart"/>
      <w:r>
        <w:rPr>
          <w:rFonts w:ascii="Times New Roman" w:hAnsi="Times New Roman"/>
          <w:i/>
          <w:iCs/>
        </w:rPr>
        <w:t>accompli</w:t>
      </w:r>
      <w:proofErr w:type="spellEnd"/>
      <w:r>
        <w:rPr>
          <w:rFonts w:ascii="Times New Roman" w:hAnsi="Times New Roman"/>
        </w:rPr>
        <w:t xml:space="preserve">, bīstami pieņemot, ka, ja tas ir lietderīgi, tas ir pieļaujami. Demokrātiskā sabiedrībā lietderība nav tas pats, kas nepieciešamība un samērīgums. Kā tiesnesis </w:t>
      </w:r>
      <w:proofErr w:type="spellStart"/>
      <w:r>
        <w:rPr>
          <w:rFonts w:ascii="Times New Roman" w:hAnsi="Times New Roman"/>
        </w:rPr>
        <w:t>Brendeizs</w:t>
      </w:r>
      <w:proofErr w:type="spellEnd"/>
      <w:r>
        <w:rPr>
          <w:rFonts w:ascii="Times New Roman" w:hAnsi="Times New Roman"/>
        </w:rPr>
        <w:t xml:space="preserve"> [</w:t>
      </w:r>
      <w:proofErr w:type="spellStart"/>
      <w:r>
        <w:rPr>
          <w:rFonts w:ascii="Times New Roman" w:hAnsi="Times New Roman"/>
          <w:i/>
          <w:iCs/>
        </w:rPr>
        <w:t>Brandeis</w:t>
      </w:r>
      <w:proofErr w:type="spellEnd"/>
      <w:r>
        <w:rPr>
          <w:rFonts w:ascii="Times New Roman" w:hAnsi="Times New Roman"/>
        </w:rPr>
        <w:t>] norādījis spriedumā lietā “</w:t>
      </w:r>
      <w:proofErr w:type="spellStart"/>
      <w:r>
        <w:rPr>
          <w:rFonts w:ascii="Times New Roman" w:hAnsi="Times New Roman"/>
        </w:rPr>
        <w:t>Olmsteds</w:t>
      </w:r>
      <w:proofErr w:type="spellEnd"/>
      <w:r>
        <w:rPr>
          <w:rFonts w:ascii="Times New Roman" w:hAnsi="Times New Roman"/>
        </w:rPr>
        <w:t xml:space="preserve"> [</w:t>
      </w:r>
      <w:proofErr w:type="spellStart"/>
      <w:r>
        <w:rPr>
          <w:rFonts w:ascii="Times New Roman" w:hAnsi="Times New Roman"/>
          <w:i/>
          <w:iCs/>
        </w:rPr>
        <w:t>Olmstead</w:t>
      </w:r>
      <w:proofErr w:type="spellEnd"/>
      <w:r>
        <w:rPr>
          <w:rFonts w:ascii="Times New Roman" w:hAnsi="Times New Roman"/>
        </w:rPr>
        <w:t>] pret Amerikas Savienotajām Valstīm”,</w:t>
      </w:r>
      <w:r w:rsidRPr="008D031E">
        <w:rPr>
          <w:rFonts w:ascii="Times New Roman" w:hAnsi="Times New Roman"/>
          <w:noProof/>
          <w:vertAlign w:val="superscript"/>
          <w:lang w:val="en-US"/>
        </w:rPr>
        <w:footnoteReference w:id="178"/>
      </w:r>
      <w:r>
        <w:rPr>
          <w:rFonts w:ascii="Times New Roman" w:hAnsi="Times New Roman"/>
        </w:rPr>
        <w:t xml:space="preserve"> “tāpat nav nozīmes tam, ka [telefona noklausīšanās] iejaukšanās notikusi tiesībaizsardzības nolūkā. Pieredzei mums jāiemāca būt visnotaļ piesardzīgiem, lai aizsargātu brīvību, ja valdības mērķi ir labvēlīgi.”</w:t>
      </w:r>
    </w:p>
    <w:p w14:paraId="7C83DA73" w14:textId="77777777" w:rsidR="00DA068F" w:rsidRPr="008D031E" w:rsidRDefault="00DA068F" w:rsidP="00DA068F">
      <w:pPr>
        <w:pStyle w:val="JuPara"/>
        <w:widowControl w:val="0"/>
        <w:ind w:firstLine="142"/>
        <w:rPr>
          <w:rFonts w:ascii="Times New Roman" w:hAnsi="Times New Roman"/>
          <w:noProof/>
          <w:lang w:val="en-US"/>
        </w:rPr>
      </w:pPr>
    </w:p>
    <w:p w14:paraId="69606CC7" w14:textId="77777777" w:rsidR="00DA068F" w:rsidRDefault="00DA068F" w:rsidP="00DA068F">
      <w:pPr>
        <w:pStyle w:val="JuHIRoman"/>
        <w:keepNext w:val="0"/>
        <w:keepLines w:val="0"/>
        <w:widowControl w:val="0"/>
        <w:numPr>
          <w:ilvl w:val="0"/>
          <w:numId w:val="0"/>
        </w:numPr>
        <w:spacing w:before="0" w:beforeAutospacing="0" w:after="0"/>
        <w:outlineLvl w:val="9"/>
        <w:rPr>
          <w:rFonts w:ascii="Times New Roman" w:hAnsi="Times New Roman"/>
          <w:caps w:val="0"/>
          <w:noProof/>
        </w:rPr>
      </w:pPr>
      <w:r>
        <w:rPr>
          <w:rFonts w:ascii="Times New Roman" w:hAnsi="Times New Roman"/>
          <w:caps w:val="0"/>
        </w:rPr>
        <w:t>V. SECINĀJUMI</w:t>
      </w:r>
    </w:p>
    <w:p w14:paraId="333A0A00" w14:textId="77777777" w:rsidR="00DA068F" w:rsidRPr="00E05719" w:rsidRDefault="00DA068F" w:rsidP="00DA068F">
      <w:pPr>
        <w:pStyle w:val="JuPara"/>
        <w:widowControl w:val="0"/>
        <w:rPr>
          <w:lang w:val="en-US"/>
        </w:rPr>
      </w:pPr>
    </w:p>
    <w:p w14:paraId="549E7791" w14:textId="028E280B"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59. Šis spriedums būtiski maina Eiropā pastāvošo līdzsvaru starp tiesībām uz privātās dzīves neaizskaramību un sabiedrības drošības interesēm, jo tas pieļauj nemērķētu elektronisko sakaru un saistīto sakaru datu uzraudzību un, vēl ļaunāk, datu apmaiņu ar </w:t>
      </w:r>
      <w:proofErr w:type="spellStart"/>
      <w:r>
        <w:rPr>
          <w:rFonts w:ascii="Times New Roman" w:hAnsi="Times New Roman"/>
        </w:rPr>
        <w:t>trešām</w:t>
      </w:r>
      <w:proofErr w:type="spellEnd"/>
      <w:r>
        <w:rPr>
          <w:rFonts w:ascii="Times New Roman" w:hAnsi="Times New Roman"/>
        </w:rPr>
        <w:t xml:space="preserve"> valstīm, kurās nav līdzvērtīgu aizsardzības mehānismu tiem, kādi ir Eiropas Padomes valstīs. Šāds secinājums ir vēl jo vairāk pamatots, ņemot vērā </w:t>
      </w:r>
      <w:proofErr w:type="spellStart"/>
      <w:r>
        <w:rPr>
          <w:rFonts w:ascii="Times New Roman" w:hAnsi="Times New Roman"/>
        </w:rPr>
        <w:t>EST</w:t>
      </w:r>
      <w:proofErr w:type="spellEnd"/>
      <w:r>
        <w:rPr>
          <w:rFonts w:ascii="Times New Roman" w:hAnsi="Times New Roman"/>
        </w:rPr>
        <w:t xml:space="preserve"> kategorisko iebildumu par vispārinātu piekļuvi elektroniskajiem sakariem,</w:t>
      </w:r>
      <w:r w:rsidRPr="008D031E">
        <w:rPr>
          <w:rFonts w:ascii="Times New Roman" w:hAnsi="Times New Roman"/>
          <w:noProof/>
          <w:vertAlign w:val="superscript"/>
          <w:lang w:val="en-US"/>
        </w:rPr>
        <w:footnoteReference w:id="179"/>
      </w:r>
      <w:r>
        <w:rPr>
          <w:rFonts w:ascii="Times New Roman" w:hAnsi="Times New Roman"/>
        </w:rPr>
        <w:t xml:space="preserve"> tās acīmredzamo nevēlēšanos pieļaut vispārēju un neselektīvu datplūsmas datu un atrašanās vietas datu saglabāšanu</w:t>
      </w:r>
      <w:r w:rsidR="00F8047C">
        <w:rPr>
          <w:rStyle w:val="FootnoteReference"/>
          <w:rFonts w:ascii="Times New Roman" w:hAnsi="Times New Roman"/>
        </w:rPr>
        <w:footnoteReference w:id="180"/>
      </w:r>
      <w:r>
        <w:rPr>
          <w:rFonts w:ascii="Times New Roman" w:hAnsi="Times New Roman"/>
        </w:rPr>
        <w:t xml:space="preserve"> un datu apmaiņas ierobežošanu ar ārvalstu izlūkdienestiem, kas nenodrošina aizsardzības līmeni, kāds būtībā ir līdzvērtīgs tam, ko garantē </w:t>
      </w:r>
      <w:proofErr w:type="spellStart"/>
      <w:r>
        <w:rPr>
          <w:rFonts w:ascii="Times New Roman" w:hAnsi="Times New Roman"/>
        </w:rPr>
        <w:t>Pamattiesību</w:t>
      </w:r>
      <w:proofErr w:type="spellEnd"/>
      <w:r>
        <w:rPr>
          <w:rFonts w:ascii="Times New Roman" w:hAnsi="Times New Roman"/>
        </w:rPr>
        <w:t xml:space="preserve"> harta</w:t>
      </w:r>
      <w:r w:rsidRPr="008D031E">
        <w:rPr>
          <w:rFonts w:ascii="Times New Roman" w:hAnsi="Times New Roman"/>
          <w:noProof/>
          <w:vertAlign w:val="superscript"/>
          <w:lang w:val="en-US"/>
        </w:rPr>
        <w:footnoteReference w:id="181"/>
      </w:r>
      <w:r>
        <w:rPr>
          <w:rFonts w:ascii="Times New Roman" w:hAnsi="Times New Roman"/>
        </w:rPr>
        <w:t>. Visos šajos trīs aspektos Strasbūras tiesa atpaliek no Luksemburgas tiesas, kurai ir vadošā loma, aizsargājot tiesības uz privātās dzīves neaizskaramību Eiropā.</w:t>
      </w:r>
    </w:p>
    <w:p w14:paraId="5E5DE026"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60. Izšķiroties starp šā sprieduma pozitīvo un negatīvo ietekmi, un es vairāk nosliecos uz negatīvu ietekmi, ar šo spriedumu Strasbūras tiesa ir pavērusi iespēju elektroniskai valsts īstenotai kontrolei Eiropā. Ja šī ir jaunā norma, ko manu izglītoto kolēģu vairākums vēlas panākt Eiropā, es viņiem nevaru pievienoties, un man ar smagu sirdi un Gregorio </w:t>
      </w:r>
      <w:proofErr w:type="spellStart"/>
      <w:r>
        <w:rPr>
          <w:rFonts w:ascii="Times New Roman" w:hAnsi="Times New Roman"/>
        </w:rPr>
        <w:t>Allegri</w:t>
      </w:r>
      <w:proofErr w:type="spellEnd"/>
      <w:r>
        <w:rPr>
          <w:rFonts w:ascii="Times New Roman" w:hAnsi="Times New Roman"/>
        </w:rPr>
        <w:t xml:space="preserve"> vārdiem jāatzīst: </w:t>
      </w:r>
      <w:proofErr w:type="spellStart"/>
      <w:r>
        <w:rPr>
          <w:rFonts w:ascii="Times New Roman" w:hAnsi="Times New Roman"/>
          <w:i/>
        </w:rPr>
        <w:t>Miserere</w:t>
      </w:r>
      <w:proofErr w:type="spellEnd"/>
      <w:r>
        <w:rPr>
          <w:rFonts w:ascii="Times New Roman" w:hAnsi="Times New Roman"/>
          <w:i/>
        </w:rPr>
        <w:t xml:space="preserve"> </w:t>
      </w:r>
      <w:proofErr w:type="spellStart"/>
      <w:r>
        <w:rPr>
          <w:rFonts w:ascii="Times New Roman" w:hAnsi="Times New Roman"/>
          <w:i/>
        </w:rPr>
        <w:t>mei</w:t>
      </w:r>
      <w:proofErr w:type="spellEnd"/>
      <w:r>
        <w:rPr>
          <w:rFonts w:ascii="Times New Roman" w:hAnsi="Times New Roman"/>
          <w:i/>
        </w:rPr>
        <w:t xml:space="preserve">, </w:t>
      </w:r>
      <w:proofErr w:type="spellStart"/>
      <w:r>
        <w:rPr>
          <w:rFonts w:ascii="Times New Roman" w:hAnsi="Times New Roman"/>
          <w:i/>
        </w:rPr>
        <w:t>Deus</w:t>
      </w:r>
      <w:proofErr w:type="spellEnd"/>
      <w:r>
        <w:rPr>
          <w:rFonts w:ascii="Times New Roman" w:hAnsi="Times New Roman"/>
        </w:rPr>
        <w:t xml:space="preserve"> jeb “Dievs, apžēlojies!”</w:t>
      </w:r>
    </w:p>
    <w:p w14:paraId="526CEFEA" w14:textId="77777777" w:rsidR="00DA068F" w:rsidRPr="008D031E" w:rsidRDefault="00DA068F" w:rsidP="00DA068F">
      <w:pPr>
        <w:pStyle w:val="JuPara"/>
        <w:widowControl w:val="0"/>
        <w:ind w:firstLine="0"/>
        <w:rPr>
          <w:rFonts w:ascii="Times New Roman" w:hAnsi="Times New Roman"/>
          <w:noProof/>
          <w:lang w:val="en-US"/>
        </w:rPr>
      </w:pPr>
    </w:p>
    <w:p w14:paraId="383CC33E" w14:textId="77777777" w:rsidR="00DA068F" w:rsidRDefault="00DA068F" w:rsidP="00DA068F">
      <w:pPr>
        <w:widowControl w:val="0"/>
        <w:rPr>
          <w:rFonts w:ascii="Times New Roman" w:hAnsi="Times New Roman"/>
          <w:bCs/>
          <w:noProof/>
          <w:szCs w:val="28"/>
        </w:rPr>
      </w:pPr>
      <w:r>
        <w:br w:type="page"/>
      </w:r>
    </w:p>
    <w:p w14:paraId="0E1AF632" w14:textId="77777777" w:rsidR="00DA068F" w:rsidRPr="004A10A3" w:rsidRDefault="00DA068F" w:rsidP="00DA068F">
      <w:pPr>
        <w:pStyle w:val="ECHRTitleCentre1"/>
        <w:keepNext w:val="0"/>
        <w:keepLines w:val="0"/>
        <w:widowControl w:val="0"/>
        <w:spacing w:before="0"/>
        <w:contextualSpacing w:val="0"/>
        <w:rPr>
          <w:rFonts w:ascii="Times New Roman" w:hAnsi="Times New Roman"/>
          <w:b w:val="0"/>
          <w:bCs/>
          <w:noProof/>
          <w:color w:val="auto"/>
          <w:sz w:val="28"/>
          <w:szCs w:val="32"/>
        </w:rPr>
      </w:pPr>
      <w:r w:rsidRPr="004A10A3">
        <w:rPr>
          <w:rFonts w:ascii="Times New Roman" w:hAnsi="Times New Roman"/>
          <w:b w:val="0"/>
          <w:color w:val="auto"/>
          <w:sz w:val="28"/>
          <w:szCs w:val="28"/>
        </w:rPr>
        <w:lastRenderedPageBreak/>
        <w:t xml:space="preserve">TIESNEŠU </w:t>
      </w:r>
      <w:proofErr w:type="spellStart"/>
      <w:r w:rsidRPr="004A10A3">
        <w:rPr>
          <w:rFonts w:ascii="Times New Roman" w:hAnsi="Times New Roman"/>
          <w:b w:val="0"/>
          <w:color w:val="auto"/>
          <w:sz w:val="28"/>
          <w:szCs w:val="28"/>
        </w:rPr>
        <w:t>LEMENSA</w:t>
      </w:r>
      <w:proofErr w:type="spellEnd"/>
      <w:r w:rsidRPr="004A10A3">
        <w:rPr>
          <w:rFonts w:ascii="Times New Roman" w:hAnsi="Times New Roman"/>
          <w:b w:val="0"/>
          <w:color w:val="auto"/>
          <w:sz w:val="28"/>
          <w:szCs w:val="28"/>
        </w:rPr>
        <w:t xml:space="preserve">, </w:t>
      </w:r>
      <w:proofErr w:type="spellStart"/>
      <w:r w:rsidRPr="004A10A3">
        <w:rPr>
          <w:rFonts w:ascii="Times New Roman" w:hAnsi="Times New Roman"/>
          <w:b w:val="0"/>
          <w:color w:val="auto"/>
          <w:sz w:val="28"/>
          <w:szCs w:val="28"/>
        </w:rPr>
        <w:t>VEHABOVIČA</w:t>
      </w:r>
      <w:proofErr w:type="spellEnd"/>
      <w:r w:rsidRPr="004A10A3">
        <w:rPr>
          <w:rFonts w:ascii="Times New Roman" w:hAnsi="Times New Roman"/>
          <w:b w:val="0"/>
          <w:color w:val="auto"/>
          <w:sz w:val="28"/>
          <w:szCs w:val="28"/>
        </w:rPr>
        <w:t xml:space="preserve">, </w:t>
      </w:r>
      <w:proofErr w:type="spellStart"/>
      <w:r w:rsidRPr="004A10A3">
        <w:rPr>
          <w:rFonts w:ascii="Times New Roman" w:hAnsi="Times New Roman"/>
          <w:b w:val="0"/>
          <w:color w:val="auto"/>
          <w:sz w:val="28"/>
          <w:szCs w:val="28"/>
        </w:rPr>
        <w:t>RANCONI</w:t>
      </w:r>
      <w:proofErr w:type="spellEnd"/>
      <w:r w:rsidRPr="004A10A3">
        <w:rPr>
          <w:rFonts w:ascii="Times New Roman" w:hAnsi="Times New Roman"/>
          <w:b w:val="0"/>
          <w:color w:val="auto"/>
          <w:sz w:val="28"/>
          <w:szCs w:val="28"/>
        </w:rPr>
        <w:t xml:space="preserve"> UN </w:t>
      </w:r>
      <w:proofErr w:type="spellStart"/>
      <w:r w:rsidRPr="004A10A3">
        <w:rPr>
          <w:rFonts w:ascii="Times New Roman" w:hAnsi="Times New Roman"/>
          <w:b w:val="0"/>
          <w:color w:val="auto"/>
          <w:sz w:val="28"/>
          <w:szCs w:val="28"/>
        </w:rPr>
        <w:t>BOŠŅAKA</w:t>
      </w:r>
      <w:proofErr w:type="spellEnd"/>
      <w:r w:rsidRPr="004A10A3">
        <w:rPr>
          <w:rFonts w:ascii="Times New Roman" w:hAnsi="Times New Roman"/>
          <w:b w:val="0"/>
          <w:color w:val="auto"/>
          <w:sz w:val="28"/>
          <w:szCs w:val="28"/>
        </w:rPr>
        <w:t xml:space="preserve"> KOPĪGAIS DAĻĒJI NEPIEKRĪTOŠAIS VIEDOKLIS</w:t>
      </w:r>
    </w:p>
    <w:p w14:paraId="3B639962" w14:textId="77777777" w:rsidR="00DA068F" w:rsidRPr="008D031E" w:rsidRDefault="00DA068F" w:rsidP="00DA068F">
      <w:pPr>
        <w:pStyle w:val="JuPara"/>
        <w:widowControl w:val="0"/>
        <w:ind w:firstLine="0"/>
        <w:rPr>
          <w:rFonts w:ascii="Times New Roman" w:hAnsi="Times New Roman"/>
          <w:b/>
          <w:noProof/>
          <w:lang w:val="en-US"/>
        </w:rPr>
      </w:pPr>
    </w:p>
    <w:p w14:paraId="7700076F"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1. Mēs piekrītam šim spriedumam, izņemot saskaņā ar Konvencijas 8. un 10. pantu iesniegtās sūdzības </w:t>
      </w:r>
      <w:proofErr w:type="spellStart"/>
      <w:r>
        <w:rPr>
          <w:rFonts w:ascii="Times New Roman" w:hAnsi="Times New Roman"/>
        </w:rPr>
        <w:t>izvērtējumu</w:t>
      </w:r>
      <w:proofErr w:type="spellEnd"/>
      <w:r>
        <w:rPr>
          <w:rFonts w:ascii="Times New Roman" w:hAnsi="Times New Roman"/>
        </w:rPr>
        <w:t xml:space="preserve"> par to, ka atbildētājas valsts iestādes ir saņēmušas pieprasīto pārtverto materiālu no ārvalstu izlūkdienestiem (skat. šā sprieduma rezolutīvās daļas 3. un 5. punktu).</w:t>
      </w:r>
    </w:p>
    <w:p w14:paraId="572A2E6D" w14:textId="77777777" w:rsidR="00DA068F" w:rsidRPr="008D031E" w:rsidRDefault="00DA068F" w:rsidP="00DA068F">
      <w:pPr>
        <w:pStyle w:val="JuPara"/>
        <w:widowControl w:val="0"/>
        <w:ind w:firstLine="142"/>
        <w:rPr>
          <w:rFonts w:ascii="Times New Roman" w:hAnsi="Times New Roman"/>
          <w:bCs/>
          <w:noProof/>
        </w:rPr>
      </w:pPr>
      <w:r>
        <w:rPr>
          <w:rFonts w:ascii="Times New Roman" w:hAnsi="Times New Roman"/>
        </w:rPr>
        <w:t>2. Šajā spriedumā tāpat kā šodien pasludinātajā spriedumā lietā ““</w:t>
      </w:r>
      <w:proofErr w:type="spellStart"/>
      <w:r>
        <w:rPr>
          <w:rFonts w:ascii="Times New Roman" w:hAnsi="Times New Roman"/>
        </w:rPr>
        <w:t>Centrum</w:t>
      </w:r>
      <w:proofErr w:type="spellEnd"/>
      <w:r>
        <w:rPr>
          <w:rFonts w:ascii="Times New Roman" w:hAnsi="Times New Roman"/>
        </w:rPr>
        <w:t xml:space="preserve"> </w:t>
      </w:r>
      <w:proofErr w:type="spellStart"/>
      <w:r>
        <w:rPr>
          <w:rFonts w:ascii="Times New Roman" w:hAnsi="Times New Roman"/>
        </w:rPr>
        <w:t>för</w:t>
      </w:r>
      <w:proofErr w:type="spellEnd"/>
      <w:r>
        <w:rPr>
          <w:rFonts w:ascii="Times New Roman" w:hAnsi="Times New Roman"/>
        </w:rPr>
        <w:t xml:space="preserve"> </w:t>
      </w:r>
      <w:proofErr w:type="spellStart"/>
      <w:r>
        <w:rPr>
          <w:rFonts w:ascii="Times New Roman" w:hAnsi="Times New Roman"/>
        </w:rPr>
        <w:t>rättvisa</w:t>
      </w:r>
      <w:proofErr w:type="spellEnd"/>
      <w:r>
        <w:rPr>
          <w:rFonts w:ascii="Times New Roman" w:hAnsi="Times New Roman"/>
        </w:rPr>
        <w:t xml:space="preserve">” pret Zviedriju” (pieteikums Nr. 35252/08) masveida pārtveršanas režīmiem Lielā palāta ir noteikusi efektīvu “no gala līdz galam” drošības pasākumu sistēmu, kurā ir trīs galvenie pīlāri jeb stūrakmeņi, lai samazinātu šādu pilnvaru ļaunprātīgas izmantošanas risku. Šie galvenie pīlāri ir šādi: 1) masveida pārtveršanas atļaujas sniegšana jau pašā sākumā, kad no izpildvaras neatkarīga struktūra precizē operācijas mērķi un apmēru; 2) iepriekšēja iekšēja atļauja tad, kad tiek izmantoti spēcīgie selektori, kas saistīti ar identificējamām personām, un 3) neatkarīgas iestādes veikta operācijas pārraudzība līdzās </w:t>
      </w:r>
      <w:r>
        <w:rPr>
          <w:rFonts w:ascii="Times New Roman" w:hAnsi="Times New Roman"/>
          <w:i/>
          <w:iCs/>
        </w:rPr>
        <w:t>post </w:t>
      </w:r>
      <w:proofErr w:type="spellStart"/>
      <w:r>
        <w:rPr>
          <w:rFonts w:ascii="Times New Roman" w:hAnsi="Times New Roman"/>
          <w:i/>
          <w:iCs/>
        </w:rPr>
        <w:t>facto</w:t>
      </w:r>
      <w:proofErr w:type="spellEnd"/>
      <w:r>
        <w:rPr>
          <w:rFonts w:ascii="Times New Roman" w:hAnsi="Times New Roman"/>
        </w:rPr>
        <w:t xml:space="preserve"> pārskatīšanai, ko veic no izpildvaras neatkarīga struktūra (skat. sprieduma 350.–359. punktu).</w:t>
      </w:r>
    </w:p>
    <w:p w14:paraId="0843E43E" w14:textId="77777777" w:rsidR="00DA068F" w:rsidRPr="008D031E" w:rsidRDefault="00DA068F" w:rsidP="00DA068F">
      <w:pPr>
        <w:pStyle w:val="JuPara"/>
        <w:widowControl w:val="0"/>
        <w:ind w:firstLine="142"/>
        <w:rPr>
          <w:rFonts w:ascii="Times New Roman" w:hAnsi="Times New Roman"/>
          <w:bCs/>
          <w:noProof/>
        </w:rPr>
      </w:pPr>
      <w:r>
        <w:rPr>
          <w:rFonts w:ascii="Times New Roman" w:hAnsi="Times New Roman"/>
        </w:rPr>
        <w:t>3. Tie paši “no gala līdz galam” drošības pasākumi, kas noteikti masveida pārtveršanas režīmam, jāpiemēro arī režīmam, kurā iestādes pašas nepārtver pārrobežu sakarus un saistītos sakaru datus, bet gan lūdz ārvalstu izlūkdienestus pārtvert šādus datus vai pārraidīt jau pārtvertos datus.</w:t>
      </w:r>
      <w:bookmarkStart w:id="312" w:name="_Hlk64538505"/>
      <w:r>
        <w:rPr>
          <w:rFonts w:ascii="Times New Roman" w:hAnsi="Times New Roman"/>
        </w:rPr>
        <w:t xml:space="preserve"> </w:t>
      </w:r>
      <w:bookmarkEnd w:id="312"/>
      <w:r>
        <w:rPr>
          <w:rFonts w:ascii="Times New Roman" w:hAnsi="Times New Roman"/>
        </w:rPr>
        <w:t>Tomēr, lai gan, saņemot pārtverto materiālu, drošības pasākumi tā pārbaudei, izmantošanai un uzglabāšanai, tālākai pārraidei, kā arī dzēšanai un iznīcināšanai ir piemērojami vienādi (skat. sprieduma 498. punktu), pirmais pīlārs, proti, iepriekšēja neatkarīga atļauja, pēc vairākuma domām, pilnībā izzūd. Vairākuma argumentācija šajā ziņā mūs nepārliecina. Kāpēc jānošķir veids, kādā dati nonākuši iestāžu rīcībā, un tas, vai tās datus ir pārtvērušas pašas vai arī to uzdevušas veikt kādai ārvalstu iestādei? Līdz ar to, mūsu ieskatā, arī attiecībā uz pirmo pīlāru jāpiemēro tie paši drošības pasākumi, kas noteikti attiecībā uz masveida pārtveršanu.</w:t>
      </w:r>
    </w:p>
    <w:p w14:paraId="2F97CD6E" w14:textId="77777777" w:rsidR="00DA068F" w:rsidRPr="008D031E" w:rsidRDefault="00DA068F" w:rsidP="00DA068F">
      <w:pPr>
        <w:pStyle w:val="JuPara"/>
        <w:widowControl w:val="0"/>
        <w:ind w:firstLine="142"/>
        <w:rPr>
          <w:rFonts w:ascii="Times New Roman" w:hAnsi="Times New Roman"/>
          <w:bCs/>
          <w:noProof/>
        </w:rPr>
      </w:pPr>
      <w:r>
        <w:rPr>
          <w:rFonts w:ascii="Times New Roman" w:hAnsi="Times New Roman"/>
        </w:rPr>
        <w:t xml:space="preserve">4. Mēs varam pilnībā pievienoties Tiesas sprieduma 496. un 497. punktā sniegtajam </w:t>
      </w:r>
      <w:proofErr w:type="spellStart"/>
      <w:r>
        <w:rPr>
          <w:rFonts w:ascii="Times New Roman" w:hAnsi="Times New Roman"/>
        </w:rPr>
        <w:t>izvērtējumam</w:t>
      </w:r>
      <w:proofErr w:type="spellEnd"/>
      <w:r>
        <w:rPr>
          <w:rFonts w:ascii="Times New Roman" w:hAnsi="Times New Roman"/>
        </w:rPr>
        <w:t>, jo īpaši tam, ka iejaukšanās 8. pantā noteiktajās tiesībās jau ir paredzēta sākotnējā pieprasījumā ārvalstu iestādēm un ka Konvencijā paredzētie aizsardzības mehānismi būtu neefektīvi, ja valstis varētu apiet savus Konvencijā noteiktos pienākumus, pieprasot datus no valstīm, kuras nav līgumslēdzējas valstis. Tāpēc dalībvalstīs ir jābūt ieviestiem skaidriem un detalizētiem noteikumiem, kas paredz efektīvu aizsardzību pret to pilnvaru ļaunprātīgu izmantošanu, lai apietu attiecīgās valsts tiesību aktus un/vai tās pienākumus, kas noteikti Konvencijā.</w:t>
      </w:r>
    </w:p>
    <w:p w14:paraId="6DB0C38F" w14:textId="77777777" w:rsidR="00DA068F" w:rsidRPr="008D031E" w:rsidRDefault="00DA068F" w:rsidP="00DA068F">
      <w:pPr>
        <w:pStyle w:val="JuPara"/>
        <w:widowControl w:val="0"/>
        <w:ind w:firstLine="142"/>
        <w:rPr>
          <w:rFonts w:ascii="Times New Roman" w:hAnsi="Times New Roman"/>
          <w:bCs/>
          <w:noProof/>
        </w:rPr>
      </w:pPr>
      <w:r>
        <w:rPr>
          <w:rFonts w:ascii="Times New Roman" w:hAnsi="Times New Roman"/>
        </w:rPr>
        <w:t>5. Vienīgais, par ko mēs, vienlaicīgi cienot kolēģu nostāju, nepiekrītam vairākumam, ir jautājums par to, ko uzskata par “efektīvām garantijām”.</w:t>
      </w:r>
    </w:p>
    <w:p w14:paraId="314B338B" w14:textId="77777777" w:rsidR="00DA068F" w:rsidRPr="008D031E" w:rsidRDefault="00DA068F" w:rsidP="00DA068F">
      <w:pPr>
        <w:pStyle w:val="JuPara"/>
        <w:widowControl w:val="0"/>
        <w:ind w:firstLine="142"/>
        <w:rPr>
          <w:rFonts w:ascii="Times New Roman" w:hAnsi="Times New Roman"/>
          <w:bCs/>
          <w:noProof/>
        </w:rPr>
      </w:pPr>
      <w:r>
        <w:rPr>
          <w:rFonts w:ascii="Times New Roman" w:hAnsi="Times New Roman"/>
        </w:rPr>
        <w:t xml:space="preserve">6. Vairākums vispirms atsaucies uz faktu, ka pieprasījumi bija vai nu balstīti uz valsts sekretāra jau atļautiem, vai arī konkrēti apstiprinātiem orderiem (skat. sprieduma 505. punktu). Tomēr mēs iebilstam, ka valsts sekretārs nav neatkarīgs no izpildvaras un ka šajā ziņā režīmam, kas regulē </w:t>
      </w:r>
      <w:proofErr w:type="spellStart"/>
      <w:r>
        <w:rPr>
          <w:rFonts w:ascii="Times New Roman" w:hAnsi="Times New Roman"/>
        </w:rPr>
        <w:t>izlūkdatu</w:t>
      </w:r>
      <w:proofErr w:type="spellEnd"/>
      <w:r>
        <w:rPr>
          <w:rFonts w:ascii="Times New Roman" w:hAnsi="Times New Roman"/>
        </w:rPr>
        <w:t xml:space="preserve"> saņemšanu no ārvalstu izlūkdienestiem, ir raksturīgs tāds pats trūkums kā masveida pārtveršanas režīmam (skat. sprieduma 377. punktu).</w:t>
      </w:r>
    </w:p>
    <w:p w14:paraId="2D05393C" w14:textId="77777777" w:rsidR="00DA068F" w:rsidRPr="008D031E" w:rsidRDefault="00DA068F" w:rsidP="00DA068F">
      <w:pPr>
        <w:pStyle w:val="JuPara"/>
        <w:widowControl w:val="0"/>
        <w:ind w:firstLine="142"/>
        <w:rPr>
          <w:rFonts w:ascii="Times New Roman" w:hAnsi="Times New Roman"/>
          <w:bCs/>
          <w:noProof/>
        </w:rPr>
      </w:pPr>
      <w:r>
        <w:rPr>
          <w:rFonts w:ascii="Times New Roman" w:hAnsi="Times New Roman"/>
        </w:rPr>
        <w:t xml:space="preserve">7. Otrkārt, vairākums, šķiet, ir pieņēmis, ka valsts tiesību akti, kas aizliedz jebkādu noteikumu apiešanu, ir efektīvs drošības pasākums (skat. sprieduma 506. punktu). Visu cieņu, taču mēs tam nepiekrītam. Kā norādīts iepriekš, piemēram, tiesneša </w:t>
      </w:r>
      <w:proofErr w:type="spellStart"/>
      <w:r>
        <w:rPr>
          <w:rFonts w:ascii="Times New Roman" w:hAnsi="Times New Roman"/>
        </w:rPr>
        <w:t>Ranconi</w:t>
      </w:r>
      <w:proofErr w:type="spellEnd"/>
      <w:r>
        <w:rPr>
          <w:rFonts w:ascii="Times New Roman" w:hAnsi="Times New Roman"/>
        </w:rPr>
        <w:t xml:space="preserve"> atsevišķajā viedoklī spriedumā lietā “</w:t>
      </w:r>
      <w:proofErr w:type="spellStart"/>
      <w:r>
        <w:rPr>
          <w:rFonts w:ascii="Times New Roman" w:hAnsi="Times New Roman"/>
        </w:rPr>
        <w:t>Breiers</w:t>
      </w:r>
      <w:proofErr w:type="spellEnd"/>
      <w:r>
        <w:rPr>
          <w:rFonts w:ascii="Times New Roman" w:hAnsi="Times New Roman"/>
        </w:rPr>
        <w:t xml:space="preserve"> [</w:t>
      </w:r>
      <w:proofErr w:type="spellStart"/>
      <w:r>
        <w:rPr>
          <w:rFonts w:ascii="Times New Roman" w:hAnsi="Times New Roman"/>
          <w:i/>
          <w:iCs/>
        </w:rPr>
        <w:t>Breyer</w:t>
      </w:r>
      <w:proofErr w:type="spellEnd"/>
      <w:r>
        <w:rPr>
          <w:rFonts w:ascii="Times New Roman" w:hAnsi="Times New Roman"/>
        </w:rPr>
        <w:t>] pret Vāciju ” (pieteikums Nr. 50001/12, 2020. gada 30. janvāris), valsts tiesību aktos ir noteikts vienīgi juridiskais pamats, kas paredz iejaukšanās likumību; tas papildus un pats par sevi nav efektīvs drošības pasākums, lai aizsargātu personu pret valsts tiesību aktu patvaļīgu piemērošanu, ko veic valsts iestādes, un no pilnvaru ļaunprātīgas izmantošanas. Šādai aizsardzībai ir jābūt plašākai par tiesību normām, jo īpaši tad, kad šīs normas un juridiskās pilnvaras ir formulētas plaši.</w:t>
      </w:r>
    </w:p>
    <w:p w14:paraId="3C716F31" w14:textId="77777777" w:rsidR="00DA068F" w:rsidRPr="008D031E" w:rsidRDefault="00DA068F" w:rsidP="005C1995">
      <w:pPr>
        <w:pStyle w:val="JuPara"/>
        <w:keepNext/>
        <w:keepLines/>
        <w:widowControl w:val="0"/>
        <w:ind w:firstLine="142"/>
        <w:rPr>
          <w:rFonts w:ascii="Times New Roman" w:hAnsi="Times New Roman"/>
          <w:bCs/>
          <w:noProof/>
        </w:rPr>
      </w:pPr>
      <w:r>
        <w:rPr>
          <w:rFonts w:ascii="Times New Roman" w:hAnsi="Times New Roman"/>
        </w:rPr>
        <w:lastRenderedPageBreak/>
        <w:t>8. Citiem vārdiem, tiesību normu, kas aizliedz apiešanu vai pilnvaru cita veida ļaunprātīgu izmantošanu, vienlaicīgi nevar uzskatīt par drošības pasākumu aizsardzībai pret šādu rīcību. Efektīvs drošības pasākums paredz tāda mehānisma pieejamību, kas spēj nodrošināt šīs normas pareizu piemērošanu. Tomēr šāda veida drošības pasākumu trūkst attiecībā uz pieprasījumiem, ar kuriem ārvalstu izlūkdienestiem ir prasīts pārtvert un pārsūtīt datus. Mūsuprāt, tāpat kā masveida pārtveršanas režīmā, pirmais pīlārs līdzīgi jāpiemēro “no gala līdz galam” drošības pasākumiem. Līdz ar to jebkuram šādam pieprasījumam ir nepieciešama iepriekšēja atļauja no kādas neatkarīgas struktūras, kas spēj novērtēt, vai šāda rīcība ir nepieciešama un samērīga ar izvirzīto mērķi (skat. sprieduma 350. un 351. punktu), un nodrošināt, ka šīs pilnvaras netiek izmantotas, lai apietu valsts tiesību aktus un/vai pienākumus, kas noteikti Konvencijā.</w:t>
      </w:r>
    </w:p>
    <w:p w14:paraId="66C36DB6" w14:textId="77777777" w:rsidR="00DA068F" w:rsidRPr="008D031E" w:rsidRDefault="00DA068F" w:rsidP="00DA068F">
      <w:pPr>
        <w:pStyle w:val="JuPara"/>
        <w:widowControl w:val="0"/>
        <w:ind w:firstLine="142"/>
        <w:rPr>
          <w:rFonts w:ascii="Times New Roman" w:hAnsi="Times New Roman"/>
          <w:bCs/>
          <w:noProof/>
        </w:rPr>
      </w:pPr>
      <w:r>
        <w:rPr>
          <w:rFonts w:ascii="Times New Roman" w:hAnsi="Times New Roman"/>
        </w:rPr>
        <w:t xml:space="preserve">9. Šo iemeslu dēļ mēs esam balsojuši pret atzinumu, ka nav pārkāpts Konvencijas 8. pants attiecībā uz </w:t>
      </w:r>
      <w:proofErr w:type="spellStart"/>
      <w:r>
        <w:rPr>
          <w:rFonts w:ascii="Times New Roman" w:hAnsi="Times New Roman"/>
        </w:rPr>
        <w:t>izlūkdatu</w:t>
      </w:r>
      <w:proofErr w:type="spellEnd"/>
      <w:r>
        <w:rPr>
          <w:rFonts w:ascii="Times New Roman" w:hAnsi="Times New Roman"/>
        </w:rPr>
        <w:t xml:space="preserve"> saņemšanu no ārvalstu izlūkdienestiem.</w:t>
      </w:r>
    </w:p>
    <w:p w14:paraId="7254C0D2"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10. Tā kā vairākums ir secinājis, ka ar </w:t>
      </w:r>
      <w:proofErr w:type="spellStart"/>
      <w:r>
        <w:rPr>
          <w:rFonts w:ascii="Times New Roman" w:hAnsi="Times New Roman"/>
        </w:rPr>
        <w:t>izlūkdatu</w:t>
      </w:r>
      <w:proofErr w:type="spellEnd"/>
      <w:r>
        <w:rPr>
          <w:rFonts w:ascii="Times New Roman" w:hAnsi="Times New Roman"/>
        </w:rPr>
        <w:t xml:space="preserve"> apmaiņas režīmu nav pārkāpts Konvencijas 10. pants, pamatojoties uz tiem pašiem iemesliem, kas viņiem ļāva secināt, ka nav pārkāpts Konvencijas 8. pants (skat. sprieduma 516. punktu), mēs nepiekrītam tā secinājumiem saskaņā ar 10. pantu.</w:t>
      </w:r>
    </w:p>
    <w:p w14:paraId="38763319" w14:textId="77777777" w:rsidR="00DA068F" w:rsidRPr="008D031E" w:rsidRDefault="00DA068F" w:rsidP="00DA068F">
      <w:pPr>
        <w:widowControl w:val="0"/>
        <w:jc w:val="both"/>
        <w:rPr>
          <w:rFonts w:ascii="Times New Roman" w:hAnsi="Times New Roman"/>
          <w:b/>
          <w:caps/>
          <w:noProof/>
          <w:lang w:val="en-US"/>
        </w:rPr>
      </w:pPr>
    </w:p>
    <w:p w14:paraId="299314D5" w14:textId="77777777" w:rsidR="00DA068F" w:rsidRPr="008D031E" w:rsidRDefault="00DA068F" w:rsidP="00DA068F">
      <w:pPr>
        <w:widowControl w:val="0"/>
        <w:jc w:val="both"/>
        <w:rPr>
          <w:rFonts w:ascii="Times New Roman" w:hAnsi="Times New Roman"/>
          <w:b/>
          <w:caps/>
          <w:noProof/>
          <w:lang w:val="en-US"/>
        </w:rPr>
      </w:pPr>
    </w:p>
    <w:p w14:paraId="0A93058D" w14:textId="77777777" w:rsidR="00DA068F" w:rsidRDefault="00DA068F" w:rsidP="00DA068F">
      <w:pPr>
        <w:widowControl w:val="0"/>
        <w:rPr>
          <w:rFonts w:ascii="Times New Roman" w:hAnsi="Times New Roman"/>
          <w:noProof/>
        </w:rPr>
      </w:pPr>
      <w:r>
        <w:br w:type="page"/>
      </w:r>
    </w:p>
    <w:p w14:paraId="4548A15A" w14:textId="77777777" w:rsidR="00DA068F" w:rsidRDefault="00DA068F" w:rsidP="00DA068F">
      <w:pPr>
        <w:pStyle w:val="DecHTitle"/>
        <w:keepNext w:val="0"/>
        <w:keepLines w:val="0"/>
        <w:widowControl w:val="0"/>
        <w:spacing w:after="0"/>
        <w:outlineLvl w:val="9"/>
        <w:rPr>
          <w:rFonts w:ascii="Times New Roman" w:hAnsi="Times New Roman"/>
          <w:noProof/>
          <w:sz w:val="24"/>
        </w:rPr>
      </w:pPr>
      <w:r>
        <w:rPr>
          <w:rFonts w:ascii="Times New Roman" w:hAnsi="Times New Roman"/>
          <w:sz w:val="24"/>
        </w:rPr>
        <w:lastRenderedPageBreak/>
        <w:t>PAPILDINĀJUMS</w:t>
      </w:r>
    </w:p>
    <w:p w14:paraId="0E62DD34" w14:textId="77777777" w:rsidR="00DA068F" w:rsidRPr="00E05719" w:rsidRDefault="00DA068F" w:rsidP="00DA068F">
      <w:pPr>
        <w:pStyle w:val="JuPara"/>
        <w:widowControl w:val="0"/>
        <w:rPr>
          <w:lang w:val="en-US"/>
        </w:rPr>
      </w:pPr>
    </w:p>
    <w:p w14:paraId="01CCCFC3" w14:textId="77777777" w:rsidR="00DA068F" w:rsidRPr="008D031E" w:rsidRDefault="00DA068F" w:rsidP="00DA068F">
      <w:pPr>
        <w:widowControl w:val="0"/>
        <w:jc w:val="both"/>
        <w:rPr>
          <w:rFonts w:ascii="Times New Roman" w:hAnsi="Times New Roman"/>
          <w:b/>
          <w:noProof/>
        </w:rPr>
      </w:pPr>
      <w:r>
        <w:rPr>
          <w:rFonts w:ascii="Times New Roman" w:hAnsi="Times New Roman"/>
          <w:b/>
        </w:rPr>
        <w:t>Lietas dalībnieku saraksts</w:t>
      </w:r>
    </w:p>
    <w:p w14:paraId="294B2456" w14:textId="77777777" w:rsidR="00DA068F" w:rsidRPr="008D031E" w:rsidRDefault="00DA068F" w:rsidP="00DA068F">
      <w:pPr>
        <w:widowControl w:val="0"/>
        <w:jc w:val="both"/>
        <w:rPr>
          <w:rFonts w:ascii="Times New Roman" w:hAnsi="Times New Roman" w:cs="Times New Roman"/>
          <w:noProof/>
          <w:lang w:val="en-US"/>
        </w:rPr>
      </w:pPr>
    </w:p>
    <w:tbl>
      <w:tblPr>
        <w:tblStyle w:val="ECHRDNTable"/>
        <w:tblW w:w="0" w:type="auto"/>
        <w:tblCellMar>
          <w:top w:w="28" w:type="dxa"/>
          <w:left w:w="28" w:type="dxa"/>
          <w:bottom w:w="28" w:type="dxa"/>
          <w:right w:w="28" w:type="dxa"/>
        </w:tblCellMar>
        <w:tblLook w:val="04A0" w:firstRow="1" w:lastRow="0" w:firstColumn="1" w:lastColumn="0" w:noHBand="0" w:noVBand="1"/>
      </w:tblPr>
      <w:tblGrid>
        <w:gridCol w:w="1536"/>
        <w:gridCol w:w="5670"/>
      </w:tblGrid>
      <w:tr w:rsidR="00DA068F" w:rsidRPr="008D031E" w14:paraId="514A9610" w14:textId="77777777" w:rsidTr="00C1333D">
        <w:trPr>
          <w:cnfStyle w:val="100000000000" w:firstRow="1" w:lastRow="0" w:firstColumn="0" w:lastColumn="0" w:oddVBand="0" w:evenVBand="0" w:oddHBand="0" w:evenHBand="0" w:firstRowFirstColumn="0" w:firstRowLastColumn="0" w:lastRowFirstColumn="0" w:lastRowLastColumn="0"/>
        </w:trPr>
        <w:tc>
          <w:tcPr>
            <w:tcW w:w="1536" w:type="dxa"/>
            <w:tcBorders>
              <w:bottom w:val="single" w:sz="4" w:space="0" w:color="949494" w:themeColor="text2" w:themeShade="BF"/>
              <w:right w:val="single" w:sz="4" w:space="0" w:color="949494" w:themeColor="text2" w:themeShade="BF"/>
            </w:tcBorders>
            <w:noWrap/>
          </w:tcPr>
          <w:p w14:paraId="42BDCF6F" w14:textId="77777777" w:rsidR="00DA068F" w:rsidRPr="008D031E" w:rsidRDefault="00DA068F" w:rsidP="00C1333D">
            <w:pPr>
              <w:widowControl w:val="0"/>
              <w:jc w:val="both"/>
              <w:rPr>
                <w:rFonts w:ascii="Times New Roman" w:hAnsi="Times New Roman" w:cs="Times New Roman"/>
                <w:b w:val="0"/>
                <w:noProof/>
                <w:color w:val="auto"/>
              </w:rPr>
            </w:pPr>
            <w:r>
              <w:rPr>
                <w:rFonts w:ascii="Times New Roman" w:hAnsi="Times New Roman"/>
                <w:b w:val="0"/>
                <w:color w:val="auto"/>
              </w:rPr>
              <w:t xml:space="preserve">Pieteikuma Nr. </w:t>
            </w:r>
          </w:p>
        </w:tc>
        <w:tc>
          <w:tcPr>
            <w:tcW w:w="5670" w:type="dxa"/>
            <w:tcBorders>
              <w:left w:val="single" w:sz="4" w:space="0" w:color="949494" w:themeColor="text2" w:themeShade="BF"/>
              <w:bottom w:val="single" w:sz="4" w:space="0" w:color="949494" w:themeColor="text2" w:themeShade="BF"/>
            </w:tcBorders>
            <w:noWrap/>
          </w:tcPr>
          <w:p w14:paraId="06CBBE27" w14:textId="77777777" w:rsidR="00DA068F" w:rsidRPr="008D031E" w:rsidRDefault="00DA068F" w:rsidP="00C1333D">
            <w:pPr>
              <w:widowControl w:val="0"/>
              <w:jc w:val="both"/>
              <w:rPr>
                <w:rFonts w:ascii="Times New Roman" w:hAnsi="Times New Roman" w:cs="Times New Roman"/>
                <w:b w:val="0"/>
                <w:noProof/>
                <w:color w:val="auto"/>
              </w:rPr>
            </w:pPr>
            <w:r>
              <w:rPr>
                <w:rFonts w:ascii="Times New Roman" w:hAnsi="Times New Roman"/>
                <w:b w:val="0"/>
                <w:color w:val="auto"/>
              </w:rPr>
              <w:t>Lietas dalībnieki</w:t>
            </w:r>
          </w:p>
        </w:tc>
      </w:tr>
      <w:tr w:rsidR="00DA068F" w:rsidRPr="008D031E" w14:paraId="380077C9" w14:textId="77777777" w:rsidTr="00C1333D">
        <w:tc>
          <w:tcPr>
            <w:tcW w:w="1536" w:type="dxa"/>
            <w:tcBorders>
              <w:top w:val="single" w:sz="4" w:space="0" w:color="949494" w:themeColor="text2" w:themeShade="BF"/>
            </w:tcBorders>
            <w:noWrap/>
          </w:tcPr>
          <w:p w14:paraId="356BD0FC"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58170/13</w:t>
            </w:r>
          </w:p>
        </w:tc>
        <w:tc>
          <w:tcPr>
            <w:tcW w:w="5670" w:type="dxa"/>
            <w:tcBorders>
              <w:top w:val="single" w:sz="4" w:space="0" w:color="949494" w:themeColor="text2" w:themeShade="BF"/>
            </w:tcBorders>
            <w:noWrap/>
          </w:tcPr>
          <w:p w14:paraId="043D1FFA"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w:t>
            </w:r>
            <w:proofErr w:type="spellStart"/>
            <w:r>
              <w:rPr>
                <w:rFonts w:ascii="Times New Roman" w:hAnsi="Times New Roman"/>
              </w:rPr>
              <w:t>Big</w:t>
            </w:r>
            <w:proofErr w:type="spellEnd"/>
            <w:r>
              <w:rPr>
                <w:rFonts w:ascii="Times New Roman" w:hAnsi="Times New Roman"/>
              </w:rPr>
              <w:t xml:space="preserve"> </w:t>
            </w:r>
            <w:proofErr w:type="spellStart"/>
            <w:r>
              <w:rPr>
                <w:rFonts w:ascii="Times New Roman" w:hAnsi="Times New Roman"/>
              </w:rPr>
              <w:t>Brother</w:t>
            </w:r>
            <w:proofErr w:type="spellEnd"/>
            <w:r>
              <w:rPr>
                <w:rFonts w:ascii="Times New Roman" w:hAnsi="Times New Roman"/>
              </w:rPr>
              <w:t xml:space="preserve"> </w:t>
            </w:r>
            <w:proofErr w:type="spellStart"/>
            <w:r>
              <w:rPr>
                <w:rFonts w:ascii="Times New Roman" w:hAnsi="Times New Roman"/>
              </w:rPr>
              <w:t>Watch</w:t>
            </w:r>
            <w:proofErr w:type="spellEnd"/>
            <w:r>
              <w:rPr>
                <w:rFonts w:ascii="Times New Roman" w:hAnsi="Times New Roman"/>
              </w:rPr>
              <w:t>”</w:t>
            </w:r>
          </w:p>
        </w:tc>
      </w:tr>
      <w:tr w:rsidR="00DA068F" w:rsidRPr="008D031E" w14:paraId="36F29A79" w14:textId="77777777" w:rsidTr="00C1333D">
        <w:tc>
          <w:tcPr>
            <w:tcW w:w="1536" w:type="dxa"/>
            <w:noWrap/>
          </w:tcPr>
          <w:p w14:paraId="05003C2E"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58170/13</w:t>
            </w:r>
          </w:p>
        </w:tc>
        <w:tc>
          <w:tcPr>
            <w:tcW w:w="5670" w:type="dxa"/>
            <w:noWrap/>
          </w:tcPr>
          <w:p w14:paraId="7511623C"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w:t>
            </w:r>
            <w:proofErr w:type="spellStart"/>
            <w:r>
              <w:rPr>
                <w:rFonts w:ascii="Times New Roman" w:hAnsi="Times New Roman"/>
              </w:rPr>
              <w:t>English</w:t>
            </w:r>
            <w:proofErr w:type="spellEnd"/>
            <w:r>
              <w:rPr>
                <w:rFonts w:ascii="Times New Roman" w:hAnsi="Times New Roman"/>
              </w:rPr>
              <w:t xml:space="preserve"> PEN”</w:t>
            </w:r>
          </w:p>
        </w:tc>
      </w:tr>
      <w:tr w:rsidR="00DA068F" w:rsidRPr="008D031E" w14:paraId="24808A4B" w14:textId="77777777" w:rsidTr="00C1333D">
        <w:tc>
          <w:tcPr>
            <w:tcW w:w="1536" w:type="dxa"/>
            <w:noWrap/>
          </w:tcPr>
          <w:p w14:paraId="141CE568"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58170/13</w:t>
            </w:r>
          </w:p>
        </w:tc>
        <w:tc>
          <w:tcPr>
            <w:tcW w:w="5670" w:type="dxa"/>
            <w:noWrap/>
          </w:tcPr>
          <w:p w14:paraId="33998B44"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w:t>
            </w:r>
            <w:proofErr w:type="spellStart"/>
            <w:r>
              <w:rPr>
                <w:rFonts w:ascii="Times New Roman" w:hAnsi="Times New Roman"/>
              </w:rPr>
              <w:t>Open</w:t>
            </w:r>
            <w:proofErr w:type="spellEnd"/>
            <w:r>
              <w:rPr>
                <w:rFonts w:ascii="Times New Roman" w:hAnsi="Times New Roman"/>
              </w:rPr>
              <w:t xml:space="preserve"> </w:t>
            </w:r>
            <w:proofErr w:type="spellStart"/>
            <w:r>
              <w:rPr>
                <w:rFonts w:ascii="Times New Roman" w:hAnsi="Times New Roman"/>
              </w:rPr>
              <w:t>Rights</w:t>
            </w:r>
            <w:proofErr w:type="spellEnd"/>
            <w:r>
              <w:rPr>
                <w:rFonts w:ascii="Times New Roman" w:hAnsi="Times New Roman"/>
              </w:rPr>
              <w:t xml:space="preserve"> </w:t>
            </w:r>
            <w:proofErr w:type="spellStart"/>
            <w:r>
              <w:rPr>
                <w:rFonts w:ascii="Times New Roman" w:hAnsi="Times New Roman"/>
              </w:rPr>
              <w:t>Group</w:t>
            </w:r>
            <w:proofErr w:type="spellEnd"/>
            <w:r>
              <w:rPr>
                <w:rFonts w:ascii="Times New Roman" w:hAnsi="Times New Roman"/>
              </w:rPr>
              <w:t>”</w:t>
            </w:r>
          </w:p>
        </w:tc>
      </w:tr>
      <w:tr w:rsidR="00DA068F" w:rsidRPr="008D031E" w14:paraId="7AB0A56A" w14:textId="77777777" w:rsidTr="00C1333D">
        <w:tc>
          <w:tcPr>
            <w:tcW w:w="1536" w:type="dxa"/>
            <w:noWrap/>
          </w:tcPr>
          <w:p w14:paraId="724629DF"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58170/13</w:t>
            </w:r>
          </w:p>
        </w:tc>
        <w:tc>
          <w:tcPr>
            <w:tcW w:w="5670" w:type="dxa"/>
            <w:noWrap/>
          </w:tcPr>
          <w:p w14:paraId="08C14CEC"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Dr. Konstance Kurca [</w:t>
            </w:r>
            <w:proofErr w:type="spellStart"/>
            <w:r>
              <w:rPr>
                <w:rFonts w:ascii="Times New Roman" w:hAnsi="Times New Roman"/>
                <w:i/>
                <w:iCs/>
              </w:rPr>
              <w:t>Constanze</w:t>
            </w:r>
            <w:proofErr w:type="spellEnd"/>
            <w:r>
              <w:rPr>
                <w:rFonts w:ascii="Times New Roman" w:hAnsi="Times New Roman"/>
                <w:i/>
                <w:iCs/>
              </w:rPr>
              <w:t xml:space="preserve"> </w:t>
            </w:r>
            <w:proofErr w:type="spellStart"/>
            <w:r>
              <w:rPr>
                <w:rFonts w:ascii="Times New Roman" w:hAnsi="Times New Roman"/>
                <w:i/>
                <w:iCs/>
              </w:rPr>
              <w:t>Kurz</w:t>
            </w:r>
            <w:proofErr w:type="spellEnd"/>
            <w:r>
              <w:rPr>
                <w:rFonts w:ascii="Times New Roman" w:hAnsi="Times New Roman"/>
              </w:rPr>
              <w:t>]</w:t>
            </w:r>
          </w:p>
        </w:tc>
      </w:tr>
      <w:tr w:rsidR="00DA068F" w:rsidRPr="008D031E" w14:paraId="3779F84F" w14:textId="77777777" w:rsidTr="00C1333D">
        <w:tc>
          <w:tcPr>
            <w:tcW w:w="1536" w:type="dxa"/>
            <w:noWrap/>
          </w:tcPr>
          <w:p w14:paraId="65C6CFBD"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62322/14</w:t>
            </w:r>
          </w:p>
        </w:tc>
        <w:tc>
          <w:tcPr>
            <w:tcW w:w="5670" w:type="dxa"/>
            <w:noWrap/>
          </w:tcPr>
          <w:p w14:paraId="171C65CC"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Pētnieciskās žurnālistikas birojs</w:t>
            </w:r>
          </w:p>
        </w:tc>
      </w:tr>
      <w:tr w:rsidR="00DA068F" w:rsidRPr="008D031E" w14:paraId="45B17132" w14:textId="77777777" w:rsidTr="00C1333D">
        <w:tc>
          <w:tcPr>
            <w:tcW w:w="1536" w:type="dxa"/>
            <w:noWrap/>
          </w:tcPr>
          <w:p w14:paraId="5D37C730"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62322/14</w:t>
            </w:r>
          </w:p>
        </w:tc>
        <w:tc>
          <w:tcPr>
            <w:tcW w:w="5670" w:type="dxa"/>
            <w:noWrap/>
          </w:tcPr>
          <w:p w14:paraId="3FE16A22"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Alise Rosa [</w:t>
            </w:r>
            <w:proofErr w:type="spellStart"/>
            <w:r>
              <w:rPr>
                <w:rFonts w:ascii="Times New Roman" w:hAnsi="Times New Roman"/>
                <w:i/>
                <w:iCs/>
              </w:rPr>
              <w:t>Alice</w:t>
            </w:r>
            <w:proofErr w:type="spellEnd"/>
            <w:r>
              <w:rPr>
                <w:rFonts w:ascii="Times New Roman" w:hAnsi="Times New Roman"/>
                <w:i/>
                <w:iCs/>
              </w:rPr>
              <w:t xml:space="preserve"> Ross</w:t>
            </w:r>
            <w:r>
              <w:rPr>
                <w:rFonts w:ascii="Times New Roman" w:hAnsi="Times New Roman"/>
              </w:rPr>
              <w:t>]</w:t>
            </w:r>
          </w:p>
        </w:tc>
      </w:tr>
      <w:tr w:rsidR="00DA068F" w:rsidRPr="008D031E" w14:paraId="61E14072" w14:textId="77777777" w:rsidTr="00C1333D">
        <w:tc>
          <w:tcPr>
            <w:tcW w:w="1536" w:type="dxa"/>
            <w:noWrap/>
            <w:hideMark/>
          </w:tcPr>
          <w:p w14:paraId="435052A5"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24960/15</w:t>
            </w:r>
          </w:p>
        </w:tc>
        <w:tc>
          <w:tcPr>
            <w:tcW w:w="5670" w:type="dxa"/>
            <w:noWrap/>
            <w:hideMark/>
          </w:tcPr>
          <w:p w14:paraId="7B7F68B7"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w:t>
            </w:r>
            <w:proofErr w:type="spellStart"/>
            <w:r>
              <w:rPr>
                <w:rFonts w:ascii="Times New Roman" w:hAnsi="Times New Roman"/>
              </w:rPr>
              <w:t>Amnesty</w:t>
            </w:r>
            <w:proofErr w:type="spellEnd"/>
            <w:r>
              <w:rPr>
                <w:rFonts w:ascii="Times New Roman" w:hAnsi="Times New Roman"/>
              </w:rPr>
              <w:t xml:space="preserve"> </w:t>
            </w:r>
            <w:proofErr w:type="spellStart"/>
            <w:r>
              <w:rPr>
                <w:rFonts w:ascii="Times New Roman" w:hAnsi="Times New Roman"/>
              </w:rPr>
              <w:t>International</w:t>
            </w:r>
            <w:proofErr w:type="spellEnd"/>
            <w:r>
              <w:rPr>
                <w:rFonts w:ascii="Times New Roman" w:hAnsi="Times New Roman"/>
              </w:rPr>
              <w:t xml:space="preserve"> Limited”</w:t>
            </w:r>
          </w:p>
        </w:tc>
      </w:tr>
      <w:tr w:rsidR="00DA068F" w:rsidRPr="008D031E" w14:paraId="56C62ADA" w14:textId="77777777" w:rsidTr="00C1333D">
        <w:tc>
          <w:tcPr>
            <w:tcW w:w="1536" w:type="dxa"/>
            <w:noWrap/>
            <w:hideMark/>
          </w:tcPr>
          <w:p w14:paraId="19723AF2"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24960/15</w:t>
            </w:r>
          </w:p>
        </w:tc>
        <w:tc>
          <w:tcPr>
            <w:tcW w:w="5670" w:type="dxa"/>
            <w:noWrap/>
            <w:hideMark/>
          </w:tcPr>
          <w:p w14:paraId="4E4C0E1C"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w:t>
            </w:r>
            <w:proofErr w:type="spellStart"/>
            <w:r>
              <w:rPr>
                <w:rFonts w:ascii="Times New Roman" w:hAnsi="Times New Roman"/>
              </w:rPr>
              <w:t>Bytes</w:t>
            </w:r>
            <w:proofErr w:type="spellEnd"/>
            <w:r>
              <w:rPr>
                <w:rFonts w:ascii="Times New Roman" w:hAnsi="Times New Roman"/>
              </w:rPr>
              <w:t xml:space="preserve"> </w:t>
            </w:r>
            <w:proofErr w:type="spellStart"/>
            <w:r>
              <w:rPr>
                <w:rFonts w:ascii="Times New Roman" w:hAnsi="Times New Roman"/>
              </w:rPr>
              <w:t>For</w:t>
            </w:r>
            <w:proofErr w:type="spellEnd"/>
            <w:r>
              <w:rPr>
                <w:rFonts w:ascii="Times New Roman" w:hAnsi="Times New Roman"/>
              </w:rPr>
              <w:t xml:space="preserve"> </w:t>
            </w:r>
            <w:proofErr w:type="spellStart"/>
            <w:r>
              <w:rPr>
                <w:rFonts w:ascii="Times New Roman" w:hAnsi="Times New Roman"/>
              </w:rPr>
              <w:t>All</w:t>
            </w:r>
            <w:proofErr w:type="spellEnd"/>
            <w:r>
              <w:rPr>
                <w:rFonts w:ascii="Times New Roman" w:hAnsi="Times New Roman"/>
              </w:rPr>
              <w:t>”</w:t>
            </w:r>
          </w:p>
        </w:tc>
      </w:tr>
      <w:tr w:rsidR="00DA068F" w:rsidRPr="008D031E" w14:paraId="04443597" w14:textId="77777777" w:rsidTr="00C1333D">
        <w:tc>
          <w:tcPr>
            <w:tcW w:w="1536" w:type="dxa"/>
            <w:noWrap/>
            <w:hideMark/>
          </w:tcPr>
          <w:p w14:paraId="0B66CF81"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24960/15</w:t>
            </w:r>
          </w:p>
        </w:tc>
        <w:tc>
          <w:tcPr>
            <w:tcW w:w="5670" w:type="dxa"/>
            <w:noWrap/>
            <w:hideMark/>
          </w:tcPr>
          <w:p w14:paraId="02334755"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Nacionālā Pilsoņu brīvību padome (“</w:t>
            </w:r>
            <w:proofErr w:type="spellStart"/>
            <w:r>
              <w:rPr>
                <w:rFonts w:ascii="Times New Roman" w:hAnsi="Times New Roman"/>
              </w:rPr>
              <w:t>Liberty</w:t>
            </w:r>
            <w:proofErr w:type="spellEnd"/>
            <w:r>
              <w:rPr>
                <w:rFonts w:ascii="Times New Roman" w:hAnsi="Times New Roman"/>
              </w:rPr>
              <w:t>”)</w:t>
            </w:r>
          </w:p>
        </w:tc>
      </w:tr>
      <w:tr w:rsidR="00DA068F" w:rsidRPr="008D031E" w14:paraId="6F60790C" w14:textId="77777777" w:rsidTr="00C1333D">
        <w:tc>
          <w:tcPr>
            <w:tcW w:w="1536" w:type="dxa"/>
            <w:noWrap/>
          </w:tcPr>
          <w:p w14:paraId="47C88DB1"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24960/15</w:t>
            </w:r>
          </w:p>
        </w:tc>
        <w:tc>
          <w:tcPr>
            <w:tcW w:w="5670" w:type="dxa"/>
            <w:noWrap/>
          </w:tcPr>
          <w:p w14:paraId="73F093BC"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w:t>
            </w:r>
            <w:proofErr w:type="spellStart"/>
            <w:r>
              <w:rPr>
                <w:rFonts w:ascii="Times New Roman" w:hAnsi="Times New Roman"/>
              </w:rPr>
              <w:t>Privacy</w:t>
            </w:r>
            <w:proofErr w:type="spellEnd"/>
            <w:r>
              <w:rPr>
                <w:rFonts w:ascii="Times New Roman" w:hAnsi="Times New Roman"/>
              </w:rPr>
              <w:t xml:space="preserve"> </w:t>
            </w:r>
            <w:proofErr w:type="spellStart"/>
            <w:r>
              <w:rPr>
                <w:rFonts w:ascii="Times New Roman" w:hAnsi="Times New Roman"/>
              </w:rPr>
              <w:t>International</w:t>
            </w:r>
            <w:proofErr w:type="spellEnd"/>
            <w:r>
              <w:rPr>
                <w:rFonts w:ascii="Times New Roman" w:hAnsi="Times New Roman"/>
              </w:rPr>
              <w:t>”</w:t>
            </w:r>
          </w:p>
        </w:tc>
      </w:tr>
      <w:tr w:rsidR="00DA068F" w:rsidRPr="008D031E" w14:paraId="5921392D" w14:textId="77777777" w:rsidTr="00C1333D">
        <w:tc>
          <w:tcPr>
            <w:tcW w:w="1536" w:type="dxa"/>
            <w:noWrap/>
            <w:hideMark/>
          </w:tcPr>
          <w:p w14:paraId="6310B4F9"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24960/15</w:t>
            </w:r>
          </w:p>
        </w:tc>
        <w:tc>
          <w:tcPr>
            <w:tcW w:w="5670" w:type="dxa"/>
            <w:noWrap/>
            <w:hideMark/>
          </w:tcPr>
          <w:p w14:paraId="12FB98CA"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Amerikas Pilsoņu brīvību savienība</w:t>
            </w:r>
          </w:p>
        </w:tc>
      </w:tr>
      <w:tr w:rsidR="00DA068F" w:rsidRPr="008D031E" w14:paraId="0569D668" w14:textId="77777777" w:rsidTr="00C1333D">
        <w:tc>
          <w:tcPr>
            <w:tcW w:w="1536" w:type="dxa"/>
            <w:noWrap/>
            <w:hideMark/>
          </w:tcPr>
          <w:p w14:paraId="6A9B4B3C"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24960/15</w:t>
            </w:r>
          </w:p>
        </w:tc>
        <w:tc>
          <w:tcPr>
            <w:tcW w:w="5670" w:type="dxa"/>
            <w:noWrap/>
            <w:hideMark/>
          </w:tcPr>
          <w:p w14:paraId="62A23F78"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Kanādas Pilsoņu brīvību asociācija</w:t>
            </w:r>
          </w:p>
        </w:tc>
      </w:tr>
      <w:tr w:rsidR="00DA068F" w:rsidRPr="008D031E" w14:paraId="680EDEDF" w14:textId="77777777" w:rsidTr="00C1333D">
        <w:tc>
          <w:tcPr>
            <w:tcW w:w="1536" w:type="dxa"/>
            <w:noWrap/>
            <w:hideMark/>
          </w:tcPr>
          <w:p w14:paraId="48531844"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24960/15</w:t>
            </w:r>
          </w:p>
        </w:tc>
        <w:tc>
          <w:tcPr>
            <w:tcW w:w="5670" w:type="dxa"/>
            <w:noWrap/>
            <w:hideMark/>
          </w:tcPr>
          <w:p w14:paraId="36D6C34B"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Ēģiptes Personas tiesību iniciatīva</w:t>
            </w:r>
          </w:p>
        </w:tc>
      </w:tr>
      <w:tr w:rsidR="00DA068F" w:rsidRPr="008D031E" w14:paraId="2F1778DF" w14:textId="77777777" w:rsidTr="00C1333D">
        <w:tc>
          <w:tcPr>
            <w:tcW w:w="1536" w:type="dxa"/>
            <w:noWrap/>
            <w:hideMark/>
          </w:tcPr>
          <w:p w14:paraId="1D890DEB"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24960/15</w:t>
            </w:r>
          </w:p>
        </w:tc>
        <w:tc>
          <w:tcPr>
            <w:tcW w:w="5670" w:type="dxa"/>
            <w:noWrap/>
            <w:hideMark/>
          </w:tcPr>
          <w:p w14:paraId="2DE7C258"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Ungārijas Pilsoņu brīvību savienība</w:t>
            </w:r>
          </w:p>
        </w:tc>
      </w:tr>
      <w:tr w:rsidR="00DA068F" w:rsidRPr="008D031E" w14:paraId="16B3C90B" w14:textId="77777777" w:rsidTr="00C1333D">
        <w:tc>
          <w:tcPr>
            <w:tcW w:w="1536" w:type="dxa"/>
            <w:tcBorders>
              <w:bottom w:val="single" w:sz="4" w:space="0" w:color="949494" w:themeColor="text2" w:themeShade="BF"/>
            </w:tcBorders>
            <w:noWrap/>
            <w:hideMark/>
          </w:tcPr>
          <w:p w14:paraId="3284C0C1"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24960/15</w:t>
            </w:r>
          </w:p>
        </w:tc>
        <w:tc>
          <w:tcPr>
            <w:tcW w:w="5670" w:type="dxa"/>
            <w:tcBorders>
              <w:bottom w:val="single" w:sz="4" w:space="0" w:color="949494" w:themeColor="text2" w:themeShade="BF"/>
            </w:tcBorders>
            <w:noWrap/>
            <w:hideMark/>
          </w:tcPr>
          <w:p w14:paraId="29E3795E"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Irish</w:t>
            </w:r>
            <w:proofErr w:type="spellEnd"/>
            <w:r>
              <w:rPr>
                <w:rFonts w:ascii="Times New Roman" w:hAnsi="Times New Roman"/>
              </w:rPr>
              <w:t xml:space="preserve"> </w:t>
            </w:r>
            <w:proofErr w:type="spellStart"/>
            <w:r>
              <w:rPr>
                <w:rFonts w:ascii="Times New Roman" w:hAnsi="Times New Roman"/>
              </w:rPr>
              <w:t>Council</w:t>
            </w:r>
            <w:proofErr w:type="spellEnd"/>
            <w:r>
              <w:rPr>
                <w:rFonts w:ascii="Times New Roman" w:hAnsi="Times New Roman"/>
              </w:rPr>
              <w:t xml:space="preserve"> </w:t>
            </w:r>
            <w:proofErr w:type="spellStart"/>
            <w:r>
              <w:rPr>
                <w:rFonts w:ascii="Times New Roman" w:hAnsi="Times New Roman"/>
              </w:rPr>
              <w:t>For</w:t>
            </w:r>
            <w:proofErr w:type="spellEnd"/>
            <w:r>
              <w:rPr>
                <w:rFonts w:ascii="Times New Roman" w:hAnsi="Times New Roman"/>
              </w:rPr>
              <w:t xml:space="preserve"> </w:t>
            </w:r>
            <w:proofErr w:type="spellStart"/>
            <w:r>
              <w:rPr>
                <w:rFonts w:ascii="Times New Roman" w:hAnsi="Times New Roman"/>
              </w:rPr>
              <w:t>Civil</w:t>
            </w:r>
            <w:proofErr w:type="spellEnd"/>
            <w:r>
              <w:rPr>
                <w:rFonts w:ascii="Times New Roman" w:hAnsi="Times New Roman"/>
              </w:rPr>
              <w:t xml:space="preserve"> </w:t>
            </w:r>
            <w:proofErr w:type="spellStart"/>
            <w:r>
              <w:rPr>
                <w:rFonts w:ascii="Times New Roman" w:hAnsi="Times New Roman"/>
              </w:rPr>
              <w:t>Liberties</w:t>
            </w:r>
            <w:proofErr w:type="spellEnd"/>
            <w:r>
              <w:rPr>
                <w:rFonts w:ascii="Times New Roman" w:hAnsi="Times New Roman"/>
              </w:rPr>
              <w:t xml:space="preserve"> Limited”</w:t>
            </w:r>
          </w:p>
        </w:tc>
      </w:tr>
      <w:tr w:rsidR="00DA068F" w:rsidRPr="008D031E" w14:paraId="1CEC80EA" w14:textId="77777777" w:rsidTr="00C1333D">
        <w:tc>
          <w:tcPr>
            <w:tcW w:w="1536" w:type="dxa"/>
            <w:tcBorders>
              <w:top w:val="single" w:sz="4" w:space="0" w:color="949494" w:themeColor="text2" w:themeShade="BF"/>
            </w:tcBorders>
            <w:noWrap/>
            <w:hideMark/>
          </w:tcPr>
          <w:p w14:paraId="0A345FD3"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24960/15</w:t>
            </w:r>
          </w:p>
        </w:tc>
        <w:tc>
          <w:tcPr>
            <w:tcW w:w="5670" w:type="dxa"/>
            <w:tcBorders>
              <w:top w:val="single" w:sz="4" w:space="0" w:color="949494" w:themeColor="text2" w:themeShade="BF"/>
            </w:tcBorders>
            <w:noWrap/>
            <w:hideMark/>
          </w:tcPr>
          <w:p w14:paraId="164CD74E"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Juridisko resursu centrs</w:t>
            </w:r>
          </w:p>
        </w:tc>
      </w:tr>
    </w:tbl>
    <w:p w14:paraId="381A3F9D" w14:textId="77777777" w:rsidR="00DA068F" w:rsidRPr="008D031E" w:rsidRDefault="00DA068F" w:rsidP="00DA068F">
      <w:pPr>
        <w:widowControl w:val="0"/>
        <w:jc w:val="both"/>
        <w:rPr>
          <w:rFonts w:ascii="Times New Roman" w:hAnsi="Times New Roman" w:cs="Times New Roman"/>
          <w:noProof/>
          <w:lang w:val="en-US"/>
        </w:rPr>
      </w:pPr>
    </w:p>
    <w:p w14:paraId="67106AEA" w14:textId="77777777" w:rsidR="00F82F2D" w:rsidRDefault="00F82F2D" w:rsidP="00F82F2D">
      <w:pPr>
        <w:pStyle w:val="JuPara"/>
        <w:widowControl w:val="0"/>
        <w:ind w:firstLine="0"/>
        <w:rPr>
          <w:rFonts w:ascii="Times New Roman" w:hAnsi="Times New Roman"/>
          <w:noProof/>
          <w:lang w:val="en-US"/>
        </w:rPr>
      </w:pPr>
    </w:p>
    <w:sectPr w:rsidR="00F82F2D" w:rsidSect="00E67B38">
      <w:footnotePr>
        <w:numRestart w:val="eachSect"/>
      </w:footnotePr>
      <w:pgSz w:w="11906" w:h="16838" w:code="9"/>
      <w:pgMar w:top="1134" w:right="1134" w:bottom="1134" w:left="1701"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93BBF" w14:textId="77777777" w:rsidR="00FD6101" w:rsidRPr="000E3283" w:rsidRDefault="00FD6101">
      <w:pPr>
        <w:rPr>
          <w:noProof/>
          <w:lang w:val="en-US"/>
        </w:rPr>
      </w:pPr>
      <w:r w:rsidRPr="000E3283">
        <w:rPr>
          <w:noProof/>
          <w:lang w:val="en-US"/>
        </w:rPr>
        <w:separator/>
      </w:r>
    </w:p>
  </w:endnote>
  <w:endnote w:type="continuationSeparator" w:id="0">
    <w:p w14:paraId="6DCE334B" w14:textId="77777777" w:rsidR="00FD6101" w:rsidRPr="000E3283" w:rsidRDefault="00FD6101">
      <w:pPr>
        <w:rPr>
          <w:noProof/>
          <w:lang w:val="en-US"/>
        </w:rPr>
      </w:pPr>
      <w:r w:rsidRPr="000E328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B0119" w14:textId="77777777" w:rsidR="00893A73" w:rsidRPr="00893A73" w:rsidRDefault="00893A73" w:rsidP="00893A73">
    <w:pPr>
      <w:widowControl w:val="0"/>
      <w:tabs>
        <w:tab w:val="center" w:pos="4153"/>
        <w:tab w:val="right" w:pos="8306"/>
        <w:tab w:val="left" w:pos="9072"/>
      </w:tabs>
      <w:autoSpaceDE w:val="0"/>
      <w:autoSpaceDN w:val="0"/>
      <w:jc w:val="both"/>
      <w:rPr>
        <w:rFonts w:ascii="Times New Roman" w:eastAsia="Arial MT" w:hAnsi="Times New Roman" w:cs="Times New Roman"/>
        <w:noProof/>
        <w:sz w:val="20"/>
        <w:szCs w:val="20"/>
        <w:u w:val="single"/>
        <w:lang w:val="en-US"/>
      </w:rPr>
    </w:pPr>
  </w:p>
  <w:p w14:paraId="0FF5D5C8" w14:textId="77777777" w:rsidR="00893A73" w:rsidRPr="00893A73" w:rsidRDefault="00893A73" w:rsidP="00893A73">
    <w:pPr>
      <w:widowControl w:val="0"/>
      <w:tabs>
        <w:tab w:val="right" w:pos="9072"/>
      </w:tabs>
      <w:autoSpaceDE w:val="0"/>
      <w:autoSpaceDN w:val="0"/>
      <w:jc w:val="both"/>
      <w:rPr>
        <w:rFonts w:ascii="Times New Roman" w:eastAsia="Arial MT" w:hAnsi="Times New Roman" w:cs="Times New Roman"/>
        <w:noProof/>
        <w:sz w:val="20"/>
        <w:szCs w:val="20"/>
        <w:u w:val="single"/>
        <w:lang w:val="en-US"/>
      </w:rPr>
    </w:pPr>
    <w:r w:rsidRPr="00893A73">
      <w:rPr>
        <w:rFonts w:ascii="Times New Roman" w:eastAsia="Arial MT" w:hAnsi="Times New Roman" w:cs="Times New Roman"/>
        <w:noProof/>
        <w:sz w:val="20"/>
        <w:szCs w:val="20"/>
        <w:u w:val="single"/>
        <w:lang w:val="en-US"/>
      </w:rPr>
      <w:tab/>
    </w:r>
  </w:p>
  <w:p w14:paraId="651707E3" w14:textId="77777777" w:rsidR="00893A73" w:rsidRPr="00893A73" w:rsidRDefault="00893A73" w:rsidP="00893A73">
    <w:pPr>
      <w:widowControl w:val="0"/>
      <w:tabs>
        <w:tab w:val="right" w:pos="8306"/>
        <w:tab w:val="right" w:pos="9072"/>
      </w:tabs>
      <w:autoSpaceDE w:val="0"/>
      <w:autoSpaceDN w:val="0"/>
      <w:jc w:val="both"/>
      <w:rPr>
        <w:rFonts w:ascii="Times New Roman" w:eastAsia="Arial MT" w:hAnsi="Times New Roman" w:cs="Times New Roman"/>
        <w:noProof/>
        <w:sz w:val="20"/>
        <w:szCs w:val="20"/>
        <w:u w:val="single"/>
        <w:lang w:val="en-US"/>
      </w:rPr>
    </w:pPr>
  </w:p>
  <w:p w14:paraId="7069B865" w14:textId="700E8C67" w:rsidR="00DA068F" w:rsidRPr="00893A73" w:rsidRDefault="00893A73" w:rsidP="00893A73">
    <w:pPr>
      <w:widowControl w:val="0"/>
      <w:tabs>
        <w:tab w:val="right" w:pos="9072"/>
      </w:tabs>
      <w:autoSpaceDE w:val="0"/>
      <w:autoSpaceDN w:val="0"/>
      <w:jc w:val="both"/>
      <w:rPr>
        <w:rFonts w:ascii="Times New Roman" w:eastAsia="Arial MT" w:hAnsi="Times New Roman" w:cs="Times New Roman"/>
        <w:noProof/>
        <w:sz w:val="20"/>
        <w:szCs w:val="20"/>
        <w:lang w:val="en-US"/>
      </w:rPr>
    </w:pPr>
    <w:r w:rsidRPr="00893A73">
      <w:rPr>
        <w:rFonts w:ascii="Times New Roman" w:eastAsia="Arial MT" w:hAnsi="Times New Roman" w:cs="Times New Roman"/>
        <w:noProof/>
        <w:sz w:val="20"/>
        <w:szCs w:val="20"/>
        <w:lang w:val="en-US"/>
      </w:rPr>
      <w:t xml:space="preserve">Tulkojums </w:t>
    </w:r>
    <w:r w:rsidRPr="00893A73">
      <w:rPr>
        <w:rFonts w:ascii="Times New Roman" w:eastAsia="Arial MT" w:hAnsi="Times New Roman" w:cs="Times New Roman"/>
        <w:noProof/>
        <w:sz w:val="20"/>
        <w:szCs w:val="20"/>
        <w:lang w:val="en-US"/>
      </w:rPr>
      <w:fldChar w:fldCharType="begin"/>
    </w:r>
    <w:r w:rsidRPr="00893A73">
      <w:rPr>
        <w:rFonts w:ascii="Times New Roman" w:eastAsia="Arial MT" w:hAnsi="Times New Roman" w:cs="Times New Roman"/>
        <w:noProof/>
        <w:sz w:val="20"/>
        <w:szCs w:val="20"/>
        <w:lang w:val="en-US"/>
      </w:rPr>
      <w:instrText>symbol 211 \f "Symbol" \s 9</w:instrText>
    </w:r>
    <w:r w:rsidRPr="00893A73">
      <w:rPr>
        <w:rFonts w:ascii="Times New Roman" w:eastAsia="Arial MT" w:hAnsi="Times New Roman" w:cs="Times New Roman"/>
        <w:noProof/>
        <w:sz w:val="20"/>
        <w:szCs w:val="20"/>
        <w:lang w:val="en-US"/>
      </w:rPr>
      <w:fldChar w:fldCharType="separate"/>
    </w:r>
    <w:r w:rsidRPr="00893A73">
      <w:rPr>
        <w:rFonts w:ascii="Times New Roman" w:eastAsia="Arial MT" w:hAnsi="Times New Roman" w:cs="Times New Roman"/>
        <w:noProof/>
        <w:sz w:val="20"/>
        <w:szCs w:val="20"/>
        <w:lang w:val="en-US"/>
      </w:rPr>
      <w:t>Ó</w:t>
    </w:r>
    <w:r w:rsidRPr="00893A73">
      <w:rPr>
        <w:rFonts w:ascii="Times New Roman" w:eastAsia="Arial MT" w:hAnsi="Times New Roman" w:cs="Times New Roman"/>
        <w:noProof/>
        <w:sz w:val="20"/>
        <w:szCs w:val="20"/>
        <w:lang w:val="en-US"/>
      </w:rPr>
      <w:fldChar w:fldCharType="end"/>
    </w:r>
    <w:r w:rsidRPr="00893A73">
      <w:rPr>
        <w:rFonts w:ascii="Times New Roman" w:eastAsia="Arial MT" w:hAnsi="Times New Roman" w:cs="Times New Roman"/>
        <w:noProof/>
        <w:sz w:val="20"/>
        <w:szCs w:val="20"/>
        <w:lang w:val="en-US"/>
      </w:rPr>
      <w:t xml:space="preserve"> Valsts valodas centrs, 202</w:t>
    </w:r>
    <w:r>
      <w:rPr>
        <w:rFonts w:ascii="Times New Roman" w:eastAsia="Arial MT" w:hAnsi="Times New Roman" w:cs="Times New Roman"/>
        <w:noProof/>
        <w:sz w:val="20"/>
        <w:szCs w:val="20"/>
        <w:lang w:val="en-US"/>
      </w:rPr>
      <w:t>3</w:t>
    </w:r>
    <w:r w:rsidRPr="00893A73">
      <w:rPr>
        <w:rFonts w:ascii="Times New Roman" w:eastAsia="Arial MT" w:hAnsi="Times New Roman" w:cs="Times New Roman"/>
        <w:noProof/>
        <w:sz w:val="20"/>
        <w:szCs w:val="20"/>
        <w:lang w:val="en-US"/>
      </w:rPr>
      <w:tab/>
    </w:r>
    <w:r w:rsidRPr="00893A73">
      <w:rPr>
        <w:rFonts w:ascii="Times New Roman" w:eastAsia="Arial MT" w:hAnsi="Times New Roman" w:cs="Times New Roman"/>
        <w:noProof/>
        <w:sz w:val="20"/>
        <w:szCs w:val="20"/>
        <w:lang w:val="en-US"/>
      </w:rPr>
      <w:fldChar w:fldCharType="begin"/>
    </w:r>
    <w:r w:rsidRPr="00893A73">
      <w:rPr>
        <w:rFonts w:ascii="Times New Roman" w:eastAsia="Arial MT" w:hAnsi="Times New Roman" w:cs="Times New Roman"/>
        <w:noProof/>
        <w:sz w:val="20"/>
        <w:szCs w:val="20"/>
        <w:lang w:val="en-US"/>
      </w:rPr>
      <w:instrText xml:space="preserve">page </w:instrText>
    </w:r>
    <w:r w:rsidRPr="00893A73">
      <w:rPr>
        <w:rFonts w:ascii="Times New Roman" w:eastAsia="Arial MT" w:hAnsi="Times New Roman" w:cs="Times New Roman"/>
        <w:noProof/>
        <w:sz w:val="20"/>
        <w:szCs w:val="20"/>
        <w:lang w:val="en-US"/>
      </w:rPr>
      <w:fldChar w:fldCharType="separate"/>
    </w:r>
    <w:r w:rsidRPr="00893A73">
      <w:rPr>
        <w:rFonts w:ascii="Times New Roman" w:eastAsia="Arial MT" w:hAnsi="Times New Roman" w:cs="Times New Roman"/>
        <w:noProof/>
        <w:sz w:val="20"/>
        <w:szCs w:val="20"/>
        <w:lang w:val="en-US"/>
      </w:rPr>
      <w:t>2</w:t>
    </w:r>
    <w:r w:rsidRPr="00893A73">
      <w:rPr>
        <w:rFonts w:ascii="Times New Roman" w:eastAsia="Arial MT"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8FFEA" w14:textId="77777777" w:rsidR="00F16BF8" w:rsidRPr="00F16BF8" w:rsidRDefault="00F16BF8" w:rsidP="00F16BF8">
    <w:pPr>
      <w:widowControl w:val="0"/>
      <w:tabs>
        <w:tab w:val="center" w:pos="4153"/>
        <w:tab w:val="right" w:pos="8306"/>
        <w:tab w:val="left" w:pos="9072"/>
      </w:tabs>
      <w:autoSpaceDE w:val="0"/>
      <w:autoSpaceDN w:val="0"/>
      <w:jc w:val="both"/>
      <w:rPr>
        <w:rFonts w:ascii="Times New Roman" w:eastAsia="Arial MT" w:hAnsi="Times New Roman" w:cs="Arial MT"/>
        <w:noProof/>
        <w:sz w:val="20"/>
        <w:szCs w:val="18"/>
        <w:lang w:val="en-US"/>
      </w:rPr>
    </w:pPr>
    <w:bookmarkStart w:id="295" w:name="_Hlk496261764"/>
    <w:bookmarkStart w:id="296" w:name="_Hlk496261765"/>
    <w:bookmarkStart w:id="297" w:name="_Hlk496261766"/>
    <w:bookmarkStart w:id="298" w:name="_Hlk30491075"/>
    <w:bookmarkStart w:id="299" w:name="_Hlk30491076"/>
  </w:p>
  <w:p w14:paraId="727E8441" w14:textId="77777777" w:rsidR="00F16BF8" w:rsidRPr="00F16BF8" w:rsidRDefault="00F16BF8" w:rsidP="00F16BF8">
    <w:pPr>
      <w:widowControl w:val="0"/>
      <w:tabs>
        <w:tab w:val="right" w:pos="9072"/>
      </w:tabs>
      <w:autoSpaceDE w:val="0"/>
      <w:autoSpaceDN w:val="0"/>
      <w:jc w:val="both"/>
      <w:rPr>
        <w:rFonts w:ascii="Times New Roman" w:eastAsia="Arial MT" w:hAnsi="Times New Roman" w:cs="Arial MT"/>
        <w:noProof/>
        <w:sz w:val="20"/>
        <w:szCs w:val="18"/>
        <w:u w:val="single"/>
        <w:lang w:val="en-US"/>
      </w:rPr>
    </w:pPr>
    <w:r w:rsidRPr="00F16BF8">
      <w:rPr>
        <w:rFonts w:ascii="Times New Roman" w:eastAsia="Arial MT" w:hAnsi="Times New Roman" w:cs="Arial MT"/>
        <w:noProof/>
        <w:sz w:val="20"/>
        <w:szCs w:val="18"/>
        <w:u w:val="single"/>
        <w:lang w:val="en-US"/>
      </w:rPr>
      <w:tab/>
    </w:r>
  </w:p>
  <w:p w14:paraId="7AA4A00E" w14:textId="77777777" w:rsidR="00F16BF8" w:rsidRPr="00F16BF8" w:rsidRDefault="00F16BF8" w:rsidP="00F16BF8">
    <w:pPr>
      <w:widowControl w:val="0"/>
      <w:tabs>
        <w:tab w:val="center" w:pos="4153"/>
        <w:tab w:val="right" w:pos="8306"/>
        <w:tab w:val="left" w:pos="9072"/>
      </w:tabs>
      <w:autoSpaceDE w:val="0"/>
      <w:autoSpaceDN w:val="0"/>
      <w:jc w:val="both"/>
      <w:rPr>
        <w:rFonts w:ascii="Times New Roman" w:eastAsia="Arial MT" w:hAnsi="Times New Roman" w:cs="Arial MT"/>
        <w:noProof/>
        <w:sz w:val="20"/>
        <w:szCs w:val="18"/>
        <w:lang w:val="en-US"/>
      </w:rPr>
    </w:pPr>
  </w:p>
  <w:p w14:paraId="32BE7F35" w14:textId="23AD97BE" w:rsidR="00DA068F" w:rsidRPr="00F16BF8" w:rsidRDefault="00F16BF8" w:rsidP="00F16BF8">
    <w:pPr>
      <w:widowControl w:val="0"/>
      <w:tabs>
        <w:tab w:val="center" w:pos="4153"/>
        <w:tab w:val="right" w:pos="8306"/>
      </w:tabs>
      <w:autoSpaceDE w:val="0"/>
      <w:autoSpaceDN w:val="0"/>
      <w:jc w:val="both"/>
      <w:rPr>
        <w:rFonts w:ascii="Times New Roman" w:eastAsia="Arial MT" w:hAnsi="Times New Roman" w:cs="Arial MT"/>
        <w:noProof/>
        <w:sz w:val="20"/>
        <w:szCs w:val="18"/>
        <w:lang w:val="en-US"/>
      </w:rPr>
    </w:pPr>
    <w:r w:rsidRPr="00F16BF8">
      <w:rPr>
        <w:rFonts w:ascii="Times New Roman" w:eastAsia="Arial MT" w:hAnsi="Times New Roman" w:cs="Arial MT"/>
        <w:noProof/>
        <w:sz w:val="20"/>
        <w:szCs w:val="18"/>
        <w:lang w:val="en-US"/>
      </w:rPr>
      <w:t xml:space="preserve">Tulkojums </w:t>
    </w:r>
    <w:r w:rsidRPr="00F16BF8">
      <w:rPr>
        <w:rFonts w:ascii="Times New Roman" w:eastAsia="Arial MT" w:hAnsi="Times New Roman" w:cs="Arial MT"/>
        <w:noProof/>
        <w:sz w:val="20"/>
        <w:szCs w:val="18"/>
        <w:lang w:val="en-US"/>
      </w:rPr>
      <w:fldChar w:fldCharType="begin"/>
    </w:r>
    <w:r w:rsidRPr="00F16BF8">
      <w:rPr>
        <w:rFonts w:ascii="Times New Roman" w:eastAsia="Arial MT" w:hAnsi="Times New Roman" w:cs="Arial MT"/>
        <w:noProof/>
        <w:sz w:val="20"/>
        <w:szCs w:val="18"/>
        <w:lang w:val="en-US"/>
      </w:rPr>
      <w:instrText>symbol 211 \f "Symbol" \s 9</w:instrText>
    </w:r>
    <w:r w:rsidRPr="00F16BF8">
      <w:rPr>
        <w:rFonts w:ascii="Times New Roman" w:eastAsia="Arial MT" w:hAnsi="Times New Roman" w:cs="Arial MT"/>
        <w:noProof/>
        <w:sz w:val="20"/>
        <w:szCs w:val="18"/>
        <w:lang w:val="en-US"/>
      </w:rPr>
      <w:fldChar w:fldCharType="separate"/>
    </w:r>
    <w:r w:rsidRPr="00F16BF8">
      <w:rPr>
        <w:rFonts w:ascii="Times New Roman" w:eastAsia="Arial MT" w:hAnsi="Times New Roman" w:cs="Arial MT"/>
        <w:noProof/>
        <w:sz w:val="20"/>
        <w:szCs w:val="18"/>
        <w:lang w:val="en-US"/>
      </w:rPr>
      <w:t>Ó</w:t>
    </w:r>
    <w:r w:rsidRPr="00F16BF8">
      <w:rPr>
        <w:rFonts w:ascii="Times New Roman" w:eastAsia="Arial MT" w:hAnsi="Times New Roman" w:cs="Arial MT"/>
        <w:noProof/>
        <w:sz w:val="20"/>
        <w:szCs w:val="18"/>
        <w:lang w:val="en-US"/>
      </w:rPr>
      <w:fldChar w:fldCharType="end"/>
    </w:r>
    <w:r w:rsidRPr="00F16BF8">
      <w:rPr>
        <w:rFonts w:ascii="Times New Roman" w:eastAsia="Arial MT" w:hAnsi="Times New Roman" w:cs="Arial MT"/>
        <w:noProof/>
        <w:sz w:val="20"/>
        <w:szCs w:val="18"/>
        <w:lang w:val="en-US"/>
      </w:rPr>
      <w:t xml:space="preserve"> Valsts valodas centrs, 20</w:t>
    </w:r>
    <w:bookmarkEnd w:id="295"/>
    <w:bookmarkEnd w:id="296"/>
    <w:bookmarkEnd w:id="297"/>
    <w:r w:rsidRPr="00F16BF8">
      <w:rPr>
        <w:rFonts w:ascii="Times New Roman" w:eastAsia="Arial MT" w:hAnsi="Times New Roman" w:cs="Arial MT"/>
        <w:noProof/>
        <w:sz w:val="20"/>
        <w:szCs w:val="18"/>
        <w:lang w:val="en-US"/>
      </w:rPr>
      <w:t>2</w:t>
    </w:r>
    <w:bookmarkEnd w:id="298"/>
    <w:bookmarkEnd w:id="299"/>
    <w:r>
      <w:rPr>
        <w:rFonts w:ascii="Times New Roman" w:eastAsia="Arial MT" w:hAnsi="Times New Roman" w:cs="Arial MT"/>
        <w:noProof/>
        <w:sz w:val="20"/>
        <w:szCs w:val="18"/>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B79E7" w14:textId="77777777" w:rsidR="00FD6101" w:rsidRPr="000E3283" w:rsidRDefault="00FD6101">
      <w:pPr>
        <w:rPr>
          <w:noProof/>
          <w:lang w:val="en-US"/>
        </w:rPr>
      </w:pPr>
      <w:r w:rsidRPr="000E3283">
        <w:rPr>
          <w:noProof/>
          <w:lang w:val="en-US"/>
        </w:rPr>
        <w:separator/>
      </w:r>
    </w:p>
  </w:footnote>
  <w:footnote w:type="continuationSeparator" w:id="0">
    <w:p w14:paraId="7ABC0004" w14:textId="77777777" w:rsidR="00FD6101" w:rsidRPr="000E3283" w:rsidRDefault="00FD6101">
      <w:pPr>
        <w:rPr>
          <w:noProof/>
          <w:lang w:val="en-US"/>
        </w:rPr>
      </w:pPr>
      <w:r w:rsidRPr="000E3283">
        <w:rPr>
          <w:noProof/>
          <w:lang w:val="en-US"/>
        </w:rPr>
        <w:continuationSeparator/>
      </w:r>
    </w:p>
  </w:footnote>
  <w:footnote w:id="1">
    <w:p w14:paraId="55BEC3D4" w14:textId="77777777" w:rsidR="000E3283" w:rsidRPr="00D60222" w:rsidRDefault="000E3283" w:rsidP="00D60222">
      <w:pPr>
        <w:pStyle w:val="FootnoteText"/>
        <w:jc w:val="both"/>
        <w:rPr>
          <w:rFonts w:cstheme="minorHAnsi"/>
          <w:noProof/>
        </w:rPr>
      </w:pPr>
      <w:r w:rsidRPr="00D60222">
        <w:rPr>
          <w:rStyle w:val="FootnoteReference"/>
          <w:rFonts w:cstheme="minorHAnsi"/>
          <w:noProof/>
          <w:lang w:val="en-US"/>
        </w:rPr>
        <w:footnoteRef/>
      </w:r>
      <w:r w:rsidRPr="00D60222">
        <w:rPr>
          <w:rStyle w:val="FootnoteReference"/>
          <w:rFonts w:cstheme="minorHAnsi"/>
        </w:rPr>
        <w:t xml:space="preserve"> </w:t>
      </w:r>
      <w:r w:rsidRPr="00D60222">
        <w:rPr>
          <w:rFonts w:cstheme="minorHAnsi"/>
        </w:rPr>
        <w:t xml:space="preserve">Visi pārējie 12.2. punktā minētie pieprasījumi (ar attiecīgo </w:t>
      </w:r>
      <w:r w:rsidRPr="00D60222">
        <w:rPr>
          <w:rFonts w:cstheme="minorHAnsi"/>
          <w:i/>
          <w:iCs/>
        </w:rPr>
        <w:t>RIPA</w:t>
      </w:r>
      <w:r w:rsidRPr="00D60222">
        <w:rPr>
          <w:rFonts w:cstheme="minorHAnsi"/>
        </w:rPr>
        <w:t xml:space="preserve"> noteikto pārtveršanas orderi vai bez tā) tiks iesniegti saistībā ar materiālu, kas paredzēts konkrētiem selektoriem, no tiem izriet vai tos raksturo (līdz ar to attiecas uz konkrētu personu vai personām). Šādos apstākļos valsts sekretārs jau būs apstiprinājis pieprasījumu par konkrēto(-ām) personu(-ām), kā noteikts (sic) punktos. 12.2.</w:t>
      </w:r>
    </w:p>
  </w:footnote>
  <w:footnote w:id="2">
    <w:p w14:paraId="3E8C7A27" w14:textId="77777777" w:rsidR="00F82F2D" w:rsidRPr="000E3283" w:rsidRDefault="00F82F2D" w:rsidP="00F82F2D">
      <w:pPr>
        <w:pStyle w:val="FootnoteText"/>
        <w:jc w:val="both"/>
        <w:rPr>
          <w:noProof/>
        </w:rPr>
      </w:pPr>
      <w:r>
        <w:rPr>
          <w:rStyle w:val="FootnoteReference"/>
          <w:noProof/>
          <w:lang w:val="en-US"/>
        </w:rPr>
        <w:footnoteRef/>
      </w:r>
      <w:r>
        <w:rPr>
          <w:rStyle w:val="FootnoteReference"/>
        </w:rPr>
        <w:t xml:space="preserve"> </w:t>
      </w:r>
      <w:r>
        <w:t>Pirms Apvienotā Karaliste izstājās no Eiropas Savienības, tā 2018. gada 23. maijā sniedza karalisko piekrišanu 2018. gada Datu aizsardzības likumam [</w:t>
      </w:r>
      <w:r>
        <w:rPr>
          <w:i/>
          <w:iCs/>
        </w:rPr>
        <w:t>Data Protection Act 2018</w:t>
      </w:r>
      <w:r>
        <w:t>], kas paredz tādus pašus noteikumus un aizsardzības pasākumus.</w:t>
      </w:r>
    </w:p>
  </w:footnote>
  <w:footnote w:id="3">
    <w:p w14:paraId="62074320" w14:textId="77777777" w:rsidR="00DA068F" w:rsidRPr="00ED1516"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Ruth Gavison (1980), “Privacy and the Limits of Law”, </w:t>
      </w:r>
      <w:r>
        <w:rPr>
          <w:rFonts w:ascii="Times New Roman" w:hAnsi="Times New Roman"/>
          <w:i/>
        </w:rPr>
        <w:t>Yale Law Journal</w:t>
      </w:r>
      <w:r>
        <w:rPr>
          <w:rFonts w:ascii="Times New Roman" w:hAnsi="Times New Roman"/>
        </w:rPr>
        <w:t xml:space="preserve"> 89, p. 347.</w:t>
      </w:r>
    </w:p>
  </w:footnote>
  <w:footnote w:id="4">
    <w:p w14:paraId="4BA6FB57" w14:textId="77777777" w:rsidR="00DA068F" w:rsidRPr="006662BF"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Jeffrey Reiman (1995), “Driving to the Panopticon: A Philosophical Exploration of the Risks to Privacy Posed by the Information </w:t>
      </w:r>
      <w:bookmarkStart w:id="300" w:name="_Hlk72166637"/>
      <w:r>
        <w:rPr>
          <w:rFonts w:ascii="Times New Roman" w:hAnsi="Times New Roman"/>
        </w:rPr>
        <w:t xml:space="preserve">Technology of the Future”, </w:t>
      </w:r>
      <w:r>
        <w:rPr>
          <w:rFonts w:ascii="Times New Roman" w:hAnsi="Times New Roman"/>
          <w:i/>
        </w:rPr>
        <w:t xml:space="preserve">Santa Clara High </w:t>
      </w:r>
      <w:bookmarkEnd w:id="300"/>
      <w:r>
        <w:rPr>
          <w:rFonts w:ascii="Times New Roman" w:hAnsi="Times New Roman"/>
          <w:i/>
        </w:rPr>
        <w:t>Technology Law Journal</w:t>
      </w:r>
      <w:r>
        <w:rPr>
          <w:rFonts w:ascii="Times New Roman" w:hAnsi="Times New Roman"/>
        </w:rPr>
        <w:t xml:space="preserve"> 11:1, p. 42.</w:t>
      </w:r>
    </w:p>
  </w:footnote>
  <w:footnote w:id="5">
    <w:p w14:paraId="600514D7" w14:textId="77777777" w:rsidR="00DA068F" w:rsidRPr="006662BF"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George Orwell (2008), </w:t>
      </w:r>
      <w:r>
        <w:rPr>
          <w:rFonts w:ascii="Times New Roman" w:hAnsi="Times New Roman"/>
          <w:i/>
        </w:rPr>
        <w:t>Nineteen Eighty-Four</w:t>
      </w:r>
      <w:r>
        <w:rPr>
          <w:rFonts w:ascii="Times New Roman" w:hAnsi="Times New Roman"/>
        </w:rPr>
        <w:t xml:space="preserve"> (London: Penguin), pp. 4–5.</w:t>
      </w:r>
    </w:p>
  </w:footnote>
  <w:footnote w:id="6">
    <w:p w14:paraId="3DFD6CF3" w14:textId="77777777" w:rsidR="00DA068F" w:rsidRPr="006662BF"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Daniel Solove (2008), </w:t>
      </w:r>
      <w:r>
        <w:rPr>
          <w:rFonts w:ascii="Times New Roman" w:hAnsi="Times New Roman"/>
          <w:i/>
        </w:rPr>
        <w:t>Understanding Privacy</w:t>
      </w:r>
      <w:r>
        <w:rPr>
          <w:rFonts w:ascii="Times New Roman" w:hAnsi="Times New Roman"/>
        </w:rPr>
        <w:t xml:space="preserve"> (Cambridge, MA: Harvard University Press), p. 98.</w:t>
      </w:r>
    </w:p>
  </w:footnote>
  <w:footnote w:id="7">
    <w:p w14:paraId="3E496EE2" w14:textId="77777777" w:rsidR="00DA068F" w:rsidRPr="000E3283" w:rsidRDefault="00DA068F" w:rsidP="00DA068F">
      <w:pPr>
        <w:pStyle w:val="FootnoteText"/>
        <w:jc w:val="both"/>
        <w:rPr>
          <w:noProof/>
        </w:rPr>
      </w:pPr>
      <w:r>
        <w:rPr>
          <w:rStyle w:val="FootnoteReference"/>
          <w:rFonts w:ascii="Times New Roman" w:hAnsi="Times New Roman" w:cs="Times New Roman"/>
          <w:noProof/>
          <w:lang w:val="en-US"/>
        </w:rPr>
        <w:footnoteRef/>
      </w:r>
      <w:r>
        <w:rPr>
          <w:rFonts w:ascii="Times New Roman" w:hAnsi="Times New Roman"/>
        </w:rPr>
        <w:t xml:space="preserve"> Spriedums lietā “Osborns [</w:t>
      </w:r>
      <w:r>
        <w:rPr>
          <w:rFonts w:ascii="Times New Roman" w:hAnsi="Times New Roman"/>
          <w:i/>
          <w:iCs/>
        </w:rPr>
        <w:t>Osborn</w:t>
      </w:r>
      <w:r>
        <w:rPr>
          <w:rFonts w:ascii="Times New Roman" w:hAnsi="Times New Roman"/>
        </w:rPr>
        <w:t>] pret Amerikas Savienotajām Valstīm” 385 U.S. 323 (1966).</w:t>
      </w:r>
    </w:p>
  </w:footnote>
  <w:footnote w:id="8">
    <w:p w14:paraId="222FAE51" w14:textId="77777777" w:rsidR="00DA068F" w:rsidRPr="00AF710B"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Skat., piemēram, Eiropas Padomes Parlamentārās asamblejas rekomendāciju Nr. 1402(1999) par iekšējās drošības dienestu kontroli Eiropas Padomes dalībvalstīs [</w:t>
      </w:r>
      <w:r>
        <w:rPr>
          <w:rFonts w:ascii="Times New Roman" w:hAnsi="Times New Roman"/>
          <w:i/>
          <w:iCs/>
        </w:rPr>
        <w:t>Recommendation 1402 (1999) of the Parliamentary Assembly of the Council of Europe on the control of internal security services in Council of Europe member states</w:t>
      </w:r>
      <w:r>
        <w:rPr>
          <w:rFonts w:ascii="Times New Roman" w:hAnsi="Times New Roman"/>
        </w:rPr>
        <w:t>], jo īpaši A pamatnostādnes ii) punktu. Šī rekomendācija attiecas uz iekšējās drošības dienestu darbību, taču tā, mūsuprāt, ideāli attiecināma arī uz ārvalstu izlūkdienestiem.</w:t>
      </w:r>
    </w:p>
  </w:footnote>
  <w:footnote w:id="9">
    <w:p w14:paraId="1A3F2794" w14:textId="77777777" w:rsidR="00DA068F" w:rsidRPr="00C53060"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Šī ir otrā reize, kad es paužu atsevišķu viedokli par masveida pārtveršanu. 2016. gada 12. janvāra sprieduma lietā Nr. 37138/14 “Zabo un Visija pret Ungāriju” man bija iespēja paust savus uzskatus par Ungārijas masveida pārtveršanas režīma bīstamo ceļu un nevēlamajām sekām šī ceļa galā. Ņemot vērā Lielajā palātā notikušo apspriedi un rūpīgi izvērtējot visus pretrunīgos argumentus, es varu apstiprināt, ka mana nostāja šajā jautājumā nav mainījusies. Patiesībā es pašlaik esmu guvis vēl lielāku pārliecību, ka mani 2016. gadā izklāstītie secinājumi diemžēl ir aktuāli līdz pat šim brīdim. Tādēļ šis viedoklis ir jāizvērtē, to lasot kopā ar secinājumiem, kurus es izklāstīju pirms pieciem gadiem.</w:t>
      </w:r>
    </w:p>
  </w:footnote>
  <w:footnote w:id="10">
    <w:p w14:paraId="03DE1D8E"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Šī paraugprakse ir izklāstīta, piemēram, 2015. gada 27. janvāra spriedumā lietā Nr. 59552/08 “Rohlens [</w:t>
      </w:r>
      <w:r>
        <w:rPr>
          <w:rFonts w:ascii="Times New Roman" w:hAnsi="Times New Roman"/>
          <w:i/>
          <w:iCs/>
        </w:rPr>
        <w:t>Rohlena</w:t>
      </w:r>
      <w:r>
        <w:rPr>
          <w:rFonts w:ascii="Times New Roman" w:hAnsi="Times New Roman"/>
        </w:rPr>
        <w:t>] pret Čehijas Republiku” [</w:t>
      </w:r>
      <w:r>
        <w:rPr>
          <w:rFonts w:ascii="Times New Roman" w:hAnsi="Times New Roman"/>
          <w:i/>
          <w:iCs/>
        </w:rPr>
        <w:t>GC</w:t>
      </w:r>
      <w:r>
        <w:rPr>
          <w:rFonts w:ascii="Times New Roman" w:hAnsi="Times New Roman"/>
        </w:rPr>
        <w:t>].</w:t>
      </w:r>
    </w:p>
  </w:footnote>
  <w:footnote w:id="11">
    <w:p w14:paraId="7B207A51"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Valsts tiesību aktos definētais jēdziens ir līdzīgs. Skat. </w:t>
      </w:r>
      <w:r>
        <w:rPr>
          <w:rFonts w:ascii="Times New Roman" w:hAnsi="Times New Roman"/>
          <w:i/>
          <w:iCs/>
        </w:rPr>
        <w:t>RIPA</w:t>
      </w:r>
      <w:r>
        <w:rPr>
          <w:rFonts w:ascii="Times New Roman" w:hAnsi="Times New Roman"/>
        </w:rPr>
        <w:t xml:space="preserve"> 20. pantu.</w:t>
      </w:r>
    </w:p>
  </w:footnote>
  <w:footnote w:id="12">
    <w:p w14:paraId="28017C4C"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Valsts tiesību aktos definētais jēdziens ir atšķirīgs. Skat. </w:t>
      </w:r>
      <w:r>
        <w:rPr>
          <w:rFonts w:ascii="Times New Roman" w:hAnsi="Times New Roman"/>
          <w:i/>
          <w:iCs/>
        </w:rPr>
        <w:t>RIPA</w:t>
      </w:r>
      <w:r>
        <w:rPr>
          <w:rFonts w:ascii="Times New Roman" w:hAnsi="Times New Roman"/>
        </w:rPr>
        <w:t xml:space="preserve"> 20. pantu.</w:t>
      </w:r>
    </w:p>
  </w:footnote>
  <w:footnote w:id="13">
    <w:p w14:paraId="5C0A47A6"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Valsts tiesību aktos definētais jēdziens ir ierobežotāks. Skat. </w:t>
      </w:r>
      <w:r>
        <w:rPr>
          <w:rFonts w:ascii="Times New Roman" w:hAnsi="Times New Roman"/>
          <w:i/>
          <w:iCs/>
        </w:rPr>
        <w:t>RIPA</w:t>
      </w:r>
      <w:r>
        <w:rPr>
          <w:rFonts w:ascii="Times New Roman" w:hAnsi="Times New Roman"/>
        </w:rPr>
        <w:t xml:space="preserve"> 20. pantu. 21. panta 4., 6. un 7. punktā ir definēts jēdziens “sakaru dati”.</w:t>
      </w:r>
    </w:p>
  </w:footnote>
  <w:footnote w:id="14">
    <w:p w14:paraId="116B958E"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Šis jēdziens ir līdzīgs </w:t>
      </w:r>
      <w:r>
        <w:rPr>
          <w:rFonts w:ascii="Times New Roman" w:hAnsi="Times New Roman"/>
          <w:i/>
          <w:iCs/>
        </w:rPr>
        <w:t>RIPA</w:t>
      </w:r>
      <w:r>
        <w:rPr>
          <w:rFonts w:ascii="Times New Roman" w:hAnsi="Times New Roman"/>
        </w:rPr>
        <w:t xml:space="preserve"> 20. pantā definētajam jēdzienam.</w:t>
      </w:r>
    </w:p>
  </w:footnote>
  <w:footnote w:id="15">
    <w:p w14:paraId="675531CA"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Šis jēdziens ir ietverts </w:t>
      </w:r>
      <w:r>
        <w:rPr>
          <w:rFonts w:ascii="Times New Roman" w:hAnsi="Times New Roman"/>
          <w:i/>
          <w:iCs/>
        </w:rPr>
        <w:t>RIPA</w:t>
      </w:r>
      <w:r>
        <w:rPr>
          <w:rFonts w:ascii="Times New Roman" w:hAnsi="Times New Roman"/>
        </w:rPr>
        <w:t xml:space="preserve"> 81. pantā, ko var izmantot arī Tiesa.</w:t>
      </w:r>
    </w:p>
  </w:footnote>
  <w:footnote w:id="16">
    <w:p w14:paraId="4A63FDFB"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323. punkts.</w:t>
      </w:r>
    </w:p>
  </w:footnote>
  <w:footnote w:id="17">
    <w:p w14:paraId="791359BA"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33. un 50. punkts.</w:t>
      </w:r>
    </w:p>
  </w:footnote>
  <w:footnote w:id="18">
    <w:p w14:paraId="766622B6"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136. punkts.</w:t>
      </w:r>
    </w:p>
  </w:footnote>
  <w:footnote w:id="19">
    <w:p w14:paraId="474EA0EB"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424. punkts.</w:t>
      </w:r>
    </w:p>
  </w:footnote>
  <w:footnote w:id="20">
    <w:p w14:paraId="2E803A81"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353. punkts.</w:t>
      </w:r>
    </w:p>
  </w:footnote>
  <w:footnote w:id="21">
    <w:p w14:paraId="08512642"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354. punkts.</w:t>
      </w:r>
    </w:p>
  </w:footnote>
  <w:footnote w:id="22">
    <w:p w14:paraId="2C3558B7"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“Liberty and Security in a Changing World”, Report and Recommendations of the President’s Review Group on Intelligence and Communications Technologies, 12 December 2013, p. 114.</w:t>
      </w:r>
    </w:p>
  </w:footnote>
  <w:footnote w:id="23">
    <w:p w14:paraId="15993ACD"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Spriedums lietā ““Centrum för rättvisa” pret Zviedriju” (Nr. 35252/08), pasludināts tajā pašā dienā, kad tika pasludināts šis spriedums. Ir noprotams, ka Francijas, Nīderlandes un Norvēģijas valdības balstījušās tieši uz šo aspektu; tās norādīja, ka nebija pamata attiecībā uz masveida pārtveršanu papildus paredzēt prasību par pamatotām aizdomām (šā sprieduma 301., 305. un 309. punkts).</w:t>
      </w:r>
    </w:p>
  </w:footnote>
  <w:footnote w:id="24">
    <w:p w14:paraId="3271878A"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Skat. atbildētājas Valdības mutvārdu argumentus Lielās palātas 2019. gada 10. jūlija sēdē: “Tās [prasības par pamatotām aizdomām un turpmāku informēšanu] būtībā neatbilst režīma darbībai, kas nav atkarīga no skaidri definētu uzraudzības mērķu esības. 8. panta 4. punktā noteiktais režīms pēc būtības ir nemērķēts režīms. Tas ir ieviests, lai atklātu vēl nezināmus valsts drošības un smagu noziegumu draudus. Līdz ar to tas vienkārši nav sasaistāms ar pamatotām aizdomām. Šāda prasība izkropļotu tā lietderību (..).” Galu galā, argumenta pamatā ir uz aizdomām nebalstītas masveida pārtveršanas “lietderība”.</w:t>
      </w:r>
    </w:p>
  </w:footnote>
  <w:footnote w:id="25">
    <w:p w14:paraId="48699465"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348. punkts.</w:t>
      </w:r>
    </w:p>
  </w:footnote>
  <w:footnote w:id="26">
    <w:p w14:paraId="156EC9AD"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““Liberty” un citi pret Apvienoto Karalisti”, Nr. 58243/00, 63. punkts, 2008. gada 1. jūlijs.</w:t>
      </w:r>
    </w:p>
  </w:footnote>
  <w:footnote w:id="27">
    <w:p w14:paraId="563BA34D"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“Vēbere un Sarāvija pret Vāciju” (lēmums), Nr. 54934/00, 95. un 114. punkts, ECT 2006-XI.</w:t>
      </w:r>
    </w:p>
  </w:footnote>
  <w:footnote w:id="28">
    <w:p w14:paraId="48F49651"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““Liberty” un citi”, minēts iepriekš, 63.–65. punkts.</w:t>
      </w:r>
    </w:p>
  </w:footnote>
  <w:footnote w:id="29">
    <w:p w14:paraId="6A3776FE"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“Kenedijs pret Apvienoto Karalisti”, Nr. 26839/05, 158.–160. punkts, 2010. gada 18. maijs.</w:t>
      </w:r>
    </w:p>
  </w:footnote>
  <w:footnote w:id="30">
    <w:p w14:paraId="6CDCD8BE"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“Romāns Zaharovs pret Krieviju” [</w:t>
      </w:r>
      <w:r>
        <w:rPr>
          <w:rFonts w:ascii="Times New Roman" w:hAnsi="Times New Roman"/>
          <w:i/>
          <w:iCs/>
        </w:rPr>
        <w:t>GC</w:t>
      </w:r>
      <w:r>
        <w:rPr>
          <w:rFonts w:ascii="Times New Roman" w:hAnsi="Times New Roman"/>
        </w:rPr>
        <w:t>], Nr. 47143/06, 231. un 264. punkts, ECT 2015.</w:t>
      </w:r>
    </w:p>
  </w:footnote>
  <w:footnote w:id="31">
    <w:p w14:paraId="6F73F57E"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“Zabo un Visija pret Ungāriju”, minēts iepriekš.</w:t>
      </w:r>
    </w:p>
  </w:footnote>
  <w:footnote w:id="32">
    <w:p w14:paraId="4E9DE85F"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“Mustafa Sezgins Tanrikulu pret Turciju”, Nr. 27473/06, 2017. gada 18. jūlijs.</w:t>
      </w:r>
    </w:p>
  </w:footnote>
  <w:footnote w:id="33">
    <w:p w14:paraId="1AE85942"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“Romāns Zaharovs”, minēts iepriekš, 231. un 264. punkts.</w:t>
      </w:r>
    </w:p>
  </w:footnote>
  <w:footnote w:id="34">
    <w:p w14:paraId="5EB4FD29"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Turpat, 175.–178. punkts.</w:t>
      </w:r>
    </w:p>
  </w:footnote>
  <w:footnote w:id="35">
    <w:p w14:paraId="6060F2F9"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Turpat, 31. punkts un 246.–248. punkts.</w:t>
      </w:r>
    </w:p>
  </w:footnote>
  <w:footnote w:id="36">
    <w:p w14:paraId="02561593"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Turpat, 265. punkts. Lietas attiecībā uz “teritorijas uzraudzības” atļauju pavisam noteikti bija saistītas ar iespējamu masveida uzraudzību.</w:t>
      </w:r>
    </w:p>
  </w:footnote>
  <w:footnote w:id="37">
    <w:p w14:paraId="3B865715"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“Zabo un Visija pret Ungāriju”, minēts iepriekš.</w:t>
      </w:r>
    </w:p>
  </w:footnote>
  <w:footnote w:id="38">
    <w:p w14:paraId="2BC7A0B1"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Turpat, 67. punkts.</w:t>
      </w:r>
    </w:p>
  </w:footnote>
  <w:footnote w:id="39">
    <w:p w14:paraId="246C6B89"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Turpat, 63. punkts.</w:t>
      </w:r>
    </w:p>
  </w:footnote>
  <w:footnote w:id="40">
    <w:p w14:paraId="6E663A50"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Turpat, 71. punkts.</w:t>
      </w:r>
    </w:p>
  </w:footnote>
  <w:footnote w:id="41">
    <w:p w14:paraId="62D7FD35"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Turpat, 56. punkts.</w:t>
      </w:r>
    </w:p>
  </w:footnote>
  <w:footnote w:id="42">
    <w:p w14:paraId="1319B4B2"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“Mustafa Sezgins Tanrikulu pret Turciju”, minēts iepriekš, 56. un 57. punkts.</w:t>
      </w:r>
    </w:p>
  </w:footnote>
  <w:footnote w:id="43">
    <w:p w14:paraId="5C35CD5B"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341. punkts. Šajā prasībā nav ņemti vērā spriedumi lietās “Romāns Zaharovs” un “Zabo un Visija”, kā norādīts iepriekš.</w:t>
      </w:r>
    </w:p>
  </w:footnote>
  <w:footnote w:id="44">
    <w:p w14:paraId="1713FAD9"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344.–346. punkts.</w:t>
      </w:r>
    </w:p>
  </w:footnote>
  <w:footnote w:id="45">
    <w:p w14:paraId="748B01B0"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344. punkts.</w:t>
      </w:r>
    </w:p>
  </w:footnote>
  <w:footnote w:id="46">
    <w:p w14:paraId="13CCB93F"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Šo dokumentu detalizēts izvērtējums sniegts manos secinājumos spriedumā iepriekš minētajā lietā “Zabo un Visija”.</w:t>
      </w:r>
    </w:p>
  </w:footnote>
  <w:footnote w:id="47">
    <w:p w14:paraId="2FEB668D"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UN doc. CCPR/C/GBR/CO/7.</w:t>
      </w:r>
    </w:p>
  </w:footnote>
  <w:footnote w:id="48">
    <w:p w14:paraId="74C9FFB1"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CommDH (2016)20.</w:t>
      </w:r>
    </w:p>
  </w:footnote>
  <w:footnote w:id="49">
    <w:p w14:paraId="04632CA7"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“Zabo un Visija”, minēts iepriekš, 66. punkts: “Praktiski iespējams, ka Ungārijā slepeni tiek uzraudzīta ikviena persona.”</w:t>
      </w:r>
    </w:p>
  </w:footnote>
  <w:footnote w:id="50">
    <w:p w14:paraId="6BB4C62D"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“Mustafa Sezgins Tanrikulu”, minēts iepriekš, 7. punkts.</w:t>
      </w:r>
    </w:p>
  </w:footnote>
  <w:footnote w:id="51">
    <w:p w14:paraId="11239F71"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209.–241. punkts. Es šeit atsaucos uz spriedumiem lietās “Digital Rights Ireland Ltd” (par Datu saglabāšanas direktīvu 2006/24/EK, ar ko “rada iejaukšanos gandrīz visu Eiropas iedzīvotāju pamattiesībās”), “Maksimillians Šrēmss” (kritizēts tiesiskais regulējums, saskaņā ar kuru valsts iestādēm “vispārīgi tiek ļauts piekļūt elektroniskiem sakariem”), “Privacy International” (par valsts tiesisko regulējumu, kas uzliek elektronisko sakaru pakalpojumu sniedzējiem par pienākumu izpaust datplūsmas datus un atrašanās vietas datus izlūkošanas aģentūrām, veicot visaptverošu un neselektīvu pārsūtīšanu, kas ietekmē “visas personas, kuras izmanto elektronisko sakaru pakalpojumus”) un ““La Quadrature du Net” un citi” (nopelti tiesību akti, kas prasa pakalpojumu sniedzējiem “visaptveroši un neselektīvi” saglabāt datplūsmas datus un atrašanās vietas datus). Pirmās divas lietas attiecās uz personas datu apstrādi tiesībaizsardzības nolūkos, savukārt pēdējās divas – uz izlūkdienestu veiktās slepenās uzraudzības izvērtējumu.</w:t>
      </w:r>
    </w:p>
  </w:footnote>
  <w:footnote w:id="52">
    <w:p w14:paraId="1EA86587"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Skat. turpmāk pilnu izvērtējumu par teritoriālās jurisdikcijas nespēju atšķirt iekšējos un ārējos sakarus, lai attaisnotu izlūkdienestu veikto masveida pārtveršanu.</w:t>
      </w:r>
    </w:p>
  </w:footnote>
  <w:footnote w:id="53">
    <w:p w14:paraId="3D4BBDB7"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Skat. atbildētājas Valdības 2019. gada 2. maija apsvērumus Lielajā palātā, 42. lpp. (“daudzi tūkstoši vienas nedēļas laikā attiecībā uz personām, par kurām bija zināms vai tika uzskatīts, ka tās atrodas Apvienotajā Karalistē”).</w:t>
      </w:r>
    </w:p>
  </w:footnote>
  <w:footnote w:id="54">
    <w:p w14:paraId="1DB9EEDF"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345. punkts.</w:t>
      </w:r>
    </w:p>
  </w:footnote>
  <w:footnote w:id="55">
    <w:p w14:paraId="010DAF3E"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Turpat.</w:t>
      </w:r>
    </w:p>
  </w:footnote>
  <w:footnote w:id="56">
    <w:p w14:paraId="050882EB"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Jānorāda, ka Francijas un Nīderlandes valdība tāpat kā palāta uzstāja, ka nav pareizi pieņemt, ka masveida pārtveršana rada lielāku iejaukšanos personas tiesībās uz privātās dzīves neaizskaramību nekā mērķēta pārtveršana (šā sprieduma 300. un 306. punkts).</w:t>
      </w:r>
    </w:p>
  </w:footnote>
  <w:footnote w:id="57">
    <w:p w14:paraId="329316FD"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Kā secināts Tiesas pētījuma ziņojumā par Albāniju, Andoru, Austriju, Beļģiju, Bosniju un Hercegovinu, Horvātiju, Čehijas Republiku, Grieķiju, Īriju, Islandi, Itāliju, Lihtenšteinu, Moldovu, Monako, Melnkalni, Ziemeļmaķedoniju, Poliju, Portugāli, Rumāniju, Sanmarīno, Serbiju, Turciju un Ukrainu. Līdz ar to sprieduma 242.–246. punktā nav precīzi raksturota situācija Eiropā.</w:t>
      </w:r>
    </w:p>
  </w:footnote>
  <w:footnote w:id="58">
    <w:p w14:paraId="4FE5ADED" w14:textId="77777777" w:rsidR="00DA068F" w:rsidRPr="000E3283" w:rsidRDefault="00DA068F" w:rsidP="00DA068F">
      <w:pPr>
        <w:pStyle w:val="FootnoteText"/>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w:t>
      </w:r>
      <w:r>
        <w:rPr>
          <w:rFonts w:ascii="Times New Roman" w:hAnsi="Times New Roman"/>
          <w:i/>
          <w:iCs/>
        </w:rPr>
        <w:t>PACE</w:t>
      </w:r>
      <w:r>
        <w:rPr>
          <w:rFonts w:ascii="Times New Roman" w:hAnsi="Times New Roman"/>
        </w:rPr>
        <w:t xml:space="preserve"> rezolūcija 2031 (2015).</w:t>
      </w:r>
    </w:p>
  </w:footnote>
  <w:footnote w:id="59">
    <w:p w14:paraId="394E38A0"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Council of Europe Human Rights Commissioner’s Memorandum on Surveillance and Oversight Mechanisms in the United Kingdom, CommDH (2016)20, May 2016, p. 10.</w:t>
      </w:r>
    </w:p>
  </w:footnote>
  <w:footnote w:id="60">
    <w:p w14:paraId="08DF13EA"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242. punkts.</w:t>
      </w:r>
    </w:p>
  </w:footnote>
  <w:footnote w:id="61">
    <w:p w14:paraId="710BBDEA"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345. punkts. Es šeit atsaucos uz kritiku, ko EST vērsusi pret jēdzienu “smags noziegums” (skat. šā sprieduma 212. punktu).</w:t>
      </w:r>
    </w:p>
  </w:footnote>
  <w:footnote w:id="62">
    <w:p w14:paraId="6A81A5E7"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Skat. Venēcijas komisijas </w:t>
      </w:r>
      <w:r>
        <w:rPr>
          <w:rFonts w:ascii="Times New Roman" w:hAnsi="Times New Roman"/>
          <w:shd w:val="clear" w:color="auto" w:fill="FFFFFF"/>
        </w:rPr>
        <w:t>2015. gada Ziņojumu par sakaru izlūkošanas aģentūru demokrātisku pārraudzību</w:t>
      </w:r>
      <w:r>
        <w:rPr>
          <w:rFonts w:ascii="Times New Roman" w:hAnsi="Times New Roman"/>
        </w:rPr>
        <w:t>, 9., 25. un 26. lpp. (“jābūt konkrētiem faktiem, kas norāda uz noziedzīgu nodarījumu/drošību apdraudošu rīcību, un izmeklētājiem ir jābūt “iespējamam iemeslam”, “pamatotām aizdomām” vai līdzīgam uzskatam”) un iepriekš minēto Eiropas Padomes cilvēktiesību komisāra Memorandu, 6. lpp.</w:t>
      </w:r>
    </w:p>
  </w:footnote>
  <w:footnote w:id="63">
    <w:p w14:paraId="0AC67E57"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346. punkts.</w:t>
      </w:r>
    </w:p>
  </w:footnote>
  <w:footnote w:id="64">
    <w:p w14:paraId="7BE986E6"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Kā EST norādījusi sava sprieduma iepriekš minētajā lietā “Digital Rights Ireland” 55. punktā, “nepieciešamība pēc .. drošības pasākumiem ir lielāka tad, ja .. tiek veikta personas datu automātiska apstrāde”.</w:t>
      </w:r>
    </w:p>
  </w:footnote>
  <w:footnote w:id="65">
    <w:p w14:paraId="48E927B4"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Tiesas izvērtējuma c) apakšpunkta iii) iedaļa.</w:t>
      </w:r>
    </w:p>
  </w:footnote>
  <w:footnote w:id="66">
    <w:p w14:paraId="33A511DD"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348. punkts.</w:t>
      </w:r>
    </w:p>
  </w:footnote>
  <w:footnote w:id="67">
    <w:p w14:paraId="5EAB0D38"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Turpat.</w:t>
      </w:r>
    </w:p>
  </w:footnote>
  <w:footnote w:id="68">
    <w:p w14:paraId="6327178D"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Piemērs izriet no EST judikatūras (skat. šā sprieduma 220. punktu).</w:t>
      </w:r>
    </w:p>
  </w:footnote>
  <w:footnote w:id="69">
    <w:p w14:paraId="6DBF5FE0" w14:textId="77777777" w:rsidR="00DA068F" w:rsidRPr="00EB5140" w:rsidRDefault="00DA068F" w:rsidP="00DA068F">
      <w:pPr>
        <w:pStyle w:val="FootnoteText"/>
        <w:jc w:val="both"/>
        <w:rPr>
          <w:rFonts w:ascii="Times New Roman" w:hAnsi="Times New Roman" w:cs="Times New Roman"/>
          <w:noProof/>
          <w:shd w:val="clear" w:color="auto" w:fill="FFFFFF"/>
        </w:rPr>
      </w:pPr>
      <w:r>
        <w:rPr>
          <w:rStyle w:val="FootnoteReference"/>
          <w:rFonts w:ascii="Times New Roman" w:hAnsi="Times New Roman" w:cs="Times New Roman"/>
          <w:noProof/>
          <w:lang w:val="en-US"/>
        </w:rPr>
        <w:footnoteRef/>
      </w:r>
      <w:r>
        <w:rPr>
          <w:rFonts w:ascii="Times New Roman" w:hAnsi="Times New Roman"/>
        </w:rPr>
        <w:t xml:space="preserve"> </w:t>
      </w:r>
      <w:r>
        <w:rPr>
          <w:rFonts w:ascii="Times New Roman" w:hAnsi="Times New Roman"/>
          <w:shd w:val="clear" w:color="auto" w:fill="FFFFFF"/>
        </w:rPr>
        <w:t xml:space="preserve">Piemērs izriet no asās kritikas, kas Eiropas Parlamenta 2014. gada 12. marta rezolūcijā vērsta pret ASV </w:t>
      </w:r>
      <w:r>
        <w:rPr>
          <w:rFonts w:ascii="Times New Roman" w:hAnsi="Times New Roman"/>
          <w:i/>
          <w:iCs/>
          <w:shd w:val="clear" w:color="auto" w:fill="FFFFFF"/>
        </w:rPr>
        <w:t>NSA</w:t>
      </w:r>
      <w:r>
        <w:rPr>
          <w:rFonts w:ascii="Times New Roman" w:hAnsi="Times New Roman"/>
          <w:shd w:val="clear" w:color="auto" w:fill="FFFFFF"/>
        </w:rPr>
        <w:t xml:space="preserve"> uzraudzības programmu, iepriekš minētā Venēcijas komisijas ziņojuma, 18. lpp., un iepriekš minētā Eiropas Padomes cilvēktiesību komisāra Memoranda, 8. lpp.</w:t>
      </w:r>
    </w:p>
  </w:footnote>
  <w:footnote w:id="70">
    <w:p w14:paraId="61CE048A"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“Zabo un Visija”, minēts iepriekš, 71. punkts.</w:t>
      </w:r>
    </w:p>
  </w:footnote>
  <w:footnote w:id="71">
    <w:p w14:paraId="37911F30"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“Romāns Zaharovs”, minēts iepriekš, 260., 262. un 263. punkts.</w:t>
      </w:r>
    </w:p>
  </w:footnote>
  <w:footnote w:id="72">
    <w:p w14:paraId="55665458" w14:textId="77777777" w:rsidR="00DA068F" w:rsidRPr="000E3283" w:rsidRDefault="00DA068F" w:rsidP="00DA068F">
      <w:pPr>
        <w:pStyle w:val="FootnoteText"/>
        <w:rPr>
          <w:noProof/>
        </w:rPr>
      </w:pPr>
      <w:r>
        <w:rPr>
          <w:rStyle w:val="FootnoteReference"/>
          <w:noProof/>
          <w:lang w:val="en-US"/>
        </w:rPr>
        <w:footnoteRef/>
      </w:r>
      <w:r>
        <w:rPr>
          <w:rFonts w:ascii="Times New Roman" w:hAnsi="Times New Roman"/>
        </w:rPr>
        <w:t xml:space="preserve"> Šā sprieduma 348. punkts.</w:t>
      </w:r>
    </w:p>
  </w:footnote>
  <w:footnote w:id="73">
    <w:p w14:paraId="51BEA0FD"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330. punkts.</w:t>
      </w:r>
    </w:p>
  </w:footnote>
  <w:footnote w:id="74">
    <w:p w14:paraId="1932EEC4"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350. punkts.</w:t>
      </w:r>
    </w:p>
  </w:footnote>
  <w:footnote w:id="75">
    <w:p w14:paraId="51FE9B69"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Turpat.</w:t>
      </w:r>
    </w:p>
  </w:footnote>
  <w:footnote w:id="76">
    <w:p w14:paraId="2F9CEC8D"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Turpat.</w:t>
      </w:r>
    </w:p>
  </w:footnote>
  <w:footnote w:id="77">
    <w:p w14:paraId="322BBC28"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351. punkts.</w:t>
      </w:r>
    </w:p>
  </w:footnote>
  <w:footnote w:id="78">
    <w:p w14:paraId="52DE29B0"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352. punkts.</w:t>
      </w:r>
    </w:p>
  </w:footnote>
  <w:footnote w:id="79">
    <w:p w14:paraId="2FF23901"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355. punkts.</w:t>
      </w:r>
    </w:p>
  </w:footnote>
  <w:footnote w:id="80">
    <w:p w14:paraId="7A819CB3"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Turpat.</w:t>
      </w:r>
    </w:p>
  </w:footnote>
  <w:footnote w:id="81">
    <w:p w14:paraId="596567DA"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356. punkts.</w:t>
      </w:r>
    </w:p>
  </w:footnote>
  <w:footnote w:id="82">
    <w:p w14:paraId="1DA1C949" w14:textId="3A19C474" w:rsidR="004A10A3" w:rsidRDefault="004A10A3">
      <w:pPr>
        <w:pStyle w:val="FootnoteText"/>
      </w:pPr>
      <w:r>
        <w:rPr>
          <w:rStyle w:val="FootnoteReference"/>
        </w:rPr>
        <w:footnoteRef/>
      </w:r>
      <w:r>
        <w:t xml:space="preserve"> </w:t>
      </w:r>
      <w:r>
        <w:rPr>
          <w:rFonts w:ascii="Times New Roman" w:hAnsi="Times New Roman"/>
        </w:rPr>
        <w:t>Šā sprieduma 359. punkts</w:t>
      </w:r>
    </w:p>
  </w:footnote>
  <w:footnote w:id="83">
    <w:p w14:paraId="6B747A61"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350. punkts.</w:t>
      </w:r>
    </w:p>
  </w:footnote>
  <w:footnote w:id="84">
    <w:p w14:paraId="6E87BFF0"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348. punkts.</w:t>
      </w:r>
    </w:p>
  </w:footnote>
  <w:footnote w:id="85">
    <w:p w14:paraId="68DB5F2F"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360. punkts.</w:t>
      </w:r>
    </w:p>
  </w:footnote>
  <w:footnote w:id="86">
    <w:p w14:paraId="42DF77CC"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Skat., piemēram, šā sprieduma 370. punktu </w:t>
      </w:r>
      <w:r>
        <w:rPr>
          <w:rFonts w:ascii="Times New Roman" w:hAnsi="Times New Roman"/>
          <w:i/>
          <w:iCs/>
        </w:rPr>
        <w:t>in fine</w:t>
      </w:r>
      <w:r>
        <w:rPr>
          <w:rFonts w:ascii="Times New Roman" w:hAnsi="Times New Roman"/>
        </w:rPr>
        <w:t>.</w:t>
      </w:r>
    </w:p>
  </w:footnote>
  <w:footnote w:id="87">
    <w:p w14:paraId="1203B244"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Lai gan Tiesas valoda nav konsekventa, ņemot vērā, ka tā dažkārt atsaucas uz neatkarīgas iestādes jēdzienu, bet citreiz uz neatkarīgas struktūras jēdzienu, šķiet, ka starp šiem jēdzieniem nav būtiskas atšķirības.</w:t>
      </w:r>
    </w:p>
  </w:footnote>
  <w:footnote w:id="88">
    <w:p w14:paraId="32DA966C"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352. punkts.</w:t>
      </w:r>
    </w:p>
  </w:footnote>
  <w:footnote w:id="89">
    <w:p w14:paraId="06C97E29"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354. punkts.</w:t>
      </w:r>
    </w:p>
  </w:footnote>
  <w:footnote w:id="90">
    <w:p w14:paraId="7AF9A4F6"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355. punkts.</w:t>
      </w:r>
    </w:p>
  </w:footnote>
  <w:footnote w:id="91">
    <w:p w14:paraId="563A68CD"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Turpat. Kā norādīts iepriekš minētajā Venēcijas komisijas ziņojumā, 28. lpp., “iekšējie kontroles pasākumi nav pietiekami”. Līdz ar to sprieduma 199. punktā ir kļūdaini interpretēta Venēcijas komisijas nostāja.</w:t>
      </w:r>
    </w:p>
  </w:footnote>
  <w:footnote w:id="92">
    <w:p w14:paraId="19D36EFF"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356. punkts.</w:t>
      </w:r>
    </w:p>
  </w:footnote>
  <w:footnote w:id="93">
    <w:p w14:paraId="5F55DD0A"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359. punkts.</w:t>
      </w:r>
    </w:p>
  </w:footnote>
  <w:footnote w:id="94">
    <w:p w14:paraId="7C0DAF82"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Venēcijas komisijas ziņojums, minēts iepriekš, 32. lpp. (“Eiropas valstīs atsevišķos gadījumos ieteicams saņemt </w:t>
      </w:r>
      <w:r>
        <w:rPr>
          <w:rFonts w:ascii="Times New Roman" w:hAnsi="Times New Roman"/>
          <w:i/>
        </w:rPr>
        <w:t>ex ante</w:t>
      </w:r>
      <w:r>
        <w:rPr>
          <w:rFonts w:ascii="Times New Roman" w:hAnsi="Times New Roman"/>
        </w:rPr>
        <w:t xml:space="preserve"> tiesas atļauju.”). Līdz ar to sprieduma 197. punktā ir sagrozīts Venēcijas komisijas vēstījums. Arī Eiropas Padomes cilvēktiesību komisārs ir ierosinājis paredzēt </w:t>
      </w:r>
      <w:r>
        <w:rPr>
          <w:rFonts w:ascii="Times New Roman" w:hAnsi="Times New Roman"/>
          <w:i/>
        </w:rPr>
        <w:t>ex ante</w:t>
      </w:r>
      <w:r>
        <w:rPr>
          <w:rFonts w:ascii="Times New Roman" w:hAnsi="Times New Roman"/>
        </w:rPr>
        <w:t xml:space="preserve"> tiesas atļauju (</w:t>
      </w:r>
      <w:bookmarkStart w:id="305" w:name="_Hlk67234183"/>
      <w:r>
        <w:rPr>
          <w:rFonts w:ascii="Times New Roman" w:hAnsi="Times New Roman"/>
        </w:rPr>
        <w:t xml:space="preserve">Memorands, minēts iepriekš, </w:t>
      </w:r>
      <w:bookmarkEnd w:id="305"/>
      <w:r>
        <w:rPr>
          <w:rFonts w:ascii="Times New Roman" w:hAnsi="Times New Roman"/>
        </w:rPr>
        <w:t>28. punkts).</w:t>
      </w:r>
    </w:p>
  </w:footnote>
  <w:footnote w:id="95">
    <w:p w14:paraId="3412F721"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Tas vien, ka tiesas atļauja pati par sevi varētu nenodrošināt pietiekamu aizsardzību pret pilnvaru ļaunprātīgu izmantošanu, nav iemesls secinājumam, ka šāda atļauja nav nepieciešama. Jāņem vērā, ka </w:t>
      </w:r>
      <w:r>
        <w:rPr>
          <w:rFonts w:ascii="Times New Roman" w:hAnsi="Times New Roman"/>
          <w:i/>
          <w:iCs/>
        </w:rPr>
        <w:t>ex ante</w:t>
      </w:r>
      <w:r>
        <w:rPr>
          <w:rFonts w:ascii="Times New Roman" w:hAnsi="Times New Roman"/>
        </w:rPr>
        <w:t xml:space="preserve"> tiesas atļauja tika ieviesta ar </w:t>
      </w:r>
      <w:r>
        <w:rPr>
          <w:rFonts w:ascii="Times New Roman" w:hAnsi="Times New Roman"/>
          <w:i/>
          <w:iCs/>
        </w:rPr>
        <w:t>IPA</w:t>
      </w:r>
      <w:r>
        <w:rPr>
          <w:rFonts w:ascii="Times New Roman" w:hAnsi="Times New Roman"/>
        </w:rPr>
        <w:t xml:space="preserve">, taču šajā gadījumā netiek </w:t>
      </w:r>
      <w:r>
        <w:rPr>
          <w:rFonts w:ascii="Times New Roman" w:hAnsi="Times New Roman"/>
          <w:i/>
        </w:rPr>
        <w:t>ex professo</w:t>
      </w:r>
      <w:r>
        <w:rPr>
          <w:rFonts w:ascii="Times New Roman" w:hAnsi="Times New Roman"/>
        </w:rPr>
        <w:t xml:space="preserve"> apspriests ar </w:t>
      </w:r>
      <w:r>
        <w:rPr>
          <w:rFonts w:ascii="Times New Roman" w:hAnsi="Times New Roman"/>
          <w:i/>
          <w:iCs/>
        </w:rPr>
        <w:t>IPA</w:t>
      </w:r>
      <w:r>
        <w:rPr>
          <w:rFonts w:ascii="Times New Roman" w:hAnsi="Times New Roman"/>
        </w:rPr>
        <w:t xml:space="preserve"> ieviestais tiesas pārskatīšanas standarts, jo 2016. gada likumu Tiesa neizvērtē.</w:t>
      </w:r>
    </w:p>
  </w:footnote>
  <w:footnote w:id="96">
    <w:p w14:paraId="569F6BDA"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Skat. visas starptautiskās iestādes, ko esmu norādījis spriedumam iepriekš minētajā lietā “Zabo un Visija” pievienotajos secinājumos.</w:t>
      </w:r>
    </w:p>
  </w:footnote>
  <w:footnote w:id="97">
    <w:p w14:paraId="3CF9733F"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Tādēļ es uzskatu, ka nevainīgu personu datu masveida apkopošana, ko Tiesa atzinusi šajā spriedumā, neatbilst 2008. gada 4. decembra sprieduma lietās Nr. 30562/04 un Nr. 30566/04 “S. un Mārpers pret Apvienoto Karalisti” 135. punktā, 2011. gada 21. jūnija sprieduma lietā Nr. 30194/09 “Šimovoloss [</w:t>
      </w:r>
      <w:r>
        <w:rPr>
          <w:rFonts w:ascii="Times New Roman" w:hAnsi="Times New Roman"/>
          <w:i/>
        </w:rPr>
        <w:t>Shimovolos</w:t>
      </w:r>
      <w:r>
        <w:rPr>
          <w:rFonts w:ascii="Times New Roman" w:hAnsi="Times New Roman"/>
        </w:rPr>
        <w:t>] pret Krieviju” 68. un 69. punktā, 2013. gada 18. aprīļa sprieduma lietā Nr. 19522/09 “M. K. pret Franciju” 37. punktā un īpaši sprieduma iepriekš minētajā lietā “Mustafa Sezgins Tanrikulu pret Turciju” 57.–59. punktā noteiktajiem principiem.</w:t>
      </w:r>
    </w:p>
  </w:footnote>
  <w:footnote w:id="98">
    <w:p w14:paraId="48C704B0"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Šis ir universāls standarts, kas ietverts Apvienoto Nāciju Organizācijas 2010. gada 17. maija Labās prakses apkopojumā par tiesisko un institucionālo sistēmu un pasākumiem, kas uzliek izlūkošanas aģentūrām par pienākumu ievērot cilvēktiesības, vienlaikus apkarojot terorismu, tostarp par to pārraudzību [</w:t>
      </w:r>
      <w:r>
        <w:rPr>
          <w:rFonts w:ascii="Times New Roman" w:hAnsi="Times New Roman"/>
          <w:i/>
          <w:iCs/>
        </w:rPr>
        <w:t>United Nations Compilation of good practices on legal and institutional frameworks and measures that ensure respect for human rights by intelligence agencies while countering terrorism, including on their oversight</w:t>
      </w:r>
      <w:r>
        <w:rPr>
          <w:rFonts w:ascii="Times New Roman" w:hAnsi="Times New Roman"/>
        </w:rPr>
        <w:t>] (A/HRC/14/46):</w:t>
      </w:r>
      <w:bookmarkStart w:id="306" w:name="_Hlk67325244"/>
      <w:r>
        <w:rPr>
          <w:rFonts w:ascii="Times New Roman" w:hAnsi="Times New Roman"/>
        </w:rPr>
        <w:t xml:space="preserve"> </w:t>
      </w:r>
      <w:bookmarkEnd w:id="306"/>
      <w:r>
        <w:rPr>
          <w:rFonts w:ascii="Times New Roman" w:hAnsi="Times New Roman"/>
        </w:rPr>
        <w:t>“Prakse Nr. 21. Valsts tiesību aktos ir izklāstīti izlūkdienestiem pieejamie datu apkopošanas pasākumu veidi; pieļaujamie izlūkdatu apkopošanas mērķi; personu kategorijas un darbības, uz ko var attiekties izlūkdatu apkopošana; aizdomu slieksnis, kas nepieciešams, lai pamatotu datu apkopošanas pasākumu izmantošanu; ierobežojumi attiecībā uz atļauto datu apkopošanas pasākumu izmantošanas ilgumu, kā arī procedūras izlūkdatu apkopošanas pasākumu izmantošanas atļaušanai, pārraudzībai un pārskatīšanai.”</w:t>
      </w:r>
    </w:p>
  </w:footnote>
  <w:footnote w:id="99">
    <w:p w14:paraId="160BB4BF"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Tas nav 2010. gada 14. septembra sprieduma lietā Nr. 38224/03 ““Sanoma Uitgevers B.V.” pret Nīderlandi” [</w:t>
      </w:r>
      <w:r>
        <w:rPr>
          <w:rFonts w:ascii="Times New Roman" w:hAnsi="Times New Roman"/>
          <w:i/>
          <w:iCs/>
        </w:rPr>
        <w:t>GC</w:t>
      </w:r>
      <w:r>
        <w:rPr>
          <w:rFonts w:ascii="Times New Roman" w:hAnsi="Times New Roman"/>
        </w:rPr>
        <w:t xml:space="preserve">] 90.–92. punktā noteiktais režīms; skat. European Union Fundamental Rights Agency (FRA), </w:t>
      </w:r>
      <w:bookmarkStart w:id="307" w:name="_Hlk67247476"/>
      <w:r>
        <w:rPr>
          <w:rFonts w:ascii="Times New Roman" w:hAnsi="Times New Roman"/>
          <w:i/>
        </w:rPr>
        <w:t>Surveillance by intelligence services: fundamental rights safeguards and remedies in the EU</w:t>
      </w:r>
      <w:r>
        <w:rPr>
          <w:rFonts w:ascii="Times New Roman" w:hAnsi="Times New Roman"/>
        </w:rPr>
        <w:t xml:space="preserve">, volume II: </w:t>
      </w:r>
      <w:r>
        <w:rPr>
          <w:rFonts w:ascii="Times New Roman" w:hAnsi="Times New Roman"/>
          <w:i/>
        </w:rPr>
        <w:t>Field perspectives and legal updates</w:t>
      </w:r>
      <w:r>
        <w:rPr>
          <w:rFonts w:ascii="Times New Roman" w:hAnsi="Times New Roman"/>
        </w:rPr>
        <w:t xml:space="preserve">, 2017, </w:t>
      </w:r>
      <w:bookmarkEnd w:id="307"/>
      <w:r>
        <w:rPr>
          <w:rFonts w:ascii="Times New Roman" w:hAnsi="Times New Roman"/>
        </w:rPr>
        <w:t>p. 12: “ES dalībvalstīm jāizveido īpašas juridiskas procedūras, lai aizsargātu tādu grupu kā parlamenta deputātu, tiesu iestāžu, juristu un plašsaziņas līdzekļu speciālistu profesionālās privilēģijas. Šo procedūru īstenošana jāpārrauga neatkarīgai iestādei.”</w:t>
      </w:r>
    </w:p>
  </w:footnote>
  <w:footnote w:id="100">
    <w:p w14:paraId="5A21D0F0"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Venēcijas komisijas ziņojums, minēts iepriekš, 26. lpp.</w:t>
      </w:r>
    </w:p>
  </w:footnote>
  <w:footnote w:id="101">
    <w:p w14:paraId="5E5960F3"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w:t>
      </w:r>
      <w:bookmarkStart w:id="308" w:name="_Hlk67230109"/>
      <w:r>
        <w:rPr>
          <w:rFonts w:ascii="Times New Roman" w:hAnsi="Times New Roman"/>
        </w:rPr>
        <w:t xml:space="preserve">Tas ir universāls un Eiropā noteikts standarts, kas attiecīgi ietverts iepriekš minētajā Apvienoto Nāciju Organizācijas apkopojumā (“Prakse Nr. 25. Ir izveidota neatkarīga institūcija, kas pārrauga kārtību, kādā izlūkdienesti izmanto personas datus. </w:t>
      </w:r>
      <w:bookmarkEnd w:id="308"/>
      <w:r>
        <w:rPr>
          <w:rFonts w:ascii="Times New Roman" w:hAnsi="Times New Roman"/>
        </w:rPr>
        <w:t xml:space="preserve">Šai iestādei ir piekļuve visām izlūkdienestu rīcībā esošajām datnēm, un tai ir tiesības dot rīkojumu izpaust informāciju attiecīgajām personām, kā arī iznīcināt datnes vai tajās esošo personisko informāciju.”) un iepriekš minētā </w:t>
      </w:r>
      <w:r>
        <w:rPr>
          <w:rFonts w:ascii="Times New Roman" w:hAnsi="Times New Roman"/>
          <w:i/>
          <w:iCs/>
        </w:rPr>
        <w:t>FRA</w:t>
      </w:r>
      <w:r>
        <w:rPr>
          <w:rFonts w:ascii="Times New Roman" w:hAnsi="Times New Roman"/>
        </w:rPr>
        <w:t xml:space="preserve"> dokumenta “Surveillance by intelligence services” 11. lpp. (“Dalībvalstīm arī jāpiešķir pārraudzības struktūrām pilnvaras pašām uzsākt izmeklēšanu, kā arī pastāvīga, pilnīga un tieša piekļuve to pilnvaru izpildei nepieciešamajai informācijai un dokumentiem.”).</w:t>
      </w:r>
    </w:p>
  </w:footnote>
  <w:footnote w:id="102">
    <w:p w14:paraId="25E93B59"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“Zabo un Visija”, minēts iepriekš, 86. punkts. Spriežot pēc loģikas spriedumā lietā “Zabo un Visija”, šī ir vēl viena minimālā prasībā papildus spriedumā lietā “Vēbere un Sarāvija” noteiktajiem kritērijiem. Saistībā ar informēšanas procesa priekšrocībām “pārmērīgas izmantošanas ierobežošanā” skat. iepriekš minētā Venēcijas komisijas ziņojuma 35. lpp., kā arī Eiropas Padomes cilvēktiesību komisāra 2015. gada ziņojuma par Vāciju 17. lpp. un 2016. gada ziņojuma par Apvienoto Karalisti 5. lpp.</w:t>
      </w:r>
    </w:p>
  </w:footnote>
  <w:footnote w:id="103">
    <w:p w14:paraId="7F967C7A"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358. punkts.</w:t>
      </w:r>
    </w:p>
  </w:footnote>
  <w:footnote w:id="104">
    <w:p w14:paraId="4B324889"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362. punkts.</w:t>
      </w:r>
    </w:p>
  </w:footnote>
  <w:footnote w:id="105">
    <w:p w14:paraId="63157F1E"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Turpat.</w:t>
      </w:r>
    </w:p>
  </w:footnote>
  <w:footnote w:id="106">
    <w:p w14:paraId="4ABA8973"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Turpat.</w:t>
      </w:r>
    </w:p>
  </w:footnote>
  <w:footnote w:id="107">
    <w:p w14:paraId="7137DBAA"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Turpat.</w:t>
      </w:r>
    </w:p>
  </w:footnote>
  <w:footnote w:id="108">
    <w:p w14:paraId="06F2EF43"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w:t>
      </w:r>
      <w:bookmarkStart w:id="309" w:name="_Hlk66992874"/>
      <w:r>
        <w:rPr>
          <w:rFonts w:ascii="Times New Roman" w:hAnsi="Times New Roman"/>
        </w:rPr>
        <w:t>Vairākums ir ignorējis faktu, ka Konvencijas par personu aizsardzību attiecībā uz personas datu automātisko apstrādi Papildprotokola 2. pantā par uzraudzības iestādēm un pārrobežu datu plūsmām (ETS Nr. 181) ir noteikts, ka pusēm ir jānodrošina atbilstošs aizsardzības līmenis personas datu pārsūtīšanai uz trešām valstīm un ka atkāpes ir pieļaujamas vienīgi tad, ja pastāv leģitīmas dominējošas intereses. Šīs konvencijas paskaidrojuma ziņojumā piebilsts, ka izņēmumi ir jāinterpretē šauri, “lai izņēmums nekļūtu par noteikumu” (31. punkts).</w:t>
      </w:r>
      <w:bookmarkEnd w:id="309"/>
      <w:r>
        <w:rPr>
          <w:rFonts w:ascii="Times New Roman" w:hAnsi="Times New Roman"/>
        </w:rPr>
        <w:t xml:space="preserve"> Ir svarīgi atzīmēt, ka šo protokolu ir ratificējušas 44 valstis, tostarp 8 valstis, kas nav Eiropas Padomes dalībvalstis. Apvienotā Karaliste to nav ratificējusi. Līdzās šim Eiropas Padomes standartam Eiropas Savienība pieļauj vienīgi personas datu pārsūtīšanu uz trešo valsti, kas nodrošina aizsardzības līmeni, kas būtībā ir līdzvērtīgs Eiropas Savienībā garantētajam aizsardzības līmenim (šā sprieduma 234. punkts).</w:t>
      </w:r>
    </w:p>
  </w:footnote>
  <w:footnote w:id="109">
    <w:p w14:paraId="30D1A366"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Venēcijas komisijas ziņojums, minēts iepriekš, 2015. gads, 34. lpp. (“Informācijas nosūtītāja jeb “trešās personas princips” nav jāpiemēro pārraudzības struktūrai.”), kā arī </w:t>
      </w:r>
      <w:r>
        <w:rPr>
          <w:rFonts w:ascii="Times New Roman" w:hAnsi="Times New Roman"/>
          <w:i/>
          <w:iCs/>
        </w:rPr>
        <w:t>FRA</w:t>
      </w:r>
      <w:r>
        <w:rPr>
          <w:rFonts w:ascii="Times New Roman" w:hAnsi="Times New Roman"/>
        </w:rPr>
        <w:t xml:space="preserve"> dokuments “Surveillance by intelligence services”, minēts iepriekš, 2017. gads, 13. un 106. lpp. (“Neraugoties uz trešās personas principu, ES dalībvalstīm jāapsver iespēja piešķirt pārraudzības struktūrām pilnvērtīgu piekļuvi datiem, kas pārsūtīti starptautiskās sadarbības ietvaros. Tas paplašinātu pārraudzības pilnvaras attiecībā uz visiem datiem, kas pieejami izlūkdienestiem un kurus tie apstrādā.”).</w:t>
      </w:r>
    </w:p>
  </w:footnote>
  <w:footnote w:id="110">
    <w:p w14:paraId="75765386"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342. punkts.</w:t>
      </w:r>
    </w:p>
  </w:footnote>
  <w:footnote w:id="111">
    <w:p w14:paraId="576F22DB"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Galu galā, Tiesa ņēma vērā Valdības draudus, ka tad, “ja dalībvalstīm, kuras izmanto masveida pārtveršanas režīmu, SSD [saistītajiem sakaru datiem] jāpiemēro tādi paši aizsardzības mehānismi kā saturam, tā rezultātā, visticamāk, tiks vājināta attiecībā uz saturu noteiktā aizsardzības mehānisma efektivitāte” (atbildētājas Valdības 2019. gada 2. maija apsvērumi Lielajā palātā, 42. lpp.).</w:t>
      </w:r>
    </w:p>
  </w:footnote>
  <w:footnote w:id="112">
    <w:p w14:paraId="5D990A0B"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364. punkts, to aplūkojot kopā ar 361. punktu.</w:t>
      </w:r>
    </w:p>
  </w:footnote>
  <w:footnote w:id="113">
    <w:p w14:paraId="532323B5"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347. punkts.</w:t>
      </w:r>
    </w:p>
  </w:footnote>
  <w:footnote w:id="114">
    <w:p w14:paraId="061DBD2F"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Spriedumā iepriekš minētajā lietā ““Liberty” un citi” visi prasītāji bija NVO, kuri apgalvoja, ka ir pārkāptas viņu tiesības uz korespondences neaizskaramību. Šīs tiesības ir aplūkotas arī šajā lietā.</w:t>
      </w:r>
    </w:p>
  </w:footnote>
  <w:footnote w:id="115">
    <w:p w14:paraId="3DEF732A"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Tādēļ, izņemot iepriekš 8. punktā minētās iestādes, es esmu ņēmis vērā arī iepriekš minēto Apvienoto Nāciju 2010. gada apkopojumu, iepriekš minēto Venēcijas komisijas 2015. gada ziņojumu, kā arī iepriekš minēto </w:t>
      </w:r>
      <w:r>
        <w:rPr>
          <w:rFonts w:ascii="Times New Roman" w:hAnsi="Times New Roman"/>
          <w:i/>
          <w:iCs/>
        </w:rPr>
        <w:t>FRA</w:t>
      </w:r>
      <w:r>
        <w:rPr>
          <w:rFonts w:ascii="Times New Roman" w:hAnsi="Times New Roman"/>
        </w:rPr>
        <w:t xml:space="preserve"> 2017. gada ziņojumu.</w:t>
      </w:r>
    </w:p>
  </w:footnote>
  <w:footnote w:id="116">
    <w:p w14:paraId="2621E9DA"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Apvienoto Nāciju Organizācijas Konvencijas pret starptautisko organizēto noziedzību 2. panta b) punktā jēdziens “smags noziegums” definēts kā tāds noziedzīgs nodarījums, kas sodāms ar brīvības atņemšanu vismaz uz četriem gadiem vai arī ar smagāku sodu. Atsauce uz to minēta arī Ministru komitejas Ieteikuma Rec(2005)10 paskaidrojošajā ziņojumā.</w:t>
      </w:r>
    </w:p>
  </w:footnote>
  <w:footnote w:id="117">
    <w:p w14:paraId="7E1510A1"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270. punkts. Tas nozīmē, ka, tāpat kā Lielā palāta, es neesmu ņēmis vērā izmaiņas, ko ieviesa ar </w:t>
      </w:r>
      <w:r>
        <w:rPr>
          <w:rFonts w:ascii="Times New Roman" w:hAnsi="Times New Roman"/>
          <w:i/>
          <w:iCs/>
        </w:rPr>
        <w:t>IPA</w:t>
      </w:r>
      <w:r>
        <w:rPr>
          <w:rFonts w:ascii="Times New Roman" w:hAnsi="Times New Roman"/>
        </w:rPr>
        <w:t xml:space="preserve"> un jauno 2018. gada </w:t>
      </w:r>
      <w:r>
        <w:rPr>
          <w:rFonts w:ascii="Times New Roman" w:hAnsi="Times New Roman"/>
          <w:i/>
          <w:iCs/>
        </w:rPr>
        <w:t>IC</w:t>
      </w:r>
      <w:r>
        <w:rPr>
          <w:rFonts w:ascii="Times New Roman" w:hAnsi="Times New Roman"/>
        </w:rPr>
        <w:t xml:space="preserve"> kodeksu. Tās šī Tiesa neizvērtēja.</w:t>
      </w:r>
    </w:p>
  </w:footnote>
  <w:footnote w:id="118">
    <w:p w14:paraId="092BF8C9"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Skat. interesanto diskusiju par šo jautājumu starp lietas dalībniekiem Lielās palātas 2019. gada 10. jūlija sēdē. Tiesa ir aizstāvējusi dažādus viedokļus par valsts drošības nolūka precizitāti (salīdzināt un pretstatīt ar 2009. gada 10. februāra sprieduma lietā Nr. 25198/02 “Jordači [</w:t>
      </w:r>
      <w:r>
        <w:rPr>
          <w:rFonts w:ascii="Times New Roman" w:hAnsi="Times New Roman"/>
          <w:i/>
          <w:iCs/>
        </w:rPr>
        <w:t>Iordachi</w:t>
      </w:r>
      <w:r>
        <w:rPr>
          <w:rFonts w:ascii="Times New Roman" w:hAnsi="Times New Roman"/>
        </w:rPr>
        <w:t>] un citi pret Moldovu” 46. punktu un iepriekš minētā sprieduma lietā “Kenedijs pret Apvienoto Karalisti” 159. punktu).</w:t>
      </w:r>
    </w:p>
  </w:footnote>
  <w:footnote w:id="119">
    <w:p w14:paraId="76F3FA14"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146. punkts.</w:t>
      </w:r>
    </w:p>
  </w:footnote>
  <w:footnote w:id="120">
    <w:p w14:paraId="08CDC0EA"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145. punkts.</w:t>
      </w:r>
    </w:p>
  </w:footnote>
  <w:footnote w:id="121">
    <w:p w14:paraId="586E76FF"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Skat. atbildētājas Valdības 2019. gada 2. maija apsvērumus Lielajā palātā, 9. lpp.</w:t>
      </w:r>
    </w:p>
  </w:footnote>
  <w:footnote w:id="122">
    <w:p w14:paraId="20D7F200"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51. punkts, ko Tiesa ir atkārtoti norādījusi 375. punktā.</w:t>
      </w:r>
    </w:p>
  </w:footnote>
  <w:footnote w:id="123">
    <w:p w14:paraId="176BA9EB"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36. un 116. punkts, kurā minēta norāde uz</w:t>
      </w:r>
      <w:r>
        <w:rPr>
          <w:rFonts w:ascii="Times New Roman" w:hAnsi="Times New Roman"/>
          <w:i/>
          <w:iCs/>
        </w:rPr>
        <w:t xml:space="preserve"> IC</w:t>
      </w:r>
      <w:r>
        <w:rPr>
          <w:rFonts w:ascii="Times New Roman" w:hAnsi="Times New Roman"/>
        </w:rPr>
        <w:t xml:space="preserve"> kodeksa 12.2. punktu.</w:t>
      </w:r>
    </w:p>
  </w:footnote>
  <w:footnote w:id="124">
    <w:p w14:paraId="18624D87"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47. punkts.</w:t>
      </w:r>
    </w:p>
  </w:footnote>
  <w:footnote w:id="125">
    <w:p w14:paraId="0E44ED84"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Kā norādījusi Valdība: “Tomēr fakts, ka elektroniskos sakarus var pārraidīt pa jebkādiem kanāliem, lai sasniegtu galamērķi, neizbēgami nozīmē to, ka daļu sakaru, kas plūst pa nesēju starp Apvienoto Karalisti un citu valsti, veidos “iekšējie sakari”, t. i., sakari starp personām, kas atrodas Britu salās.” (Skat. tās 2019. gada 2. maija apsvērumus Lielajā palātā, 20. lpp.)</w:t>
      </w:r>
    </w:p>
  </w:footnote>
  <w:footnote w:id="126">
    <w:p w14:paraId="0558A0A5"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75. punkts.</w:t>
      </w:r>
    </w:p>
  </w:footnote>
  <w:footnote w:id="127">
    <w:p w14:paraId="34179C8E"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321. punkts. Skat. arī </w:t>
      </w:r>
      <w:r>
        <w:rPr>
          <w:rFonts w:ascii="Times New Roman" w:hAnsi="Times New Roman"/>
          <w:i/>
          <w:iCs/>
        </w:rPr>
        <w:t>IPT</w:t>
      </w:r>
      <w:r>
        <w:rPr>
          <w:rFonts w:ascii="Times New Roman" w:hAnsi="Times New Roman"/>
        </w:rPr>
        <w:t xml:space="preserve"> spriedumu lietā “Belhažs un citi pret Drošības dienestu un citiem”, IPT/13/132-9/H.</w:t>
      </w:r>
    </w:p>
  </w:footnote>
  <w:footnote w:id="128">
    <w:p w14:paraId="08DDB96C"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75. punkts. Šāda prakse, šķiet, ir pretrunā ar </w:t>
      </w:r>
      <w:r>
        <w:rPr>
          <w:rFonts w:ascii="Times New Roman" w:hAnsi="Times New Roman"/>
          <w:i/>
          <w:iCs/>
        </w:rPr>
        <w:t>IC</w:t>
      </w:r>
      <w:r>
        <w:rPr>
          <w:rFonts w:ascii="Times New Roman" w:hAnsi="Times New Roman"/>
        </w:rPr>
        <w:t xml:space="preserve"> kodeksa 6.5. punktu.</w:t>
      </w:r>
    </w:p>
  </w:footnote>
  <w:footnote w:id="129">
    <w:p w14:paraId="3D1F22CD"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Atbildētāja Valdība pati to atzina (skat. tās 2019. gada 2. maija apsvērumus Lielajā palātā, 37. lpp.).</w:t>
      </w:r>
    </w:p>
  </w:footnote>
  <w:footnote w:id="130">
    <w:p w14:paraId="6E86DFA5"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Nepietiek vien ar apgalvojumu, ka, tā kā Lielbritānijas tiesību akti “neļauj pārtverto materiālu atlasīt pārbaudei pēc faktora, kas “attiecas uz personu, par kuru zināms, ka tā pašlaik atrodas Britu salās”, jebkāda no tā izrietoša atšķirīga attieksme nebūtu balstīta tieši uz pilsonību vai nacionālo piederību, bet drīzāk uz ģeogrāfisko atrašanās vietu”, kā tas tika atzīts palātas spriedumā (517. punkts), ņemot vērā acīmredzamo iemeslu, ka lielākā daļa cilvēku, par kuriem zināms, ka tie pašlaik atrodas Britu salās, ir Lielbritānijas pilsoņi, un otrādi – lielākā daļa ārpus Britu salām esoši cilvēku ir ārvalstnieki. Labvēlīgāku attieksmi pret pilsoņiem atzina arī </w:t>
      </w:r>
      <w:r>
        <w:rPr>
          <w:rFonts w:ascii="Times New Roman" w:hAnsi="Times New Roman"/>
          <w:i/>
          <w:iCs/>
        </w:rPr>
        <w:t>FRA</w:t>
      </w:r>
      <w:r>
        <w:rPr>
          <w:rFonts w:ascii="Times New Roman" w:hAnsi="Times New Roman"/>
        </w:rPr>
        <w:t xml:space="preserve"> (dokuments “Surveillance by intelligence services”, minēts iepriekš, 45. lpp.: “Tad, kad izlūkdienesti veic uzraudzību valsts ietvaros, piemērojamie tiesiskie drošības pasākumi ir efektīvāki salīdzinājumā ar tiem, kas ieviesti attiecībā uz ārvalstu uzraudzību.”).</w:t>
      </w:r>
    </w:p>
  </w:footnote>
  <w:footnote w:id="131">
    <w:p w14:paraId="473EC097"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IPT, </w:t>
      </w:r>
      <w:r>
        <w:rPr>
          <w:rFonts w:ascii="Times New Roman" w:hAnsi="Times New Roman"/>
          <w:i/>
        </w:rPr>
        <w:t>Human Rights Watch &amp; Ors v SoS for the Foreign &amp; Commonwealth Office &amp; Ors</w:t>
      </w:r>
      <w:r>
        <w:rPr>
          <w:rFonts w:ascii="Times New Roman" w:hAnsi="Times New Roman"/>
        </w:rPr>
        <w:t xml:space="preserve">, 16 May 2016: “Attiecībā uz jebkuru pamatoto uzskatu, ka jebkuru darbību, uz ko attiecas </w:t>
      </w:r>
      <w:r>
        <w:rPr>
          <w:rFonts w:ascii="Times New Roman" w:hAnsi="Times New Roman"/>
          <w:i/>
          <w:iCs/>
        </w:rPr>
        <w:t>RIPA</w:t>
      </w:r>
      <w:r>
        <w:rPr>
          <w:rFonts w:ascii="Times New Roman" w:hAnsi="Times New Roman"/>
        </w:rPr>
        <w:t xml:space="preserve"> 68. panta 5. punkts, ir veicis kāds no izlūkošanas dienestiem vai tā veikta to vārdā, sūdzības iesniedzējam ir jāpierāda, ka šāds uzskats ir pamatots, lai viņš varētu pierādīt, ka viņš ir potenciāli pakļauts šādas rīcības riskam. Turklāt šim prasītājam attiecībā uz šādu sūdzību ir jāpierāda, ka viņš atrodas vai attiecīgajā brīdī atradās Apvienotajā Karalistē.”</w:t>
      </w:r>
    </w:p>
  </w:footnote>
  <w:footnote w:id="132">
    <w:p w14:paraId="4D6F403D"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Iepriekš minētā Venēcijas komisijas ziņojuma 17. lpp. ir pausta tāda pati “pamatota” kritika, kādu paudis ANO īpašais ziņotājs vārda brīvības jautājumos, atsaucoties uz </w:t>
      </w:r>
      <w:r>
        <w:rPr>
          <w:rFonts w:ascii="Times New Roman" w:hAnsi="Times New Roman"/>
          <w:i/>
          <w:iCs/>
        </w:rPr>
        <w:t>ICCPR</w:t>
      </w:r>
      <w:r>
        <w:rPr>
          <w:rFonts w:ascii="Times New Roman" w:hAnsi="Times New Roman"/>
        </w:rPr>
        <w:t xml:space="preserve"> (skat. šā sprieduma 313. punktu).</w:t>
      </w:r>
    </w:p>
  </w:footnote>
  <w:footnote w:id="133">
    <w:p w14:paraId="400046C4"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Manu secinājumu 2016. gada 20. oktobra lietā Nr. 7334/13 “Muršičs [</w:t>
      </w:r>
      <w:r>
        <w:rPr>
          <w:rFonts w:ascii="Times New Roman" w:hAnsi="Times New Roman"/>
          <w:i/>
        </w:rPr>
        <w:t>Mursić</w:t>
      </w:r>
      <w:r>
        <w:rPr>
          <w:rFonts w:ascii="Times New Roman" w:hAnsi="Times New Roman"/>
        </w:rPr>
        <w:t>] pret Horvātiju” [</w:t>
      </w:r>
      <w:r>
        <w:rPr>
          <w:rFonts w:ascii="Times New Roman" w:hAnsi="Times New Roman"/>
          <w:i/>
          <w:iCs/>
        </w:rPr>
        <w:t>GC</w:t>
      </w:r>
      <w:r>
        <w:rPr>
          <w:rFonts w:ascii="Times New Roman" w:hAnsi="Times New Roman"/>
        </w:rPr>
        <w:t>] 22. punkts.</w:t>
      </w:r>
    </w:p>
  </w:footnote>
  <w:footnote w:id="134">
    <w:p w14:paraId="65A7A88A"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w:t>
      </w:r>
      <w:r>
        <w:rPr>
          <w:rFonts w:ascii="Times New Roman" w:hAnsi="Times New Roman"/>
          <w:i/>
          <w:iCs/>
        </w:rPr>
        <w:t>RIPA</w:t>
      </w:r>
      <w:r>
        <w:rPr>
          <w:rFonts w:ascii="Times New Roman" w:hAnsi="Times New Roman"/>
        </w:rPr>
        <w:t xml:space="preserve"> 16. panta 3. punkts.</w:t>
      </w:r>
    </w:p>
  </w:footnote>
  <w:footnote w:id="135">
    <w:p w14:paraId="6BF9A014"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w:t>
      </w:r>
      <w:r>
        <w:rPr>
          <w:rFonts w:ascii="Times New Roman" w:hAnsi="Times New Roman"/>
          <w:i/>
          <w:iCs/>
        </w:rPr>
        <w:t>IC</w:t>
      </w:r>
      <w:r>
        <w:rPr>
          <w:rFonts w:ascii="Times New Roman" w:hAnsi="Times New Roman"/>
        </w:rPr>
        <w:t xml:space="preserve"> kodeksa 6.2. punkts.</w:t>
      </w:r>
    </w:p>
  </w:footnote>
  <w:footnote w:id="136">
    <w:p w14:paraId="627F1952"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w:t>
      </w:r>
      <w:r>
        <w:rPr>
          <w:rFonts w:ascii="Times New Roman" w:hAnsi="Times New Roman"/>
          <w:i/>
          <w:iCs/>
        </w:rPr>
        <w:t>RIPA</w:t>
      </w:r>
      <w:r>
        <w:rPr>
          <w:rFonts w:ascii="Times New Roman" w:hAnsi="Times New Roman"/>
        </w:rPr>
        <w:t xml:space="preserve"> 5. panta 6. punkta a) apakšpunkts un </w:t>
      </w:r>
      <w:r>
        <w:rPr>
          <w:rFonts w:ascii="Times New Roman" w:hAnsi="Times New Roman"/>
          <w:i/>
          <w:iCs/>
        </w:rPr>
        <w:t>IC</w:t>
      </w:r>
      <w:r>
        <w:rPr>
          <w:rFonts w:ascii="Times New Roman" w:hAnsi="Times New Roman"/>
        </w:rPr>
        <w:t xml:space="preserve"> kodeksa 6.6. punkts.</w:t>
      </w:r>
    </w:p>
  </w:footnote>
  <w:footnote w:id="137">
    <w:p w14:paraId="40FB5AF2"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Atbildētājas Valdības 2019. gada 2. maija apsvērumi Lielajā palātā, 37. lpp.</w:t>
      </w:r>
    </w:p>
  </w:footnote>
  <w:footnote w:id="138">
    <w:p w14:paraId="05DCCEEF"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Saskaņā ar</w:t>
      </w:r>
      <w:r>
        <w:rPr>
          <w:rFonts w:ascii="Times New Roman" w:hAnsi="Times New Roman"/>
          <w:i/>
          <w:iCs/>
        </w:rPr>
        <w:t xml:space="preserve"> IC</w:t>
      </w:r>
      <w:r>
        <w:rPr>
          <w:rFonts w:ascii="Times New Roman" w:hAnsi="Times New Roman"/>
        </w:rPr>
        <w:t xml:space="preserve"> kodeksa 6.2. punktu “8. panta 4. punktā paredzētā pārtveršana ir izlūkdatu iegūšanas veids”.</w:t>
      </w:r>
    </w:p>
  </w:footnote>
  <w:footnote w:id="139">
    <w:p w14:paraId="02FB5236"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w:t>
      </w:r>
      <w:r>
        <w:rPr>
          <w:rFonts w:ascii="Times New Roman" w:hAnsi="Times New Roman"/>
          <w:i/>
          <w:iCs/>
        </w:rPr>
        <w:t>RIPA</w:t>
      </w:r>
      <w:r>
        <w:rPr>
          <w:rFonts w:ascii="Times New Roman" w:hAnsi="Times New Roman"/>
        </w:rPr>
        <w:t xml:space="preserve"> 81. pantā ir definēta nozieguma novēršana un atklāšana, bet ne izmeklēšana.</w:t>
      </w:r>
    </w:p>
  </w:footnote>
  <w:footnote w:id="140">
    <w:p w14:paraId="7E8D9B9C"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Iepriekš minētā Venēcijas komisijas ziņojuma 11. lpp. ir minēts tas pats.</w:t>
      </w:r>
    </w:p>
  </w:footnote>
  <w:footnote w:id="141">
    <w:p w14:paraId="1997A025"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Apvienotās Karalistes parlaments savā 2015. gada </w:t>
      </w:r>
      <w:r>
        <w:rPr>
          <w:rFonts w:ascii="Times New Roman" w:hAnsi="Times New Roman"/>
          <w:i/>
          <w:iCs/>
        </w:rPr>
        <w:t>ISC</w:t>
      </w:r>
      <w:r>
        <w:rPr>
          <w:rFonts w:ascii="Times New Roman" w:hAnsi="Times New Roman"/>
        </w:rPr>
        <w:t xml:space="preserve"> ziņojumā atzina valsts sekretāra neatkarības trūkumu, līdz 2016. gadā tika mainīta </w:t>
      </w:r>
      <w:r>
        <w:rPr>
          <w:rFonts w:ascii="Times New Roman" w:hAnsi="Times New Roman"/>
          <w:i/>
          <w:iCs/>
        </w:rPr>
        <w:t>IPA</w:t>
      </w:r>
      <w:r>
        <w:rPr>
          <w:rFonts w:ascii="Times New Roman" w:hAnsi="Times New Roman"/>
        </w:rPr>
        <w:t xml:space="preserve"> izveide.</w:t>
      </w:r>
    </w:p>
  </w:footnote>
  <w:footnote w:id="142">
    <w:p w14:paraId="68E76835"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Tiesību normas, kas attiecas uz 8. panta 4. punktā noteikto materiālu, ko atlasa pārbaudei un uzskata par konfidenciālu informāciju (</w:t>
      </w:r>
      <w:r>
        <w:rPr>
          <w:rFonts w:ascii="Times New Roman" w:hAnsi="Times New Roman"/>
          <w:i/>
          <w:iCs/>
        </w:rPr>
        <w:t>IC</w:t>
      </w:r>
      <w:r>
        <w:rPr>
          <w:rFonts w:ascii="Times New Roman" w:hAnsi="Times New Roman"/>
        </w:rPr>
        <w:t xml:space="preserve"> kodeksa 4.32. punkts). Atbildētāja Valdība tagad atzīst, ka “sakaru datu pieprasījumi, kas paredzēti žurnālistikas avotu identificēšanai, ir jāapstiprina tiesai” (Apvienotās Karalistes atbilde Eiropas Padomes cilvēktiesību komisāram – Memorands par uzraudzības un pārraudzības mehānismiem Apvienotajā Karalistē, 24. lpp.).</w:t>
      </w:r>
    </w:p>
  </w:footnote>
  <w:footnote w:id="143">
    <w:p w14:paraId="10959F02"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146.–147. punkts.</w:t>
      </w:r>
    </w:p>
  </w:footnote>
  <w:footnote w:id="144">
    <w:p w14:paraId="5701DCD4"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Tāds bija arī 2015. gada </w:t>
      </w:r>
      <w:r>
        <w:rPr>
          <w:rFonts w:ascii="Times New Roman" w:hAnsi="Times New Roman"/>
          <w:i/>
          <w:iCs/>
        </w:rPr>
        <w:t>ISC</w:t>
      </w:r>
      <w:r>
        <w:rPr>
          <w:rFonts w:ascii="Times New Roman" w:hAnsi="Times New Roman"/>
        </w:rPr>
        <w:t xml:space="preserve"> ziņojumā sniegtais secinājums (skat. šā sprieduma 147. punktu). Nav pārsteigums, ka 2016. gadā tika izdoti 3007 pārtveršanas orderi un valsts sekretārs noraidīja tikai piecus pieprasījumus (šā sprieduma 170. punkts). Skaitļi runā paši par sevi, proti, valsts sekretārs piedalījās vienīgi pieprasījumu “apzīmogošanā”.</w:t>
      </w:r>
    </w:p>
  </w:footnote>
  <w:footnote w:id="145">
    <w:p w14:paraId="7D818754"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33. punkts.</w:t>
      </w:r>
    </w:p>
  </w:footnote>
  <w:footnote w:id="146">
    <w:p w14:paraId="6D31AB4E"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Skat. palātas sprieduma 347. punktu un tiesnešu Koskelo un Turkovičas kopīgā atsevišķā viedokļa 26. punktu, kurā norādīts, ka Apvienotās Karalistes sistēma patiesībā atpaliek no Vācijas drošības pasākumu sistēmas, kas bija spēkā brīdī, kad pasludināja spriedumu lietās “Klass un citi” un “Vēbere un Sarāvija”.</w:t>
      </w:r>
    </w:p>
  </w:footnote>
  <w:footnote w:id="147">
    <w:p w14:paraId="2585D10A"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Diemžēl vairākums nebija ņēmis vērā šo 2015. gada </w:t>
      </w:r>
      <w:r>
        <w:rPr>
          <w:rFonts w:ascii="Times New Roman" w:hAnsi="Times New Roman"/>
          <w:i/>
          <w:iCs/>
        </w:rPr>
        <w:t>ISC</w:t>
      </w:r>
      <w:r>
        <w:rPr>
          <w:rFonts w:ascii="Times New Roman" w:hAnsi="Times New Roman"/>
        </w:rPr>
        <w:t xml:space="preserve"> ziņojuma rindkopu, kas minēta sprieduma 142. punktā.</w:t>
      </w:r>
    </w:p>
  </w:footnote>
  <w:footnote w:id="148">
    <w:p w14:paraId="19B1304C"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2000. gada </w:t>
      </w:r>
      <w:r>
        <w:rPr>
          <w:rFonts w:ascii="Times New Roman" w:hAnsi="Times New Roman"/>
          <w:i/>
          <w:iCs/>
        </w:rPr>
        <w:t>RIPA</w:t>
      </w:r>
      <w:r>
        <w:rPr>
          <w:rFonts w:ascii="Times New Roman" w:hAnsi="Times New Roman"/>
        </w:rPr>
        <w:t xml:space="preserve"> 57. pants.</w:t>
      </w:r>
    </w:p>
  </w:footnote>
  <w:footnote w:id="149">
    <w:p w14:paraId="3D9687E9"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Pieteikuma iesniedzēja kritika Lielās palātas 2019. gada 10. jūlija sēdē ir pamatota, proti, viens pensionēts tiesnesis, kas strādā nepilnu darba laiku un ar nelielu sekretariātu un veic pieticīgu izlases izvērtējumu, “nevar cerēt, ka viņš varēs nodrošināt jēgpilnu pārraudzību”.</w:t>
      </w:r>
    </w:p>
  </w:footnote>
  <w:footnote w:id="150">
    <w:p w14:paraId="52E8C73E"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Attiecībā uz šiem principiem un to lomu Eiropas Padomē skat. manu atsevišķo viedokli iepriekš minētajā lietā “Zabo un Visija”.</w:t>
      </w:r>
    </w:p>
  </w:footnote>
  <w:footnote w:id="151">
    <w:p w14:paraId="473067F2"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Kā atbildētāja Valdība atzinusi mutvārdu argumentos Lielās palātas 2019. gada 10. jūlija sēdē.</w:t>
      </w:r>
    </w:p>
  </w:footnote>
  <w:footnote w:id="152">
    <w:p w14:paraId="27108143"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Kā norādījusi atbildētāja Valdība (šā sprieduma 403. punkts). Šķiet, ka nav nodrošināta atbilstība par starptautiskajiem rīcībpolitikas dokumentiem (šā sprieduma 59. punkts).</w:t>
      </w:r>
    </w:p>
  </w:footnote>
  <w:footnote w:id="153">
    <w:p w14:paraId="3F3BB2B8"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w:t>
      </w:r>
      <w:r>
        <w:rPr>
          <w:rFonts w:ascii="Times New Roman" w:hAnsi="Times New Roman"/>
          <w:i/>
          <w:iCs/>
        </w:rPr>
        <w:t>IC</w:t>
      </w:r>
      <w:r>
        <w:rPr>
          <w:rFonts w:ascii="Times New Roman" w:hAnsi="Times New Roman"/>
        </w:rPr>
        <w:t xml:space="preserve"> kodeksa 6.22.–6.24. punkts.</w:t>
      </w:r>
    </w:p>
  </w:footnote>
  <w:footnote w:id="154">
    <w:p w14:paraId="70440C57"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Sprieduma 176. punkts.</w:t>
      </w:r>
    </w:p>
  </w:footnote>
  <w:footnote w:id="155">
    <w:p w14:paraId="7D9A5B17"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Diezgan pārsteidzoši, ka vairākums sprieduma 405. punktā uzskatījis atbildētājas Valdības Lielajā palātā raksturotās prakses nostiprināšanu tiesību aktos tikai par “vēlamu”.</w:t>
      </w:r>
    </w:p>
  </w:footnote>
  <w:footnote w:id="156">
    <w:p w14:paraId="25A57A5E"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Ar </w:t>
      </w:r>
      <w:r>
        <w:rPr>
          <w:rFonts w:ascii="Times New Roman" w:hAnsi="Times New Roman"/>
          <w:i/>
          <w:iCs/>
        </w:rPr>
        <w:t>IPA</w:t>
      </w:r>
      <w:r>
        <w:rPr>
          <w:rFonts w:ascii="Times New Roman" w:hAnsi="Times New Roman"/>
        </w:rPr>
        <w:t xml:space="preserve"> komisāram tika uzlikts par pienākumu izvērtēt, vai ir noticis nopietns pārkāpums, un tas būtu sabiedrības interesēs par to informēt attiecīgo personu, taču šis noteikums šajā lietā Tiesā netiek izvērtēts. </w:t>
      </w:r>
      <w:r>
        <w:rPr>
          <w:rFonts w:ascii="Times New Roman" w:hAnsi="Times New Roman"/>
          <w:i/>
          <w:iCs/>
        </w:rPr>
        <w:t>IPA</w:t>
      </w:r>
      <w:r>
        <w:rPr>
          <w:rFonts w:ascii="Times New Roman" w:hAnsi="Times New Roman"/>
        </w:rPr>
        <w:t xml:space="preserve"> politikas izvēle liecina par piekāpšanos tam, ka iepriekšējā sistēma bija neatbilstoša, un vēl ir jānogaida, lai redzētu, vai </w:t>
      </w:r>
      <w:r>
        <w:rPr>
          <w:rFonts w:ascii="Times New Roman" w:hAnsi="Times New Roman"/>
          <w:i/>
          <w:iCs/>
        </w:rPr>
        <w:t>IPA</w:t>
      </w:r>
      <w:r>
        <w:rPr>
          <w:rFonts w:ascii="Times New Roman" w:hAnsi="Times New Roman"/>
        </w:rPr>
        <w:t xml:space="preserve"> paredzētais risinājums ir efektīvs.</w:t>
      </w:r>
    </w:p>
  </w:footnote>
  <w:footnote w:id="157">
    <w:p w14:paraId="5854291C"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To pasliktina Valdības t. s. “NCND” (“ne apstiprināšanas, ne noliegšanas”) nostāja, kā rezultātā “persona nevar zināt, vai attiecībā uz to ir veikta uzraudzība”, turklāt “ar uzraudzību saistītie lēmumi netiek efektīvi pārbaudīti”, kā secināja Eiropas Padomes cilvēktiesību komisārs (Memorands, minēts iepriekš).</w:t>
      </w:r>
    </w:p>
  </w:footnote>
  <w:footnote w:id="158">
    <w:p w14:paraId="2FBA0385"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Tādējādi vairākuma secinājums, ka</w:t>
      </w:r>
      <w:r>
        <w:rPr>
          <w:rFonts w:ascii="Times New Roman" w:hAnsi="Times New Roman"/>
          <w:i/>
          <w:iCs/>
        </w:rPr>
        <w:t xml:space="preserve"> IPT</w:t>
      </w:r>
      <w:r>
        <w:rPr>
          <w:rFonts w:ascii="Times New Roman" w:hAnsi="Times New Roman"/>
        </w:rPr>
        <w:t xml:space="preserve"> ir “nodrošinājusi stabilu tiesiskās aizsardzības līdzekli ikvienai personai, kurai radušās aizdomas, ka izlūkdienesti ir pārtvēruši tās sakarus” (415. punkts), neatklāj sistēmai raksturīgo trūkumu, proti, tās virtuālo būtību, tiem, kam nav iemesla aizdomām, ka attiecībā uz viņiem ir veikta slepena uzraudzība.</w:t>
      </w:r>
    </w:p>
  </w:footnote>
  <w:footnote w:id="159">
    <w:p w14:paraId="0E25D1D2"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w:t>
      </w:r>
      <w:r>
        <w:rPr>
          <w:rFonts w:ascii="Times New Roman" w:hAnsi="Times New Roman"/>
          <w:i/>
          <w:iCs/>
        </w:rPr>
        <w:t>RIPA</w:t>
      </w:r>
      <w:r>
        <w:rPr>
          <w:rFonts w:ascii="Times New Roman" w:hAnsi="Times New Roman"/>
        </w:rPr>
        <w:t xml:space="preserve"> 69. panta 1. punkts.</w:t>
      </w:r>
    </w:p>
  </w:footnote>
  <w:footnote w:id="160">
    <w:p w14:paraId="5BEF2A39"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Atbildētāja Valdība apgalvoja, ka “pat pirms kodeksa 12. nodaļas izdošanas tā bija “pieejama”, jo bija izpausta”, atsaucoties uz 2014. gada oktobra paziņojumu (skat. tās 2019. gada 2. maija apsvērumus Lielajā palātā, 49. lpp.). Tādējādi pat Valdība ir atzinusi, ka pirms tam šis likums nebija pieejams.</w:t>
      </w:r>
    </w:p>
  </w:footnote>
  <w:footnote w:id="161">
    <w:p w14:paraId="0133AABF"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116. punkts.</w:t>
      </w:r>
    </w:p>
  </w:footnote>
  <w:footnote w:id="162">
    <w:p w14:paraId="362A134A"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263. punkts.</w:t>
      </w:r>
    </w:p>
  </w:footnote>
  <w:footnote w:id="163">
    <w:p w14:paraId="0732D6AE"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Kā atbildētāja Valdība norādījusi Lielās palātas 2019. gada 10. jūlija sēdē: “Tādējādi, ja jautājums ir par to, vai jūsu rīcībā ir liels daudzums datu pat pēc filtrēšanas procesa pabeigšanas, tad atbilde uz šo jautājumu ir “jā”, kas turklāt ir ļoti labi, mēs apstiprinām.”</w:t>
      </w:r>
    </w:p>
  </w:footnote>
  <w:footnote w:id="164">
    <w:p w14:paraId="44627327"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502. un 503. punkts.</w:t>
      </w:r>
    </w:p>
  </w:footnote>
  <w:footnote w:id="165">
    <w:p w14:paraId="0FE883E0"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362. punkts.</w:t>
      </w:r>
    </w:p>
  </w:footnote>
  <w:footnote w:id="166">
    <w:p w14:paraId="6617E0A5"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513. punkts.</w:t>
      </w:r>
    </w:p>
  </w:footnote>
  <w:footnote w:id="167">
    <w:p w14:paraId="3D120397"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Diemžēl Tiesa ir atstājusi bez ievērības Cilvēktiesību komitejas pausto nostāju tās 2015. gada noslēguma apsvērumos par Apvienoto Karalisti, UN Doc. CCPR/C/GBR/CO/7, 2015. gada 17. augusts, 24. punkts, kur tā bija paudusi bažas par “atbilstošu drošības pasākumu trūkumu saistībā ar privātu sakaru iegūšanu no ārvalstu drošības aģentūrām un personīgo sakaru datu koplietošanu ar šīm aģentūrām”.</w:t>
      </w:r>
    </w:p>
  </w:footnote>
  <w:footnote w:id="168">
    <w:p w14:paraId="7720960A"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Tieši uz to ir atsaukusies Venēcijas komisija (skat. šā sprieduma 201. punktu).</w:t>
      </w:r>
    </w:p>
  </w:footnote>
  <w:footnote w:id="169">
    <w:p w14:paraId="3828E3D6"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w:t>
      </w:r>
      <w:r>
        <w:rPr>
          <w:rFonts w:ascii="Times New Roman" w:hAnsi="Times New Roman"/>
          <w:i/>
          <w:iCs/>
        </w:rPr>
        <w:t>IC</w:t>
      </w:r>
      <w:r>
        <w:rPr>
          <w:rFonts w:ascii="Times New Roman" w:hAnsi="Times New Roman"/>
        </w:rPr>
        <w:t xml:space="preserve"> kodeksa 7.3. punkts (skat. šā sprieduma 96. un 390. punktu).</w:t>
      </w:r>
    </w:p>
  </w:footnote>
  <w:footnote w:id="170">
    <w:p w14:paraId="13B9594B"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Atbildētājas Valdības mutvārdu argumenti Lielās palātas 2019. gada 10. jūlija sēdē.</w:t>
      </w:r>
    </w:p>
  </w:footnote>
  <w:footnote w:id="171">
    <w:p w14:paraId="48A34FD6"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422.–423. punkts.</w:t>
      </w:r>
    </w:p>
  </w:footnote>
  <w:footnote w:id="172">
    <w:p w14:paraId="3C3AAA6C"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Skat. atbildētājas Valdības mutvārdu argumentus Lielās palātas 2019. gada 10. jūlija sēdē. Šādi pārtverošā iestāde varētu masveida pārtveršanas veidā iegūt saturu, ko tā būtu ieguvusi atbilstoši atsevišķam un mērķētam orderim, kas minēts 8. pantā, un līdz ar to apiet šīs Tiesas spriedumu iepriekš minētajā lietā “Kenedijs pret Apvienoto Karalisti”.</w:t>
      </w:r>
    </w:p>
  </w:footnote>
  <w:footnote w:id="173">
    <w:p w14:paraId="31A8B75E"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420. punkts.</w:t>
      </w:r>
    </w:p>
  </w:footnote>
  <w:footnote w:id="174">
    <w:p w14:paraId="308F6B97"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Mans spriedums ir balstīts uz manu kā krimināltiesību tiesneša pieredzi ļoti sarežģītās krimināllietās, kurās policija bieži pieprasīja pārtvert lielu daudzumu saistīto sakaru datu.</w:t>
      </w:r>
    </w:p>
  </w:footnote>
  <w:footnote w:id="175">
    <w:p w14:paraId="091F3C8D"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450. punkts.</w:t>
      </w:r>
    </w:p>
  </w:footnote>
  <w:footnote w:id="176">
    <w:p w14:paraId="0E62A5A6"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Salīdzināt un pretstatīt ar 420. un 421. punktu. Jāatzīmē, ka 420. punktā ir minēts “galvenais likumā noteiktais drošības pasākums”, taču 421. punktā tā nozīme šķietami ir mazinājusies, jo tas ir raksturots kā “svarīgs drošības pasākums”. Neprecīzas valodas lietojums 421. punktā ir mulsinošs, taču satura trūkums ir vēl satraucošāks. Tiesa apzināti manipulēja ar valodas līdzekļiem, lai saistīto sakaru datu masveida pārtveršanas kontekstā piešķirtu 381. un 382. punktā paustajām bažām atšķirīgu nozīmi. To visu acīmredzami papildina “visaptverošais izvērtējums”, kas ļauj Tiesai sasniegt jebkuru rezultātu (skat. šī “visaptverošā taisnīguma” kritērija izvērtējumu manos secinājumos, kas pievienoti 2020. gada 15. oktobra spriedumam lietā Nr. 80982/12 “Muhameds [</w:t>
      </w:r>
      <w:r>
        <w:rPr>
          <w:rFonts w:ascii="Times New Roman" w:hAnsi="Times New Roman"/>
          <w:i/>
        </w:rPr>
        <w:t>Muhammad</w:t>
      </w:r>
      <w:r>
        <w:rPr>
          <w:rFonts w:ascii="Times New Roman" w:hAnsi="Times New Roman"/>
        </w:rPr>
        <w:t>] un Muhameds pret Rumāniju” [</w:t>
      </w:r>
      <w:r>
        <w:rPr>
          <w:rFonts w:ascii="Times New Roman" w:hAnsi="Times New Roman"/>
          <w:i/>
          <w:iCs/>
        </w:rPr>
        <w:t>GC</w:t>
      </w:r>
      <w:r>
        <w:rPr>
          <w:rFonts w:ascii="Times New Roman" w:hAnsi="Times New Roman"/>
        </w:rPr>
        <w:t>] un 2018. gada 18. decembra spriedumam lietā Nr. 36658/05 “Murtazalijeva [</w:t>
      </w:r>
      <w:r>
        <w:rPr>
          <w:rFonts w:ascii="Times New Roman" w:hAnsi="Times New Roman"/>
          <w:i/>
        </w:rPr>
        <w:t>Murtazaliyeva</w:t>
      </w:r>
      <w:r>
        <w:rPr>
          <w:rFonts w:ascii="Times New Roman" w:hAnsi="Times New Roman"/>
        </w:rPr>
        <w:t>] pret Krieviju” [</w:t>
      </w:r>
      <w:r>
        <w:rPr>
          <w:rFonts w:ascii="Times New Roman" w:hAnsi="Times New Roman"/>
          <w:i/>
          <w:iCs/>
        </w:rPr>
        <w:t>GC</w:t>
      </w:r>
      <w:r>
        <w:rPr>
          <w:rFonts w:ascii="Times New Roman" w:hAnsi="Times New Roman"/>
        </w:rPr>
        <w:t>]).</w:t>
      </w:r>
    </w:p>
  </w:footnote>
  <w:footnote w:id="177">
    <w:p w14:paraId="79797C29"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“Zabo un Visija”, minēts iepriekš, 70. punkts: “Ir jāuzlabo garantijas, kas nepieciešamas atkarībā no apmēra, kādā tiek piemērota Konvencijas judikatūra par pārtveršanu, lai risinātu jautājumu par šādu uzraudzības praksi.” Līdzīgi </w:t>
      </w:r>
      <w:r>
        <w:rPr>
          <w:rFonts w:ascii="Times New Roman" w:hAnsi="Times New Roman"/>
          <w:i/>
          <w:iCs/>
        </w:rPr>
        <w:t>PACE</w:t>
      </w:r>
      <w:r>
        <w:rPr>
          <w:rFonts w:ascii="Times New Roman" w:hAnsi="Times New Roman"/>
        </w:rPr>
        <w:t xml:space="preserve"> rezolūcijā 2045 (2015) ir uzsvērta nepieciešamība stiprināt masveida uzraudzības pārraudzību.</w:t>
      </w:r>
    </w:p>
  </w:footnote>
  <w:footnote w:id="178">
    <w:p w14:paraId="449D2D33"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277 US 438.</w:t>
      </w:r>
    </w:p>
  </w:footnote>
  <w:footnote w:id="179">
    <w:p w14:paraId="5CDBE48D"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226. punkts.</w:t>
      </w:r>
    </w:p>
  </w:footnote>
  <w:footnote w:id="180">
    <w:p w14:paraId="22A2E2D3" w14:textId="72344C11" w:rsidR="00F8047C" w:rsidRDefault="00F8047C">
      <w:pPr>
        <w:pStyle w:val="FootnoteText"/>
      </w:pPr>
      <w:r>
        <w:rPr>
          <w:rStyle w:val="FootnoteReference"/>
        </w:rPr>
        <w:footnoteRef/>
      </w:r>
      <w:r>
        <w:t xml:space="preserve"> </w:t>
      </w:r>
      <w:r w:rsidR="00F37464">
        <w:rPr>
          <w:rFonts w:ascii="Times New Roman" w:hAnsi="Times New Roman"/>
        </w:rPr>
        <w:t>Šā sprieduma 211., 217</w:t>
      </w:r>
      <w:r w:rsidR="00BC4F02">
        <w:rPr>
          <w:rFonts w:ascii="Times New Roman" w:hAnsi="Times New Roman"/>
        </w:rPr>
        <w:t>.</w:t>
      </w:r>
      <w:r w:rsidR="005C1995">
        <w:rPr>
          <w:rFonts w:ascii="Times New Roman" w:hAnsi="Times New Roman"/>
        </w:rPr>
        <w:t xml:space="preserve"> un </w:t>
      </w:r>
      <w:r w:rsidR="00BC4F02">
        <w:rPr>
          <w:rFonts w:ascii="Times New Roman" w:hAnsi="Times New Roman"/>
        </w:rPr>
        <w:t>239-241.</w:t>
      </w:r>
      <w:r w:rsidR="00F37464">
        <w:rPr>
          <w:rFonts w:ascii="Times New Roman" w:hAnsi="Times New Roman"/>
        </w:rPr>
        <w:t> punkts</w:t>
      </w:r>
      <w:r w:rsidR="00F37464" w:rsidRPr="00F37464">
        <w:t>.</w:t>
      </w:r>
    </w:p>
  </w:footnote>
  <w:footnote w:id="181">
    <w:p w14:paraId="15AB0433"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234. 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E037B" w14:textId="77777777" w:rsidR="0076262D" w:rsidRPr="0076262D" w:rsidRDefault="0076262D" w:rsidP="0076262D">
    <w:pPr>
      <w:widowControl w:val="0"/>
      <w:tabs>
        <w:tab w:val="center" w:pos="4153"/>
        <w:tab w:val="right" w:pos="8306"/>
      </w:tabs>
      <w:autoSpaceDE w:val="0"/>
      <w:autoSpaceDN w:val="0"/>
      <w:rPr>
        <w:rFonts w:ascii="Times New Roman" w:eastAsia="Arial MT" w:hAnsi="Times New Roman" w:cs="Times New Roman"/>
        <w:noProof/>
        <w:sz w:val="20"/>
        <w:szCs w:val="20"/>
        <w:lang w:val="en-US"/>
      </w:rPr>
    </w:pPr>
    <w:bookmarkStart w:id="281" w:name="_Hlk496261784"/>
    <w:bookmarkStart w:id="282" w:name="_Hlk496261785"/>
    <w:bookmarkStart w:id="283" w:name="_Hlk496261786"/>
    <w:bookmarkStart w:id="284" w:name="_Hlk502757728"/>
    <w:bookmarkStart w:id="285" w:name="_Hlk502757729"/>
    <w:bookmarkStart w:id="286" w:name="_Hlk502757738"/>
    <w:bookmarkStart w:id="287" w:name="_Hlk502757739"/>
    <w:bookmarkStart w:id="288" w:name="_Hlk30491084"/>
    <w:bookmarkStart w:id="289" w:name="_Hlk30491085"/>
  </w:p>
  <w:p w14:paraId="66786909" w14:textId="77777777" w:rsidR="0076262D" w:rsidRPr="0076262D" w:rsidRDefault="0076262D" w:rsidP="0076262D">
    <w:pPr>
      <w:widowControl w:val="0"/>
      <w:tabs>
        <w:tab w:val="right" w:pos="9072"/>
      </w:tabs>
      <w:autoSpaceDE w:val="0"/>
      <w:autoSpaceDN w:val="0"/>
      <w:rPr>
        <w:rFonts w:ascii="Times New Roman" w:eastAsia="Arial MT" w:hAnsi="Times New Roman" w:cs="Times New Roman"/>
        <w:noProof/>
        <w:sz w:val="20"/>
        <w:szCs w:val="20"/>
        <w:u w:val="single"/>
        <w:lang w:val="en-US"/>
      </w:rPr>
    </w:pPr>
    <w:r w:rsidRPr="0076262D">
      <w:rPr>
        <w:rFonts w:ascii="Times New Roman" w:eastAsia="Arial MT" w:hAnsi="Times New Roman" w:cs="Times New Roman"/>
        <w:noProof/>
        <w:sz w:val="20"/>
        <w:szCs w:val="20"/>
        <w:u w:val="single"/>
        <w:lang w:val="en-US"/>
      </w:rPr>
      <w:tab/>
    </w:r>
  </w:p>
  <w:bookmarkEnd w:id="281"/>
  <w:bookmarkEnd w:id="282"/>
  <w:bookmarkEnd w:id="283"/>
  <w:bookmarkEnd w:id="284"/>
  <w:bookmarkEnd w:id="285"/>
  <w:bookmarkEnd w:id="286"/>
  <w:bookmarkEnd w:id="287"/>
  <w:bookmarkEnd w:id="288"/>
  <w:bookmarkEnd w:id="289"/>
  <w:p w14:paraId="49ADDBD0" w14:textId="77777777" w:rsidR="00DA068F" w:rsidRPr="00CD3CC2" w:rsidRDefault="00DA068F" w:rsidP="00CD3C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8F260" w14:textId="77777777" w:rsidR="00925B94" w:rsidRPr="003E62C2" w:rsidRDefault="00925B94" w:rsidP="00925B94">
    <w:pPr>
      <w:pBdr>
        <w:bottom w:val="single" w:sz="12" w:space="5" w:color="auto"/>
      </w:pBdr>
      <w:rPr>
        <w:rFonts w:ascii="Times New Roman" w:hAnsi="Times New Roman" w:cs="Times New Roman"/>
        <w:noProof/>
        <w:sz w:val="20"/>
        <w:szCs w:val="20"/>
        <w:lang w:val="en-US"/>
      </w:rPr>
    </w:pPr>
    <w:bookmarkStart w:id="290" w:name="_Hlk496261745"/>
    <w:bookmarkStart w:id="291" w:name="_Hlk496261746"/>
    <w:bookmarkStart w:id="292" w:name="_Hlk496261747"/>
    <w:bookmarkStart w:id="293" w:name="_Hlk30491063"/>
    <w:bookmarkStart w:id="294" w:name="_Hlk30491064"/>
  </w:p>
  <w:bookmarkEnd w:id="290"/>
  <w:bookmarkEnd w:id="291"/>
  <w:bookmarkEnd w:id="292"/>
  <w:bookmarkEnd w:id="293"/>
  <w:bookmarkEnd w:id="294"/>
  <w:p w14:paraId="349B6AFF" w14:textId="77777777" w:rsidR="00DA068F" w:rsidRPr="00CD3CC2" w:rsidRDefault="00DA068F" w:rsidP="00CD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51829C7"/>
    <w:multiLevelType w:val="hybridMultilevel"/>
    <w:tmpl w:val="CBBA53A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06342D57"/>
    <w:multiLevelType w:val="hybridMultilevel"/>
    <w:tmpl w:val="2F0E810C"/>
    <w:lvl w:ilvl="0" w:tplc="6374E0A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0BD21AAB"/>
    <w:multiLevelType w:val="hybridMultilevel"/>
    <w:tmpl w:val="B56452C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0C0F5BFC"/>
    <w:multiLevelType w:val="multilevel"/>
    <w:tmpl w:val="79FEA660"/>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97" w:hanging="397"/>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538"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3" w15:restartNumberingAfterBreak="0">
    <w:nsid w:val="0E7014C3"/>
    <w:multiLevelType w:val="hybridMultilevel"/>
    <w:tmpl w:val="74E85DF6"/>
    <w:lvl w:ilvl="0" w:tplc="EB06D07A">
      <w:start w:val="371"/>
      <w:numFmt w:val="bullet"/>
      <w:lvlText w:val="–"/>
      <w:lvlJc w:val="left"/>
      <w:pPr>
        <w:ind w:left="720" w:hanging="360"/>
      </w:pPr>
      <w:rPr>
        <w:rFonts w:ascii="Times New Roman" w:eastAsiaTheme="maj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3183A4C"/>
    <w:multiLevelType w:val="hybridMultilevel"/>
    <w:tmpl w:val="81589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2832930"/>
    <w:multiLevelType w:val="hybridMultilevel"/>
    <w:tmpl w:val="C1E040B4"/>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230F2F7B"/>
    <w:multiLevelType w:val="hybridMultilevel"/>
    <w:tmpl w:val="7BEA247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85E6A40"/>
    <w:multiLevelType w:val="multilevel"/>
    <w:tmpl w:val="84A2DB1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134"/>
        </w:tabs>
        <w:ind w:left="1134"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
      <w:lvlJc w:val="left"/>
      <w:pPr>
        <w:ind w:left="2517" w:hanging="345"/>
      </w:pPr>
      <w:rPr>
        <w:rFonts w:ascii="Symbol" w:hAnsi="Symbol" w:hint="default"/>
        <w:sz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CB30B71"/>
    <w:multiLevelType w:val="hybridMultilevel"/>
    <w:tmpl w:val="1D242EFA"/>
    <w:lvl w:ilvl="0" w:tplc="3AF087D6">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32BD2F5E"/>
    <w:multiLevelType w:val="hybridMultilevel"/>
    <w:tmpl w:val="B69AE08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344167CC"/>
    <w:multiLevelType w:val="hybridMultilevel"/>
    <w:tmpl w:val="A0FEBDAA"/>
    <w:lvl w:ilvl="0" w:tplc="3AF087D6">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15:restartNumberingAfterBreak="0">
    <w:nsid w:val="34A43F0C"/>
    <w:multiLevelType w:val="hybridMultilevel"/>
    <w:tmpl w:val="C31E014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3C886E02"/>
    <w:multiLevelType w:val="hybridMultilevel"/>
    <w:tmpl w:val="457E5A1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2A63A9"/>
    <w:multiLevelType w:val="hybridMultilevel"/>
    <w:tmpl w:val="49C6C20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474607BC"/>
    <w:multiLevelType w:val="hybridMultilevel"/>
    <w:tmpl w:val="B0509ABC"/>
    <w:lvl w:ilvl="0" w:tplc="3AF087D6">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15:restartNumberingAfterBreak="0">
    <w:nsid w:val="474B5BA4"/>
    <w:multiLevelType w:val="hybridMultilevel"/>
    <w:tmpl w:val="B9EE8488"/>
    <w:lvl w:ilvl="0" w:tplc="3AF087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7D73B2"/>
    <w:multiLevelType w:val="hybridMultilevel"/>
    <w:tmpl w:val="E5268F86"/>
    <w:lvl w:ilvl="0" w:tplc="516E459C">
      <w:start w:val="371"/>
      <w:numFmt w:val="bullet"/>
      <w:lvlText w:val="–"/>
      <w:lvlJc w:val="left"/>
      <w:pPr>
        <w:ind w:left="720" w:hanging="360"/>
      </w:pPr>
      <w:rPr>
        <w:rFonts w:ascii="Times New Roman" w:eastAsiaTheme="maj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32"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33" w15:restartNumberingAfterBreak="0">
    <w:nsid w:val="576A34CB"/>
    <w:multiLevelType w:val="hybridMultilevel"/>
    <w:tmpl w:val="30A448A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5F272286"/>
    <w:multiLevelType w:val="hybridMultilevel"/>
    <w:tmpl w:val="4B183D92"/>
    <w:lvl w:ilvl="0" w:tplc="04090019">
      <w:start w:val="1"/>
      <w:numFmt w:val="lowerLetter"/>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0CF208B"/>
    <w:multiLevelType w:val="hybridMultilevel"/>
    <w:tmpl w:val="73BEA86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6" w15:restartNumberingAfterBreak="0">
    <w:nsid w:val="64961ECF"/>
    <w:multiLevelType w:val="hybridMultilevel"/>
    <w:tmpl w:val="677EEDC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15:restartNumberingAfterBreak="0">
    <w:nsid w:val="67FD1241"/>
    <w:multiLevelType w:val="hybridMultilevel"/>
    <w:tmpl w:val="F6D86CC2"/>
    <w:lvl w:ilvl="0" w:tplc="FA16D50E">
      <w:start w:val="1"/>
      <w:numFmt w:val="bullet"/>
      <w:pStyle w:val="ListBullet"/>
      <w:lvlText w:val=""/>
      <w:lvlJc w:val="left"/>
      <w:pPr>
        <w:tabs>
          <w:tab w:val="num" w:pos="851"/>
        </w:tabs>
        <w:ind w:left="568" w:firstLine="0"/>
      </w:pPr>
      <w:rPr>
        <w:rFonts w:ascii="Wingdings" w:hAnsi="Wingdings" w:hint="default"/>
        <w:color w:val="808080"/>
        <w:sz w:val="16"/>
      </w:rPr>
    </w:lvl>
    <w:lvl w:ilvl="1" w:tplc="FFA02EFC" w:tentative="1">
      <w:start w:val="1"/>
      <w:numFmt w:val="bullet"/>
      <w:lvlText w:val="o"/>
      <w:lvlJc w:val="left"/>
      <w:pPr>
        <w:tabs>
          <w:tab w:val="num" w:pos="1724"/>
        </w:tabs>
        <w:ind w:left="1724" w:hanging="360"/>
      </w:pPr>
      <w:rPr>
        <w:rFonts w:ascii="Courier New" w:hAnsi="Courier New" w:cs="Courier New" w:hint="default"/>
      </w:rPr>
    </w:lvl>
    <w:lvl w:ilvl="2" w:tplc="063479D8" w:tentative="1">
      <w:start w:val="1"/>
      <w:numFmt w:val="bullet"/>
      <w:lvlText w:val=""/>
      <w:lvlJc w:val="left"/>
      <w:pPr>
        <w:tabs>
          <w:tab w:val="num" w:pos="2444"/>
        </w:tabs>
        <w:ind w:left="2444" w:hanging="360"/>
      </w:pPr>
      <w:rPr>
        <w:rFonts w:ascii="Wingdings" w:hAnsi="Wingdings" w:hint="default"/>
      </w:rPr>
    </w:lvl>
    <w:lvl w:ilvl="3" w:tplc="CCD6C0F0" w:tentative="1">
      <w:start w:val="1"/>
      <w:numFmt w:val="bullet"/>
      <w:lvlText w:val=""/>
      <w:lvlJc w:val="left"/>
      <w:pPr>
        <w:tabs>
          <w:tab w:val="num" w:pos="3164"/>
        </w:tabs>
        <w:ind w:left="3164" w:hanging="360"/>
      </w:pPr>
      <w:rPr>
        <w:rFonts w:ascii="Symbol" w:hAnsi="Symbol" w:hint="default"/>
      </w:rPr>
    </w:lvl>
    <w:lvl w:ilvl="4" w:tplc="29CE2376" w:tentative="1">
      <w:start w:val="1"/>
      <w:numFmt w:val="bullet"/>
      <w:lvlText w:val="o"/>
      <w:lvlJc w:val="left"/>
      <w:pPr>
        <w:tabs>
          <w:tab w:val="num" w:pos="3884"/>
        </w:tabs>
        <w:ind w:left="3884" w:hanging="360"/>
      </w:pPr>
      <w:rPr>
        <w:rFonts w:ascii="Courier New" w:hAnsi="Courier New" w:cs="Courier New" w:hint="default"/>
      </w:rPr>
    </w:lvl>
    <w:lvl w:ilvl="5" w:tplc="E83840FE" w:tentative="1">
      <w:start w:val="1"/>
      <w:numFmt w:val="bullet"/>
      <w:lvlText w:val=""/>
      <w:lvlJc w:val="left"/>
      <w:pPr>
        <w:tabs>
          <w:tab w:val="num" w:pos="4604"/>
        </w:tabs>
        <w:ind w:left="4604" w:hanging="360"/>
      </w:pPr>
      <w:rPr>
        <w:rFonts w:ascii="Wingdings" w:hAnsi="Wingdings" w:hint="default"/>
      </w:rPr>
    </w:lvl>
    <w:lvl w:ilvl="6" w:tplc="A4CEDD5A" w:tentative="1">
      <w:start w:val="1"/>
      <w:numFmt w:val="bullet"/>
      <w:lvlText w:val=""/>
      <w:lvlJc w:val="left"/>
      <w:pPr>
        <w:tabs>
          <w:tab w:val="num" w:pos="5324"/>
        </w:tabs>
        <w:ind w:left="5324" w:hanging="360"/>
      </w:pPr>
      <w:rPr>
        <w:rFonts w:ascii="Symbol" w:hAnsi="Symbol" w:hint="default"/>
      </w:rPr>
    </w:lvl>
    <w:lvl w:ilvl="7" w:tplc="434AFE46" w:tentative="1">
      <w:start w:val="1"/>
      <w:numFmt w:val="bullet"/>
      <w:lvlText w:val="o"/>
      <w:lvlJc w:val="left"/>
      <w:pPr>
        <w:tabs>
          <w:tab w:val="num" w:pos="6044"/>
        </w:tabs>
        <w:ind w:left="6044" w:hanging="360"/>
      </w:pPr>
      <w:rPr>
        <w:rFonts w:ascii="Courier New" w:hAnsi="Courier New" w:cs="Courier New" w:hint="default"/>
      </w:rPr>
    </w:lvl>
    <w:lvl w:ilvl="8" w:tplc="4628F40A" w:tentative="1">
      <w:start w:val="1"/>
      <w:numFmt w:val="bullet"/>
      <w:lvlText w:val=""/>
      <w:lvlJc w:val="left"/>
      <w:pPr>
        <w:tabs>
          <w:tab w:val="num" w:pos="6764"/>
        </w:tabs>
        <w:ind w:left="6764" w:hanging="360"/>
      </w:pPr>
      <w:rPr>
        <w:rFonts w:ascii="Wingdings" w:hAnsi="Wingdings" w:hint="default"/>
      </w:rPr>
    </w:lvl>
  </w:abstractNum>
  <w:abstractNum w:abstractNumId="38" w15:restartNumberingAfterBreak="0">
    <w:nsid w:val="70605755"/>
    <w:multiLevelType w:val="hybridMultilevel"/>
    <w:tmpl w:val="5C56C09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1C26981"/>
    <w:multiLevelType w:val="hybridMultilevel"/>
    <w:tmpl w:val="C83E8E50"/>
    <w:lvl w:ilvl="0" w:tplc="3AF087D6">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73072D04"/>
    <w:multiLevelType w:val="hybridMultilevel"/>
    <w:tmpl w:val="54E090FE"/>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15:restartNumberingAfterBreak="0">
    <w:nsid w:val="7539573C"/>
    <w:multiLevelType w:val="hybridMultilevel"/>
    <w:tmpl w:val="A232E05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15:restartNumberingAfterBreak="0">
    <w:nsid w:val="75476EAC"/>
    <w:multiLevelType w:val="hybridMultilevel"/>
    <w:tmpl w:val="2004B00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3" w15:restartNumberingAfterBreak="0">
    <w:nsid w:val="769217BB"/>
    <w:multiLevelType w:val="hybridMultilevel"/>
    <w:tmpl w:val="102243E6"/>
    <w:lvl w:ilvl="0" w:tplc="0409001B">
      <w:start w:val="1"/>
      <w:numFmt w:val="lowerRoman"/>
      <w:lvlText w:val="%1."/>
      <w:lvlJc w:val="righ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44" w15:restartNumberingAfterBreak="0">
    <w:nsid w:val="786E6E49"/>
    <w:multiLevelType w:val="hybridMultilevel"/>
    <w:tmpl w:val="5B32F02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5" w15:restartNumberingAfterBreak="0">
    <w:nsid w:val="7C0E65ED"/>
    <w:multiLevelType w:val="hybridMultilevel"/>
    <w:tmpl w:val="223A6A5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6" w15:restartNumberingAfterBreak="0">
    <w:nsid w:val="7CCD286F"/>
    <w:multiLevelType w:val="hybridMultilevel"/>
    <w:tmpl w:val="A4D85E2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733314027">
    <w:abstractNumId w:val="20"/>
  </w:num>
  <w:num w:numId="2" w16cid:durableId="693462900">
    <w:abstractNumId w:val="34"/>
  </w:num>
  <w:num w:numId="3" w16cid:durableId="2071922215">
    <w:abstractNumId w:val="29"/>
  </w:num>
  <w:num w:numId="4" w16cid:durableId="1078989144">
    <w:abstractNumId w:val="14"/>
  </w:num>
  <w:num w:numId="5" w16cid:durableId="664939092">
    <w:abstractNumId w:val="45"/>
  </w:num>
  <w:num w:numId="6" w16cid:durableId="155801527">
    <w:abstractNumId w:val="39"/>
  </w:num>
  <w:num w:numId="7" w16cid:durableId="672419874">
    <w:abstractNumId w:val="43"/>
  </w:num>
  <w:num w:numId="8" w16cid:durableId="2023586908">
    <w:abstractNumId w:val="11"/>
  </w:num>
  <w:num w:numId="9" w16cid:durableId="1957058436">
    <w:abstractNumId w:val="40"/>
  </w:num>
  <w:num w:numId="10" w16cid:durableId="908543879">
    <w:abstractNumId w:val="21"/>
  </w:num>
  <w:num w:numId="11" w16cid:durableId="656811715">
    <w:abstractNumId w:val="17"/>
  </w:num>
  <w:num w:numId="12" w16cid:durableId="109011682">
    <w:abstractNumId w:val="41"/>
  </w:num>
  <w:num w:numId="13" w16cid:durableId="2028024174">
    <w:abstractNumId w:val="42"/>
  </w:num>
  <w:num w:numId="14" w16cid:durableId="2009287371">
    <w:abstractNumId w:val="18"/>
  </w:num>
  <w:num w:numId="15" w16cid:durableId="759913788">
    <w:abstractNumId w:val="24"/>
  </w:num>
  <w:num w:numId="16" w16cid:durableId="1826507014">
    <w:abstractNumId w:val="10"/>
  </w:num>
  <w:num w:numId="17" w16cid:durableId="264966187">
    <w:abstractNumId w:val="35"/>
  </w:num>
  <w:num w:numId="18" w16cid:durableId="1432899410">
    <w:abstractNumId w:val="33"/>
  </w:num>
  <w:num w:numId="19" w16cid:durableId="1077434418">
    <w:abstractNumId w:val="25"/>
  </w:num>
  <w:num w:numId="20" w16cid:durableId="1451122505">
    <w:abstractNumId w:val="22"/>
  </w:num>
  <w:num w:numId="21" w16cid:durableId="1793596464">
    <w:abstractNumId w:val="9"/>
  </w:num>
  <w:num w:numId="22" w16cid:durableId="2021617746">
    <w:abstractNumId w:val="46"/>
  </w:num>
  <w:num w:numId="23" w16cid:durableId="1712874816">
    <w:abstractNumId w:val="36"/>
  </w:num>
  <w:num w:numId="24" w16cid:durableId="238058963">
    <w:abstractNumId w:val="28"/>
  </w:num>
  <w:num w:numId="25" w16cid:durableId="1296255519">
    <w:abstractNumId w:val="23"/>
  </w:num>
  <w:num w:numId="26" w16cid:durableId="927924877">
    <w:abstractNumId w:val="44"/>
  </w:num>
  <w:num w:numId="27" w16cid:durableId="668098941">
    <w:abstractNumId w:val="27"/>
  </w:num>
  <w:num w:numId="28" w16cid:durableId="20240848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87392724">
    <w:abstractNumId w:val="12"/>
  </w:num>
  <w:num w:numId="30" w16cid:durableId="330791706">
    <w:abstractNumId w:val="26"/>
  </w:num>
  <w:num w:numId="31" w16cid:durableId="626395097">
    <w:abstractNumId w:val="16"/>
  </w:num>
  <w:num w:numId="32" w16cid:durableId="596015598">
    <w:abstractNumId w:val="15"/>
  </w:num>
  <w:num w:numId="33" w16cid:durableId="1212765022">
    <w:abstractNumId w:val="31"/>
  </w:num>
  <w:num w:numId="34" w16cid:durableId="842084259">
    <w:abstractNumId w:val="19"/>
  </w:num>
  <w:num w:numId="35" w16cid:durableId="1990357091">
    <w:abstractNumId w:val="32"/>
  </w:num>
  <w:num w:numId="36" w16cid:durableId="1911310107">
    <w:abstractNumId w:val="37"/>
  </w:num>
  <w:num w:numId="37" w16cid:durableId="2109039737">
    <w:abstractNumId w:val="7"/>
  </w:num>
  <w:num w:numId="38" w16cid:durableId="919174776">
    <w:abstractNumId w:val="6"/>
  </w:num>
  <w:num w:numId="39" w16cid:durableId="889656459">
    <w:abstractNumId w:val="5"/>
  </w:num>
  <w:num w:numId="40" w16cid:durableId="1324508759">
    <w:abstractNumId w:val="4"/>
  </w:num>
  <w:num w:numId="41" w16cid:durableId="1037968570">
    <w:abstractNumId w:val="8"/>
  </w:num>
  <w:num w:numId="42" w16cid:durableId="1900506938">
    <w:abstractNumId w:val="3"/>
  </w:num>
  <w:num w:numId="43" w16cid:durableId="1974601366">
    <w:abstractNumId w:val="2"/>
  </w:num>
  <w:num w:numId="44" w16cid:durableId="1637490917">
    <w:abstractNumId w:val="1"/>
  </w:num>
  <w:num w:numId="45" w16cid:durableId="1975678369">
    <w:abstractNumId w:val="0"/>
  </w:num>
  <w:num w:numId="46" w16cid:durableId="1448354457">
    <w:abstractNumId w:val="13"/>
  </w:num>
  <w:num w:numId="47" w16cid:durableId="1391538196">
    <w:abstractNumId w:val="30"/>
  </w:num>
  <w:num w:numId="48" w16cid:durableId="520707290">
    <w:abstractNumId w:val="3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doNotHyphenateCap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plicationsApp" w:val="3"/>
    <w:docVar w:name="EMM" w:val="0"/>
    <w:docVar w:name="LetCode" w:val="Judgment "/>
    <w:docVar w:name="NBApplication" w:val="0"/>
    <w:docVar w:name="NBEMMDOC" w:val="0"/>
  </w:docVars>
  <w:rsids>
    <w:rsidRoot w:val="005C18BC"/>
    <w:rsid w:val="00007D10"/>
    <w:rsid w:val="000119C0"/>
    <w:rsid w:val="00035767"/>
    <w:rsid w:val="00036F1D"/>
    <w:rsid w:val="00052982"/>
    <w:rsid w:val="0005564A"/>
    <w:rsid w:val="000563D6"/>
    <w:rsid w:val="00060323"/>
    <w:rsid w:val="00062DF0"/>
    <w:rsid w:val="000665DF"/>
    <w:rsid w:val="000734D4"/>
    <w:rsid w:val="00086E96"/>
    <w:rsid w:val="00091C8B"/>
    <w:rsid w:val="00096EDD"/>
    <w:rsid w:val="000A0472"/>
    <w:rsid w:val="000A0E51"/>
    <w:rsid w:val="000A2AD4"/>
    <w:rsid w:val="000A45F4"/>
    <w:rsid w:val="000A7B13"/>
    <w:rsid w:val="000B2BC2"/>
    <w:rsid w:val="000B5030"/>
    <w:rsid w:val="000C04F6"/>
    <w:rsid w:val="000C4885"/>
    <w:rsid w:val="000C50EE"/>
    <w:rsid w:val="000C6276"/>
    <w:rsid w:val="000D5D44"/>
    <w:rsid w:val="000E09EA"/>
    <w:rsid w:val="000E3283"/>
    <w:rsid w:val="001006ED"/>
    <w:rsid w:val="001046F0"/>
    <w:rsid w:val="001057BF"/>
    <w:rsid w:val="00110498"/>
    <w:rsid w:val="00113B7F"/>
    <w:rsid w:val="00116B49"/>
    <w:rsid w:val="00130210"/>
    <w:rsid w:val="00132972"/>
    <w:rsid w:val="00133F0B"/>
    <w:rsid w:val="00135333"/>
    <w:rsid w:val="001405BF"/>
    <w:rsid w:val="001511C3"/>
    <w:rsid w:val="00156945"/>
    <w:rsid w:val="00161BC1"/>
    <w:rsid w:val="00165B4D"/>
    <w:rsid w:val="00172559"/>
    <w:rsid w:val="00172ACE"/>
    <w:rsid w:val="001756F6"/>
    <w:rsid w:val="001835FE"/>
    <w:rsid w:val="001B0A3C"/>
    <w:rsid w:val="001B4576"/>
    <w:rsid w:val="001B4C8E"/>
    <w:rsid w:val="001B695F"/>
    <w:rsid w:val="001B6C1E"/>
    <w:rsid w:val="001C5E63"/>
    <w:rsid w:val="001D14B9"/>
    <w:rsid w:val="001D1976"/>
    <w:rsid w:val="001D4300"/>
    <w:rsid w:val="001D5C52"/>
    <w:rsid w:val="001E321C"/>
    <w:rsid w:val="001F0378"/>
    <w:rsid w:val="001F1E46"/>
    <w:rsid w:val="0020526C"/>
    <w:rsid w:val="00206221"/>
    <w:rsid w:val="0020698A"/>
    <w:rsid w:val="0021069D"/>
    <w:rsid w:val="00213AC2"/>
    <w:rsid w:val="00214073"/>
    <w:rsid w:val="00227795"/>
    <w:rsid w:val="002405D9"/>
    <w:rsid w:val="00243B9F"/>
    <w:rsid w:val="00245C23"/>
    <w:rsid w:val="00250617"/>
    <w:rsid w:val="00250DB6"/>
    <w:rsid w:val="00267722"/>
    <w:rsid w:val="00270A83"/>
    <w:rsid w:val="002826AB"/>
    <w:rsid w:val="0029012E"/>
    <w:rsid w:val="0029033D"/>
    <w:rsid w:val="00297345"/>
    <w:rsid w:val="00297E1E"/>
    <w:rsid w:val="002A3081"/>
    <w:rsid w:val="002A4735"/>
    <w:rsid w:val="002A4816"/>
    <w:rsid w:val="002A5119"/>
    <w:rsid w:val="002A6B95"/>
    <w:rsid w:val="002B213F"/>
    <w:rsid w:val="002C1B5B"/>
    <w:rsid w:val="002C1C08"/>
    <w:rsid w:val="002D6A24"/>
    <w:rsid w:val="002E189D"/>
    <w:rsid w:val="002E2674"/>
    <w:rsid w:val="002E6794"/>
    <w:rsid w:val="002E6D29"/>
    <w:rsid w:val="002F03D6"/>
    <w:rsid w:val="002F27C6"/>
    <w:rsid w:val="003010B2"/>
    <w:rsid w:val="00302213"/>
    <w:rsid w:val="00303B43"/>
    <w:rsid w:val="00305B7E"/>
    <w:rsid w:val="00320035"/>
    <w:rsid w:val="00320152"/>
    <w:rsid w:val="003250B0"/>
    <w:rsid w:val="003324DC"/>
    <w:rsid w:val="003331A4"/>
    <w:rsid w:val="00333648"/>
    <w:rsid w:val="0033375B"/>
    <w:rsid w:val="00343918"/>
    <w:rsid w:val="00350C34"/>
    <w:rsid w:val="00363802"/>
    <w:rsid w:val="00372832"/>
    <w:rsid w:val="00390FE1"/>
    <w:rsid w:val="00392DF2"/>
    <w:rsid w:val="003943CB"/>
    <w:rsid w:val="0039706E"/>
    <w:rsid w:val="003A5A75"/>
    <w:rsid w:val="003A689B"/>
    <w:rsid w:val="003B24E8"/>
    <w:rsid w:val="003B2501"/>
    <w:rsid w:val="003C0DA5"/>
    <w:rsid w:val="003C30F3"/>
    <w:rsid w:val="003D3E36"/>
    <w:rsid w:val="003E252D"/>
    <w:rsid w:val="003E5AE6"/>
    <w:rsid w:val="00402D40"/>
    <w:rsid w:val="004049AA"/>
    <w:rsid w:val="00413045"/>
    <w:rsid w:val="00422F5A"/>
    <w:rsid w:val="00427EEE"/>
    <w:rsid w:val="0043490E"/>
    <w:rsid w:val="0044579E"/>
    <w:rsid w:val="00450FB0"/>
    <w:rsid w:val="00460B3D"/>
    <w:rsid w:val="00462F0A"/>
    <w:rsid w:val="0046565B"/>
    <w:rsid w:val="00467DF4"/>
    <w:rsid w:val="004813F7"/>
    <w:rsid w:val="00484010"/>
    <w:rsid w:val="004978AA"/>
    <w:rsid w:val="004A10A3"/>
    <w:rsid w:val="004A3708"/>
    <w:rsid w:val="004A4749"/>
    <w:rsid w:val="004A5F1E"/>
    <w:rsid w:val="004B0938"/>
    <w:rsid w:val="004B1AE2"/>
    <w:rsid w:val="004B5598"/>
    <w:rsid w:val="004B6078"/>
    <w:rsid w:val="004C5F8C"/>
    <w:rsid w:val="004D2787"/>
    <w:rsid w:val="004D6232"/>
    <w:rsid w:val="004E0333"/>
    <w:rsid w:val="004E0BED"/>
    <w:rsid w:val="004E6142"/>
    <w:rsid w:val="004F0730"/>
    <w:rsid w:val="004F4DA3"/>
    <w:rsid w:val="004F5E68"/>
    <w:rsid w:val="004F6448"/>
    <w:rsid w:val="004F78B9"/>
    <w:rsid w:val="00501C5D"/>
    <w:rsid w:val="00502A3D"/>
    <w:rsid w:val="005064E6"/>
    <w:rsid w:val="005074E0"/>
    <w:rsid w:val="00510649"/>
    <w:rsid w:val="0051488E"/>
    <w:rsid w:val="005209C0"/>
    <w:rsid w:val="00521DFC"/>
    <w:rsid w:val="005273AA"/>
    <w:rsid w:val="00532F9B"/>
    <w:rsid w:val="00540787"/>
    <w:rsid w:val="00540F76"/>
    <w:rsid w:val="00542FEA"/>
    <w:rsid w:val="00545F4B"/>
    <w:rsid w:val="00556540"/>
    <w:rsid w:val="00582BAB"/>
    <w:rsid w:val="00590853"/>
    <w:rsid w:val="00595935"/>
    <w:rsid w:val="005A4C58"/>
    <w:rsid w:val="005A5391"/>
    <w:rsid w:val="005B08A5"/>
    <w:rsid w:val="005C18BC"/>
    <w:rsid w:val="005C1995"/>
    <w:rsid w:val="005C4B26"/>
    <w:rsid w:val="005C4C84"/>
    <w:rsid w:val="005C7E9F"/>
    <w:rsid w:val="005D31F6"/>
    <w:rsid w:val="005D3D82"/>
    <w:rsid w:val="005D75BF"/>
    <w:rsid w:val="005E75F4"/>
    <w:rsid w:val="00610F59"/>
    <w:rsid w:val="006114C7"/>
    <w:rsid w:val="006338E7"/>
    <w:rsid w:val="006430CF"/>
    <w:rsid w:val="00660C3B"/>
    <w:rsid w:val="00664B6E"/>
    <w:rsid w:val="006662BF"/>
    <w:rsid w:val="00673C24"/>
    <w:rsid w:val="006829DF"/>
    <w:rsid w:val="00683031"/>
    <w:rsid w:val="00683EAB"/>
    <w:rsid w:val="0068689E"/>
    <w:rsid w:val="00691106"/>
    <w:rsid w:val="00693129"/>
    <w:rsid w:val="006962FB"/>
    <w:rsid w:val="00696AC8"/>
    <w:rsid w:val="006978AF"/>
    <w:rsid w:val="006A3778"/>
    <w:rsid w:val="006B57EE"/>
    <w:rsid w:val="006C11AB"/>
    <w:rsid w:val="006C5F86"/>
    <w:rsid w:val="006C683E"/>
    <w:rsid w:val="006D01C1"/>
    <w:rsid w:val="006D0F41"/>
    <w:rsid w:val="006D2BFE"/>
    <w:rsid w:val="006E4A01"/>
    <w:rsid w:val="006E5CA3"/>
    <w:rsid w:val="007020D2"/>
    <w:rsid w:val="0070665A"/>
    <w:rsid w:val="00706733"/>
    <w:rsid w:val="0070687F"/>
    <w:rsid w:val="007247C9"/>
    <w:rsid w:val="00734B03"/>
    <w:rsid w:val="00743CAB"/>
    <w:rsid w:val="007441F3"/>
    <w:rsid w:val="00755DB4"/>
    <w:rsid w:val="0076262D"/>
    <w:rsid w:val="00765064"/>
    <w:rsid w:val="00767519"/>
    <w:rsid w:val="00773856"/>
    <w:rsid w:val="0077430E"/>
    <w:rsid w:val="00786C76"/>
    <w:rsid w:val="00791DF9"/>
    <w:rsid w:val="00796CF9"/>
    <w:rsid w:val="007A34B2"/>
    <w:rsid w:val="007A3CF2"/>
    <w:rsid w:val="007B2128"/>
    <w:rsid w:val="007C4AB6"/>
    <w:rsid w:val="007D1118"/>
    <w:rsid w:val="007D23DC"/>
    <w:rsid w:val="007D2835"/>
    <w:rsid w:val="007D3406"/>
    <w:rsid w:val="007D666D"/>
    <w:rsid w:val="007D6EFD"/>
    <w:rsid w:val="007E0559"/>
    <w:rsid w:val="007F4434"/>
    <w:rsid w:val="00810246"/>
    <w:rsid w:val="008145E7"/>
    <w:rsid w:val="008324BF"/>
    <w:rsid w:val="008349DE"/>
    <w:rsid w:val="00835DBE"/>
    <w:rsid w:val="00840801"/>
    <w:rsid w:val="0084454A"/>
    <w:rsid w:val="00844BD2"/>
    <w:rsid w:val="008460D6"/>
    <w:rsid w:val="00867401"/>
    <w:rsid w:val="0088149F"/>
    <w:rsid w:val="00883284"/>
    <w:rsid w:val="00883B55"/>
    <w:rsid w:val="008866E3"/>
    <w:rsid w:val="00890224"/>
    <w:rsid w:val="00893A73"/>
    <w:rsid w:val="008B3A4C"/>
    <w:rsid w:val="008B64AE"/>
    <w:rsid w:val="008B6B75"/>
    <w:rsid w:val="008B7318"/>
    <w:rsid w:val="008C394C"/>
    <w:rsid w:val="008C3AC7"/>
    <w:rsid w:val="008C69E5"/>
    <w:rsid w:val="008D031E"/>
    <w:rsid w:val="008D3FF2"/>
    <w:rsid w:val="008D6EC3"/>
    <w:rsid w:val="008E4D71"/>
    <w:rsid w:val="008F008F"/>
    <w:rsid w:val="00904078"/>
    <w:rsid w:val="00906BFD"/>
    <w:rsid w:val="00906F45"/>
    <w:rsid w:val="00922A07"/>
    <w:rsid w:val="00922C6F"/>
    <w:rsid w:val="00925B94"/>
    <w:rsid w:val="00927A62"/>
    <w:rsid w:val="00927CD0"/>
    <w:rsid w:val="009329EA"/>
    <w:rsid w:val="00943BD6"/>
    <w:rsid w:val="009512FD"/>
    <w:rsid w:val="00965163"/>
    <w:rsid w:val="009655A5"/>
    <w:rsid w:val="00966580"/>
    <w:rsid w:val="00976BDF"/>
    <w:rsid w:val="00986A53"/>
    <w:rsid w:val="0098748B"/>
    <w:rsid w:val="00992C8C"/>
    <w:rsid w:val="0099362D"/>
    <w:rsid w:val="009956FD"/>
    <w:rsid w:val="009A32AA"/>
    <w:rsid w:val="009A3980"/>
    <w:rsid w:val="009A573B"/>
    <w:rsid w:val="009B0666"/>
    <w:rsid w:val="009B096C"/>
    <w:rsid w:val="009B38A0"/>
    <w:rsid w:val="009C18E5"/>
    <w:rsid w:val="009D13FF"/>
    <w:rsid w:val="009E306F"/>
    <w:rsid w:val="009E4D46"/>
    <w:rsid w:val="009F0922"/>
    <w:rsid w:val="009F5B34"/>
    <w:rsid w:val="009F70ED"/>
    <w:rsid w:val="009F7BB2"/>
    <w:rsid w:val="00A008A6"/>
    <w:rsid w:val="00A10126"/>
    <w:rsid w:val="00A2260B"/>
    <w:rsid w:val="00A27D7B"/>
    <w:rsid w:val="00A47008"/>
    <w:rsid w:val="00A5283B"/>
    <w:rsid w:val="00A5310B"/>
    <w:rsid w:val="00A676E4"/>
    <w:rsid w:val="00A77685"/>
    <w:rsid w:val="00A804B1"/>
    <w:rsid w:val="00A95E99"/>
    <w:rsid w:val="00AB09B0"/>
    <w:rsid w:val="00AB12EE"/>
    <w:rsid w:val="00AB2932"/>
    <w:rsid w:val="00AB6F14"/>
    <w:rsid w:val="00AB6FB9"/>
    <w:rsid w:val="00AC6E96"/>
    <w:rsid w:val="00AD06EF"/>
    <w:rsid w:val="00AE3122"/>
    <w:rsid w:val="00AE5560"/>
    <w:rsid w:val="00AF342A"/>
    <w:rsid w:val="00AF6466"/>
    <w:rsid w:val="00AF710B"/>
    <w:rsid w:val="00B001CA"/>
    <w:rsid w:val="00B03309"/>
    <w:rsid w:val="00B22F74"/>
    <w:rsid w:val="00B34AFA"/>
    <w:rsid w:val="00B355ED"/>
    <w:rsid w:val="00B375FB"/>
    <w:rsid w:val="00B448F0"/>
    <w:rsid w:val="00B51349"/>
    <w:rsid w:val="00B66A8A"/>
    <w:rsid w:val="00B74F77"/>
    <w:rsid w:val="00B75C76"/>
    <w:rsid w:val="00B81563"/>
    <w:rsid w:val="00B81BB7"/>
    <w:rsid w:val="00B84303"/>
    <w:rsid w:val="00B90B98"/>
    <w:rsid w:val="00B9671D"/>
    <w:rsid w:val="00B96EEB"/>
    <w:rsid w:val="00BA3844"/>
    <w:rsid w:val="00BB741E"/>
    <w:rsid w:val="00BB751D"/>
    <w:rsid w:val="00BC057B"/>
    <w:rsid w:val="00BC3ACB"/>
    <w:rsid w:val="00BC4F02"/>
    <w:rsid w:val="00BC6883"/>
    <w:rsid w:val="00C1007B"/>
    <w:rsid w:val="00C10E6E"/>
    <w:rsid w:val="00C138E2"/>
    <w:rsid w:val="00C32473"/>
    <w:rsid w:val="00C33D49"/>
    <w:rsid w:val="00C53060"/>
    <w:rsid w:val="00C6119C"/>
    <w:rsid w:val="00C7481F"/>
    <w:rsid w:val="00C76005"/>
    <w:rsid w:val="00C808FA"/>
    <w:rsid w:val="00CA0E60"/>
    <w:rsid w:val="00CA4BE6"/>
    <w:rsid w:val="00CA4CDF"/>
    <w:rsid w:val="00CB57D0"/>
    <w:rsid w:val="00CB744C"/>
    <w:rsid w:val="00CB7A9B"/>
    <w:rsid w:val="00CC2076"/>
    <w:rsid w:val="00CC2636"/>
    <w:rsid w:val="00CC654C"/>
    <w:rsid w:val="00CC7351"/>
    <w:rsid w:val="00CC79B9"/>
    <w:rsid w:val="00CD3CC2"/>
    <w:rsid w:val="00CE3392"/>
    <w:rsid w:val="00CF136B"/>
    <w:rsid w:val="00CF4B60"/>
    <w:rsid w:val="00D03214"/>
    <w:rsid w:val="00D11253"/>
    <w:rsid w:val="00D151B9"/>
    <w:rsid w:val="00D2639F"/>
    <w:rsid w:val="00D2725E"/>
    <w:rsid w:val="00D434F2"/>
    <w:rsid w:val="00D50E80"/>
    <w:rsid w:val="00D60222"/>
    <w:rsid w:val="00D60524"/>
    <w:rsid w:val="00D6121C"/>
    <w:rsid w:val="00D674CF"/>
    <w:rsid w:val="00D70769"/>
    <w:rsid w:val="00D72137"/>
    <w:rsid w:val="00D760F6"/>
    <w:rsid w:val="00D90879"/>
    <w:rsid w:val="00D95320"/>
    <w:rsid w:val="00D96517"/>
    <w:rsid w:val="00DA068F"/>
    <w:rsid w:val="00DB23E0"/>
    <w:rsid w:val="00DC1F91"/>
    <w:rsid w:val="00DC60C1"/>
    <w:rsid w:val="00DD5C14"/>
    <w:rsid w:val="00DE2389"/>
    <w:rsid w:val="00DE34F4"/>
    <w:rsid w:val="00DF1667"/>
    <w:rsid w:val="00DF4EB0"/>
    <w:rsid w:val="00E05719"/>
    <w:rsid w:val="00E10008"/>
    <w:rsid w:val="00E132EB"/>
    <w:rsid w:val="00E176F6"/>
    <w:rsid w:val="00E37869"/>
    <w:rsid w:val="00E4480D"/>
    <w:rsid w:val="00E454EF"/>
    <w:rsid w:val="00E52545"/>
    <w:rsid w:val="00E5545F"/>
    <w:rsid w:val="00E638B8"/>
    <w:rsid w:val="00E67B38"/>
    <w:rsid w:val="00E72F1F"/>
    <w:rsid w:val="00E75431"/>
    <w:rsid w:val="00E807E4"/>
    <w:rsid w:val="00E82D65"/>
    <w:rsid w:val="00E86278"/>
    <w:rsid w:val="00E867EE"/>
    <w:rsid w:val="00E921F2"/>
    <w:rsid w:val="00EA4687"/>
    <w:rsid w:val="00EA4906"/>
    <w:rsid w:val="00EB25F6"/>
    <w:rsid w:val="00EB432E"/>
    <w:rsid w:val="00EB472F"/>
    <w:rsid w:val="00EB5140"/>
    <w:rsid w:val="00EC1857"/>
    <w:rsid w:val="00ED1516"/>
    <w:rsid w:val="00ED4B1D"/>
    <w:rsid w:val="00ED7716"/>
    <w:rsid w:val="00EE2DD2"/>
    <w:rsid w:val="00EF5BB1"/>
    <w:rsid w:val="00F0680C"/>
    <w:rsid w:val="00F120E1"/>
    <w:rsid w:val="00F16BF8"/>
    <w:rsid w:val="00F223F0"/>
    <w:rsid w:val="00F32AF7"/>
    <w:rsid w:val="00F34B82"/>
    <w:rsid w:val="00F34E04"/>
    <w:rsid w:val="00F372D4"/>
    <w:rsid w:val="00F37464"/>
    <w:rsid w:val="00F5238E"/>
    <w:rsid w:val="00F526EA"/>
    <w:rsid w:val="00F54743"/>
    <w:rsid w:val="00F6232E"/>
    <w:rsid w:val="00F67CF6"/>
    <w:rsid w:val="00F67E1D"/>
    <w:rsid w:val="00F8047C"/>
    <w:rsid w:val="00F80BBF"/>
    <w:rsid w:val="00F82F2D"/>
    <w:rsid w:val="00F83F85"/>
    <w:rsid w:val="00F84E32"/>
    <w:rsid w:val="00F863AD"/>
    <w:rsid w:val="00F90D82"/>
    <w:rsid w:val="00F94AC8"/>
    <w:rsid w:val="00FA09BA"/>
    <w:rsid w:val="00FA399A"/>
    <w:rsid w:val="00FA666A"/>
    <w:rsid w:val="00FB0CD0"/>
    <w:rsid w:val="00FB1E72"/>
    <w:rsid w:val="00FB451F"/>
    <w:rsid w:val="00FC0738"/>
    <w:rsid w:val="00FC705C"/>
    <w:rsid w:val="00FD2E1F"/>
    <w:rsid w:val="00FD6101"/>
    <w:rsid w:val="00FE40A9"/>
    <w:rsid w:val="00FE46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47F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docDefaults>
  <w:latentStyles w:defLockedState="0" w:defUIPriority="98" w:defSemiHidden="0" w:defUnhideWhenUsed="0" w:defQFormat="0" w:count="376">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F83F85"/>
    <w:rPr>
      <w:sz w:val="24"/>
      <w:szCs w:val="24"/>
    </w:rPr>
  </w:style>
  <w:style w:type="paragraph" w:styleId="Heading1">
    <w:name w:val="heading 1"/>
    <w:basedOn w:val="Normal"/>
    <w:next w:val="Normal"/>
    <w:link w:val="Heading1Char"/>
    <w:uiPriority w:val="98"/>
    <w:rsid w:val="00F83F85"/>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F83F85"/>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F83F85"/>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F83F85"/>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F83F85"/>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F83F85"/>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F83F85"/>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F83F85"/>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F83F85"/>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F83F85"/>
    <w:rPr>
      <w:rFonts w:ascii="Tahoma" w:hAnsi="Tahoma" w:cs="Tahoma"/>
      <w:sz w:val="16"/>
      <w:szCs w:val="16"/>
    </w:rPr>
  </w:style>
  <w:style w:type="character" w:customStyle="1" w:styleId="BalloonTextChar">
    <w:name w:val="Balloon Text Char"/>
    <w:basedOn w:val="DefaultParagraphFont"/>
    <w:link w:val="BalloonText"/>
    <w:uiPriority w:val="98"/>
    <w:semiHidden/>
    <w:rsid w:val="00F83F85"/>
    <w:rPr>
      <w:rFonts w:ascii="Tahoma" w:hAnsi="Tahoma" w:cs="Tahoma"/>
      <w:sz w:val="16"/>
      <w:szCs w:val="16"/>
      <w:lang w:val="lv-LV"/>
    </w:rPr>
  </w:style>
  <w:style w:type="character" w:styleId="BookTitle">
    <w:name w:val="Book Title"/>
    <w:uiPriority w:val="98"/>
    <w:qFormat/>
    <w:rsid w:val="00F83F85"/>
    <w:rPr>
      <w:i/>
      <w:iCs/>
      <w:smallCaps/>
      <w:spacing w:val="5"/>
    </w:rPr>
  </w:style>
  <w:style w:type="paragraph" w:customStyle="1" w:styleId="JuHeader">
    <w:name w:val="Ju_Header"/>
    <w:aliases w:val="_Header"/>
    <w:basedOn w:val="Header"/>
    <w:uiPriority w:val="29"/>
    <w:qFormat/>
    <w:rsid w:val="00F83F85"/>
    <w:pPr>
      <w:tabs>
        <w:tab w:val="clear" w:pos="4536"/>
        <w:tab w:val="clear" w:pos="9072"/>
      </w:tabs>
      <w:jc w:val="center"/>
    </w:pPr>
    <w:rPr>
      <w:sz w:val="18"/>
    </w:rPr>
  </w:style>
  <w:style w:type="paragraph" w:customStyle="1" w:styleId="NormalJustified">
    <w:name w:val="Normal_Justified"/>
    <w:basedOn w:val="Normal"/>
    <w:semiHidden/>
    <w:rsid w:val="00F83F85"/>
    <w:pPr>
      <w:jc w:val="both"/>
    </w:pPr>
  </w:style>
  <w:style w:type="character" w:styleId="Strong">
    <w:name w:val="Strong"/>
    <w:uiPriority w:val="98"/>
    <w:qFormat/>
    <w:rsid w:val="00F83F85"/>
    <w:rPr>
      <w:b/>
      <w:bCs/>
    </w:rPr>
  </w:style>
  <w:style w:type="paragraph" w:styleId="NoSpacing">
    <w:name w:val="No Spacing"/>
    <w:basedOn w:val="Normal"/>
    <w:link w:val="NoSpacingChar"/>
    <w:uiPriority w:val="98"/>
    <w:qFormat/>
    <w:rsid w:val="00F83F85"/>
  </w:style>
  <w:style w:type="character" w:customStyle="1" w:styleId="NoSpacingChar">
    <w:name w:val="No Spacing Char"/>
    <w:basedOn w:val="DefaultParagraphFont"/>
    <w:link w:val="NoSpacing"/>
    <w:uiPriority w:val="98"/>
    <w:rsid w:val="00F83F85"/>
    <w:rPr>
      <w:sz w:val="24"/>
      <w:szCs w:val="24"/>
      <w:lang w:val="lv-LV"/>
    </w:rPr>
  </w:style>
  <w:style w:type="paragraph" w:customStyle="1" w:styleId="JuQuot">
    <w:name w:val="Ju_Quot"/>
    <w:aliases w:val="_Quote"/>
    <w:basedOn w:val="NormalJustified"/>
    <w:link w:val="JuQuotChar"/>
    <w:uiPriority w:val="20"/>
    <w:qFormat/>
    <w:rsid w:val="00F83F85"/>
    <w:pPr>
      <w:spacing w:before="120" w:after="120"/>
      <w:ind w:left="425" w:firstLine="142"/>
    </w:pPr>
    <w:rPr>
      <w:sz w:val="20"/>
    </w:rPr>
  </w:style>
  <w:style w:type="paragraph" w:customStyle="1" w:styleId="ECHRBullet1">
    <w:name w:val="ECHR_Bullet_1"/>
    <w:aliases w:val="_Bul_1"/>
    <w:basedOn w:val="NormalJustified"/>
    <w:uiPriority w:val="23"/>
    <w:semiHidden/>
    <w:qFormat/>
    <w:rsid w:val="00F83F85"/>
    <w:pPr>
      <w:numPr>
        <w:numId w:val="33"/>
      </w:numPr>
      <w:spacing w:before="60" w:after="60"/>
    </w:pPr>
  </w:style>
  <w:style w:type="paragraph" w:customStyle="1" w:styleId="ECHRBullet2">
    <w:name w:val="ECHR_Bullet_2"/>
    <w:aliases w:val="_Bul_2"/>
    <w:basedOn w:val="ECHRBullet1"/>
    <w:uiPriority w:val="23"/>
    <w:semiHidden/>
    <w:rsid w:val="00F83F85"/>
    <w:pPr>
      <w:numPr>
        <w:ilvl w:val="1"/>
      </w:numPr>
    </w:pPr>
  </w:style>
  <w:style w:type="paragraph" w:customStyle="1" w:styleId="ECHRBullet3">
    <w:name w:val="ECHR_Bullet_3"/>
    <w:aliases w:val="_Bul_3"/>
    <w:basedOn w:val="ECHRBullet2"/>
    <w:uiPriority w:val="23"/>
    <w:semiHidden/>
    <w:rsid w:val="00F83F85"/>
    <w:pPr>
      <w:numPr>
        <w:ilvl w:val="2"/>
      </w:numPr>
    </w:pPr>
  </w:style>
  <w:style w:type="paragraph" w:customStyle="1" w:styleId="ECHRBullet4">
    <w:name w:val="ECHR_Bullet_4"/>
    <w:aliases w:val="_Bul_4"/>
    <w:basedOn w:val="ECHRBullet3"/>
    <w:uiPriority w:val="23"/>
    <w:semiHidden/>
    <w:rsid w:val="00F83F85"/>
    <w:pPr>
      <w:numPr>
        <w:ilvl w:val="3"/>
      </w:numPr>
    </w:pPr>
  </w:style>
  <w:style w:type="paragraph" w:customStyle="1" w:styleId="ECHRTitleCentre3">
    <w:name w:val="ECHR_Title_Centre_3"/>
    <w:aliases w:val="_Title_C_3"/>
    <w:basedOn w:val="Normal"/>
    <w:next w:val="Normal"/>
    <w:uiPriority w:val="26"/>
    <w:qFormat/>
    <w:rsid w:val="00F83F85"/>
    <w:pPr>
      <w:keepNext/>
      <w:keepLines/>
      <w:spacing w:before="240"/>
      <w:contextualSpacing/>
      <w:jc w:val="center"/>
    </w:pPr>
    <w:rPr>
      <w:rFonts w:asciiTheme="majorHAnsi" w:hAnsiTheme="majorHAnsi"/>
      <w:b/>
      <w:color w:val="474747" w:themeColor="accent3" w:themeShade="BF"/>
    </w:rPr>
  </w:style>
  <w:style w:type="paragraph" w:customStyle="1" w:styleId="ECHRConfidential">
    <w:name w:val="ECHR_Confidential"/>
    <w:aliases w:val="_Confidential"/>
    <w:basedOn w:val="Normal"/>
    <w:next w:val="Normal"/>
    <w:uiPriority w:val="42"/>
    <w:semiHidden/>
    <w:qFormat/>
    <w:rsid w:val="00F83F85"/>
    <w:pPr>
      <w:jc w:val="right"/>
    </w:pPr>
    <w:rPr>
      <w:color w:val="C00000"/>
      <w:sz w:val="20"/>
    </w:rPr>
  </w:style>
  <w:style w:type="paragraph" w:customStyle="1" w:styleId="ECHRDivisionName">
    <w:name w:val="ECHR_DivisionName"/>
    <w:aliases w:val="_Div_Name"/>
    <w:basedOn w:val="Normal"/>
    <w:link w:val="ECHRDivisionNameChar"/>
    <w:uiPriority w:val="41"/>
    <w:semiHidden/>
    <w:qFormat/>
    <w:rsid w:val="00F83F85"/>
    <w:pPr>
      <w:contextualSpacing/>
      <w:jc w:val="center"/>
    </w:pPr>
    <w:rPr>
      <w:rFonts w:ascii="Arial" w:hAnsi="Arial"/>
      <w:i/>
      <w:color w:val="002856"/>
      <w:sz w:val="32"/>
    </w:rPr>
  </w:style>
  <w:style w:type="paragraph" w:customStyle="1" w:styleId="JuHHead">
    <w:name w:val="Ju_H_Head"/>
    <w:aliases w:val="_Head_1"/>
    <w:basedOn w:val="Heading1"/>
    <w:next w:val="JuPara"/>
    <w:uiPriority w:val="17"/>
    <w:qFormat/>
    <w:rsid w:val="00F83F85"/>
    <w:pPr>
      <w:keepNext/>
      <w:keepLines/>
      <w:numPr>
        <w:numId w:val="29"/>
      </w:numPr>
      <w:spacing w:before="100" w:beforeAutospacing="1" w:after="240"/>
      <w:contextualSpacing w:val="0"/>
      <w:jc w:val="both"/>
    </w:pPr>
    <w:rPr>
      <w:b w:val="0"/>
      <w:caps/>
      <w:color w:val="auto"/>
    </w:rPr>
  </w:style>
  <w:style w:type="paragraph" w:customStyle="1" w:styleId="JuInitialled">
    <w:name w:val="Ju_Initialled"/>
    <w:aliases w:val="_Right"/>
    <w:basedOn w:val="Normal"/>
    <w:uiPriority w:val="30"/>
    <w:qFormat/>
    <w:rsid w:val="00F83F85"/>
    <w:pPr>
      <w:tabs>
        <w:tab w:val="center" w:pos="6407"/>
      </w:tabs>
      <w:spacing w:before="720"/>
      <w:jc w:val="right"/>
    </w:pPr>
  </w:style>
  <w:style w:type="paragraph" w:customStyle="1" w:styleId="JuSigned">
    <w:name w:val="Ju_Signed"/>
    <w:aliases w:val="_Signature"/>
    <w:basedOn w:val="Normal"/>
    <w:next w:val="JuPara"/>
    <w:uiPriority w:val="31"/>
    <w:qFormat/>
    <w:rsid w:val="00F83F85"/>
    <w:pPr>
      <w:tabs>
        <w:tab w:val="center" w:pos="851"/>
        <w:tab w:val="center" w:pos="6407"/>
      </w:tabs>
      <w:spacing w:before="720"/>
    </w:pPr>
  </w:style>
  <w:style w:type="paragraph" w:styleId="Title">
    <w:name w:val="Title"/>
    <w:basedOn w:val="Normal"/>
    <w:next w:val="Normal"/>
    <w:link w:val="TitleChar"/>
    <w:uiPriority w:val="98"/>
    <w:qFormat/>
    <w:rsid w:val="00F83F85"/>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rsid w:val="00F83F85"/>
    <w:rPr>
      <w:rFonts w:asciiTheme="majorHAnsi" w:eastAsiaTheme="majorEastAsia" w:hAnsiTheme="majorHAnsi" w:cstheme="majorBidi"/>
      <w:spacing w:val="5"/>
      <w:sz w:val="52"/>
      <w:szCs w:val="52"/>
      <w:lang w:val="lv-LV" w:bidi="en-US"/>
    </w:rPr>
  </w:style>
  <w:style w:type="character" w:customStyle="1" w:styleId="ECHRDivisionNameChar">
    <w:name w:val="ECHR_DivisionName Char"/>
    <w:aliases w:val="_Div_Name Char"/>
    <w:basedOn w:val="DefaultParagraphFont"/>
    <w:link w:val="ECHRDivisionName"/>
    <w:uiPriority w:val="41"/>
    <w:semiHidden/>
    <w:rsid w:val="00F83F85"/>
    <w:rPr>
      <w:rFonts w:ascii="Arial" w:hAnsi="Arial"/>
      <w:i/>
      <w:color w:val="002856"/>
      <w:sz w:val="32"/>
      <w:szCs w:val="24"/>
      <w:lang w:val="lv-LV"/>
    </w:rPr>
  </w:style>
  <w:style w:type="character" w:customStyle="1" w:styleId="JUNAMES">
    <w:name w:val="JU_NAMES"/>
    <w:aliases w:val="_Ju_Names"/>
    <w:uiPriority w:val="33"/>
    <w:qFormat/>
    <w:rsid w:val="00F83F85"/>
    <w:rPr>
      <w:caps w:val="0"/>
      <w:smallCaps/>
    </w:rPr>
  </w:style>
  <w:style w:type="character" w:customStyle="1" w:styleId="JuITMark">
    <w:name w:val="Ju_ITMark"/>
    <w:aliases w:val="_ITMark"/>
    <w:basedOn w:val="DefaultParagraphFont"/>
    <w:uiPriority w:val="54"/>
    <w:qFormat/>
    <w:rsid w:val="00F83F85"/>
    <w:rPr>
      <w:vanish w:val="0"/>
      <w:color w:val="auto"/>
      <w:sz w:val="14"/>
      <w:bdr w:val="none" w:sz="0" w:space="0" w:color="auto"/>
      <w:shd w:val="clear" w:color="auto" w:fill="BEE5FF" w:themeFill="background1" w:themeFillTint="33"/>
    </w:rPr>
  </w:style>
  <w:style w:type="paragraph" w:customStyle="1" w:styleId="DummyStyle">
    <w:name w:val="Dummy_Style"/>
    <w:aliases w:val="_Dummy"/>
    <w:basedOn w:val="Normal"/>
    <w:semiHidden/>
    <w:qFormat/>
    <w:rsid w:val="00F83F85"/>
    <w:rPr>
      <w:color w:val="00B050"/>
      <w:sz w:val="22"/>
    </w:rPr>
  </w:style>
  <w:style w:type="paragraph" w:customStyle="1" w:styleId="JuCourt">
    <w:name w:val="Ju_Court"/>
    <w:aliases w:val="_Court_Names"/>
    <w:basedOn w:val="Normal"/>
    <w:next w:val="Normal"/>
    <w:uiPriority w:val="32"/>
    <w:qFormat/>
    <w:rsid w:val="00F83F85"/>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F83F85"/>
    <w:pPr>
      <w:keepNext/>
      <w:keepLines/>
      <w:numPr>
        <w:ilvl w:val="1"/>
        <w:numId w:val="29"/>
      </w:numPr>
      <w:tabs>
        <w:tab w:val="left" w:pos="454"/>
        <w:tab w:val="left" w:pos="567"/>
        <w:tab w:val="left" w:pos="680"/>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F83F85"/>
    <w:pPr>
      <w:keepNext/>
      <w:keepLines/>
      <w:numPr>
        <w:ilvl w:val="2"/>
        <w:numId w:val="29"/>
      </w:numPr>
      <w:spacing w:before="100" w:beforeAutospacing="1" w:after="240" w:line="240" w:lineRule="auto"/>
      <w:jc w:val="both"/>
    </w:pPr>
    <w:rPr>
      <w:color w:val="auto"/>
      <w:sz w:val="24"/>
    </w:rPr>
  </w:style>
  <w:style w:type="paragraph" w:customStyle="1" w:styleId="JuH1">
    <w:name w:val="Ju_H_1."/>
    <w:aliases w:val="_Head_4"/>
    <w:basedOn w:val="Heading4"/>
    <w:next w:val="JuPara"/>
    <w:link w:val="JuH1Char"/>
    <w:uiPriority w:val="17"/>
    <w:rsid w:val="00F83F85"/>
    <w:pPr>
      <w:keepNext/>
      <w:keepLines/>
      <w:numPr>
        <w:ilvl w:val="3"/>
        <w:numId w:val="29"/>
      </w:numPr>
      <w:spacing w:before="100" w:beforeAutospacing="1" w:after="120"/>
      <w:jc w:val="both"/>
    </w:pPr>
    <w:rPr>
      <w:b w:val="0"/>
      <w:color w:val="auto"/>
      <w:sz w:val="24"/>
    </w:rPr>
  </w:style>
  <w:style w:type="paragraph" w:styleId="Header">
    <w:name w:val="header"/>
    <w:basedOn w:val="Normal"/>
    <w:link w:val="HeaderChar"/>
    <w:rsid w:val="00F83F85"/>
    <w:pPr>
      <w:tabs>
        <w:tab w:val="center" w:pos="4536"/>
        <w:tab w:val="right" w:pos="9072"/>
      </w:tabs>
    </w:pPr>
  </w:style>
  <w:style w:type="character" w:customStyle="1" w:styleId="HeaderChar">
    <w:name w:val="Header Char"/>
    <w:basedOn w:val="DefaultParagraphFont"/>
    <w:link w:val="Header"/>
    <w:rsid w:val="00F83F85"/>
    <w:rPr>
      <w:sz w:val="24"/>
      <w:szCs w:val="24"/>
      <w:lang w:val="lv-LV"/>
    </w:rPr>
  </w:style>
  <w:style w:type="character" w:customStyle="1" w:styleId="Heading1Char">
    <w:name w:val="Heading 1 Char"/>
    <w:basedOn w:val="DefaultParagraphFont"/>
    <w:link w:val="Heading1"/>
    <w:uiPriority w:val="98"/>
    <w:rsid w:val="00F83F85"/>
    <w:rPr>
      <w:rFonts w:asciiTheme="majorHAnsi" w:eastAsiaTheme="majorEastAsia" w:hAnsiTheme="majorHAnsi" w:cstheme="majorBidi"/>
      <w:b/>
      <w:bCs/>
      <w:color w:val="333333"/>
      <w:sz w:val="28"/>
      <w:szCs w:val="28"/>
      <w:lang w:val="lv-LV"/>
    </w:rPr>
  </w:style>
  <w:style w:type="paragraph" w:customStyle="1" w:styleId="JuHa0">
    <w:name w:val="Ju_H_a"/>
    <w:aliases w:val="_Head_5"/>
    <w:basedOn w:val="Heading5"/>
    <w:next w:val="JuPara"/>
    <w:uiPriority w:val="17"/>
    <w:rsid w:val="00F83F85"/>
    <w:pPr>
      <w:keepNext/>
      <w:keepLines/>
      <w:numPr>
        <w:ilvl w:val="4"/>
        <w:numId w:val="29"/>
      </w:numPr>
      <w:spacing w:before="100" w:beforeAutospacing="1" w:after="120"/>
      <w:jc w:val="both"/>
    </w:pPr>
    <w:rPr>
      <w:color w:val="auto"/>
      <w:sz w:val="20"/>
    </w:rPr>
  </w:style>
  <w:style w:type="paragraph" w:customStyle="1" w:styleId="JuHi">
    <w:name w:val="Ju_H_i"/>
    <w:aliases w:val="_Head_6"/>
    <w:basedOn w:val="Heading6"/>
    <w:next w:val="JuPara"/>
    <w:uiPriority w:val="17"/>
    <w:rsid w:val="00F83F85"/>
    <w:pPr>
      <w:keepNext/>
      <w:keepLines/>
      <w:numPr>
        <w:ilvl w:val="5"/>
        <w:numId w:val="29"/>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F83F85"/>
    <w:rPr>
      <w:rFonts w:asciiTheme="majorHAnsi" w:eastAsiaTheme="majorEastAsia" w:hAnsiTheme="majorHAnsi" w:cstheme="majorBidi"/>
      <w:b/>
      <w:bCs/>
      <w:color w:val="4D4D4D"/>
      <w:sz w:val="26"/>
      <w:szCs w:val="26"/>
      <w:lang w:val="lv-LV"/>
    </w:rPr>
  </w:style>
  <w:style w:type="paragraph" w:customStyle="1" w:styleId="JuHalpha">
    <w:name w:val="Ju_H_alpha"/>
    <w:aliases w:val="_Head_7"/>
    <w:basedOn w:val="Heading7"/>
    <w:next w:val="JuPara"/>
    <w:uiPriority w:val="17"/>
    <w:rsid w:val="00F83F85"/>
    <w:pPr>
      <w:keepNext/>
      <w:keepLines/>
      <w:numPr>
        <w:ilvl w:val="6"/>
        <w:numId w:val="29"/>
      </w:numPr>
      <w:tabs>
        <w:tab w:val="left" w:pos="1361"/>
      </w:tabs>
      <w:spacing w:before="100" w:beforeAutospacing="1" w:after="120"/>
      <w:ind w:left="1247"/>
      <w:jc w:val="both"/>
    </w:pPr>
    <w:rPr>
      <w:i w:val="0"/>
      <w:sz w:val="20"/>
    </w:rPr>
  </w:style>
  <w:style w:type="paragraph" w:customStyle="1" w:styleId="JuH">
    <w:name w:val="Ju_H_–"/>
    <w:aliases w:val="_Head_8"/>
    <w:basedOn w:val="Heading8"/>
    <w:next w:val="JuPara"/>
    <w:uiPriority w:val="17"/>
    <w:rsid w:val="00F83F85"/>
    <w:pPr>
      <w:keepNext/>
      <w:keepLines/>
      <w:numPr>
        <w:ilvl w:val="7"/>
        <w:numId w:val="29"/>
      </w:numPr>
      <w:spacing w:before="100" w:beforeAutospacing="1" w:after="120"/>
      <w:jc w:val="both"/>
    </w:pPr>
    <w:rPr>
      <w:i/>
    </w:rPr>
  </w:style>
  <w:style w:type="character" w:customStyle="1" w:styleId="Heading3Char">
    <w:name w:val="Heading 3 Char"/>
    <w:basedOn w:val="DefaultParagraphFont"/>
    <w:link w:val="Heading3"/>
    <w:uiPriority w:val="98"/>
    <w:semiHidden/>
    <w:rsid w:val="00F83F85"/>
    <w:rPr>
      <w:rFonts w:asciiTheme="majorHAnsi" w:eastAsiaTheme="majorEastAsia" w:hAnsiTheme="majorHAnsi" w:cstheme="majorBidi"/>
      <w:b/>
      <w:bCs/>
      <w:color w:val="5F5F5F"/>
      <w:lang w:val="lv-LV"/>
    </w:rPr>
  </w:style>
  <w:style w:type="paragraph" w:customStyle="1" w:styleId="JuParaLast">
    <w:name w:val="Ju_Para_Last"/>
    <w:aliases w:val="_Para_Spaced"/>
    <w:basedOn w:val="NormalJustified"/>
    <w:uiPriority w:val="5"/>
    <w:qFormat/>
    <w:rsid w:val="00F83F85"/>
    <w:pPr>
      <w:keepNext/>
      <w:keepLines/>
      <w:spacing w:before="240" w:after="240"/>
      <w:ind w:firstLine="284"/>
    </w:pPr>
  </w:style>
  <w:style w:type="paragraph" w:customStyle="1" w:styleId="ECHRDecisionBody">
    <w:name w:val="ECHR_Decision_Body"/>
    <w:aliases w:val="_Decision_Body"/>
    <w:basedOn w:val="NormalJustified"/>
    <w:uiPriority w:val="54"/>
    <w:rsid w:val="00F83F85"/>
    <w:pPr>
      <w:tabs>
        <w:tab w:val="left" w:pos="567"/>
        <w:tab w:val="left" w:pos="1134"/>
      </w:tabs>
      <w:spacing w:line="240" w:lineRule="exact"/>
      <w:jc w:val="left"/>
    </w:pPr>
  </w:style>
  <w:style w:type="character" w:customStyle="1" w:styleId="Heading4Char">
    <w:name w:val="Heading 4 Char"/>
    <w:basedOn w:val="DefaultParagraphFont"/>
    <w:link w:val="Heading4"/>
    <w:uiPriority w:val="98"/>
    <w:semiHidden/>
    <w:rsid w:val="00F83F85"/>
    <w:rPr>
      <w:rFonts w:asciiTheme="majorHAnsi" w:eastAsiaTheme="majorEastAsia" w:hAnsiTheme="majorHAnsi" w:cstheme="majorBidi"/>
      <w:b/>
      <w:bCs/>
      <w:i/>
      <w:iCs/>
      <w:color w:val="777777"/>
      <w:lang w:val="lv-LV"/>
    </w:rPr>
  </w:style>
  <w:style w:type="paragraph" w:customStyle="1" w:styleId="JuList">
    <w:name w:val="Ju_List"/>
    <w:aliases w:val="_List_1"/>
    <w:basedOn w:val="NormalJustified"/>
    <w:uiPriority w:val="23"/>
    <w:qFormat/>
    <w:rsid w:val="00F83F85"/>
    <w:pPr>
      <w:numPr>
        <w:numId w:val="34"/>
      </w:numPr>
      <w:spacing w:before="280" w:after="60"/>
    </w:pPr>
  </w:style>
  <w:style w:type="character" w:customStyle="1" w:styleId="Heading5Char">
    <w:name w:val="Heading 5 Char"/>
    <w:basedOn w:val="DefaultParagraphFont"/>
    <w:link w:val="Heading5"/>
    <w:uiPriority w:val="98"/>
    <w:semiHidden/>
    <w:rsid w:val="00F83F85"/>
    <w:rPr>
      <w:rFonts w:asciiTheme="majorHAnsi" w:eastAsiaTheme="majorEastAsia" w:hAnsiTheme="majorHAnsi" w:cstheme="majorBidi"/>
      <w:b/>
      <w:bCs/>
      <w:color w:val="808080"/>
      <w:lang w:val="lv-LV"/>
    </w:rPr>
  </w:style>
  <w:style w:type="paragraph" w:customStyle="1" w:styleId="JuLista">
    <w:name w:val="Ju_List_a"/>
    <w:aliases w:val="_List_2"/>
    <w:basedOn w:val="NormalJustified"/>
    <w:uiPriority w:val="23"/>
    <w:rsid w:val="00F83F85"/>
    <w:pPr>
      <w:numPr>
        <w:ilvl w:val="1"/>
        <w:numId w:val="34"/>
      </w:numPr>
    </w:pPr>
  </w:style>
  <w:style w:type="paragraph" w:customStyle="1" w:styleId="JuListi">
    <w:name w:val="Ju_List_i"/>
    <w:aliases w:val="_List_3"/>
    <w:basedOn w:val="NormalJustified"/>
    <w:uiPriority w:val="23"/>
    <w:rsid w:val="00F83F85"/>
    <w:pPr>
      <w:numPr>
        <w:ilvl w:val="2"/>
        <w:numId w:val="34"/>
      </w:numPr>
    </w:pPr>
  </w:style>
  <w:style w:type="character" w:styleId="SubtleEmphasis">
    <w:name w:val="Subtle Emphasis"/>
    <w:uiPriority w:val="98"/>
    <w:qFormat/>
    <w:rsid w:val="00F83F85"/>
    <w:rPr>
      <w:i/>
      <w:iCs/>
    </w:rPr>
  </w:style>
  <w:style w:type="paragraph" w:customStyle="1" w:styleId="ECHRFooterLineLandscape">
    <w:name w:val="ECHR_Footer_Line_Landscape"/>
    <w:aliases w:val="_Footer_Line_Landscape"/>
    <w:basedOn w:val="Normal"/>
    <w:uiPriority w:val="30"/>
    <w:semiHidden/>
    <w:rsid w:val="00F83F85"/>
    <w:pPr>
      <w:pBdr>
        <w:top w:val="single" w:sz="8" w:space="1" w:color="7F7F7F" w:themeColor="text1" w:themeTint="80"/>
      </w:pBdr>
      <w:tabs>
        <w:tab w:val="center" w:pos="6146"/>
        <w:tab w:val="right" w:pos="12293"/>
      </w:tabs>
      <w:ind w:left="-1474" w:right="-1474"/>
    </w:pPr>
    <w:rPr>
      <w:color w:val="474747" w:themeColor="accent3" w:themeShade="BF"/>
      <w:sz w:val="22"/>
    </w:rPr>
  </w:style>
  <w:style w:type="table" w:customStyle="1" w:styleId="ECHRTable">
    <w:name w:val="ECHR_Table"/>
    <w:basedOn w:val="TableNormal"/>
    <w:rsid w:val="00F83F85"/>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F83F85"/>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ParaHanging">
    <w:name w:val="ECHR_Para_Hanging"/>
    <w:aliases w:val="_Hanging"/>
    <w:basedOn w:val="Normal"/>
    <w:uiPriority w:val="8"/>
    <w:semiHidden/>
    <w:qFormat/>
    <w:rsid w:val="00F83F85"/>
    <w:pPr>
      <w:ind w:left="567" w:hanging="567"/>
      <w:jc w:val="both"/>
    </w:pPr>
  </w:style>
  <w:style w:type="paragraph" w:customStyle="1" w:styleId="ECHRHeading9">
    <w:name w:val="ECHR_Heading_9"/>
    <w:aliases w:val="_Head_9"/>
    <w:basedOn w:val="Heading9"/>
    <w:uiPriority w:val="17"/>
    <w:semiHidden/>
    <w:rsid w:val="00F83F85"/>
    <w:pPr>
      <w:keepNext/>
      <w:keepLines/>
      <w:numPr>
        <w:ilvl w:val="8"/>
        <w:numId w:val="29"/>
      </w:numPr>
      <w:spacing w:before="100" w:beforeAutospacing="1"/>
      <w:contextualSpacing/>
      <w:jc w:val="both"/>
    </w:pPr>
    <w:rPr>
      <w:i w:val="0"/>
      <w:sz w:val="18"/>
    </w:rPr>
  </w:style>
  <w:style w:type="paragraph" w:customStyle="1" w:styleId="ECHRHeaderLandscape">
    <w:name w:val="ECHR_Header_Landscape"/>
    <w:aliases w:val="_Header_Landscape"/>
    <w:basedOn w:val="JuHeader"/>
    <w:uiPriority w:val="29"/>
    <w:rsid w:val="00F83F85"/>
    <w:pPr>
      <w:tabs>
        <w:tab w:val="center" w:pos="6146"/>
        <w:tab w:val="right" w:pos="13778"/>
      </w:tabs>
      <w:ind w:left="-1474" w:right="-1474"/>
    </w:pPr>
  </w:style>
  <w:style w:type="character" w:styleId="Emphasis">
    <w:name w:val="Emphasis"/>
    <w:uiPriority w:val="98"/>
    <w:qFormat/>
    <w:rsid w:val="00F83F85"/>
    <w:rPr>
      <w:b/>
      <w:bCs/>
      <w:i/>
      <w:iCs/>
      <w:spacing w:val="10"/>
      <w:bdr w:val="none" w:sz="0" w:space="0" w:color="auto"/>
      <w:shd w:val="clear" w:color="auto" w:fill="auto"/>
    </w:rPr>
  </w:style>
  <w:style w:type="paragraph" w:styleId="Footer">
    <w:name w:val="footer"/>
    <w:basedOn w:val="Normal"/>
    <w:link w:val="FooterChar"/>
    <w:uiPriority w:val="98"/>
    <w:semiHidden/>
    <w:rsid w:val="00F83F85"/>
    <w:pPr>
      <w:tabs>
        <w:tab w:val="center" w:pos="3686"/>
        <w:tab w:val="right" w:pos="7371"/>
      </w:tabs>
    </w:pPr>
  </w:style>
  <w:style w:type="character" w:customStyle="1" w:styleId="FooterChar">
    <w:name w:val="Footer Char"/>
    <w:basedOn w:val="DefaultParagraphFont"/>
    <w:link w:val="Footer"/>
    <w:uiPriority w:val="98"/>
    <w:semiHidden/>
    <w:rsid w:val="00F83F85"/>
    <w:rPr>
      <w:sz w:val="24"/>
      <w:szCs w:val="24"/>
      <w:lang w:val="lv-LV"/>
    </w:rPr>
  </w:style>
  <w:style w:type="character" w:styleId="FootnoteReference">
    <w:name w:val="footnote reference"/>
    <w:basedOn w:val="DefaultParagraphFont"/>
    <w:uiPriority w:val="98"/>
    <w:semiHidden/>
    <w:rsid w:val="00F83F85"/>
    <w:rPr>
      <w:vertAlign w:val="superscript"/>
    </w:rPr>
  </w:style>
  <w:style w:type="paragraph" w:styleId="FootnoteText">
    <w:name w:val="footnote text"/>
    <w:basedOn w:val="Normal"/>
    <w:link w:val="FootnoteTextChar"/>
    <w:uiPriority w:val="98"/>
    <w:semiHidden/>
    <w:rsid w:val="00F83F85"/>
    <w:rPr>
      <w:sz w:val="20"/>
      <w:szCs w:val="20"/>
    </w:rPr>
  </w:style>
  <w:style w:type="character" w:customStyle="1" w:styleId="FootnoteTextChar">
    <w:name w:val="Footnote Text Char"/>
    <w:basedOn w:val="DefaultParagraphFont"/>
    <w:link w:val="FootnoteText"/>
    <w:uiPriority w:val="98"/>
    <w:semiHidden/>
    <w:rsid w:val="00F83F85"/>
    <w:rPr>
      <w:sz w:val="20"/>
      <w:szCs w:val="20"/>
      <w:lang w:val="lv-LV"/>
    </w:rPr>
  </w:style>
  <w:style w:type="character" w:customStyle="1" w:styleId="Heading6Char">
    <w:name w:val="Heading 6 Char"/>
    <w:basedOn w:val="DefaultParagraphFont"/>
    <w:link w:val="Heading6"/>
    <w:uiPriority w:val="98"/>
    <w:semiHidden/>
    <w:rsid w:val="00F83F85"/>
    <w:rPr>
      <w:rFonts w:asciiTheme="majorHAnsi" w:eastAsiaTheme="majorEastAsia" w:hAnsiTheme="majorHAnsi" w:cstheme="majorBidi"/>
      <w:b/>
      <w:bCs/>
      <w:i/>
      <w:iCs/>
      <w:color w:val="7F7F7F" w:themeColor="text1" w:themeTint="80"/>
      <w:lang w:val="lv-LV" w:bidi="en-US"/>
    </w:rPr>
  </w:style>
  <w:style w:type="character" w:customStyle="1" w:styleId="Heading7Char">
    <w:name w:val="Heading 7 Char"/>
    <w:basedOn w:val="DefaultParagraphFont"/>
    <w:link w:val="Heading7"/>
    <w:uiPriority w:val="98"/>
    <w:semiHidden/>
    <w:rsid w:val="00F83F85"/>
    <w:rPr>
      <w:rFonts w:asciiTheme="majorHAnsi" w:eastAsiaTheme="majorEastAsia" w:hAnsiTheme="majorHAnsi" w:cstheme="majorBidi"/>
      <w:i/>
      <w:iCs/>
      <w:lang w:val="lv-LV" w:bidi="en-US"/>
    </w:rPr>
  </w:style>
  <w:style w:type="character" w:customStyle="1" w:styleId="Heading8Char">
    <w:name w:val="Heading 8 Char"/>
    <w:basedOn w:val="DefaultParagraphFont"/>
    <w:link w:val="Heading8"/>
    <w:uiPriority w:val="98"/>
    <w:semiHidden/>
    <w:rsid w:val="00F83F85"/>
    <w:rPr>
      <w:rFonts w:asciiTheme="majorHAnsi" w:eastAsiaTheme="majorEastAsia" w:hAnsiTheme="majorHAnsi" w:cstheme="majorBidi"/>
      <w:sz w:val="20"/>
      <w:szCs w:val="20"/>
      <w:lang w:val="lv-LV" w:bidi="en-US"/>
    </w:rPr>
  </w:style>
  <w:style w:type="character" w:customStyle="1" w:styleId="Heading9Char">
    <w:name w:val="Heading 9 Char"/>
    <w:basedOn w:val="DefaultParagraphFont"/>
    <w:link w:val="Heading9"/>
    <w:uiPriority w:val="98"/>
    <w:semiHidden/>
    <w:rsid w:val="00F83F85"/>
    <w:rPr>
      <w:rFonts w:asciiTheme="majorHAnsi" w:eastAsiaTheme="majorEastAsia" w:hAnsiTheme="majorHAnsi" w:cstheme="majorBidi"/>
      <w:i/>
      <w:iCs/>
      <w:spacing w:val="5"/>
      <w:sz w:val="20"/>
      <w:szCs w:val="20"/>
      <w:lang w:val="lv-LV" w:bidi="en-US"/>
    </w:rPr>
  </w:style>
  <w:style w:type="character" w:styleId="Hyperlink">
    <w:name w:val="Hyperlink"/>
    <w:basedOn w:val="DefaultParagraphFont"/>
    <w:uiPriority w:val="98"/>
    <w:semiHidden/>
    <w:rsid w:val="00F83F85"/>
    <w:rPr>
      <w:color w:val="0072BC" w:themeColor="hyperlink"/>
      <w:u w:val="single"/>
    </w:rPr>
  </w:style>
  <w:style w:type="character" w:styleId="IntenseEmphasis">
    <w:name w:val="Intense Emphasis"/>
    <w:uiPriority w:val="98"/>
    <w:qFormat/>
    <w:rsid w:val="00F83F85"/>
    <w:rPr>
      <w:b/>
      <w:bCs/>
    </w:rPr>
  </w:style>
  <w:style w:type="paragraph" w:styleId="IntenseQuote">
    <w:name w:val="Intense Quote"/>
    <w:basedOn w:val="Normal"/>
    <w:next w:val="Normal"/>
    <w:link w:val="IntenseQuoteChar"/>
    <w:uiPriority w:val="98"/>
    <w:qFormat/>
    <w:rsid w:val="00F83F85"/>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rsid w:val="00F83F85"/>
    <w:rPr>
      <w:b/>
      <w:bCs/>
      <w:i/>
      <w:iCs/>
      <w:sz w:val="24"/>
      <w:szCs w:val="24"/>
      <w:lang w:val="lv-LV" w:bidi="en-US"/>
    </w:rPr>
  </w:style>
  <w:style w:type="character" w:styleId="IntenseReference">
    <w:name w:val="Intense Reference"/>
    <w:uiPriority w:val="98"/>
    <w:qFormat/>
    <w:rsid w:val="00F83F85"/>
    <w:rPr>
      <w:smallCaps/>
      <w:spacing w:val="5"/>
      <w:u w:val="single"/>
    </w:rPr>
  </w:style>
  <w:style w:type="paragraph" w:styleId="ListParagraph">
    <w:name w:val="List Paragraph"/>
    <w:basedOn w:val="Normal"/>
    <w:uiPriority w:val="98"/>
    <w:qFormat/>
    <w:rsid w:val="00F83F85"/>
    <w:pPr>
      <w:ind w:left="720"/>
      <w:contextualSpacing/>
    </w:pPr>
  </w:style>
  <w:style w:type="table" w:customStyle="1" w:styleId="LtrTableAddress">
    <w:name w:val="Ltr_Table_Address"/>
    <w:aliases w:val="ECHR_Ltr_Table_Address"/>
    <w:basedOn w:val="TableNormal"/>
    <w:uiPriority w:val="99"/>
    <w:rsid w:val="00F83F85"/>
    <w:rPr>
      <w:sz w:val="24"/>
      <w:szCs w:val="24"/>
    </w:rPr>
    <w:tblPr>
      <w:tblInd w:w="5103" w:type="dxa"/>
    </w:tblPr>
  </w:style>
  <w:style w:type="paragraph" w:styleId="Quote">
    <w:name w:val="Quote"/>
    <w:basedOn w:val="Normal"/>
    <w:next w:val="Normal"/>
    <w:link w:val="QuoteChar"/>
    <w:uiPriority w:val="98"/>
    <w:qFormat/>
    <w:rsid w:val="00F83F85"/>
    <w:pPr>
      <w:spacing w:before="200"/>
      <w:ind w:left="360" w:right="360"/>
    </w:pPr>
    <w:rPr>
      <w:i/>
      <w:iCs/>
      <w:lang w:bidi="en-US"/>
    </w:rPr>
  </w:style>
  <w:style w:type="character" w:customStyle="1" w:styleId="QuoteChar">
    <w:name w:val="Quote Char"/>
    <w:basedOn w:val="DefaultParagraphFont"/>
    <w:link w:val="Quote"/>
    <w:uiPriority w:val="98"/>
    <w:rsid w:val="00F83F85"/>
    <w:rPr>
      <w:i/>
      <w:iCs/>
      <w:sz w:val="24"/>
      <w:szCs w:val="24"/>
      <w:lang w:val="lv-LV" w:bidi="en-US"/>
    </w:rPr>
  </w:style>
  <w:style w:type="character" w:styleId="SubtleReference">
    <w:name w:val="Subtle Reference"/>
    <w:uiPriority w:val="98"/>
    <w:qFormat/>
    <w:rsid w:val="00F83F85"/>
    <w:rPr>
      <w:smallCaps/>
    </w:rPr>
  </w:style>
  <w:style w:type="table" w:styleId="TableGrid">
    <w:name w:val="Table Grid"/>
    <w:basedOn w:val="TableNormal"/>
    <w:uiPriority w:val="59"/>
    <w:rsid w:val="00F83F85"/>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F83F85"/>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F83F85"/>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F83F85"/>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F83F85"/>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F83F85"/>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F83F85"/>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F83F85"/>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F83F85"/>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F83F85"/>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F83F85"/>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F83F85"/>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F83F85"/>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F83F85"/>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qFormat/>
    <w:rsid w:val="00F83F85"/>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rsid w:val="00F83F85"/>
    <w:rPr>
      <w:rFonts w:asciiTheme="majorHAnsi" w:eastAsiaTheme="majorEastAsia" w:hAnsiTheme="majorHAnsi" w:cstheme="majorBidi"/>
      <w:i/>
      <w:iCs/>
      <w:spacing w:val="13"/>
      <w:sz w:val="24"/>
      <w:szCs w:val="24"/>
      <w:lang w:val="lv-LV" w:bidi="en-US"/>
    </w:rPr>
  </w:style>
  <w:style w:type="numbering" w:styleId="111111">
    <w:name w:val="Outline List 2"/>
    <w:basedOn w:val="NoList"/>
    <w:uiPriority w:val="99"/>
    <w:semiHidden/>
    <w:unhideWhenUsed/>
    <w:rsid w:val="00F83F85"/>
    <w:pPr>
      <w:numPr>
        <w:numId w:val="30"/>
      </w:numPr>
    </w:pPr>
  </w:style>
  <w:style w:type="paragraph" w:customStyle="1" w:styleId="JuPara">
    <w:name w:val="Ju_Para"/>
    <w:aliases w:val="_Para"/>
    <w:basedOn w:val="NormalJustified"/>
    <w:link w:val="JuParaChar"/>
    <w:uiPriority w:val="4"/>
    <w:qFormat/>
    <w:rsid w:val="00F83F85"/>
    <w:pPr>
      <w:ind w:firstLine="284"/>
    </w:pPr>
  </w:style>
  <w:style w:type="numbering" w:styleId="1ai">
    <w:name w:val="Outline List 1"/>
    <w:basedOn w:val="NoList"/>
    <w:uiPriority w:val="99"/>
    <w:semiHidden/>
    <w:unhideWhenUsed/>
    <w:rsid w:val="00F83F85"/>
    <w:pPr>
      <w:numPr>
        <w:numId w:val="31"/>
      </w:numPr>
    </w:pPr>
  </w:style>
  <w:style w:type="table" w:customStyle="1" w:styleId="ECHRTableSimpleBox">
    <w:name w:val="ECHR_Table_Simple_Box"/>
    <w:basedOn w:val="TableNormal"/>
    <w:uiPriority w:val="99"/>
    <w:rsid w:val="00F83F85"/>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F83F85"/>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F83F85"/>
    <w:pPr>
      <w:numPr>
        <w:numId w:val="32"/>
      </w:numPr>
    </w:pPr>
  </w:style>
  <w:style w:type="table" w:customStyle="1" w:styleId="ECHRTableForInternalUse">
    <w:name w:val="ECHR_Table_For_Internal_Use"/>
    <w:basedOn w:val="TableNormal"/>
    <w:uiPriority w:val="99"/>
    <w:rsid w:val="00F83F85"/>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F83F85"/>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F83F85"/>
  </w:style>
  <w:style w:type="paragraph" w:styleId="BlockText">
    <w:name w:val="Block Text"/>
    <w:basedOn w:val="Normal"/>
    <w:uiPriority w:val="98"/>
    <w:semiHidden/>
    <w:rsid w:val="00F83F85"/>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F83F85"/>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F83F85"/>
    <w:pPr>
      <w:spacing w:after="120"/>
    </w:pPr>
  </w:style>
  <w:style w:type="character" w:customStyle="1" w:styleId="BodyTextChar">
    <w:name w:val="Body Text Char"/>
    <w:basedOn w:val="DefaultParagraphFont"/>
    <w:link w:val="BodyText"/>
    <w:uiPriority w:val="98"/>
    <w:semiHidden/>
    <w:rsid w:val="00F83F85"/>
    <w:rPr>
      <w:sz w:val="24"/>
      <w:szCs w:val="24"/>
      <w:lang w:val="lv-LV"/>
    </w:rPr>
  </w:style>
  <w:style w:type="table" w:customStyle="1" w:styleId="ECHRTableOddBanded">
    <w:name w:val="ECHR_Table_Odd_Banded"/>
    <w:basedOn w:val="TableNormal"/>
    <w:uiPriority w:val="99"/>
    <w:rsid w:val="00F83F85"/>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F83F85"/>
    <w:pPr>
      <w:spacing w:after="120" w:line="480" w:lineRule="auto"/>
    </w:pPr>
  </w:style>
  <w:style w:type="table" w:customStyle="1" w:styleId="ECHRHeaderTableReduced">
    <w:name w:val="ECHR_Header_Table_Reduced"/>
    <w:basedOn w:val="TableNormal"/>
    <w:uiPriority w:val="99"/>
    <w:rsid w:val="00F83F85"/>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
    <w:next w:val="JuPara"/>
    <w:uiPriority w:val="32"/>
    <w:rsid w:val="00F83F85"/>
    <w:pPr>
      <w:ind w:firstLine="284"/>
    </w:pPr>
    <w:rPr>
      <w:b/>
    </w:rPr>
  </w:style>
  <w:style w:type="character" w:styleId="PageNumber">
    <w:name w:val="page number"/>
    <w:uiPriority w:val="98"/>
    <w:semiHidden/>
    <w:rsid w:val="00F83F85"/>
    <w:rPr>
      <w:sz w:val="18"/>
    </w:rPr>
  </w:style>
  <w:style w:type="paragraph" w:styleId="ListBullet">
    <w:name w:val="List Bullet"/>
    <w:basedOn w:val="Normal"/>
    <w:uiPriority w:val="98"/>
    <w:semiHidden/>
    <w:rsid w:val="00F83F85"/>
    <w:pPr>
      <w:numPr>
        <w:numId w:val="36"/>
      </w:numPr>
    </w:pPr>
  </w:style>
  <w:style w:type="character" w:customStyle="1" w:styleId="BodyText2Char">
    <w:name w:val="Body Text 2 Char"/>
    <w:basedOn w:val="DefaultParagraphFont"/>
    <w:link w:val="BodyText2"/>
    <w:uiPriority w:val="98"/>
    <w:semiHidden/>
    <w:rsid w:val="00F83F85"/>
    <w:rPr>
      <w:sz w:val="24"/>
      <w:szCs w:val="24"/>
      <w:lang w:val="lv-LV"/>
    </w:rPr>
  </w:style>
  <w:style w:type="paragraph" w:styleId="BodyText3">
    <w:name w:val="Body Text 3"/>
    <w:basedOn w:val="Normal"/>
    <w:link w:val="BodyText3Char"/>
    <w:uiPriority w:val="98"/>
    <w:semiHidden/>
    <w:rsid w:val="00F83F85"/>
    <w:pPr>
      <w:spacing w:after="120"/>
    </w:pPr>
    <w:rPr>
      <w:sz w:val="16"/>
      <w:szCs w:val="16"/>
    </w:rPr>
  </w:style>
  <w:style w:type="character" w:customStyle="1" w:styleId="BodyText3Char">
    <w:name w:val="Body Text 3 Char"/>
    <w:basedOn w:val="DefaultParagraphFont"/>
    <w:link w:val="BodyText3"/>
    <w:uiPriority w:val="98"/>
    <w:semiHidden/>
    <w:rsid w:val="00F83F85"/>
    <w:rPr>
      <w:sz w:val="16"/>
      <w:szCs w:val="16"/>
      <w:lang w:val="lv-LV"/>
    </w:rPr>
  </w:style>
  <w:style w:type="paragraph" w:styleId="BodyTextFirstIndent">
    <w:name w:val="Body Text First Indent"/>
    <w:basedOn w:val="BodyText"/>
    <w:link w:val="BodyTextFirstIndentChar"/>
    <w:uiPriority w:val="98"/>
    <w:semiHidden/>
    <w:rsid w:val="00F83F85"/>
    <w:pPr>
      <w:spacing w:after="0"/>
      <w:ind w:firstLine="360"/>
    </w:pPr>
  </w:style>
  <w:style w:type="character" w:customStyle="1" w:styleId="BodyTextFirstIndentChar">
    <w:name w:val="Body Text First Indent Char"/>
    <w:basedOn w:val="BodyTextChar"/>
    <w:link w:val="BodyTextFirstIndent"/>
    <w:uiPriority w:val="98"/>
    <w:semiHidden/>
    <w:rsid w:val="00F83F85"/>
    <w:rPr>
      <w:sz w:val="24"/>
      <w:szCs w:val="24"/>
      <w:lang w:val="lv-LV"/>
    </w:rPr>
  </w:style>
  <w:style w:type="paragraph" w:styleId="BodyTextIndent">
    <w:name w:val="Body Text Indent"/>
    <w:basedOn w:val="Normal"/>
    <w:link w:val="BodyTextIndentChar"/>
    <w:uiPriority w:val="98"/>
    <w:semiHidden/>
    <w:rsid w:val="00F83F85"/>
    <w:pPr>
      <w:spacing w:after="120"/>
      <w:ind w:left="283"/>
    </w:pPr>
  </w:style>
  <w:style w:type="character" w:customStyle="1" w:styleId="BodyTextIndentChar">
    <w:name w:val="Body Text Indent Char"/>
    <w:basedOn w:val="DefaultParagraphFont"/>
    <w:link w:val="BodyTextIndent"/>
    <w:uiPriority w:val="98"/>
    <w:semiHidden/>
    <w:rsid w:val="00F83F85"/>
    <w:rPr>
      <w:sz w:val="24"/>
      <w:szCs w:val="24"/>
      <w:lang w:val="lv-LV"/>
    </w:rPr>
  </w:style>
  <w:style w:type="paragraph" w:styleId="BodyTextFirstIndent2">
    <w:name w:val="Body Text First Indent 2"/>
    <w:basedOn w:val="BodyTextIndent"/>
    <w:link w:val="BodyTextFirstIndent2Char"/>
    <w:uiPriority w:val="98"/>
    <w:semiHidden/>
    <w:rsid w:val="00F83F85"/>
    <w:pPr>
      <w:spacing w:after="0"/>
      <w:ind w:left="360" w:firstLine="360"/>
    </w:pPr>
  </w:style>
  <w:style w:type="character" w:customStyle="1" w:styleId="BodyTextFirstIndent2Char">
    <w:name w:val="Body Text First Indent 2 Char"/>
    <w:basedOn w:val="BodyTextIndentChar"/>
    <w:link w:val="BodyTextFirstIndent2"/>
    <w:uiPriority w:val="98"/>
    <w:semiHidden/>
    <w:rsid w:val="00F83F85"/>
    <w:rPr>
      <w:sz w:val="24"/>
      <w:szCs w:val="24"/>
      <w:lang w:val="lv-LV"/>
    </w:rPr>
  </w:style>
  <w:style w:type="paragraph" w:styleId="BodyTextIndent2">
    <w:name w:val="Body Text Indent 2"/>
    <w:basedOn w:val="Normal"/>
    <w:link w:val="BodyTextIndent2Char"/>
    <w:uiPriority w:val="98"/>
    <w:semiHidden/>
    <w:rsid w:val="00F83F85"/>
    <w:pPr>
      <w:spacing w:after="120" w:line="480" w:lineRule="auto"/>
      <w:ind w:left="283"/>
    </w:pPr>
  </w:style>
  <w:style w:type="character" w:customStyle="1" w:styleId="BodyTextIndent2Char">
    <w:name w:val="Body Text Indent 2 Char"/>
    <w:basedOn w:val="DefaultParagraphFont"/>
    <w:link w:val="BodyTextIndent2"/>
    <w:uiPriority w:val="98"/>
    <w:semiHidden/>
    <w:rsid w:val="00F83F85"/>
    <w:rPr>
      <w:sz w:val="24"/>
      <w:szCs w:val="24"/>
      <w:lang w:val="lv-LV"/>
    </w:rPr>
  </w:style>
  <w:style w:type="paragraph" w:styleId="BodyTextIndent3">
    <w:name w:val="Body Text Indent 3"/>
    <w:basedOn w:val="Normal"/>
    <w:link w:val="BodyTextIndent3Char"/>
    <w:uiPriority w:val="98"/>
    <w:semiHidden/>
    <w:rsid w:val="00F83F85"/>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F83F85"/>
    <w:rPr>
      <w:sz w:val="16"/>
      <w:szCs w:val="16"/>
      <w:lang w:val="lv-LV"/>
    </w:rPr>
  </w:style>
  <w:style w:type="paragraph" w:styleId="Caption">
    <w:name w:val="caption"/>
    <w:basedOn w:val="Normal"/>
    <w:next w:val="Normal"/>
    <w:uiPriority w:val="98"/>
    <w:semiHidden/>
    <w:qFormat/>
    <w:rsid w:val="00F83F85"/>
    <w:pPr>
      <w:spacing w:after="200"/>
    </w:pPr>
    <w:rPr>
      <w:b/>
      <w:bCs/>
      <w:color w:val="0072BC" w:themeColor="accent1"/>
      <w:sz w:val="18"/>
      <w:szCs w:val="18"/>
    </w:rPr>
  </w:style>
  <w:style w:type="paragraph" w:styleId="Closing">
    <w:name w:val="Closing"/>
    <w:basedOn w:val="Normal"/>
    <w:link w:val="ClosingChar"/>
    <w:uiPriority w:val="98"/>
    <w:semiHidden/>
    <w:rsid w:val="00F83F85"/>
    <w:pPr>
      <w:ind w:left="4252"/>
    </w:pPr>
  </w:style>
  <w:style w:type="character" w:customStyle="1" w:styleId="ClosingChar">
    <w:name w:val="Closing Char"/>
    <w:basedOn w:val="DefaultParagraphFont"/>
    <w:link w:val="Closing"/>
    <w:uiPriority w:val="98"/>
    <w:semiHidden/>
    <w:rsid w:val="00F83F85"/>
    <w:rPr>
      <w:sz w:val="24"/>
      <w:szCs w:val="24"/>
      <w:lang w:val="lv-LV"/>
    </w:rPr>
  </w:style>
  <w:style w:type="table" w:styleId="ColorfulGrid">
    <w:name w:val="Colorful Grid"/>
    <w:basedOn w:val="TableNormal"/>
    <w:uiPriority w:val="73"/>
    <w:semiHidden/>
    <w:rsid w:val="00F83F85"/>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F83F85"/>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F83F85"/>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F83F85"/>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F83F85"/>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F83F85"/>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F83F85"/>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F83F85"/>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F83F85"/>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F83F85"/>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F83F85"/>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F83F85"/>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F83F85"/>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F83F85"/>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F83F85"/>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F83F85"/>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F83F85"/>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F83F85"/>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F83F85"/>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F83F85"/>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F83F85"/>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F83F85"/>
    <w:rPr>
      <w:sz w:val="16"/>
      <w:szCs w:val="16"/>
    </w:rPr>
  </w:style>
  <w:style w:type="paragraph" w:styleId="CommentText">
    <w:name w:val="annotation text"/>
    <w:basedOn w:val="Normal"/>
    <w:link w:val="CommentTextChar"/>
    <w:uiPriority w:val="98"/>
    <w:semiHidden/>
    <w:rsid w:val="00F83F85"/>
    <w:rPr>
      <w:sz w:val="20"/>
      <w:szCs w:val="20"/>
    </w:rPr>
  </w:style>
  <w:style w:type="character" w:customStyle="1" w:styleId="CommentTextChar">
    <w:name w:val="Comment Text Char"/>
    <w:basedOn w:val="DefaultParagraphFont"/>
    <w:link w:val="CommentText"/>
    <w:uiPriority w:val="98"/>
    <w:semiHidden/>
    <w:rsid w:val="00F83F85"/>
    <w:rPr>
      <w:sz w:val="20"/>
      <w:szCs w:val="20"/>
      <w:lang w:val="lv-LV"/>
    </w:rPr>
  </w:style>
  <w:style w:type="paragraph" w:styleId="CommentSubject">
    <w:name w:val="annotation subject"/>
    <w:basedOn w:val="CommentText"/>
    <w:next w:val="CommentText"/>
    <w:link w:val="CommentSubjectChar"/>
    <w:uiPriority w:val="98"/>
    <w:semiHidden/>
    <w:rsid w:val="00F83F85"/>
    <w:rPr>
      <w:b/>
      <w:bCs/>
    </w:rPr>
  </w:style>
  <w:style w:type="character" w:customStyle="1" w:styleId="CommentSubjectChar">
    <w:name w:val="Comment Subject Char"/>
    <w:basedOn w:val="CommentTextChar"/>
    <w:link w:val="CommentSubject"/>
    <w:uiPriority w:val="98"/>
    <w:semiHidden/>
    <w:rsid w:val="00F83F85"/>
    <w:rPr>
      <w:b/>
      <w:bCs/>
      <w:sz w:val="20"/>
      <w:szCs w:val="20"/>
      <w:lang w:val="lv-LV"/>
    </w:rPr>
  </w:style>
  <w:style w:type="table" w:styleId="DarkList">
    <w:name w:val="Dark List"/>
    <w:basedOn w:val="TableNormal"/>
    <w:uiPriority w:val="70"/>
    <w:semiHidden/>
    <w:rsid w:val="00F83F85"/>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F83F85"/>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F83F85"/>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F83F85"/>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F83F85"/>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F83F85"/>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F83F85"/>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F83F85"/>
  </w:style>
  <w:style w:type="character" w:customStyle="1" w:styleId="DateChar">
    <w:name w:val="Date Char"/>
    <w:basedOn w:val="DefaultParagraphFont"/>
    <w:link w:val="Date"/>
    <w:uiPriority w:val="98"/>
    <w:semiHidden/>
    <w:rsid w:val="00F83F85"/>
    <w:rPr>
      <w:sz w:val="24"/>
      <w:szCs w:val="24"/>
      <w:lang w:val="lv-LV"/>
    </w:rPr>
  </w:style>
  <w:style w:type="paragraph" w:styleId="DocumentMap">
    <w:name w:val="Document Map"/>
    <w:basedOn w:val="Normal"/>
    <w:link w:val="DocumentMapChar"/>
    <w:uiPriority w:val="98"/>
    <w:semiHidden/>
    <w:rsid w:val="00F83F85"/>
    <w:rPr>
      <w:rFonts w:ascii="Tahoma" w:hAnsi="Tahoma" w:cs="Tahoma"/>
      <w:sz w:val="16"/>
      <w:szCs w:val="16"/>
    </w:rPr>
  </w:style>
  <w:style w:type="character" w:customStyle="1" w:styleId="DocumentMapChar">
    <w:name w:val="Document Map Char"/>
    <w:basedOn w:val="DefaultParagraphFont"/>
    <w:link w:val="DocumentMap"/>
    <w:uiPriority w:val="98"/>
    <w:semiHidden/>
    <w:rsid w:val="00F83F85"/>
    <w:rPr>
      <w:rFonts w:ascii="Tahoma" w:hAnsi="Tahoma" w:cs="Tahoma"/>
      <w:sz w:val="16"/>
      <w:szCs w:val="16"/>
      <w:lang w:val="lv-LV"/>
    </w:rPr>
  </w:style>
  <w:style w:type="paragraph" w:styleId="E-mailSignature">
    <w:name w:val="E-mail Signature"/>
    <w:basedOn w:val="Normal"/>
    <w:link w:val="E-mailSignatureChar"/>
    <w:uiPriority w:val="98"/>
    <w:semiHidden/>
    <w:rsid w:val="00F83F85"/>
  </w:style>
  <w:style w:type="character" w:customStyle="1" w:styleId="E-mailSignatureChar">
    <w:name w:val="E-mail Signature Char"/>
    <w:basedOn w:val="DefaultParagraphFont"/>
    <w:link w:val="E-mailSignature"/>
    <w:uiPriority w:val="98"/>
    <w:semiHidden/>
    <w:rsid w:val="00F83F85"/>
    <w:rPr>
      <w:sz w:val="24"/>
      <w:szCs w:val="24"/>
      <w:lang w:val="lv-LV"/>
    </w:rPr>
  </w:style>
  <w:style w:type="character" w:styleId="EndnoteReference">
    <w:name w:val="endnote reference"/>
    <w:basedOn w:val="DefaultParagraphFont"/>
    <w:uiPriority w:val="98"/>
    <w:semiHidden/>
    <w:rsid w:val="00F83F85"/>
    <w:rPr>
      <w:vertAlign w:val="superscript"/>
    </w:rPr>
  </w:style>
  <w:style w:type="paragraph" w:styleId="EndnoteText">
    <w:name w:val="endnote text"/>
    <w:basedOn w:val="Normal"/>
    <w:link w:val="EndnoteTextChar"/>
    <w:uiPriority w:val="98"/>
    <w:semiHidden/>
    <w:rsid w:val="00F83F85"/>
    <w:rPr>
      <w:sz w:val="20"/>
      <w:szCs w:val="20"/>
    </w:rPr>
  </w:style>
  <w:style w:type="character" w:customStyle="1" w:styleId="EndnoteTextChar">
    <w:name w:val="Endnote Text Char"/>
    <w:basedOn w:val="DefaultParagraphFont"/>
    <w:link w:val="EndnoteText"/>
    <w:uiPriority w:val="98"/>
    <w:semiHidden/>
    <w:rsid w:val="00F83F85"/>
    <w:rPr>
      <w:sz w:val="20"/>
      <w:szCs w:val="20"/>
      <w:lang w:val="lv-LV"/>
    </w:rPr>
  </w:style>
  <w:style w:type="paragraph" w:styleId="EnvelopeAddress">
    <w:name w:val="envelope address"/>
    <w:basedOn w:val="Normal"/>
    <w:uiPriority w:val="98"/>
    <w:semiHidden/>
    <w:rsid w:val="00F83F85"/>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F83F85"/>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F83F85"/>
    <w:rPr>
      <w:color w:val="7030A0" w:themeColor="followedHyperlink"/>
      <w:u w:val="single"/>
    </w:rPr>
  </w:style>
  <w:style w:type="character" w:styleId="HTMLAcronym">
    <w:name w:val="HTML Acronym"/>
    <w:basedOn w:val="DefaultParagraphFont"/>
    <w:uiPriority w:val="98"/>
    <w:semiHidden/>
    <w:rsid w:val="00F83F85"/>
  </w:style>
  <w:style w:type="paragraph" w:styleId="HTMLAddress">
    <w:name w:val="HTML Address"/>
    <w:basedOn w:val="Normal"/>
    <w:link w:val="HTMLAddressChar"/>
    <w:uiPriority w:val="98"/>
    <w:semiHidden/>
    <w:rsid w:val="00F83F85"/>
    <w:rPr>
      <w:i/>
      <w:iCs/>
    </w:rPr>
  </w:style>
  <w:style w:type="character" w:customStyle="1" w:styleId="HTMLAddressChar">
    <w:name w:val="HTML Address Char"/>
    <w:basedOn w:val="DefaultParagraphFont"/>
    <w:link w:val="HTMLAddress"/>
    <w:uiPriority w:val="98"/>
    <w:semiHidden/>
    <w:rsid w:val="00F83F85"/>
    <w:rPr>
      <w:i/>
      <w:iCs/>
      <w:sz w:val="24"/>
      <w:szCs w:val="24"/>
      <w:lang w:val="lv-LV"/>
    </w:rPr>
  </w:style>
  <w:style w:type="character" w:styleId="HTMLCite">
    <w:name w:val="HTML Cite"/>
    <w:basedOn w:val="DefaultParagraphFont"/>
    <w:uiPriority w:val="98"/>
    <w:semiHidden/>
    <w:rsid w:val="00F83F85"/>
    <w:rPr>
      <w:i/>
      <w:iCs/>
    </w:rPr>
  </w:style>
  <w:style w:type="character" w:styleId="HTMLCode">
    <w:name w:val="HTML Code"/>
    <w:basedOn w:val="DefaultParagraphFont"/>
    <w:uiPriority w:val="98"/>
    <w:semiHidden/>
    <w:rsid w:val="00F83F85"/>
    <w:rPr>
      <w:rFonts w:ascii="Consolas" w:hAnsi="Consolas" w:cs="Consolas"/>
      <w:sz w:val="20"/>
      <w:szCs w:val="20"/>
    </w:rPr>
  </w:style>
  <w:style w:type="character" w:styleId="HTMLDefinition">
    <w:name w:val="HTML Definition"/>
    <w:basedOn w:val="DefaultParagraphFont"/>
    <w:uiPriority w:val="98"/>
    <w:semiHidden/>
    <w:rsid w:val="00F83F85"/>
    <w:rPr>
      <w:i/>
      <w:iCs/>
    </w:rPr>
  </w:style>
  <w:style w:type="character" w:styleId="HTMLKeyboard">
    <w:name w:val="HTML Keyboard"/>
    <w:basedOn w:val="DefaultParagraphFont"/>
    <w:uiPriority w:val="98"/>
    <w:semiHidden/>
    <w:rsid w:val="00F83F85"/>
    <w:rPr>
      <w:rFonts w:ascii="Consolas" w:hAnsi="Consolas" w:cs="Consolas"/>
      <w:sz w:val="20"/>
      <w:szCs w:val="20"/>
    </w:rPr>
  </w:style>
  <w:style w:type="paragraph" w:styleId="HTMLPreformatted">
    <w:name w:val="HTML Preformatted"/>
    <w:basedOn w:val="Normal"/>
    <w:link w:val="HTMLPreformattedChar"/>
    <w:uiPriority w:val="98"/>
    <w:semiHidden/>
    <w:rsid w:val="00F83F85"/>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F83F85"/>
    <w:rPr>
      <w:rFonts w:ascii="Consolas" w:hAnsi="Consolas" w:cs="Consolas"/>
      <w:sz w:val="20"/>
      <w:szCs w:val="20"/>
      <w:lang w:val="lv-LV"/>
    </w:rPr>
  </w:style>
  <w:style w:type="character" w:styleId="HTMLSample">
    <w:name w:val="HTML Sample"/>
    <w:basedOn w:val="DefaultParagraphFont"/>
    <w:uiPriority w:val="98"/>
    <w:semiHidden/>
    <w:rsid w:val="00F83F85"/>
    <w:rPr>
      <w:rFonts w:ascii="Consolas" w:hAnsi="Consolas" w:cs="Consolas"/>
      <w:sz w:val="24"/>
      <w:szCs w:val="24"/>
    </w:rPr>
  </w:style>
  <w:style w:type="character" w:styleId="HTMLTypewriter">
    <w:name w:val="HTML Typewriter"/>
    <w:basedOn w:val="DefaultParagraphFont"/>
    <w:uiPriority w:val="98"/>
    <w:semiHidden/>
    <w:rsid w:val="00F83F85"/>
    <w:rPr>
      <w:rFonts w:ascii="Consolas" w:hAnsi="Consolas" w:cs="Consolas"/>
      <w:sz w:val="20"/>
      <w:szCs w:val="20"/>
    </w:rPr>
  </w:style>
  <w:style w:type="character" w:styleId="HTMLVariable">
    <w:name w:val="HTML Variable"/>
    <w:basedOn w:val="DefaultParagraphFont"/>
    <w:uiPriority w:val="98"/>
    <w:semiHidden/>
    <w:rsid w:val="00F83F85"/>
    <w:rPr>
      <w:i/>
      <w:iCs/>
    </w:rPr>
  </w:style>
  <w:style w:type="paragraph" w:styleId="Index1">
    <w:name w:val="index 1"/>
    <w:basedOn w:val="Normal"/>
    <w:next w:val="Normal"/>
    <w:autoRedefine/>
    <w:uiPriority w:val="98"/>
    <w:semiHidden/>
    <w:rsid w:val="00F83F85"/>
    <w:pPr>
      <w:ind w:left="240" w:hanging="240"/>
    </w:pPr>
  </w:style>
  <w:style w:type="paragraph" w:styleId="Index2">
    <w:name w:val="index 2"/>
    <w:basedOn w:val="Normal"/>
    <w:next w:val="Normal"/>
    <w:autoRedefine/>
    <w:uiPriority w:val="98"/>
    <w:semiHidden/>
    <w:rsid w:val="00F83F85"/>
    <w:pPr>
      <w:ind w:left="480" w:hanging="240"/>
    </w:pPr>
  </w:style>
  <w:style w:type="paragraph" w:styleId="Index3">
    <w:name w:val="index 3"/>
    <w:basedOn w:val="Normal"/>
    <w:next w:val="Normal"/>
    <w:autoRedefine/>
    <w:uiPriority w:val="98"/>
    <w:semiHidden/>
    <w:rsid w:val="00F83F85"/>
    <w:pPr>
      <w:ind w:left="720" w:hanging="240"/>
    </w:pPr>
  </w:style>
  <w:style w:type="paragraph" w:styleId="Index4">
    <w:name w:val="index 4"/>
    <w:basedOn w:val="Normal"/>
    <w:next w:val="Normal"/>
    <w:autoRedefine/>
    <w:uiPriority w:val="98"/>
    <w:semiHidden/>
    <w:rsid w:val="00F83F85"/>
    <w:pPr>
      <w:ind w:left="960" w:hanging="240"/>
    </w:pPr>
  </w:style>
  <w:style w:type="paragraph" w:styleId="Index5">
    <w:name w:val="index 5"/>
    <w:basedOn w:val="Normal"/>
    <w:next w:val="Normal"/>
    <w:autoRedefine/>
    <w:uiPriority w:val="98"/>
    <w:semiHidden/>
    <w:rsid w:val="00F83F85"/>
    <w:pPr>
      <w:ind w:left="1200" w:hanging="240"/>
    </w:pPr>
  </w:style>
  <w:style w:type="paragraph" w:styleId="Index6">
    <w:name w:val="index 6"/>
    <w:basedOn w:val="Normal"/>
    <w:next w:val="Normal"/>
    <w:autoRedefine/>
    <w:uiPriority w:val="98"/>
    <w:semiHidden/>
    <w:rsid w:val="00F83F85"/>
    <w:pPr>
      <w:ind w:left="1440" w:hanging="240"/>
    </w:pPr>
  </w:style>
  <w:style w:type="paragraph" w:styleId="Index7">
    <w:name w:val="index 7"/>
    <w:basedOn w:val="Normal"/>
    <w:next w:val="Normal"/>
    <w:autoRedefine/>
    <w:uiPriority w:val="98"/>
    <w:semiHidden/>
    <w:rsid w:val="00F83F85"/>
    <w:pPr>
      <w:ind w:left="1680" w:hanging="240"/>
    </w:pPr>
  </w:style>
  <w:style w:type="paragraph" w:styleId="Index8">
    <w:name w:val="index 8"/>
    <w:basedOn w:val="Normal"/>
    <w:next w:val="Normal"/>
    <w:autoRedefine/>
    <w:uiPriority w:val="98"/>
    <w:semiHidden/>
    <w:rsid w:val="00F83F85"/>
    <w:pPr>
      <w:ind w:left="1920" w:hanging="240"/>
    </w:pPr>
  </w:style>
  <w:style w:type="paragraph" w:styleId="Index9">
    <w:name w:val="index 9"/>
    <w:basedOn w:val="Normal"/>
    <w:next w:val="Normal"/>
    <w:autoRedefine/>
    <w:uiPriority w:val="98"/>
    <w:semiHidden/>
    <w:rsid w:val="00F83F85"/>
    <w:pPr>
      <w:ind w:left="2160" w:hanging="240"/>
    </w:pPr>
  </w:style>
  <w:style w:type="paragraph" w:styleId="IndexHeading">
    <w:name w:val="index heading"/>
    <w:basedOn w:val="Normal"/>
    <w:next w:val="Index1"/>
    <w:uiPriority w:val="98"/>
    <w:semiHidden/>
    <w:rsid w:val="00F83F85"/>
    <w:rPr>
      <w:rFonts w:asciiTheme="majorHAnsi" w:eastAsiaTheme="majorEastAsia" w:hAnsiTheme="majorHAnsi" w:cstheme="majorBidi"/>
      <w:b/>
      <w:bCs/>
    </w:rPr>
  </w:style>
  <w:style w:type="table" w:styleId="LightGrid">
    <w:name w:val="Light Grid"/>
    <w:basedOn w:val="TableNormal"/>
    <w:uiPriority w:val="62"/>
    <w:semiHidden/>
    <w:rsid w:val="00F83F85"/>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F83F85"/>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F83F85"/>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F83F85"/>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F83F85"/>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F83F85"/>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F83F85"/>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F83F85"/>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F83F85"/>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F83F85"/>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F83F85"/>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F83F85"/>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F83F85"/>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F83F85"/>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F83F85"/>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F83F85"/>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F83F85"/>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F83F85"/>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F83F85"/>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F83F85"/>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F83F85"/>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F83F85"/>
  </w:style>
  <w:style w:type="paragraph" w:styleId="List">
    <w:name w:val="List"/>
    <w:basedOn w:val="Normal"/>
    <w:uiPriority w:val="98"/>
    <w:semiHidden/>
    <w:rsid w:val="00F83F85"/>
    <w:pPr>
      <w:ind w:left="283" w:hanging="283"/>
      <w:contextualSpacing/>
    </w:pPr>
  </w:style>
  <w:style w:type="paragraph" w:styleId="List2">
    <w:name w:val="List 2"/>
    <w:basedOn w:val="Normal"/>
    <w:uiPriority w:val="98"/>
    <w:semiHidden/>
    <w:rsid w:val="00F83F85"/>
    <w:pPr>
      <w:ind w:left="566" w:hanging="283"/>
      <w:contextualSpacing/>
    </w:pPr>
  </w:style>
  <w:style w:type="paragraph" w:styleId="List3">
    <w:name w:val="List 3"/>
    <w:basedOn w:val="Normal"/>
    <w:uiPriority w:val="98"/>
    <w:semiHidden/>
    <w:rsid w:val="00F83F85"/>
    <w:pPr>
      <w:ind w:left="849" w:hanging="283"/>
      <w:contextualSpacing/>
    </w:pPr>
  </w:style>
  <w:style w:type="paragraph" w:styleId="List4">
    <w:name w:val="List 4"/>
    <w:basedOn w:val="Normal"/>
    <w:uiPriority w:val="98"/>
    <w:semiHidden/>
    <w:rsid w:val="00F83F85"/>
    <w:pPr>
      <w:ind w:left="1132" w:hanging="283"/>
      <w:contextualSpacing/>
    </w:pPr>
  </w:style>
  <w:style w:type="paragraph" w:styleId="List5">
    <w:name w:val="List 5"/>
    <w:basedOn w:val="Normal"/>
    <w:uiPriority w:val="98"/>
    <w:semiHidden/>
    <w:rsid w:val="00F83F85"/>
    <w:pPr>
      <w:ind w:left="1415" w:hanging="283"/>
      <w:contextualSpacing/>
    </w:pPr>
  </w:style>
  <w:style w:type="paragraph" w:styleId="ListBullet2">
    <w:name w:val="List Bullet 2"/>
    <w:basedOn w:val="Normal"/>
    <w:uiPriority w:val="98"/>
    <w:semiHidden/>
    <w:rsid w:val="00F83F85"/>
    <w:pPr>
      <w:numPr>
        <w:numId w:val="37"/>
      </w:numPr>
      <w:contextualSpacing/>
    </w:pPr>
  </w:style>
  <w:style w:type="paragraph" w:styleId="ListBullet3">
    <w:name w:val="List Bullet 3"/>
    <w:basedOn w:val="Normal"/>
    <w:uiPriority w:val="98"/>
    <w:semiHidden/>
    <w:rsid w:val="00F83F85"/>
    <w:pPr>
      <w:numPr>
        <w:numId w:val="38"/>
      </w:numPr>
      <w:contextualSpacing/>
    </w:pPr>
  </w:style>
  <w:style w:type="paragraph" w:styleId="ListBullet4">
    <w:name w:val="List Bullet 4"/>
    <w:basedOn w:val="Normal"/>
    <w:uiPriority w:val="98"/>
    <w:semiHidden/>
    <w:rsid w:val="00F83F85"/>
    <w:pPr>
      <w:numPr>
        <w:numId w:val="39"/>
      </w:numPr>
      <w:contextualSpacing/>
    </w:pPr>
  </w:style>
  <w:style w:type="paragraph" w:styleId="ListBullet5">
    <w:name w:val="List Bullet 5"/>
    <w:basedOn w:val="Normal"/>
    <w:uiPriority w:val="98"/>
    <w:semiHidden/>
    <w:rsid w:val="00F83F85"/>
    <w:pPr>
      <w:numPr>
        <w:numId w:val="40"/>
      </w:numPr>
      <w:contextualSpacing/>
    </w:pPr>
  </w:style>
  <w:style w:type="paragraph" w:styleId="ListContinue">
    <w:name w:val="List Continue"/>
    <w:basedOn w:val="Normal"/>
    <w:uiPriority w:val="98"/>
    <w:semiHidden/>
    <w:rsid w:val="00F83F85"/>
    <w:pPr>
      <w:spacing w:after="120"/>
      <w:ind w:left="283"/>
      <w:contextualSpacing/>
    </w:pPr>
  </w:style>
  <w:style w:type="paragraph" w:styleId="ListContinue2">
    <w:name w:val="List Continue 2"/>
    <w:basedOn w:val="Normal"/>
    <w:uiPriority w:val="98"/>
    <w:semiHidden/>
    <w:rsid w:val="00F83F85"/>
    <w:pPr>
      <w:spacing w:after="120"/>
      <w:ind w:left="566"/>
      <w:contextualSpacing/>
    </w:pPr>
  </w:style>
  <w:style w:type="paragraph" w:styleId="ListContinue3">
    <w:name w:val="List Continue 3"/>
    <w:basedOn w:val="Normal"/>
    <w:uiPriority w:val="98"/>
    <w:semiHidden/>
    <w:rsid w:val="00F83F85"/>
    <w:pPr>
      <w:spacing w:after="120"/>
      <w:ind w:left="849"/>
      <w:contextualSpacing/>
    </w:pPr>
  </w:style>
  <w:style w:type="paragraph" w:styleId="ListContinue4">
    <w:name w:val="List Continue 4"/>
    <w:basedOn w:val="Normal"/>
    <w:uiPriority w:val="98"/>
    <w:semiHidden/>
    <w:rsid w:val="00F83F85"/>
    <w:pPr>
      <w:spacing w:after="120"/>
      <w:ind w:left="1132"/>
      <w:contextualSpacing/>
    </w:pPr>
  </w:style>
  <w:style w:type="paragraph" w:styleId="ListContinue5">
    <w:name w:val="List Continue 5"/>
    <w:basedOn w:val="Normal"/>
    <w:uiPriority w:val="98"/>
    <w:semiHidden/>
    <w:rsid w:val="00F83F85"/>
    <w:pPr>
      <w:spacing w:after="120"/>
      <w:ind w:left="1415"/>
      <w:contextualSpacing/>
    </w:pPr>
  </w:style>
  <w:style w:type="paragraph" w:styleId="ListNumber">
    <w:name w:val="List Number"/>
    <w:basedOn w:val="Normal"/>
    <w:uiPriority w:val="98"/>
    <w:semiHidden/>
    <w:rsid w:val="00F83F85"/>
    <w:pPr>
      <w:numPr>
        <w:numId w:val="41"/>
      </w:numPr>
      <w:contextualSpacing/>
    </w:pPr>
  </w:style>
  <w:style w:type="paragraph" w:styleId="ListNumber2">
    <w:name w:val="List Number 2"/>
    <w:basedOn w:val="Normal"/>
    <w:uiPriority w:val="98"/>
    <w:semiHidden/>
    <w:rsid w:val="00F83F85"/>
    <w:pPr>
      <w:numPr>
        <w:numId w:val="42"/>
      </w:numPr>
      <w:contextualSpacing/>
    </w:pPr>
  </w:style>
  <w:style w:type="paragraph" w:styleId="ListNumber3">
    <w:name w:val="List Number 3"/>
    <w:basedOn w:val="Normal"/>
    <w:uiPriority w:val="98"/>
    <w:semiHidden/>
    <w:rsid w:val="00F83F85"/>
    <w:pPr>
      <w:numPr>
        <w:numId w:val="43"/>
      </w:numPr>
      <w:contextualSpacing/>
    </w:pPr>
  </w:style>
  <w:style w:type="paragraph" w:styleId="ListNumber4">
    <w:name w:val="List Number 4"/>
    <w:basedOn w:val="Normal"/>
    <w:uiPriority w:val="98"/>
    <w:semiHidden/>
    <w:rsid w:val="00F83F85"/>
    <w:pPr>
      <w:numPr>
        <w:numId w:val="44"/>
      </w:numPr>
      <w:contextualSpacing/>
    </w:pPr>
  </w:style>
  <w:style w:type="paragraph" w:styleId="ListNumber5">
    <w:name w:val="List Number 5"/>
    <w:basedOn w:val="Normal"/>
    <w:uiPriority w:val="98"/>
    <w:semiHidden/>
    <w:rsid w:val="00F83F85"/>
    <w:pPr>
      <w:numPr>
        <w:numId w:val="45"/>
      </w:numPr>
      <w:contextualSpacing/>
    </w:pPr>
  </w:style>
  <w:style w:type="paragraph" w:styleId="MacroText">
    <w:name w:val="macro"/>
    <w:link w:val="MacroTextChar"/>
    <w:uiPriority w:val="98"/>
    <w:semiHidden/>
    <w:rsid w:val="00F83F85"/>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F83F85"/>
    <w:rPr>
      <w:rFonts w:ascii="Consolas" w:eastAsiaTheme="minorEastAsia" w:hAnsi="Consolas" w:cs="Consolas"/>
      <w:sz w:val="20"/>
      <w:szCs w:val="20"/>
    </w:rPr>
  </w:style>
  <w:style w:type="table" w:styleId="MediumGrid1">
    <w:name w:val="Medium Grid 1"/>
    <w:basedOn w:val="TableNormal"/>
    <w:uiPriority w:val="67"/>
    <w:semiHidden/>
    <w:rsid w:val="00F83F85"/>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F83F85"/>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F83F85"/>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F83F85"/>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F83F85"/>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F83F85"/>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F83F85"/>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F83F85"/>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F83F85"/>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F83F85"/>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F83F85"/>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F83F85"/>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F83F85"/>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F83F85"/>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F83F85"/>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F83F85"/>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F83F85"/>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F83F85"/>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F83F85"/>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F83F85"/>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F83F85"/>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F83F85"/>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F83F85"/>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F83F85"/>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F83F85"/>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F83F85"/>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F83F85"/>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F83F85"/>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F83F85"/>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F83F85"/>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F83F85"/>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F83F85"/>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F83F85"/>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F83F85"/>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F83F85"/>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F83F85"/>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F83F85"/>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F83F85"/>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F83F85"/>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F83F85"/>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F83F85"/>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F83F85"/>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F83F85"/>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F83F85"/>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F83F85"/>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F83F85"/>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F83F85"/>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F83F85"/>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F83F85"/>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F83F8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F83F85"/>
    <w:rPr>
      <w:rFonts w:asciiTheme="majorHAnsi" w:eastAsiaTheme="majorEastAsia" w:hAnsiTheme="majorHAnsi" w:cstheme="majorBidi"/>
      <w:sz w:val="24"/>
      <w:szCs w:val="24"/>
      <w:shd w:val="pct20" w:color="auto" w:fill="auto"/>
      <w:lang w:val="lv-LV"/>
    </w:rPr>
  </w:style>
  <w:style w:type="paragraph" w:styleId="NormalWeb">
    <w:name w:val="Normal (Web)"/>
    <w:basedOn w:val="Normal"/>
    <w:uiPriority w:val="98"/>
    <w:semiHidden/>
    <w:rsid w:val="00F83F85"/>
    <w:rPr>
      <w:rFonts w:ascii="Times New Roman" w:hAnsi="Times New Roman" w:cs="Times New Roman"/>
    </w:rPr>
  </w:style>
  <w:style w:type="paragraph" w:styleId="NormalIndent">
    <w:name w:val="Normal Indent"/>
    <w:basedOn w:val="Normal"/>
    <w:uiPriority w:val="98"/>
    <w:semiHidden/>
    <w:rsid w:val="00F83F85"/>
    <w:pPr>
      <w:ind w:left="720"/>
    </w:pPr>
  </w:style>
  <w:style w:type="paragraph" w:customStyle="1" w:styleId="ECHRParaIndent">
    <w:name w:val="ECHR_Para_Indent"/>
    <w:aliases w:val="_Indent"/>
    <w:basedOn w:val="Normal"/>
    <w:uiPriority w:val="7"/>
    <w:semiHidden/>
    <w:qFormat/>
    <w:rsid w:val="00F83F85"/>
    <w:pPr>
      <w:spacing w:before="120" w:after="120"/>
      <w:ind w:left="284"/>
      <w:jc w:val="both"/>
    </w:pPr>
  </w:style>
  <w:style w:type="paragraph" w:customStyle="1" w:styleId="JuJudges">
    <w:name w:val="Ju_Judges"/>
    <w:aliases w:val="_Judges"/>
    <w:basedOn w:val="Normal"/>
    <w:uiPriority w:val="32"/>
    <w:qFormat/>
    <w:rsid w:val="00F83F85"/>
    <w:pPr>
      <w:tabs>
        <w:tab w:val="left" w:pos="567"/>
        <w:tab w:val="left" w:pos="1134"/>
      </w:tabs>
    </w:pPr>
  </w:style>
  <w:style w:type="character" w:styleId="PlaceholderText">
    <w:name w:val="Placeholder Text"/>
    <w:basedOn w:val="DefaultParagraphFont"/>
    <w:uiPriority w:val="98"/>
    <w:semiHidden/>
    <w:rsid w:val="00F83F85"/>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F83F85"/>
    <w:rPr>
      <w:rFonts w:ascii="Consolas" w:hAnsi="Consolas" w:cs="Consolas"/>
      <w:sz w:val="21"/>
      <w:szCs w:val="21"/>
    </w:rPr>
  </w:style>
  <w:style w:type="character" w:customStyle="1" w:styleId="PlainTextChar">
    <w:name w:val="Plain Text Char"/>
    <w:basedOn w:val="DefaultParagraphFont"/>
    <w:link w:val="PlainText"/>
    <w:uiPriority w:val="98"/>
    <w:semiHidden/>
    <w:rsid w:val="00F83F85"/>
    <w:rPr>
      <w:rFonts w:ascii="Consolas" w:hAnsi="Consolas" w:cs="Consolas"/>
      <w:sz w:val="21"/>
      <w:szCs w:val="21"/>
      <w:lang w:val="lv-LV"/>
    </w:rPr>
  </w:style>
  <w:style w:type="paragraph" w:styleId="Salutation">
    <w:name w:val="Salutation"/>
    <w:basedOn w:val="Normal"/>
    <w:next w:val="Normal"/>
    <w:link w:val="SalutationChar"/>
    <w:uiPriority w:val="98"/>
    <w:semiHidden/>
    <w:rsid w:val="00F83F85"/>
  </w:style>
  <w:style w:type="character" w:customStyle="1" w:styleId="SalutationChar">
    <w:name w:val="Salutation Char"/>
    <w:basedOn w:val="DefaultParagraphFont"/>
    <w:link w:val="Salutation"/>
    <w:uiPriority w:val="98"/>
    <w:semiHidden/>
    <w:rsid w:val="00F83F85"/>
    <w:rPr>
      <w:sz w:val="24"/>
      <w:szCs w:val="24"/>
      <w:lang w:val="lv-LV"/>
    </w:rPr>
  </w:style>
  <w:style w:type="paragraph" w:styleId="Signature">
    <w:name w:val="Signature"/>
    <w:basedOn w:val="Normal"/>
    <w:link w:val="SignatureChar"/>
    <w:uiPriority w:val="98"/>
    <w:semiHidden/>
    <w:rsid w:val="00F83F85"/>
    <w:pPr>
      <w:ind w:left="4252"/>
    </w:pPr>
  </w:style>
  <w:style w:type="character" w:customStyle="1" w:styleId="SignatureChar">
    <w:name w:val="Signature Char"/>
    <w:basedOn w:val="DefaultParagraphFont"/>
    <w:link w:val="Signature"/>
    <w:uiPriority w:val="98"/>
    <w:semiHidden/>
    <w:rsid w:val="00F83F85"/>
    <w:rPr>
      <w:sz w:val="24"/>
      <w:szCs w:val="24"/>
      <w:lang w:val="lv-LV"/>
    </w:rPr>
  </w:style>
  <w:style w:type="table" w:styleId="Table3Deffects1">
    <w:name w:val="Table 3D effects 1"/>
    <w:basedOn w:val="TableNormal"/>
    <w:uiPriority w:val="99"/>
    <w:semiHidden/>
    <w:unhideWhenUsed/>
    <w:rsid w:val="00F83F85"/>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83F85"/>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83F85"/>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83F85"/>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83F85"/>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83F85"/>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83F85"/>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83F85"/>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83F85"/>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83F85"/>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83F85"/>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83F85"/>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83F85"/>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83F85"/>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83F85"/>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83F85"/>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83F85"/>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83F85"/>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83F85"/>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83F85"/>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83F85"/>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83F85"/>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83F85"/>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83F85"/>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83F85"/>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F83F85"/>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83F85"/>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83F85"/>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83F85"/>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83F85"/>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83F85"/>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83F85"/>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83F85"/>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F83F85"/>
    <w:pPr>
      <w:ind w:left="240" w:hanging="240"/>
    </w:pPr>
  </w:style>
  <w:style w:type="paragraph" w:styleId="TableofFigures">
    <w:name w:val="table of figures"/>
    <w:basedOn w:val="Normal"/>
    <w:next w:val="Normal"/>
    <w:uiPriority w:val="98"/>
    <w:semiHidden/>
    <w:rsid w:val="00F83F85"/>
  </w:style>
  <w:style w:type="table" w:styleId="TableProfessional">
    <w:name w:val="Table Professional"/>
    <w:basedOn w:val="TableNormal"/>
    <w:uiPriority w:val="99"/>
    <w:semiHidden/>
    <w:unhideWhenUsed/>
    <w:rsid w:val="00F83F85"/>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83F85"/>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83F85"/>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83F85"/>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83F85"/>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83F85"/>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83F85"/>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83F85"/>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83F85"/>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83F85"/>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F83F85"/>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F83F85"/>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F83F85"/>
    <w:pPr>
      <w:spacing w:after="100"/>
      <w:ind w:left="1680"/>
    </w:pPr>
  </w:style>
  <w:style w:type="paragraph" w:styleId="TOC9">
    <w:name w:val="toc 9"/>
    <w:basedOn w:val="Normal"/>
    <w:next w:val="Normal"/>
    <w:autoRedefine/>
    <w:uiPriority w:val="98"/>
    <w:semiHidden/>
    <w:rsid w:val="00F83F85"/>
    <w:pPr>
      <w:spacing w:after="100"/>
      <w:ind w:left="1920"/>
    </w:pPr>
  </w:style>
  <w:style w:type="paragraph" w:customStyle="1" w:styleId="DecHTitle">
    <w:name w:val="Dec_H_Title"/>
    <w:aliases w:val="_Title_1"/>
    <w:basedOn w:val="JuPara"/>
    <w:next w:val="JuPara"/>
    <w:uiPriority w:val="38"/>
    <w:qFormat/>
    <w:rsid w:val="00F83F85"/>
    <w:pPr>
      <w:keepNext/>
      <w:keepLines/>
      <w:spacing w:after="240"/>
      <w:ind w:firstLine="0"/>
      <w:jc w:val="center"/>
      <w:outlineLvl w:val="0"/>
    </w:pPr>
    <w:rPr>
      <w:rFonts w:asciiTheme="majorHAnsi" w:hAnsiTheme="majorHAnsi"/>
      <w:sz w:val="28"/>
    </w:rPr>
  </w:style>
  <w:style w:type="paragraph" w:customStyle="1" w:styleId="ECHRLine">
    <w:name w:val="ECHR_Line"/>
    <w:aliases w:val="_Line"/>
    <w:basedOn w:val="NormalJustified"/>
    <w:next w:val="Normal"/>
    <w:uiPriority w:val="46"/>
    <w:semiHidden/>
    <w:rsid w:val="00F83F85"/>
    <w:pPr>
      <w:pBdr>
        <w:bottom w:val="single" w:sz="12" w:space="1" w:color="949494" w:themeColor="text2" w:themeShade="BF"/>
      </w:pBdr>
      <w:spacing w:after="120"/>
    </w:pPr>
    <w:rPr>
      <w:sz w:val="12"/>
    </w:rPr>
  </w:style>
  <w:style w:type="paragraph" w:customStyle="1" w:styleId="ECHRFooter">
    <w:name w:val="ECHR_Footer"/>
    <w:aliases w:val="_Footer"/>
    <w:basedOn w:val="Footer"/>
    <w:uiPriority w:val="30"/>
    <w:semiHidden/>
    <w:rsid w:val="00F83F85"/>
    <w:rPr>
      <w:sz w:val="8"/>
    </w:rPr>
  </w:style>
  <w:style w:type="paragraph" w:customStyle="1" w:styleId="ECHRFooterLine">
    <w:name w:val="ECHR_Footer_Line"/>
    <w:aliases w:val="_Footer_Line"/>
    <w:basedOn w:val="Normal"/>
    <w:next w:val="ECHRFooter"/>
    <w:uiPriority w:val="30"/>
    <w:semiHidden/>
    <w:rsid w:val="00F83F85"/>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F83F85"/>
    <w:pPr>
      <w:keepNext/>
      <w:keepLines/>
      <w:spacing w:after="280"/>
      <w:ind w:firstLine="0"/>
      <w:jc w:val="center"/>
    </w:pPr>
    <w:rPr>
      <w:rFonts w:asciiTheme="majorHAnsi" w:hAnsiTheme="majorHAnsi"/>
    </w:rPr>
  </w:style>
  <w:style w:type="paragraph" w:customStyle="1" w:styleId="DecList">
    <w:name w:val="Dec_List"/>
    <w:aliases w:val="_List"/>
    <w:basedOn w:val="JuList"/>
    <w:uiPriority w:val="22"/>
    <w:rsid w:val="00F83F85"/>
    <w:pPr>
      <w:numPr>
        <w:numId w:val="0"/>
      </w:numPr>
      <w:ind w:left="284"/>
    </w:pPr>
  </w:style>
  <w:style w:type="paragraph" w:customStyle="1" w:styleId="JuTitle">
    <w:name w:val="Ju_Title"/>
    <w:aliases w:val="_Title_2"/>
    <w:basedOn w:val="Normal"/>
    <w:next w:val="JuPara"/>
    <w:uiPriority w:val="38"/>
    <w:qFormat/>
    <w:rsid w:val="00F83F85"/>
    <w:pPr>
      <w:keepNext/>
      <w:keepLines/>
      <w:spacing w:before="1320" w:after="280"/>
      <w:contextualSpacing/>
      <w:jc w:val="center"/>
    </w:pPr>
    <w:rPr>
      <w:b/>
    </w:rPr>
  </w:style>
  <w:style w:type="paragraph" w:styleId="NoteHeading">
    <w:name w:val="Note Heading"/>
    <w:basedOn w:val="Normal"/>
    <w:next w:val="Normal"/>
    <w:link w:val="NoteHeadingChar"/>
    <w:uiPriority w:val="98"/>
    <w:semiHidden/>
    <w:rsid w:val="00F83F85"/>
  </w:style>
  <w:style w:type="table" w:styleId="GridTable1Light">
    <w:name w:val="Grid Table 1 Light"/>
    <w:basedOn w:val="TableNormal"/>
    <w:uiPriority w:val="46"/>
    <w:rsid w:val="0020526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ECHRNumberedList1">
    <w:name w:val="ECHR_Numbered_List_1"/>
    <w:aliases w:val="_Num_1"/>
    <w:basedOn w:val="Normal"/>
    <w:uiPriority w:val="23"/>
    <w:semiHidden/>
    <w:qFormat/>
    <w:rsid w:val="00F83F85"/>
    <w:pPr>
      <w:numPr>
        <w:numId w:val="35"/>
      </w:numPr>
      <w:spacing w:before="60" w:after="60"/>
    </w:pPr>
  </w:style>
  <w:style w:type="paragraph" w:customStyle="1" w:styleId="ECHRNumberedList2">
    <w:name w:val="ECHR_Numbered_List_2"/>
    <w:aliases w:val="_Num_2"/>
    <w:basedOn w:val="ECHRNumberedList1"/>
    <w:uiPriority w:val="23"/>
    <w:semiHidden/>
    <w:rsid w:val="00F83F85"/>
    <w:pPr>
      <w:numPr>
        <w:ilvl w:val="1"/>
      </w:numPr>
    </w:pPr>
  </w:style>
  <w:style w:type="paragraph" w:customStyle="1" w:styleId="ECHRNumberedList3">
    <w:name w:val="ECHR_Numbered_List_3"/>
    <w:aliases w:val="_Num_3"/>
    <w:basedOn w:val="ECHRNumberedList2"/>
    <w:uiPriority w:val="23"/>
    <w:semiHidden/>
    <w:rsid w:val="00F83F85"/>
    <w:pPr>
      <w:numPr>
        <w:ilvl w:val="2"/>
      </w:numPr>
    </w:pPr>
  </w:style>
  <w:style w:type="paragraph" w:customStyle="1" w:styleId="ECHRPlaceholder">
    <w:name w:val="ECHR_Placeholder"/>
    <w:aliases w:val="_Placeholder"/>
    <w:basedOn w:val="JuSigned"/>
    <w:uiPriority w:val="31"/>
    <w:rsid w:val="00F83F85"/>
    <w:rPr>
      <w:color w:val="FFFFFF"/>
    </w:rPr>
  </w:style>
  <w:style w:type="character" w:customStyle="1" w:styleId="ECHRRed">
    <w:name w:val="ECHR_Red"/>
    <w:aliases w:val="_Red"/>
    <w:basedOn w:val="DefaultParagraphFont"/>
    <w:uiPriority w:val="15"/>
    <w:semiHidden/>
    <w:qFormat/>
    <w:rsid w:val="00F83F85"/>
    <w:rPr>
      <w:color w:val="C00000" w:themeColor="accent2"/>
    </w:rPr>
  </w:style>
  <w:style w:type="paragraph" w:customStyle="1" w:styleId="ECHRHeaderDate">
    <w:name w:val="ECHR_Header_Date"/>
    <w:aliases w:val="_Ref_Date"/>
    <w:basedOn w:val="Normal"/>
    <w:uiPriority w:val="44"/>
    <w:semiHidden/>
    <w:qFormat/>
    <w:rsid w:val="00F83F85"/>
    <w:pPr>
      <w:jc w:val="right"/>
    </w:pPr>
    <w:rPr>
      <w:sz w:val="20"/>
    </w:rPr>
  </w:style>
  <w:style w:type="paragraph" w:customStyle="1" w:styleId="ECHRHeaderRefIt">
    <w:name w:val="ECHR_Header_Ref_It"/>
    <w:aliases w:val="_Ref_Ital"/>
    <w:basedOn w:val="Normal"/>
    <w:next w:val="ECHRHeaderDate"/>
    <w:uiPriority w:val="43"/>
    <w:qFormat/>
    <w:rsid w:val="00F83F85"/>
    <w:pPr>
      <w:jc w:val="right"/>
    </w:pPr>
    <w:rPr>
      <w:i/>
      <w:sz w:val="20"/>
    </w:rPr>
  </w:style>
  <w:style w:type="paragraph" w:customStyle="1" w:styleId="ECHRSpacer">
    <w:name w:val="ECHR_Spacer"/>
    <w:aliases w:val="_Spacer"/>
    <w:basedOn w:val="Normal"/>
    <w:uiPriority w:val="45"/>
    <w:semiHidden/>
    <w:rsid w:val="00F83F85"/>
    <w:rPr>
      <w:sz w:val="4"/>
    </w:rPr>
  </w:style>
  <w:style w:type="paragraph" w:customStyle="1" w:styleId="ECHRCoverTitle4">
    <w:name w:val="ECHR_Cover_Title_4"/>
    <w:aliases w:val="_Title_4"/>
    <w:basedOn w:val="JuPara"/>
    <w:next w:val="JuPara"/>
    <w:uiPriority w:val="38"/>
    <w:qFormat/>
    <w:rsid w:val="00F83F85"/>
    <w:pPr>
      <w:keepNext/>
      <w:keepLines/>
      <w:tabs>
        <w:tab w:val="right" w:pos="7938"/>
      </w:tabs>
      <w:ind w:firstLine="0"/>
      <w:jc w:val="center"/>
    </w:pPr>
    <w:rPr>
      <w:i/>
    </w:rPr>
  </w:style>
  <w:style w:type="paragraph" w:customStyle="1" w:styleId="ECHRTitleCentre1">
    <w:name w:val="ECHR_Title_Centre_1"/>
    <w:aliases w:val="_Title_C_1"/>
    <w:basedOn w:val="Normal"/>
    <w:next w:val="Normal"/>
    <w:uiPriority w:val="26"/>
    <w:qFormat/>
    <w:rsid w:val="00F83F85"/>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F83F85"/>
    <w:pPr>
      <w:keepNext/>
      <w:keepLines/>
      <w:spacing w:before="240"/>
      <w:contextualSpacing/>
      <w:jc w:val="center"/>
    </w:pPr>
    <w:rPr>
      <w:rFonts w:asciiTheme="majorHAnsi" w:hAnsiTheme="majorHAnsi"/>
      <w:b/>
      <w:color w:val="474747" w:themeColor="accent3" w:themeShade="BF"/>
      <w:sz w:val="28"/>
    </w:rPr>
  </w:style>
  <w:style w:type="paragraph" w:customStyle="1" w:styleId="ECHRTitleCentreTOC1">
    <w:name w:val="ECHR_Title_Centre_TOC_1"/>
    <w:aliases w:val="_Title_C_TOC"/>
    <w:basedOn w:val="ECHRTitleCentre1"/>
    <w:next w:val="Normal"/>
    <w:uiPriority w:val="25"/>
    <w:semiHidden/>
    <w:qFormat/>
    <w:rsid w:val="00F83F85"/>
    <w:pPr>
      <w:outlineLvl w:val="0"/>
    </w:pPr>
  </w:style>
  <w:style w:type="paragraph" w:customStyle="1" w:styleId="ECHRTitle1">
    <w:name w:val="ECHR_Title_1"/>
    <w:aliases w:val="_Title_L_1"/>
    <w:basedOn w:val="Normal"/>
    <w:next w:val="Normal"/>
    <w:uiPriority w:val="28"/>
    <w:semiHidden/>
    <w:qFormat/>
    <w:rsid w:val="00F83F85"/>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F83F85"/>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F83F85"/>
    <w:pPr>
      <w:keepNext/>
      <w:keepLines/>
      <w:spacing w:before="240"/>
      <w:contextualSpacing/>
    </w:pPr>
    <w:rPr>
      <w:rFonts w:asciiTheme="majorHAnsi" w:hAnsiTheme="majorHAnsi"/>
      <w:b/>
      <w:color w:val="474747" w:themeColor="accent3" w:themeShade="BF"/>
    </w:rPr>
  </w:style>
  <w:style w:type="paragraph" w:customStyle="1" w:styleId="ECHRTitleTOC1">
    <w:name w:val="ECHR_Title_TOC_1"/>
    <w:aliases w:val="_Title_L_TOC"/>
    <w:basedOn w:val="ECHRTitle1"/>
    <w:next w:val="Normal"/>
    <w:uiPriority w:val="27"/>
    <w:semiHidden/>
    <w:qFormat/>
    <w:rsid w:val="00F83F85"/>
    <w:pPr>
      <w:outlineLvl w:val="0"/>
    </w:pPr>
  </w:style>
  <w:style w:type="paragraph" w:customStyle="1" w:styleId="JuHArticle">
    <w:name w:val="Ju_H_Article"/>
    <w:aliases w:val="_Title_Quote"/>
    <w:basedOn w:val="Normal"/>
    <w:next w:val="JuQuot"/>
    <w:uiPriority w:val="19"/>
    <w:qFormat/>
    <w:rsid w:val="00F83F85"/>
    <w:pPr>
      <w:keepNext/>
      <w:spacing w:before="100" w:beforeAutospacing="1" w:after="120"/>
      <w:contextualSpacing/>
      <w:jc w:val="center"/>
    </w:pPr>
    <w:rPr>
      <w:b/>
      <w:sz w:val="20"/>
    </w:rPr>
  </w:style>
  <w:style w:type="numbering" w:customStyle="1" w:styleId="ECHRA1StyleBulletedSquare">
    <w:name w:val="ECHR_A1_Style_Bulleted_Square"/>
    <w:basedOn w:val="NoList"/>
    <w:rsid w:val="00F83F85"/>
    <w:pPr>
      <w:numPr>
        <w:numId w:val="33"/>
      </w:numPr>
    </w:pPr>
  </w:style>
  <w:style w:type="numbering" w:customStyle="1" w:styleId="ECHRA1StyleList">
    <w:name w:val="ECHR_A1_Style_List"/>
    <w:basedOn w:val="NoList"/>
    <w:uiPriority w:val="99"/>
    <w:rsid w:val="00F83F85"/>
    <w:pPr>
      <w:numPr>
        <w:numId w:val="34"/>
      </w:numPr>
    </w:pPr>
  </w:style>
  <w:style w:type="numbering" w:customStyle="1" w:styleId="ECHRA1StyleNumberedList">
    <w:name w:val="ECHR_A1_Style_Numbered_List"/>
    <w:basedOn w:val="NoList"/>
    <w:rsid w:val="00F83F85"/>
    <w:pPr>
      <w:numPr>
        <w:numId w:val="35"/>
      </w:numPr>
    </w:pPr>
  </w:style>
  <w:style w:type="table" w:customStyle="1" w:styleId="ECHRTable2">
    <w:name w:val="ECHR_Table_2"/>
    <w:basedOn w:val="TableNormal"/>
    <w:uiPriority w:val="99"/>
    <w:rsid w:val="00F83F85"/>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F83F85"/>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table" w:customStyle="1" w:styleId="ECHRTable2019">
    <w:name w:val="ECHR_Table_2019"/>
    <w:basedOn w:val="TableNormal"/>
    <w:uiPriority w:val="99"/>
    <w:rsid w:val="00F83F85"/>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table" w:customStyle="1" w:styleId="ECHRTableGrey">
    <w:name w:val="ECHR_Table_Grey"/>
    <w:basedOn w:val="TableNormal"/>
    <w:uiPriority w:val="99"/>
    <w:rsid w:val="00F83F85"/>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NoteHeadingChar">
    <w:name w:val="Note Heading Char"/>
    <w:basedOn w:val="DefaultParagraphFont"/>
    <w:link w:val="NoteHeading"/>
    <w:uiPriority w:val="98"/>
    <w:semiHidden/>
    <w:rsid w:val="00F83F85"/>
    <w:rPr>
      <w:sz w:val="24"/>
      <w:szCs w:val="24"/>
      <w:lang w:val="lv-LV"/>
    </w:rPr>
  </w:style>
  <w:style w:type="character" w:customStyle="1" w:styleId="JuParaChar">
    <w:name w:val="Ju_Para Char"/>
    <w:aliases w:val="_Para Char"/>
    <w:link w:val="JuPara"/>
    <w:uiPriority w:val="4"/>
    <w:rsid w:val="005C18BC"/>
    <w:rPr>
      <w:sz w:val="24"/>
      <w:szCs w:val="24"/>
      <w:lang w:val="lv-LV"/>
    </w:rPr>
  </w:style>
  <w:style w:type="character" w:customStyle="1" w:styleId="JuNames0">
    <w:name w:val="Ju_Names"/>
    <w:rsid w:val="005C18BC"/>
    <w:rPr>
      <w:smallCaps/>
    </w:rPr>
  </w:style>
  <w:style w:type="character" w:customStyle="1" w:styleId="JuQuotChar">
    <w:name w:val="Ju_Quot Char"/>
    <w:aliases w:val="_Quot Char"/>
    <w:basedOn w:val="DefaultParagraphFont"/>
    <w:link w:val="JuQuot"/>
    <w:uiPriority w:val="20"/>
    <w:rsid w:val="005C18BC"/>
    <w:rPr>
      <w:sz w:val="20"/>
      <w:szCs w:val="24"/>
      <w:lang w:val="lv-LV"/>
    </w:rPr>
  </w:style>
  <w:style w:type="character" w:customStyle="1" w:styleId="JuH1Char">
    <w:name w:val="Ju_H_1. Char"/>
    <w:link w:val="JuH1"/>
    <w:uiPriority w:val="17"/>
    <w:rsid w:val="005C18BC"/>
    <w:rPr>
      <w:rFonts w:asciiTheme="majorHAnsi" w:eastAsiaTheme="majorEastAsia" w:hAnsiTheme="majorHAnsi" w:cstheme="majorBidi"/>
      <w:bCs/>
      <w:i/>
      <w:iCs/>
      <w:sz w:val="24"/>
      <w:lang w:val="lv-LV"/>
    </w:rPr>
  </w:style>
  <w:style w:type="table" w:styleId="GridTable1Light-Accent1">
    <w:name w:val="Grid Table 1 Light Accent 1"/>
    <w:basedOn w:val="TableNormal"/>
    <w:uiPriority w:val="46"/>
    <w:rsid w:val="0020526C"/>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paragraph" w:customStyle="1" w:styleId="JuAppQuestion">
    <w:name w:val="Ju_App_Question"/>
    <w:basedOn w:val="Normal"/>
    <w:uiPriority w:val="5"/>
    <w:qFormat/>
    <w:rsid w:val="005C18BC"/>
    <w:pPr>
      <w:tabs>
        <w:tab w:val="num" w:pos="720"/>
      </w:tabs>
      <w:ind w:left="720" w:hanging="360"/>
    </w:pPr>
    <w:rPr>
      <w:rFonts w:eastAsiaTheme="minorEastAsia"/>
      <w:b/>
      <w:szCs w:val="22"/>
    </w:rPr>
  </w:style>
  <w:style w:type="table" w:styleId="GridTable1Light-Accent2">
    <w:name w:val="Grid Table 1 Light Accent 2"/>
    <w:basedOn w:val="TableNormal"/>
    <w:uiPriority w:val="46"/>
    <w:rsid w:val="0020526C"/>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paragraph" w:customStyle="1" w:styleId="JuParaSub">
    <w:name w:val="Ju_Para_Sub"/>
    <w:basedOn w:val="JuPara"/>
    <w:uiPriority w:val="13"/>
    <w:qFormat/>
    <w:rsid w:val="005C18BC"/>
    <w:pPr>
      <w:ind w:left="284"/>
    </w:pPr>
    <w:rPr>
      <w:rFonts w:eastAsiaTheme="minorEastAsia"/>
      <w:szCs w:val="22"/>
    </w:rPr>
  </w:style>
  <w:style w:type="table" w:styleId="GridTable1Light-Accent3">
    <w:name w:val="Grid Table 1 Light Accent 3"/>
    <w:basedOn w:val="TableNormal"/>
    <w:uiPriority w:val="46"/>
    <w:rsid w:val="0020526C"/>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0526C"/>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0526C"/>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paragraph" w:customStyle="1" w:styleId="JuQuotSub">
    <w:name w:val="Ju_Quot_Sub"/>
    <w:basedOn w:val="JuQuot"/>
    <w:uiPriority w:val="15"/>
    <w:qFormat/>
    <w:rsid w:val="005C18BC"/>
    <w:pPr>
      <w:ind w:left="567"/>
    </w:pPr>
    <w:rPr>
      <w:rFonts w:eastAsiaTheme="minorEastAsia"/>
      <w:szCs w:val="22"/>
    </w:rPr>
  </w:style>
  <w:style w:type="table" w:styleId="GridTable1Light-Accent6">
    <w:name w:val="Grid Table 1 Light Accent 6"/>
    <w:basedOn w:val="TableNormal"/>
    <w:uiPriority w:val="46"/>
    <w:rsid w:val="0020526C"/>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0526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0526C"/>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rsid w:val="0020526C"/>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Table3Deffects11">
    <w:name w:val="Table 3D effects 11"/>
    <w:basedOn w:val="TableNormal"/>
    <w:next w:val="Table3Deffects1"/>
    <w:uiPriority w:val="99"/>
    <w:semiHidden/>
    <w:rsid w:val="005C18BC"/>
    <w:pPr>
      <w:suppressAutoHyphens/>
    </w:pPr>
    <w:rPr>
      <w:lang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9"/>
    <w:semiHidden/>
    <w:rsid w:val="005C18BC"/>
    <w:pPr>
      <w:suppressAutoHyphens/>
    </w:pPr>
    <w:rPr>
      <w:lang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semiHidden/>
    <w:rsid w:val="005C18BC"/>
    <w:pPr>
      <w:suppressAutoHyphens/>
    </w:pPr>
    <w:rPr>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semiHidden/>
    <w:rsid w:val="005C18BC"/>
    <w:pPr>
      <w:suppressAutoHyphens/>
    </w:pPr>
    <w:rPr>
      <w:lang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9"/>
    <w:semiHidden/>
    <w:rsid w:val="005C18BC"/>
    <w:pPr>
      <w:suppressAutoHyphens/>
    </w:pPr>
    <w:rPr>
      <w:lang w:eastAsia="fr-F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9"/>
    <w:semiHidden/>
    <w:rsid w:val="005C18BC"/>
    <w:pPr>
      <w:suppressAutoHyphens/>
    </w:pPr>
    <w:rPr>
      <w:color w:val="000080"/>
      <w:lang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9"/>
    <w:semiHidden/>
    <w:rsid w:val="005C18BC"/>
    <w:pPr>
      <w:suppressAutoHyphens/>
    </w:pPr>
    <w:rPr>
      <w:lang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uiPriority w:val="99"/>
    <w:semiHidden/>
    <w:rsid w:val="005C18BC"/>
    <w:pPr>
      <w:suppressAutoHyphens/>
    </w:pPr>
    <w:rPr>
      <w:color w:val="FFFFFF"/>
      <w:lang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uiPriority w:val="99"/>
    <w:semiHidden/>
    <w:rsid w:val="005C18BC"/>
    <w:pPr>
      <w:suppressAutoHyphens/>
    </w:pPr>
    <w:rPr>
      <w:lang w:eastAsia="fr-F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uiPriority w:val="99"/>
    <w:semiHidden/>
    <w:rsid w:val="005C18BC"/>
    <w:pPr>
      <w:suppressAutoHyphens/>
    </w:pPr>
    <w:rPr>
      <w:lang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9"/>
    <w:semiHidden/>
    <w:rsid w:val="005C18BC"/>
    <w:pPr>
      <w:suppressAutoHyphens/>
    </w:pPr>
    <w:rPr>
      <w:b/>
      <w:bCs/>
      <w:lang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9"/>
    <w:semiHidden/>
    <w:rsid w:val="005C18BC"/>
    <w:pPr>
      <w:suppressAutoHyphens/>
    </w:pPr>
    <w:rPr>
      <w:b/>
      <w:bCs/>
      <w:lang w:eastAsia="fr-F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9"/>
    <w:semiHidden/>
    <w:rsid w:val="005C18BC"/>
    <w:pPr>
      <w:suppressAutoHyphens/>
    </w:pPr>
    <w:rPr>
      <w:b/>
      <w:bCs/>
      <w:lang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9"/>
    <w:semiHidden/>
    <w:rsid w:val="005C18BC"/>
    <w:pPr>
      <w:suppressAutoHyphens/>
    </w:pPr>
    <w:rPr>
      <w:lang w:eastAsia="fr-F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iPriority w:val="99"/>
    <w:semiHidden/>
    <w:rsid w:val="005C18BC"/>
    <w:pPr>
      <w:suppressAutoHyphens/>
    </w:pPr>
    <w:rPr>
      <w:lang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9"/>
    <w:semiHidden/>
    <w:rsid w:val="005C18BC"/>
    <w:pPr>
      <w:suppressAutoHyphens/>
    </w:pPr>
    <w:rPr>
      <w:lang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9"/>
    <w:semiHidden/>
    <w:rsid w:val="005C18BC"/>
    <w:pPr>
      <w:suppressAutoHyphens/>
    </w:pPr>
    <w:rPr>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uiPriority w:val="99"/>
    <w:semiHidden/>
    <w:rsid w:val="005C18BC"/>
    <w:pPr>
      <w:suppressAutoHyphens/>
    </w:pPr>
    <w:rPr>
      <w:lang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uiPriority w:val="99"/>
    <w:semiHidden/>
    <w:rsid w:val="005C18BC"/>
    <w:pPr>
      <w:suppressAutoHyphens/>
    </w:pPr>
    <w:rPr>
      <w:lang w:eastAsia="fr-F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uiPriority w:val="99"/>
    <w:semiHidden/>
    <w:rsid w:val="005C18BC"/>
    <w:pPr>
      <w:suppressAutoHyphens/>
    </w:pPr>
    <w:rPr>
      <w:lang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uiPriority w:val="99"/>
    <w:semiHidden/>
    <w:rsid w:val="005C18BC"/>
    <w:pPr>
      <w:suppressAutoHyphens/>
    </w:pPr>
    <w:rPr>
      <w:lang w:eastAsia="fr-F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iPriority w:val="99"/>
    <w:semiHidden/>
    <w:rsid w:val="005C18BC"/>
    <w:pPr>
      <w:suppressAutoHyphens/>
    </w:pPr>
    <w:rPr>
      <w:lang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9"/>
    <w:semiHidden/>
    <w:rsid w:val="005C18BC"/>
    <w:pPr>
      <w:suppressAutoHyphens/>
    </w:pPr>
    <w:rPr>
      <w:lang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9"/>
    <w:semiHidden/>
    <w:rsid w:val="005C18BC"/>
    <w:pPr>
      <w:suppressAutoHyphens/>
    </w:pPr>
    <w:rPr>
      <w:b/>
      <w:bCs/>
      <w:lang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9"/>
    <w:semiHidden/>
    <w:rsid w:val="005C18BC"/>
    <w:pPr>
      <w:suppressAutoHyphens/>
    </w:pPr>
    <w:rPr>
      <w:lang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uiPriority w:val="99"/>
    <w:semiHidden/>
    <w:rsid w:val="005C18BC"/>
    <w:pPr>
      <w:suppressAutoHyphens/>
    </w:pPr>
    <w:rPr>
      <w:lang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9"/>
    <w:semiHidden/>
    <w:rsid w:val="005C18BC"/>
    <w:pPr>
      <w:suppressAutoHyphens/>
    </w:pPr>
    <w:rPr>
      <w:lang w:eastAsia="fr-F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rsid w:val="005C18BC"/>
    <w:pPr>
      <w:suppressAutoHyphens/>
    </w:pPr>
    <w:rPr>
      <w:lang w:eastAsia="fr-F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9"/>
    <w:semiHidden/>
    <w:rsid w:val="005C18BC"/>
    <w:pPr>
      <w:suppressAutoHyphens/>
    </w:pPr>
    <w:rPr>
      <w:lang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9"/>
    <w:semiHidden/>
    <w:rsid w:val="005C18BC"/>
    <w:pPr>
      <w:suppressAutoHyphens/>
    </w:pPr>
    <w:rPr>
      <w:lang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9"/>
    <w:semiHidden/>
    <w:rsid w:val="005C18BC"/>
    <w:pPr>
      <w:suppressAutoHyphens/>
    </w:pPr>
    <w:rPr>
      <w:lang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9"/>
    <w:semiHidden/>
    <w:rsid w:val="005C18BC"/>
    <w:pPr>
      <w:suppressAutoHyphens/>
    </w:pPr>
    <w:rPr>
      <w:lang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9"/>
    <w:semiHidden/>
    <w:rsid w:val="005C18BC"/>
    <w:pPr>
      <w:suppressAutoHyphens/>
    </w:pPr>
    <w:rPr>
      <w:lang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uiPriority w:val="99"/>
    <w:semiHidden/>
    <w:rsid w:val="005C18BC"/>
    <w:pPr>
      <w:suppressAutoHyphens/>
    </w:pPr>
    <w:rPr>
      <w:lang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9"/>
    <w:semiHidden/>
    <w:rsid w:val="005C18BC"/>
    <w:pPr>
      <w:suppressAutoHyphens/>
    </w:pPr>
    <w:rPr>
      <w:lang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9"/>
    <w:semiHidden/>
    <w:rsid w:val="005C18BC"/>
    <w:pPr>
      <w:suppressAutoHyphens/>
    </w:pPr>
    <w:rPr>
      <w:lang w:eastAsia="fr-F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iPriority w:val="99"/>
    <w:semiHidden/>
    <w:rsid w:val="005C18BC"/>
    <w:pPr>
      <w:suppressAutoHyphens/>
    </w:pPr>
    <w:rPr>
      <w:lang w:eastAsia="fr-F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9"/>
    <w:semiHidden/>
    <w:rsid w:val="005C18BC"/>
    <w:pPr>
      <w:suppressAutoHyphens/>
    </w:pPr>
    <w:rPr>
      <w:lang w:eastAsia="fr-F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9"/>
    <w:semiHidden/>
    <w:rsid w:val="005C18BC"/>
    <w:pPr>
      <w:suppressAutoHyphens/>
    </w:pPr>
    <w:rPr>
      <w:lang w:eastAsia="fr-F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semiHidden/>
    <w:rsid w:val="005C18BC"/>
    <w:pPr>
      <w:suppressAutoHyphens/>
    </w:pPr>
    <w:rPr>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iPriority w:val="99"/>
    <w:semiHidden/>
    <w:rsid w:val="005C18BC"/>
    <w:pPr>
      <w:suppressAutoHyphens/>
    </w:pPr>
    <w:rPr>
      <w:lang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semiHidden/>
    <w:rsid w:val="005C18BC"/>
    <w:pPr>
      <w:suppressAutoHyphens/>
    </w:pPr>
    <w:rPr>
      <w:lang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9"/>
    <w:semiHidden/>
    <w:rsid w:val="005C18BC"/>
    <w:pPr>
      <w:suppressAutoHyphens/>
    </w:pPr>
    <w:rPr>
      <w:lang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ridTable2-Accent3">
    <w:name w:val="Grid Table 2 Accent 3"/>
    <w:basedOn w:val="TableNormal"/>
    <w:uiPriority w:val="47"/>
    <w:rsid w:val="0020526C"/>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2-Accent4">
    <w:name w:val="Grid Table 2 Accent 4"/>
    <w:basedOn w:val="TableNormal"/>
    <w:uiPriority w:val="47"/>
    <w:rsid w:val="0020526C"/>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rsid w:val="0020526C"/>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20526C"/>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UGTable1">
    <w:name w:val="UG_Table1"/>
    <w:basedOn w:val="TableNormal"/>
    <w:uiPriority w:val="99"/>
    <w:rsid w:val="005C18BC"/>
    <w:rPr>
      <w:rFonts w:eastAsiaTheme="minorEastAsia"/>
      <w:sz w:val="20"/>
      <w:lang w:eastAsia="en-GB"/>
    </w:rPr>
    <w:tblPr>
      <w:tblInd w:w="-964" w:type="dxa"/>
      <w:tblCellMar>
        <w:left w:w="57" w:type="dxa"/>
        <w:bottom w:w="57" w:type="dxa"/>
        <w:right w:w="113"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1">
    <w:name w:val="UG_Table_White_Box1"/>
    <w:basedOn w:val="TableNormal"/>
    <w:uiPriority w:val="99"/>
    <w:rsid w:val="005C18BC"/>
    <w:rPr>
      <w:rFonts w:eastAsiaTheme="minorEastAsia"/>
      <w:lang w:eastAsia="en-GB"/>
    </w:rPr>
    <w:tblPr>
      <w:tblInd w:w="113" w:type="dxa"/>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styleId="GridTable3">
    <w:name w:val="Grid Table 3"/>
    <w:basedOn w:val="TableNormal"/>
    <w:uiPriority w:val="48"/>
    <w:rsid w:val="0020526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0526C"/>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rsid w:val="0020526C"/>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customStyle="1" w:styleId="Table3Deffects111">
    <w:name w:val="Table 3D effects 111"/>
    <w:basedOn w:val="TableNormal"/>
    <w:next w:val="Table3Deffects1"/>
    <w:uiPriority w:val="99"/>
    <w:semiHidden/>
    <w:unhideWhenUsed/>
    <w:rsid w:val="005C18B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uiPriority w:val="99"/>
    <w:semiHidden/>
    <w:unhideWhenUsed/>
    <w:rsid w:val="005C18B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uiPriority w:val="99"/>
    <w:semiHidden/>
    <w:unhideWhenUsed/>
    <w:rsid w:val="005C18B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uiPriority w:val="99"/>
    <w:semiHidden/>
    <w:unhideWhenUsed/>
    <w:rsid w:val="005C18B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uiPriority w:val="99"/>
    <w:semiHidden/>
    <w:unhideWhenUsed/>
    <w:rsid w:val="005C18B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uiPriority w:val="99"/>
    <w:semiHidden/>
    <w:unhideWhenUsed/>
    <w:rsid w:val="005C18B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uiPriority w:val="99"/>
    <w:semiHidden/>
    <w:unhideWhenUsed/>
    <w:rsid w:val="005C18B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uiPriority w:val="99"/>
    <w:semiHidden/>
    <w:unhideWhenUsed/>
    <w:rsid w:val="005C18B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uiPriority w:val="99"/>
    <w:semiHidden/>
    <w:unhideWhenUsed/>
    <w:rsid w:val="005C18B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uiPriority w:val="99"/>
    <w:semiHidden/>
    <w:unhideWhenUsed/>
    <w:rsid w:val="005C18B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uiPriority w:val="99"/>
    <w:semiHidden/>
    <w:unhideWhenUsed/>
    <w:rsid w:val="005C18B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uiPriority w:val="99"/>
    <w:semiHidden/>
    <w:unhideWhenUsed/>
    <w:rsid w:val="005C18B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uiPriority w:val="99"/>
    <w:semiHidden/>
    <w:unhideWhenUsed/>
    <w:rsid w:val="005C18B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uiPriority w:val="99"/>
    <w:semiHidden/>
    <w:unhideWhenUsed/>
    <w:rsid w:val="005C18B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uiPriority w:val="99"/>
    <w:semiHidden/>
    <w:unhideWhenUsed/>
    <w:rsid w:val="005C18B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uiPriority w:val="99"/>
    <w:semiHidden/>
    <w:unhideWhenUsed/>
    <w:rsid w:val="005C18B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uiPriority w:val="99"/>
    <w:semiHidden/>
    <w:unhideWhenUsed/>
    <w:rsid w:val="005C18B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
    <w:name w:val="Table Grid 111"/>
    <w:basedOn w:val="TableNormal"/>
    <w:next w:val="TableGrid1"/>
    <w:uiPriority w:val="99"/>
    <w:semiHidden/>
    <w:unhideWhenUsed/>
    <w:rsid w:val="005C18B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uiPriority w:val="99"/>
    <w:semiHidden/>
    <w:unhideWhenUsed/>
    <w:rsid w:val="005C18B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uiPriority w:val="99"/>
    <w:semiHidden/>
    <w:unhideWhenUsed/>
    <w:rsid w:val="005C18B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uiPriority w:val="99"/>
    <w:semiHidden/>
    <w:unhideWhenUsed/>
    <w:rsid w:val="005C18B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uiPriority w:val="99"/>
    <w:semiHidden/>
    <w:unhideWhenUsed/>
    <w:rsid w:val="005C18B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uiPriority w:val="99"/>
    <w:semiHidden/>
    <w:unhideWhenUsed/>
    <w:rsid w:val="005C18B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uiPriority w:val="99"/>
    <w:semiHidden/>
    <w:unhideWhenUsed/>
    <w:rsid w:val="005C18B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uiPriority w:val="99"/>
    <w:semiHidden/>
    <w:unhideWhenUsed/>
    <w:rsid w:val="005C18B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uiPriority w:val="99"/>
    <w:semiHidden/>
    <w:unhideWhenUsed/>
    <w:rsid w:val="005C18B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uiPriority w:val="99"/>
    <w:semiHidden/>
    <w:unhideWhenUsed/>
    <w:rsid w:val="005C18B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uiPriority w:val="99"/>
    <w:semiHidden/>
    <w:unhideWhenUsed/>
    <w:rsid w:val="005C18B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uiPriority w:val="99"/>
    <w:semiHidden/>
    <w:unhideWhenUsed/>
    <w:rsid w:val="005C18B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uiPriority w:val="99"/>
    <w:semiHidden/>
    <w:unhideWhenUsed/>
    <w:rsid w:val="005C18B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uiPriority w:val="99"/>
    <w:semiHidden/>
    <w:unhideWhenUsed/>
    <w:rsid w:val="005C18B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uiPriority w:val="99"/>
    <w:semiHidden/>
    <w:unhideWhenUsed/>
    <w:rsid w:val="005C18B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uiPriority w:val="99"/>
    <w:semiHidden/>
    <w:unhideWhenUsed/>
    <w:rsid w:val="005C18B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uiPriority w:val="99"/>
    <w:semiHidden/>
    <w:unhideWhenUsed/>
    <w:rsid w:val="005C18B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uiPriority w:val="99"/>
    <w:semiHidden/>
    <w:unhideWhenUsed/>
    <w:rsid w:val="005C18B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uiPriority w:val="99"/>
    <w:semiHidden/>
    <w:unhideWhenUsed/>
    <w:rsid w:val="005C18B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uiPriority w:val="99"/>
    <w:semiHidden/>
    <w:unhideWhenUsed/>
    <w:rsid w:val="005C18B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uiPriority w:val="99"/>
    <w:semiHidden/>
    <w:unhideWhenUsed/>
    <w:rsid w:val="005C18B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uiPriority w:val="99"/>
    <w:semiHidden/>
    <w:unhideWhenUsed/>
    <w:rsid w:val="005C18B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uiPriority w:val="99"/>
    <w:semiHidden/>
    <w:unhideWhenUsed/>
    <w:rsid w:val="005C18B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uiPriority w:val="99"/>
    <w:semiHidden/>
    <w:unhideWhenUsed/>
    <w:rsid w:val="005C18B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uiPriority w:val="99"/>
    <w:semiHidden/>
    <w:unhideWhenUsed/>
    <w:rsid w:val="005C18B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uiPriority w:val="99"/>
    <w:semiHidden/>
    <w:unhideWhenUsed/>
    <w:rsid w:val="005C18B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ridTable3-Accent3">
    <w:name w:val="Grid Table 3 Accent 3"/>
    <w:basedOn w:val="TableNormal"/>
    <w:uiPriority w:val="48"/>
    <w:rsid w:val="0020526C"/>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rsid w:val="0020526C"/>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rsid w:val="0020526C"/>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20526C"/>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20526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0526C"/>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rsid w:val="0020526C"/>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rsid w:val="0020526C"/>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rsid w:val="0020526C"/>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rsid w:val="0020526C"/>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20526C"/>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character" w:customStyle="1" w:styleId="JuParaCar">
    <w:name w:val="Ju_Para Car"/>
    <w:basedOn w:val="DefaultParagraphFont"/>
    <w:uiPriority w:val="12"/>
    <w:rsid w:val="005C18BC"/>
    <w:rPr>
      <w:rFonts w:eastAsiaTheme="minorEastAsia"/>
      <w:sz w:val="24"/>
    </w:rPr>
  </w:style>
  <w:style w:type="table" w:styleId="GridTable5Dark">
    <w:name w:val="Grid Table 5 Dark"/>
    <w:basedOn w:val="TableNormal"/>
    <w:uiPriority w:val="50"/>
    <w:rsid w:val="0020526C"/>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Revision">
    <w:name w:val="Revision"/>
    <w:hidden/>
    <w:uiPriority w:val="99"/>
    <w:semiHidden/>
    <w:rsid w:val="005C18BC"/>
    <w:rPr>
      <w:rFonts w:eastAsiaTheme="minorEastAsia"/>
      <w:sz w:val="24"/>
    </w:rPr>
  </w:style>
  <w:style w:type="paragraph" w:customStyle="1" w:styleId="ECHRParaSpaced">
    <w:name w:val="ECHR_Para_Spaced"/>
    <w:aliases w:val="Para_Spaced"/>
    <w:basedOn w:val="Normal"/>
    <w:uiPriority w:val="4"/>
    <w:qFormat/>
    <w:rsid w:val="005C18BC"/>
    <w:pPr>
      <w:spacing w:before="120" w:after="120"/>
      <w:jc w:val="both"/>
    </w:pPr>
    <w:rPr>
      <w:sz w:val="22"/>
      <w:szCs w:val="22"/>
    </w:rPr>
  </w:style>
  <w:style w:type="table" w:styleId="GridTable5Dark-Accent1">
    <w:name w:val="Grid Table 5 Dark Accent 1"/>
    <w:basedOn w:val="TableNormal"/>
    <w:uiPriority w:val="50"/>
    <w:rsid w:val="0020526C"/>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rsid w:val="0020526C"/>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rsid w:val="0020526C"/>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rsid w:val="0020526C"/>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rsid w:val="0020526C"/>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20526C"/>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rsid w:val="0020526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0526C"/>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rsid w:val="0020526C"/>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rsid w:val="0020526C"/>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rsid w:val="0020526C"/>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rsid w:val="0020526C"/>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rsid w:val="0020526C"/>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rsid w:val="0020526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0526C"/>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rsid w:val="0020526C"/>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rsid w:val="0020526C"/>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rsid w:val="0020526C"/>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rsid w:val="0020526C"/>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rsid w:val="0020526C"/>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20526C"/>
    <w:rPr>
      <w:color w:val="2B579A"/>
      <w:shd w:val="clear" w:color="auto" w:fill="E1DFDD"/>
    </w:rPr>
  </w:style>
  <w:style w:type="table" w:styleId="ListTable1Light">
    <w:name w:val="List Table 1 Light"/>
    <w:basedOn w:val="TableNormal"/>
    <w:uiPriority w:val="46"/>
    <w:rsid w:val="0020526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0526C"/>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rsid w:val="0020526C"/>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rsid w:val="0020526C"/>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rsid w:val="0020526C"/>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rsid w:val="0020526C"/>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20526C"/>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20526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0526C"/>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rsid w:val="0020526C"/>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rsid w:val="0020526C"/>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rsid w:val="0020526C"/>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rsid w:val="0020526C"/>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20526C"/>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2052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0526C"/>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rsid w:val="0020526C"/>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rsid w:val="0020526C"/>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rsid w:val="0020526C"/>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rsid w:val="0020526C"/>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20526C"/>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20526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0526C"/>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rsid w:val="0020526C"/>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rsid w:val="0020526C"/>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rsid w:val="0020526C"/>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rsid w:val="0020526C"/>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20526C"/>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20526C"/>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0526C"/>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0526C"/>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0526C"/>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0526C"/>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0526C"/>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0526C"/>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0526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0526C"/>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rsid w:val="0020526C"/>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rsid w:val="0020526C"/>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rsid w:val="0020526C"/>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rsid w:val="0020526C"/>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rsid w:val="0020526C"/>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rsid w:val="0020526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0526C"/>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0526C"/>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0526C"/>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0526C"/>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0526C"/>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0526C"/>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20526C"/>
    <w:rPr>
      <w:color w:val="2B579A"/>
      <w:shd w:val="clear" w:color="auto" w:fill="E1DFDD"/>
    </w:rPr>
  </w:style>
  <w:style w:type="table" w:styleId="PlainTable1">
    <w:name w:val="Plain Table 1"/>
    <w:basedOn w:val="TableNormal"/>
    <w:uiPriority w:val="41"/>
    <w:rsid w:val="0020526C"/>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rsid w:val="0020526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0526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0526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rsid w:val="0020526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20526C"/>
    <w:rPr>
      <w:u w:val="dotted"/>
    </w:rPr>
  </w:style>
  <w:style w:type="character" w:customStyle="1" w:styleId="SmartLink1">
    <w:name w:val="SmartLink1"/>
    <w:basedOn w:val="DefaultParagraphFont"/>
    <w:uiPriority w:val="99"/>
    <w:semiHidden/>
    <w:unhideWhenUsed/>
    <w:rsid w:val="0020526C"/>
    <w:rPr>
      <w:color w:val="0000FF"/>
      <w:u w:val="single"/>
      <w:shd w:val="clear" w:color="auto" w:fill="F3F2F1"/>
    </w:rPr>
  </w:style>
  <w:style w:type="table" w:styleId="TableGridLight">
    <w:name w:val="Grid Table Light"/>
    <w:basedOn w:val="TableNormal"/>
    <w:uiPriority w:val="40"/>
    <w:rsid w:val="0020526C"/>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 w:type="character" w:customStyle="1" w:styleId="UnresolvedMention1">
    <w:name w:val="Unresolved Mention1"/>
    <w:basedOn w:val="DefaultParagraphFont"/>
    <w:uiPriority w:val="99"/>
    <w:semiHidden/>
    <w:unhideWhenUsed/>
    <w:rsid w:val="00205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99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B9E4EA72-2E8B-40C7-A87B-6F551794F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903B3C-1498-4D4A-8CF7-957B984FD27F}">
  <ds:schemaRefs>
    <ds:schemaRef ds:uri="http://schemas.openxmlformats.org/officeDocument/2006/bibliography"/>
  </ds:schemaRefs>
</ds:datastoreItem>
</file>

<file path=customXml/itemProps3.xml><?xml version="1.0" encoding="utf-8"?>
<ds:datastoreItem xmlns:ds="http://schemas.openxmlformats.org/officeDocument/2006/customXml" ds:itemID="{F772E6FB-D7E9-4871-A3FC-9AACD6D1569C}">
  <ds:schemaRefs>
    <ds:schemaRef ds:uri="http://schemas.microsoft.com/sharepoint/v3/contenttype/forms"/>
  </ds:schemaRefs>
</ds:datastoreItem>
</file>

<file path=customXml/itemProps4.xml><?xml version="1.0" encoding="utf-8"?>
<ds:datastoreItem xmlns:ds="http://schemas.openxmlformats.org/officeDocument/2006/customXml" ds:itemID="{AD7017CC-75A2-4714-8208-105819F8DEEC}">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155</Pages>
  <Words>340487</Words>
  <Characters>194079</Characters>
  <Application>Microsoft Office Word</Application>
  <DocSecurity>0</DocSecurity>
  <Lines>1617</Lines>
  <Paragraphs>1066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2022-12-02T12:18:00Z</dcterms:created>
  <dcterms:modified xsi:type="dcterms:W3CDTF">2023-06-26T06:15:00Z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2057</vt:i4>
  </property>
  <property fmtid="{D5CDD505-2E9C-101B-9397-08002B2CF9AE}" pid="3" name="ContentTypeId">
    <vt:lpwstr>0x0101006747409639620A48BB08F713A1AC624B</vt:lpwstr>
  </property>
  <property fmtid="{D5CDD505-2E9C-101B-9397-08002B2CF9AE}" pid="4" name="CASEID">
    <vt:lpwstr>908907</vt:lpwstr>
  </property>
  <property fmtid="{D5CDD505-2E9C-101B-9397-08002B2CF9AE}" pid="5" name="RegisteredNo">
    <vt:lpwstr>58170/13</vt:lpwstr>
  </property>
  <property fmtid="{D5CDD505-2E9C-101B-9397-08002B2CF9AE}" pid="6" name="MediaServiceImageTags">
    <vt:lpwstr/>
  </property>
</Properties>
</file>