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7682" w14:textId="77777777" w:rsidR="00014BB7" w:rsidRPr="00014BB7" w:rsidRDefault="00014BB7" w:rsidP="00014BB7">
      <w:pPr>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3"/>
        <w:gridCol w:w="6278"/>
      </w:tblGrid>
      <w:tr w:rsidR="00014BB7" w:rsidRPr="00014BB7" w14:paraId="4E32803B" w14:textId="77777777" w:rsidTr="00314DCA">
        <w:tc>
          <w:tcPr>
            <w:tcW w:w="1562" w:type="pct"/>
          </w:tcPr>
          <w:p w14:paraId="5761255A" w14:textId="77777777" w:rsidR="00014BB7" w:rsidRPr="00014BB7" w:rsidRDefault="00014BB7" w:rsidP="00314DCA">
            <w:pPr>
              <w:jc w:val="both"/>
              <w:rPr>
                <w:rFonts w:ascii="Times New Roman" w:hAnsi="Times New Roman" w:cs="Times New Roman"/>
                <w:noProof/>
                <w:sz w:val="24"/>
                <w:szCs w:val="24"/>
              </w:rPr>
            </w:pPr>
            <w:proofErr w:type="spellStart"/>
            <w:r>
              <w:rPr>
                <w:rFonts w:ascii="Times New Roman" w:hAnsi="Times New Roman"/>
                <w:sz w:val="24"/>
              </w:rPr>
              <w:t>IAF</w:t>
            </w:r>
            <w:proofErr w:type="spellEnd"/>
            <w:r>
              <w:rPr>
                <w:rFonts w:ascii="Times New Roman" w:hAnsi="Times New Roman"/>
                <w:sz w:val="24"/>
              </w:rPr>
              <w:t xml:space="preserve"> MD 11:2013</w:t>
            </w:r>
          </w:p>
        </w:tc>
        <w:tc>
          <w:tcPr>
            <w:tcW w:w="3438" w:type="pct"/>
          </w:tcPr>
          <w:p w14:paraId="44E2DC84" w14:textId="77777777" w:rsidR="00014BB7" w:rsidRPr="00014BB7" w:rsidRDefault="00014BB7" w:rsidP="00314DCA">
            <w:pPr>
              <w:pStyle w:val="BodyText"/>
              <w:rPr>
                <w:i/>
                <w:iCs/>
                <w:noProof/>
              </w:rPr>
            </w:pPr>
            <w:r>
              <w:rPr>
                <w:i/>
              </w:rPr>
              <w:t>Starptautiskais akreditācijas forums</w:t>
            </w:r>
          </w:p>
        </w:tc>
      </w:tr>
      <w:tr w:rsidR="00014BB7" w:rsidRPr="00014BB7" w14:paraId="694CE3DD" w14:textId="77777777" w:rsidTr="00314DCA">
        <w:tc>
          <w:tcPr>
            <w:tcW w:w="1562" w:type="pct"/>
          </w:tcPr>
          <w:p w14:paraId="026E2DD4" w14:textId="77777777" w:rsidR="00014BB7" w:rsidRPr="00014BB7" w:rsidRDefault="00014BB7" w:rsidP="00314DCA">
            <w:pPr>
              <w:pStyle w:val="BodyText"/>
              <w:rPr>
                <w:noProof/>
              </w:rPr>
            </w:pPr>
          </w:p>
        </w:tc>
        <w:tc>
          <w:tcPr>
            <w:tcW w:w="3438" w:type="pct"/>
          </w:tcPr>
          <w:p w14:paraId="57E0E20D" w14:textId="77777777" w:rsidR="00014BB7" w:rsidRPr="00014BB7" w:rsidRDefault="00014BB7" w:rsidP="00314DCA">
            <w:pPr>
              <w:pStyle w:val="BodyText"/>
              <w:rPr>
                <w:noProof/>
              </w:rPr>
            </w:pPr>
          </w:p>
        </w:tc>
      </w:tr>
      <w:tr w:rsidR="00014BB7" w:rsidRPr="00014BB7" w14:paraId="0933F18D" w14:textId="77777777" w:rsidTr="00314DCA">
        <w:tc>
          <w:tcPr>
            <w:tcW w:w="1562" w:type="pct"/>
          </w:tcPr>
          <w:p w14:paraId="45CE8FA5" w14:textId="77777777" w:rsidR="00014BB7" w:rsidRPr="00014BB7" w:rsidRDefault="00014BB7" w:rsidP="00314DCA">
            <w:pPr>
              <w:pStyle w:val="BodyText"/>
              <w:rPr>
                <w:noProof/>
              </w:rPr>
            </w:pPr>
            <w:r>
              <w:rPr>
                <w:noProof/>
              </w:rPr>
              <w:drawing>
                <wp:inline distT="0" distB="0" distL="0" distR="0" wp14:anchorId="481B8D9F" wp14:editId="6414E3E7">
                  <wp:extent cx="1076475" cy="676369"/>
                  <wp:effectExtent l="0" t="0" r="9525" b="9525"/>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0"/>
                          <a:stretch>
                            <a:fillRect/>
                          </a:stretch>
                        </pic:blipFill>
                        <pic:spPr>
                          <a:xfrm>
                            <a:off x="0" y="0"/>
                            <a:ext cx="1076475" cy="676369"/>
                          </a:xfrm>
                          <a:prstGeom prst="rect">
                            <a:avLst/>
                          </a:prstGeom>
                        </pic:spPr>
                      </pic:pic>
                    </a:graphicData>
                  </a:graphic>
                </wp:inline>
              </w:drawing>
            </w:r>
          </w:p>
        </w:tc>
        <w:tc>
          <w:tcPr>
            <w:tcW w:w="3438" w:type="pct"/>
            <w:vAlign w:val="center"/>
          </w:tcPr>
          <w:p w14:paraId="2069782C" w14:textId="77777777" w:rsidR="00014BB7" w:rsidRPr="00014BB7" w:rsidRDefault="00014BB7" w:rsidP="00314DCA">
            <w:pPr>
              <w:pStyle w:val="BodyText"/>
              <w:rPr>
                <w:b/>
                <w:bCs/>
                <w:noProof/>
                <w:sz w:val="28"/>
                <w:szCs w:val="28"/>
              </w:rPr>
            </w:pPr>
            <w:proofErr w:type="spellStart"/>
            <w:r>
              <w:rPr>
                <w:b/>
                <w:i/>
                <w:iCs/>
                <w:sz w:val="28"/>
              </w:rPr>
              <w:t>IAF</w:t>
            </w:r>
            <w:proofErr w:type="spellEnd"/>
            <w:r>
              <w:rPr>
                <w:b/>
                <w:sz w:val="28"/>
              </w:rPr>
              <w:t xml:space="preserve"> obligātais dokuments</w:t>
            </w:r>
          </w:p>
        </w:tc>
      </w:tr>
    </w:tbl>
    <w:p w14:paraId="28C65F3A" w14:textId="77777777" w:rsidR="00014BB7" w:rsidRPr="00014BB7" w:rsidRDefault="00014BB7" w:rsidP="00014BB7">
      <w:pPr>
        <w:jc w:val="both"/>
        <w:rPr>
          <w:rFonts w:ascii="Times New Roman" w:hAnsi="Times New Roman" w:cs="Times New Roman"/>
          <w:noProof/>
          <w:sz w:val="24"/>
          <w:szCs w:val="24"/>
        </w:rPr>
      </w:pPr>
    </w:p>
    <w:p w14:paraId="5D4005F7" w14:textId="77777777" w:rsidR="00014BB7" w:rsidRPr="00014BB7" w:rsidRDefault="00014BB7" w:rsidP="00014BB7">
      <w:pPr>
        <w:jc w:val="both"/>
        <w:rPr>
          <w:rFonts w:ascii="Times New Roman" w:eastAsia="Arial" w:hAnsi="Times New Roman" w:cs="Times New Roman"/>
          <w:noProof/>
          <w:sz w:val="24"/>
          <w:szCs w:val="24"/>
        </w:rPr>
      </w:pPr>
    </w:p>
    <w:p w14:paraId="7C31C306" w14:textId="77777777" w:rsidR="00014BB7" w:rsidRPr="00014BB7" w:rsidRDefault="00014BB7" w:rsidP="00014BB7">
      <w:pPr>
        <w:jc w:val="both"/>
        <w:rPr>
          <w:rFonts w:ascii="Times New Roman" w:eastAsia="Arial" w:hAnsi="Times New Roman" w:cs="Times New Roman"/>
          <w:noProof/>
          <w:sz w:val="24"/>
          <w:szCs w:val="24"/>
        </w:rPr>
      </w:pPr>
    </w:p>
    <w:p w14:paraId="1C13A568" w14:textId="77777777" w:rsidR="00014BB7" w:rsidRPr="00014BB7" w:rsidRDefault="00014BB7" w:rsidP="00014BB7">
      <w:pPr>
        <w:jc w:val="both"/>
        <w:rPr>
          <w:rFonts w:ascii="Times New Roman" w:eastAsia="Arial" w:hAnsi="Times New Roman" w:cs="Times New Roman"/>
          <w:noProof/>
          <w:sz w:val="24"/>
          <w:szCs w:val="24"/>
        </w:rPr>
      </w:pPr>
    </w:p>
    <w:p w14:paraId="38BD53BC" w14:textId="77777777" w:rsidR="00014BB7" w:rsidRPr="00014BB7" w:rsidRDefault="00014BB7" w:rsidP="00014BB7">
      <w:pPr>
        <w:jc w:val="both"/>
        <w:rPr>
          <w:rFonts w:ascii="Times New Roman" w:eastAsia="Arial" w:hAnsi="Times New Roman" w:cs="Times New Roman"/>
          <w:noProof/>
          <w:sz w:val="24"/>
          <w:szCs w:val="24"/>
        </w:rPr>
      </w:pPr>
    </w:p>
    <w:p w14:paraId="52421BAD" w14:textId="77777777" w:rsidR="00014BB7" w:rsidRPr="00014BB7" w:rsidRDefault="00014BB7" w:rsidP="00014BB7">
      <w:pPr>
        <w:jc w:val="center"/>
        <w:rPr>
          <w:rFonts w:ascii="Times New Roman" w:eastAsia="Arial" w:hAnsi="Times New Roman" w:cs="Times New Roman"/>
          <w:b/>
          <w:bCs/>
          <w:noProof/>
          <w:sz w:val="40"/>
          <w:szCs w:val="40"/>
        </w:rPr>
      </w:pPr>
      <w:proofErr w:type="spellStart"/>
      <w:r>
        <w:rPr>
          <w:rFonts w:ascii="Times New Roman" w:hAnsi="Times New Roman"/>
          <w:b/>
          <w:i/>
          <w:iCs/>
          <w:sz w:val="40"/>
        </w:rPr>
        <w:t>IAF</w:t>
      </w:r>
      <w:proofErr w:type="spellEnd"/>
      <w:r>
        <w:rPr>
          <w:rFonts w:ascii="Times New Roman" w:hAnsi="Times New Roman"/>
          <w:b/>
          <w:sz w:val="40"/>
        </w:rPr>
        <w:t xml:space="preserve"> OBLIGĀTAIS DOKUMENTS PAR ISO/</w:t>
      </w:r>
      <w:proofErr w:type="spellStart"/>
      <w:r>
        <w:rPr>
          <w:rFonts w:ascii="Times New Roman" w:hAnsi="Times New Roman"/>
          <w:b/>
          <w:sz w:val="40"/>
        </w:rPr>
        <w:t>IEC</w:t>
      </w:r>
      <w:proofErr w:type="spellEnd"/>
      <w:r>
        <w:rPr>
          <w:rFonts w:ascii="Times New Roman" w:hAnsi="Times New Roman"/>
          <w:b/>
          <w:sz w:val="40"/>
        </w:rPr>
        <w:t> 17021 PIEMĒROŠANU INTEGRĒTU PĀRVALDĪBAS SISTĒMU AUDITIEM</w:t>
      </w:r>
    </w:p>
    <w:p w14:paraId="4D2CA785" w14:textId="77777777" w:rsidR="00014BB7" w:rsidRPr="00014BB7" w:rsidRDefault="00014BB7" w:rsidP="00014BB7">
      <w:pPr>
        <w:jc w:val="both"/>
        <w:rPr>
          <w:rFonts w:ascii="Times New Roman" w:eastAsia="Arial" w:hAnsi="Times New Roman" w:cs="Times New Roman"/>
          <w:b/>
          <w:bCs/>
          <w:noProof/>
          <w:sz w:val="24"/>
          <w:szCs w:val="24"/>
        </w:rPr>
      </w:pPr>
    </w:p>
    <w:p w14:paraId="452373D4" w14:textId="77777777" w:rsidR="00014BB7" w:rsidRPr="00014BB7" w:rsidRDefault="00014BB7" w:rsidP="00014BB7">
      <w:pPr>
        <w:jc w:val="both"/>
        <w:rPr>
          <w:rFonts w:ascii="Times New Roman" w:eastAsia="Arial" w:hAnsi="Times New Roman" w:cs="Times New Roman"/>
          <w:b/>
          <w:bCs/>
          <w:noProof/>
          <w:sz w:val="24"/>
          <w:szCs w:val="24"/>
        </w:rPr>
      </w:pPr>
    </w:p>
    <w:p w14:paraId="7C1F7609" w14:textId="77777777" w:rsidR="00014BB7" w:rsidRPr="00014BB7" w:rsidRDefault="00014BB7" w:rsidP="00014BB7">
      <w:pPr>
        <w:jc w:val="both"/>
        <w:rPr>
          <w:rFonts w:ascii="Times New Roman" w:eastAsia="Arial" w:hAnsi="Times New Roman" w:cs="Times New Roman"/>
          <w:b/>
          <w:bCs/>
          <w:noProof/>
          <w:sz w:val="24"/>
          <w:szCs w:val="24"/>
        </w:rPr>
      </w:pPr>
    </w:p>
    <w:p w14:paraId="5E00384B" w14:textId="77777777" w:rsidR="00014BB7" w:rsidRPr="00014BB7" w:rsidRDefault="00014BB7" w:rsidP="00014BB7">
      <w:pPr>
        <w:jc w:val="both"/>
        <w:rPr>
          <w:rFonts w:ascii="Times New Roman" w:eastAsia="Arial" w:hAnsi="Times New Roman" w:cs="Times New Roman"/>
          <w:b/>
          <w:bCs/>
          <w:noProof/>
          <w:sz w:val="24"/>
          <w:szCs w:val="24"/>
        </w:rPr>
      </w:pPr>
    </w:p>
    <w:p w14:paraId="497C8D5B" w14:textId="77777777" w:rsidR="00014BB7" w:rsidRPr="00014BB7" w:rsidRDefault="00014BB7" w:rsidP="00014BB7">
      <w:pPr>
        <w:jc w:val="both"/>
        <w:rPr>
          <w:rFonts w:ascii="Times New Roman" w:eastAsia="Arial" w:hAnsi="Times New Roman" w:cs="Times New Roman"/>
          <w:b/>
          <w:bCs/>
          <w:noProof/>
          <w:sz w:val="24"/>
          <w:szCs w:val="24"/>
        </w:rPr>
      </w:pPr>
    </w:p>
    <w:p w14:paraId="4A47BC6B" w14:textId="77777777" w:rsidR="00014BB7" w:rsidRPr="00014BB7" w:rsidRDefault="00014BB7" w:rsidP="00014BB7">
      <w:pPr>
        <w:jc w:val="both"/>
        <w:rPr>
          <w:rFonts w:ascii="Times New Roman" w:eastAsia="Arial" w:hAnsi="Times New Roman" w:cs="Times New Roman"/>
          <w:b/>
          <w:bCs/>
          <w:noProof/>
          <w:sz w:val="24"/>
          <w:szCs w:val="24"/>
        </w:rPr>
      </w:pPr>
    </w:p>
    <w:p w14:paraId="3D141EFA" w14:textId="77777777" w:rsidR="00014BB7" w:rsidRPr="00014BB7" w:rsidRDefault="00014BB7" w:rsidP="00014BB7">
      <w:pPr>
        <w:jc w:val="both"/>
        <w:rPr>
          <w:rFonts w:ascii="Times New Roman" w:eastAsia="Arial" w:hAnsi="Times New Roman" w:cs="Times New Roman"/>
          <w:b/>
          <w:bCs/>
          <w:noProof/>
          <w:sz w:val="24"/>
          <w:szCs w:val="24"/>
        </w:rPr>
      </w:pPr>
    </w:p>
    <w:p w14:paraId="47F528F3" w14:textId="77777777" w:rsidR="00014BB7" w:rsidRPr="00014BB7" w:rsidRDefault="00014BB7" w:rsidP="00014BB7">
      <w:pPr>
        <w:jc w:val="both"/>
        <w:rPr>
          <w:rFonts w:ascii="Times New Roman" w:eastAsia="Arial" w:hAnsi="Times New Roman" w:cs="Times New Roman"/>
          <w:b/>
          <w:bCs/>
          <w:noProof/>
          <w:sz w:val="24"/>
          <w:szCs w:val="24"/>
        </w:rPr>
      </w:pPr>
    </w:p>
    <w:p w14:paraId="2330BABC" w14:textId="77777777" w:rsidR="00014BB7" w:rsidRPr="00014BB7" w:rsidRDefault="00014BB7" w:rsidP="00014BB7">
      <w:pPr>
        <w:jc w:val="both"/>
        <w:rPr>
          <w:rFonts w:ascii="Times New Roman" w:eastAsia="Arial" w:hAnsi="Times New Roman" w:cs="Times New Roman"/>
          <w:b/>
          <w:bCs/>
          <w:noProof/>
          <w:sz w:val="24"/>
          <w:szCs w:val="24"/>
        </w:rPr>
      </w:pPr>
    </w:p>
    <w:p w14:paraId="1F788A94" w14:textId="77777777" w:rsidR="00014BB7" w:rsidRPr="00014BB7" w:rsidRDefault="00014BB7" w:rsidP="00014BB7">
      <w:pPr>
        <w:jc w:val="both"/>
        <w:rPr>
          <w:rFonts w:ascii="Times New Roman" w:eastAsia="Arial" w:hAnsi="Times New Roman" w:cs="Times New Roman"/>
          <w:b/>
          <w:bCs/>
          <w:noProof/>
          <w:sz w:val="24"/>
          <w:szCs w:val="24"/>
        </w:rPr>
      </w:pPr>
    </w:p>
    <w:p w14:paraId="6E68FFCB" w14:textId="77777777" w:rsidR="00014BB7" w:rsidRPr="00014BB7" w:rsidRDefault="00014BB7" w:rsidP="00014BB7">
      <w:pPr>
        <w:jc w:val="center"/>
        <w:rPr>
          <w:rFonts w:ascii="Times New Roman" w:hAnsi="Times New Roman" w:cs="Times New Roman"/>
          <w:b/>
          <w:noProof/>
          <w:sz w:val="28"/>
          <w:szCs w:val="28"/>
        </w:rPr>
      </w:pPr>
      <w:r>
        <w:rPr>
          <w:rFonts w:ascii="Times New Roman" w:hAnsi="Times New Roman"/>
          <w:b/>
          <w:sz w:val="28"/>
        </w:rPr>
        <w:t>1. izdevums</w:t>
      </w:r>
    </w:p>
    <w:p w14:paraId="4D29F925" w14:textId="77777777" w:rsidR="00014BB7" w:rsidRPr="00014BB7" w:rsidRDefault="00014BB7" w:rsidP="00014BB7">
      <w:pPr>
        <w:jc w:val="both"/>
        <w:rPr>
          <w:rFonts w:ascii="Times New Roman" w:eastAsia="Arial" w:hAnsi="Times New Roman" w:cs="Times New Roman"/>
          <w:b/>
          <w:bCs/>
          <w:noProof/>
          <w:sz w:val="24"/>
          <w:szCs w:val="24"/>
        </w:rPr>
      </w:pPr>
    </w:p>
    <w:p w14:paraId="5E47D795" w14:textId="77777777" w:rsidR="00014BB7" w:rsidRPr="00014BB7" w:rsidRDefault="00014BB7" w:rsidP="00014BB7">
      <w:pPr>
        <w:pStyle w:val="BodyText"/>
        <w:jc w:val="center"/>
        <w:rPr>
          <w:b/>
          <w:bCs/>
          <w:noProof/>
        </w:rPr>
      </w:pPr>
      <w:r>
        <w:rPr>
          <w:b/>
        </w:rPr>
        <w:t>3. versija</w:t>
      </w:r>
    </w:p>
    <w:p w14:paraId="0526527D" w14:textId="77777777" w:rsidR="00014BB7" w:rsidRPr="00014BB7" w:rsidRDefault="00014BB7" w:rsidP="00014BB7">
      <w:pPr>
        <w:jc w:val="both"/>
        <w:rPr>
          <w:rFonts w:ascii="Times New Roman" w:eastAsia="Arial" w:hAnsi="Times New Roman" w:cs="Times New Roman"/>
          <w:b/>
          <w:bCs/>
          <w:noProof/>
          <w:sz w:val="24"/>
          <w:szCs w:val="24"/>
        </w:rPr>
      </w:pPr>
    </w:p>
    <w:p w14:paraId="2A373358" w14:textId="77777777" w:rsidR="00014BB7" w:rsidRPr="00014BB7" w:rsidRDefault="00014BB7" w:rsidP="00014BB7">
      <w:pPr>
        <w:jc w:val="both"/>
        <w:rPr>
          <w:rFonts w:ascii="Times New Roman" w:eastAsia="Arial" w:hAnsi="Times New Roman" w:cs="Times New Roman"/>
          <w:b/>
          <w:bCs/>
          <w:noProof/>
          <w:sz w:val="24"/>
          <w:szCs w:val="24"/>
        </w:rPr>
      </w:pPr>
    </w:p>
    <w:p w14:paraId="22B977B5" w14:textId="77777777" w:rsidR="00014BB7" w:rsidRPr="00014BB7" w:rsidRDefault="00014BB7" w:rsidP="00014BB7">
      <w:pPr>
        <w:jc w:val="center"/>
        <w:rPr>
          <w:rFonts w:ascii="Times New Roman" w:hAnsi="Times New Roman" w:cs="Times New Roman"/>
          <w:b/>
          <w:noProof/>
          <w:sz w:val="28"/>
          <w:szCs w:val="28"/>
        </w:rPr>
      </w:pPr>
      <w:r>
        <w:rPr>
          <w:rFonts w:ascii="Times New Roman" w:hAnsi="Times New Roman"/>
          <w:b/>
          <w:sz w:val="28"/>
        </w:rPr>
        <w:t>(</w:t>
      </w:r>
      <w:proofErr w:type="spellStart"/>
      <w:r>
        <w:rPr>
          <w:rFonts w:ascii="Times New Roman" w:hAnsi="Times New Roman"/>
          <w:b/>
          <w:sz w:val="28"/>
        </w:rPr>
        <w:t>IAF</w:t>
      </w:r>
      <w:proofErr w:type="spellEnd"/>
      <w:r>
        <w:rPr>
          <w:rFonts w:ascii="Times New Roman" w:hAnsi="Times New Roman"/>
          <w:b/>
          <w:sz w:val="28"/>
        </w:rPr>
        <w:t xml:space="preserve"> MD 11: 2013)</w:t>
      </w:r>
    </w:p>
    <w:p w14:paraId="40323232" w14:textId="77777777" w:rsidR="00014BB7" w:rsidRPr="00014BB7" w:rsidRDefault="00014BB7" w:rsidP="00014BB7">
      <w:pPr>
        <w:jc w:val="both"/>
        <w:rPr>
          <w:rFonts w:ascii="Times New Roman" w:eastAsia="Arial" w:hAnsi="Times New Roman" w:cs="Times New Roman"/>
          <w:noProof/>
          <w:sz w:val="24"/>
          <w:szCs w:val="24"/>
        </w:rPr>
      </w:pPr>
    </w:p>
    <w:p w14:paraId="60BC8107" w14:textId="77777777" w:rsidR="00014BB7" w:rsidRPr="00014BB7" w:rsidRDefault="00014BB7" w:rsidP="00014BB7">
      <w:pPr>
        <w:jc w:val="both"/>
        <w:rPr>
          <w:rFonts w:ascii="Times New Roman" w:eastAsia="Arial" w:hAnsi="Times New Roman" w:cs="Times New Roman"/>
          <w:noProof/>
          <w:sz w:val="24"/>
          <w:szCs w:val="24"/>
        </w:rPr>
      </w:pPr>
    </w:p>
    <w:p w14:paraId="3AAED3B8" w14:textId="77777777" w:rsidR="00014BB7" w:rsidRPr="00014BB7" w:rsidRDefault="00014BB7" w:rsidP="00014BB7">
      <w:pPr>
        <w:jc w:val="both"/>
        <w:rPr>
          <w:rFonts w:ascii="Times New Roman" w:eastAsia="Arial" w:hAnsi="Times New Roman" w:cs="Times New Roman"/>
          <w:noProof/>
          <w:sz w:val="24"/>
          <w:szCs w:val="24"/>
        </w:rPr>
      </w:pPr>
    </w:p>
    <w:p w14:paraId="5FFCFC14" w14:textId="77777777" w:rsidR="00014BB7" w:rsidRPr="00014BB7" w:rsidRDefault="00014BB7" w:rsidP="00014BB7">
      <w:pPr>
        <w:jc w:val="both"/>
        <w:rPr>
          <w:rFonts w:ascii="Times New Roman" w:eastAsia="Arial" w:hAnsi="Times New Roman" w:cs="Times New Roman"/>
          <w:noProof/>
          <w:sz w:val="24"/>
          <w:szCs w:val="24"/>
        </w:rPr>
      </w:pPr>
    </w:p>
    <w:p w14:paraId="075F7AFD" w14:textId="77777777" w:rsidR="00014BB7" w:rsidRPr="00014BB7" w:rsidRDefault="00014BB7" w:rsidP="00014BB7">
      <w:pPr>
        <w:jc w:val="both"/>
        <w:rPr>
          <w:rFonts w:ascii="Times New Roman" w:eastAsia="Arial" w:hAnsi="Times New Roman" w:cs="Times New Roman"/>
          <w:noProof/>
          <w:sz w:val="24"/>
          <w:szCs w:val="24"/>
        </w:rPr>
      </w:pPr>
    </w:p>
    <w:p w14:paraId="74FDE8B7" w14:textId="77777777" w:rsidR="00014BB7" w:rsidRPr="00014BB7" w:rsidRDefault="00014BB7" w:rsidP="00014BB7">
      <w:pPr>
        <w:jc w:val="both"/>
        <w:rPr>
          <w:rFonts w:ascii="Times New Roman" w:eastAsia="Arial" w:hAnsi="Times New Roman" w:cs="Times New Roman"/>
          <w:noProof/>
          <w:sz w:val="24"/>
          <w:szCs w:val="24"/>
        </w:rPr>
      </w:pPr>
    </w:p>
    <w:p w14:paraId="4BD5A625" w14:textId="77777777" w:rsidR="00014BB7" w:rsidRPr="00014BB7" w:rsidRDefault="00014BB7" w:rsidP="00014BB7">
      <w:pPr>
        <w:jc w:val="both"/>
        <w:rPr>
          <w:rFonts w:ascii="Times New Roman" w:eastAsia="Arial" w:hAnsi="Times New Roman" w:cs="Times New Roman"/>
          <w:noProof/>
          <w:sz w:val="24"/>
          <w:szCs w:val="24"/>
        </w:rPr>
      </w:pPr>
    </w:p>
    <w:p w14:paraId="5E53C869" w14:textId="77777777" w:rsidR="00014BB7" w:rsidRPr="00014BB7" w:rsidRDefault="00014BB7" w:rsidP="00014BB7">
      <w:pPr>
        <w:jc w:val="both"/>
        <w:rPr>
          <w:rFonts w:ascii="Times New Roman" w:eastAsia="Arial" w:hAnsi="Times New Roman" w:cs="Times New Roman"/>
          <w:noProof/>
          <w:sz w:val="24"/>
          <w:szCs w:val="24"/>
        </w:rPr>
      </w:pPr>
    </w:p>
    <w:p w14:paraId="4F3C3E5C" w14:textId="77777777" w:rsidR="00014BB7" w:rsidRPr="00014BB7" w:rsidRDefault="00014BB7" w:rsidP="00014BB7">
      <w:pPr>
        <w:jc w:val="both"/>
        <w:rPr>
          <w:rFonts w:ascii="Times New Roman" w:eastAsia="Arial" w:hAnsi="Times New Roman" w:cs="Times New Roman"/>
          <w:noProof/>
          <w:sz w:val="24"/>
          <w:szCs w:val="24"/>
        </w:rPr>
      </w:pPr>
    </w:p>
    <w:p w14:paraId="55311D92" w14:textId="77777777" w:rsidR="00014BB7" w:rsidRPr="00014BB7" w:rsidRDefault="00014BB7" w:rsidP="00014BB7">
      <w:pPr>
        <w:jc w:val="both"/>
        <w:rPr>
          <w:rFonts w:ascii="Times New Roman" w:eastAsia="Arial" w:hAnsi="Times New Roman" w:cs="Times New Roman"/>
          <w:noProof/>
          <w:sz w:val="24"/>
          <w:szCs w:val="24"/>
        </w:rPr>
      </w:pPr>
    </w:p>
    <w:p w14:paraId="5848552F" w14:textId="77777777" w:rsidR="00014BB7" w:rsidRPr="00014BB7" w:rsidRDefault="00014BB7" w:rsidP="00014BB7">
      <w:pPr>
        <w:jc w:val="both"/>
        <w:rPr>
          <w:rFonts w:ascii="Times New Roman" w:eastAsia="Arial" w:hAnsi="Times New Roman" w:cs="Times New Roman"/>
          <w:noProof/>
          <w:sz w:val="24"/>
          <w:szCs w:val="24"/>
        </w:rPr>
      </w:pPr>
    </w:p>
    <w:p w14:paraId="69F8E289" w14:textId="77777777" w:rsidR="00014BB7" w:rsidRPr="00014BB7" w:rsidRDefault="00014BB7" w:rsidP="00014BB7">
      <w:pPr>
        <w:jc w:val="both"/>
        <w:rPr>
          <w:rFonts w:ascii="Times New Roman" w:eastAsia="Arial" w:hAnsi="Times New Roman" w:cs="Times New Roman"/>
          <w:noProof/>
          <w:sz w:val="24"/>
          <w:szCs w:val="24"/>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70"/>
        <w:gridCol w:w="4693"/>
        <w:gridCol w:w="1768"/>
      </w:tblGrid>
      <w:tr w:rsidR="00014BB7" w:rsidRPr="00014BB7" w14:paraId="21AC9CA4" w14:textId="77777777" w:rsidTr="00314DCA">
        <w:tc>
          <w:tcPr>
            <w:tcW w:w="1462" w:type="pct"/>
          </w:tcPr>
          <w:p w14:paraId="0C178248" w14:textId="77777777" w:rsidR="00014BB7" w:rsidRPr="00014BB7" w:rsidRDefault="00014BB7" w:rsidP="00314DCA">
            <w:pPr>
              <w:pStyle w:val="BodyText"/>
              <w:jc w:val="center"/>
              <w:rPr>
                <w:noProof/>
                <w:sz w:val="22"/>
                <w:szCs w:val="22"/>
              </w:rPr>
            </w:pPr>
            <w:r>
              <w:rPr>
                <w:sz w:val="22"/>
              </w:rPr>
              <w:t>Izdots: 2013. gada 16. decembrī</w:t>
            </w:r>
          </w:p>
        </w:tc>
        <w:tc>
          <w:tcPr>
            <w:tcW w:w="2570" w:type="pct"/>
          </w:tcPr>
          <w:p w14:paraId="7CEDB5D5" w14:textId="77777777" w:rsidR="00014BB7" w:rsidRPr="00014BB7" w:rsidRDefault="00014BB7" w:rsidP="00314DCA">
            <w:pPr>
              <w:pStyle w:val="BodyText"/>
              <w:jc w:val="center"/>
              <w:rPr>
                <w:rFonts w:eastAsia="Lucida Calligraphy"/>
                <w:noProof/>
                <w:sz w:val="22"/>
                <w:szCs w:val="22"/>
              </w:rPr>
            </w:pPr>
            <w:r>
              <w:rPr>
                <w:sz w:val="22"/>
              </w:rPr>
              <w:t>Piemērošanas datums: tūlītējs</w:t>
            </w:r>
          </w:p>
        </w:tc>
        <w:tc>
          <w:tcPr>
            <w:tcW w:w="969" w:type="pct"/>
          </w:tcPr>
          <w:p w14:paraId="466596A1" w14:textId="77777777" w:rsidR="00014BB7" w:rsidRPr="00014BB7" w:rsidRDefault="00014BB7" w:rsidP="00314DCA">
            <w:pPr>
              <w:pStyle w:val="BodyText"/>
              <w:jc w:val="center"/>
              <w:rPr>
                <w:rFonts w:eastAsia="Lucida Calligraphy"/>
                <w:noProof/>
                <w:sz w:val="22"/>
                <w:szCs w:val="22"/>
              </w:rPr>
            </w:pPr>
            <w:proofErr w:type="spellStart"/>
            <w:r>
              <w:rPr>
                <w:sz w:val="22"/>
              </w:rPr>
              <w:t>IAF</w:t>
            </w:r>
            <w:proofErr w:type="spellEnd"/>
            <w:r>
              <w:rPr>
                <w:sz w:val="22"/>
              </w:rPr>
              <w:t xml:space="preserve"> MD 11:2013</w:t>
            </w:r>
          </w:p>
          <w:p w14:paraId="425067D8" w14:textId="77777777" w:rsidR="00014BB7" w:rsidRPr="00014BB7" w:rsidRDefault="00014BB7" w:rsidP="00314DCA">
            <w:pPr>
              <w:pStyle w:val="BodyText"/>
              <w:jc w:val="right"/>
              <w:rPr>
                <w:rFonts w:eastAsia="Lucida Calligraphy"/>
                <w:noProof/>
                <w:sz w:val="22"/>
                <w:szCs w:val="22"/>
              </w:rPr>
            </w:pPr>
            <w:r>
              <w:rPr>
                <w:sz w:val="22"/>
              </w:rPr>
              <w:t>1. izdevums, 3. versija</w:t>
            </w:r>
          </w:p>
        </w:tc>
      </w:tr>
      <w:tr w:rsidR="00014BB7" w:rsidRPr="00014BB7" w14:paraId="3F6F8B5B" w14:textId="77777777" w:rsidTr="00314DCA">
        <w:tc>
          <w:tcPr>
            <w:tcW w:w="1462" w:type="pct"/>
          </w:tcPr>
          <w:p w14:paraId="76020AE1" w14:textId="77777777" w:rsidR="00014BB7" w:rsidRPr="00014BB7" w:rsidRDefault="00014BB7" w:rsidP="00314DCA">
            <w:pPr>
              <w:pStyle w:val="BodyText"/>
              <w:jc w:val="center"/>
              <w:rPr>
                <w:noProof/>
                <w:sz w:val="22"/>
                <w:szCs w:val="22"/>
              </w:rPr>
            </w:pPr>
          </w:p>
        </w:tc>
        <w:tc>
          <w:tcPr>
            <w:tcW w:w="2570" w:type="pct"/>
          </w:tcPr>
          <w:p w14:paraId="476848A2" w14:textId="77777777" w:rsidR="00014BB7" w:rsidRPr="00014BB7" w:rsidRDefault="00014BB7" w:rsidP="00314DCA">
            <w:pPr>
              <w:pStyle w:val="BodyText"/>
              <w:jc w:val="center"/>
              <w:rPr>
                <w:noProof/>
                <w:sz w:val="22"/>
                <w:szCs w:val="22"/>
              </w:rPr>
            </w:pPr>
            <w:r>
              <w:rPr>
                <w:sz w:val="22"/>
              </w:rPr>
              <w:t>© Starptautiskais akreditācijas forums, 2013</w:t>
            </w:r>
          </w:p>
        </w:tc>
        <w:tc>
          <w:tcPr>
            <w:tcW w:w="969" w:type="pct"/>
          </w:tcPr>
          <w:p w14:paraId="06B7421A" w14:textId="77777777" w:rsidR="00014BB7" w:rsidRPr="00014BB7" w:rsidRDefault="00014BB7" w:rsidP="00314DCA">
            <w:pPr>
              <w:pStyle w:val="BodyText"/>
              <w:rPr>
                <w:noProof/>
                <w:sz w:val="22"/>
                <w:szCs w:val="22"/>
              </w:rPr>
            </w:pPr>
          </w:p>
        </w:tc>
      </w:tr>
    </w:tbl>
    <w:p w14:paraId="3C335D37" w14:textId="77777777" w:rsidR="00014BB7" w:rsidRPr="00014BB7" w:rsidRDefault="00014BB7" w:rsidP="00014BB7">
      <w:pPr>
        <w:rPr>
          <w:rFonts w:ascii="Times New Roman" w:eastAsia="Arial" w:hAnsi="Times New Roman" w:cs="Times New Roman"/>
          <w:b/>
          <w:bCs/>
          <w:noProof/>
          <w:sz w:val="24"/>
          <w:szCs w:val="24"/>
        </w:rPr>
      </w:pPr>
      <w:r>
        <w:br w:type="page"/>
      </w:r>
    </w:p>
    <w:p w14:paraId="198BD5BC" w14:textId="77777777" w:rsidR="00014BB7" w:rsidRPr="00014BB7" w:rsidRDefault="00014BB7" w:rsidP="00014BB7">
      <w:pPr>
        <w:jc w:val="both"/>
        <w:rPr>
          <w:rFonts w:ascii="Times New Roman" w:eastAsia="Arial" w:hAnsi="Times New Roman" w:cs="Times New Roman"/>
          <w:b/>
          <w:bCs/>
          <w:noProof/>
          <w:sz w:val="24"/>
          <w:szCs w:val="24"/>
        </w:rPr>
      </w:pPr>
    </w:p>
    <w:p w14:paraId="24933D1A" w14:textId="77777777" w:rsidR="00014BB7" w:rsidRPr="00014BB7" w:rsidRDefault="00014BB7" w:rsidP="00014BB7">
      <w:pPr>
        <w:pStyle w:val="BodyText"/>
        <w:rPr>
          <w:noProof/>
        </w:rPr>
      </w:pPr>
      <w:r>
        <w:t>Starptautiskais akreditācijas forums (</w:t>
      </w:r>
      <w:proofErr w:type="spellStart"/>
      <w:r>
        <w:rPr>
          <w:i/>
          <w:iCs/>
        </w:rPr>
        <w:t>IAF</w:t>
      </w:r>
      <w:proofErr w:type="spellEnd"/>
      <w:r>
        <w:t>) izstrādā sīkus kritērijus attiecībā uz atbilstības novērtēšanas pakalpojumus sniedzošo institūciju akreditāciju, un šāda akreditācija veicina tirdzniecību un mazina pieprasījumu īstenot daudzkārtējas atbilstības novērtēšanas darbības.</w:t>
      </w:r>
    </w:p>
    <w:p w14:paraId="3F9BE3F0" w14:textId="77777777" w:rsidR="00014BB7" w:rsidRPr="00014BB7" w:rsidRDefault="00014BB7" w:rsidP="00014BB7">
      <w:pPr>
        <w:pStyle w:val="BodyText"/>
        <w:rPr>
          <w:noProof/>
        </w:rPr>
      </w:pPr>
    </w:p>
    <w:p w14:paraId="5A8451B1" w14:textId="77777777" w:rsidR="00014BB7" w:rsidRPr="00014BB7" w:rsidRDefault="00014BB7" w:rsidP="00014BB7">
      <w:pPr>
        <w:pStyle w:val="BodyText"/>
        <w:rPr>
          <w:noProof/>
        </w:rPr>
      </w:pPr>
      <w:r>
        <w:t xml:space="preserve">Akreditācija mazina riskus uzņēmumiem un to klientiem, garantējot, ka akreditētas atbilstības novērtēšanas institūcijas (ANI) ir kompetentas veikt darbu, ko tās uzņemas savā akreditācijas sfērā. Akreditācijas iestādēm (AI), kas ir </w:t>
      </w:r>
      <w:proofErr w:type="spellStart"/>
      <w:r>
        <w:rPr>
          <w:i/>
          <w:iCs/>
        </w:rPr>
        <w:t>IAF</w:t>
      </w:r>
      <w:proofErr w:type="spellEnd"/>
      <w:r>
        <w:t xml:space="preserve"> locekles, un ANI, ko tās akreditē, ir jāpilda attiecīgie starptautiskie standarti un piemērojamie </w:t>
      </w:r>
      <w:proofErr w:type="spellStart"/>
      <w:r>
        <w:rPr>
          <w:i/>
          <w:iCs/>
        </w:rPr>
        <w:t>IAF</w:t>
      </w:r>
      <w:proofErr w:type="spellEnd"/>
      <w:r>
        <w:t xml:space="preserve"> prasību dokumenti šo standartu saskaņotai piemērošanai.</w:t>
      </w:r>
    </w:p>
    <w:p w14:paraId="213ED589" w14:textId="77777777" w:rsidR="00014BB7" w:rsidRPr="00014BB7" w:rsidRDefault="00014BB7" w:rsidP="00014BB7">
      <w:pPr>
        <w:pStyle w:val="BodyText"/>
        <w:rPr>
          <w:noProof/>
        </w:rPr>
      </w:pPr>
    </w:p>
    <w:p w14:paraId="0292A145" w14:textId="77777777" w:rsidR="00014BB7" w:rsidRPr="00014BB7" w:rsidRDefault="00014BB7" w:rsidP="00014BB7">
      <w:pPr>
        <w:pStyle w:val="BodyText"/>
        <w:rPr>
          <w:noProof/>
        </w:rPr>
      </w:pPr>
      <w:proofErr w:type="spellStart"/>
      <w:r>
        <w:rPr>
          <w:i/>
          <w:iCs/>
        </w:rPr>
        <w:t>IAF</w:t>
      </w:r>
      <w:proofErr w:type="spellEnd"/>
      <w:r>
        <w:t xml:space="preserve"> daudzpusējo atzīšanas nolīgumu (</w:t>
      </w:r>
      <w:proofErr w:type="spellStart"/>
      <w:r>
        <w:rPr>
          <w:i/>
          <w:iCs/>
        </w:rPr>
        <w:t>MLA</w:t>
      </w:r>
      <w:proofErr w:type="spellEnd"/>
      <w:r>
        <w:t xml:space="preserve">) parakstījušās AI regulāri novērtē iecelta speciālistu grupa, lai nodrošinātu uzticamu šo iestāžu akreditācijas programmu darbību. </w:t>
      </w:r>
      <w:proofErr w:type="spellStart"/>
      <w:r>
        <w:rPr>
          <w:i/>
          <w:iCs/>
        </w:rPr>
        <w:t>IAF</w:t>
      </w:r>
      <w:proofErr w:type="spellEnd"/>
      <w:r>
        <w:rPr>
          <w:i/>
          <w:iCs/>
        </w:rPr>
        <w:t xml:space="preserve"> </w:t>
      </w:r>
      <w:proofErr w:type="spellStart"/>
      <w:r>
        <w:rPr>
          <w:i/>
          <w:iCs/>
        </w:rPr>
        <w:t>MLA</w:t>
      </w:r>
      <w:proofErr w:type="spellEnd"/>
      <w:r>
        <w:t xml:space="preserve"> struktūra un joma ir precizēta dokumentā </w:t>
      </w:r>
      <w:proofErr w:type="spellStart"/>
      <w:r>
        <w:t>IAF</w:t>
      </w:r>
      <w:proofErr w:type="spellEnd"/>
      <w:r>
        <w:t> PR 4 “</w:t>
      </w:r>
      <w:proofErr w:type="spellStart"/>
      <w:r>
        <w:t>Structure</w:t>
      </w:r>
      <w:proofErr w:type="spellEnd"/>
      <w:r>
        <w:t xml:space="preserve"> </w:t>
      </w:r>
      <w:proofErr w:type="spellStart"/>
      <w:r>
        <w:t>of</w:t>
      </w:r>
      <w:proofErr w:type="spellEnd"/>
      <w:r>
        <w:t xml:space="preserve"> </w:t>
      </w:r>
      <w:proofErr w:type="spellStart"/>
      <w:r>
        <w:t>IAF</w:t>
      </w:r>
      <w:proofErr w:type="spellEnd"/>
      <w:r>
        <w:t xml:space="preserve"> </w:t>
      </w:r>
      <w:proofErr w:type="spellStart"/>
      <w:r>
        <w:t>MLA</w:t>
      </w:r>
      <w:proofErr w:type="spellEnd"/>
      <w:r>
        <w:t xml:space="preserve"> </w:t>
      </w:r>
      <w:proofErr w:type="spellStart"/>
      <w:r>
        <w:t>and</w:t>
      </w:r>
      <w:proofErr w:type="spellEnd"/>
      <w:r>
        <w:t xml:space="preserve"> </w:t>
      </w:r>
      <w:proofErr w:type="spellStart"/>
      <w:r>
        <w:t>Endorsed</w:t>
      </w:r>
      <w:proofErr w:type="spellEnd"/>
      <w:r>
        <w:t xml:space="preserve"> </w:t>
      </w:r>
      <w:proofErr w:type="spellStart"/>
      <w:r>
        <w:t>Normative</w:t>
      </w:r>
      <w:proofErr w:type="spellEnd"/>
      <w:r>
        <w:t xml:space="preserve"> Documents” [</w:t>
      </w:r>
      <w:proofErr w:type="spellStart"/>
      <w:r>
        <w:t>IAF</w:t>
      </w:r>
      <w:proofErr w:type="spellEnd"/>
      <w:r>
        <w:t xml:space="preserve"> </w:t>
      </w:r>
      <w:proofErr w:type="spellStart"/>
      <w:r>
        <w:t>MLA</w:t>
      </w:r>
      <w:proofErr w:type="spellEnd"/>
      <w:r>
        <w:t xml:space="preserve"> struktūra un apstiprinātie normatīvie dokumenti].</w:t>
      </w:r>
    </w:p>
    <w:p w14:paraId="4E4185E5" w14:textId="77777777" w:rsidR="00014BB7" w:rsidRPr="00014BB7" w:rsidRDefault="00014BB7" w:rsidP="00014BB7">
      <w:pPr>
        <w:pStyle w:val="BodyText"/>
        <w:rPr>
          <w:noProof/>
        </w:rPr>
      </w:pPr>
    </w:p>
    <w:p w14:paraId="42BA7404" w14:textId="77777777" w:rsidR="00014BB7" w:rsidRPr="00014BB7" w:rsidRDefault="00014BB7" w:rsidP="00014BB7">
      <w:pPr>
        <w:pStyle w:val="BodyText"/>
        <w:rPr>
          <w:noProof/>
        </w:rPr>
      </w:pPr>
      <w:proofErr w:type="spellStart"/>
      <w:r>
        <w:rPr>
          <w:i/>
          <w:iCs/>
        </w:rPr>
        <w:t>IAF</w:t>
      </w:r>
      <w:proofErr w:type="spellEnd"/>
      <w:r>
        <w:rPr>
          <w:i/>
          <w:iCs/>
        </w:rPr>
        <w:t xml:space="preserve"> </w:t>
      </w:r>
      <w:proofErr w:type="spellStart"/>
      <w:r>
        <w:rPr>
          <w:i/>
          <w:iCs/>
        </w:rPr>
        <w:t>MLA</w:t>
      </w:r>
      <w:proofErr w:type="spellEnd"/>
      <w:r>
        <w:t xml:space="preserve"> ir strukturēts piecos līmeņos. 1. līmenī ir noteikti obligātie kritēriji, kas piemērojami visām AI, ISO/</w:t>
      </w:r>
      <w:proofErr w:type="spellStart"/>
      <w:r>
        <w:t>IEC</w:t>
      </w:r>
      <w:proofErr w:type="spellEnd"/>
      <w:r>
        <w:t xml:space="preserve"> 17011. 2. līmeņa darbības(-u) un attiecīgā(-o) 3. līmeņa normatīvā(-o) dokumenta(-u) apvienojums ir </w:t>
      </w:r>
      <w:proofErr w:type="spellStart"/>
      <w:r>
        <w:rPr>
          <w:i/>
          <w:iCs/>
        </w:rPr>
        <w:t>MLA</w:t>
      </w:r>
      <w:proofErr w:type="spellEnd"/>
      <w:r>
        <w:t xml:space="preserve"> galvenā joma, savukārt 4. līmeņa (ja atbilstīgi) un 5. līmeņa attiecīgo normatīvo dokumentu apvienojums ir </w:t>
      </w:r>
      <w:proofErr w:type="spellStart"/>
      <w:r>
        <w:rPr>
          <w:i/>
          <w:iCs/>
        </w:rPr>
        <w:t>MLA</w:t>
      </w:r>
      <w:proofErr w:type="spellEnd"/>
      <w:r>
        <w:t xml:space="preserve"> pakārtota joma.</w:t>
      </w:r>
    </w:p>
    <w:p w14:paraId="0601956C" w14:textId="77777777" w:rsidR="00014BB7" w:rsidRPr="00014BB7" w:rsidRDefault="00014BB7" w:rsidP="00014BB7">
      <w:pPr>
        <w:pStyle w:val="BodyText"/>
        <w:rPr>
          <w:noProof/>
        </w:rPr>
      </w:pPr>
    </w:p>
    <w:p w14:paraId="05CE0D28" w14:textId="77777777" w:rsidR="00014BB7" w:rsidRPr="00014BB7" w:rsidRDefault="00014BB7" w:rsidP="00014BB7">
      <w:pPr>
        <w:pStyle w:val="BodyText"/>
        <w:numPr>
          <w:ilvl w:val="0"/>
          <w:numId w:val="6"/>
        </w:numPr>
        <w:tabs>
          <w:tab w:val="left" w:pos="851"/>
        </w:tabs>
        <w:ind w:left="284" w:firstLine="0"/>
        <w:rPr>
          <w:noProof/>
        </w:rPr>
      </w:pPr>
      <w:proofErr w:type="spellStart"/>
      <w:r>
        <w:rPr>
          <w:i/>
          <w:iCs/>
        </w:rPr>
        <w:t>MLA</w:t>
      </w:r>
      <w:proofErr w:type="spellEnd"/>
      <w:r>
        <w:t xml:space="preserve"> galvenajā jomā ietilpst darbības, piemēram, produkta sertifikācija un saistītie obligātie dokumenti, piemēram, ISO/</w:t>
      </w:r>
      <w:proofErr w:type="spellStart"/>
      <w:r>
        <w:t>IEC</w:t>
      </w:r>
      <w:proofErr w:type="spellEnd"/>
      <w:r>
        <w:t> 17065. Apliecinājumi, ko veic ANI galvenās jomas līmenī, tiek uzskatīti par vienlīdz uzticamiem.</w:t>
      </w:r>
    </w:p>
    <w:p w14:paraId="4CDB5E7E" w14:textId="77777777" w:rsidR="00014BB7" w:rsidRPr="00014BB7" w:rsidRDefault="00014BB7" w:rsidP="00014BB7">
      <w:pPr>
        <w:pStyle w:val="BodyText"/>
        <w:numPr>
          <w:ilvl w:val="0"/>
          <w:numId w:val="6"/>
        </w:numPr>
        <w:tabs>
          <w:tab w:val="left" w:pos="851"/>
        </w:tabs>
        <w:ind w:left="284" w:firstLine="0"/>
        <w:rPr>
          <w:noProof/>
        </w:rPr>
      </w:pPr>
      <w:proofErr w:type="spellStart"/>
      <w:r>
        <w:rPr>
          <w:i/>
          <w:iCs/>
        </w:rPr>
        <w:t>MLA</w:t>
      </w:r>
      <w:proofErr w:type="spellEnd"/>
      <w:r>
        <w:t xml:space="preserve"> pakārtotajā jomā ietilpst atbilstības novērtēšanas prasības, piemēram, ISO 9001, un, ja atbilstīgi, – shēmas īpašās prasības, piemēram, ISO </w:t>
      </w:r>
      <w:proofErr w:type="spellStart"/>
      <w:r>
        <w:t>TS</w:t>
      </w:r>
      <w:proofErr w:type="spellEnd"/>
      <w:r>
        <w:t> 22003. Apliecinājumi, ko veic ANI pakārtotās jomas līmenī, tiek uzskatīti par līdzvērtīgiem.</w:t>
      </w:r>
    </w:p>
    <w:p w14:paraId="16C4F300" w14:textId="77777777" w:rsidR="00014BB7" w:rsidRPr="00014BB7" w:rsidRDefault="00014BB7" w:rsidP="00014BB7">
      <w:pPr>
        <w:pStyle w:val="BodyText"/>
        <w:rPr>
          <w:noProof/>
        </w:rPr>
      </w:pPr>
    </w:p>
    <w:p w14:paraId="1CAAF7B5" w14:textId="77777777" w:rsidR="00014BB7" w:rsidRPr="00014BB7" w:rsidRDefault="00014BB7" w:rsidP="00014BB7">
      <w:pPr>
        <w:pStyle w:val="BodyText"/>
        <w:rPr>
          <w:noProof/>
        </w:rPr>
      </w:pPr>
      <w:proofErr w:type="spellStart"/>
      <w:r>
        <w:rPr>
          <w:i/>
          <w:iCs/>
        </w:rPr>
        <w:t>IAF</w:t>
      </w:r>
      <w:proofErr w:type="spellEnd"/>
      <w:r>
        <w:rPr>
          <w:i/>
          <w:iCs/>
        </w:rPr>
        <w:t xml:space="preserve"> </w:t>
      </w:r>
      <w:proofErr w:type="spellStart"/>
      <w:r>
        <w:rPr>
          <w:i/>
          <w:iCs/>
        </w:rPr>
        <w:t>MLA</w:t>
      </w:r>
      <w:proofErr w:type="spellEnd"/>
      <w:r>
        <w:t xml:space="preserve"> nodrošina uzticamību, kas nepieciešama, lai tirgus atzītu atbilstības novērtēšanas rezultātus. Apliecinājumi, ko saskaņā ar </w:t>
      </w:r>
      <w:proofErr w:type="spellStart"/>
      <w:r>
        <w:rPr>
          <w:i/>
          <w:iCs/>
        </w:rPr>
        <w:t>IAF</w:t>
      </w:r>
      <w:proofErr w:type="spellEnd"/>
      <w:r>
        <w:rPr>
          <w:i/>
          <w:iCs/>
        </w:rPr>
        <w:t xml:space="preserve"> </w:t>
      </w:r>
      <w:proofErr w:type="spellStart"/>
      <w:r>
        <w:rPr>
          <w:i/>
          <w:iCs/>
        </w:rPr>
        <w:t>MLA</w:t>
      </w:r>
      <w:proofErr w:type="spellEnd"/>
      <w:r>
        <w:t xml:space="preserve"> ir izdevusi institūcija, kuru ir akreditējusi </w:t>
      </w:r>
      <w:proofErr w:type="spellStart"/>
      <w:r>
        <w:rPr>
          <w:i/>
          <w:iCs/>
        </w:rPr>
        <w:t>IAF</w:t>
      </w:r>
      <w:proofErr w:type="spellEnd"/>
      <w:r>
        <w:rPr>
          <w:i/>
          <w:iCs/>
        </w:rPr>
        <w:t xml:space="preserve"> </w:t>
      </w:r>
      <w:proofErr w:type="spellStart"/>
      <w:r>
        <w:rPr>
          <w:i/>
          <w:iCs/>
        </w:rPr>
        <w:t>MLA</w:t>
      </w:r>
      <w:proofErr w:type="spellEnd"/>
      <w:r>
        <w:t xml:space="preserve"> parakstītāja AI, var tikt atzīti visā pasaulē, tādējādi veicinot starptautisko tirdzniecību.</w:t>
      </w:r>
    </w:p>
    <w:p w14:paraId="65ED90C6" w14:textId="77777777" w:rsidR="00014BB7" w:rsidRPr="00014BB7" w:rsidRDefault="00014BB7" w:rsidP="00014BB7">
      <w:pPr>
        <w:pStyle w:val="BodyText"/>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45"/>
        <w:gridCol w:w="3886"/>
      </w:tblGrid>
      <w:tr w:rsidR="00014BB7" w:rsidRPr="00014BB7" w14:paraId="39BBC46A" w14:textId="77777777" w:rsidTr="00314DCA">
        <w:tc>
          <w:tcPr>
            <w:tcW w:w="2872" w:type="pct"/>
          </w:tcPr>
          <w:p w14:paraId="65D7FAB5" w14:textId="77777777" w:rsidR="00014BB7" w:rsidRPr="00014BB7" w:rsidRDefault="00014BB7" w:rsidP="00314DCA">
            <w:pPr>
              <w:pStyle w:val="BodyText"/>
              <w:rPr>
                <w:noProof/>
              </w:rPr>
            </w:pPr>
            <w:r>
              <w:t>1. izdevums</w:t>
            </w:r>
          </w:p>
          <w:p w14:paraId="29B9D87B" w14:textId="77777777" w:rsidR="00014BB7" w:rsidRPr="00014BB7" w:rsidRDefault="00014BB7" w:rsidP="00314DCA">
            <w:pPr>
              <w:pStyle w:val="BodyText"/>
              <w:rPr>
                <w:noProof/>
              </w:rPr>
            </w:pPr>
            <w:r>
              <w:t xml:space="preserve">Sagatavoja: </w:t>
            </w:r>
            <w:proofErr w:type="spellStart"/>
            <w:r>
              <w:rPr>
                <w:i/>
                <w:iCs/>
              </w:rPr>
              <w:t>IAF</w:t>
            </w:r>
            <w:proofErr w:type="spellEnd"/>
            <w:r>
              <w:t xml:space="preserve"> Tehniskā komiteja</w:t>
            </w:r>
          </w:p>
        </w:tc>
        <w:tc>
          <w:tcPr>
            <w:tcW w:w="2128" w:type="pct"/>
          </w:tcPr>
          <w:p w14:paraId="59B2C1A5" w14:textId="77777777" w:rsidR="00014BB7" w:rsidRPr="00014BB7" w:rsidRDefault="00014BB7" w:rsidP="00314DCA">
            <w:pPr>
              <w:pStyle w:val="BodyText"/>
              <w:rPr>
                <w:rFonts w:eastAsia="Lucida Calligraphy"/>
                <w:i/>
                <w:iCs/>
                <w:noProof/>
              </w:rPr>
            </w:pPr>
          </w:p>
        </w:tc>
      </w:tr>
      <w:tr w:rsidR="00014BB7" w:rsidRPr="00014BB7" w14:paraId="013AC474" w14:textId="77777777" w:rsidTr="00314DCA">
        <w:tc>
          <w:tcPr>
            <w:tcW w:w="2872" w:type="pct"/>
          </w:tcPr>
          <w:p w14:paraId="736AD871" w14:textId="77777777" w:rsidR="00014BB7" w:rsidRPr="00014BB7" w:rsidRDefault="00014BB7" w:rsidP="00314DCA">
            <w:pPr>
              <w:pStyle w:val="BodyText"/>
              <w:rPr>
                <w:noProof/>
              </w:rPr>
            </w:pPr>
            <w:r>
              <w:t xml:space="preserve">Apstiprināja: </w:t>
            </w:r>
            <w:proofErr w:type="spellStart"/>
            <w:r>
              <w:rPr>
                <w:i/>
                <w:iCs/>
              </w:rPr>
              <w:t>IAF</w:t>
            </w:r>
            <w:proofErr w:type="spellEnd"/>
            <w:r>
              <w:t xml:space="preserve"> locekļi</w:t>
            </w:r>
          </w:p>
          <w:p w14:paraId="64FE6142" w14:textId="77777777" w:rsidR="00014BB7" w:rsidRPr="00014BB7" w:rsidRDefault="00014BB7" w:rsidP="00314DCA">
            <w:pPr>
              <w:pStyle w:val="BodyText"/>
              <w:rPr>
                <w:noProof/>
              </w:rPr>
            </w:pPr>
            <w:r>
              <w:t>Izdošanas datums: 2013. gada 16. decembris</w:t>
            </w:r>
          </w:p>
        </w:tc>
        <w:tc>
          <w:tcPr>
            <w:tcW w:w="2128" w:type="pct"/>
          </w:tcPr>
          <w:p w14:paraId="0DE604B6" w14:textId="77777777" w:rsidR="00014BB7" w:rsidRPr="00014BB7" w:rsidRDefault="00014BB7" w:rsidP="00314DCA">
            <w:pPr>
              <w:pStyle w:val="BodyText"/>
              <w:rPr>
                <w:noProof/>
              </w:rPr>
            </w:pPr>
            <w:r>
              <w:t>Datums: 2012. gada 21. augusts</w:t>
            </w:r>
          </w:p>
          <w:p w14:paraId="4C4F6487" w14:textId="77777777" w:rsidR="00014BB7" w:rsidRPr="00014BB7" w:rsidRDefault="00014BB7" w:rsidP="00314DCA">
            <w:pPr>
              <w:pStyle w:val="BodyText"/>
              <w:rPr>
                <w:noProof/>
              </w:rPr>
            </w:pPr>
            <w:r>
              <w:t>Datums: 2012. gada 17. decembris</w:t>
            </w:r>
          </w:p>
          <w:p w14:paraId="1CD0618B" w14:textId="77777777" w:rsidR="00014BB7" w:rsidRPr="00014BB7" w:rsidRDefault="00014BB7" w:rsidP="00314DCA">
            <w:pPr>
              <w:pStyle w:val="BodyText"/>
              <w:rPr>
                <w:noProof/>
              </w:rPr>
            </w:pPr>
            <w:r>
              <w:t>Piemērošanas datums: tūlītējs</w:t>
            </w:r>
          </w:p>
        </w:tc>
      </w:tr>
      <w:tr w:rsidR="00014BB7" w:rsidRPr="00014BB7" w14:paraId="0D8135C4" w14:textId="77777777" w:rsidTr="00314DCA">
        <w:tc>
          <w:tcPr>
            <w:tcW w:w="5000" w:type="pct"/>
            <w:gridSpan w:val="2"/>
          </w:tcPr>
          <w:p w14:paraId="468F3709" w14:textId="77777777" w:rsidR="00014BB7" w:rsidRPr="00014BB7" w:rsidRDefault="00014BB7" w:rsidP="00314DCA">
            <w:pPr>
              <w:pStyle w:val="BodyText"/>
              <w:rPr>
                <w:noProof/>
              </w:rPr>
            </w:pPr>
            <w:r>
              <w:t>Kontaktpersona informācijas pieprasījumiem: Elva </w:t>
            </w:r>
            <w:proofErr w:type="spellStart"/>
            <w:r>
              <w:t>Nilsena</w:t>
            </w:r>
            <w:proofErr w:type="spellEnd"/>
            <w:r>
              <w:t xml:space="preserve"> [</w:t>
            </w:r>
            <w:r>
              <w:rPr>
                <w:i/>
                <w:iCs/>
              </w:rPr>
              <w:t xml:space="preserve">Elva </w:t>
            </w:r>
            <w:proofErr w:type="spellStart"/>
            <w:r>
              <w:rPr>
                <w:i/>
                <w:iCs/>
              </w:rPr>
              <w:t>Nilsen</w:t>
            </w:r>
            <w:proofErr w:type="spellEnd"/>
            <w:r>
              <w:t xml:space="preserve">], </w:t>
            </w:r>
            <w:proofErr w:type="spellStart"/>
            <w:r>
              <w:rPr>
                <w:i/>
                <w:iCs/>
              </w:rPr>
              <w:t>IAF</w:t>
            </w:r>
            <w:proofErr w:type="spellEnd"/>
            <w:r>
              <w:rPr>
                <w:i/>
                <w:iCs/>
              </w:rPr>
              <w:t xml:space="preserve"> </w:t>
            </w:r>
            <w:r>
              <w:t>korporācijas sekretāre</w:t>
            </w:r>
          </w:p>
          <w:p w14:paraId="7F3F2424" w14:textId="77777777" w:rsidR="00014BB7" w:rsidRPr="00014BB7" w:rsidRDefault="00014BB7" w:rsidP="00314DCA">
            <w:pPr>
              <w:pStyle w:val="BodyText"/>
              <w:rPr>
                <w:noProof/>
              </w:rPr>
            </w:pPr>
            <w:r>
              <w:t>Tālrunis: +1 (613) 454-8159</w:t>
            </w:r>
          </w:p>
          <w:p w14:paraId="345A7682" w14:textId="77777777" w:rsidR="00014BB7" w:rsidRPr="00014BB7" w:rsidRDefault="00014BB7" w:rsidP="00314DCA">
            <w:pPr>
              <w:pStyle w:val="BodyText"/>
              <w:rPr>
                <w:noProof/>
              </w:rPr>
            </w:pPr>
            <w:r>
              <w:t>E-pasts: secretary@iaf.nu</w:t>
            </w:r>
          </w:p>
        </w:tc>
      </w:tr>
    </w:tbl>
    <w:p w14:paraId="30F86031" w14:textId="77777777" w:rsidR="00014BB7" w:rsidRPr="00014BB7" w:rsidRDefault="00014BB7" w:rsidP="00014BB7">
      <w:pPr>
        <w:pStyle w:val="BodyText"/>
        <w:rPr>
          <w:noProof/>
        </w:rPr>
      </w:pPr>
    </w:p>
    <w:p w14:paraId="438F1649" w14:textId="77777777" w:rsidR="00014BB7" w:rsidRPr="00014BB7" w:rsidRDefault="00014BB7" w:rsidP="00014BB7">
      <w:pPr>
        <w:rPr>
          <w:rFonts w:ascii="Times New Roman" w:eastAsia="Arial" w:hAnsi="Times New Roman" w:cs="Times New Roman"/>
          <w:noProof/>
          <w:sz w:val="24"/>
          <w:szCs w:val="24"/>
        </w:rPr>
      </w:pPr>
      <w:r>
        <w:br w:type="page"/>
      </w:r>
    </w:p>
    <w:p w14:paraId="6356CA3B" w14:textId="77777777" w:rsidR="00014BB7" w:rsidRPr="00014BB7" w:rsidRDefault="00014BB7" w:rsidP="00014BB7">
      <w:pPr>
        <w:jc w:val="both"/>
        <w:rPr>
          <w:rFonts w:ascii="Times New Roman" w:eastAsia="Arial" w:hAnsi="Times New Roman" w:cs="Times New Roman"/>
          <w:noProof/>
          <w:sz w:val="24"/>
          <w:szCs w:val="24"/>
        </w:rPr>
      </w:pPr>
    </w:p>
    <w:p w14:paraId="13991FDD" w14:textId="77777777" w:rsidR="00014BB7" w:rsidRPr="00014BB7" w:rsidRDefault="00014BB7" w:rsidP="00014BB7">
      <w:pPr>
        <w:pStyle w:val="BodyText"/>
        <w:jc w:val="center"/>
        <w:rPr>
          <w:b/>
          <w:bCs/>
          <w:noProof/>
        </w:rPr>
      </w:pPr>
      <w:r>
        <w:rPr>
          <w:b/>
        </w:rPr>
        <w:t xml:space="preserve">Ievads attiecībā uz </w:t>
      </w:r>
      <w:proofErr w:type="spellStart"/>
      <w:r>
        <w:rPr>
          <w:b/>
          <w:i/>
          <w:iCs/>
        </w:rPr>
        <w:t>IAF</w:t>
      </w:r>
      <w:proofErr w:type="spellEnd"/>
      <w:r>
        <w:rPr>
          <w:b/>
        </w:rPr>
        <w:t xml:space="preserve"> obligātajiem dokumentiem</w:t>
      </w:r>
    </w:p>
    <w:p w14:paraId="7468205F" w14:textId="77777777" w:rsidR="00014BB7" w:rsidRPr="00014BB7" w:rsidRDefault="00014BB7" w:rsidP="00014BB7">
      <w:pPr>
        <w:jc w:val="both"/>
        <w:rPr>
          <w:rFonts w:ascii="Times New Roman" w:eastAsia="Arial" w:hAnsi="Times New Roman" w:cs="Times New Roman"/>
          <w:b/>
          <w:bCs/>
          <w:noProof/>
          <w:sz w:val="24"/>
          <w:szCs w:val="24"/>
        </w:rPr>
      </w:pPr>
    </w:p>
    <w:p w14:paraId="59AEDA77" w14:textId="4A564390" w:rsidR="00014BB7" w:rsidRPr="00014BB7" w:rsidRDefault="00014BB7" w:rsidP="00014BB7">
      <w:pPr>
        <w:pStyle w:val="BodyText"/>
        <w:rPr>
          <w:noProof/>
        </w:rPr>
      </w:pPr>
      <w:r>
        <w:t>Šajā dokumentā vēlējuma un vajadzības izteiksmi lieto, lai norādītu atzītus standarta prasību izpildes līdzekļus.</w:t>
      </w:r>
      <w:r w:rsidR="002B572E">
        <w:rPr>
          <w:rStyle w:val="FootnoteReference"/>
        </w:rPr>
        <w:footnoteReference w:id="1"/>
      </w:r>
      <w:r>
        <w:t xml:space="preserve"> Atbilstības novērtēšanas institūcija (ANI) prasības var izpildīt līdzvērtīgā veidā, ar nosacījumu, ka tā to var pierādīt akreditācijas iestādei (AI). Šajā dokumentā vajadzības un īstenības izteiksmi lieto, lai norādītu noteikumus, kas, atainojot attiecīgā standarta prasības, ir obligātie noteikumi</w:t>
      </w:r>
      <w:r w:rsidR="008242FB">
        <w:rPr>
          <w:rStyle w:val="FootnoteReference"/>
        </w:rPr>
        <w:footnoteReference w:id="2"/>
      </w:r>
      <w:r>
        <w:t>.</w:t>
      </w:r>
    </w:p>
    <w:p w14:paraId="23FFEE1C" w14:textId="77777777" w:rsidR="00014BB7" w:rsidRPr="00014BB7" w:rsidRDefault="00014BB7" w:rsidP="00014BB7">
      <w:pPr>
        <w:rPr>
          <w:rFonts w:ascii="Times New Roman" w:eastAsia="Arial" w:hAnsi="Times New Roman" w:cs="Times New Roman"/>
          <w:noProof/>
          <w:sz w:val="24"/>
          <w:szCs w:val="24"/>
        </w:rPr>
      </w:pPr>
      <w:r>
        <w:br w:type="page"/>
      </w:r>
    </w:p>
    <w:p w14:paraId="2C5E6AB6" w14:textId="77777777" w:rsidR="00014BB7" w:rsidRPr="00014BB7" w:rsidRDefault="00014BB7" w:rsidP="00014BB7">
      <w:pPr>
        <w:jc w:val="both"/>
        <w:rPr>
          <w:rFonts w:ascii="Times New Roman" w:eastAsia="Arial" w:hAnsi="Times New Roman" w:cs="Times New Roman"/>
          <w:noProof/>
          <w:sz w:val="24"/>
          <w:szCs w:val="24"/>
        </w:rPr>
      </w:pPr>
    </w:p>
    <w:p w14:paraId="09B7343D" w14:textId="2F595543" w:rsidR="00014BB7" w:rsidRPr="008B72C1" w:rsidRDefault="00014BB7" w:rsidP="008B72C1">
      <w:pPr>
        <w:pStyle w:val="BodyText"/>
        <w:jc w:val="center"/>
        <w:rPr>
          <w:b/>
          <w:bCs/>
          <w:noProof/>
        </w:rPr>
      </w:pPr>
      <w:r>
        <w:rPr>
          <w:b/>
        </w:rPr>
        <w:t>SATURA RĀDĪTĀJS</w:t>
      </w:r>
    </w:p>
    <w:sdt>
      <w:sdtPr>
        <w:id w:val="881831114"/>
        <w:docPartObj>
          <w:docPartGallery w:val="Table of Contents"/>
          <w:docPartUnique/>
        </w:docPartObj>
      </w:sdtPr>
      <w:sdtEndPr>
        <w:rPr>
          <w:rFonts w:asciiTheme="minorHAnsi" w:eastAsiaTheme="minorHAnsi" w:hAnsiTheme="minorHAnsi" w:cstheme="minorBidi"/>
          <w:b/>
          <w:bCs/>
          <w:noProof/>
          <w:color w:val="auto"/>
          <w:sz w:val="22"/>
          <w:szCs w:val="22"/>
          <w:lang w:val="lv-LV"/>
        </w:rPr>
      </w:sdtEndPr>
      <w:sdtContent>
        <w:p w14:paraId="5CB83682" w14:textId="3061661F" w:rsidR="00F42302" w:rsidRPr="008B72C1" w:rsidRDefault="00F42302" w:rsidP="00F42302">
          <w:pPr>
            <w:pStyle w:val="TOCHeading"/>
            <w:spacing w:before="0" w:line="360" w:lineRule="auto"/>
            <w:rPr>
              <w:rFonts w:ascii="Times New Roman" w:hAnsi="Times New Roman" w:cs="Times New Roman"/>
              <w:color w:val="auto"/>
              <w:sz w:val="24"/>
              <w:szCs w:val="24"/>
            </w:rPr>
          </w:pPr>
        </w:p>
        <w:p w14:paraId="0F3D35D2" w14:textId="36FB7268" w:rsidR="00F42302" w:rsidRPr="008B72C1" w:rsidRDefault="00F42302" w:rsidP="00F42302">
          <w:pPr>
            <w:pStyle w:val="TOC2"/>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r>
            <w:fldChar w:fldCharType="begin"/>
          </w:r>
          <w:r>
            <w:instrText xml:space="preserve"> TOC \o "1-3" \h \z \u </w:instrText>
          </w:r>
          <w:r>
            <w:fldChar w:fldCharType="separate"/>
          </w:r>
          <w:hyperlink w:anchor="_Toc120781032" w:history="1">
            <w:r w:rsidRPr="008B72C1">
              <w:rPr>
                <w:rStyle w:val="Hyperlink"/>
                <w:rFonts w:ascii="Times New Roman" w:hAnsi="Times New Roman" w:cs="Times New Roman"/>
                <w:noProof/>
              </w:rPr>
              <w:t>0. IEVADS</w:t>
            </w:r>
            <w:r w:rsidRPr="008B72C1">
              <w:rPr>
                <w:rFonts w:ascii="Times New Roman" w:hAnsi="Times New Roman" w:cs="Times New Roman"/>
                <w:noProof/>
                <w:webHidden/>
              </w:rPr>
              <w:tab/>
            </w:r>
            <w:r w:rsidRPr="008B72C1">
              <w:rPr>
                <w:rFonts w:ascii="Times New Roman" w:hAnsi="Times New Roman" w:cs="Times New Roman"/>
                <w:noProof/>
                <w:webHidden/>
              </w:rPr>
              <w:fldChar w:fldCharType="begin"/>
            </w:r>
            <w:r w:rsidRPr="008B72C1">
              <w:rPr>
                <w:rFonts w:ascii="Times New Roman" w:hAnsi="Times New Roman" w:cs="Times New Roman"/>
                <w:noProof/>
                <w:webHidden/>
              </w:rPr>
              <w:instrText xml:space="preserve"> PAGEREF _Toc120781032 \h </w:instrText>
            </w:r>
            <w:r w:rsidRPr="008B72C1">
              <w:rPr>
                <w:rFonts w:ascii="Times New Roman" w:hAnsi="Times New Roman" w:cs="Times New Roman"/>
                <w:noProof/>
                <w:webHidden/>
              </w:rPr>
            </w:r>
            <w:r w:rsidRPr="008B72C1">
              <w:rPr>
                <w:rFonts w:ascii="Times New Roman" w:hAnsi="Times New Roman" w:cs="Times New Roman"/>
                <w:noProof/>
                <w:webHidden/>
              </w:rPr>
              <w:fldChar w:fldCharType="separate"/>
            </w:r>
            <w:r w:rsidRPr="008B72C1">
              <w:rPr>
                <w:rFonts w:ascii="Times New Roman" w:hAnsi="Times New Roman" w:cs="Times New Roman"/>
                <w:noProof/>
                <w:webHidden/>
              </w:rPr>
              <w:t>5</w:t>
            </w:r>
            <w:r w:rsidRPr="008B72C1">
              <w:rPr>
                <w:rFonts w:ascii="Times New Roman" w:hAnsi="Times New Roman" w:cs="Times New Roman"/>
                <w:noProof/>
                <w:webHidden/>
              </w:rPr>
              <w:fldChar w:fldCharType="end"/>
            </w:r>
          </w:hyperlink>
        </w:p>
        <w:p w14:paraId="3A466E1D" w14:textId="25F438D5" w:rsidR="00F42302" w:rsidRPr="008B72C1" w:rsidRDefault="00F42302" w:rsidP="00F42302">
          <w:pPr>
            <w:pStyle w:val="TOC2"/>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781033" w:history="1">
            <w:r w:rsidRPr="008B72C1">
              <w:rPr>
                <w:rStyle w:val="Hyperlink"/>
                <w:rFonts w:ascii="Times New Roman" w:hAnsi="Times New Roman" w:cs="Times New Roman"/>
                <w:noProof/>
              </w:rPr>
              <w:t>1. DEFINĪCIJAS</w:t>
            </w:r>
            <w:r w:rsidRPr="008B72C1">
              <w:rPr>
                <w:rFonts w:ascii="Times New Roman" w:hAnsi="Times New Roman" w:cs="Times New Roman"/>
                <w:noProof/>
                <w:webHidden/>
              </w:rPr>
              <w:tab/>
            </w:r>
            <w:r w:rsidRPr="008B72C1">
              <w:rPr>
                <w:rFonts w:ascii="Times New Roman" w:hAnsi="Times New Roman" w:cs="Times New Roman"/>
                <w:noProof/>
                <w:webHidden/>
              </w:rPr>
              <w:fldChar w:fldCharType="begin"/>
            </w:r>
            <w:r w:rsidRPr="008B72C1">
              <w:rPr>
                <w:rFonts w:ascii="Times New Roman" w:hAnsi="Times New Roman" w:cs="Times New Roman"/>
                <w:noProof/>
                <w:webHidden/>
              </w:rPr>
              <w:instrText xml:space="preserve"> PAGEREF _Toc120781033 \h </w:instrText>
            </w:r>
            <w:r w:rsidRPr="008B72C1">
              <w:rPr>
                <w:rFonts w:ascii="Times New Roman" w:hAnsi="Times New Roman" w:cs="Times New Roman"/>
                <w:noProof/>
                <w:webHidden/>
              </w:rPr>
            </w:r>
            <w:r w:rsidRPr="008B72C1">
              <w:rPr>
                <w:rFonts w:ascii="Times New Roman" w:hAnsi="Times New Roman" w:cs="Times New Roman"/>
                <w:noProof/>
                <w:webHidden/>
              </w:rPr>
              <w:fldChar w:fldCharType="separate"/>
            </w:r>
            <w:r w:rsidRPr="008B72C1">
              <w:rPr>
                <w:rFonts w:ascii="Times New Roman" w:hAnsi="Times New Roman" w:cs="Times New Roman"/>
                <w:noProof/>
                <w:webHidden/>
              </w:rPr>
              <w:t>5</w:t>
            </w:r>
            <w:r w:rsidRPr="008B72C1">
              <w:rPr>
                <w:rFonts w:ascii="Times New Roman" w:hAnsi="Times New Roman" w:cs="Times New Roman"/>
                <w:noProof/>
                <w:webHidden/>
              </w:rPr>
              <w:fldChar w:fldCharType="end"/>
            </w:r>
          </w:hyperlink>
        </w:p>
        <w:p w14:paraId="3AFB2A8C" w14:textId="57D76068" w:rsidR="00F42302" w:rsidRPr="008B72C1" w:rsidRDefault="00F42302" w:rsidP="00F42302">
          <w:pPr>
            <w:pStyle w:val="TOC2"/>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781034" w:history="1">
            <w:r w:rsidRPr="008B72C1">
              <w:rPr>
                <w:rStyle w:val="Hyperlink"/>
                <w:rFonts w:ascii="Times New Roman" w:hAnsi="Times New Roman" w:cs="Times New Roman"/>
                <w:noProof/>
              </w:rPr>
              <w:t>2. PIEMĒROŠANA</w:t>
            </w:r>
            <w:r w:rsidRPr="008B72C1">
              <w:rPr>
                <w:rFonts w:ascii="Times New Roman" w:hAnsi="Times New Roman" w:cs="Times New Roman"/>
                <w:noProof/>
                <w:webHidden/>
              </w:rPr>
              <w:tab/>
            </w:r>
            <w:r w:rsidRPr="008B72C1">
              <w:rPr>
                <w:rFonts w:ascii="Times New Roman" w:hAnsi="Times New Roman" w:cs="Times New Roman"/>
                <w:noProof/>
                <w:webHidden/>
              </w:rPr>
              <w:fldChar w:fldCharType="begin"/>
            </w:r>
            <w:r w:rsidRPr="008B72C1">
              <w:rPr>
                <w:rFonts w:ascii="Times New Roman" w:hAnsi="Times New Roman" w:cs="Times New Roman"/>
                <w:noProof/>
                <w:webHidden/>
              </w:rPr>
              <w:instrText xml:space="preserve"> PAGEREF _Toc120781034 \h </w:instrText>
            </w:r>
            <w:r w:rsidRPr="008B72C1">
              <w:rPr>
                <w:rFonts w:ascii="Times New Roman" w:hAnsi="Times New Roman" w:cs="Times New Roman"/>
                <w:noProof/>
                <w:webHidden/>
              </w:rPr>
            </w:r>
            <w:r w:rsidRPr="008B72C1">
              <w:rPr>
                <w:rFonts w:ascii="Times New Roman" w:hAnsi="Times New Roman" w:cs="Times New Roman"/>
                <w:noProof/>
                <w:webHidden/>
              </w:rPr>
              <w:fldChar w:fldCharType="separate"/>
            </w:r>
            <w:r w:rsidRPr="008B72C1">
              <w:rPr>
                <w:rFonts w:ascii="Times New Roman" w:hAnsi="Times New Roman" w:cs="Times New Roman"/>
                <w:noProof/>
                <w:webHidden/>
              </w:rPr>
              <w:t>5</w:t>
            </w:r>
            <w:r w:rsidRPr="008B72C1">
              <w:rPr>
                <w:rFonts w:ascii="Times New Roman" w:hAnsi="Times New Roman" w:cs="Times New Roman"/>
                <w:noProof/>
                <w:webHidden/>
              </w:rPr>
              <w:fldChar w:fldCharType="end"/>
            </w:r>
          </w:hyperlink>
        </w:p>
        <w:p w14:paraId="509C18CC" w14:textId="5566FF7D" w:rsidR="00F42302" w:rsidRPr="008B72C1" w:rsidRDefault="00F42302" w:rsidP="00F42302">
          <w:pPr>
            <w:pStyle w:val="TOC2"/>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781035" w:history="1">
            <w:r w:rsidRPr="008B72C1">
              <w:rPr>
                <w:rStyle w:val="Hyperlink"/>
                <w:rFonts w:ascii="Times New Roman" w:hAnsi="Times New Roman" w:cs="Times New Roman"/>
                <w:noProof/>
              </w:rPr>
              <w:t>3. SĀKOTNĒJAIS AUDITS UN SERTIFIKĀCIJA</w:t>
            </w:r>
            <w:r w:rsidRPr="008B72C1">
              <w:rPr>
                <w:rFonts w:ascii="Times New Roman" w:hAnsi="Times New Roman" w:cs="Times New Roman"/>
                <w:noProof/>
                <w:webHidden/>
              </w:rPr>
              <w:tab/>
            </w:r>
            <w:r w:rsidRPr="008B72C1">
              <w:rPr>
                <w:rFonts w:ascii="Times New Roman" w:hAnsi="Times New Roman" w:cs="Times New Roman"/>
                <w:noProof/>
                <w:webHidden/>
              </w:rPr>
              <w:fldChar w:fldCharType="begin"/>
            </w:r>
            <w:r w:rsidRPr="008B72C1">
              <w:rPr>
                <w:rFonts w:ascii="Times New Roman" w:hAnsi="Times New Roman" w:cs="Times New Roman"/>
                <w:noProof/>
                <w:webHidden/>
              </w:rPr>
              <w:instrText xml:space="preserve"> PAGEREF _Toc120781035 \h </w:instrText>
            </w:r>
            <w:r w:rsidRPr="008B72C1">
              <w:rPr>
                <w:rFonts w:ascii="Times New Roman" w:hAnsi="Times New Roman" w:cs="Times New Roman"/>
                <w:noProof/>
                <w:webHidden/>
              </w:rPr>
            </w:r>
            <w:r w:rsidRPr="008B72C1">
              <w:rPr>
                <w:rFonts w:ascii="Times New Roman" w:hAnsi="Times New Roman" w:cs="Times New Roman"/>
                <w:noProof/>
                <w:webHidden/>
              </w:rPr>
              <w:fldChar w:fldCharType="separate"/>
            </w:r>
            <w:r w:rsidRPr="008B72C1">
              <w:rPr>
                <w:rFonts w:ascii="Times New Roman" w:hAnsi="Times New Roman" w:cs="Times New Roman"/>
                <w:noProof/>
                <w:webHidden/>
              </w:rPr>
              <w:t>7</w:t>
            </w:r>
            <w:r w:rsidRPr="008B72C1">
              <w:rPr>
                <w:rFonts w:ascii="Times New Roman" w:hAnsi="Times New Roman" w:cs="Times New Roman"/>
                <w:noProof/>
                <w:webHidden/>
              </w:rPr>
              <w:fldChar w:fldCharType="end"/>
            </w:r>
          </w:hyperlink>
        </w:p>
        <w:p w14:paraId="0F701F15" w14:textId="5E5583F1" w:rsidR="00F42302" w:rsidRPr="008B72C1" w:rsidRDefault="00F42302" w:rsidP="00F42302">
          <w:pPr>
            <w:pStyle w:val="TOC2"/>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781036" w:history="1">
            <w:r w:rsidRPr="008B72C1">
              <w:rPr>
                <w:rStyle w:val="Hyperlink"/>
                <w:rFonts w:ascii="Times New Roman" w:hAnsi="Times New Roman" w:cs="Times New Roman"/>
                <w:noProof/>
              </w:rPr>
              <w:t>4. UZRAUDZĪBAS UN RESERTIFIKĀCIJAS DARBĪBAS</w:t>
            </w:r>
            <w:r w:rsidRPr="008B72C1">
              <w:rPr>
                <w:rFonts w:ascii="Times New Roman" w:hAnsi="Times New Roman" w:cs="Times New Roman"/>
                <w:noProof/>
                <w:webHidden/>
              </w:rPr>
              <w:tab/>
            </w:r>
            <w:r w:rsidRPr="008B72C1">
              <w:rPr>
                <w:rFonts w:ascii="Times New Roman" w:hAnsi="Times New Roman" w:cs="Times New Roman"/>
                <w:noProof/>
                <w:webHidden/>
              </w:rPr>
              <w:fldChar w:fldCharType="begin"/>
            </w:r>
            <w:r w:rsidRPr="008B72C1">
              <w:rPr>
                <w:rFonts w:ascii="Times New Roman" w:hAnsi="Times New Roman" w:cs="Times New Roman"/>
                <w:noProof/>
                <w:webHidden/>
              </w:rPr>
              <w:instrText xml:space="preserve"> PAGEREF _Toc120781036 \h </w:instrText>
            </w:r>
            <w:r w:rsidRPr="008B72C1">
              <w:rPr>
                <w:rFonts w:ascii="Times New Roman" w:hAnsi="Times New Roman" w:cs="Times New Roman"/>
                <w:noProof/>
                <w:webHidden/>
              </w:rPr>
            </w:r>
            <w:r w:rsidRPr="008B72C1">
              <w:rPr>
                <w:rFonts w:ascii="Times New Roman" w:hAnsi="Times New Roman" w:cs="Times New Roman"/>
                <w:noProof/>
                <w:webHidden/>
              </w:rPr>
              <w:fldChar w:fldCharType="separate"/>
            </w:r>
            <w:r w:rsidRPr="008B72C1">
              <w:rPr>
                <w:rFonts w:ascii="Times New Roman" w:hAnsi="Times New Roman" w:cs="Times New Roman"/>
                <w:noProof/>
                <w:webHidden/>
              </w:rPr>
              <w:t>7</w:t>
            </w:r>
            <w:r w:rsidRPr="008B72C1">
              <w:rPr>
                <w:rFonts w:ascii="Times New Roman" w:hAnsi="Times New Roman" w:cs="Times New Roman"/>
                <w:noProof/>
                <w:webHidden/>
              </w:rPr>
              <w:fldChar w:fldCharType="end"/>
            </w:r>
          </w:hyperlink>
        </w:p>
        <w:p w14:paraId="5B651B5B" w14:textId="373D840F" w:rsidR="00F42302" w:rsidRPr="008B72C1" w:rsidRDefault="00F42302" w:rsidP="00F42302">
          <w:pPr>
            <w:pStyle w:val="TOC2"/>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781037" w:history="1">
            <w:r w:rsidRPr="008B72C1">
              <w:rPr>
                <w:rStyle w:val="Hyperlink"/>
                <w:rFonts w:ascii="Times New Roman" w:hAnsi="Times New Roman" w:cs="Times New Roman"/>
                <w:noProof/>
              </w:rPr>
              <w:t>5. APTURĒŠANA, SAMAZINĀŠANA, ATSAUKŠANA</w:t>
            </w:r>
            <w:r w:rsidRPr="008B72C1">
              <w:rPr>
                <w:rFonts w:ascii="Times New Roman" w:hAnsi="Times New Roman" w:cs="Times New Roman"/>
                <w:noProof/>
                <w:webHidden/>
              </w:rPr>
              <w:tab/>
            </w:r>
            <w:r w:rsidRPr="008B72C1">
              <w:rPr>
                <w:rFonts w:ascii="Times New Roman" w:hAnsi="Times New Roman" w:cs="Times New Roman"/>
                <w:noProof/>
                <w:webHidden/>
              </w:rPr>
              <w:fldChar w:fldCharType="begin"/>
            </w:r>
            <w:r w:rsidRPr="008B72C1">
              <w:rPr>
                <w:rFonts w:ascii="Times New Roman" w:hAnsi="Times New Roman" w:cs="Times New Roman"/>
                <w:noProof/>
                <w:webHidden/>
              </w:rPr>
              <w:instrText xml:space="preserve"> PAGEREF _Toc120781037 \h </w:instrText>
            </w:r>
            <w:r w:rsidRPr="008B72C1">
              <w:rPr>
                <w:rFonts w:ascii="Times New Roman" w:hAnsi="Times New Roman" w:cs="Times New Roman"/>
                <w:noProof/>
                <w:webHidden/>
              </w:rPr>
            </w:r>
            <w:r w:rsidRPr="008B72C1">
              <w:rPr>
                <w:rFonts w:ascii="Times New Roman" w:hAnsi="Times New Roman" w:cs="Times New Roman"/>
                <w:noProof/>
                <w:webHidden/>
              </w:rPr>
              <w:fldChar w:fldCharType="separate"/>
            </w:r>
            <w:r w:rsidRPr="008B72C1">
              <w:rPr>
                <w:rFonts w:ascii="Times New Roman" w:hAnsi="Times New Roman" w:cs="Times New Roman"/>
                <w:noProof/>
                <w:webHidden/>
              </w:rPr>
              <w:t>7</w:t>
            </w:r>
            <w:r w:rsidRPr="008B72C1">
              <w:rPr>
                <w:rFonts w:ascii="Times New Roman" w:hAnsi="Times New Roman" w:cs="Times New Roman"/>
                <w:noProof/>
                <w:webHidden/>
              </w:rPr>
              <w:fldChar w:fldCharType="end"/>
            </w:r>
          </w:hyperlink>
        </w:p>
        <w:p w14:paraId="50D74AC6" w14:textId="42D0F795" w:rsidR="00F42302" w:rsidRPr="008B72C1" w:rsidRDefault="00F42302" w:rsidP="00F42302">
          <w:pPr>
            <w:pStyle w:val="TOC2"/>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781038" w:history="1">
            <w:r w:rsidRPr="008B72C1">
              <w:rPr>
                <w:rStyle w:val="Hyperlink"/>
                <w:rFonts w:ascii="Times New Roman" w:hAnsi="Times New Roman" w:cs="Times New Roman"/>
                <w:noProof/>
              </w:rPr>
              <w:t>1. PIELIKUMS. ĪSĀKA AUDITA LAIKA NOTEIKŠANA</w:t>
            </w:r>
            <w:r w:rsidRPr="008B72C1">
              <w:rPr>
                <w:rFonts w:ascii="Times New Roman" w:hAnsi="Times New Roman" w:cs="Times New Roman"/>
                <w:noProof/>
                <w:webHidden/>
              </w:rPr>
              <w:tab/>
            </w:r>
            <w:r w:rsidRPr="008B72C1">
              <w:rPr>
                <w:rFonts w:ascii="Times New Roman" w:hAnsi="Times New Roman" w:cs="Times New Roman"/>
                <w:noProof/>
                <w:webHidden/>
              </w:rPr>
              <w:fldChar w:fldCharType="begin"/>
            </w:r>
            <w:r w:rsidRPr="008B72C1">
              <w:rPr>
                <w:rFonts w:ascii="Times New Roman" w:hAnsi="Times New Roman" w:cs="Times New Roman"/>
                <w:noProof/>
                <w:webHidden/>
              </w:rPr>
              <w:instrText xml:space="preserve"> PAGEREF _Toc120781038 \h </w:instrText>
            </w:r>
            <w:r w:rsidRPr="008B72C1">
              <w:rPr>
                <w:rFonts w:ascii="Times New Roman" w:hAnsi="Times New Roman" w:cs="Times New Roman"/>
                <w:noProof/>
                <w:webHidden/>
              </w:rPr>
            </w:r>
            <w:r w:rsidRPr="008B72C1">
              <w:rPr>
                <w:rFonts w:ascii="Times New Roman" w:hAnsi="Times New Roman" w:cs="Times New Roman"/>
                <w:noProof/>
                <w:webHidden/>
              </w:rPr>
              <w:fldChar w:fldCharType="separate"/>
            </w:r>
            <w:r w:rsidRPr="008B72C1">
              <w:rPr>
                <w:rFonts w:ascii="Times New Roman" w:hAnsi="Times New Roman" w:cs="Times New Roman"/>
                <w:noProof/>
                <w:webHidden/>
              </w:rPr>
              <w:t>8</w:t>
            </w:r>
            <w:r w:rsidRPr="008B72C1">
              <w:rPr>
                <w:rFonts w:ascii="Times New Roman" w:hAnsi="Times New Roman" w:cs="Times New Roman"/>
                <w:noProof/>
                <w:webHidden/>
              </w:rPr>
              <w:fldChar w:fldCharType="end"/>
            </w:r>
          </w:hyperlink>
        </w:p>
        <w:p w14:paraId="22100AD0" w14:textId="65B6F75A" w:rsidR="00F42302" w:rsidRDefault="00F42302" w:rsidP="00F42302">
          <w:pPr>
            <w:spacing w:line="360" w:lineRule="auto"/>
          </w:pPr>
          <w:r>
            <w:rPr>
              <w:b/>
              <w:bCs/>
              <w:noProof/>
            </w:rPr>
            <w:fldChar w:fldCharType="end"/>
          </w:r>
        </w:p>
      </w:sdtContent>
    </w:sdt>
    <w:p w14:paraId="545BAE99" w14:textId="77777777" w:rsidR="00014BB7" w:rsidRPr="00014BB7" w:rsidRDefault="00014BB7" w:rsidP="00014BB7">
      <w:pPr>
        <w:rPr>
          <w:rFonts w:ascii="Times New Roman" w:eastAsia="Arial" w:hAnsi="Times New Roman" w:cs="Times New Roman"/>
          <w:noProof/>
          <w:sz w:val="24"/>
          <w:szCs w:val="24"/>
        </w:rPr>
      </w:pPr>
      <w:r>
        <w:br w:type="page"/>
      </w:r>
    </w:p>
    <w:p w14:paraId="5C460463" w14:textId="77777777" w:rsidR="00014BB7" w:rsidRPr="00014BB7" w:rsidRDefault="00014BB7" w:rsidP="00014BB7">
      <w:pPr>
        <w:jc w:val="both"/>
        <w:rPr>
          <w:rFonts w:ascii="Times New Roman" w:eastAsia="Arial" w:hAnsi="Times New Roman" w:cs="Times New Roman"/>
          <w:noProof/>
          <w:sz w:val="24"/>
          <w:szCs w:val="24"/>
        </w:rPr>
      </w:pPr>
    </w:p>
    <w:p w14:paraId="05233DE2" w14:textId="77777777" w:rsidR="00014BB7" w:rsidRPr="00014BB7" w:rsidRDefault="00014BB7" w:rsidP="00014BB7">
      <w:pPr>
        <w:pStyle w:val="BodyText"/>
        <w:rPr>
          <w:b/>
          <w:bCs/>
          <w:noProof/>
        </w:rPr>
      </w:pPr>
      <w:proofErr w:type="spellStart"/>
      <w:r>
        <w:rPr>
          <w:b/>
          <w:i/>
          <w:iCs/>
        </w:rPr>
        <w:t>IAF</w:t>
      </w:r>
      <w:proofErr w:type="spellEnd"/>
      <w:r>
        <w:rPr>
          <w:b/>
        </w:rPr>
        <w:t xml:space="preserve"> OBLIGĀTAIS DOKUMENTS PAR ISO/</w:t>
      </w:r>
      <w:proofErr w:type="spellStart"/>
      <w:r>
        <w:rPr>
          <w:b/>
        </w:rPr>
        <w:t>IEC</w:t>
      </w:r>
      <w:proofErr w:type="spellEnd"/>
      <w:r>
        <w:rPr>
          <w:b/>
        </w:rPr>
        <w:t> 17021 PIEMĒROŠANU INTEGRĒTU PĀRVALDĪBAS SISTĒMU AUDITIEM</w:t>
      </w:r>
    </w:p>
    <w:p w14:paraId="3409BA81" w14:textId="77777777" w:rsidR="00014BB7" w:rsidRPr="00014BB7" w:rsidRDefault="00014BB7" w:rsidP="00014BB7">
      <w:pPr>
        <w:jc w:val="both"/>
        <w:rPr>
          <w:rFonts w:ascii="Times New Roman" w:eastAsia="Arial" w:hAnsi="Times New Roman" w:cs="Times New Roman"/>
          <w:b/>
          <w:bCs/>
          <w:noProof/>
          <w:sz w:val="24"/>
          <w:szCs w:val="24"/>
        </w:rPr>
      </w:pPr>
    </w:p>
    <w:p w14:paraId="7444B190" w14:textId="77777777" w:rsidR="00014BB7" w:rsidRPr="00014BB7" w:rsidRDefault="00014BB7" w:rsidP="00014BB7">
      <w:pPr>
        <w:pStyle w:val="BodyText"/>
        <w:rPr>
          <w:noProof/>
        </w:rPr>
      </w:pPr>
      <w:r>
        <w:t>Šis ir obligātais dokuments, ko izmanto, lai sertifikācijas iestādes (</w:t>
      </w:r>
      <w:proofErr w:type="spellStart"/>
      <w:r>
        <w:rPr>
          <w:i/>
          <w:iCs/>
        </w:rPr>
        <w:t>CB</w:t>
      </w:r>
      <w:proofErr w:type="spellEnd"/>
      <w:r>
        <w:t>), plānojot un veicot integrētu pārvaldības sistēmu (</w:t>
      </w:r>
      <w:proofErr w:type="spellStart"/>
      <w:r>
        <w:rPr>
          <w:i/>
          <w:iCs/>
        </w:rPr>
        <w:t>IMS</w:t>
      </w:r>
      <w:proofErr w:type="spellEnd"/>
      <w:r>
        <w:t>) auditus, saskaņoti piemērotu ISO/</w:t>
      </w:r>
      <w:proofErr w:type="spellStart"/>
      <w:r>
        <w:t>IEC</w:t>
      </w:r>
      <w:proofErr w:type="spellEnd"/>
      <w:r>
        <w:t> 17021.</w:t>
      </w:r>
    </w:p>
    <w:p w14:paraId="0A5CE531" w14:textId="77777777" w:rsidR="00014BB7" w:rsidRPr="00014BB7" w:rsidRDefault="00014BB7" w:rsidP="00014BB7">
      <w:pPr>
        <w:jc w:val="both"/>
        <w:rPr>
          <w:rFonts w:ascii="Times New Roman" w:eastAsia="Arial" w:hAnsi="Times New Roman" w:cs="Times New Roman"/>
          <w:noProof/>
          <w:sz w:val="24"/>
          <w:szCs w:val="24"/>
        </w:rPr>
      </w:pPr>
    </w:p>
    <w:p w14:paraId="28D1304A" w14:textId="77777777" w:rsidR="00014BB7" w:rsidRPr="00014BB7" w:rsidRDefault="00014BB7" w:rsidP="00014BB7">
      <w:pPr>
        <w:pStyle w:val="Heading2"/>
        <w:tabs>
          <w:tab w:val="left" w:pos="842"/>
        </w:tabs>
        <w:ind w:left="0" w:firstLine="0"/>
        <w:jc w:val="both"/>
        <w:rPr>
          <w:rFonts w:ascii="Times New Roman" w:hAnsi="Times New Roman" w:cs="Times New Roman"/>
          <w:noProof/>
        </w:rPr>
      </w:pPr>
      <w:bookmarkStart w:id="0" w:name="_Toc120781032"/>
      <w:r>
        <w:rPr>
          <w:rFonts w:ascii="Times New Roman" w:hAnsi="Times New Roman"/>
        </w:rPr>
        <w:t>0. IEVADS</w:t>
      </w:r>
      <w:bookmarkStart w:id="1" w:name="_bookmark0"/>
      <w:bookmarkEnd w:id="1"/>
      <w:bookmarkEnd w:id="0"/>
    </w:p>
    <w:p w14:paraId="7C365627" w14:textId="77777777" w:rsidR="00014BB7" w:rsidRPr="00014BB7" w:rsidRDefault="00014BB7" w:rsidP="00014BB7">
      <w:pPr>
        <w:jc w:val="both"/>
        <w:rPr>
          <w:rFonts w:ascii="Times New Roman" w:eastAsia="Arial" w:hAnsi="Times New Roman" w:cs="Times New Roman"/>
          <w:b/>
          <w:bCs/>
          <w:noProof/>
          <w:sz w:val="24"/>
          <w:szCs w:val="24"/>
        </w:rPr>
      </w:pPr>
    </w:p>
    <w:p w14:paraId="4B941D1D" w14:textId="77777777" w:rsidR="00014BB7" w:rsidRPr="00014BB7" w:rsidRDefault="00014BB7" w:rsidP="00014BB7">
      <w:pPr>
        <w:pStyle w:val="BodyText"/>
        <w:rPr>
          <w:noProof/>
        </w:rPr>
      </w:pPr>
      <w:r>
        <w:t>0.1. Šajā dokumentā ir izklāstītas prasības</w:t>
      </w:r>
      <w:r>
        <w:rPr>
          <w:i/>
          <w:iCs/>
        </w:rPr>
        <w:t xml:space="preserve"> </w:t>
      </w:r>
      <w:r>
        <w:t>ISO/</w:t>
      </w:r>
      <w:proofErr w:type="spellStart"/>
      <w:r>
        <w:t>IEC</w:t>
      </w:r>
      <w:proofErr w:type="spellEnd"/>
      <w:r>
        <w:t xml:space="preserve"> 17021 piemērošanai, plānojot un veicot </w:t>
      </w:r>
      <w:proofErr w:type="spellStart"/>
      <w:r>
        <w:rPr>
          <w:i/>
          <w:iCs/>
        </w:rPr>
        <w:t>IMS</w:t>
      </w:r>
      <w:proofErr w:type="spellEnd"/>
      <w:r>
        <w:t xml:space="preserve"> auditus un, ja nepieciešams, organizācijas pārvaldības sistēmas(-u) sertifikāciju, ņemot vērā divus vai vairāk auditu kritēriju/standartu kopumus. Joprojām ir piemērojami visi ISO/</w:t>
      </w:r>
      <w:proofErr w:type="spellStart"/>
      <w:r>
        <w:t>IEC</w:t>
      </w:r>
      <w:proofErr w:type="spellEnd"/>
      <w:r>
        <w:t> 17021 punkti, un šis dokuments nepapildina minētajā standartā noteiktās prasības un nav prioritārāks par tām.</w:t>
      </w:r>
    </w:p>
    <w:p w14:paraId="0C2DC09F" w14:textId="77777777" w:rsidR="00014BB7" w:rsidRPr="00014BB7" w:rsidRDefault="00014BB7" w:rsidP="00014BB7">
      <w:pPr>
        <w:jc w:val="both"/>
        <w:rPr>
          <w:rFonts w:ascii="Times New Roman" w:eastAsia="Arial" w:hAnsi="Times New Roman" w:cs="Times New Roman"/>
          <w:noProof/>
          <w:sz w:val="24"/>
          <w:szCs w:val="24"/>
        </w:rPr>
      </w:pPr>
    </w:p>
    <w:p w14:paraId="52435A7E" w14:textId="77777777" w:rsidR="00014BB7" w:rsidRPr="00014BB7" w:rsidRDefault="00014BB7" w:rsidP="00014BB7">
      <w:pPr>
        <w:pStyle w:val="BodyText"/>
        <w:rPr>
          <w:noProof/>
        </w:rPr>
      </w:pPr>
      <w:r>
        <w:t>0.2. Šis dokuments nav piemērojams nozaru standartiem, kuru pamatā ir ISO 9001.</w:t>
      </w:r>
    </w:p>
    <w:p w14:paraId="7CF37F98" w14:textId="77777777" w:rsidR="00014BB7" w:rsidRPr="00014BB7" w:rsidRDefault="00014BB7" w:rsidP="00014BB7">
      <w:pPr>
        <w:jc w:val="both"/>
        <w:rPr>
          <w:rFonts w:ascii="Times New Roman" w:eastAsia="Arial" w:hAnsi="Times New Roman" w:cs="Times New Roman"/>
          <w:noProof/>
          <w:sz w:val="24"/>
          <w:szCs w:val="24"/>
        </w:rPr>
      </w:pPr>
    </w:p>
    <w:p w14:paraId="2472D2AC" w14:textId="77777777" w:rsidR="00014BB7" w:rsidRPr="00014BB7" w:rsidRDefault="00014BB7" w:rsidP="00014BB7">
      <w:pPr>
        <w:pStyle w:val="BodyText"/>
        <w:rPr>
          <w:noProof/>
        </w:rPr>
      </w:pPr>
      <w:r>
        <w:t>0.3. Jāatzīmē, ka pielikums šā dokumenta beigās ir daļa no minētajām prasībām un attiecīgi lasāms kā tāds.</w:t>
      </w:r>
    </w:p>
    <w:p w14:paraId="6408CC0D" w14:textId="77777777" w:rsidR="00014BB7" w:rsidRPr="00014BB7" w:rsidRDefault="00014BB7" w:rsidP="00014BB7">
      <w:pPr>
        <w:jc w:val="both"/>
        <w:rPr>
          <w:rFonts w:ascii="Times New Roman" w:eastAsia="Arial" w:hAnsi="Times New Roman" w:cs="Times New Roman"/>
          <w:noProof/>
          <w:sz w:val="24"/>
          <w:szCs w:val="24"/>
        </w:rPr>
      </w:pPr>
    </w:p>
    <w:p w14:paraId="4088F812" w14:textId="77777777" w:rsidR="00014BB7" w:rsidRPr="00014BB7" w:rsidRDefault="00014BB7" w:rsidP="00014BB7">
      <w:pPr>
        <w:pStyle w:val="Heading2"/>
        <w:tabs>
          <w:tab w:val="left" w:pos="673"/>
        </w:tabs>
        <w:ind w:left="0" w:firstLine="0"/>
        <w:jc w:val="both"/>
        <w:rPr>
          <w:rFonts w:ascii="Times New Roman" w:hAnsi="Times New Roman" w:cs="Times New Roman"/>
          <w:noProof/>
        </w:rPr>
      </w:pPr>
      <w:bookmarkStart w:id="2" w:name="_Toc120781033"/>
      <w:r>
        <w:rPr>
          <w:rFonts w:ascii="Times New Roman" w:hAnsi="Times New Roman"/>
        </w:rPr>
        <w:t>1. DEFINĪCIJAS</w:t>
      </w:r>
      <w:bookmarkStart w:id="3" w:name="_bookmark1"/>
      <w:bookmarkEnd w:id="3"/>
      <w:bookmarkEnd w:id="2"/>
    </w:p>
    <w:p w14:paraId="61A1B336" w14:textId="77777777" w:rsidR="00014BB7" w:rsidRPr="00014BB7" w:rsidRDefault="00014BB7" w:rsidP="00014BB7">
      <w:pPr>
        <w:jc w:val="both"/>
        <w:rPr>
          <w:rFonts w:ascii="Times New Roman" w:eastAsia="Arial" w:hAnsi="Times New Roman" w:cs="Times New Roman"/>
          <w:b/>
          <w:bCs/>
          <w:noProof/>
          <w:sz w:val="24"/>
          <w:szCs w:val="24"/>
        </w:rPr>
      </w:pPr>
    </w:p>
    <w:p w14:paraId="1365154F" w14:textId="77777777" w:rsidR="00014BB7" w:rsidRPr="00014BB7" w:rsidRDefault="00014BB7" w:rsidP="00014BB7">
      <w:pPr>
        <w:pStyle w:val="BodyText"/>
        <w:rPr>
          <w:noProof/>
        </w:rPr>
      </w:pPr>
      <w:r>
        <w:t>Šajā dokumentā piemēro turpmāk minētās definīcijas.</w:t>
      </w:r>
    </w:p>
    <w:p w14:paraId="27EF2063" w14:textId="77777777" w:rsidR="00014BB7" w:rsidRPr="00014BB7" w:rsidRDefault="00014BB7" w:rsidP="00014BB7">
      <w:pPr>
        <w:jc w:val="both"/>
        <w:rPr>
          <w:rFonts w:ascii="Times New Roman" w:eastAsia="Arial" w:hAnsi="Times New Roman" w:cs="Times New Roman"/>
          <w:noProof/>
          <w:sz w:val="24"/>
          <w:szCs w:val="24"/>
        </w:rPr>
      </w:pPr>
    </w:p>
    <w:p w14:paraId="1BBA41A5" w14:textId="77777777" w:rsidR="00014BB7" w:rsidRPr="00014BB7" w:rsidRDefault="00014BB7" w:rsidP="00014BB7">
      <w:pPr>
        <w:tabs>
          <w:tab w:val="left" w:pos="810"/>
        </w:tabs>
        <w:jc w:val="both"/>
        <w:rPr>
          <w:rFonts w:ascii="Times New Roman" w:eastAsia="Arial" w:hAnsi="Times New Roman" w:cs="Times New Roman"/>
          <w:noProof/>
          <w:sz w:val="24"/>
          <w:szCs w:val="24"/>
        </w:rPr>
      </w:pPr>
      <w:r>
        <w:rPr>
          <w:rFonts w:ascii="Times New Roman" w:hAnsi="Times New Roman"/>
          <w:sz w:val="24"/>
        </w:rPr>
        <w:t xml:space="preserve">1.1. </w:t>
      </w:r>
      <w:r>
        <w:rPr>
          <w:rFonts w:ascii="Times New Roman" w:hAnsi="Times New Roman"/>
          <w:b/>
          <w:bCs/>
          <w:sz w:val="24"/>
        </w:rPr>
        <w:t>Integrētas pārvaldības sistēmas audits</w:t>
      </w:r>
      <w:r>
        <w:rPr>
          <w:rFonts w:ascii="Times New Roman" w:hAnsi="Times New Roman"/>
          <w:sz w:val="24"/>
        </w:rPr>
        <w:t xml:space="preserve"> – organizācijas pārvaldības sistēmas audits, ko veic, vienlaikus ņemot vērā divus vai vairāk auditu kritēriju/standartu kopumus.</w:t>
      </w:r>
    </w:p>
    <w:p w14:paraId="53751BF3" w14:textId="77777777" w:rsidR="00014BB7" w:rsidRPr="00014BB7" w:rsidRDefault="00014BB7" w:rsidP="00014BB7">
      <w:pPr>
        <w:jc w:val="both"/>
        <w:rPr>
          <w:rFonts w:ascii="Times New Roman" w:eastAsia="Arial" w:hAnsi="Times New Roman" w:cs="Times New Roman"/>
          <w:noProof/>
          <w:sz w:val="24"/>
          <w:szCs w:val="24"/>
        </w:rPr>
      </w:pPr>
    </w:p>
    <w:p w14:paraId="4EBE1E48" w14:textId="77777777" w:rsidR="00014BB7" w:rsidRPr="00014BB7" w:rsidRDefault="00014BB7" w:rsidP="00014BB7">
      <w:pPr>
        <w:pStyle w:val="BodyText"/>
        <w:rPr>
          <w:noProof/>
        </w:rPr>
      </w:pPr>
      <w:r>
        <w:t xml:space="preserve">1.2. </w:t>
      </w:r>
      <w:r>
        <w:rPr>
          <w:b/>
          <w:bCs/>
        </w:rPr>
        <w:t>Integrēta pārvaldības sistēma</w:t>
      </w:r>
      <w:r>
        <w:t xml:space="preserve"> –</w:t>
      </w:r>
      <w:r>
        <w:rPr>
          <w:b/>
        </w:rPr>
        <w:t xml:space="preserve"> </w:t>
      </w:r>
      <w:r>
        <w:t>vienota pārvaldības sistēma, ar ko pārvalda vairākus organizatoriskā snieguma aspektus, lai nodrošinātu atbilstību vairāku pārvaldības standartu prasībām konkrētā integrācijas līmenī (1.3. punkts). Pārvaldības sistēma var būt apvienota, papildinot atsevišķas pārvaldības sistēmas attiecībā uz katru audita kritēriju/standartu kopumu, vai integrēta un ar vienotu sistēmas dokumentāciju, pārvaldības sistēmas elementiem un pienākumiem.</w:t>
      </w:r>
    </w:p>
    <w:p w14:paraId="6E9C844C" w14:textId="77777777" w:rsidR="00014BB7" w:rsidRPr="00014BB7" w:rsidRDefault="00014BB7" w:rsidP="00014BB7">
      <w:pPr>
        <w:jc w:val="both"/>
        <w:rPr>
          <w:noProof/>
        </w:rPr>
      </w:pPr>
    </w:p>
    <w:p w14:paraId="058C5724" w14:textId="77777777" w:rsidR="00014BB7" w:rsidRPr="00014BB7" w:rsidRDefault="00014BB7" w:rsidP="00014BB7">
      <w:pPr>
        <w:pStyle w:val="BodyText"/>
        <w:rPr>
          <w:noProof/>
        </w:rPr>
      </w:pPr>
      <w:r>
        <w:t>1.3.</w:t>
      </w:r>
      <w:r>
        <w:rPr>
          <w:b/>
          <w:bCs/>
        </w:rPr>
        <w:t xml:space="preserve"> Integrācijas līmenis</w:t>
      </w:r>
      <w:r>
        <w:t xml:space="preserve"> – līmenis, līdz kādam organizācija izmanto vienotu pārvaldības sistēmu, lai pārvaldītu vairākus organizācijas snieguma aspektus nolūkā nodrošināt atbilstību vairāku pārvaldības sistēmas standartu prasībām. Integrācija ir pārvaldības sistēmas spēja integrēt dokumentāciju, atbilstošus pārvaldības sistēmas elementus un pienākumus attiecībā pret diviem vai vairāk auditu kritēriju/standartu kopumiem.</w:t>
      </w:r>
    </w:p>
    <w:p w14:paraId="73F7B98C" w14:textId="77777777" w:rsidR="00014BB7" w:rsidRPr="00014BB7" w:rsidRDefault="00014BB7" w:rsidP="00014BB7">
      <w:pPr>
        <w:jc w:val="both"/>
        <w:rPr>
          <w:noProof/>
        </w:rPr>
      </w:pPr>
    </w:p>
    <w:p w14:paraId="019615EA" w14:textId="77777777" w:rsidR="00014BB7" w:rsidRPr="00014BB7" w:rsidRDefault="00014BB7" w:rsidP="00014BB7">
      <w:pPr>
        <w:ind w:left="284"/>
        <w:jc w:val="both"/>
        <w:rPr>
          <w:rFonts w:ascii="Times New Roman" w:hAnsi="Times New Roman" w:cs="Times New Roman"/>
          <w:i/>
          <w:noProof/>
          <w:sz w:val="24"/>
          <w:szCs w:val="24"/>
        </w:rPr>
      </w:pPr>
      <w:r>
        <w:rPr>
          <w:rFonts w:ascii="Times New Roman" w:hAnsi="Times New Roman"/>
          <w:i/>
          <w:sz w:val="24"/>
        </w:rPr>
        <w:t>Piezīme. Audita kritēriji ir pārvaldības sistēmas standarti, ko izmanto par pamatu atbilstības novērtēšanai un sertifikācijai (piemēram, ISO 9001, ISO 14001, ISO/</w:t>
      </w:r>
      <w:proofErr w:type="spellStart"/>
      <w:r>
        <w:rPr>
          <w:rFonts w:ascii="Times New Roman" w:hAnsi="Times New Roman"/>
          <w:i/>
          <w:sz w:val="24"/>
        </w:rPr>
        <w:t>IEC</w:t>
      </w:r>
      <w:proofErr w:type="spellEnd"/>
      <w:r>
        <w:rPr>
          <w:rFonts w:ascii="Times New Roman" w:hAnsi="Times New Roman"/>
          <w:i/>
          <w:sz w:val="24"/>
        </w:rPr>
        <w:t> 20000, ISO 22000, ISO/</w:t>
      </w:r>
      <w:proofErr w:type="spellStart"/>
      <w:r>
        <w:rPr>
          <w:rFonts w:ascii="Times New Roman" w:hAnsi="Times New Roman"/>
          <w:i/>
          <w:sz w:val="24"/>
        </w:rPr>
        <w:t>IEC</w:t>
      </w:r>
      <w:proofErr w:type="spellEnd"/>
      <w:r>
        <w:rPr>
          <w:rFonts w:ascii="Times New Roman" w:hAnsi="Times New Roman"/>
          <w:i/>
          <w:sz w:val="24"/>
        </w:rPr>
        <w:t> 27001 utt.).</w:t>
      </w:r>
    </w:p>
    <w:p w14:paraId="75D374C4" w14:textId="77777777" w:rsidR="00014BB7" w:rsidRPr="00014BB7" w:rsidRDefault="00014BB7" w:rsidP="00014BB7">
      <w:pPr>
        <w:jc w:val="both"/>
        <w:rPr>
          <w:rFonts w:ascii="Times New Roman" w:eastAsia="Arial" w:hAnsi="Times New Roman" w:cs="Times New Roman"/>
          <w:i/>
          <w:noProof/>
          <w:sz w:val="24"/>
          <w:szCs w:val="24"/>
        </w:rPr>
      </w:pPr>
      <w:bookmarkStart w:id="4" w:name="_bookmark2"/>
      <w:bookmarkEnd w:id="4"/>
    </w:p>
    <w:p w14:paraId="4C337D56" w14:textId="77777777" w:rsidR="00014BB7" w:rsidRPr="00014BB7" w:rsidRDefault="00014BB7" w:rsidP="00014BB7">
      <w:pPr>
        <w:pStyle w:val="Heading2"/>
        <w:tabs>
          <w:tab w:val="left" w:pos="673"/>
        </w:tabs>
        <w:ind w:left="0" w:firstLine="0"/>
        <w:jc w:val="both"/>
        <w:rPr>
          <w:rFonts w:ascii="Times New Roman" w:hAnsi="Times New Roman" w:cs="Times New Roman"/>
          <w:noProof/>
        </w:rPr>
      </w:pPr>
      <w:bookmarkStart w:id="5" w:name="_Toc120781034"/>
      <w:r>
        <w:rPr>
          <w:rFonts w:ascii="Times New Roman" w:hAnsi="Times New Roman"/>
        </w:rPr>
        <w:t>2. PIEMĒROŠANA</w:t>
      </w:r>
      <w:bookmarkEnd w:id="5"/>
    </w:p>
    <w:p w14:paraId="6E5C3477" w14:textId="77777777" w:rsidR="00014BB7" w:rsidRPr="00014BB7" w:rsidRDefault="00014BB7" w:rsidP="00014BB7">
      <w:pPr>
        <w:jc w:val="both"/>
        <w:rPr>
          <w:rFonts w:ascii="Times New Roman" w:eastAsia="Arial" w:hAnsi="Times New Roman" w:cs="Times New Roman"/>
          <w:b/>
          <w:bCs/>
          <w:noProof/>
          <w:sz w:val="24"/>
          <w:szCs w:val="24"/>
        </w:rPr>
      </w:pPr>
    </w:p>
    <w:p w14:paraId="6255AC78" w14:textId="77777777" w:rsidR="00014BB7" w:rsidRPr="00014BB7" w:rsidRDefault="00014BB7" w:rsidP="00014BB7">
      <w:pPr>
        <w:pStyle w:val="BodyText"/>
        <w:rPr>
          <w:noProof/>
        </w:rPr>
      </w:pPr>
      <w:r>
        <w:t>2.1. Sertifikācijas iestāde nodrošina turpmāk minēto.</w:t>
      </w:r>
    </w:p>
    <w:p w14:paraId="0BC65F86" w14:textId="77777777" w:rsidR="00014BB7" w:rsidRPr="00014BB7" w:rsidRDefault="00014BB7" w:rsidP="00014BB7">
      <w:pPr>
        <w:jc w:val="both"/>
        <w:rPr>
          <w:rFonts w:ascii="Times New Roman" w:eastAsia="Arial" w:hAnsi="Times New Roman" w:cs="Times New Roman"/>
          <w:b/>
          <w:bCs/>
          <w:noProof/>
          <w:sz w:val="24"/>
          <w:szCs w:val="24"/>
        </w:rPr>
      </w:pPr>
    </w:p>
    <w:p w14:paraId="544B48AF" w14:textId="77777777" w:rsidR="00014BB7" w:rsidRPr="00014BB7" w:rsidRDefault="00014BB7" w:rsidP="00014BB7">
      <w:pPr>
        <w:pStyle w:val="BodyText"/>
        <w:rPr>
          <w:noProof/>
        </w:rPr>
      </w:pPr>
      <w:r>
        <w:t>2.1.1. Nosakot audita programmu, tiek ņemts vērā pārvaldības sistēmas(-u) integrācijas līmenis.</w:t>
      </w:r>
    </w:p>
    <w:p w14:paraId="67303378" w14:textId="77777777" w:rsidR="00014BB7" w:rsidRPr="00014BB7" w:rsidRDefault="00014BB7" w:rsidP="00014BB7">
      <w:pPr>
        <w:jc w:val="both"/>
        <w:rPr>
          <w:rFonts w:ascii="Times New Roman" w:eastAsia="Arial" w:hAnsi="Times New Roman" w:cs="Times New Roman"/>
          <w:noProof/>
          <w:sz w:val="24"/>
          <w:szCs w:val="24"/>
        </w:rPr>
      </w:pPr>
    </w:p>
    <w:p w14:paraId="3F3370E3" w14:textId="77777777" w:rsidR="00014BB7" w:rsidRPr="00014BB7" w:rsidRDefault="00014BB7" w:rsidP="00014BB7">
      <w:pPr>
        <w:pStyle w:val="BodyText"/>
        <w:rPr>
          <w:noProof/>
        </w:rPr>
      </w:pPr>
      <w:r>
        <w:t>2.1.2. Audita plāni aptver visas jomas un darbības, kas piemērojamas katram pārvaldības sistēmas standartam/specifikācijai, uz kuru attiecas audita darbības joma, un tos izskata kompetents(-i) auditors(-i).</w:t>
      </w:r>
    </w:p>
    <w:p w14:paraId="337E9CB1" w14:textId="77777777" w:rsidR="00014BB7" w:rsidRPr="00014BB7" w:rsidRDefault="00014BB7" w:rsidP="00014BB7">
      <w:pPr>
        <w:jc w:val="both"/>
        <w:rPr>
          <w:rFonts w:ascii="Times New Roman" w:eastAsia="Arial" w:hAnsi="Times New Roman" w:cs="Times New Roman"/>
          <w:noProof/>
          <w:sz w:val="24"/>
          <w:szCs w:val="24"/>
        </w:rPr>
      </w:pPr>
    </w:p>
    <w:p w14:paraId="1B4DFF2E" w14:textId="77777777" w:rsidR="00014BB7" w:rsidRPr="00014BB7" w:rsidRDefault="00014BB7" w:rsidP="00014BB7">
      <w:pPr>
        <w:pStyle w:val="BodyText"/>
        <w:rPr>
          <w:noProof/>
        </w:rPr>
      </w:pPr>
      <w:r>
        <w:t xml:space="preserve">2.1.3. Audita grupa kopumā atbilst sertifikācijas iestādes noteiktajām kompetences prasībām attiecībā uz katru tehnisko jomu, atbilstoši katram pārvaldības sistēmas standartam/specifikācijai, uz kuru attiecas </w:t>
      </w:r>
      <w:proofErr w:type="spellStart"/>
      <w:r>
        <w:rPr>
          <w:i/>
          <w:iCs/>
        </w:rPr>
        <w:t>IMS</w:t>
      </w:r>
      <w:proofErr w:type="spellEnd"/>
      <w:r>
        <w:t xml:space="preserve"> audita darbības joma.</w:t>
      </w:r>
    </w:p>
    <w:p w14:paraId="1A434920" w14:textId="77777777" w:rsidR="00014BB7" w:rsidRPr="00014BB7" w:rsidRDefault="00014BB7" w:rsidP="00014BB7">
      <w:pPr>
        <w:jc w:val="both"/>
        <w:rPr>
          <w:rFonts w:ascii="Times New Roman" w:eastAsia="Arial" w:hAnsi="Times New Roman" w:cs="Times New Roman"/>
          <w:noProof/>
          <w:sz w:val="24"/>
          <w:szCs w:val="24"/>
        </w:rPr>
      </w:pPr>
    </w:p>
    <w:p w14:paraId="22591A0F" w14:textId="77777777" w:rsidR="00014BB7" w:rsidRPr="00014BB7" w:rsidRDefault="00014BB7" w:rsidP="00014BB7">
      <w:pPr>
        <w:pStyle w:val="BodyText"/>
        <w:rPr>
          <w:noProof/>
        </w:rPr>
      </w:pPr>
      <w:r>
        <w:t>2.1.4. Auditu vada grupas vadītājs, kam ir kompetence vismaz vienā no audita standartiem/specifikācijām.</w:t>
      </w:r>
    </w:p>
    <w:p w14:paraId="4F496539" w14:textId="77777777" w:rsidR="00014BB7" w:rsidRPr="00014BB7" w:rsidRDefault="00014BB7" w:rsidP="00014BB7">
      <w:pPr>
        <w:jc w:val="both"/>
        <w:rPr>
          <w:rFonts w:ascii="Times New Roman" w:eastAsia="Arial" w:hAnsi="Times New Roman" w:cs="Times New Roman"/>
          <w:noProof/>
          <w:sz w:val="24"/>
          <w:szCs w:val="24"/>
        </w:rPr>
      </w:pPr>
    </w:p>
    <w:p w14:paraId="4DBD2940" w14:textId="77777777" w:rsidR="00014BB7" w:rsidRPr="00014BB7" w:rsidRDefault="00014BB7" w:rsidP="00014BB7">
      <w:pPr>
        <w:pStyle w:val="BodyText"/>
        <w:rPr>
          <w:noProof/>
        </w:rPr>
      </w:pPr>
      <w:r>
        <w:t xml:space="preserve">2.1.5. </w:t>
      </w:r>
      <w:proofErr w:type="spellStart"/>
      <w:r>
        <w:t>Atvēl</w:t>
      </w:r>
      <w:proofErr w:type="spellEnd"/>
      <w:r>
        <w:t xml:space="preserve"> pietiekami daudz laika, lai pilnībā un efektīvi veiktu organizācijas pārvaldības sistēmas auditu attiecībā uz pārvaldības sistēmas standartiem/specifikācijām, uz ko attiecas audita darbības joma.</w:t>
      </w:r>
    </w:p>
    <w:p w14:paraId="6CE46B84" w14:textId="77777777" w:rsidR="00014BB7" w:rsidRPr="00014BB7" w:rsidRDefault="00014BB7" w:rsidP="00014BB7">
      <w:pPr>
        <w:jc w:val="both"/>
        <w:rPr>
          <w:rFonts w:ascii="Times New Roman" w:hAnsi="Times New Roman" w:cs="Times New Roman"/>
          <w:noProof/>
          <w:sz w:val="24"/>
          <w:szCs w:val="24"/>
        </w:rPr>
      </w:pPr>
    </w:p>
    <w:p w14:paraId="11FD9D0B" w14:textId="77777777" w:rsidR="00014BB7" w:rsidRPr="00014BB7" w:rsidRDefault="00014BB7" w:rsidP="00014BB7">
      <w:pPr>
        <w:pStyle w:val="BodyText"/>
        <w:rPr>
          <w:noProof/>
        </w:rPr>
      </w:pPr>
      <w:r>
        <w:t xml:space="preserve">2.1.5.1. Lai noteiktu audita laiku </w:t>
      </w:r>
      <w:proofErr w:type="spellStart"/>
      <w:r>
        <w:rPr>
          <w:i/>
          <w:iCs/>
        </w:rPr>
        <w:t>IMS</w:t>
      </w:r>
      <w:proofErr w:type="spellEnd"/>
      <w:r>
        <w:t xml:space="preserve"> auditam, kas aptver divus vai vairākus pārvaldības sistēmas standartus/specifikācijas, piemēram, </w:t>
      </w:r>
      <w:proofErr w:type="spellStart"/>
      <w:r>
        <w:t>A+B+C</w:t>
      </w:r>
      <w:proofErr w:type="spellEnd"/>
      <w:r>
        <w:t>, sertifikācijas iestāde:</w:t>
      </w:r>
    </w:p>
    <w:p w14:paraId="497E6CA9" w14:textId="77777777" w:rsidR="00014BB7" w:rsidRPr="00014BB7" w:rsidRDefault="00014BB7" w:rsidP="00014BB7">
      <w:pPr>
        <w:jc w:val="both"/>
        <w:rPr>
          <w:rFonts w:ascii="Times New Roman" w:eastAsia="Arial" w:hAnsi="Times New Roman" w:cs="Times New Roman"/>
          <w:noProof/>
          <w:sz w:val="24"/>
          <w:szCs w:val="24"/>
        </w:rPr>
      </w:pPr>
    </w:p>
    <w:p w14:paraId="121B7C0B" w14:textId="77777777" w:rsidR="00014BB7" w:rsidRPr="00014BB7" w:rsidRDefault="00014BB7" w:rsidP="00014BB7">
      <w:pPr>
        <w:pStyle w:val="BodyText"/>
        <w:ind w:left="284"/>
        <w:rPr>
          <w:noProof/>
        </w:rPr>
      </w:pPr>
      <w:r>
        <w:t xml:space="preserve">a) aprēķina audita laiku, kas nepieciešams attiecībā uz katru pārvaldības sistēmas standartu/specifikāciju atsevišķi (piemērojot visus attiecīgos faktorus, kas paredzēti attiecīgajos prasību dokumentos un/vai sistēmas noteikumos attiecībā uz katru standartu, piemēram, </w:t>
      </w:r>
      <w:proofErr w:type="spellStart"/>
      <w:r>
        <w:t>IAF</w:t>
      </w:r>
      <w:proofErr w:type="spellEnd"/>
      <w:r>
        <w:t xml:space="preserve"> MD 5, ISO/</w:t>
      </w:r>
      <w:proofErr w:type="spellStart"/>
      <w:r>
        <w:t>TS</w:t>
      </w:r>
      <w:proofErr w:type="spellEnd"/>
      <w:r>
        <w:t> 22003, ISO/</w:t>
      </w:r>
      <w:proofErr w:type="spellStart"/>
      <w:r>
        <w:t>IEC</w:t>
      </w:r>
      <w:proofErr w:type="spellEnd"/>
      <w:r>
        <w:t> 27006);</w:t>
      </w:r>
    </w:p>
    <w:p w14:paraId="43727402" w14:textId="77777777" w:rsidR="00014BB7" w:rsidRPr="00014BB7" w:rsidRDefault="00014BB7" w:rsidP="00014BB7">
      <w:pPr>
        <w:ind w:left="284"/>
        <w:jc w:val="both"/>
        <w:rPr>
          <w:rFonts w:ascii="Times New Roman" w:eastAsia="Arial" w:hAnsi="Times New Roman" w:cs="Times New Roman"/>
          <w:noProof/>
          <w:sz w:val="24"/>
          <w:szCs w:val="24"/>
        </w:rPr>
      </w:pPr>
    </w:p>
    <w:p w14:paraId="18D94B8B" w14:textId="77777777" w:rsidR="00014BB7" w:rsidRPr="00014BB7" w:rsidRDefault="00014BB7" w:rsidP="00014BB7">
      <w:pPr>
        <w:pStyle w:val="BodyText"/>
        <w:ind w:left="284"/>
        <w:rPr>
          <w:noProof/>
        </w:rPr>
      </w:pPr>
      <w:r>
        <w:t xml:space="preserve">b) </w:t>
      </w:r>
      <w:proofErr w:type="spellStart"/>
      <w:r>
        <w:rPr>
          <w:i/>
          <w:iCs/>
        </w:rPr>
        <w:t>IMS</w:t>
      </w:r>
      <w:proofErr w:type="spellEnd"/>
      <w:r>
        <w:t xml:space="preserve"> audita laikam aprēķina sākumu T, saskaitot atsevišķo daļu summu (piemēram, T=</w:t>
      </w:r>
      <w:proofErr w:type="spellStart"/>
      <w:r>
        <w:t>A+B+C</w:t>
      </w:r>
      <w:proofErr w:type="spellEnd"/>
      <w:r>
        <w:t>);</w:t>
      </w:r>
    </w:p>
    <w:p w14:paraId="6333CCAA" w14:textId="77777777" w:rsidR="00014BB7" w:rsidRPr="00014BB7" w:rsidRDefault="00014BB7" w:rsidP="00014BB7">
      <w:pPr>
        <w:ind w:left="284"/>
        <w:jc w:val="both"/>
        <w:rPr>
          <w:rFonts w:ascii="Times New Roman" w:eastAsia="Arial" w:hAnsi="Times New Roman" w:cs="Times New Roman"/>
          <w:noProof/>
          <w:sz w:val="24"/>
          <w:szCs w:val="24"/>
        </w:rPr>
      </w:pPr>
    </w:p>
    <w:p w14:paraId="553F864D" w14:textId="77777777" w:rsidR="00014BB7" w:rsidRPr="00014BB7" w:rsidRDefault="00014BB7" w:rsidP="00014BB7">
      <w:pPr>
        <w:pStyle w:val="BodyText"/>
        <w:ind w:left="284"/>
        <w:rPr>
          <w:noProof/>
        </w:rPr>
      </w:pPr>
      <w:r>
        <w:t>c) koriģē sākuma skaitli, ņemot vērā faktorus, kas ļauj pagarināt vai saīsināt (skat. 1. pielikumu) auditam nepieciešamo laiku.</w:t>
      </w:r>
    </w:p>
    <w:p w14:paraId="01100B13" w14:textId="77777777" w:rsidR="00014BB7" w:rsidRPr="00014BB7" w:rsidRDefault="00014BB7" w:rsidP="00014BB7">
      <w:pPr>
        <w:ind w:left="284"/>
        <w:jc w:val="both"/>
        <w:rPr>
          <w:rFonts w:ascii="Times New Roman" w:eastAsia="Arial" w:hAnsi="Times New Roman" w:cs="Times New Roman"/>
          <w:noProof/>
          <w:sz w:val="24"/>
          <w:szCs w:val="24"/>
        </w:rPr>
      </w:pPr>
    </w:p>
    <w:p w14:paraId="5F8575DF" w14:textId="77777777" w:rsidR="00014BB7" w:rsidRPr="00014BB7" w:rsidRDefault="00014BB7" w:rsidP="00014BB7">
      <w:pPr>
        <w:pStyle w:val="BodyText"/>
        <w:ind w:left="567"/>
        <w:rPr>
          <w:noProof/>
        </w:rPr>
      </w:pPr>
      <w:r>
        <w:t>Laika saīsināšanas faktori ietver tostarp, bet ne tikai:</w:t>
      </w:r>
    </w:p>
    <w:p w14:paraId="1E07DF08" w14:textId="77777777" w:rsidR="00014BB7" w:rsidRPr="00014BB7" w:rsidRDefault="00014BB7" w:rsidP="00014BB7">
      <w:pPr>
        <w:ind w:left="567"/>
        <w:jc w:val="both"/>
        <w:rPr>
          <w:rFonts w:ascii="Times New Roman" w:eastAsia="Arial" w:hAnsi="Times New Roman" w:cs="Times New Roman"/>
          <w:noProof/>
          <w:sz w:val="24"/>
          <w:szCs w:val="24"/>
        </w:rPr>
      </w:pPr>
    </w:p>
    <w:p w14:paraId="2F03EDE1" w14:textId="77777777" w:rsidR="00014BB7" w:rsidRPr="00014BB7" w:rsidRDefault="00014BB7" w:rsidP="00014BB7">
      <w:pPr>
        <w:pStyle w:val="BodyText"/>
        <w:ind w:left="567"/>
        <w:rPr>
          <w:noProof/>
        </w:rPr>
      </w:pPr>
      <w:r>
        <w:t>i) to, cik lielā mērā organizācijas pārvaldības sistēma ir integrēta;</w:t>
      </w:r>
    </w:p>
    <w:p w14:paraId="44C99E84" w14:textId="77777777" w:rsidR="00014BB7" w:rsidRPr="00014BB7" w:rsidRDefault="00014BB7" w:rsidP="00014BB7">
      <w:pPr>
        <w:ind w:left="567"/>
        <w:jc w:val="both"/>
        <w:rPr>
          <w:rFonts w:ascii="Times New Roman" w:eastAsia="Arial" w:hAnsi="Times New Roman" w:cs="Times New Roman"/>
          <w:noProof/>
          <w:sz w:val="24"/>
          <w:szCs w:val="24"/>
        </w:rPr>
      </w:pPr>
    </w:p>
    <w:p w14:paraId="05D2F643" w14:textId="77777777" w:rsidR="00014BB7" w:rsidRPr="00014BB7" w:rsidRDefault="00014BB7" w:rsidP="00014BB7">
      <w:pPr>
        <w:pStyle w:val="BodyText"/>
        <w:ind w:left="567"/>
        <w:rPr>
          <w:noProof/>
        </w:rPr>
      </w:pPr>
      <w:r>
        <w:t>ii) organizācijas personāla spēju atbildēt uz jautājumiem par vairākiem pārvaldības sistēmu standartiem un</w:t>
      </w:r>
    </w:p>
    <w:p w14:paraId="093E26AF" w14:textId="77777777" w:rsidR="00014BB7" w:rsidRPr="00014BB7" w:rsidRDefault="00014BB7" w:rsidP="00014BB7">
      <w:pPr>
        <w:ind w:left="567"/>
        <w:jc w:val="both"/>
        <w:rPr>
          <w:rFonts w:ascii="Times New Roman" w:eastAsia="Arial" w:hAnsi="Times New Roman" w:cs="Times New Roman"/>
          <w:noProof/>
          <w:sz w:val="24"/>
          <w:szCs w:val="24"/>
        </w:rPr>
      </w:pPr>
    </w:p>
    <w:p w14:paraId="305EBFD9" w14:textId="77777777" w:rsidR="00014BB7" w:rsidRPr="00014BB7" w:rsidRDefault="00014BB7" w:rsidP="00014BB7">
      <w:pPr>
        <w:pStyle w:val="BodyText"/>
        <w:ind w:left="567"/>
        <w:rPr>
          <w:noProof/>
        </w:rPr>
      </w:pPr>
      <w:r>
        <w:t>iii) tāda(-u) auditora(-u) pieejamību, kas ir kompetents(-i) veikt auditu saskaņā ar vairākiem pārvaldības sistēmas standartiem/specifikācijām.</w:t>
      </w:r>
    </w:p>
    <w:p w14:paraId="3DF2AB1E" w14:textId="77777777" w:rsidR="00014BB7" w:rsidRPr="00014BB7" w:rsidRDefault="00014BB7" w:rsidP="00014BB7">
      <w:pPr>
        <w:ind w:left="567"/>
        <w:jc w:val="both"/>
        <w:rPr>
          <w:rFonts w:ascii="Times New Roman" w:eastAsia="Arial" w:hAnsi="Times New Roman" w:cs="Times New Roman"/>
          <w:noProof/>
          <w:sz w:val="24"/>
          <w:szCs w:val="24"/>
        </w:rPr>
      </w:pPr>
    </w:p>
    <w:p w14:paraId="219B7C16" w14:textId="77777777" w:rsidR="00014BB7" w:rsidRPr="00014BB7" w:rsidRDefault="00014BB7" w:rsidP="00014BB7">
      <w:pPr>
        <w:pStyle w:val="BodyText"/>
        <w:ind w:left="567"/>
        <w:rPr>
          <w:noProof/>
        </w:rPr>
      </w:pPr>
      <w:r>
        <w:t>Laika pagarināšanas faktori ietver tostarp, bet ne tikai:</w:t>
      </w:r>
    </w:p>
    <w:p w14:paraId="64F417D4" w14:textId="77777777" w:rsidR="00014BB7" w:rsidRPr="00014BB7" w:rsidRDefault="00014BB7" w:rsidP="00014BB7">
      <w:pPr>
        <w:ind w:left="567"/>
        <w:jc w:val="both"/>
        <w:rPr>
          <w:rFonts w:ascii="Times New Roman" w:eastAsia="Arial" w:hAnsi="Times New Roman" w:cs="Times New Roman"/>
          <w:noProof/>
          <w:sz w:val="24"/>
          <w:szCs w:val="24"/>
        </w:rPr>
      </w:pPr>
    </w:p>
    <w:p w14:paraId="034316EE" w14:textId="77777777" w:rsidR="00014BB7" w:rsidRPr="00014BB7" w:rsidRDefault="00014BB7" w:rsidP="00014BB7">
      <w:pPr>
        <w:pStyle w:val="BodyText"/>
        <w:ind w:left="567"/>
        <w:rPr>
          <w:noProof/>
        </w:rPr>
      </w:pPr>
      <w:r>
        <w:t xml:space="preserve">i) </w:t>
      </w:r>
      <w:proofErr w:type="spellStart"/>
      <w:r>
        <w:rPr>
          <w:i/>
          <w:iCs/>
        </w:rPr>
        <w:t>IMS</w:t>
      </w:r>
      <w:proofErr w:type="spellEnd"/>
      <w:r>
        <w:t xml:space="preserve"> audita sarežģītību salīdzinājumā ar vienotas pārvaldības sistēmas auditiem;</w:t>
      </w:r>
    </w:p>
    <w:p w14:paraId="3FD3660D" w14:textId="77777777" w:rsidR="00014BB7" w:rsidRPr="00014BB7" w:rsidRDefault="00014BB7" w:rsidP="00014BB7">
      <w:pPr>
        <w:ind w:left="284"/>
        <w:jc w:val="both"/>
        <w:rPr>
          <w:rFonts w:ascii="Times New Roman" w:eastAsia="Arial" w:hAnsi="Times New Roman" w:cs="Times New Roman"/>
          <w:noProof/>
          <w:sz w:val="24"/>
          <w:szCs w:val="24"/>
        </w:rPr>
      </w:pPr>
    </w:p>
    <w:p w14:paraId="2BFEE667" w14:textId="77777777" w:rsidR="00014BB7" w:rsidRPr="00014BB7" w:rsidRDefault="00014BB7" w:rsidP="00014BB7">
      <w:pPr>
        <w:pStyle w:val="BodyText"/>
        <w:ind w:left="284"/>
        <w:rPr>
          <w:noProof/>
        </w:rPr>
      </w:pPr>
      <w:r>
        <w:t xml:space="preserve">d) informē klientu, ka </w:t>
      </w:r>
      <w:proofErr w:type="spellStart"/>
      <w:r>
        <w:rPr>
          <w:i/>
          <w:iCs/>
        </w:rPr>
        <w:t>IMS</w:t>
      </w:r>
      <w:proofErr w:type="spellEnd"/>
      <w:r>
        <w:t xml:space="preserve"> audita ilgums, kura pamatā ir paziņotais organizācijas pārvaldības sistēmas integrācijas līmenis, var tikt koriģēts, pamatojoties uz integrācijas līmeņa apstiprināšanu pirmā posma auditā un turpmākos auditos.</w:t>
      </w:r>
    </w:p>
    <w:p w14:paraId="6CD9DA8D" w14:textId="77777777" w:rsidR="00014BB7" w:rsidRPr="00014BB7" w:rsidRDefault="00014BB7" w:rsidP="00014BB7">
      <w:pPr>
        <w:jc w:val="both"/>
        <w:rPr>
          <w:rFonts w:ascii="Times New Roman" w:eastAsia="Arial" w:hAnsi="Times New Roman" w:cs="Times New Roman"/>
          <w:noProof/>
          <w:sz w:val="24"/>
          <w:szCs w:val="24"/>
        </w:rPr>
      </w:pPr>
    </w:p>
    <w:p w14:paraId="7CA24AF4" w14:textId="77777777" w:rsidR="00014BB7" w:rsidRPr="00014BB7" w:rsidRDefault="00014BB7" w:rsidP="00014BB7">
      <w:pPr>
        <w:pStyle w:val="BodyText"/>
        <w:rPr>
          <w:noProof/>
        </w:rPr>
      </w:pPr>
      <w:r>
        <w:t xml:space="preserve">2.1.5.2. </w:t>
      </w:r>
      <w:proofErr w:type="spellStart"/>
      <w:r>
        <w:rPr>
          <w:i/>
          <w:iCs/>
        </w:rPr>
        <w:t>IMS</w:t>
      </w:r>
      <w:proofErr w:type="spellEnd"/>
      <w:r>
        <w:t xml:space="preserve"> audita laiku var pagarināt, bet, ja laiku saīsina, saīsinājums nedrīkst pārsniegt 20 % no sākuma T (2.1.5.1. punkta b) apakšpunkts).</w:t>
      </w:r>
    </w:p>
    <w:p w14:paraId="79227D08" w14:textId="77777777" w:rsidR="00014BB7" w:rsidRPr="00014BB7" w:rsidRDefault="00014BB7" w:rsidP="00014BB7">
      <w:pPr>
        <w:jc w:val="both"/>
        <w:rPr>
          <w:rFonts w:ascii="Times New Roman" w:hAnsi="Times New Roman" w:cs="Times New Roman"/>
          <w:noProof/>
          <w:sz w:val="24"/>
          <w:szCs w:val="24"/>
        </w:rPr>
      </w:pPr>
    </w:p>
    <w:p w14:paraId="3B2388A1" w14:textId="77777777" w:rsidR="00014BB7" w:rsidRPr="00014BB7" w:rsidRDefault="00014BB7" w:rsidP="00014BB7">
      <w:pPr>
        <w:pStyle w:val="BodyText"/>
        <w:rPr>
          <w:noProof/>
        </w:rPr>
      </w:pPr>
      <w:r>
        <w:t>2.1.5.3. Sākuma skaitli un laika pagarināšanas vai saīsināšanas pamatojumu dokumentē.</w:t>
      </w:r>
      <w:bookmarkStart w:id="6" w:name="_bookmark5"/>
      <w:bookmarkEnd w:id="6"/>
    </w:p>
    <w:p w14:paraId="5D3D518B" w14:textId="77777777" w:rsidR="00014BB7" w:rsidRPr="00014BB7" w:rsidRDefault="00014BB7" w:rsidP="00014BB7">
      <w:pPr>
        <w:jc w:val="both"/>
        <w:rPr>
          <w:rFonts w:ascii="Times New Roman" w:eastAsia="Arial" w:hAnsi="Times New Roman" w:cs="Times New Roman"/>
          <w:noProof/>
          <w:sz w:val="24"/>
          <w:szCs w:val="24"/>
        </w:rPr>
      </w:pPr>
    </w:p>
    <w:p w14:paraId="146E1F29" w14:textId="77777777" w:rsidR="00014BB7" w:rsidRPr="00014BB7" w:rsidRDefault="00014BB7" w:rsidP="00014BB7">
      <w:pPr>
        <w:pStyle w:val="BodyText"/>
        <w:rPr>
          <w:noProof/>
        </w:rPr>
      </w:pPr>
      <w:r>
        <w:t xml:space="preserve">2.2. Izstrādājot </w:t>
      </w:r>
      <w:proofErr w:type="spellStart"/>
      <w:r>
        <w:rPr>
          <w:i/>
          <w:iCs/>
        </w:rPr>
        <w:t>IMS</w:t>
      </w:r>
      <w:proofErr w:type="spellEnd"/>
      <w:r>
        <w:t xml:space="preserve"> audita programmu un audita plānus, jāņem vērā esošie prasību dokumenti (piemēram, </w:t>
      </w:r>
      <w:proofErr w:type="spellStart"/>
      <w:r>
        <w:rPr>
          <w:i/>
          <w:iCs/>
        </w:rPr>
        <w:t>IAF</w:t>
      </w:r>
      <w:proofErr w:type="spellEnd"/>
      <w:r>
        <w:t xml:space="preserve"> obligātie dokumenti), kas attiecas uz pārvaldības sistēmu standartu/specifikāciju auditiem.</w:t>
      </w:r>
    </w:p>
    <w:p w14:paraId="5FAE1D51" w14:textId="77777777" w:rsidR="00014BB7" w:rsidRPr="00014BB7" w:rsidRDefault="00014BB7" w:rsidP="00014BB7">
      <w:pPr>
        <w:jc w:val="both"/>
        <w:rPr>
          <w:rFonts w:ascii="Times New Roman" w:eastAsia="Arial" w:hAnsi="Times New Roman" w:cs="Times New Roman"/>
          <w:noProof/>
          <w:sz w:val="24"/>
          <w:szCs w:val="24"/>
        </w:rPr>
      </w:pPr>
    </w:p>
    <w:p w14:paraId="35A799D2" w14:textId="77777777" w:rsidR="00014BB7" w:rsidRPr="00014BB7" w:rsidRDefault="00014BB7" w:rsidP="00014BB7">
      <w:pPr>
        <w:pStyle w:val="BodyText"/>
        <w:rPr>
          <w:noProof/>
        </w:rPr>
      </w:pPr>
      <w:r>
        <w:t xml:space="preserve">2.3. Pārbauda visas prasības, kas piemērojamas katram pārvaldības sistēmas standartam/specifikācijai, kas attiecas uz </w:t>
      </w:r>
      <w:proofErr w:type="spellStart"/>
      <w:r>
        <w:rPr>
          <w:i/>
          <w:iCs/>
        </w:rPr>
        <w:t>IMS</w:t>
      </w:r>
      <w:proofErr w:type="spellEnd"/>
      <w:r>
        <w:t xml:space="preserve"> darbības jomu.</w:t>
      </w:r>
    </w:p>
    <w:p w14:paraId="79C4EE9E" w14:textId="77777777" w:rsidR="00014BB7" w:rsidRPr="00014BB7" w:rsidRDefault="00014BB7" w:rsidP="00014BB7">
      <w:pPr>
        <w:jc w:val="both"/>
        <w:rPr>
          <w:rFonts w:ascii="Times New Roman" w:eastAsia="Arial" w:hAnsi="Times New Roman" w:cs="Times New Roman"/>
          <w:noProof/>
          <w:sz w:val="24"/>
          <w:szCs w:val="24"/>
        </w:rPr>
      </w:pPr>
    </w:p>
    <w:p w14:paraId="130321BB" w14:textId="77777777" w:rsidR="00014BB7" w:rsidRPr="00014BB7" w:rsidRDefault="00014BB7" w:rsidP="00014BB7">
      <w:pPr>
        <w:pStyle w:val="BodyText"/>
        <w:rPr>
          <w:noProof/>
        </w:rPr>
      </w:pPr>
      <w:r>
        <w:t>2.4. Attiecībā uz auditētajām pārvaldības sistēmām audita ziņojumus var integrēt vai nodalīt. Katrs konstatējums, kas iekļauts integrētā ziņojumā, atbilst piemērojamajam(-</w:t>
      </w:r>
      <w:proofErr w:type="spellStart"/>
      <w:r>
        <w:t>iem</w:t>
      </w:r>
      <w:proofErr w:type="spellEnd"/>
      <w:r>
        <w:t>) pārvaldības sistēmas standartam(-</w:t>
      </w:r>
      <w:proofErr w:type="spellStart"/>
      <w:r>
        <w:t>iem</w:t>
      </w:r>
      <w:proofErr w:type="spellEnd"/>
      <w:r>
        <w:t>)/specifikācijai(-</w:t>
      </w:r>
      <w:proofErr w:type="spellStart"/>
      <w:r>
        <w:t>ām</w:t>
      </w:r>
      <w:proofErr w:type="spellEnd"/>
      <w:r>
        <w:t>).</w:t>
      </w:r>
    </w:p>
    <w:p w14:paraId="7A31BFFF" w14:textId="77777777" w:rsidR="00014BB7" w:rsidRPr="00014BB7" w:rsidRDefault="00014BB7" w:rsidP="00014BB7">
      <w:pPr>
        <w:jc w:val="both"/>
        <w:rPr>
          <w:rFonts w:ascii="Times New Roman" w:eastAsia="Arial" w:hAnsi="Times New Roman" w:cs="Times New Roman"/>
          <w:noProof/>
          <w:sz w:val="24"/>
          <w:szCs w:val="24"/>
        </w:rPr>
      </w:pPr>
    </w:p>
    <w:p w14:paraId="619F9B43" w14:textId="77777777" w:rsidR="00014BB7" w:rsidRPr="00014BB7" w:rsidRDefault="00014BB7" w:rsidP="00014BB7">
      <w:pPr>
        <w:pStyle w:val="BodyText"/>
        <w:rPr>
          <w:noProof/>
        </w:rPr>
      </w:pPr>
      <w:r>
        <w:t>2.5. Sertifikācijas iestāde ņem vērā to, kā neatbilstība, kas konstatēta attiecībā uz vienu pārvaldības sistēmas standartu/specifikāciju, ietekmē atbilstību citam(-</w:t>
      </w:r>
      <w:proofErr w:type="spellStart"/>
      <w:r>
        <w:t>iem</w:t>
      </w:r>
      <w:proofErr w:type="spellEnd"/>
      <w:r>
        <w:t>) pārvaldības sistēmas standartam(-</w:t>
      </w:r>
      <w:proofErr w:type="spellStart"/>
      <w:r>
        <w:t>iem</w:t>
      </w:r>
      <w:proofErr w:type="spellEnd"/>
      <w:r>
        <w:t>)/specifikācijai(-</w:t>
      </w:r>
      <w:proofErr w:type="spellStart"/>
      <w:r>
        <w:t>ām</w:t>
      </w:r>
      <w:proofErr w:type="spellEnd"/>
      <w:r>
        <w:t>).</w:t>
      </w:r>
    </w:p>
    <w:p w14:paraId="43143C78" w14:textId="77777777" w:rsidR="00014BB7" w:rsidRPr="00014BB7" w:rsidRDefault="00014BB7" w:rsidP="00014BB7">
      <w:pPr>
        <w:jc w:val="both"/>
        <w:rPr>
          <w:rFonts w:ascii="Times New Roman" w:eastAsia="Arial" w:hAnsi="Times New Roman" w:cs="Times New Roman"/>
          <w:noProof/>
          <w:sz w:val="24"/>
          <w:szCs w:val="24"/>
        </w:rPr>
      </w:pPr>
    </w:p>
    <w:p w14:paraId="7A60AD58" w14:textId="77777777" w:rsidR="00014BB7" w:rsidRPr="00014BB7" w:rsidRDefault="00014BB7" w:rsidP="00014BB7">
      <w:pPr>
        <w:pStyle w:val="Heading2"/>
        <w:tabs>
          <w:tab w:val="left" w:pos="673"/>
        </w:tabs>
        <w:ind w:left="0" w:firstLine="0"/>
        <w:jc w:val="both"/>
        <w:rPr>
          <w:rFonts w:ascii="Times New Roman" w:hAnsi="Times New Roman" w:cs="Times New Roman"/>
          <w:noProof/>
        </w:rPr>
      </w:pPr>
      <w:bookmarkStart w:id="7" w:name="_Toc120781035"/>
      <w:r>
        <w:rPr>
          <w:rFonts w:ascii="Times New Roman" w:hAnsi="Times New Roman"/>
        </w:rPr>
        <w:t>3. SĀKOTNĒJAIS AUDITS UN SERTIFIKĀCIJA</w:t>
      </w:r>
      <w:bookmarkStart w:id="8" w:name="_bookmark3"/>
      <w:bookmarkEnd w:id="8"/>
      <w:bookmarkEnd w:id="7"/>
    </w:p>
    <w:p w14:paraId="69E6FC6E" w14:textId="77777777" w:rsidR="00014BB7" w:rsidRPr="00014BB7" w:rsidRDefault="00014BB7" w:rsidP="00014BB7">
      <w:pPr>
        <w:jc w:val="both"/>
        <w:rPr>
          <w:rFonts w:ascii="Times New Roman" w:eastAsia="Arial" w:hAnsi="Times New Roman" w:cs="Times New Roman"/>
          <w:b/>
          <w:bCs/>
          <w:noProof/>
          <w:sz w:val="24"/>
          <w:szCs w:val="24"/>
        </w:rPr>
      </w:pPr>
    </w:p>
    <w:p w14:paraId="5D6F04B7" w14:textId="77777777" w:rsidR="00014BB7" w:rsidRPr="00014BB7" w:rsidRDefault="00014BB7" w:rsidP="00014BB7">
      <w:pPr>
        <w:pStyle w:val="BodyText"/>
        <w:rPr>
          <w:noProof/>
        </w:rPr>
      </w:pPr>
      <w:r>
        <w:t>3.1. Klienta pieteikums</w:t>
      </w:r>
    </w:p>
    <w:p w14:paraId="0714CAE2" w14:textId="77777777" w:rsidR="00014BB7" w:rsidRPr="00014BB7" w:rsidRDefault="00014BB7" w:rsidP="00014BB7">
      <w:pPr>
        <w:jc w:val="both"/>
        <w:rPr>
          <w:rFonts w:ascii="Times New Roman" w:eastAsia="Arial" w:hAnsi="Times New Roman" w:cs="Times New Roman"/>
          <w:noProof/>
          <w:sz w:val="24"/>
          <w:szCs w:val="24"/>
        </w:rPr>
      </w:pPr>
    </w:p>
    <w:p w14:paraId="43B7F0E1" w14:textId="77777777" w:rsidR="00014BB7" w:rsidRPr="00014BB7" w:rsidRDefault="00014BB7" w:rsidP="00014BB7">
      <w:pPr>
        <w:pStyle w:val="BodyText"/>
        <w:rPr>
          <w:noProof/>
        </w:rPr>
      </w:pPr>
      <w:r>
        <w:t>Tajā sniedz informāciju, kas attiecas uz integrācijas līmeni, tostarp uz dokumentu, pārvaldības sistēmas elementu un pienākumu integrācijas līmeni (skat. 1. pielikumu).</w:t>
      </w:r>
    </w:p>
    <w:p w14:paraId="02A0CB19" w14:textId="77777777" w:rsidR="00014BB7" w:rsidRPr="00014BB7" w:rsidRDefault="00014BB7" w:rsidP="00014BB7">
      <w:pPr>
        <w:jc w:val="both"/>
        <w:rPr>
          <w:rFonts w:ascii="Times New Roman" w:eastAsia="Arial" w:hAnsi="Times New Roman" w:cs="Times New Roman"/>
          <w:noProof/>
          <w:sz w:val="24"/>
          <w:szCs w:val="24"/>
        </w:rPr>
      </w:pPr>
    </w:p>
    <w:p w14:paraId="6D9C2C03" w14:textId="77777777" w:rsidR="00014BB7" w:rsidRPr="00014BB7" w:rsidRDefault="00014BB7" w:rsidP="00014BB7">
      <w:pPr>
        <w:pStyle w:val="BodyText"/>
        <w:rPr>
          <w:noProof/>
        </w:rPr>
      </w:pPr>
      <w:r>
        <w:t>3.2. Pirmā posma audits</w:t>
      </w:r>
    </w:p>
    <w:p w14:paraId="1B515632" w14:textId="77777777" w:rsidR="00014BB7" w:rsidRPr="00014BB7" w:rsidRDefault="00014BB7" w:rsidP="00014BB7">
      <w:pPr>
        <w:jc w:val="both"/>
        <w:rPr>
          <w:rFonts w:ascii="Times New Roman" w:eastAsia="Arial" w:hAnsi="Times New Roman" w:cs="Times New Roman"/>
          <w:noProof/>
          <w:sz w:val="24"/>
          <w:szCs w:val="24"/>
        </w:rPr>
      </w:pPr>
    </w:p>
    <w:p w14:paraId="1A648453" w14:textId="77777777" w:rsidR="00014BB7" w:rsidRPr="00014BB7" w:rsidRDefault="00014BB7" w:rsidP="00014BB7">
      <w:pPr>
        <w:pStyle w:val="BodyText"/>
        <w:rPr>
          <w:noProof/>
        </w:rPr>
      </w:pPr>
      <w:r>
        <w:t xml:space="preserve">Pirmā posma auditā audita grupa apstiprina </w:t>
      </w:r>
      <w:proofErr w:type="spellStart"/>
      <w:r>
        <w:rPr>
          <w:i/>
          <w:iCs/>
        </w:rPr>
        <w:t>IMS</w:t>
      </w:r>
      <w:proofErr w:type="spellEnd"/>
      <w:r>
        <w:t xml:space="preserve"> integrācijas līmeni. Ja nepieciešams, sertifikācijas iestāde pārskata un maina audita ilgumu, kura pamatā bija pieteikuma iesniegšanas posmā sniegtā informācija.</w:t>
      </w:r>
    </w:p>
    <w:p w14:paraId="1D35148F" w14:textId="77777777" w:rsidR="00014BB7" w:rsidRPr="00014BB7" w:rsidRDefault="00014BB7" w:rsidP="00014BB7">
      <w:pPr>
        <w:jc w:val="both"/>
        <w:rPr>
          <w:rFonts w:ascii="Times New Roman" w:eastAsia="Arial" w:hAnsi="Times New Roman" w:cs="Times New Roman"/>
          <w:noProof/>
          <w:sz w:val="24"/>
          <w:szCs w:val="24"/>
        </w:rPr>
      </w:pPr>
    </w:p>
    <w:p w14:paraId="18627277" w14:textId="77777777" w:rsidR="00014BB7" w:rsidRPr="00014BB7" w:rsidRDefault="00014BB7" w:rsidP="00014BB7">
      <w:pPr>
        <w:pStyle w:val="Heading2"/>
        <w:tabs>
          <w:tab w:val="left" w:pos="673"/>
        </w:tabs>
        <w:ind w:left="0" w:firstLine="0"/>
        <w:jc w:val="both"/>
        <w:rPr>
          <w:rFonts w:ascii="Times New Roman" w:hAnsi="Times New Roman" w:cs="Times New Roman"/>
          <w:noProof/>
        </w:rPr>
      </w:pPr>
      <w:bookmarkStart w:id="9" w:name="_Toc120781036"/>
      <w:r>
        <w:rPr>
          <w:rFonts w:ascii="Times New Roman" w:hAnsi="Times New Roman"/>
        </w:rPr>
        <w:t xml:space="preserve">4. UZRAUDZĪBAS UN </w:t>
      </w:r>
      <w:proofErr w:type="spellStart"/>
      <w:r>
        <w:rPr>
          <w:rFonts w:ascii="Times New Roman" w:hAnsi="Times New Roman"/>
        </w:rPr>
        <w:t>RESERTIFIKĀCIJAS</w:t>
      </w:r>
      <w:proofErr w:type="spellEnd"/>
      <w:r>
        <w:rPr>
          <w:rFonts w:ascii="Times New Roman" w:hAnsi="Times New Roman"/>
        </w:rPr>
        <w:t xml:space="preserve"> DARBĪBAS</w:t>
      </w:r>
      <w:bookmarkStart w:id="10" w:name="_bookmark4"/>
      <w:bookmarkEnd w:id="10"/>
      <w:bookmarkEnd w:id="9"/>
    </w:p>
    <w:p w14:paraId="13CE01C5" w14:textId="77777777" w:rsidR="00014BB7" w:rsidRPr="00014BB7" w:rsidRDefault="00014BB7" w:rsidP="00014BB7">
      <w:pPr>
        <w:jc w:val="both"/>
        <w:rPr>
          <w:rFonts w:ascii="Times New Roman" w:eastAsia="Arial" w:hAnsi="Times New Roman" w:cs="Times New Roman"/>
          <w:b/>
          <w:bCs/>
          <w:noProof/>
          <w:sz w:val="24"/>
          <w:szCs w:val="24"/>
        </w:rPr>
      </w:pPr>
    </w:p>
    <w:p w14:paraId="6126A16E" w14:textId="77777777" w:rsidR="00014BB7" w:rsidRPr="00014BB7" w:rsidRDefault="00014BB7" w:rsidP="00014BB7">
      <w:pPr>
        <w:pStyle w:val="BodyText"/>
        <w:rPr>
          <w:noProof/>
        </w:rPr>
      </w:pPr>
      <w:r>
        <w:t>Sertifikācijas iestāde apstiprina, ka integrācijas līmenis visā sertifikācijas ciklā paliek nemainīgs, lai nodrošinātu, ka noteiktais audita ilgums joprojām ir spēkā.</w:t>
      </w:r>
    </w:p>
    <w:p w14:paraId="220BE203" w14:textId="77777777" w:rsidR="00014BB7" w:rsidRPr="00014BB7" w:rsidRDefault="00014BB7" w:rsidP="00014BB7">
      <w:pPr>
        <w:jc w:val="both"/>
        <w:rPr>
          <w:rFonts w:ascii="Times New Roman" w:hAnsi="Times New Roman" w:cs="Times New Roman"/>
          <w:noProof/>
          <w:sz w:val="24"/>
          <w:szCs w:val="24"/>
        </w:rPr>
      </w:pPr>
    </w:p>
    <w:p w14:paraId="3CEA59E4" w14:textId="77777777" w:rsidR="00014BB7" w:rsidRPr="00014BB7" w:rsidRDefault="00014BB7" w:rsidP="00014BB7">
      <w:pPr>
        <w:pStyle w:val="Heading2"/>
        <w:tabs>
          <w:tab w:val="left" w:pos="673"/>
        </w:tabs>
        <w:ind w:left="0" w:firstLine="0"/>
        <w:jc w:val="both"/>
        <w:rPr>
          <w:rFonts w:ascii="Times New Roman" w:hAnsi="Times New Roman" w:cs="Times New Roman"/>
          <w:noProof/>
        </w:rPr>
      </w:pPr>
      <w:bookmarkStart w:id="11" w:name="_Toc120781037"/>
      <w:r>
        <w:rPr>
          <w:rFonts w:ascii="Times New Roman" w:hAnsi="Times New Roman"/>
        </w:rPr>
        <w:t>5. APTURĒŠANA, SAMAZINĀŠANA, ATSAUKŠANA</w:t>
      </w:r>
      <w:bookmarkEnd w:id="11"/>
    </w:p>
    <w:p w14:paraId="058760A4" w14:textId="77777777" w:rsidR="00014BB7" w:rsidRPr="00014BB7" w:rsidRDefault="00014BB7" w:rsidP="00014BB7">
      <w:pPr>
        <w:jc w:val="both"/>
        <w:rPr>
          <w:rFonts w:ascii="Times New Roman" w:eastAsia="Arial" w:hAnsi="Times New Roman" w:cs="Times New Roman"/>
          <w:b/>
          <w:bCs/>
          <w:noProof/>
          <w:sz w:val="24"/>
          <w:szCs w:val="24"/>
        </w:rPr>
      </w:pPr>
    </w:p>
    <w:p w14:paraId="35931AC4" w14:textId="77777777" w:rsidR="00014BB7" w:rsidRPr="00014BB7" w:rsidRDefault="00014BB7" w:rsidP="00014BB7">
      <w:pPr>
        <w:pStyle w:val="BodyText"/>
        <w:rPr>
          <w:noProof/>
        </w:rPr>
      </w:pPr>
      <w:r>
        <w:t>Ja sertificēšana saskaņā ar vienu vai vairākiem pārvaldības sistēmas standartiem/specifikācijām tiek apturēta, samazināta vai atsaukta, sertifikācijas iestāde izpēta, kā tas ietekmē sertifikāciju saskaņā ar citiem pārvaldības sistēmas standartiem/specifikācijām.</w:t>
      </w:r>
    </w:p>
    <w:p w14:paraId="6776AAF7" w14:textId="77777777" w:rsidR="00014BB7" w:rsidRPr="00014BB7" w:rsidRDefault="00014BB7" w:rsidP="00014BB7">
      <w:pPr>
        <w:jc w:val="both"/>
        <w:rPr>
          <w:rFonts w:ascii="Times New Roman" w:eastAsia="Arial" w:hAnsi="Times New Roman" w:cs="Times New Roman"/>
          <w:noProof/>
          <w:sz w:val="24"/>
          <w:szCs w:val="24"/>
        </w:rPr>
      </w:pPr>
    </w:p>
    <w:p w14:paraId="4E89B6CC" w14:textId="77777777" w:rsidR="00014BB7" w:rsidRPr="00014BB7" w:rsidRDefault="00014BB7" w:rsidP="00014BB7">
      <w:pPr>
        <w:pStyle w:val="BodyText"/>
        <w:rPr>
          <w:noProof/>
        </w:rPr>
      </w:pPr>
      <w:proofErr w:type="spellStart"/>
      <w:r>
        <w:rPr>
          <w:i/>
          <w:iCs/>
        </w:rPr>
        <w:t>IAF</w:t>
      </w:r>
      <w:proofErr w:type="spellEnd"/>
      <w:r>
        <w:t xml:space="preserve"> obligātā dokumenta par ISO/</w:t>
      </w:r>
      <w:proofErr w:type="spellStart"/>
      <w:r>
        <w:t>IEC</w:t>
      </w:r>
      <w:proofErr w:type="spellEnd"/>
      <w:r>
        <w:t> 17021 piemērošanu integrētu pārvaldības sistēmu auditiem beigas.</w:t>
      </w:r>
    </w:p>
    <w:p w14:paraId="14368D9F" w14:textId="77777777" w:rsidR="00014BB7" w:rsidRPr="00014BB7" w:rsidRDefault="00014BB7" w:rsidP="00014BB7">
      <w:pPr>
        <w:rPr>
          <w:rFonts w:ascii="Times New Roman" w:eastAsia="Arial" w:hAnsi="Times New Roman" w:cs="Times New Roman"/>
          <w:noProof/>
          <w:sz w:val="24"/>
          <w:szCs w:val="24"/>
        </w:rPr>
      </w:pPr>
      <w:r>
        <w:br w:type="page"/>
      </w:r>
    </w:p>
    <w:p w14:paraId="0BE3DA9E" w14:textId="77777777" w:rsidR="00014BB7" w:rsidRPr="00014BB7" w:rsidRDefault="00014BB7" w:rsidP="00014BB7">
      <w:pPr>
        <w:pStyle w:val="BodyText"/>
        <w:rPr>
          <w:noProof/>
        </w:rPr>
      </w:pPr>
      <w:bookmarkStart w:id="12" w:name="_bookmark6"/>
      <w:bookmarkEnd w:id="12"/>
    </w:p>
    <w:p w14:paraId="3F46884F" w14:textId="77777777" w:rsidR="00014BB7" w:rsidRPr="00014BB7" w:rsidRDefault="00014BB7" w:rsidP="00014BB7">
      <w:pPr>
        <w:pStyle w:val="Heading2"/>
        <w:ind w:left="0" w:firstLine="0"/>
        <w:jc w:val="center"/>
        <w:rPr>
          <w:rFonts w:ascii="Times New Roman" w:hAnsi="Times New Roman" w:cs="Times New Roman"/>
          <w:noProof/>
        </w:rPr>
      </w:pPr>
      <w:bookmarkStart w:id="13" w:name="_Toc120781038"/>
      <w:r>
        <w:rPr>
          <w:rFonts w:ascii="Times New Roman" w:hAnsi="Times New Roman"/>
        </w:rPr>
        <w:t>1. PIELIKUMS. ĪSĀKA AUDITA LAIKA NOTEIKŠANA</w:t>
      </w:r>
      <w:bookmarkEnd w:id="13"/>
    </w:p>
    <w:p w14:paraId="0FE81F49" w14:textId="77777777" w:rsidR="00014BB7" w:rsidRPr="00014BB7" w:rsidRDefault="00014BB7" w:rsidP="00014BB7">
      <w:pPr>
        <w:jc w:val="both"/>
        <w:rPr>
          <w:rFonts w:ascii="Times New Roman" w:eastAsia="Calibri" w:hAnsi="Times New Roman" w:cs="Times New Roman"/>
          <w:noProof/>
          <w:sz w:val="24"/>
          <w:szCs w:val="24"/>
        </w:rPr>
      </w:pPr>
    </w:p>
    <w:p w14:paraId="5704EC2A" w14:textId="2ED0674F" w:rsidR="00014BB7" w:rsidRPr="00014BB7" w:rsidRDefault="00014BB7" w:rsidP="00014BB7">
      <w:pPr>
        <w:jc w:val="center"/>
        <w:rPr>
          <w:rFonts w:ascii="Times New Roman" w:eastAsia="Calibri" w:hAnsi="Times New Roman" w:cs="Times New Roman"/>
          <w:noProof/>
          <w:sz w:val="24"/>
          <w:szCs w:val="24"/>
        </w:rPr>
      </w:pPr>
    </w:p>
    <w:p w14:paraId="4C486DB2" w14:textId="1520865D" w:rsidR="00014BB7" w:rsidRPr="00014BB7" w:rsidRDefault="009766C5" w:rsidP="009766C5">
      <w:pPr>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drawing>
          <wp:inline distT="0" distB="0" distL="0" distR="0" wp14:anchorId="1B466117" wp14:editId="42128F17">
            <wp:extent cx="3117850" cy="2399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013" cy="2404194"/>
                    </a:xfrm>
                    <a:prstGeom prst="rect">
                      <a:avLst/>
                    </a:prstGeom>
                    <a:noFill/>
                    <a:ln>
                      <a:noFill/>
                    </a:ln>
                  </pic:spPr>
                </pic:pic>
              </a:graphicData>
            </a:graphic>
          </wp:inline>
        </w:drawing>
      </w:r>
    </w:p>
    <w:p w14:paraId="413DBA72" w14:textId="77777777" w:rsidR="000A1DD3" w:rsidRDefault="000A1DD3" w:rsidP="00014BB7">
      <w:pPr>
        <w:pStyle w:val="BodyText"/>
      </w:pPr>
    </w:p>
    <w:p w14:paraId="11A529B2" w14:textId="60C35917" w:rsidR="00014BB7" w:rsidRPr="00014BB7" w:rsidRDefault="00014BB7" w:rsidP="00014BB7">
      <w:pPr>
        <w:pStyle w:val="BodyText"/>
        <w:rPr>
          <w:noProof/>
        </w:rPr>
      </w:pPr>
      <w:r>
        <w:t xml:space="preserve">1. attēls. Šajā attēlā redzams integrēta audita ilguma </w:t>
      </w:r>
      <w:r>
        <w:rPr>
          <w:u w:val="single"/>
        </w:rPr>
        <w:t>saīsinājums (%)</w:t>
      </w:r>
      <w:r>
        <w:t xml:space="preserve"> un tā saistība ar turpmāk minēto.</w:t>
      </w:r>
    </w:p>
    <w:p w14:paraId="083D57F3" w14:textId="77777777" w:rsidR="00014BB7" w:rsidRPr="00014BB7" w:rsidRDefault="00014BB7" w:rsidP="00014BB7">
      <w:pPr>
        <w:pStyle w:val="BodyText"/>
        <w:rPr>
          <w:noProof/>
        </w:rPr>
      </w:pPr>
    </w:p>
    <w:p w14:paraId="3463C74A" w14:textId="77777777" w:rsidR="00014BB7" w:rsidRPr="00014BB7" w:rsidRDefault="00014BB7" w:rsidP="00014BB7">
      <w:pPr>
        <w:pStyle w:val="BodyText"/>
        <w:rPr>
          <w:noProof/>
        </w:rPr>
      </w:pPr>
      <w:r>
        <w:rPr>
          <w:b/>
          <w:bCs/>
        </w:rPr>
        <w:t>Vertikālā ass</w:t>
      </w:r>
      <w:r>
        <w:t xml:space="preserve"> – organizācijas pārvaldības sistēmas integrācijas līmenis (skat. turpmāk), kurā būtu jāņem vērā auditējamā spēja atbildēt uz jautājumiem par vairākiem aspektiem. Pārvaldības sistēma ir integrēta, ja organizācijā vairāku organizatorisko snieguma aspektu pārvaldībai izmanto vienotu pārvaldības sistēmu. To raksturo (tostarp, bet ne tikai):</w:t>
      </w:r>
    </w:p>
    <w:p w14:paraId="72E13CB1" w14:textId="77777777" w:rsidR="00014BB7" w:rsidRPr="00014BB7" w:rsidRDefault="00014BB7" w:rsidP="00014BB7">
      <w:pPr>
        <w:jc w:val="both"/>
        <w:rPr>
          <w:noProof/>
        </w:rPr>
      </w:pPr>
    </w:p>
    <w:p w14:paraId="45E25833" w14:textId="77777777" w:rsidR="00014BB7" w:rsidRPr="00014BB7" w:rsidRDefault="00014BB7" w:rsidP="00014BB7">
      <w:pPr>
        <w:pStyle w:val="BodyText"/>
        <w:rPr>
          <w:noProof/>
        </w:rPr>
      </w:pPr>
      <w:r>
        <w:t>1. integrētas dokumentācijas kopums, tostarp darba instrukcijas atbilstoši labam izstrādes līmenim, ja atbilstīgi;</w:t>
      </w:r>
    </w:p>
    <w:p w14:paraId="175E66C9" w14:textId="77777777" w:rsidR="00014BB7" w:rsidRPr="00014BB7" w:rsidRDefault="00014BB7" w:rsidP="00014BB7">
      <w:pPr>
        <w:pStyle w:val="BodyText"/>
        <w:rPr>
          <w:noProof/>
        </w:rPr>
      </w:pPr>
      <w:r>
        <w:t>2. pārvaldības pārskati, kuros tiek ņemta vērā vispārīgā uzņēmējdarbības stratēģija un plāns;</w:t>
      </w:r>
    </w:p>
    <w:p w14:paraId="1B99E0B9" w14:textId="77777777" w:rsidR="00014BB7" w:rsidRPr="00014BB7" w:rsidRDefault="00014BB7" w:rsidP="00014BB7">
      <w:pPr>
        <w:pStyle w:val="BodyText"/>
        <w:rPr>
          <w:noProof/>
        </w:rPr>
      </w:pPr>
      <w:r>
        <w:t>3. integrēta pieeja iekšējiem auditiem;</w:t>
      </w:r>
    </w:p>
    <w:p w14:paraId="794ED96B" w14:textId="77777777" w:rsidR="00014BB7" w:rsidRPr="00014BB7" w:rsidRDefault="00014BB7" w:rsidP="00014BB7">
      <w:pPr>
        <w:pStyle w:val="BodyText"/>
        <w:rPr>
          <w:noProof/>
        </w:rPr>
      </w:pPr>
      <w:r>
        <w:t>4. integrēta pieeja darbības plānam un mērķiem;</w:t>
      </w:r>
    </w:p>
    <w:p w14:paraId="60F7D142" w14:textId="77777777" w:rsidR="00014BB7" w:rsidRPr="00014BB7" w:rsidRDefault="00014BB7" w:rsidP="00014BB7">
      <w:pPr>
        <w:pStyle w:val="BodyText"/>
        <w:rPr>
          <w:noProof/>
        </w:rPr>
      </w:pPr>
      <w:r>
        <w:t>5. integrēta pieeja sistēmu procesiem;</w:t>
      </w:r>
    </w:p>
    <w:p w14:paraId="1E23C6B1" w14:textId="77777777" w:rsidR="00014BB7" w:rsidRPr="00014BB7" w:rsidRDefault="00014BB7" w:rsidP="00014BB7">
      <w:pPr>
        <w:pStyle w:val="BodyText"/>
        <w:rPr>
          <w:noProof/>
        </w:rPr>
      </w:pPr>
      <w:r>
        <w:t>6. integrēta pieeja uzlabošanas mehānismiem (korektīvie un preventīvie pasākumi; mērīšana un nepārtraukta uzlabošana) un</w:t>
      </w:r>
    </w:p>
    <w:p w14:paraId="5D8A357D" w14:textId="77777777" w:rsidR="00014BB7" w:rsidRPr="00014BB7" w:rsidRDefault="00014BB7" w:rsidP="00014BB7">
      <w:pPr>
        <w:pStyle w:val="BodyText"/>
        <w:rPr>
          <w:noProof/>
        </w:rPr>
      </w:pPr>
      <w:r>
        <w:t>7. integrēts vadības atbalsts un pienākumi.</w:t>
      </w:r>
    </w:p>
    <w:p w14:paraId="1A32D74D" w14:textId="77777777" w:rsidR="00014BB7" w:rsidRPr="00014BB7" w:rsidRDefault="00014BB7" w:rsidP="00014BB7">
      <w:pPr>
        <w:jc w:val="both"/>
        <w:rPr>
          <w:rFonts w:ascii="Times New Roman" w:hAnsi="Times New Roman" w:cs="Times New Roman"/>
          <w:noProof/>
          <w:sz w:val="24"/>
          <w:szCs w:val="24"/>
        </w:rPr>
      </w:pPr>
    </w:p>
    <w:p w14:paraId="2B7A651D" w14:textId="77777777" w:rsidR="00014BB7" w:rsidRPr="00014BB7" w:rsidRDefault="00014BB7" w:rsidP="00014BB7">
      <w:pPr>
        <w:pStyle w:val="BodyText"/>
        <w:rPr>
          <w:noProof/>
        </w:rPr>
      </w:pPr>
      <w:r>
        <w:t>Sertifikācijas iestādei jānosaka integrācijas procentuālais līmenis, pamatojoties uz to, cik lielā mērā organizācijas pārvaldības sistēma atbilst iepriekš minētajiem kritērijiem,</w:t>
      </w:r>
    </w:p>
    <w:p w14:paraId="1185CF99" w14:textId="77777777" w:rsidR="00014BB7" w:rsidRPr="00014BB7" w:rsidRDefault="00014BB7" w:rsidP="00014BB7">
      <w:pPr>
        <w:jc w:val="both"/>
        <w:rPr>
          <w:rFonts w:ascii="Times New Roman" w:eastAsia="Arial" w:hAnsi="Times New Roman" w:cs="Times New Roman"/>
          <w:noProof/>
          <w:sz w:val="24"/>
          <w:szCs w:val="24"/>
        </w:rPr>
      </w:pPr>
    </w:p>
    <w:p w14:paraId="5579CDB0" w14:textId="77777777" w:rsidR="00014BB7" w:rsidRPr="00014BB7" w:rsidRDefault="00014BB7" w:rsidP="00014BB7">
      <w:pPr>
        <w:pStyle w:val="BodyText"/>
        <w:rPr>
          <w:noProof/>
        </w:rPr>
      </w:pPr>
      <w:r>
        <w:t>un</w:t>
      </w:r>
    </w:p>
    <w:p w14:paraId="3CD4C01D" w14:textId="77777777" w:rsidR="00014BB7" w:rsidRPr="00014BB7" w:rsidRDefault="00014BB7" w:rsidP="00014BB7">
      <w:pPr>
        <w:jc w:val="both"/>
        <w:rPr>
          <w:rFonts w:ascii="Times New Roman" w:eastAsia="Arial" w:hAnsi="Times New Roman" w:cs="Times New Roman"/>
          <w:noProof/>
          <w:sz w:val="24"/>
          <w:szCs w:val="24"/>
        </w:rPr>
      </w:pPr>
    </w:p>
    <w:p w14:paraId="48DAF6F2" w14:textId="77777777" w:rsidR="00014BB7" w:rsidRPr="00014BB7" w:rsidRDefault="00014BB7" w:rsidP="00014BB7">
      <w:pPr>
        <w:pStyle w:val="BodyText"/>
        <w:rPr>
          <w:noProof/>
        </w:rPr>
      </w:pPr>
      <w:r>
        <w:rPr>
          <w:b/>
        </w:rPr>
        <w:t xml:space="preserve">horizontālā ass – </w:t>
      </w:r>
      <w:r>
        <w:t xml:space="preserve">apmērs, </w:t>
      </w:r>
      <w:r>
        <w:rPr>
          <w:u w:val="single"/>
        </w:rPr>
        <w:t>ko izsaka kā koeficientu, kas reizināms ar koeficientu 100, lai sasniegtu procentos izteikto apjomu,</w:t>
      </w:r>
      <w:r>
        <w:t xml:space="preserve"> un kam kvalificējas atsevišķi audita grupas locekļi:</w:t>
      </w:r>
    </w:p>
    <w:p w14:paraId="134076A9" w14:textId="77777777" w:rsidR="00014BB7" w:rsidRPr="00014BB7" w:rsidRDefault="00014BB7" w:rsidP="00014BB7">
      <w:pPr>
        <w:jc w:val="both"/>
        <w:rPr>
          <w:rFonts w:ascii="Times New Roman" w:eastAsia="Arial" w:hAnsi="Times New Roman" w:cs="Times New Roman"/>
          <w:noProof/>
          <w:sz w:val="24"/>
          <w:szCs w:val="24"/>
        </w:rPr>
      </w:pPr>
    </w:p>
    <w:p w14:paraId="2B14F595" w14:textId="77777777" w:rsidR="00014BB7" w:rsidRPr="00014BB7" w:rsidRDefault="00014BB7" w:rsidP="00014BB7">
      <w:pPr>
        <w:jc w:val="both"/>
        <w:rPr>
          <w:rFonts w:ascii="Times New Roman" w:eastAsia="Arial" w:hAnsi="Times New Roman" w:cs="Times New Roman"/>
          <w:noProof/>
          <w:sz w:val="24"/>
          <w:szCs w:val="24"/>
        </w:rPr>
      </w:pPr>
      <w:r>
        <w:rPr>
          <w:rFonts w:ascii="Times New Roman" w:hAnsi="Times New Roman"/>
          <w:noProof/>
          <w:sz w:val="24"/>
        </w:rPr>
        <w:drawing>
          <wp:inline distT="0" distB="0" distL="0" distR="0" wp14:anchorId="70F0C54E" wp14:editId="5FCE3F24">
            <wp:extent cx="2552921" cy="510584"/>
            <wp:effectExtent l="0" t="0" r="0" b="3810"/>
            <wp:docPr id="3"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12"/>
                    <a:stretch>
                      <a:fillRect/>
                    </a:stretch>
                  </pic:blipFill>
                  <pic:spPr>
                    <a:xfrm>
                      <a:off x="0" y="0"/>
                      <a:ext cx="2552921" cy="510584"/>
                    </a:xfrm>
                    <a:prstGeom prst="rect">
                      <a:avLst/>
                    </a:prstGeom>
                  </pic:spPr>
                </pic:pic>
              </a:graphicData>
            </a:graphic>
          </wp:inline>
        </w:drawing>
      </w:r>
    </w:p>
    <w:p w14:paraId="5E1E13D8" w14:textId="77777777" w:rsidR="00014BB7" w:rsidRPr="00014BB7" w:rsidRDefault="00014BB7" w:rsidP="00014BB7">
      <w:pPr>
        <w:jc w:val="both"/>
        <w:rPr>
          <w:rFonts w:ascii="Times New Roman" w:eastAsia="Arial" w:hAnsi="Times New Roman" w:cs="Times New Roman"/>
          <w:noProof/>
          <w:sz w:val="24"/>
          <w:szCs w:val="24"/>
        </w:rPr>
      </w:pPr>
    </w:p>
    <w:p w14:paraId="42EC2095" w14:textId="77777777" w:rsidR="00014BB7" w:rsidRPr="00014BB7" w:rsidRDefault="00014BB7" w:rsidP="000A1DD3">
      <w:pPr>
        <w:pStyle w:val="BodyText"/>
        <w:keepNext/>
        <w:keepLines/>
        <w:rPr>
          <w:noProof/>
        </w:rPr>
      </w:pPr>
      <w:r>
        <w:t>kur:</w:t>
      </w:r>
    </w:p>
    <w:p w14:paraId="77AAC92B" w14:textId="77777777" w:rsidR="00014BB7" w:rsidRPr="00014BB7" w:rsidRDefault="00014BB7" w:rsidP="000A1DD3">
      <w:pPr>
        <w:keepNext/>
        <w:keepLines/>
        <w:jc w:val="both"/>
        <w:rPr>
          <w:rFonts w:ascii="Times New Roman" w:eastAsia="Arial" w:hAnsi="Times New Roman" w:cs="Times New Roman"/>
          <w:noProof/>
          <w:sz w:val="24"/>
          <w:szCs w:val="24"/>
        </w:rPr>
      </w:pPr>
    </w:p>
    <w:p w14:paraId="6DF47D0A" w14:textId="77777777" w:rsidR="00014BB7" w:rsidRPr="00014BB7" w:rsidRDefault="00014BB7" w:rsidP="000A1DD3">
      <w:pPr>
        <w:pStyle w:val="BodyText"/>
        <w:keepNext/>
        <w:keepLines/>
        <w:rPr>
          <w:noProof/>
        </w:rPr>
      </w:pPr>
      <w:proofErr w:type="spellStart"/>
      <w:r>
        <w:t>X1</w:t>
      </w:r>
      <w:proofErr w:type="spellEnd"/>
      <w:r>
        <w:t>, 2, 3 … n ir to standartu skaits, attiecībā uz kuriem auditors ir kvalificēts saistībā ar integrētā audita darbības jomu;</w:t>
      </w:r>
    </w:p>
    <w:p w14:paraId="576DE3BD" w14:textId="77777777" w:rsidR="00014BB7" w:rsidRPr="00014BB7" w:rsidRDefault="00014BB7" w:rsidP="00014BB7">
      <w:pPr>
        <w:pStyle w:val="BodyText"/>
        <w:rPr>
          <w:noProof/>
        </w:rPr>
      </w:pPr>
      <w:r>
        <w:t>Y ir pārvaldības sistēmas standartu skaits, uz ko attiecas integrētais audits;</w:t>
      </w:r>
      <w:r>
        <w:br/>
        <w:t>Z ir auditoru skaits.</w:t>
      </w:r>
    </w:p>
    <w:p w14:paraId="2DC6B449" w14:textId="77777777" w:rsidR="00014BB7" w:rsidRPr="00014BB7" w:rsidRDefault="00014BB7" w:rsidP="00014BB7">
      <w:pPr>
        <w:jc w:val="both"/>
        <w:rPr>
          <w:rFonts w:ascii="Times New Roman" w:eastAsia="Arial" w:hAnsi="Times New Roman" w:cs="Times New Roman"/>
          <w:noProof/>
          <w:sz w:val="24"/>
          <w:szCs w:val="24"/>
        </w:rPr>
      </w:pPr>
    </w:p>
    <w:p w14:paraId="3AFF1A34" w14:textId="77777777" w:rsidR="00014BB7" w:rsidRPr="00014BB7" w:rsidRDefault="00014BB7" w:rsidP="00014BB7">
      <w:pPr>
        <w:pStyle w:val="BodyText"/>
        <w:rPr>
          <w:noProof/>
        </w:rPr>
      </w:pPr>
      <w:r>
        <w:t>Piemērs.</w:t>
      </w:r>
    </w:p>
    <w:p w14:paraId="679D13E1" w14:textId="77777777" w:rsidR="00014BB7" w:rsidRPr="00014BB7" w:rsidRDefault="00014BB7" w:rsidP="00014BB7">
      <w:pPr>
        <w:jc w:val="both"/>
        <w:rPr>
          <w:rFonts w:ascii="Times New Roman" w:eastAsia="Arial" w:hAnsi="Times New Roman" w:cs="Times New Roman"/>
          <w:noProof/>
          <w:sz w:val="24"/>
          <w:szCs w:val="24"/>
        </w:rPr>
      </w:pPr>
    </w:p>
    <w:p w14:paraId="10109A86" w14:textId="77777777" w:rsidR="00014BB7" w:rsidRPr="00014BB7" w:rsidRDefault="00014BB7" w:rsidP="00014BB7">
      <w:pPr>
        <w:pStyle w:val="BodyText"/>
        <w:rPr>
          <w:noProof/>
        </w:rPr>
      </w:pPr>
      <w:r>
        <w:t>Integrēta audita grupa sastāv no trim auditoriem, kuri aptver trīs dažādus pārvaldības sistēmas standartus. Viens auditors ir kvalificēts attiecībā uz visiem trim standartiem; otrs auditors ir kvalificēts attiecībā uz diviem standartiem, bet trešais auditors ir kvalificēts attiecībā uz vienu standartu.</w:t>
      </w:r>
    </w:p>
    <w:p w14:paraId="6804BCDA" w14:textId="77777777" w:rsidR="00014BB7" w:rsidRPr="00014BB7" w:rsidRDefault="00014BB7" w:rsidP="00014BB7">
      <w:pPr>
        <w:pStyle w:val="BodyText"/>
        <w:rPr>
          <w:noProof/>
        </w:rPr>
      </w:pPr>
      <w:r>
        <w:t>Procentu skaitlis, kas izmantojams horizontālajai asij, ir:</w:t>
      </w:r>
    </w:p>
    <w:p w14:paraId="18CDDD8D" w14:textId="77777777" w:rsidR="00014BB7" w:rsidRPr="00014BB7" w:rsidRDefault="00014BB7" w:rsidP="00014BB7">
      <w:pPr>
        <w:jc w:val="both"/>
        <w:rPr>
          <w:rFonts w:ascii="Times New Roman" w:eastAsia="Arial" w:hAnsi="Times New Roman" w:cs="Times New Roman"/>
          <w:noProof/>
          <w:sz w:val="24"/>
          <w:szCs w:val="24"/>
        </w:rPr>
      </w:pPr>
    </w:p>
    <w:p w14:paraId="2CB92258" w14:textId="77777777" w:rsidR="00014BB7" w:rsidRPr="00014BB7" w:rsidRDefault="00014BB7" w:rsidP="00014BB7">
      <w:pPr>
        <w:pStyle w:val="BodyText"/>
        <w:rPr>
          <w:noProof/>
        </w:rPr>
      </w:pPr>
      <w:r>
        <w:rPr>
          <w:noProof/>
        </w:rPr>
        <w:drawing>
          <wp:inline distT="0" distB="0" distL="0" distR="0" wp14:anchorId="06592106" wp14:editId="24548799">
            <wp:extent cx="2110923" cy="472481"/>
            <wp:effectExtent l="0" t="0" r="3810" b="381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13"/>
                    <a:stretch>
                      <a:fillRect/>
                    </a:stretch>
                  </pic:blipFill>
                  <pic:spPr>
                    <a:xfrm>
                      <a:off x="0" y="0"/>
                      <a:ext cx="2110923" cy="472481"/>
                    </a:xfrm>
                    <a:prstGeom prst="rect">
                      <a:avLst/>
                    </a:prstGeom>
                  </pic:spPr>
                </pic:pic>
              </a:graphicData>
            </a:graphic>
          </wp:inline>
        </w:drawing>
      </w:r>
    </w:p>
    <w:p w14:paraId="556765AE" w14:textId="77777777" w:rsidR="00014BB7" w:rsidRPr="00014BB7" w:rsidRDefault="00014BB7" w:rsidP="00014BB7">
      <w:pPr>
        <w:pStyle w:val="BodyText"/>
        <w:rPr>
          <w:noProof/>
        </w:rPr>
      </w:pPr>
    </w:p>
    <w:p w14:paraId="7AB4AAA2" w14:textId="77777777" w:rsidR="00014BB7" w:rsidRPr="00014BB7" w:rsidRDefault="00014BB7" w:rsidP="00014BB7">
      <w:pPr>
        <w:pStyle w:val="BodyText"/>
        <w:rPr>
          <w:noProof/>
        </w:rPr>
      </w:pPr>
      <w:r>
        <w:t>Tā kā katrs auditors ir kompetents attiecībā uz vairākiem audita kritēriju/standartu kopumiem, process ir efektīvs un to ņem vērā iepriekš minētajā formulā, aprēķinot iespējamo laika saīsinājumu. Tas ietver:</w:t>
      </w:r>
    </w:p>
    <w:p w14:paraId="000314AC" w14:textId="77777777" w:rsidR="00014BB7" w:rsidRPr="00014BB7" w:rsidRDefault="00014BB7" w:rsidP="00014BB7">
      <w:pPr>
        <w:jc w:val="both"/>
        <w:rPr>
          <w:rFonts w:ascii="Times New Roman" w:eastAsia="Arial" w:hAnsi="Times New Roman" w:cs="Times New Roman"/>
          <w:noProof/>
          <w:sz w:val="24"/>
          <w:szCs w:val="24"/>
        </w:rPr>
      </w:pPr>
    </w:p>
    <w:p w14:paraId="113CBBDE" w14:textId="77777777" w:rsidR="00014BB7" w:rsidRPr="00014BB7" w:rsidRDefault="00014BB7" w:rsidP="00014BB7">
      <w:pPr>
        <w:pStyle w:val="BodyText"/>
        <w:ind w:left="284"/>
        <w:rPr>
          <w:noProof/>
        </w:rPr>
      </w:pPr>
      <w:r>
        <w:t>1. laiku, kas ietaupīts, jo ir tikai viena atklāšanas un viena slēgšanas sanāksme;</w:t>
      </w:r>
    </w:p>
    <w:p w14:paraId="61FFDBA9" w14:textId="77777777" w:rsidR="00014BB7" w:rsidRPr="00014BB7" w:rsidRDefault="00014BB7" w:rsidP="00014BB7">
      <w:pPr>
        <w:pStyle w:val="BodyText"/>
        <w:ind w:left="284"/>
        <w:rPr>
          <w:noProof/>
        </w:rPr>
      </w:pPr>
      <w:r>
        <w:t>2. laiku, kas ietaupīts, jo tiek sagatavots tikai viens integrēta audita pārskats;</w:t>
      </w:r>
    </w:p>
    <w:p w14:paraId="2F9AC9E9" w14:textId="77777777" w:rsidR="00014BB7" w:rsidRPr="00014BB7" w:rsidRDefault="00014BB7" w:rsidP="00014BB7">
      <w:pPr>
        <w:pStyle w:val="BodyText"/>
        <w:ind w:left="284"/>
        <w:rPr>
          <w:noProof/>
        </w:rPr>
      </w:pPr>
      <w:r>
        <w:t>3. laiku, kas ietaupīts, jo tiek optimizēta loģistika;</w:t>
      </w:r>
    </w:p>
    <w:p w14:paraId="6040B3D4" w14:textId="77777777" w:rsidR="00014BB7" w:rsidRPr="00014BB7" w:rsidRDefault="00014BB7" w:rsidP="00014BB7">
      <w:pPr>
        <w:pStyle w:val="BodyText"/>
        <w:ind w:left="284"/>
        <w:rPr>
          <w:noProof/>
        </w:rPr>
      </w:pPr>
      <w:r>
        <w:t>4. laiku, kas ietaupīts auditoru grupas sanāksmēs, un</w:t>
      </w:r>
    </w:p>
    <w:p w14:paraId="2D3FB118" w14:textId="77777777" w:rsidR="00014BB7" w:rsidRPr="00014BB7" w:rsidRDefault="00014BB7" w:rsidP="00014BB7">
      <w:pPr>
        <w:pStyle w:val="BodyText"/>
        <w:ind w:left="284"/>
        <w:rPr>
          <w:noProof/>
        </w:rPr>
      </w:pPr>
      <w:r>
        <w:t>5. laiku, kas ietaupīts, vienlaikus auditējot kopīgus elementus, piemēram, veicot dokumentu kontroli.</w:t>
      </w:r>
    </w:p>
    <w:p w14:paraId="7F79C0D4" w14:textId="77777777" w:rsidR="00014BB7" w:rsidRPr="00014BB7" w:rsidRDefault="00014BB7" w:rsidP="00014BB7">
      <w:pPr>
        <w:jc w:val="both"/>
        <w:rPr>
          <w:rFonts w:ascii="Times New Roman" w:hAnsi="Times New Roman" w:cs="Times New Roman"/>
          <w:noProof/>
          <w:sz w:val="24"/>
          <w:szCs w:val="24"/>
        </w:rPr>
      </w:pPr>
    </w:p>
    <w:p w14:paraId="7CE7806B" w14:textId="77777777" w:rsidR="00014BB7" w:rsidRPr="00014BB7" w:rsidRDefault="00014BB7" w:rsidP="00014BB7">
      <w:pPr>
        <w:jc w:val="both"/>
        <w:rPr>
          <w:rFonts w:ascii="Times New Roman" w:hAnsi="Times New Roman" w:cs="Times New Roman"/>
          <w:b/>
          <w:noProof/>
          <w:sz w:val="24"/>
          <w:szCs w:val="24"/>
        </w:rPr>
      </w:pPr>
      <w:r>
        <w:rPr>
          <w:rFonts w:ascii="Times New Roman" w:hAnsi="Times New Roman"/>
          <w:b/>
          <w:sz w:val="24"/>
        </w:rPr>
        <w:t>Sīkāka informācija</w:t>
      </w:r>
    </w:p>
    <w:p w14:paraId="58368F5E" w14:textId="77777777" w:rsidR="00014BB7" w:rsidRPr="00014BB7" w:rsidRDefault="00014BB7" w:rsidP="00014BB7">
      <w:pPr>
        <w:jc w:val="both"/>
        <w:rPr>
          <w:rFonts w:ascii="Times New Roman" w:hAnsi="Times New Roman" w:cs="Times New Roman"/>
          <w:noProof/>
          <w:sz w:val="24"/>
          <w:szCs w:val="24"/>
        </w:rPr>
      </w:pPr>
    </w:p>
    <w:p w14:paraId="4026E4C9" w14:textId="77777777" w:rsidR="00014BB7" w:rsidRPr="00014BB7" w:rsidRDefault="00014BB7" w:rsidP="00014BB7">
      <w:pPr>
        <w:jc w:val="both"/>
        <w:rPr>
          <w:rFonts w:ascii="Times New Roman" w:hAnsi="Times New Roman" w:cs="Times New Roman"/>
          <w:noProof/>
          <w:sz w:val="24"/>
          <w:szCs w:val="24"/>
        </w:rPr>
      </w:pPr>
      <w:r>
        <w:rPr>
          <w:rFonts w:ascii="Times New Roman" w:hAnsi="Times New Roman"/>
          <w:sz w:val="24"/>
        </w:rPr>
        <w:t xml:space="preserve">Sīkāku informāciju par šo dokumentu vai citiem </w:t>
      </w:r>
      <w:proofErr w:type="spellStart"/>
      <w:r>
        <w:rPr>
          <w:rFonts w:ascii="Times New Roman" w:hAnsi="Times New Roman"/>
          <w:i/>
          <w:iCs/>
          <w:sz w:val="24"/>
        </w:rPr>
        <w:t>IAF</w:t>
      </w:r>
      <w:proofErr w:type="spellEnd"/>
      <w:r>
        <w:rPr>
          <w:rFonts w:ascii="Times New Roman" w:hAnsi="Times New Roman"/>
          <w:sz w:val="24"/>
        </w:rPr>
        <w:t xml:space="preserve"> dokumentiem var saņemt, sazinoties ar jebkuru </w:t>
      </w:r>
      <w:proofErr w:type="spellStart"/>
      <w:r>
        <w:rPr>
          <w:rFonts w:ascii="Times New Roman" w:hAnsi="Times New Roman"/>
          <w:i/>
          <w:iCs/>
          <w:sz w:val="24"/>
        </w:rPr>
        <w:t>IAF</w:t>
      </w:r>
      <w:proofErr w:type="spellEnd"/>
      <w:r>
        <w:rPr>
          <w:rFonts w:ascii="Times New Roman" w:hAnsi="Times New Roman"/>
          <w:sz w:val="24"/>
        </w:rPr>
        <w:t xml:space="preserve"> locekli vai ar </w:t>
      </w:r>
      <w:proofErr w:type="spellStart"/>
      <w:r>
        <w:rPr>
          <w:rFonts w:ascii="Times New Roman" w:hAnsi="Times New Roman"/>
          <w:i/>
          <w:iCs/>
          <w:sz w:val="24"/>
        </w:rPr>
        <w:t>IAF</w:t>
      </w:r>
      <w:proofErr w:type="spellEnd"/>
      <w:r>
        <w:rPr>
          <w:rFonts w:ascii="Times New Roman" w:hAnsi="Times New Roman"/>
          <w:sz w:val="24"/>
        </w:rPr>
        <w:t xml:space="preserve"> sekretariātu.</w:t>
      </w:r>
    </w:p>
    <w:p w14:paraId="2F23D27B" w14:textId="77777777" w:rsidR="00014BB7" w:rsidRPr="00014BB7" w:rsidRDefault="00014BB7" w:rsidP="00014BB7">
      <w:pPr>
        <w:jc w:val="both"/>
        <w:rPr>
          <w:rFonts w:ascii="Times New Roman" w:hAnsi="Times New Roman" w:cs="Times New Roman"/>
          <w:noProof/>
          <w:sz w:val="24"/>
          <w:szCs w:val="24"/>
        </w:rPr>
      </w:pPr>
    </w:p>
    <w:p w14:paraId="0C4E7BE6" w14:textId="77777777" w:rsidR="00014BB7" w:rsidRPr="00014BB7" w:rsidRDefault="00014BB7" w:rsidP="00014BB7">
      <w:pPr>
        <w:jc w:val="both"/>
        <w:rPr>
          <w:rFonts w:ascii="Times New Roman" w:hAnsi="Times New Roman" w:cs="Times New Roman"/>
          <w:noProof/>
          <w:sz w:val="24"/>
          <w:szCs w:val="24"/>
        </w:rPr>
      </w:pPr>
      <w:proofErr w:type="spellStart"/>
      <w:r>
        <w:rPr>
          <w:rFonts w:ascii="Times New Roman" w:hAnsi="Times New Roman"/>
          <w:i/>
          <w:iCs/>
          <w:sz w:val="24"/>
        </w:rPr>
        <w:t>IAF</w:t>
      </w:r>
      <w:proofErr w:type="spellEnd"/>
      <w:r>
        <w:rPr>
          <w:rFonts w:ascii="Times New Roman" w:hAnsi="Times New Roman"/>
          <w:sz w:val="24"/>
        </w:rPr>
        <w:t xml:space="preserve"> locekļu kontaktinformācija ir sniegta </w:t>
      </w:r>
      <w:proofErr w:type="spellStart"/>
      <w:r>
        <w:rPr>
          <w:rFonts w:ascii="Times New Roman" w:hAnsi="Times New Roman"/>
          <w:i/>
          <w:iCs/>
          <w:sz w:val="24"/>
        </w:rPr>
        <w:t>IAF</w:t>
      </w:r>
      <w:proofErr w:type="spellEnd"/>
      <w:r>
        <w:rPr>
          <w:rFonts w:ascii="Times New Roman" w:hAnsi="Times New Roman"/>
          <w:sz w:val="24"/>
        </w:rPr>
        <w:t xml:space="preserve"> tīmekļa vietnē: http://www.iaf.nu.</w:t>
      </w:r>
    </w:p>
    <w:p w14:paraId="39F3D769" w14:textId="77777777" w:rsidR="00014BB7" w:rsidRPr="00014BB7" w:rsidRDefault="00014BB7" w:rsidP="00014BB7">
      <w:pPr>
        <w:jc w:val="both"/>
        <w:rPr>
          <w:rFonts w:ascii="Times New Roman" w:hAnsi="Times New Roman" w:cs="Times New Roman"/>
          <w:b/>
          <w:noProof/>
          <w:sz w:val="24"/>
          <w:szCs w:val="24"/>
        </w:rPr>
      </w:pPr>
    </w:p>
    <w:p w14:paraId="5A9B9B1A" w14:textId="77777777" w:rsidR="00014BB7" w:rsidRPr="00014BB7" w:rsidRDefault="00014BB7" w:rsidP="00014BB7">
      <w:pPr>
        <w:jc w:val="both"/>
        <w:rPr>
          <w:rFonts w:ascii="Times New Roman" w:hAnsi="Times New Roman" w:cs="Times New Roman"/>
          <w:b/>
          <w:noProof/>
          <w:sz w:val="24"/>
          <w:szCs w:val="24"/>
        </w:rPr>
      </w:pPr>
      <w:r>
        <w:rPr>
          <w:rFonts w:ascii="Times New Roman" w:hAnsi="Times New Roman"/>
          <w:b/>
          <w:sz w:val="24"/>
        </w:rPr>
        <w:t>Sekretariāts</w:t>
      </w:r>
    </w:p>
    <w:p w14:paraId="1E9A2AFC" w14:textId="77777777" w:rsidR="00014BB7" w:rsidRPr="00014BB7" w:rsidRDefault="00014BB7" w:rsidP="00014BB7">
      <w:pPr>
        <w:jc w:val="both"/>
        <w:rPr>
          <w:rFonts w:ascii="Times New Roman" w:hAnsi="Times New Roman" w:cs="Times New Roman"/>
          <w:noProof/>
          <w:sz w:val="24"/>
          <w:szCs w:val="24"/>
        </w:rPr>
      </w:pPr>
    </w:p>
    <w:p w14:paraId="1B6FC6AA" w14:textId="77777777" w:rsidR="00014BB7" w:rsidRPr="00014BB7" w:rsidRDefault="00014BB7" w:rsidP="00014BB7">
      <w:pPr>
        <w:jc w:val="both"/>
        <w:rPr>
          <w:rFonts w:ascii="Times New Roman" w:hAnsi="Times New Roman" w:cs="Times New Roman"/>
          <w:noProof/>
          <w:sz w:val="24"/>
          <w:szCs w:val="24"/>
        </w:rPr>
      </w:pPr>
      <w:proofErr w:type="spellStart"/>
      <w:r>
        <w:rPr>
          <w:rFonts w:ascii="Times New Roman" w:hAnsi="Times New Roman"/>
          <w:i/>
          <w:iCs/>
          <w:sz w:val="24"/>
        </w:rPr>
        <w:t>IAF</w:t>
      </w:r>
      <w:proofErr w:type="spellEnd"/>
      <w:r>
        <w:rPr>
          <w:rFonts w:ascii="Times New Roman" w:hAnsi="Times New Roman"/>
          <w:sz w:val="24"/>
        </w:rPr>
        <w:t xml:space="preserve"> korporācijas sekretāre</w:t>
      </w:r>
    </w:p>
    <w:p w14:paraId="2A251551" w14:textId="77777777" w:rsidR="00014BB7" w:rsidRPr="00014BB7" w:rsidRDefault="00014BB7" w:rsidP="00014BB7">
      <w:pPr>
        <w:jc w:val="both"/>
        <w:rPr>
          <w:rFonts w:ascii="Times New Roman" w:hAnsi="Times New Roman" w:cs="Times New Roman"/>
          <w:noProof/>
          <w:sz w:val="24"/>
          <w:szCs w:val="24"/>
        </w:rPr>
      </w:pPr>
      <w:r>
        <w:rPr>
          <w:rFonts w:ascii="Times New Roman" w:hAnsi="Times New Roman"/>
          <w:sz w:val="24"/>
        </w:rPr>
        <w:t>Tālrunis: +1 613 454-8159</w:t>
      </w:r>
    </w:p>
    <w:p w14:paraId="6BAF88AF" w14:textId="77777777" w:rsidR="00014BB7" w:rsidRPr="00014BB7" w:rsidRDefault="00014BB7" w:rsidP="00014BB7">
      <w:pPr>
        <w:jc w:val="both"/>
        <w:rPr>
          <w:rFonts w:ascii="Times New Roman" w:hAnsi="Times New Roman" w:cs="Times New Roman"/>
          <w:noProof/>
          <w:sz w:val="24"/>
          <w:szCs w:val="24"/>
        </w:rPr>
      </w:pPr>
      <w:r>
        <w:rPr>
          <w:rFonts w:ascii="Times New Roman" w:hAnsi="Times New Roman"/>
          <w:sz w:val="24"/>
        </w:rPr>
        <w:t>E-pasts: secretary@iaf.nu</w:t>
      </w:r>
    </w:p>
    <w:sectPr w:rsidR="00014BB7" w:rsidRPr="00014BB7" w:rsidSect="009A3E3C">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28A6" w14:textId="77777777" w:rsidR="00DD5E0C" w:rsidRPr="00014BB7" w:rsidRDefault="00785DBB">
      <w:pPr>
        <w:rPr>
          <w:noProof/>
        </w:rPr>
      </w:pPr>
      <w:r w:rsidRPr="00014BB7">
        <w:rPr>
          <w:noProof/>
        </w:rPr>
        <w:separator/>
      </w:r>
    </w:p>
  </w:endnote>
  <w:endnote w:type="continuationSeparator" w:id="0">
    <w:p w14:paraId="72BA28A8" w14:textId="77777777" w:rsidR="00DD5E0C" w:rsidRPr="00014BB7" w:rsidRDefault="00785DBB">
      <w:pPr>
        <w:rPr>
          <w:noProof/>
        </w:rPr>
      </w:pPr>
      <w:r w:rsidRPr="00014BB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BC58" w14:textId="77777777" w:rsidR="004F5F15" w:rsidRPr="003E47FA" w:rsidRDefault="004F5F15" w:rsidP="004F5F15">
    <w:pPr>
      <w:pStyle w:val="Header"/>
      <w:tabs>
        <w:tab w:val="left" w:pos="9072"/>
      </w:tabs>
      <w:jc w:val="both"/>
      <w:rPr>
        <w:rStyle w:val="PageNumber"/>
        <w:rFonts w:ascii="Times New Roman" w:hAnsi="Times New Roman" w:cs="Times New Roman"/>
        <w:sz w:val="20"/>
        <w:szCs w:val="20"/>
      </w:rPr>
    </w:pPr>
  </w:p>
  <w:p w14:paraId="67413B22" w14:textId="77777777" w:rsidR="004F5F15" w:rsidRPr="003E47FA" w:rsidRDefault="004F5F15" w:rsidP="004F5F15">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4C8665E9" w14:textId="77777777" w:rsidR="004F5F15" w:rsidRPr="003E47FA" w:rsidRDefault="004F5F15" w:rsidP="004F5F15">
    <w:pPr>
      <w:pStyle w:val="Header"/>
      <w:tabs>
        <w:tab w:val="right" w:pos="9072"/>
      </w:tabs>
      <w:jc w:val="both"/>
      <w:rPr>
        <w:rStyle w:val="PageNumber"/>
        <w:rFonts w:ascii="Times New Roman" w:hAnsi="Times New Roman" w:cs="Times New Roman"/>
        <w:sz w:val="20"/>
        <w:szCs w:val="20"/>
      </w:rPr>
    </w:pPr>
  </w:p>
  <w:p w14:paraId="72BA28A1" w14:textId="2550D8F6" w:rsidR="00906674" w:rsidRPr="004F5F15" w:rsidRDefault="004F5F15" w:rsidP="004F5F15">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CD2F" w14:textId="77777777" w:rsidR="00BA06A3" w:rsidRPr="003F25D0" w:rsidRDefault="00BA06A3" w:rsidP="00BA06A3">
    <w:pPr>
      <w:pStyle w:val="Header"/>
      <w:tabs>
        <w:tab w:val="left" w:pos="9072"/>
      </w:tabs>
      <w:jc w:val="both"/>
      <w:rPr>
        <w:rStyle w:val="PageNumber"/>
        <w:rFonts w:ascii="Times New Roman" w:hAnsi="Times New Roman"/>
        <w:sz w:val="20"/>
        <w:szCs w:val="18"/>
      </w:rPr>
    </w:pPr>
    <w:bookmarkStart w:id="28" w:name="_Hlk496261764"/>
    <w:bookmarkStart w:id="29" w:name="_Hlk496261765"/>
    <w:bookmarkStart w:id="30" w:name="_Hlk496261766"/>
    <w:bookmarkStart w:id="31" w:name="_Hlk30491075"/>
    <w:bookmarkStart w:id="32" w:name="_Hlk30491076"/>
  </w:p>
  <w:p w14:paraId="042970E0" w14:textId="77777777" w:rsidR="00BA06A3" w:rsidRPr="003F25D0" w:rsidRDefault="00BA06A3" w:rsidP="00BA06A3">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44DBEAF6" w14:textId="77777777" w:rsidR="00BA06A3" w:rsidRPr="003F25D0" w:rsidRDefault="00BA06A3" w:rsidP="00BA06A3">
    <w:pPr>
      <w:pStyle w:val="Header"/>
      <w:tabs>
        <w:tab w:val="left" w:pos="9072"/>
      </w:tabs>
      <w:jc w:val="both"/>
      <w:rPr>
        <w:rStyle w:val="PageNumber"/>
        <w:rFonts w:ascii="Times New Roman" w:hAnsi="Times New Roman"/>
        <w:sz w:val="20"/>
        <w:szCs w:val="18"/>
      </w:rPr>
    </w:pPr>
  </w:p>
  <w:p w14:paraId="02C5F35C" w14:textId="2D7EC799" w:rsidR="00014BB7" w:rsidRPr="00BA06A3" w:rsidRDefault="00BA06A3" w:rsidP="00BA06A3">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28"/>
    <w:bookmarkEnd w:id="29"/>
    <w:bookmarkEnd w:id="30"/>
    <w:r w:rsidRPr="003F25D0">
      <w:rPr>
        <w:rFonts w:ascii="Times New Roman" w:hAnsi="Times New Roman"/>
        <w:sz w:val="20"/>
        <w:szCs w:val="18"/>
      </w:rPr>
      <w:t>2</w:t>
    </w:r>
    <w:bookmarkEnd w:id="31"/>
    <w:bookmarkEnd w:id="32"/>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28A2" w14:textId="77777777" w:rsidR="00DD5E0C" w:rsidRPr="00014BB7" w:rsidRDefault="00785DBB">
      <w:pPr>
        <w:rPr>
          <w:noProof/>
        </w:rPr>
      </w:pPr>
      <w:r w:rsidRPr="00014BB7">
        <w:rPr>
          <w:noProof/>
        </w:rPr>
        <w:separator/>
      </w:r>
    </w:p>
  </w:footnote>
  <w:footnote w:type="continuationSeparator" w:id="0">
    <w:p w14:paraId="72BA28A4" w14:textId="77777777" w:rsidR="00DD5E0C" w:rsidRPr="00014BB7" w:rsidRDefault="00785DBB">
      <w:pPr>
        <w:rPr>
          <w:noProof/>
        </w:rPr>
      </w:pPr>
      <w:r w:rsidRPr="00014BB7">
        <w:rPr>
          <w:noProof/>
        </w:rPr>
        <w:continuationSeparator/>
      </w:r>
    </w:p>
  </w:footnote>
  <w:footnote w:id="1">
    <w:p w14:paraId="35E4A3B9" w14:textId="61E286B2" w:rsidR="002B572E" w:rsidRPr="000A6C29" w:rsidRDefault="002B572E" w:rsidP="008242FB">
      <w:pPr>
        <w:pStyle w:val="FootnoteText"/>
        <w:jc w:val="both"/>
        <w:rPr>
          <w:rFonts w:ascii="Times New Roman" w:hAnsi="Times New Roman" w:cs="Times New Roman"/>
        </w:rPr>
      </w:pPr>
      <w:r w:rsidRPr="000A6C29">
        <w:rPr>
          <w:rStyle w:val="FootnoteReference"/>
          <w:rFonts w:ascii="Times New Roman" w:hAnsi="Times New Roman" w:cs="Times New Roman"/>
        </w:rPr>
        <w:footnoteRef/>
      </w:r>
      <w:r w:rsidRPr="000A6C29">
        <w:rPr>
          <w:rFonts w:ascii="Times New Roman" w:hAnsi="Times New Roman" w:cs="Times New Roman"/>
        </w:rPr>
        <w:t xml:space="preserve"> </w:t>
      </w:r>
      <w:r w:rsidR="008242FB" w:rsidRPr="000A6C29">
        <w:rPr>
          <w:rFonts w:ascii="Times New Roman" w:hAnsi="Times New Roman" w:cs="Times New Roman"/>
        </w:rPr>
        <w:t>Tulkotāja piezīme. Tekstā angļu valodā šis komentārs attiecas uz konstrukcijām ar “</w:t>
      </w:r>
      <w:proofErr w:type="spellStart"/>
      <w:r w:rsidR="008242FB" w:rsidRPr="000A6C29">
        <w:rPr>
          <w:rFonts w:ascii="Times New Roman" w:hAnsi="Times New Roman" w:cs="Times New Roman"/>
        </w:rPr>
        <w:t>should</w:t>
      </w:r>
      <w:proofErr w:type="spellEnd"/>
      <w:r w:rsidR="008242FB" w:rsidRPr="000A6C29">
        <w:rPr>
          <w:rFonts w:ascii="Times New Roman" w:hAnsi="Times New Roman" w:cs="Times New Roman"/>
        </w:rPr>
        <w:t>”</w:t>
      </w:r>
    </w:p>
  </w:footnote>
  <w:footnote w:id="2">
    <w:p w14:paraId="6A6AD08A" w14:textId="3C27AA4C" w:rsidR="008242FB" w:rsidRDefault="008242FB">
      <w:pPr>
        <w:pStyle w:val="FootnoteText"/>
      </w:pPr>
      <w:r w:rsidRPr="000A6C29">
        <w:rPr>
          <w:rStyle w:val="FootnoteReference"/>
          <w:rFonts w:ascii="Times New Roman" w:hAnsi="Times New Roman" w:cs="Times New Roman"/>
        </w:rPr>
        <w:footnoteRef/>
      </w:r>
      <w:r w:rsidRPr="000A6C29">
        <w:rPr>
          <w:rFonts w:ascii="Times New Roman" w:hAnsi="Times New Roman" w:cs="Times New Roman"/>
        </w:rPr>
        <w:t xml:space="preserve"> </w:t>
      </w:r>
      <w:r w:rsidR="000A6C29" w:rsidRPr="000A6C29">
        <w:rPr>
          <w:rFonts w:ascii="Times New Roman" w:hAnsi="Times New Roman" w:cs="Times New Roman"/>
        </w:rPr>
        <w:t>Tulkotāja piezīme. Tekstā angļu valodā šis komentārs attiecas uz konstrukcijām ar “</w:t>
      </w:r>
      <w:proofErr w:type="spellStart"/>
      <w:r w:rsidR="000A6C29" w:rsidRPr="000A6C29">
        <w:rPr>
          <w:rFonts w:ascii="Times New Roman" w:hAnsi="Times New Roman" w:cs="Times New Roman"/>
        </w:rPr>
        <w:t>shall</w:t>
      </w:r>
      <w:proofErr w:type="spellEnd"/>
      <w:r w:rsidR="000A6C29" w:rsidRPr="000A6C29">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E022" w14:textId="77777777" w:rsidR="00F76BFB" w:rsidRPr="0075517C" w:rsidRDefault="00F76BFB" w:rsidP="00F76BFB">
    <w:pPr>
      <w:pStyle w:val="Header"/>
      <w:rPr>
        <w:rStyle w:val="PageNumber"/>
        <w:rFonts w:ascii="Times New Roman" w:hAnsi="Times New Roman" w:cs="Times New Roman"/>
        <w:sz w:val="20"/>
        <w:szCs w:val="20"/>
      </w:rPr>
    </w:pPr>
    <w:bookmarkStart w:id="14" w:name="_Hlk496261784"/>
    <w:bookmarkStart w:id="15" w:name="_Hlk496261785"/>
    <w:bookmarkStart w:id="16" w:name="_Hlk496261786"/>
    <w:bookmarkStart w:id="17" w:name="_Hlk502757728"/>
    <w:bookmarkStart w:id="18" w:name="_Hlk502757729"/>
    <w:bookmarkStart w:id="19" w:name="_Hlk502757738"/>
    <w:bookmarkStart w:id="20" w:name="_Hlk502757739"/>
    <w:bookmarkStart w:id="21" w:name="_Hlk30491084"/>
    <w:bookmarkStart w:id="22" w:name="_Hlk30491085"/>
  </w:p>
  <w:p w14:paraId="1D666513" w14:textId="77777777" w:rsidR="00F76BFB" w:rsidRPr="0075517C" w:rsidRDefault="00F76BFB" w:rsidP="00F76BFB">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4"/>
  <w:bookmarkEnd w:id="15"/>
  <w:bookmarkEnd w:id="16"/>
  <w:bookmarkEnd w:id="17"/>
  <w:bookmarkEnd w:id="18"/>
  <w:bookmarkEnd w:id="19"/>
  <w:bookmarkEnd w:id="20"/>
  <w:bookmarkEnd w:id="21"/>
  <w:bookmarkEnd w:id="22"/>
  <w:p w14:paraId="72BA28A0" w14:textId="1A1196F7" w:rsidR="00906674" w:rsidRPr="00F76BFB" w:rsidRDefault="00906674" w:rsidP="00F76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96F9" w14:textId="77777777" w:rsidR="00394150" w:rsidRPr="000F66E7" w:rsidRDefault="00394150" w:rsidP="00394150">
    <w:pPr>
      <w:pBdr>
        <w:bottom w:val="single" w:sz="12" w:space="5" w:color="auto"/>
      </w:pBdr>
      <w:rPr>
        <w:rFonts w:ascii="Times New Roman" w:hAnsi="Times New Roman" w:cs="Times New Roman"/>
        <w:spacing w:val="-2"/>
        <w:sz w:val="20"/>
        <w:szCs w:val="20"/>
      </w:rPr>
    </w:pPr>
    <w:bookmarkStart w:id="23" w:name="_Hlk496261745"/>
    <w:bookmarkStart w:id="24" w:name="_Hlk496261746"/>
    <w:bookmarkStart w:id="25" w:name="_Hlk496261747"/>
    <w:bookmarkStart w:id="26" w:name="_Hlk30491063"/>
    <w:bookmarkStart w:id="27" w:name="_Hlk30491064"/>
  </w:p>
  <w:bookmarkEnd w:id="23"/>
  <w:bookmarkEnd w:id="24"/>
  <w:bookmarkEnd w:id="25"/>
  <w:bookmarkEnd w:id="26"/>
  <w:bookmarkEnd w:id="27"/>
  <w:p w14:paraId="4F90446D" w14:textId="77777777" w:rsidR="00014BB7" w:rsidRDefault="0001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D59"/>
    <w:multiLevelType w:val="hybridMultilevel"/>
    <w:tmpl w:val="8A742122"/>
    <w:lvl w:ilvl="0" w:tplc="9E6C3F68">
      <w:start w:val="1"/>
      <w:numFmt w:val="bullet"/>
      <w:lvlText w:val=""/>
      <w:lvlJc w:val="left"/>
      <w:pPr>
        <w:ind w:left="960" w:hanging="360"/>
      </w:pPr>
      <w:rPr>
        <w:rFonts w:ascii="Symbol" w:eastAsia="Symbol" w:hAnsi="Symbol" w:hint="default"/>
        <w:sz w:val="24"/>
        <w:szCs w:val="24"/>
      </w:rPr>
    </w:lvl>
    <w:lvl w:ilvl="1" w:tplc="0986A996">
      <w:start w:val="1"/>
      <w:numFmt w:val="bullet"/>
      <w:lvlText w:val="•"/>
      <w:lvlJc w:val="left"/>
      <w:pPr>
        <w:ind w:left="1813" w:hanging="360"/>
      </w:pPr>
      <w:rPr>
        <w:rFonts w:hint="default"/>
      </w:rPr>
    </w:lvl>
    <w:lvl w:ilvl="2" w:tplc="64F8D9C2">
      <w:start w:val="1"/>
      <w:numFmt w:val="bullet"/>
      <w:lvlText w:val="•"/>
      <w:lvlJc w:val="left"/>
      <w:pPr>
        <w:ind w:left="2665" w:hanging="360"/>
      </w:pPr>
      <w:rPr>
        <w:rFonts w:hint="default"/>
      </w:rPr>
    </w:lvl>
    <w:lvl w:ilvl="3" w:tplc="89644262">
      <w:start w:val="1"/>
      <w:numFmt w:val="bullet"/>
      <w:lvlText w:val="•"/>
      <w:lvlJc w:val="left"/>
      <w:pPr>
        <w:ind w:left="3518" w:hanging="360"/>
      </w:pPr>
      <w:rPr>
        <w:rFonts w:hint="default"/>
      </w:rPr>
    </w:lvl>
    <w:lvl w:ilvl="4" w:tplc="14C4EA2E">
      <w:start w:val="1"/>
      <w:numFmt w:val="bullet"/>
      <w:lvlText w:val="•"/>
      <w:lvlJc w:val="left"/>
      <w:pPr>
        <w:ind w:left="4370" w:hanging="360"/>
      </w:pPr>
      <w:rPr>
        <w:rFonts w:hint="default"/>
      </w:rPr>
    </w:lvl>
    <w:lvl w:ilvl="5" w:tplc="AE6A9688">
      <w:start w:val="1"/>
      <w:numFmt w:val="bullet"/>
      <w:lvlText w:val="•"/>
      <w:lvlJc w:val="left"/>
      <w:pPr>
        <w:ind w:left="5223" w:hanging="360"/>
      </w:pPr>
      <w:rPr>
        <w:rFonts w:hint="default"/>
      </w:rPr>
    </w:lvl>
    <w:lvl w:ilvl="6" w:tplc="61DA6200">
      <w:start w:val="1"/>
      <w:numFmt w:val="bullet"/>
      <w:lvlText w:val="•"/>
      <w:lvlJc w:val="left"/>
      <w:pPr>
        <w:ind w:left="6076" w:hanging="360"/>
      </w:pPr>
      <w:rPr>
        <w:rFonts w:hint="default"/>
      </w:rPr>
    </w:lvl>
    <w:lvl w:ilvl="7" w:tplc="0C98A812">
      <w:start w:val="1"/>
      <w:numFmt w:val="bullet"/>
      <w:lvlText w:val="•"/>
      <w:lvlJc w:val="left"/>
      <w:pPr>
        <w:ind w:left="6928" w:hanging="360"/>
      </w:pPr>
      <w:rPr>
        <w:rFonts w:hint="default"/>
      </w:rPr>
    </w:lvl>
    <w:lvl w:ilvl="8" w:tplc="5704CC84">
      <w:start w:val="1"/>
      <w:numFmt w:val="bullet"/>
      <w:lvlText w:val="•"/>
      <w:lvlJc w:val="left"/>
      <w:pPr>
        <w:ind w:left="7781" w:hanging="360"/>
      </w:pPr>
      <w:rPr>
        <w:rFonts w:hint="default"/>
      </w:rPr>
    </w:lvl>
  </w:abstractNum>
  <w:abstractNum w:abstractNumId="1" w15:restartNumberingAfterBreak="0">
    <w:nsid w:val="1C2E4C96"/>
    <w:multiLevelType w:val="multilevel"/>
    <w:tmpl w:val="9C584E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CE7CEF"/>
    <w:multiLevelType w:val="multilevel"/>
    <w:tmpl w:val="437E8374"/>
    <w:lvl w:ilvl="0">
      <w:start w:val="1"/>
      <w:numFmt w:val="decimal"/>
      <w:lvlText w:val="%1"/>
      <w:lvlJc w:val="left"/>
      <w:pPr>
        <w:ind w:left="240" w:hanging="569"/>
      </w:pPr>
      <w:rPr>
        <w:rFonts w:hint="default"/>
      </w:rPr>
    </w:lvl>
    <w:lvl w:ilvl="1">
      <w:start w:val="1"/>
      <w:numFmt w:val="decimal"/>
      <w:lvlText w:val="%1.%2."/>
      <w:lvlJc w:val="left"/>
      <w:pPr>
        <w:ind w:left="240" w:hanging="569"/>
      </w:pPr>
      <w:rPr>
        <w:rFonts w:ascii="Arial" w:eastAsia="Arial" w:hAnsi="Arial" w:hint="default"/>
        <w:sz w:val="24"/>
        <w:szCs w:val="24"/>
      </w:rPr>
    </w:lvl>
    <w:lvl w:ilvl="2">
      <w:start w:val="1"/>
      <w:numFmt w:val="bullet"/>
      <w:lvlText w:val="•"/>
      <w:lvlJc w:val="left"/>
      <w:pPr>
        <w:ind w:left="2089" w:hanging="569"/>
      </w:pPr>
      <w:rPr>
        <w:rFonts w:hint="default"/>
      </w:rPr>
    </w:lvl>
    <w:lvl w:ilvl="3">
      <w:start w:val="1"/>
      <w:numFmt w:val="bullet"/>
      <w:lvlText w:val="•"/>
      <w:lvlJc w:val="left"/>
      <w:pPr>
        <w:ind w:left="3014" w:hanging="569"/>
      </w:pPr>
      <w:rPr>
        <w:rFonts w:hint="default"/>
      </w:rPr>
    </w:lvl>
    <w:lvl w:ilvl="4">
      <w:start w:val="1"/>
      <w:numFmt w:val="bullet"/>
      <w:lvlText w:val="•"/>
      <w:lvlJc w:val="left"/>
      <w:pPr>
        <w:ind w:left="3938" w:hanging="569"/>
      </w:pPr>
      <w:rPr>
        <w:rFonts w:hint="default"/>
      </w:rPr>
    </w:lvl>
    <w:lvl w:ilvl="5">
      <w:start w:val="1"/>
      <w:numFmt w:val="bullet"/>
      <w:lvlText w:val="•"/>
      <w:lvlJc w:val="left"/>
      <w:pPr>
        <w:ind w:left="4863" w:hanging="569"/>
      </w:pPr>
      <w:rPr>
        <w:rFonts w:hint="default"/>
      </w:rPr>
    </w:lvl>
    <w:lvl w:ilvl="6">
      <w:start w:val="1"/>
      <w:numFmt w:val="bullet"/>
      <w:lvlText w:val="•"/>
      <w:lvlJc w:val="left"/>
      <w:pPr>
        <w:ind w:left="5788" w:hanging="569"/>
      </w:pPr>
      <w:rPr>
        <w:rFonts w:hint="default"/>
      </w:rPr>
    </w:lvl>
    <w:lvl w:ilvl="7">
      <w:start w:val="1"/>
      <w:numFmt w:val="bullet"/>
      <w:lvlText w:val="•"/>
      <w:lvlJc w:val="left"/>
      <w:pPr>
        <w:ind w:left="6712" w:hanging="569"/>
      </w:pPr>
      <w:rPr>
        <w:rFonts w:hint="default"/>
      </w:rPr>
    </w:lvl>
    <w:lvl w:ilvl="8">
      <w:start w:val="1"/>
      <w:numFmt w:val="bullet"/>
      <w:lvlText w:val="•"/>
      <w:lvlJc w:val="left"/>
      <w:pPr>
        <w:ind w:left="7637" w:hanging="569"/>
      </w:pPr>
      <w:rPr>
        <w:rFonts w:hint="default"/>
      </w:rPr>
    </w:lvl>
  </w:abstractNum>
  <w:abstractNum w:abstractNumId="3" w15:restartNumberingAfterBreak="0">
    <w:nsid w:val="42CD073A"/>
    <w:multiLevelType w:val="multilevel"/>
    <w:tmpl w:val="D6089F0E"/>
    <w:lvl w:ilvl="0">
      <w:start w:val="2"/>
      <w:numFmt w:val="decimal"/>
      <w:lvlText w:val="%1"/>
      <w:lvlJc w:val="left"/>
      <w:pPr>
        <w:ind w:left="240" w:hanging="569"/>
      </w:pPr>
      <w:rPr>
        <w:rFonts w:hint="default"/>
      </w:rPr>
    </w:lvl>
    <w:lvl w:ilvl="1">
      <w:start w:val="2"/>
      <w:numFmt w:val="decimal"/>
      <w:lvlText w:val="%1.%2"/>
      <w:lvlJc w:val="left"/>
      <w:pPr>
        <w:ind w:left="240" w:hanging="569"/>
      </w:pPr>
      <w:rPr>
        <w:rFonts w:ascii="Arial" w:eastAsia="Arial" w:hAnsi="Arial" w:hint="default"/>
        <w:sz w:val="24"/>
        <w:szCs w:val="24"/>
      </w:rPr>
    </w:lvl>
    <w:lvl w:ilvl="2">
      <w:start w:val="1"/>
      <w:numFmt w:val="bullet"/>
      <w:lvlText w:val="•"/>
      <w:lvlJc w:val="left"/>
      <w:pPr>
        <w:ind w:left="2089" w:hanging="569"/>
      </w:pPr>
      <w:rPr>
        <w:rFonts w:hint="default"/>
      </w:rPr>
    </w:lvl>
    <w:lvl w:ilvl="3">
      <w:start w:val="1"/>
      <w:numFmt w:val="bullet"/>
      <w:lvlText w:val="•"/>
      <w:lvlJc w:val="left"/>
      <w:pPr>
        <w:ind w:left="3014" w:hanging="569"/>
      </w:pPr>
      <w:rPr>
        <w:rFonts w:hint="default"/>
      </w:rPr>
    </w:lvl>
    <w:lvl w:ilvl="4">
      <w:start w:val="1"/>
      <w:numFmt w:val="bullet"/>
      <w:lvlText w:val="•"/>
      <w:lvlJc w:val="left"/>
      <w:pPr>
        <w:ind w:left="3938" w:hanging="569"/>
      </w:pPr>
      <w:rPr>
        <w:rFonts w:hint="default"/>
      </w:rPr>
    </w:lvl>
    <w:lvl w:ilvl="5">
      <w:start w:val="1"/>
      <w:numFmt w:val="bullet"/>
      <w:lvlText w:val="•"/>
      <w:lvlJc w:val="left"/>
      <w:pPr>
        <w:ind w:left="4863" w:hanging="569"/>
      </w:pPr>
      <w:rPr>
        <w:rFonts w:hint="default"/>
      </w:rPr>
    </w:lvl>
    <w:lvl w:ilvl="6">
      <w:start w:val="1"/>
      <w:numFmt w:val="bullet"/>
      <w:lvlText w:val="•"/>
      <w:lvlJc w:val="left"/>
      <w:pPr>
        <w:ind w:left="5788" w:hanging="569"/>
      </w:pPr>
      <w:rPr>
        <w:rFonts w:hint="default"/>
      </w:rPr>
    </w:lvl>
    <w:lvl w:ilvl="7">
      <w:start w:val="1"/>
      <w:numFmt w:val="bullet"/>
      <w:lvlText w:val="•"/>
      <w:lvlJc w:val="left"/>
      <w:pPr>
        <w:ind w:left="6712" w:hanging="569"/>
      </w:pPr>
      <w:rPr>
        <w:rFonts w:hint="default"/>
      </w:rPr>
    </w:lvl>
    <w:lvl w:ilvl="8">
      <w:start w:val="1"/>
      <w:numFmt w:val="bullet"/>
      <w:lvlText w:val="•"/>
      <w:lvlJc w:val="left"/>
      <w:pPr>
        <w:ind w:left="7637" w:hanging="569"/>
      </w:pPr>
      <w:rPr>
        <w:rFonts w:hint="default"/>
      </w:rPr>
    </w:lvl>
  </w:abstractNum>
  <w:abstractNum w:abstractNumId="4" w15:restartNumberingAfterBreak="0">
    <w:nsid w:val="52247A34"/>
    <w:multiLevelType w:val="multilevel"/>
    <w:tmpl w:val="02085C9A"/>
    <w:lvl w:ilvl="0">
      <w:start w:val="1"/>
      <w:numFmt w:val="decimal"/>
      <w:lvlText w:val="%1."/>
      <w:lvlJc w:val="left"/>
      <w:pPr>
        <w:ind w:left="672" w:hanging="432"/>
      </w:pPr>
      <w:rPr>
        <w:rFonts w:ascii="Arial" w:eastAsia="Arial" w:hAnsi="Arial" w:hint="default"/>
        <w:b/>
        <w:bCs/>
        <w:sz w:val="24"/>
        <w:szCs w:val="24"/>
      </w:rPr>
    </w:lvl>
    <w:lvl w:ilvl="1">
      <w:start w:val="1"/>
      <w:numFmt w:val="decimal"/>
      <w:lvlText w:val="%1.%2"/>
      <w:lvlJc w:val="left"/>
      <w:pPr>
        <w:ind w:left="240" w:hanging="569"/>
      </w:pPr>
      <w:rPr>
        <w:rFonts w:ascii="Arial" w:eastAsia="Arial" w:hAnsi="Arial" w:hint="default"/>
        <w:sz w:val="24"/>
        <w:szCs w:val="24"/>
      </w:rPr>
    </w:lvl>
    <w:lvl w:ilvl="2">
      <w:start w:val="1"/>
      <w:numFmt w:val="decimal"/>
      <w:lvlText w:val="%1.%2.%3"/>
      <w:lvlJc w:val="left"/>
      <w:pPr>
        <w:ind w:left="240" w:hanging="852"/>
      </w:pPr>
      <w:rPr>
        <w:rFonts w:ascii="Arial" w:eastAsia="Arial" w:hAnsi="Arial" w:hint="default"/>
        <w:sz w:val="24"/>
        <w:szCs w:val="24"/>
      </w:rPr>
    </w:lvl>
    <w:lvl w:ilvl="3">
      <w:start w:val="1"/>
      <w:numFmt w:val="decimal"/>
      <w:lvlText w:val="%1.%2.%3.%4"/>
      <w:lvlJc w:val="left"/>
      <w:pPr>
        <w:ind w:left="240" w:hanging="1136"/>
      </w:pPr>
      <w:rPr>
        <w:rFonts w:ascii="Arial" w:eastAsia="Arial" w:hAnsi="Arial" w:hint="default"/>
        <w:sz w:val="24"/>
        <w:szCs w:val="24"/>
      </w:rPr>
    </w:lvl>
    <w:lvl w:ilvl="4">
      <w:start w:val="1"/>
      <w:numFmt w:val="lowerLetter"/>
      <w:lvlText w:val="%5)"/>
      <w:lvlJc w:val="left"/>
      <w:pPr>
        <w:ind w:left="1375" w:hanging="281"/>
      </w:pPr>
      <w:rPr>
        <w:rFonts w:ascii="Arial" w:eastAsia="Arial" w:hAnsi="Arial" w:hint="default"/>
        <w:sz w:val="24"/>
        <w:szCs w:val="24"/>
      </w:rPr>
    </w:lvl>
    <w:lvl w:ilvl="5">
      <w:start w:val="1"/>
      <w:numFmt w:val="lowerRoman"/>
      <w:lvlText w:val="%6)"/>
      <w:lvlJc w:val="left"/>
      <w:pPr>
        <w:ind w:left="1812" w:hanging="267"/>
      </w:pPr>
      <w:rPr>
        <w:rFonts w:ascii="Arial" w:eastAsia="Arial" w:hAnsi="Arial" w:hint="default"/>
        <w:sz w:val="24"/>
        <w:szCs w:val="24"/>
      </w:rPr>
    </w:lvl>
    <w:lvl w:ilvl="6">
      <w:start w:val="1"/>
      <w:numFmt w:val="bullet"/>
      <w:lvlText w:val="•"/>
      <w:lvlJc w:val="left"/>
      <w:pPr>
        <w:ind w:left="4370" w:hanging="267"/>
      </w:pPr>
      <w:rPr>
        <w:rFonts w:hint="default"/>
      </w:rPr>
    </w:lvl>
    <w:lvl w:ilvl="7">
      <w:start w:val="1"/>
      <w:numFmt w:val="bullet"/>
      <w:lvlText w:val="•"/>
      <w:lvlJc w:val="left"/>
      <w:pPr>
        <w:ind w:left="5649" w:hanging="267"/>
      </w:pPr>
      <w:rPr>
        <w:rFonts w:hint="default"/>
      </w:rPr>
    </w:lvl>
    <w:lvl w:ilvl="8">
      <w:start w:val="1"/>
      <w:numFmt w:val="bullet"/>
      <w:lvlText w:val="•"/>
      <w:lvlJc w:val="left"/>
      <w:pPr>
        <w:ind w:left="6928" w:hanging="267"/>
      </w:pPr>
      <w:rPr>
        <w:rFonts w:hint="default"/>
      </w:rPr>
    </w:lvl>
  </w:abstractNum>
  <w:abstractNum w:abstractNumId="5" w15:restartNumberingAfterBreak="0">
    <w:nsid w:val="674E6497"/>
    <w:multiLevelType w:val="multilevel"/>
    <w:tmpl w:val="6CF6A060"/>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83019D"/>
    <w:multiLevelType w:val="hybridMultilevel"/>
    <w:tmpl w:val="37E008E8"/>
    <w:lvl w:ilvl="0" w:tplc="21D4456C">
      <w:start w:val="1"/>
      <w:numFmt w:val="decimal"/>
      <w:lvlText w:val="%1."/>
      <w:lvlJc w:val="left"/>
      <w:pPr>
        <w:ind w:left="774" w:hanging="534"/>
      </w:pPr>
      <w:rPr>
        <w:rFonts w:ascii="Arial" w:eastAsia="Arial" w:hAnsi="Arial" w:hint="default"/>
        <w:sz w:val="24"/>
        <w:szCs w:val="24"/>
      </w:rPr>
    </w:lvl>
    <w:lvl w:ilvl="1" w:tplc="CCE4E6C2">
      <w:start w:val="1"/>
      <w:numFmt w:val="bullet"/>
      <w:lvlText w:val="•"/>
      <w:lvlJc w:val="left"/>
      <w:pPr>
        <w:ind w:left="842" w:hanging="534"/>
      </w:pPr>
      <w:rPr>
        <w:rFonts w:hint="default"/>
      </w:rPr>
    </w:lvl>
    <w:lvl w:ilvl="2" w:tplc="35E62DD2">
      <w:start w:val="1"/>
      <w:numFmt w:val="bullet"/>
      <w:lvlText w:val="•"/>
      <w:lvlJc w:val="left"/>
      <w:pPr>
        <w:ind w:left="1803" w:hanging="534"/>
      </w:pPr>
      <w:rPr>
        <w:rFonts w:hint="default"/>
      </w:rPr>
    </w:lvl>
    <w:lvl w:ilvl="3" w:tplc="29D0536C">
      <w:start w:val="1"/>
      <w:numFmt w:val="bullet"/>
      <w:lvlText w:val="•"/>
      <w:lvlJc w:val="left"/>
      <w:pPr>
        <w:ind w:left="2763" w:hanging="534"/>
      </w:pPr>
      <w:rPr>
        <w:rFonts w:hint="default"/>
      </w:rPr>
    </w:lvl>
    <w:lvl w:ilvl="4" w:tplc="E9923FB6">
      <w:start w:val="1"/>
      <w:numFmt w:val="bullet"/>
      <w:lvlText w:val="•"/>
      <w:lvlJc w:val="left"/>
      <w:pPr>
        <w:ind w:left="3724" w:hanging="534"/>
      </w:pPr>
      <w:rPr>
        <w:rFonts w:hint="default"/>
      </w:rPr>
    </w:lvl>
    <w:lvl w:ilvl="5" w:tplc="ABEE44A2">
      <w:start w:val="1"/>
      <w:numFmt w:val="bullet"/>
      <w:lvlText w:val="•"/>
      <w:lvlJc w:val="left"/>
      <w:pPr>
        <w:ind w:left="4684" w:hanging="534"/>
      </w:pPr>
      <w:rPr>
        <w:rFonts w:hint="default"/>
      </w:rPr>
    </w:lvl>
    <w:lvl w:ilvl="6" w:tplc="58286C68">
      <w:start w:val="1"/>
      <w:numFmt w:val="bullet"/>
      <w:lvlText w:val="•"/>
      <w:lvlJc w:val="left"/>
      <w:pPr>
        <w:ind w:left="5644" w:hanging="534"/>
      </w:pPr>
      <w:rPr>
        <w:rFonts w:hint="default"/>
      </w:rPr>
    </w:lvl>
    <w:lvl w:ilvl="7" w:tplc="4BAC94D0">
      <w:start w:val="1"/>
      <w:numFmt w:val="bullet"/>
      <w:lvlText w:val="•"/>
      <w:lvlJc w:val="left"/>
      <w:pPr>
        <w:ind w:left="6605" w:hanging="534"/>
      </w:pPr>
      <w:rPr>
        <w:rFonts w:hint="default"/>
      </w:rPr>
    </w:lvl>
    <w:lvl w:ilvl="8" w:tplc="57166C62">
      <w:start w:val="1"/>
      <w:numFmt w:val="bullet"/>
      <w:lvlText w:val="•"/>
      <w:lvlJc w:val="left"/>
      <w:pPr>
        <w:ind w:left="7565" w:hanging="534"/>
      </w:pPr>
      <w:rPr>
        <w:rFonts w:hint="default"/>
      </w:rPr>
    </w:lvl>
  </w:abstractNum>
  <w:abstractNum w:abstractNumId="7" w15:restartNumberingAfterBreak="0">
    <w:nsid w:val="6A8E185C"/>
    <w:multiLevelType w:val="hybridMultilevel"/>
    <w:tmpl w:val="859899DA"/>
    <w:lvl w:ilvl="0" w:tplc="B39022E0">
      <w:start w:val="1"/>
      <w:numFmt w:val="decimal"/>
      <w:lvlText w:val="%1."/>
      <w:lvlJc w:val="left"/>
      <w:pPr>
        <w:ind w:left="240" w:hanging="269"/>
      </w:pPr>
      <w:rPr>
        <w:rFonts w:ascii="Arial" w:eastAsia="Arial" w:hAnsi="Arial" w:hint="default"/>
        <w:sz w:val="24"/>
        <w:szCs w:val="24"/>
      </w:rPr>
    </w:lvl>
    <w:lvl w:ilvl="1" w:tplc="6686874C">
      <w:start w:val="1"/>
      <w:numFmt w:val="decimal"/>
      <w:lvlText w:val="%2."/>
      <w:lvlJc w:val="left"/>
      <w:pPr>
        <w:ind w:left="809" w:hanging="267"/>
      </w:pPr>
      <w:rPr>
        <w:rFonts w:ascii="Arial" w:eastAsia="Arial" w:hAnsi="Arial" w:hint="default"/>
        <w:sz w:val="24"/>
        <w:szCs w:val="24"/>
      </w:rPr>
    </w:lvl>
    <w:lvl w:ilvl="2" w:tplc="0BE01094">
      <w:start w:val="1"/>
      <w:numFmt w:val="bullet"/>
      <w:lvlText w:val="•"/>
      <w:lvlJc w:val="left"/>
      <w:pPr>
        <w:ind w:left="1773" w:hanging="267"/>
      </w:pPr>
      <w:rPr>
        <w:rFonts w:hint="default"/>
      </w:rPr>
    </w:lvl>
    <w:lvl w:ilvl="3" w:tplc="84A05C46">
      <w:start w:val="1"/>
      <w:numFmt w:val="bullet"/>
      <w:lvlText w:val="•"/>
      <w:lvlJc w:val="left"/>
      <w:pPr>
        <w:ind w:left="2737" w:hanging="267"/>
      </w:pPr>
      <w:rPr>
        <w:rFonts w:hint="default"/>
      </w:rPr>
    </w:lvl>
    <w:lvl w:ilvl="4" w:tplc="3B6AA9C2">
      <w:start w:val="1"/>
      <w:numFmt w:val="bullet"/>
      <w:lvlText w:val="•"/>
      <w:lvlJc w:val="left"/>
      <w:pPr>
        <w:ind w:left="3701" w:hanging="267"/>
      </w:pPr>
      <w:rPr>
        <w:rFonts w:hint="default"/>
      </w:rPr>
    </w:lvl>
    <w:lvl w:ilvl="5" w:tplc="05365D50">
      <w:start w:val="1"/>
      <w:numFmt w:val="bullet"/>
      <w:lvlText w:val="•"/>
      <w:lvlJc w:val="left"/>
      <w:pPr>
        <w:ind w:left="4665" w:hanging="267"/>
      </w:pPr>
      <w:rPr>
        <w:rFonts w:hint="default"/>
      </w:rPr>
    </w:lvl>
    <w:lvl w:ilvl="6" w:tplc="3CA034DC">
      <w:start w:val="1"/>
      <w:numFmt w:val="bullet"/>
      <w:lvlText w:val="•"/>
      <w:lvlJc w:val="left"/>
      <w:pPr>
        <w:ind w:left="5629" w:hanging="267"/>
      </w:pPr>
      <w:rPr>
        <w:rFonts w:hint="default"/>
      </w:rPr>
    </w:lvl>
    <w:lvl w:ilvl="7" w:tplc="67AA46AE">
      <w:start w:val="1"/>
      <w:numFmt w:val="bullet"/>
      <w:lvlText w:val="•"/>
      <w:lvlJc w:val="left"/>
      <w:pPr>
        <w:ind w:left="6594" w:hanging="267"/>
      </w:pPr>
      <w:rPr>
        <w:rFonts w:hint="default"/>
      </w:rPr>
    </w:lvl>
    <w:lvl w:ilvl="8" w:tplc="054A27A6">
      <w:start w:val="1"/>
      <w:numFmt w:val="bullet"/>
      <w:lvlText w:val="•"/>
      <w:lvlJc w:val="left"/>
      <w:pPr>
        <w:ind w:left="7558" w:hanging="267"/>
      </w:pPr>
      <w:rPr>
        <w:rFonts w:hint="default"/>
      </w:rPr>
    </w:lvl>
  </w:abstractNum>
  <w:num w:numId="1" w16cid:durableId="1578443587">
    <w:abstractNumId w:val="7"/>
  </w:num>
  <w:num w:numId="2" w16cid:durableId="1918589816">
    <w:abstractNumId w:val="3"/>
  </w:num>
  <w:num w:numId="3" w16cid:durableId="62486308">
    <w:abstractNumId w:val="4"/>
  </w:num>
  <w:num w:numId="4" w16cid:durableId="2026126121">
    <w:abstractNumId w:val="2"/>
  </w:num>
  <w:num w:numId="5" w16cid:durableId="16009671">
    <w:abstractNumId w:val="6"/>
  </w:num>
  <w:num w:numId="6" w16cid:durableId="2049601138">
    <w:abstractNumId w:val="0"/>
  </w:num>
  <w:num w:numId="7" w16cid:durableId="346370823">
    <w:abstractNumId w:val="5"/>
  </w:num>
  <w:num w:numId="8" w16cid:durableId="54036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06674"/>
    <w:rsid w:val="00014BB7"/>
    <w:rsid w:val="00081FB2"/>
    <w:rsid w:val="000A1DD3"/>
    <w:rsid w:val="000A6C29"/>
    <w:rsid w:val="000D336A"/>
    <w:rsid w:val="00126BFD"/>
    <w:rsid w:val="00216C54"/>
    <w:rsid w:val="002360D9"/>
    <w:rsid w:val="00296CCF"/>
    <w:rsid w:val="002B572E"/>
    <w:rsid w:val="002F4744"/>
    <w:rsid w:val="00360A8C"/>
    <w:rsid w:val="003738F2"/>
    <w:rsid w:val="00386FB4"/>
    <w:rsid w:val="00394150"/>
    <w:rsid w:val="003B5CAA"/>
    <w:rsid w:val="00432F1C"/>
    <w:rsid w:val="00441131"/>
    <w:rsid w:val="004D062B"/>
    <w:rsid w:val="004F4050"/>
    <w:rsid w:val="004F5F15"/>
    <w:rsid w:val="0053650C"/>
    <w:rsid w:val="005452A4"/>
    <w:rsid w:val="00590079"/>
    <w:rsid w:val="005D6FBF"/>
    <w:rsid w:val="00644E6B"/>
    <w:rsid w:val="006613D1"/>
    <w:rsid w:val="00662118"/>
    <w:rsid w:val="00785DBB"/>
    <w:rsid w:val="007C69A2"/>
    <w:rsid w:val="00821660"/>
    <w:rsid w:val="008242FB"/>
    <w:rsid w:val="0083294C"/>
    <w:rsid w:val="00845C2D"/>
    <w:rsid w:val="00867F0E"/>
    <w:rsid w:val="008B72C1"/>
    <w:rsid w:val="00906674"/>
    <w:rsid w:val="009649F2"/>
    <w:rsid w:val="009766C5"/>
    <w:rsid w:val="009A3E3C"/>
    <w:rsid w:val="00A44E90"/>
    <w:rsid w:val="00A71AC5"/>
    <w:rsid w:val="00B04A6B"/>
    <w:rsid w:val="00BA06A3"/>
    <w:rsid w:val="00C32647"/>
    <w:rsid w:val="00CA31F5"/>
    <w:rsid w:val="00DD5E0C"/>
    <w:rsid w:val="00E1618C"/>
    <w:rsid w:val="00E33F4E"/>
    <w:rsid w:val="00F42302"/>
    <w:rsid w:val="00F76BFB"/>
    <w:rsid w:val="00FA3C2A"/>
    <w:rsid w:val="00FE4024"/>
    <w:rsid w:val="00FF33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A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1"/>
      <w:outlineLvl w:val="0"/>
    </w:pPr>
    <w:rPr>
      <w:rFonts w:ascii="Arial" w:eastAsia="Arial" w:hAnsi="Arial"/>
      <w:b/>
      <w:bCs/>
      <w:sz w:val="28"/>
      <w:szCs w:val="28"/>
    </w:rPr>
  </w:style>
  <w:style w:type="paragraph" w:styleId="Heading2">
    <w:name w:val="heading 2"/>
    <w:basedOn w:val="Normal"/>
    <w:uiPriority w:val="9"/>
    <w:unhideWhenUsed/>
    <w:qFormat/>
    <w:pPr>
      <w:ind w:left="672" w:hanging="432"/>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5"/>
    </w:pPr>
    <w:rPr>
      <w:rFonts w:ascii="Arial" w:eastAsia="Arial" w:hAnsi="Arial"/>
      <w:sz w:val="24"/>
      <w:szCs w:val="24"/>
    </w:rPr>
  </w:style>
  <w:style w:type="paragraph" w:styleId="TOC2">
    <w:name w:val="toc 2"/>
    <w:basedOn w:val="Normal"/>
    <w:uiPriority w:val="39"/>
    <w:qFormat/>
    <w:pPr>
      <w:spacing w:before="276"/>
      <w:ind w:left="806" w:hanging="566"/>
    </w:pPr>
    <w:rPr>
      <w:rFonts w:ascii="Arial" w:eastAsia="Arial" w:hAnsi="Arial"/>
      <w:sz w:val="24"/>
      <w:szCs w:val="24"/>
    </w:rPr>
  </w:style>
  <w:style w:type="paragraph" w:styleId="BodyText">
    <w:name w:val="Body Text"/>
    <w:basedOn w:val="Normal"/>
    <w:uiPriority w:val="1"/>
    <w:qFormat/>
    <w:rsid w:val="00821660"/>
    <w:pPr>
      <w:jc w:val="both"/>
    </w:pPr>
    <w:rPr>
      <w:rFonts w:ascii="Times New Roman" w:eastAsia="Arial"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32F1C"/>
    <w:pPr>
      <w:tabs>
        <w:tab w:val="center" w:pos="4513"/>
        <w:tab w:val="right" w:pos="9026"/>
      </w:tabs>
    </w:pPr>
  </w:style>
  <w:style w:type="character" w:customStyle="1" w:styleId="HeaderChar">
    <w:name w:val="Header Char"/>
    <w:basedOn w:val="DefaultParagraphFont"/>
    <w:link w:val="Header"/>
    <w:rsid w:val="00432F1C"/>
  </w:style>
  <w:style w:type="paragraph" w:styleId="Footer">
    <w:name w:val="footer"/>
    <w:basedOn w:val="Normal"/>
    <w:link w:val="FooterChar"/>
    <w:unhideWhenUsed/>
    <w:rsid w:val="00432F1C"/>
    <w:pPr>
      <w:tabs>
        <w:tab w:val="center" w:pos="4513"/>
        <w:tab w:val="right" w:pos="9026"/>
      </w:tabs>
    </w:pPr>
  </w:style>
  <w:style w:type="character" w:customStyle="1" w:styleId="FooterChar">
    <w:name w:val="Footer Char"/>
    <w:basedOn w:val="DefaultParagraphFont"/>
    <w:link w:val="Footer"/>
    <w:rsid w:val="00432F1C"/>
  </w:style>
  <w:style w:type="table" w:styleId="TableGrid">
    <w:name w:val="Table Grid"/>
    <w:basedOn w:val="TableNormal"/>
    <w:uiPriority w:val="39"/>
    <w:rsid w:val="003B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BA06A3"/>
  </w:style>
  <w:style w:type="paragraph" w:styleId="TOCHeading">
    <w:name w:val="TOC Heading"/>
    <w:basedOn w:val="Heading1"/>
    <w:next w:val="Normal"/>
    <w:uiPriority w:val="39"/>
    <w:unhideWhenUsed/>
    <w:qFormat/>
    <w:rsid w:val="00F4230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F42302"/>
    <w:rPr>
      <w:color w:val="0000FF" w:themeColor="hyperlink"/>
      <w:u w:val="single"/>
    </w:rPr>
  </w:style>
  <w:style w:type="paragraph" w:styleId="FootnoteText">
    <w:name w:val="footnote text"/>
    <w:basedOn w:val="Normal"/>
    <w:link w:val="FootnoteTextChar"/>
    <w:uiPriority w:val="99"/>
    <w:semiHidden/>
    <w:unhideWhenUsed/>
    <w:rsid w:val="002B572E"/>
    <w:rPr>
      <w:sz w:val="20"/>
      <w:szCs w:val="20"/>
    </w:rPr>
  </w:style>
  <w:style w:type="character" w:customStyle="1" w:styleId="FootnoteTextChar">
    <w:name w:val="Footnote Text Char"/>
    <w:basedOn w:val="DefaultParagraphFont"/>
    <w:link w:val="FootnoteText"/>
    <w:uiPriority w:val="99"/>
    <w:semiHidden/>
    <w:rsid w:val="002B572E"/>
    <w:rPr>
      <w:sz w:val="20"/>
      <w:szCs w:val="20"/>
    </w:rPr>
  </w:style>
  <w:style w:type="character" w:styleId="FootnoteReference">
    <w:name w:val="footnote reference"/>
    <w:basedOn w:val="DefaultParagraphFont"/>
    <w:uiPriority w:val="99"/>
    <w:semiHidden/>
    <w:unhideWhenUsed/>
    <w:rsid w:val="002B57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3059-869E-460B-9488-63A3BB6E3B70}">
  <ds:schemaRefs>
    <ds:schemaRef ds:uri="http://schemas.microsoft.com/sharepoint/v3/contenttype/forms"/>
  </ds:schemaRefs>
</ds:datastoreItem>
</file>

<file path=customXml/itemProps2.xml><?xml version="1.0" encoding="utf-8"?>
<ds:datastoreItem xmlns:ds="http://schemas.openxmlformats.org/officeDocument/2006/customXml" ds:itemID="{0F8619F7-C39F-4A2F-85BB-62C7F8B35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D1D45-0305-4083-A0FF-A5A6FAAC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8730</Words>
  <Characters>4977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2022-08-04T08:30:00Z</dcterms:created>
  <dcterms:modified xsi:type="dcterms:W3CDTF">2022-12-01T08:06:00Z</dcterms:modified>
</cp:coreProperties>
</file>