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C698D1F" w14:textId="530D35C9"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7857CFDA" w14:textId="3CD52F4B" w:rsidR="0040400A" w:rsidRPr="00A35A61" w:rsidRDefault="00F43AAE" w:rsidP="00391E68">
      <w:pPr>
        <w:widowControl w:val="0"/>
        <w:jc w:val="both"/>
        <w:rPr>
          <w:rFonts w:ascii="Times New Roman" w:eastAsia="Times New Roman" w:hAnsi="Times New Roman" w:cs="Times New Roman"/>
          <w:noProof/>
          <w:sz w:val="24"/>
          <w:szCs w:val="24"/>
        </w:rPr>
      </w:pPr>
      <w:bookmarkStart w:id="0" w:name="page1"/>
      <w:bookmarkEnd w:id="0"/>
      <w:r w:rsidRPr="00A35A61">
        <w:rPr>
          <w:rFonts w:ascii="Times New Roman" w:hAnsi="Times New Roman"/>
          <w:noProof/>
          <w:sz w:val="24"/>
        </w:rPr>
        <w:drawing>
          <wp:anchor distT="0" distB="0" distL="114300" distR="114300" simplePos="0" relativeHeight="251659264" behindDoc="1" locked="0" layoutInCell="1" allowOverlap="1" wp14:anchorId="71CFA621" wp14:editId="13815A10">
            <wp:simplePos x="0" y="0"/>
            <wp:positionH relativeFrom="page">
              <wp:posOffset>0</wp:posOffset>
            </wp:positionH>
            <wp:positionV relativeFrom="page">
              <wp:posOffset>1194616</wp:posOffset>
            </wp:positionV>
            <wp:extent cx="7557770" cy="7212965"/>
            <wp:effectExtent l="0" t="0" r="0" b="0"/>
            <wp:wrapNone/>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557770" cy="7212965"/>
                    </a:xfrm>
                    <a:prstGeom prst="rect">
                      <a:avLst/>
                    </a:prstGeom>
                    <a:noFill/>
                  </pic:spPr>
                </pic:pic>
              </a:graphicData>
            </a:graphic>
            <wp14:sizeRelH relativeFrom="page">
              <wp14:pctWidth>0</wp14:pctWidth>
            </wp14:sizeRelH>
            <wp14:sizeRelV relativeFrom="page">
              <wp14:pctHeight>0</wp14:pctHeight>
            </wp14:sizeRelV>
          </wp:anchor>
        </w:drawing>
      </w:r>
    </w:p>
    <w:p w14:paraId="5BCDC61F"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00366AB5"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42A85441"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4EB52BCA"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175DB502"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00F5D24A"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71911C13"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66EEF1C6"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61641BFE" w14:textId="77777777" w:rsidR="00391E68" w:rsidRPr="00A35A61" w:rsidRDefault="00391E68" w:rsidP="00391E68">
      <w:pPr>
        <w:widowControl w:val="0"/>
        <w:jc w:val="both"/>
        <w:rPr>
          <w:rFonts w:ascii="Times New Roman" w:eastAsia="Arial" w:hAnsi="Times New Roman" w:cs="Times New Roman"/>
          <w:noProof/>
          <w:color w:val="58595B"/>
          <w:sz w:val="24"/>
          <w:szCs w:val="24"/>
          <w:lang w:val="en-US"/>
        </w:rPr>
      </w:pPr>
    </w:p>
    <w:p w14:paraId="12B43E1A" w14:textId="77777777" w:rsidR="00391E68" w:rsidRPr="00A35A61" w:rsidRDefault="00391E68" w:rsidP="00391E68">
      <w:pPr>
        <w:widowControl w:val="0"/>
        <w:jc w:val="both"/>
        <w:rPr>
          <w:rFonts w:ascii="Times New Roman" w:eastAsia="Arial" w:hAnsi="Times New Roman" w:cs="Times New Roman"/>
          <w:noProof/>
          <w:color w:val="58595B"/>
          <w:sz w:val="24"/>
          <w:szCs w:val="24"/>
          <w:lang w:val="en-US"/>
        </w:rPr>
      </w:pPr>
    </w:p>
    <w:p w14:paraId="321B88FA" w14:textId="77777777" w:rsidR="00391E68" w:rsidRPr="00A35A61" w:rsidRDefault="00391E68" w:rsidP="00391E68">
      <w:pPr>
        <w:widowControl w:val="0"/>
        <w:jc w:val="both"/>
        <w:rPr>
          <w:rFonts w:ascii="Times New Roman" w:eastAsia="Arial" w:hAnsi="Times New Roman" w:cs="Times New Roman"/>
          <w:noProof/>
          <w:color w:val="58595B"/>
          <w:sz w:val="24"/>
          <w:szCs w:val="24"/>
          <w:lang w:val="en-US"/>
        </w:rPr>
      </w:pPr>
    </w:p>
    <w:p w14:paraId="77BE1B75" w14:textId="038F78D7" w:rsidR="0040400A" w:rsidRPr="00A35A61" w:rsidRDefault="0040400A" w:rsidP="00391E68">
      <w:pPr>
        <w:widowControl w:val="0"/>
        <w:ind w:right="2427"/>
        <w:jc w:val="center"/>
        <w:rPr>
          <w:rFonts w:ascii="Times New Roman" w:eastAsia="Arial" w:hAnsi="Times New Roman" w:cs="Times New Roman"/>
          <w:noProof/>
          <w:color w:val="58595B"/>
          <w:sz w:val="44"/>
          <w:szCs w:val="44"/>
        </w:rPr>
      </w:pPr>
      <w:r w:rsidRPr="00A35A61">
        <w:rPr>
          <w:rFonts w:ascii="Times New Roman" w:hAnsi="Times New Roman"/>
          <w:color w:val="58595B"/>
          <w:sz w:val="44"/>
        </w:rPr>
        <w:t>Deklarācija par vienlīdzīgas sabiedrības veidošanu ar izglītības palīdzību</w:t>
      </w:r>
    </w:p>
    <w:p w14:paraId="5330523C"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7FCFB603"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5E8698B5"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6C9D4F43"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69F6B2AD"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38318212"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5E57C39B"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67F7EDB1"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2D669E15"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54CB4BFE"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162F2A3D"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2A742D45"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45F97201"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0D976436"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03EC28EA"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15EA3C74"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561DDE65"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52E9A1A1"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67EA8EA1"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2C6E9AF8"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2A3BE5D3"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56EC9F4D"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4C14480E"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1622D650" w14:textId="598430D4" w:rsidR="0040400A" w:rsidRPr="00A35A61" w:rsidRDefault="0040400A" w:rsidP="00DC644C">
      <w:pPr>
        <w:widowControl w:val="0"/>
        <w:ind w:right="6088"/>
        <w:jc w:val="right"/>
        <w:rPr>
          <w:rFonts w:ascii="Times New Roman" w:eastAsia="Arial Black" w:hAnsi="Times New Roman" w:cs="Times New Roman"/>
          <w:b/>
          <w:noProof/>
          <w:color w:val="004774"/>
          <w:sz w:val="28"/>
          <w:szCs w:val="28"/>
        </w:rPr>
      </w:pPr>
      <w:r w:rsidRPr="00A35A61">
        <w:rPr>
          <w:rFonts w:ascii="Times New Roman" w:hAnsi="Times New Roman"/>
          <w:b/>
          <w:color w:val="004774"/>
          <w:sz w:val="28"/>
        </w:rPr>
        <w:t>ESAO juridiskie instrumenti</w:t>
      </w:r>
    </w:p>
    <w:p w14:paraId="51848132" w14:textId="6D9E4672" w:rsidR="0040400A" w:rsidRPr="00A35A61" w:rsidRDefault="0040400A" w:rsidP="00391E68">
      <w:pPr>
        <w:widowControl w:val="0"/>
        <w:jc w:val="both"/>
        <w:rPr>
          <w:rFonts w:ascii="Times New Roman" w:eastAsia="Times New Roman" w:hAnsi="Times New Roman" w:cs="Times New Roman"/>
          <w:noProof/>
          <w:sz w:val="24"/>
          <w:szCs w:val="24"/>
        </w:rPr>
      </w:pPr>
    </w:p>
    <w:p w14:paraId="1B575533" w14:textId="459FF1D8" w:rsidR="000970B1" w:rsidRPr="00A35A61" w:rsidRDefault="000970B1" w:rsidP="00391E68">
      <w:pPr>
        <w:widowControl w:val="0"/>
        <w:jc w:val="both"/>
        <w:rPr>
          <w:rFonts w:ascii="Times New Roman" w:eastAsia="Times New Roman" w:hAnsi="Times New Roman" w:cs="Times New Roman"/>
          <w:noProof/>
          <w:sz w:val="24"/>
          <w:szCs w:val="24"/>
          <w:lang w:val="en-US"/>
        </w:rPr>
      </w:pPr>
    </w:p>
    <w:p w14:paraId="09DE3801" w14:textId="49E89BF7" w:rsidR="0040400A" w:rsidRDefault="0040400A" w:rsidP="00391E68">
      <w:pPr>
        <w:widowControl w:val="0"/>
        <w:jc w:val="both"/>
        <w:rPr>
          <w:rFonts w:ascii="Times New Roman" w:eastAsia="Times New Roman" w:hAnsi="Times New Roman" w:cs="Times New Roman"/>
          <w:noProof/>
          <w:sz w:val="24"/>
          <w:szCs w:val="24"/>
          <w:lang w:val="en-GB"/>
        </w:rPr>
      </w:pPr>
      <w:bookmarkStart w:id="1" w:name="page2"/>
      <w:bookmarkEnd w:id="1"/>
    </w:p>
    <w:p w14:paraId="0EC244DA" w14:textId="77777777" w:rsidR="004577AA" w:rsidRPr="004577AA" w:rsidRDefault="004577AA" w:rsidP="00391E68">
      <w:pPr>
        <w:widowControl w:val="0"/>
        <w:jc w:val="both"/>
        <w:rPr>
          <w:rFonts w:ascii="Times New Roman" w:eastAsia="Times New Roman" w:hAnsi="Times New Roman" w:cs="Times New Roman"/>
          <w:noProof/>
          <w:sz w:val="24"/>
          <w:szCs w:val="24"/>
          <w:lang w:val="en-GB"/>
        </w:rPr>
      </w:pPr>
    </w:p>
    <w:p w14:paraId="639AC0CC" w14:textId="0A25B907" w:rsidR="00F43AAE" w:rsidRPr="004577AA" w:rsidRDefault="004577AA" w:rsidP="004577AA">
      <w:pPr>
        <w:widowControl w:val="0"/>
        <w:jc w:val="right"/>
        <w:rPr>
          <w:rFonts w:ascii="Times New Roman" w:eastAsia="Times New Roman" w:hAnsi="Times New Roman" w:cs="Times New Roman"/>
          <w:noProof/>
          <w:sz w:val="24"/>
          <w:szCs w:val="24"/>
          <w:lang w:val="en-US"/>
        </w:rPr>
      </w:pPr>
      <w:r>
        <w:rPr>
          <w:rFonts w:ascii="Times New Roman" w:eastAsia="Times New Roman" w:hAnsi="Times New Roman" w:cs="Times New Roman"/>
          <w:noProof/>
          <w:sz w:val="24"/>
          <w:szCs w:val="24"/>
          <w:lang w:val="en-US"/>
        </w:rPr>
        <w:drawing>
          <wp:inline distT="0" distB="0" distL="0" distR="0" wp14:anchorId="7D0367A3" wp14:editId="379019E0">
            <wp:extent cx="2056279" cy="749442"/>
            <wp:effectExtent l="0" t="0" r="1270" b="0"/>
            <wp:docPr id="1110074367" name="Picture 1" descr="A logo with text and green arrow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074367" name="Picture 1" descr="A logo with text and green arrows&#10;&#10;Description automatically generated with medium confidence"/>
                    <pic:cNvPicPr/>
                  </pic:nvPicPr>
                  <pic:blipFill>
                    <a:blip r:embed="rId11">
                      <a:extLst>
                        <a:ext uri="{28A0092B-C50C-407E-A947-70E740481C1C}">
                          <a14:useLocalDpi xmlns:a14="http://schemas.microsoft.com/office/drawing/2010/main" val="0"/>
                        </a:ext>
                      </a:extLst>
                    </a:blip>
                    <a:stretch>
                      <a:fillRect/>
                    </a:stretch>
                  </pic:blipFill>
                  <pic:spPr>
                    <a:xfrm>
                      <a:off x="0" y="0"/>
                      <a:ext cx="2079633" cy="757954"/>
                    </a:xfrm>
                    <a:prstGeom prst="rect">
                      <a:avLst/>
                    </a:prstGeom>
                  </pic:spPr>
                </pic:pic>
              </a:graphicData>
            </a:graphic>
          </wp:inline>
        </w:drawing>
      </w:r>
      <w:r w:rsidR="00F43AAE" w:rsidRPr="00A35A61">
        <w:rPr>
          <w:rFonts w:ascii="Times New Roman" w:hAnsi="Times New Roman"/>
          <w:sz w:val="24"/>
        </w:rPr>
        <w:br w:type="page"/>
      </w:r>
    </w:p>
    <w:p w14:paraId="776979E3" w14:textId="77777777" w:rsidR="004404AE" w:rsidRPr="00A35A61" w:rsidRDefault="004404AE" w:rsidP="00391E68">
      <w:pPr>
        <w:widowControl w:val="0"/>
        <w:jc w:val="both"/>
        <w:rPr>
          <w:rFonts w:ascii="Times New Roman" w:eastAsia="Arial" w:hAnsi="Times New Roman" w:cs="Times New Roman"/>
          <w:noProof/>
          <w:sz w:val="24"/>
          <w:szCs w:val="24"/>
          <w:lang w:val="en-US"/>
        </w:rPr>
      </w:pPr>
    </w:p>
    <w:p w14:paraId="5DAA1ED9" w14:textId="77777777" w:rsidR="004404AE" w:rsidRPr="00A35A61" w:rsidRDefault="004404AE" w:rsidP="00391E68">
      <w:pPr>
        <w:widowControl w:val="0"/>
        <w:jc w:val="both"/>
        <w:rPr>
          <w:rFonts w:ascii="Times New Roman" w:eastAsia="Arial" w:hAnsi="Times New Roman" w:cs="Times New Roman"/>
          <w:noProof/>
          <w:sz w:val="24"/>
          <w:szCs w:val="24"/>
          <w:lang w:val="en-US"/>
        </w:rPr>
      </w:pPr>
    </w:p>
    <w:p w14:paraId="3E3B8A67" w14:textId="77777777" w:rsidR="004404AE" w:rsidRPr="00A35A61" w:rsidRDefault="004404AE" w:rsidP="00391E68">
      <w:pPr>
        <w:widowControl w:val="0"/>
        <w:jc w:val="both"/>
        <w:rPr>
          <w:rFonts w:ascii="Times New Roman" w:eastAsia="Arial" w:hAnsi="Times New Roman" w:cs="Times New Roman"/>
          <w:noProof/>
          <w:sz w:val="24"/>
          <w:szCs w:val="24"/>
          <w:lang w:val="en-US"/>
        </w:rPr>
      </w:pPr>
    </w:p>
    <w:p w14:paraId="6E8CB7E1" w14:textId="77777777" w:rsidR="004404AE" w:rsidRPr="00A35A61" w:rsidRDefault="004404AE" w:rsidP="00391E68">
      <w:pPr>
        <w:widowControl w:val="0"/>
        <w:jc w:val="both"/>
        <w:rPr>
          <w:rFonts w:ascii="Times New Roman" w:eastAsia="Arial" w:hAnsi="Times New Roman" w:cs="Times New Roman"/>
          <w:noProof/>
          <w:sz w:val="24"/>
          <w:szCs w:val="24"/>
          <w:lang w:val="en-US"/>
        </w:rPr>
      </w:pPr>
    </w:p>
    <w:p w14:paraId="210A0ED2" w14:textId="77777777" w:rsidR="004404AE" w:rsidRPr="00A35A61" w:rsidRDefault="004404AE" w:rsidP="00391E68">
      <w:pPr>
        <w:widowControl w:val="0"/>
        <w:jc w:val="both"/>
        <w:rPr>
          <w:rFonts w:ascii="Times New Roman" w:eastAsia="Arial" w:hAnsi="Times New Roman" w:cs="Times New Roman"/>
          <w:noProof/>
          <w:sz w:val="24"/>
          <w:szCs w:val="24"/>
          <w:lang w:val="en-US"/>
        </w:rPr>
      </w:pPr>
    </w:p>
    <w:p w14:paraId="5D283072" w14:textId="77777777" w:rsidR="004404AE" w:rsidRPr="00A35A61" w:rsidRDefault="004404AE" w:rsidP="00391E68">
      <w:pPr>
        <w:widowControl w:val="0"/>
        <w:jc w:val="both"/>
        <w:rPr>
          <w:rFonts w:ascii="Times New Roman" w:eastAsia="Arial" w:hAnsi="Times New Roman" w:cs="Times New Roman"/>
          <w:noProof/>
          <w:sz w:val="24"/>
          <w:szCs w:val="24"/>
          <w:lang w:val="en-US"/>
        </w:rPr>
      </w:pPr>
    </w:p>
    <w:p w14:paraId="6611ECDB" w14:textId="77777777" w:rsidR="004404AE" w:rsidRPr="00A35A61" w:rsidRDefault="004404AE" w:rsidP="00391E68">
      <w:pPr>
        <w:widowControl w:val="0"/>
        <w:jc w:val="both"/>
        <w:rPr>
          <w:rFonts w:ascii="Times New Roman" w:eastAsia="Arial" w:hAnsi="Times New Roman" w:cs="Times New Roman"/>
          <w:noProof/>
          <w:sz w:val="24"/>
          <w:szCs w:val="24"/>
          <w:lang w:val="en-US"/>
        </w:rPr>
      </w:pPr>
    </w:p>
    <w:p w14:paraId="382F4586" w14:textId="77777777" w:rsidR="004404AE" w:rsidRPr="00A35A61" w:rsidRDefault="004404AE" w:rsidP="00391E68">
      <w:pPr>
        <w:widowControl w:val="0"/>
        <w:jc w:val="both"/>
        <w:rPr>
          <w:rFonts w:ascii="Times New Roman" w:eastAsia="Arial" w:hAnsi="Times New Roman" w:cs="Times New Roman"/>
          <w:noProof/>
          <w:sz w:val="24"/>
          <w:szCs w:val="24"/>
          <w:lang w:val="en-US"/>
        </w:rPr>
      </w:pPr>
    </w:p>
    <w:p w14:paraId="48C70634" w14:textId="58B87A0E" w:rsidR="0040400A" w:rsidRPr="00A35A61" w:rsidRDefault="0040400A" w:rsidP="00391E68">
      <w:pPr>
        <w:widowControl w:val="0"/>
        <w:jc w:val="both"/>
        <w:rPr>
          <w:rFonts w:ascii="Times New Roman" w:eastAsia="Times New Roman" w:hAnsi="Times New Roman" w:cs="Times New Roman"/>
          <w:noProof/>
          <w:sz w:val="24"/>
          <w:szCs w:val="24"/>
        </w:rPr>
      </w:pPr>
      <w:r w:rsidRPr="00A35A61">
        <w:rPr>
          <w:rFonts w:ascii="Times New Roman" w:hAnsi="Times New Roman"/>
          <w:sz w:val="24"/>
        </w:rPr>
        <w:t>Par šā dokumenta publicēšanu atbildīgs ir ESAO ģenerālsekretārs. Šajā dokumentā reproducēti ESAO juridiskie instrumenti, un tajā var būt ietverti papildu materiāli. Papildu materiālos izteiktie uzskati un apgalvojumi ne vienmēr atspoguļo ESAO dalībvalstu oficiālos viedokļus.</w:t>
      </w:r>
    </w:p>
    <w:p w14:paraId="1645CA57"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3814184E" w14:textId="1C575188"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Ne šis dokuments, ne jebkādi tajā iekļautie dati un kartes nemaina nevienas teritorijas statusu vai suverenitāti pār šādu teritoriju, starptautiskās robežas un nevienas teritorijas, pilsētas vai apgabala nosaukumu.</w:t>
      </w:r>
    </w:p>
    <w:p w14:paraId="2A213CC9" w14:textId="77777777" w:rsidR="003C1001" w:rsidRPr="00A35A61" w:rsidRDefault="003C1001" w:rsidP="00391E68">
      <w:pPr>
        <w:widowControl w:val="0"/>
        <w:jc w:val="both"/>
        <w:rPr>
          <w:rFonts w:ascii="Times New Roman" w:eastAsia="Arial" w:hAnsi="Times New Roman" w:cs="Times New Roman"/>
          <w:noProof/>
          <w:sz w:val="24"/>
          <w:szCs w:val="24"/>
          <w:lang w:val="en-US"/>
        </w:rPr>
      </w:pPr>
    </w:p>
    <w:p w14:paraId="3C571996" w14:textId="77777777" w:rsidR="003C1001" w:rsidRPr="00A35A61" w:rsidRDefault="003C1001" w:rsidP="00391E68">
      <w:pPr>
        <w:widowControl w:val="0"/>
        <w:jc w:val="both"/>
        <w:rPr>
          <w:rFonts w:ascii="Times New Roman" w:eastAsia="Arial" w:hAnsi="Times New Roman" w:cs="Times New Roman"/>
          <w:noProof/>
          <w:sz w:val="24"/>
          <w:szCs w:val="24"/>
          <w:lang w:val="en-US"/>
        </w:rPr>
      </w:pPr>
    </w:p>
    <w:p w14:paraId="0847AA30" w14:textId="77777777" w:rsidR="003C1001" w:rsidRPr="00A35A61" w:rsidRDefault="003C1001" w:rsidP="00391E68">
      <w:pPr>
        <w:widowControl w:val="0"/>
        <w:jc w:val="both"/>
        <w:rPr>
          <w:rFonts w:ascii="Times New Roman" w:eastAsia="Arial" w:hAnsi="Times New Roman" w:cs="Times New Roman"/>
          <w:noProof/>
          <w:sz w:val="24"/>
          <w:szCs w:val="24"/>
          <w:lang w:val="en-US"/>
        </w:rPr>
      </w:pPr>
    </w:p>
    <w:p w14:paraId="22D1BEA6" w14:textId="77777777" w:rsidR="003C1001" w:rsidRPr="00A35A61" w:rsidRDefault="003C1001" w:rsidP="00391E68">
      <w:pPr>
        <w:widowControl w:val="0"/>
        <w:jc w:val="both"/>
        <w:rPr>
          <w:rFonts w:ascii="Times New Roman" w:eastAsia="Arial" w:hAnsi="Times New Roman" w:cs="Times New Roman"/>
          <w:noProof/>
          <w:sz w:val="24"/>
          <w:szCs w:val="24"/>
          <w:lang w:val="en-US"/>
        </w:rPr>
      </w:pPr>
    </w:p>
    <w:p w14:paraId="00FB7847" w14:textId="77777777" w:rsidR="003C1001" w:rsidRPr="00A35A61" w:rsidRDefault="003C1001" w:rsidP="00391E68">
      <w:pPr>
        <w:widowControl w:val="0"/>
        <w:jc w:val="both"/>
        <w:rPr>
          <w:rFonts w:ascii="Times New Roman" w:eastAsia="Arial" w:hAnsi="Times New Roman" w:cs="Times New Roman"/>
          <w:noProof/>
          <w:sz w:val="24"/>
          <w:szCs w:val="24"/>
          <w:lang w:val="en-US"/>
        </w:rPr>
      </w:pPr>
    </w:p>
    <w:p w14:paraId="5BEA19BE" w14:textId="77777777" w:rsidR="003C1001" w:rsidRPr="00A35A61" w:rsidRDefault="003C1001" w:rsidP="00391E68">
      <w:pPr>
        <w:widowControl w:val="0"/>
        <w:jc w:val="both"/>
        <w:rPr>
          <w:rFonts w:ascii="Times New Roman" w:eastAsia="Arial" w:hAnsi="Times New Roman" w:cs="Times New Roman"/>
          <w:noProof/>
          <w:sz w:val="24"/>
          <w:szCs w:val="24"/>
          <w:lang w:val="en-US"/>
        </w:rPr>
      </w:pPr>
    </w:p>
    <w:p w14:paraId="75F528D9"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592CF5BB" w14:textId="3DE495C9"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Lai piekļūtu ESAO juridisko instrumentu oficiālajiem un jaunākajiem tekstiem, kā arī citai saistītajai informācijai, lūdzam skatīt ESAO juridisko instrumentu krājumu, kas atrodams http://legalinstruments.oecd.org.</w:t>
      </w:r>
    </w:p>
    <w:p w14:paraId="2CDBEC2A"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5"/>
      </w:tblGrid>
      <w:tr w:rsidR="000E46D9" w:rsidRPr="00A35A61" w14:paraId="2D6D318F" w14:textId="77777777" w:rsidTr="000E46D9">
        <w:tc>
          <w:tcPr>
            <w:tcW w:w="9055" w:type="dxa"/>
            <w:shd w:val="clear" w:color="auto" w:fill="D4D5BD"/>
          </w:tcPr>
          <w:p w14:paraId="42177D97" w14:textId="77777777" w:rsidR="000E46D9" w:rsidRPr="00A35A61" w:rsidRDefault="000E46D9" w:rsidP="000E46D9">
            <w:pPr>
              <w:widowControl w:val="0"/>
              <w:jc w:val="both"/>
              <w:rPr>
                <w:rFonts w:ascii="Times New Roman" w:eastAsia="Arial" w:hAnsi="Times New Roman" w:cs="Times New Roman"/>
                <w:b/>
                <w:noProof/>
                <w:sz w:val="24"/>
                <w:szCs w:val="24"/>
              </w:rPr>
            </w:pPr>
            <w:r w:rsidRPr="00A35A61">
              <w:rPr>
                <w:rFonts w:ascii="Times New Roman" w:hAnsi="Times New Roman"/>
                <w:b/>
                <w:sz w:val="24"/>
              </w:rPr>
              <w:t>Citējot šo dokumentu, lūdzam izmantot šādu atsauci:</w:t>
            </w:r>
          </w:p>
          <w:p w14:paraId="6D674273" w14:textId="138602F7" w:rsidR="000E46D9" w:rsidRPr="00A35A61" w:rsidRDefault="000E46D9"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 xml:space="preserve">“OECD, </w:t>
            </w:r>
            <w:r w:rsidRPr="00A35A61">
              <w:rPr>
                <w:rFonts w:ascii="Times New Roman" w:hAnsi="Times New Roman"/>
                <w:i/>
                <w:sz w:val="24"/>
              </w:rPr>
              <w:t>Declaration on Building Equitable Societies Through Education</w:t>
            </w:r>
            <w:r w:rsidRPr="00A35A61">
              <w:rPr>
                <w:rFonts w:ascii="Times New Roman" w:hAnsi="Times New Roman"/>
                <w:sz w:val="24"/>
              </w:rPr>
              <w:t>, OECD/LEGAL/0485” [ESAO Deklarācija par vienlīdzīgas sabiedrības veidošanu ar izglītības palīdzību, OECD/LEGAL/0485]</w:t>
            </w:r>
          </w:p>
        </w:tc>
      </w:tr>
    </w:tbl>
    <w:p w14:paraId="67482E29"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571FD2EE"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Sērija: ESAO juridiskie instrumenti</w:t>
      </w:r>
    </w:p>
    <w:p w14:paraId="7AEBCDD9"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4344F26C"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4714E4FD"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Izmantotās fotogrāfijas: </w:t>
      </w:r>
      <w:r w:rsidRPr="00A35A61">
        <w:rPr>
          <w:rFonts w:ascii="Times New Roman" w:hAnsi="Times New Roman"/>
          <w:sz w:val="24"/>
        </w:rPr>
        <w:t>© ESAO</w:t>
      </w:r>
    </w:p>
    <w:p w14:paraId="07A189E4"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5B33AA59"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 ESAO 2023. gads</w:t>
      </w:r>
    </w:p>
    <w:p w14:paraId="681AECD9" w14:textId="6504D1E1"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6BFD3CD6" w14:textId="04F495A9" w:rsidR="0040400A" w:rsidRPr="00A35A61" w:rsidRDefault="000E46D9" w:rsidP="00391E68">
      <w:pPr>
        <w:widowControl w:val="0"/>
        <w:jc w:val="both"/>
        <w:rPr>
          <w:rFonts w:ascii="Times New Roman" w:eastAsia="Times New Roman" w:hAnsi="Times New Roman" w:cs="Times New Roman"/>
          <w:noProof/>
          <w:sz w:val="24"/>
          <w:szCs w:val="24"/>
        </w:rPr>
      </w:pPr>
      <w:r w:rsidRPr="00A35A61">
        <w:rPr>
          <w:rFonts w:ascii="Times New Roman" w:hAnsi="Times New Roman"/>
          <w:noProof/>
          <w:sz w:val="24"/>
        </w:rPr>
        <w:drawing>
          <wp:anchor distT="0" distB="0" distL="114300" distR="114300" simplePos="0" relativeHeight="251662336" behindDoc="1" locked="0" layoutInCell="1" allowOverlap="1" wp14:anchorId="6C7012D7" wp14:editId="3533519E">
            <wp:simplePos x="0" y="0"/>
            <wp:positionH relativeFrom="column">
              <wp:posOffset>61595</wp:posOffset>
            </wp:positionH>
            <wp:positionV relativeFrom="paragraph">
              <wp:posOffset>120196</wp:posOffset>
            </wp:positionV>
            <wp:extent cx="5607050" cy="6350"/>
            <wp:effectExtent l="0" t="0" r="0" b="0"/>
            <wp:wrapNone/>
            <wp:docPr id="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7050" cy="6350"/>
                    </a:xfrm>
                    <a:prstGeom prst="rect">
                      <a:avLst/>
                    </a:prstGeom>
                    <a:noFill/>
                  </pic:spPr>
                </pic:pic>
              </a:graphicData>
            </a:graphic>
            <wp14:sizeRelH relativeFrom="page">
              <wp14:pctWidth>0</wp14:pctWidth>
            </wp14:sizeRelH>
            <wp14:sizeRelV relativeFrom="page">
              <wp14:pctHeight>0</wp14:pctHeight>
            </wp14:sizeRelV>
          </wp:anchor>
        </w:drawing>
      </w:r>
    </w:p>
    <w:p w14:paraId="6D13CF2E"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Šis dokuments tiek nodrošināts bez maksas. To drīkst reproducēt un izplatīt bez maksas, nepieprasot nekādas turpmākas atļaujas, kamēr vien tas nekādā veidā netiek pārveidots. To nedrīkst pārdot.</w:t>
      </w:r>
    </w:p>
    <w:p w14:paraId="2C001837"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1AADBD3D" w14:textId="13092B5A" w:rsidR="0040400A" w:rsidRPr="00B61896" w:rsidRDefault="0040400A" w:rsidP="00391E68">
      <w:pPr>
        <w:widowControl w:val="0"/>
        <w:jc w:val="both"/>
        <w:rPr>
          <w:rFonts w:ascii="Times New Roman" w:eastAsia="Arial" w:hAnsi="Times New Roman" w:cs="Times New Roman"/>
          <w:iCs/>
          <w:noProof/>
          <w:sz w:val="24"/>
          <w:szCs w:val="24"/>
        </w:rPr>
      </w:pPr>
      <w:r w:rsidRPr="00A35A61">
        <w:rPr>
          <w:rFonts w:ascii="Times New Roman" w:hAnsi="Times New Roman"/>
          <w:sz w:val="24"/>
        </w:rPr>
        <w:t xml:space="preserve">Šis dokuments ir pieejams abās ESAO oficiālajās valodās (angļu un franču valodā). </w:t>
      </w:r>
      <w:r w:rsidR="00B61896" w:rsidRPr="00B61896">
        <w:rPr>
          <w:rFonts w:ascii="Times New Roman" w:hAnsi="Times New Roman"/>
          <w:iCs/>
          <w:sz w:val="24"/>
        </w:rPr>
        <w:t>Šis ir neoficiāls tulkojums, ko sagatavojis Valsts valodas centrs; šis tulkojums ir paredzēts tikai informatīviem mērķiem, un ESAO nevar garantēt tā pareizību</w:t>
      </w:r>
      <w:r w:rsidRPr="00B61896">
        <w:rPr>
          <w:rFonts w:ascii="Times New Roman" w:hAnsi="Times New Roman"/>
          <w:iCs/>
          <w:sz w:val="24"/>
        </w:rPr>
        <w:t>. Vienīgās oficiālās versijas ir teksti angļu un franču valodā, kas ir pieejami ESAO tīmekļa vietnē http://legalinstruments.oecd.org</w:t>
      </w:r>
    </w:p>
    <w:p w14:paraId="16419D09" w14:textId="6FCEECC5" w:rsidR="0040400A" w:rsidRPr="00A35A61" w:rsidRDefault="0040400A" w:rsidP="00391E68">
      <w:pPr>
        <w:widowControl w:val="0"/>
        <w:jc w:val="both"/>
        <w:rPr>
          <w:rFonts w:ascii="Times New Roman" w:eastAsia="Times New Roman" w:hAnsi="Times New Roman" w:cs="Times New Roman"/>
          <w:noProof/>
          <w:sz w:val="24"/>
          <w:szCs w:val="24"/>
        </w:rPr>
      </w:pPr>
      <w:r w:rsidRPr="00A35A61">
        <w:rPr>
          <w:rFonts w:ascii="Times New Roman" w:hAnsi="Times New Roman"/>
          <w:i/>
          <w:noProof/>
          <w:color w:val="000000"/>
          <w:sz w:val="24"/>
        </w:rPr>
        <w:drawing>
          <wp:anchor distT="0" distB="0" distL="114300" distR="114300" simplePos="0" relativeHeight="251663360" behindDoc="1" locked="0" layoutInCell="1" allowOverlap="1" wp14:anchorId="228FA995" wp14:editId="7656823A">
            <wp:simplePos x="0" y="0"/>
            <wp:positionH relativeFrom="column">
              <wp:posOffset>61595</wp:posOffset>
            </wp:positionH>
            <wp:positionV relativeFrom="paragraph">
              <wp:posOffset>64770</wp:posOffset>
            </wp:positionV>
            <wp:extent cx="5607050" cy="6350"/>
            <wp:effectExtent l="0" t="0" r="0"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07050" cy="6350"/>
                    </a:xfrm>
                    <a:prstGeom prst="rect">
                      <a:avLst/>
                    </a:prstGeom>
                    <a:noFill/>
                  </pic:spPr>
                </pic:pic>
              </a:graphicData>
            </a:graphic>
            <wp14:sizeRelH relativeFrom="page">
              <wp14:pctWidth>0</wp14:pctWidth>
            </wp14:sizeRelH>
            <wp14:sizeRelV relativeFrom="page">
              <wp14:pctHeight>0</wp14:pctHeight>
            </wp14:sizeRelV>
          </wp:anchor>
        </w:drawing>
      </w:r>
    </w:p>
    <w:p w14:paraId="2150B6AF" w14:textId="77777777" w:rsidR="000970B1" w:rsidRPr="00A35A61" w:rsidRDefault="000970B1" w:rsidP="00391E68">
      <w:pPr>
        <w:widowControl w:val="0"/>
        <w:jc w:val="both"/>
        <w:rPr>
          <w:rFonts w:ascii="Times New Roman" w:eastAsia="Times New Roman" w:hAnsi="Times New Roman" w:cs="Times New Roman"/>
          <w:noProof/>
          <w:sz w:val="24"/>
          <w:szCs w:val="24"/>
          <w:lang w:val="en-US"/>
        </w:rPr>
      </w:pPr>
    </w:p>
    <w:p w14:paraId="09F2709E" w14:textId="77777777" w:rsidR="003C1001" w:rsidRPr="00A35A61" w:rsidRDefault="003C1001">
      <w:pPr>
        <w:rPr>
          <w:rFonts w:ascii="Times New Roman" w:eastAsia="Times New Roman" w:hAnsi="Times New Roman" w:cs="Times New Roman"/>
          <w:noProof/>
          <w:sz w:val="24"/>
          <w:szCs w:val="24"/>
        </w:rPr>
      </w:pPr>
      <w:r w:rsidRPr="00A35A61">
        <w:rPr>
          <w:rFonts w:ascii="Times New Roman" w:hAnsi="Times New Roman"/>
        </w:rPr>
        <w:br w:type="page"/>
      </w:r>
    </w:p>
    <w:p w14:paraId="012A4273" w14:textId="30DF84B2" w:rsidR="0040400A" w:rsidRPr="00A35A61" w:rsidRDefault="0040400A" w:rsidP="00391E68">
      <w:pPr>
        <w:widowControl w:val="0"/>
        <w:jc w:val="both"/>
        <w:rPr>
          <w:rFonts w:ascii="Times New Roman" w:eastAsia="Arial" w:hAnsi="Times New Roman" w:cs="Times New Roman"/>
          <w:b/>
          <w:noProof/>
          <w:color w:val="1F497D"/>
          <w:sz w:val="28"/>
          <w:szCs w:val="28"/>
        </w:rPr>
      </w:pPr>
      <w:r w:rsidRPr="00A35A61">
        <w:rPr>
          <w:rFonts w:ascii="Times New Roman" w:hAnsi="Times New Roman"/>
          <w:b/>
          <w:color w:val="1F497D"/>
          <w:sz w:val="28"/>
        </w:rPr>
        <w:lastRenderedPageBreak/>
        <w:t>Vispārīga informācija</w:t>
      </w:r>
    </w:p>
    <w:p w14:paraId="3F9208B8"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60655EA6"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Deklarācija par vienlīdzīgas sabiedrības veidošanu ar izglītības palīdzību tika pieņemta 2022. gada 8. decembrī Izglītības politikas komitejas (</w:t>
      </w:r>
      <w:r w:rsidRPr="00A35A61">
        <w:rPr>
          <w:rFonts w:ascii="Times New Roman" w:hAnsi="Times New Roman"/>
          <w:i/>
          <w:sz w:val="24"/>
        </w:rPr>
        <w:t>EDPC</w:t>
      </w:r>
      <w:r w:rsidRPr="00A35A61">
        <w:rPr>
          <w:rFonts w:ascii="Times New Roman" w:hAnsi="Times New Roman"/>
          <w:sz w:val="24"/>
        </w:rPr>
        <w:t>) ministru sanāksmē. Šajā sanāksmē ministri apsprieda trīs šo deklarāciju veidojošos elementus: i) vienlīdzīgākas sabiedrības veidošanu ar izglītības un mācību palīdzību; ii) jaunu skatījumu uz izglītību un drosmīga redzējuma izveidošanu attiecībā uz mācīšanās nākotni; iii) atbalstu prasmju attīstīšanai nākotnē.</w:t>
      </w:r>
    </w:p>
    <w:p w14:paraId="2BECDE0C"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390F40BC"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Deklarāciju iteratīvā procesā izstrādāja ESAO dalībvalstis, izmantojot arī partnervalstu un ieinteresēto pušu ieguldījumu plašas apspriešanas gaitā.</w:t>
      </w:r>
    </w:p>
    <w:p w14:paraId="193345FD"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5F10BEA5"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 xml:space="preserve">Deklarācija atspoguļo </w:t>
      </w:r>
      <w:r w:rsidRPr="00A35A61">
        <w:rPr>
          <w:rFonts w:ascii="Times New Roman" w:hAnsi="Times New Roman"/>
          <w:i/>
          <w:sz w:val="24"/>
        </w:rPr>
        <w:t>EDPC</w:t>
      </w:r>
      <w:r w:rsidRPr="00A35A61">
        <w:rPr>
          <w:rFonts w:ascii="Times New Roman" w:hAnsi="Times New Roman"/>
          <w:sz w:val="24"/>
        </w:rPr>
        <w:t xml:space="preserve"> Ministru sanāksmes visaptverošo tēmu “Iekļaujošas un vienlīdzīgas sabiedrības pārveidošana ar izglītības palīdzību”. Tajā uzsvērta ESAO un </w:t>
      </w:r>
      <w:r w:rsidRPr="00A35A61">
        <w:rPr>
          <w:rFonts w:ascii="Times New Roman" w:hAnsi="Times New Roman"/>
          <w:i/>
          <w:sz w:val="24"/>
        </w:rPr>
        <w:t>EDPC</w:t>
      </w:r>
      <w:r w:rsidRPr="00A35A61">
        <w:rPr>
          <w:rFonts w:ascii="Times New Roman" w:hAnsi="Times New Roman"/>
          <w:sz w:val="24"/>
        </w:rPr>
        <w:t xml:space="preserve"> galvenā loma izglītības un prasmju attīstīšanas jomā, tostarp attiecībā uz datu vākšanu, politikas pētniecību, politikas analīzi, konsultācijām un īstenošanas atbalstu un jo īpaši attiecībā uz darbiem, kas saistīti ar vienlīdzības tēmu izglītībā un izglītošanas procesā. Ņemot vērā jaunos izaicinājumus, kas radušies pēc Covid-19 pandēmijas, un jaunākās tendences, šī deklarācija atspoguļo tās īstenotāju nodomu atkārtoti apstiprināt savu apņemšanos attiecībā uz vienlīdzības un iekļautības nodrošināšanu izglītībā un sniegt norādījumus par turpmāko ESAO darbu izglītības un prasmju attīstīšanas jomā.</w:t>
      </w:r>
    </w:p>
    <w:p w14:paraId="206EA193"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4F3951E1"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 xml:space="preserve">Ministri arī aicināja ESAO ar </w:t>
      </w:r>
      <w:r w:rsidRPr="00A35A61">
        <w:rPr>
          <w:rFonts w:ascii="Times New Roman" w:hAnsi="Times New Roman"/>
          <w:i/>
          <w:sz w:val="24"/>
        </w:rPr>
        <w:t>EDPC</w:t>
      </w:r>
      <w:r w:rsidRPr="00A35A61">
        <w:rPr>
          <w:rFonts w:ascii="Times New Roman" w:hAnsi="Times New Roman"/>
          <w:sz w:val="24"/>
        </w:rPr>
        <w:t xml:space="preserve"> starpniecību un sadarbībā ar citām attiecīgajām ESAO komitejām atbalstīt valstis vairākās galvenajās jomās, tostarp ekonomisko un sociālo rezultātu uzlabošanā ar izglītības un prasmju palīdzību, efektīvāku un iekļaujošāku mācīšanās iespēju nodrošināšanā visiem izglītojamajiem un prasmju attīstīšanā atbilstoši izmaiņām sabiedrībā un ekonomikā. Ministri arī pauda atzinību par to, ka galvenā uzmanība tiek pievērsta sagrupētajiem datiem un rādītājiem, kuri nodrošina iespēju regulāri izvērtēt, kas panākts saistībā ar vienlīdzību izglītībā un izglītošanas procesā.</w:t>
      </w:r>
    </w:p>
    <w:p w14:paraId="6506F788"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57531198" w14:textId="3E8D13B2" w:rsidR="0040400A" w:rsidRPr="00A35A61" w:rsidRDefault="0040400A" w:rsidP="00391E68">
      <w:pPr>
        <w:widowControl w:val="0"/>
        <w:jc w:val="both"/>
        <w:rPr>
          <w:rFonts w:ascii="Times New Roman" w:eastAsia="Arial" w:hAnsi="Times New Roman" w:cs="Times New Roman"/>
          <w:i/>
          <w:noProof/>
          <w:sz w:val="24"/>
          <w:szCs w:val="24"/>
        </w:rPr>
      </w:pPr>
      <w:r w:rsidRPr="00A35A61">
        <w:rPr>
          <w:rFonts w:ascii="Times New Roman" w:hAnsi="Times New Roman"/>
          <w:i/>
          <w:sz w:val="24"/>
        </w:rPr>
        <w:t>Papildu informācija pieejama EDPC Ministru sanāksmes tīmekļa vietnē: Education Ministerial - Re­building an inclusive and equitable society through education OECD meeting 7-8 December 2022 vai sazinoties ar Kateryna.Obvintseva@oecd.org.</w:t>
      </w:r>
    </w:p>
    <w:p w14:paraId="59955E81"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11674F7C" w14:textId="77777777" w:rsidR="00546091" w:rsidRPr="00A35A61" w:rsidRDefault="00546091">
      <w:pPr>
        <w:rPr>
          <w:rFonts w:ascii="Times New Roman" w:eastAsia="Arial" w:hAnsi="Times New Roman" w:cs="Times New Roman"/>
          <w:b/>
          <w:noProof/>
          <w:sz w:val="24"/>
          <w:szCs w:val="24"/>
        </w:rPr>
      </w:pPr>
      <w:r w:rsidRPr="00A35A61">
        <w:rPr>
          <w:rFonts w:ascii="Times New Roman" w:hAnsi="Times New Roman"/>
        </w:rPr>
        <w:br w:type="page"/>
      </w:r>
    </w:p>
    <w:p w14:paraId="52576E41" w14:textId="351F6B62"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lastRenderedPageBreak/>
        <w:t xml:space="preserve">MĒS </w:t>
      </w:r>
      <w:r w:rsidRPr="00A35A61">
        <w:rPr>
          <w:rFonts w:ascii="Times New Roman" w:hAnsi="Times New Roman"/>
          <w:sz w:val="24"/>
        </w:rPr>
        <w:t xml:space="preserve">– Amerikas Savienoto Valstu, Apvienotās Karalistes, Austrālijas, Austrijas, Beļģijas, Bulgārijas, Čehijas, Čīles, Dānijas, Francijas, Grieķijas, Horvātijas, Igaunijas, Islandes, Itālijas, Izraēlas, Īrijas, Japānas, Jaunzēlandes, Kanādas, Kolumbijas, Korejas, Kostarikas, Latvijas, Lietuvas, Luksemburgas, Meksikas, Nīderlandes, Norvēģijas, Polijas, Portugāles, Rumānijas, Slovākijas, Slovēnijas, Somijas, Spānijas, Šveices, Turcijas, Ungārijas, Vācijas, Zviedrijas un Eiropas Savienības </w:t>
      </w:r>
      <w:r w:rsidRPr="00A35A61">
        <w:rPr>
          <w:rFonts w:ascii="Times New Roman" w:hAnsi="Times New Roman"/>
          <w:b/>
          <w:sz w:val="24"/>
        </w:rPr>
        <w:t>MINISTRI UN PĀRSTĀVJI</w:t>
      </w:r>
      <w:r w:rsidRPr="00A35A61">
        <w:rPr>
          <w:rFonts w:ascii="Times New Roman" w:hAnsi="Times New Roman"/>
          <w:sz w:val="24"/>
        </w:rPr>
        <w:t xml:space="preserve"> – 2022. gada 7.–8. decembrī tikāmies ESAO galvenajā mītnē Parīzē Izglītības politikas komitejas (</w:t>
      </w:r>
      <w:r w:rsidRPr="00A35A61">
        <w:rPr>
          <w:rFonts w:ascii="Times New Roman" w:hAnsi="Times New Roman"/>
          <w:i/>
          <w:sz w:val="24"/>
        </w:rPr>
        <w:t>EDPC</w:t>
      </w:r>
      <w:r w:rsidRPr="00A35A61">
        <w:rPr>
          <w:rFonts w:ascii="Times New Roman" w:hAnsi="Times New Roman"/>
          <w:sz w:val="24"/>
        </w:rPr>
        <w:t>) ministru līmeņa sanāksmē, kuru kopīgi vadīja Koreja, Norvēģija un Portugāle un kurā atbalstu priekšsēdētāja vietnieku statusā sniedza Grieķija, Igaunija, Japāna un Somija, lai apspriestu, kā izglītība var nodrošināt pamatu pieejamai, vienlīdzīgai, iekļaujošai, ilgtspējīgai demokrātiskai sabiedrībai un kā to var uzlabot, īstenojot sadarbību ESAO ietvaros.</w:t>
      </w:r>
    </w:p>
    <w:p w14:paraId="7F2D82F5"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1005FEEC"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MĒS, </w:t>
      </w:r>
      <w:r w:rsidRPr="00A35A61">
        <w:rPr>
          <w:rFonts w:ascii="Times New Roman" w:hAnsi="Times New Roman"/>
          <w:sz w:val="24"/>
        </w:rPr>
        <w:t xml:space="preserve">saskaņā ar 2022. gada ESAO Ministru padomes paziņojumu, visstingrākajā veidā </w:t>
      </w:r>
      <w:r w:rsidRPr="00A35A61">
        <w:rPr>
          <w:rFonts w:ascii="Times New Roman" w:hAnsi="Times New Roman"/>
          <w:b/>
          <w:sz w:val="24"/>
        </w:rPr>
        <w:t>NOSODĀM</w:t>
      </w:r>
      <w:r w:rsidRPr="00A35A61">
        <w:rPr>
          <w:rFonts w:ascii="Times New Roman" w:hAnsi="Times New Roman"/>
          <w:sz w:val="24"/>
        </w:rPr>
        <w:t xml:space="preserve"> Krievijas neattaisnojamo, neprovocēto un nelikumīgo agresijas karu pret Ukrainu kā starptautisko tiesību klaju pārkāpumu, kas iedragā pašus starptautiskās kārtības pamatus, </w:t>
      </w:r>
      <w:r w:rsidRPr="00A35A61">
        <w:rPr>
          <w:rFonts w:ascii="Times New Roman" w:hAnsi="Times New Roman"/>
          <w:b/>
          <w:sz w:val="24"/>
        </w:rPr>
        <w:t xml:space="preserve">ATGĀDINĀM </w:t>
      </w:r>
      <w:r w:rsidRPr="00A35A61">
        <w:rPr>
          <w:rFonts w:ascii="Times New Roman" w:hAnsi="Times New Roman"/>
          <w:sz w:val="24"/>
        </w:rPr>
        <w:t xml:space="preserve">ESAO Padomes 2022. gada 8. marta lēmumu par tūlītēju Krievijas Federācijas un Baltkrievijas dalības pārtraukšanu ESAO institūcijās un </w:t>
      </w:r>
      <w:r w:rsidRPr="00A35A61">
        <w:rPr>
          <w:rFonts w:ascii="Times New Roman" w:hAnsi="Times New Roman"/>
          <w:b/>
          <w:sz w:val="24"/>
        </w:rPr>
        <w:t xml:space="preserve">PAUŽAM DZIĻAS BAŽAS </w:t>
      </w:r>
      <w:r w:rsidRPr="00A35A61">
        <w:rPr>
          <w:rFonts w:ascii="Times New Roman" w:hAnsi="Times New Roman"/>
          <w:sz w:val="24"/>
        </w:rPr>
        <w:t>par tālejošajām sekām, ko rada Ukrainā notiekošais karš, kurā ir gājuši bojā bērni un nopostītas skolas un izglītības iestādes. Tas saasina jau esošo izglītības krīzi, ko izraisījusi pandēmija, kura joprojām rada neatgriezenisku kaitējumu bērnu, izglītojamo un pedagogu emocionālajai labklājībai, un tam ir plašāka ietekme uz citām valstīm reģionā un visā pasaulē.</w:t>
      </w:r>
    </w:p>
    <w:p w14:paraId="51115869" w14:textId="77777777" w:rsidR="0040400A" w:rsidRPr="00A35A61" w:rsidRDefault="0040400A" w:rsidP="00391E68">
      <w:pPr>
        <w:widowControl w:val="0"/>
        <w:jc w:val="both"/>
        <w:rPr>
          <w:rFonts w:ascii="Times New Roman" w:eastAsia="Arial" w:hAnsi="Times New Roman" w:cs="Times New Roman"/>
          <w:noProof/>
          <w:sz w:val="24"/>
          <w:szCs w:val="24"/>
          <w:lang w:val="en-US"/>
        </w:rPr>
      </w:pPr>
    </w:p>
    <w:p w14:paraId="21798239"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MĒS PAUŽAM SOLIDARITĀTI </w:t>
      </w:r>
      <w:r w:rsidRPr="00A35A61">
        <w:rPr>
          <w:rFonts w:ascii="Times New Roman" w:hAnsi="Times New Roman"/>
          <w:sz w:val="24"/>
        </w:rPr>
        <w:t xml:space="preserve">Ukrainas tautai un demokrātiski ievēlētajai valdībai, kā arī </w:t>
      </w:r>
      <w:r w:rsidRPr="00A35A61">
        <w:rPr>
          <w:rFonts w:ascii="Times New Roman" w:hAnsi="Times New Roman"/>
          <w:b/>
          <w:sz w:val="24"/>
        </w:rPr>
        <w:t xml:space="preserve">UZSVERAM </w:t>
      </w:r>
      <w:r w:rsidRPr="00A35A61">
        <w:rPr>
          <w:rFonts w:ascii="Times New Roman" w:hAnsi="Times New Roman"/>
          <w:sz w:val="24"/>
        </w:rPr>
        <w:t>nepieciešamību apmierināt visu Ukrainas izglītojamo, kurus skāris karš Ukrainā un ārpus tās, kognitīvās, sociālās un emocionālās vajadzības.</w:t>
      </w:r>
    </w:p>
    <w:p w14:paraId="4D858286"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15ED22E7" w14:textId="5CC684CF"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MĒS ATGĀDINĀM</w:t>
      </w:r>
      <w:r w:rsidRPr="00A35A61">
        <w:rPr>
          <w:rFonts w:ascii="Times New Roman" w:hAnsi="Times New Roman"/>
          <w:sz w:val="24"/>
        </w:rPr>
        <w:t xml:space="preserve"> ESAO 60. paziņojumu par redzējumu “Trust in Global Co-operation – The Vision for the OECD for the Next Decade” [Uzticība globālajai sadarbībai – Redzējums ESAO nākamajai desmitgadei], kurā vēlreiz uzsvērtas mūsu pamatvērtības, no jauna apliecināti mūsu dibināšanas mērķi un ir noteikts, ka “</w:t>
      </w:r>
      <w:r w:rsidRPr="00A35A61">
        <w:rPr>
          <w:rFonts w:ascii="Times New Roman" w:hAnsi="Times New Roman"/>
          <w:i/>
          <w:sz w:val="24"/>
        </w:rPr>
        <w:t>ESAO turpinās savu nozīmīgo darbu (..) pētniecības, izglītības, mūžizglītības un prasmju attīstīšanas jomā</w:t>
      </w:r>
      <w:r w:rsidRPr="00A35A61">
        <w:rPr>
          <w:rFonts w:ascii="Times New Roman" w:hAnsi="Times New Roman"/>
          <w:sz w:val="24"/>
        </w:rPr>
        <w:t>”.</w:t>
      </w:r>
    </w:p>
    <w:p w14:paraId="4560B1B0"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298D8880"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MĒS VĒLREIZ UZSVERAM </w:t>
      </w:r>
      <w:r w:rsidRPr="00A35A61">
        <w:rPr>
          <w:rFonts w:ascii="Times New Roman" w:hAnsi="Times New Roman"/>
          <w:sz w:val="24"/>
        </w:rPr>
        <w:t>savu apņemšanos atbalstīt Ilgtspējīgas attīstības mērķu (</w:t>
      </w:r>
      <w:r w:rsidRPr="00A35A61">
        <w:rPr>
          <w:rFonts w:ascii="Times New Roman" w:hAnsi="Times New Roman"/>
          <w:i/>
          <w:sz w:val="24"/>
        </w:rPr>
        <w:t>SDG</w:t>
      </w:r>
      <w:r w:rsidRPr="00A35A61">
        <w:rPr>
          <w:rFonts w:ascii="Times New Roman" w:hAnsi="Times New Roman"/>
          <w:sz w:val="24"/>
        </w:rPr>
        <w:t>) īstenošanu un jo īpaši Ilgtspējīgas attīstības 4. mērķa, kura uzdevums ir “</w:t>
      </w:r>
      <w:r w:rsidRPr="00A35A61">
        <w:rPr>
          <w:rFonts w:ascii="Times New Roman" w:hAnsi="Times New Roman"/>
          <w:i/>
          <w:sz w:val="24"/>
        </w:rPr>
        <w:t>nodrošināt iekļaujošu un vienlīdzīgi pieejamu, kvalitatīvu izglītību un veicināt mūžizglītības iespējas visiem</w:t>
      </w:r>
      <w:r w:rsidRPr="00A35A61">
        <w:rPr>
          <w:rFonts w:ascii="Times New Roman" w:hAnsi="Times New Roman"/>
          <w:sz w:val="24"/>
        </w:rPr>
        <w:t>”, īstenošanu.</w:t>
      </w:r>
    </w:p>
    <w:p w14:paraId="35BA6EFE"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4C40CD9B"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MĒS ATZINĪGI NOVĒRTĒJAM </w:t>
      </w:r>
      <w:r w:rsidRPr="00A35A61">
        <w:rPr>
          <w:rFonts w:ascii="Times New Roman" w:hAnsi="Times New Roman"/>
          <w:sz w:val="24"/>
        </w:rPr>
        <w:t>ESAO lomu, atbalstot dalībvalstis un partnervalstis to centienos nodrošināt tādu augstas kvalitātes mūžizglītību visiem, kura veicina personas attīstību, taisnīgu un ilgtspējīgu ekonomisko izaugsmi, sociālo kohēziju un labklājību.</w:t>
      </w:r>
    </w:p>
    <w:p w14:paraId="6D1C8A26"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7AECC1A5"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 xml:space="preserve">Šajā kontekstā </w:t>
      </w:r>
      <w:r w:rsidRPr="00A35A61">
        <w:rPr>
          <w:rFonts w:ascii="Times New Roman" w:hAnsi="Times New Roman"/>
          <w:b/>
          <w:sz w:val="24"/>
        </w:rPr>
        <w:t>MĒS ATZINĪGI VĒRTĒJAM</w:t>
      </w:r>
      <w:r w:rsidRPr="00A35A61">
        <w:rPr>
          <w:rFonts w:ascii="Times New Roman" w:hAnsi="Times New Roman"/>
          <w:sz w:val="24"/>
        </w:rPr>
        <w:t xml:space="preserve"> pastāvīgo sadarbību starp ESAO un citām starptautiskajām organizācijām, kas aktīvi darbojas šajā jomā.</w:t>
      </w:r>
    </w:p>
    <w:p w14:paraId="67CDE23B"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606CE50C"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MĒS ATZĪSTAM</w:t>
      </w:r>
      <w:r w:rsidRPr="00A35A61">
        <w:rPr>
          <w:rFonts w:ascii="Times New Roman" w:hAnsi="Times New Roman"/>
          <w:sz w:val="24"/>
        </w:rPr>
        <w:t>, ka ESAO izglītības jomas kritēriji un analīze ir kļuvusi par pasaules mēroga paraugu izglītības jomā, kā arī palīdz reaģēt uz izaicinājumiem mainīgajā pasaulē un nepieciešamību attīstīt attiecīgas jaunas kompetences.</w:t>
      </w:r>
    </w:p>
    <w:p w14:paraId="4C9BE19D"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132B1F3A"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MĒS ATZĪSTAM</w:t>
      </w:r>
      <w:r w:rsidRPr="00A35A61">
        <w:rPr>
          <w:rFonts w:ascii="Times New Roman" w:hAnsi="Times New Roman"/>
          <w:sz w:val="24"/>
        </w:rPr>
        <w:t>, ka atbildība par izglītību valstīs var tikt īstenota dažādos pārvaldes līmeņos saskaņā ar mūsu attiecīgo tiesisko regulējumu un institucionālo sistēmu.</w:t>
      </w:r>
    </w:p>
    <w:p w14:paraId="7859A9B7"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22D0D3C8"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405974B3" w14:textId="77777777" w:rsidR="0040400A" w:rsidRPr="00A35A61" w:rsidRDefault="0040400A" w:rsidP="00546091">
      <w:pPr>
        <w:widowControl w:val="0"/>
        <w:jc w:val="center"/>
        <w:rPr>
          <w:rFonts w:ascii="Times New Roman" w:eastAsia="Arial" w:hAnsi="Times New Roman" w:cs="Times New Roman"/>
          <w:b/>
          <w:i/>
          <w:noProof/>
          <w:sz w:val="24"/>
          <w:szCs w:val="24"/>
        </w:rPr>
      </w:pPr>
      <w:r w:rsidRPr="00A35A61">
        <w:rPr>
          <w:rFonts w:ascii="Times New Roman" w:hAnsi="Times New Roman"/>
          <w:b/>
          <w:i/>
          <w:sz w:val="24"/>
        </w:rPr>
        <w:t>Vienlīdzīgākas sabiedrības veidošana ar izglītības un mācību palīdzību</w:t>
      </w:r>
    </w:p>
    <w:p w14:paraId="42DED716"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79EE3B95"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35C54B25" w14:textId="51E16C48"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MĒS ATZĪSTAM </w:t>
      </w:r>
      <w:r w:rsidRPr="00A35A61">
        <w:rPr>
          <w:rFonts w:ascii="Times New Roman" w:hAnsi="Times New Roman"/>
          <w:sz w:val="24"/>
        </w:rPr>
        <w:t>unikālo potenciālu, ko sniedz izglītība jau no agras bērnības, veicinot sociālo mobilitāti, mazinot nevienlīdzību, cienot dažādību un veidojot spēcīgu pamatu vienlīdzīgai, iekļaujošai, ilgtspējīgai demokrātiskai sabiedrībai.</w:t>
      </w:r>
    </w:p>
    <w:p w14:paraId="6CE08E8C"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7DC99554"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MĒS ESAM APŅĒMUŠIES </w:t>
      </w:r>
      <w:r w:rsidRPr="00A35A61">
        <w:rPr>
          <w:rFonts w:ascii="Times New Roman" w:hAnsi="Times New Roman"/>
          <w:sz w:val="24"/>
        </w:rPr>
        <w:t>dot iespēju visiem izglītojamajiem, īpašu uzmanību pievēršot visneaizsargātākajām sabiedrības grupām, attīstīt zināšanas, prasmes, attieksmi un vērtības, lai viņi varētu pilnīgi izmantot savu potenciālu un sekmēt sabiedrības saimniecisko un sociālo labklājību situācijā, kad tā saskaras ar pastāvīgām pārmaiņām un pēkšņiem jauninājumiem, piemēram, tehnoloģisko attīstību vai zaļo pārkārtošanos.</w:t>
      </w:r>
    </w:p>
    <w:p w14:paraId="3972BD1D"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01CDD648"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MĒS ATKĀRTOTI IZSAKĀM </w:t>
      </w:r>
      <w:r w:rsidRPr="00A35A61">
        <w:rPr>
          <w:rFonts w:ascii="Times New Roman" w:hAnsi="Times New Roman"/>
          <w:sz w:val="24"/>
        </w:rPr>
        <w:t xml:space="preserve"> apņemšanos īstenot inovatīvu un uz pierādījumiem balstītu politiku un ieguldījumus, kas palīdz visiem izglītojamajiem un pedagogiem aktīvi iesaistīties mūžizglītībā.</w:t>
      </w:r>
    </w:p>
    <w:p w14:paraId="50A24C57"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7D578AAF"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MĒS AICINĀM </w:t>
      </w:r>
      <w:r w:rsidRPr="00A35A61">
        <w:rPr>
          <w:rFonts w:ascii="Times New Roman" w:hAnsi="Times New Roman"/>
          <w:sz w:val="24"/>
        </w:rPr>
        <w:t xml:space="preserve">ESAO ar </w:t>
      </w:r>
      <w:r w:rsidRPr="00A35A61">
        <w:rPr>
          <w:rFonts w:ascii="Times New Roman" w:hAnsi="Times New Roman"/>
          <w:i/>
          <w:sz w:val="24"/>
        </w:rPr>
        <w:t>EDPC</w:t>
      </w:r>
      <w:r w:rsidRPr="00A35A61">
        <w:rPr>
          <w:rFonts w:ascii="Times New Roman" w:hAnsi="Times New Roman"/>
          <w:sz w:val="24"/>
        </w:rPr>
        <w:t xml:space="preserve"> starpniecību un sadarbībā ar citām attiecīgajām ESAO komitejām:</w:t>
      </w:r>
    </w:p>
    <w:p w14:paraId="22704DB1"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49614B5A" w14:textId="77777777" w:rsidR="0040400A" w:rsidRPr="00A35A61" w:rsidRDefault="0040400A" w:rsidP="00995A04">
      <w:pPr>
        <w:widowControl w:val="0"/>
        <w:numPr>
          <w:ilvl w:val="0"/>
          <w:numId w:val="2"/>
        </w:numPr>
        <w:ind w:left="567" w:hanging="283"/>
        <w:jc w:val="both"/>
        <w:rPr>
          <w:rFonts w:ascii="Times New Roman" w:eastAsia="Arial" w:hAnsi="Times New Roman" w:cs="Times New Roman"/>
          <w:noProof/>
          <w:sz w:val="24"/>
          <w:szCs w:val="24"/>
        </w:rPr>
      </w:pPr>
      <w:r w:rsidRPr="00A35A61">
        <w:rPr>
          <w:rFonts w:ascii="Times New Roman" w:hAnsi="Times New Roman"/>
          <w:sz w:val="24"/>
        </w:rPr>
        <w:t>sniegt atbalstu valstīm, lai uzlabotu ekonomiskos un sociālos rezultātus ar izglītības un prasmju palīdzību, izmantot sinerģiju ar citām politikas jomām nolūkā nodrošināt, ka izglītība un mācības sekmē labākus un taisnīgākus ekonomiskos un darba tirgus rezultātus, lielāku sociālo līdzdalību, labāk funkcionējošu demokrātiju un ilgtspējīgāku vidi;</w:t>
      </w:r>
    </w:p>
    <w:p w14:paraId="3494A38C" w14:textId="77777777" w:rsidR="0040400A" w:rsidRPr="00A35A61" w:rsidRDefault="0040400A" w:rsidP="00995A04">
      <w:pPr>
        <w:widowControl w:val="0"/>
        <w:ind w:left="567" w:hanging="283"/>
        <w:jc w:val="both"/>
        <w:rPr>
          <w:rFonts w:ascii="Times New Roman" w:hAnsi="Times New Roman" w:cs="Times New Roman"/>
          <w:noProof/>
          <w:sz w:val="24"/>
          <w:szCs w:val="24"/>
          <w:lang w:val="en-US"/>
        </w:rPr>
      </w:pPr>
    </w:p>
    <w:p w14:paraId="45530242" w14:textId="77777777" w:rsidR="0040400A" w:rsidRPr="00A35A61" w:rsidRDefault="0040400A" w:rsidP="00995A04">
      <w:pPr>
        <w:widowControl w:val="0"/>
        <w:numPr>
          <w:ilvl w:val="0"/>
          <w:numId w:val="2"/>
        </w:numPr>
        <w:ind w:left="567" w:hanging="283"/>
        <w:jc w:val="both"/>
        <w:rPr>
          <w:rFonts w:ascii="Times New Roman" w:eastAsia="Arial" w:hAnsi="Times New Roman" w:cs="Times New Roman"/>
          <w:noProof/>
          <w:sz w:val="24"/>
          <w:szCs w:val="24"/>
        </w:rPr>
      </w:pPr>
      <w:r w:rsidRPr="00A35A61">
        <w:rPr>
          <w:rFonts w:ascii="Times New Roman" w:hAnsi="Times New Roman"/>
          <w:sz w:val="24"/>
        </w:rPr>
        <w:t>sniegt atbalstu valstīm, lai nodrošinātu kvalitatīvas mācības, kas ir nozīmīgs faktors, uzlabojot izglītojamo (it īpaši to, kas nākuši no nelabvēlīgas vides) rezultātus;</w:t>
      </w:r>
    </w:p>
    <w:p w14:paraId="1C8A73FF" w14:textId="77777777" w:rsidR="0040400A" w:rsidRPr="00A35A61" w:rsidRDefault="0040400A" w:rsidP="00995A04">
      <w:pPr>
        <w:widowControl w:val="0"/>
        <w:ind w:left="567" w:hanging="283"/>
        <w:jc w:val="both"/>
        <w:rPr>
          <w:rFonts w:ascii="Times New Roman" w:hAnsi="Times New Roman" w:cs="Times New Roman"/>
          <w:noProof/>
          <w:sz w:val="24"/>
          <w:szCs w:val="24"/>
          <w:lang w:val="en-US"/>
        </w:rPr>
      </w:pPr>
    </w:p>
    <w:p w14:paraId="0690C532" w14:textId="77777777" w:rsidR="0040400A" w:rsidRPr="00A35A61" w:rsidRDefault="0040400A" w:rsidP="00995A04">
      <w:pPr>
        <w:widowControl w:val="0"/>
        <w:numPr>
          <w:ilvl w:val="0"/>
          <w:numId w:val="2"/>
        </w:numPr>
        <w:ind w:left="567" w:hanging="283"/>
        <w:jc w:val="both"/>
        <w:rPr>
          <w:rFonts w:ascii="Times New Roman" w:eastAsia="Arial" w:hAnsi="Times New Roman" w:cs="Times New Roman"/>
          <w:noProof/>
          <w:sz w:val="24"/>
          <w:szCs w:val="24"/>
        </w:rPr>
      </w:pPr>
      <w:r w:rsidRPr="00A35A61">
        <w:rPr>
          <w:rFonts w:ascii="Times New Roman" w:hAnsi="Times New Roman"/>
          <w:sz w:val="24"/>
        </w:rPr>
        <w:t>stiprināt pierādījumu bāzi par saikni starp prasmju attīstīšanu, plaukstošu ekonomiku un vienlīdzīgu un iekļaujošu sabiedrību;</w:t>
      </w:r>
    </w:p>
    <w:p w14:paraId="7AE9D48B" w14:textId="77777777" w:rsidR="0040400A" w:rsidRPr="00A35A61" w:rsidRDefault="0040400A" w:rsidP="00995A04">
      <w:pPr>
        <w:widowControl w:val="0"/>
        <w:ind w:left="567" w:hanging="283"/>
        <w:jc w:val="both"/>
        <w:rPr>
          <w:rFonts w:ascii="Times New Roman" w:hAnsi="Times New Roman" w:cs="Times New Roman"/>
          <w:noProof/>
          <w:sz w:val="24"/>
          <w:szCs w:val="24"/>
          <w:lang w:val="en-US"/>
        </w:rPr>
      </w:pPr>
    </w:p>
    <w:p w14:paraId="778BE057" w14:textId="77777777" w:rsidR="0040400A" w:rsidRPr="00A35A61" w:rsidRDefault="0040400A" w:rsidP="00995A04">
      <w:pPr>
        <w:widowControl w:val="0"/>
        <w:numPr>
          <w:ilvl w:val="0"/>
          <w:numId w:val="2"/>
        </w:numPr>
        <w:ind w:left="567" w:hanging="283"/>
        <w:jc w:val="both"/>
        <w:rPr>
          <w:rFonts w:ascii="Times New Roman" w:eastAsia="Arial" w:hAnsi="Times New Roman" w:cs="Times New Roman"/>
          <w:noProof/>
          <w:sz w:val="24"/>
          <w:szCs w:val="24"/>
        </w:rPr>
      </w:pPr>
      <w:r w:rsidRPr="00A35A61">
        <w:rPr>
          <w:rFonts w:ascii="Times New Roman" w:hAnsi="Times New Roman"/>
          <w:sz w:val="24"/>
        </w:rPr>
        <w:t>sniegt atbalstu valstīm, balstoties uz pamatotiem pierādījumiem, tādas izglītības un prasmju attīstīšanas politikas izstrādē un īstenošanā, kurā tiek atzīta izglītojamo atšķirīgā izcelsme un vajadzības, kā arī kurā viņiem tiek sniegtas efektīvas un vienlīdzīgas iespējas attīstīt un saglabāt savu potenciālu un dot pienesumu sabiedrībai;</w:t>
      </w:r>
    </w:p>
    <w:p w14:paraId="4C2A4F95" w14:textId="77777777" w:rsidR="0040400A" w:rsidRPr="00A35A61" w:rsidRDefault="0040400A" w:rsidP="00995A04">
      <w:pPr>
        <w:widowControl w:val="0"/>
        <w:ind w:left="567" w:hanging="283"/>
        <w:jc w:val="both"/>
        <w:rPr>
          <w:rFonts w:ascii="Times New Roman" w:hAnsi="Times New Roman" w:cs="Times New Roman"/>
          <w:noProof/>
          <w:sz w:val="24"/>
          <w:szCs w:val="24"/>
          <w:lang w:val="en-US"/>
        </w:rPr>
      </w:pPr>
    </w:p>
    <w:p w14:paraId="0E3BE937" w14:textId="77777777" w:rsidR="0040400A" w:rsidRPr="00A35A61" w:rsidRDefault="0040400A" w:rsidP="00995A04">
      <w:pPr>
        <w:widowControl w:val="0"/>
        <w:numPr>
          <w:ilvl w:val="0"/>
          <w:numId w:val="2"/>
        </w:numPr>
        <w:ind w:left="567" w:hanging="283"/>
        <w:jc w:val="both"/>
        <w:rPr>
          <w:rFonts w:ascii="Times New Roman" w:eastAsia="Arial" w:hAnsi="Times New Roman" w:cs="Times New Roman"/>
          <w:noProof/>
          <w:sz w:val="24"/>
          <w:szCs w:val="24"/>
        </w:rPr>
      </w:pPr>
      <w:r w:rsidRPr="00A35A61">
        <w:rPr>
          <w:rFonts w:ascii="Times New Roman" w:hAnsi="Times New Roman"/>
          <w:sz w:val="24"/>
        </w:rPr>
        <w:t>tās darbā galveno uzmanību pievērst sagrupētajiem datiem un rādītājiem par piekļuves, resursu piešķiršanas un kvalitātes sadalījuma aspektiem izglītības un prasmju apgūšanas jomā un to ietekmi uz izglītības, ekonomiskajiem un sociālajiem rezultātiem;</w:t>
      </w:r>
    </w:p>
    <w:p w14:paraId="2B6E8D8B" w14:textId="77777777" w:rsidR="0040400A" w:rsidRPr="00A35A61" w:rsidRDefault="0040400A" w:rsidP="00995A04">
      <w:pPr>
        <w:widowControl w:val="0"/>
        <w:ind w:left="567" w:hanging="283"/>
        <w:jc w:val="both"/>
        <w:rPr>
          <w:rFonts w:ascii="Times New Roman" w:hAnsi="Times New Roman" w:cs="Times New Roman"/>
          <w:noProof/>
          <w:sz w:val="24"/>
          <w:szCs w:val="24"/>
          <w:lang w:val="en-US"/>
        </w:rPr>
      </w:pPr>
    </w:p>
    <w:p w14:paraId="4B38C791" w14:textId="77777777" w:rsidR="0040400A" w:rsidRPr="00A35A61" w:rsidRDefault="0040400A" w:rsidP="00995A04">
      <w:pPr>
        <w:widowControl w:val="0"/>
        <w:numPr>
          <w:ilvl w:val="0"/>
          <w:numId w:val="2"/>
        </w:numPr>
        <w:ind w:left="567" w:hanging="283"/>
        <w:jc w:val="both"/>
        <w:rPr>
          <w:rFonts w:ascii="Times New Roman" w:eastAsia="Arial" w:hAnsi="Times New Roman" w:cs="Times New Roman"/>
          <w:noProof/>
          <w:sz w:val="24"/>
          <w:szCs w:val="24"/>
        </w:rPr>
      </w:pPr>
      <w:r w:rsidRPr="00A35A61">
        <w:rPr>
          <w:rFonts w:ascii="Times New Roman" w:hAnsi="Times New Roman"/>
          <w:sz w:val="24"/>
        </w:rPr>
        <w:t>regulāri izvērtēt, kas panākts saistībā ar vienlīdzību starptautiskā mērogā un uzlabot datu salīdzināmību un atbilstību.</w:t>
      </w:r>
    </w:p>
    <w:p w14:paraId="5C4CD6BF"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0AD74BC2"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00821A50" w14:textId="77777777" w:rsidR="0040400A" w:rsidRPr="00A35A61" w:rsidRDefault="0040400A" w:rsidP="00995A04">
      <w:pPr>
        <w:widowControl w:val="0"/>
        <w:jc w:val="center"/>
        <w:rPr>
          <w:rFonts w:ascii="Times New Roman" w:eastAsia="Arial" w:hAnsi="Times New Roman" w:cs="Times New Roman"/>
          <w:b/>
          <w:i/>
          <w:noProof/>
          <w:sz w:val="24"/>
          <w:szCs w:val="24"/>
        </w:rPr>
      </w:pPr>
      <w:r w:rsidRPr="00A35A61">
        <w:rPr>
          <w:rFonts w:ascii="Times New Roman" w:hAnsi="Times New Roman"/>
          <w:b/>
          <w:i/>
          <w:sz w:val="24"/>
        </w:rPr>
        <w:t>Jauns skatījums uz izglītību</w:t>
      </w:r>
    </w:p>
    <w:p w14:paraId="1A381175"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7402774A"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1DA749A8"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MĒS APŅEMAMIES </w:t>
      </w:r>
      <w:r w:rsidRPr="00A35A61">
        <w:rPr>
          <w:rFonts w:ascii="Times New Roman" w:hAnsi="Times New Roman"/>
          <w:sz w:val="24"/>
        </w:rPr>
        <w:t>izmantot iespējas, kas saistītas ar atgūšanos pēc Covid-19 pandēmijas, izglītībā, lai izveidotu drosmīgu redzējumu par mācīšanās nākotni.</w:t>
      </w:r>
    </w:p>
    <w:p w14:paraId="35C18654"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5C4B0541"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MĒS ESAM APŅĒMUŠIES </w:t>
      </w:r>
      <w:r w:rsidRPr="00A35A61">
        <w:rPr>
          <w:rFonts w:ascii="Times New Roman" w:hAnsi="Times New Roman"/>
          <w:sz w:val="24"/>
        </w:rPr>
        <w:t>izstrādāt izglītības sistēmas, kas palīdz katram izglītojamajam izmantot savu potenciālu, veicinot mācīšanās veidu dažādību un novatoriskas mācību vides veidošanu, kā arī nodrošinot kvalitatīvas mācības, tostarp izglītojamo efektīvu profesionālo izaugsmi visas karjeras laikā.</w:t>
      </w:r>
    </w:p>
    <w:p w14:paraId="4515660E"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60F8FFF3"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MĒS AICINĀM </w:t>
      </w:r>
      <w:r w:rsidRPr="00A35A61">
        <w:rPr>
          <w:rFonts w:ascii="Times New Roman" w:hAnsi="Times New Roman"/>
          <w:sz w:val="24"/>
        </w:rPr>
        <w:t xml:space="preserve">ESAO ar </w:t>
      </w:r>
      <w:r w:rsidRPr="00A35A61">
        <w:rPr>
          <w:rFonts w:ascii="Times New Roman" w:hAnsi="Times New Roman"/>
          <w:i/>
          <w:sz w:val="24"/>
        </w:rPr>
        <w:t>EDPC</w:t>
      </w:r>
      <w:r w:rsidRPr="00A35A61">
        <w:rPr>
          <w:rFonts w:ascii="Times New Roman" w:hAnsi="Times New Roman"/>
          <w:sz w:val="24"/>
        </w:rPr>
        <w:t xml:space="preserve"> starpniecību un sadarbībā ar citām attiecīgajām ESAO komitejām atbalstīt valstis, lai:</w:t>
      </w:r>
    </w:p>
    <w:p w14:paraId="4B7FF773"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0744DF62" w14:textId="77777777" w:rsidR="0040400A" w:rsidRPr="00A35A61" w:rsidRDefault="0040400A" w:rsidP="00995A04">
      <w:pPr>
        <w:widowControl w:val="0"/>
        <w:numPr>
          <w:ilvl w:val="0"/>
          <w:numId w:val="3"/>
        </w:numPr>
        <w:ind w:left="567" w:hanging="284"/>
        <w:jc w:val="both"/>
        <w:rPr>
          <w:rFonts w:ascii="Times New Roman" w:eastAsia="Arial" w:hAnsi="Times New Roman" w:cs="Times New Roman"/>
          <w:noProof/>
          <w:sz w:val="24"/>
          <w:szCs w:val="24"/>
        </w:rPr>
      </w:pPr>
      <w:r w:rsidRPr="00A35A61">
        <w:rPr>
          <w:rFonts w:ascii="Times New Roman" w:hAnsi="Times New Roman"/>
          <w:sz w:val="24"/>
        </w:rPr>
        <w:t>izveidotu un īstenotu drosmīgāku redzējumu par to, kā izmantot telpas, laiku, tehnoloģiju un cilvēkresursus, lai nodrošinātu efektīvas un iekļaujošas mācību iespējas, balstoties uz pamatotiem pierādījumiem;</w:t>
      </w:r>
    </w:p>
    <w:p w14:paraId="783A5597" w14:textId="77777777" w:rsidR="0040400A" w:rsidRPr="00A35A61" w:rsidRDefault="0040400A" w:rsidP="00995A04">
      <w:pPr>
        <w:widowControl w:val="0"/>
        <w:ind w:left="567" w:hanging="284"/>
        <w:jc w:val="both"/>
        <w:rPr>
          <w:rFonts w:ascii="Times New Roman" w:hAnsi="Times New Roman" w:cs="Times New Roman"/>
          <w:noProof/>
          <w:sz w:val="24"/>
          <w:szCs w:val="24"/>
          <w:lang w:val="en-US"/>
        </w:rPr>
      </w:pPr>
    </w:p>
    <w:p w14:paraId="70F27B63" w14:textId="77777777" w:rsidR="0040400A" w:rsidRPr="00A35A61" w:rsidRDefault="0040400A" w:rsidP="00995A04">
      <w:pPr>
        <w:widowControl w:val="0"/>
        <w:numPr>
          <w:ilvl w:val="0"/>
          <w:numId w:val="3"/>
        </w:numPr>
        <w:ind w:left="567" w:hanging="284"/>
        <w:jc w:val="both"/>
        <w:rPr>
          <w:rFonts w:ascii="Times New Roman" w:eastAsia="Arial" w:hAnsi="Times New Roman" w:cs="Times New Roman"/>
          <w:noProof/>
          <w:sz w:val="24"/>
          <w:szCs w:val="24"/>
        </w:rPr>
      </w:pPr>
      <w:r w:rsidRPr="00A35A61">
        <w:rPr>
          <w:rFonts w:ascii="Times New Roman" w:hAnsi="Times New Roman"/>
          <w:sz w:val="24"/>
        </w:rPr>
        <w:t>dotu izglītojamajiem iespējas lemt par to, ko viņi mācīsies, kā viņi mācīsies, kur viņi mācīsies un kad viņi mācīsies;</w:t>
      </w:r>
    </w:p>
    <w:p w14:paraId="217476C8" w14:textId="77777777" w:rsidR="0040400A" w:rsidRPr="00A35A61" w:rsidRDefault="0040400A" w:rsidP="00995A04">
      <w:pPr>
        <w:widowControl w:val="0"/>
        <w:ind w:left="567" w:hanging="284"/>
        <w:jc w:val="both"/>
        <w:rPr>
          <w:rFonts w:ascii="Times New Roman" w:hAnsi="Times New Roman" w:cs="Times New Roman"/>
          <w:noProof/>
          <w:sz w:val="24"/>
          <w:szCs w:val="24"/>
          <w:lang w:val="en-US"/>
        </w:rPr>
      </w:pPr>
    </w:p>
    <w:p w14:paraId="0BFDAD34" w14:textId="77777777" w:rsidR="0040400A" w:rsidRPr="00A35A61" w:rsidRDefault="0040400A" w:rsidP="00995A04">
      <w:pPr>
        <w:widowControl w:val="0"/>
        <w:numPr>
          <w:ilvl w:val="0"/>
          <w:numId w:val="3"/>
        </w:numPr>
        <w:ind w:left="567" w:hanging="284"/>
        <w:jc w:val="both"/>
        <w:rPr>
          <w:rFonts w:ascii="Times New Roman" w:eastAsia="Arial" w:hAnsi="Times New Roman" w:cs="Times New Roman"/>
          <w:noProof/>
          <w:sz w:val="24"/>
          <w:szCs w:val="24"/>
        </w:rPr>
      </w:pPr>
      <w:r w:rsidRPr="00A35A61">
        <w:rPr>
          <w:rFonts w:ascii="Times New Roman" w:hAnsi="Times New Roman"/>
          <w:sz w:val="24"/>
        </w:rPr>
        <w:t>izstrādātu visiem bērniem/personām un visai sabiedrībai piemērotu pieeju, lai izveidotu jaunu skatījumu uz izglītību, kas ir piemērota nākotnei;</w:t>
      </w:r>
    </w:p>
    <w:p w14:paraId="1DEA4F80" w14:textId="77777777" w:rsidR="0040400A" w:rsidRPr="00A35A61" w:rsidRDefault="0040400A" w:rsidP="00995A04">
      <w:pPr>
        <w:widowControl w:val="0"/>
        <w:ind w:left="567" w:hanging="284"/>
        <w:jc w:val="both"/>
        <w:rPr>
          <w:rFonts w:ascii="Times New Roman" w:hAnsi="Times New Roman" w:cs="Times New Roman"/>
          <w:noProof/>
          <w:sz w:val="24"/>
          <w:szCs w:val="24"/>
          <w:lang w:val="en-US"/>
        </w:rPr>
      </w:pPr>
    </w:p>
    <w:p w14:paraId="40F8B066" w14:textId="77777777" w:rsidR="0040400A" w:rsidRPr="00A35A61" w:rsidRDefault="0040400A" w:rsidP="00995A04">
      <w:pPr>
        <w:widowControl w:val="0"/>
        <w:numPr>
          <w:ilvl w:val="0"/>
          <w:numId w:val="3"/>
        </w:numPr>
        <w:ind w:left="567" w:hanging="284"/>
        <w:jc w:val="both"/>
        <w:rPr>
          <w:rFonts w:ascii="Times New Roman" w:eastAsia="Arial" w:hAnsi="Times New Roman" w:cs="Times New Roman"/>
          <w:noProof/>
          <w:sz w:val="24"/>
          <w:szCs w:val="24"/>
        </w:rPr>
      </w:pPr>
      <w:r w:rsidRPr="00A35A61">
        <w:rPr>
          <w:rFonts w:ascii="Times New Roman" w:hAnsi="Times New Roman"/>
          <w:sz w:val="24"/>
        </w:rPr>
        <w:t>nodrošinātu iespēju izglītības iestādēm pildīt savas funkcijas izglītojamo kognitīvās, sociālās un emocionālās attīstības veicināšanā;</w:t>
      </w:r>
    </w:p>
    <w:p w14:paraId="1F941D29" w14:textId="77777777" w:rsidR="0040400A" w:rsidRPr="00A35A61" w:rsidRDefault="0040400A" w:rsidP="00995A04">
      <w:pPr>
        <w:widowControl w:val="0"/>
        <w:ind w:left="567" w:hanging="284"/>
        <w:jc w:val="both"/>
        <w:rPr>
          <w:rFonts w:ascii="Times New Roman" w:hAnsi="Times New Roman" w:cs="Times New Roman"/>
          <w:noProof/>
          <w:sz w:val="24"/>
          <w:szCs w:val="24"/>
          <w:lang w:val="en-US"/>
        </w:rPr>
      </w:pPr>
    </w:p>
    <w:p w14:paraId="102F7B26" w14:textId="77777777" w:rsidR="0040400A" w:rsidRPr="00A35A61" w:rsidRDefault="0040400A" w:rsidP="00995A04">
      <w:pPr>
        <w:widowControl w:val="0"/>
        <w:numPr>
          <w:ilvl w:val="0"/>
          <w:numId w:val="3"/>
        </w:numPr>
        <w:ind w:left="567" w:hanging="284"/>
        <w:jc w:val="both"/>
        <w:rPr>
          <w:rFonts w:ascii="Times New Roman" w:eastAsia="Arial" w:hAnsi="Times New Roman" w:cs="Times New Roman"/>
          <w:noProof/>
          <w:sz w:val="24"/>
          <w:szCs w:val="24"/>
        </w:rPr>
      </w:pPr>
      <w:r w:rsidRPr="00A35A61">
        <w:rPr>
          <w:rFonts w:ascii="Times New Roman" w:hAnsi="Times New Roman"/>
          <w:sz w:val="24"/>
        </w:rPr>
        <w:t>izstrādātu efektīvu stratēģiju, lai izglītības jomā sekmētu dzimumu līdztiesību un atbalstītu mazaizsargātu personu grupas, tostarp personas ar invaliditāti;</w:t>
      </w:r>
    </w:p>
    <w:p w14:paraId="106FD8C0" w14:textId="77777777" w:rsidR="0040400A" w:rsidRPr="00A35A61" w:rsidRDefault="0040400A" w:rsidP="00995A04">
      <w:pPr>
        <w:widowControl w:val="0"/>
        <w:ind w:left="567" w:hanging="284"/>
        <w:jc w:val="both"/>
        <w:rPr>
          <w:rFonts w:ascii="Times New Roman" w:eastAsia="Arial" w:hAnsi="Times New Roman" w:cs="Times New Roman"/>
          <w:b/>
          <w:noProof/>
          <w:sz w:val="24"/>
          <w:szCs w:val="24"/>
          <w:lang w:val="en-US"/>
        </w:rPr>
      </w:pPr>
    </w:p>
    <w:p w14:paraId="2DDAF3A0" w14:textId="77777777" w:rsidR="0040400A" w:rsidRPr="00A35A61" w:rsidRDefault="0040400A" w:rsidP="00995A04">
      <w:pPr>
        <w:widowControl w:val="0"/>
        <w:numPr>
          <w:ilvl w:val="1"/>
          <w:numId w:val="4"/>
        </w:numPr>
        <w:ind w:left="567" w:hanging="284"/>
        <w:jc w:val="both"/>
        <w:rPr>
          <w:rFonts w:ascii="Times New Roman" w:eastAsia="Arial" w:hAnsi="Times New Roman" w:cs="Times New Roman"/>
          <w:noProof/>
          <w:sz w:val="24"/>
          <w:szCs w:val="24"/>
        </w:rPr>
      </w:pPr>
      <w:r w:rsidRPr="00A35A61">
        <w:rPr>
          <w:rFonts w:ascii="Times New Roman" w:hAnsi="Times New Roman"/>
          <w:sz w:val="24"/>
        </w:rPr>
        <w:t>izveidotu novatorisku mācību vidi un pedagoģijas metodes, kas balstās uz pamatotiem pierādījumiem un kurās tiek izmantotas zinātniskās atziņas par mācīšanos un digitālo tehnoloģiju iespējas, kā arī tiek sekmēta šo rīku atbildīga izmantošana;</w:t>
      </w:r>
    </w:p>
    <w:p w14:paraId="43C10B9B" w14:textId="77777777" w:rsidR="0040400A" w:rsidRPr="00A35A61" w:rsidRDefault="0040400A" w:rsidP="00995A04">
      <w:pPr>
        <w:widowControl w:val="0"/>
        <w:ind w:left="567" w:hanging="284"/>
        <w:jc w:val="both"/>
        <w:rPr>
          <w:rFonts w:ascii="Times New Roman" w:hAnsi="Times New Roman" w:cs="Times New Roman"/>
          <w:noProof/>
          <w:sz w:val="24"/>
          <w:szCs w:val="24"/>
          <w:lang w:val="en-US"/>
        </w:rPr>
      </w:pPr>
    </w:p>
    <w:p w14:paraId="5FE701EA" w14:textId="77777777" w:rsidR="0040400A" w:rsidRPr="00A35A61" w:rsidRDefault="0040400A" w:rsidP="00995A04">
      <w:pPr>
        <w:widowControl w:val="0"/>
        <w:numPr>
          <w:ilvl w:val="1"/>
          <w:numId w:val="4"/>
        </w:numPr>
        <w:ind w:left="567" w:hanging="284"/>
        <w:jc w:val="both"/>
        <w:rPr>
          <w:rFonts w:ascii="Times New Roman" w:eastAsia="Arial" w:hAnsi="Times New Roman" w:cs="Times New Roman"/>
          <w:noProof/>
          <w:sz w:val="24"/>
          <w:szCs w:val="24"/>
        </w:rPr>
      </w:pPr>
      <w:r w:rsidRPr="00A35A61">
        <w:rPr>
          <w:rFonts w:ascii="Times New Roman" w:hAnsi="Times New Roman"/>
          <w:sz w:val="24"/>
        </w:rPr>
        <w:t>attīstītu brīvpieejas izglītības resursus un palielinātu digitālo risinājumu savstarpējo izmantojamību tādā veidā, lai ētikas principi, personas tiesības un privātās dzīves neaizskaramība būtu atbilstīga lielo datu un analītikas nozīmei izglītības jomā;</w:t>
      </w:r>
    </w:p>
    <w:p w14:paraId="3C414839" w14:textId="77777777" w:rsidR="0040400A" w:rsidRPr="00A35A61" w:rsidRDefault="0040400A" w:rsidP="00995A04">
      <w:pPr>
        <w:widowControl w:val="0"/>
        <w:ind w:left="567" w:hanging="284"/>
        <w:jc w:val="both"/>
        <w:rPr>
          <w:rFonts w:ascii="Times New Roman" w:hAnsi="Times New Roman" w:cs="Times New Roman"/>
          <w:noProof/>
          <w:sz w:val="24"/>
          <w:szCs w:val="24"/>
          <w:lang w:val="en-US"/>
        </w:rPr>
      </w:pPr>
    </w:p>
    <w:p w14:paraId="2F7C80DC" w14:textId="77777777" w:rsidR="0040400A" w:rsidRPr="00A35A61" w:rsidRDefault="0040400A" w:rsidP="00995A04">
      <w:pPr>
        <w:widowControl w:val="0"/>
        <w:numPr>
          <w:ilvl w:val="1"/>
          <w:numId w:val="4"/>
        </w:numPr>
        <w:ind w:left="567" w:hanging="284"/>
        <w:jc w:val="both"/>
        <w:rPr>
          <w:rFonts w:ascii="Times New Roman" w:eastAsia="Arial" w:hAnsi="Times New Roman" w:cs="Times New Roman"/>
          <w:noProof/>
          <w:sz w:val="24"/>
          <w:szCs w:val="24"/>
        </w:rPr>
      </w:pPr>
      <w:r w:rsidRPr="00A35A61">
        <w:rPr>
          <w:rFonts w:ascii="Times New Roman" w:hAnsi="Times New Roman"/>
          <w:sz w:val="24"/>
        </w:rPr>
        <w:t>identificētu un izpētītu jaunākās tendences, kas var noteikt izglītības nākotni, un tām nodrošinātu platformu vienaudžu izglītošanai un sadarbībai nolūkā mācīties vienam no otra un kopā ar otru, kā arī sadarbībā ar citām nozarēm;</w:t>
      </w:r>
    </w:p>
    <w:p w14:paraId="56683CB4" w14:textId="77777777" w:rsidR="0040400A" w:rsidRPr="00A35A61" w:rsidRDefault="0040400A" w:rsidP="00995A04">
      <w:pPr>
        <w:widowControl w:val="0"/>
        <w:ind w:left="567" w:hanging="284"/>
        <w:jc w:val="both"/>
        <w:rPr>
          <w:rFonts w:ascii="Times New Roman" w:hAnsi="Times New Roman" w:cs="Times New Roman"/>
          <w:noProof/>
          <w:sz w:val="24"/>
          <w:szCs w:val="24"/>
          <w:lang w:val="en-US"/>
        </w:rPr>
      </w:pPr>
    </w:p>
    <w:p w14:paraId="77EDBBD9" w14:textId="77777777" w:rsidR="0040400A" w:rsidRPr="00A35A61" w:rsidRDefault="0040400A" w:rsidP="00995A04">
      <w:pPr>
        <w:widowControl w:val="0"/>
        <w:numPr>
          <w:ilvl w:val="1"/>
          <w:numId w:val="4"/>
        </w:numPr>
        <w:ind w:left="567" w:hanging="284"/>
        <w:jc w:val="both"/>
        <w:rPr>
          <w:rFonts w:ascii="Times New Roman" w:eastAsia="Arial" w:hAnsi="Times New Roman" w:cs="Times New Roman"/>
          <w:noProof/>
          <w:sz w:val="24"/>
          <w:szCs w:val="24"/>
        </w:rPr>
      </w:pPr>
      <w:r w:rsidRPr="00A35A61">
        <w:rPr>
          <w:rFonts w:ascii="Times New Roman" w:hAnsi="Times New Roman"/>
          <w:sz w:val="24"/>
        </w:rPr>
        <w:t>atzītu un risinātu problēmas un sarežģījumus, kas kavē jauninājumus un pārmaiņas, kuras ir nepieciešamas, lai izveidotu drosmīgāku redzējumu par izglītību, vienlaikus saglabājot saistības attiecībā uz izglītību kā pamatu demokrātiskas un taisnīgas sabiedrības veidošanā;</w:t>
      </w:r>
    </w:p>
    <w:p w14:paraId="764C7AB3" w14:textId="77777777" w:rsidR="0040400A" w:rsidRPr="00A35A61" w:rsidRDefault="0040400A" w:rsidP="00995A04">
      <w:pPr>
        <w:widowControl w:val="0"/>
        <w:ind w:left="567" w:hanging="284"/>
        <w:jc w:val="both"/>
        <w:rPr>
          <w:rFonts w:ascii="Times New Roman" w:hAnsi="Times New Roman" w:cs="Times New Roman"/>
          <w:noProof/>
          <w:sz w:val="24"/>
          <w:szCs w:val="24"/>
          <w:lang w:val="en-US"/>
        </w:rPr>
      </w:pPr>
    </w:p>
    <w:p w14:paraId="6F0C236E" w14:textId="77777777" w:rsidR="0040400A" w:rsidRPr="00A35A61" w:rsidRDefault="0040400A" w:rsidP="00995A04">
      <w:pPr>
        <w:widowControl w:val="0"/>
        <w:numPr>
          <w:ilvl w:val="1"/>
          <w:numId w:val="4"/>
        </w:numPr>
        <w:ind w:left="567" w:hanging="284"/>
        <w:jc w:val="both"/>
        <w:rPr>
          <w:rFonts w:ascii="Times New Roman" w:eastAsia="Arial" w:hAnsi="Times New Roman" w:cs="Times New Roman"/>
          <w:noProof/>
          <w:sz w:val="24"/>
          <w:szCs w:val="24"/>
        </w:rPr>
      </w:pPr>
      <w:r w:rsidRPr="00A35A61">
        <w:rPr>
          <w:rFonts w:ascii="Times New Roman" w:hAnsi="Times New Roman"/>
          <w:sz w:val="24"/>
        </w:rPr>
        <w:t>atzītu un ņemtu vērā izglītības jomas speciālistu mainīgās funkcijas un izstrādātu politiku, kas dod tiem lielākas iespējas;</w:t>
      </w:r>
    </w:p>
    <w:p w14:paraId="3FB81D49" w14:textId="77777777" w:rsidR="0040400A" w:rsidRPr="00A35A61" w:rsidRDefault="0040400A" w:rsidP="00995A04">
      <w:pPr>
        <w:widowControl w:val="0"/>
        <w:ind w:left="567" w:hanging="284"/>
        <w:jc w:val="both"/>
        <w:rPr>
          <w:rFonts w:ascii="Times New Roman" w:hAnsi="Times New Roman" w:cs="Times New Roman"/>
          <w:noProof/>
          <w:sz w:val="24"/>
          <w:szCs w:val="24"/>
          <w:lang w:val="en-US"/>
        </w:rPr>
      </w:pPr>
    </w:p>
    <w:p w14:paraId="154849C5" w14:textId="77777777" w:rsidR="0040400A" w:rsidRPr="00A35A61" w:rsidRDefault="0040400A" w:rsidP="00995A04">
      <w:pPr>
        <w:widowControl w:val="0"/>
        <w:numPr>
          <w:ilvl w:val="1"/>
          <w:numId w:val="4"/>
        </w:numPr>
        <w:ind w:left="567" w:hanging="284"/>
        <w:jc w:val="both"/>
        <w:rPr>
          <w:rFonts w:ascii="Times New Roman" w:eastAsia="Arial" w:hAnsi="Times New Roman" w:cs="Times New Roman"/>
          <w:noProof/>
          <w:sz w:val="24"/>
          <w:szCs w:val="24"/>
        </w:rPr>
      </w:pPr>
      <w:r w:rsidRPr="00A35A61">
        <w:rPr>
          <w:rFonts w:ascii="Times New Roman" w:hAnsi="Times New Roman"/>
          <w:sz w:val="24"/>
        </w:rPr>
        <w:t>analizētu Covid-19 pandēmijas ietekmi uz izglītojamajiem un to, kā valstis efektīvi risina šo problēmu savās attiecīgajās izglītības sistēmās.</w:t>
      </w:r>
    </w:p>
    <w:p w14:paraId="1142D2A7"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4B97FA1A"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2062A272" w14:textId="77777777" w:rsidR="0040400A" w:rsidRPr="00A35A61" w:rsidRDefault="0040400A" w:rsidP="00995A04">
      <w:pPr>
        <w:widowControl w:val="0"/>
        <w:jc w:val="center"/>
        <w:rPr>
          <w:rFonts w:ascii="Times New Roman" w:eastAsia="Arial" w:hAnsi="Times New Roman" w:cs="Times New Roman"/>
          <w:b/>
          <w:i/>
          <w:noProof/>
          <w:sz w:val="24"/>
          <w:szCs w:val="24"/>
        </w:rPr>
      </w:pPr>
      <w:r w:rsidRPr="00A35A61">
        <w:rPr>
          <w:rFonts w:ascii="Times New Roman" w:hAnsi="Times New Roman"/>
          <w:b/>
          <w:i/>
          <w:sz w:val="24"/>
        </w:rPr>
        <w:t>Atbalsts prasmēm nākotnē</w:t>
      </w:r>
    </w:p>
    <w:p w14:paraId="02FEB194"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7FEF3D26"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1809D877"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MĒS ATBALSTĀM </w:t>
      </w:r>
      <w:r w:rsidRPr="00A35A61">
        <w:rPr>
          <w:rFonts w:ascii="Times New Roman" w:hAnsi="Times New Roman"/>
          <w:sz w:val="24"/>
        </w:rPr>
        <w:t>izglītību visa mūža garumā – no dzimšanas līdz darba gaitām (un ārpus tām).</w:t>
      </w:r>
    </w:p>
    <w:p w14:paraId="4CC208CC"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4AD86375"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MĒS ESAM APŅĒMUŠIES </w:t>
      </w:r>
      <w:r w:rsidRPr="00A35A61">
        <w:rPr>
          <w:rFonts w:ascii="Times New Roman" w:hAnsi="Times New Roman"/>
          <w:sz w:val="24"/>
        </w:rPr>
        <w:t>palīdzēt izglītojamajiem veidot prasmes digitālai, zaļai, iekļaujošai un demokrātiskai pasaulei, kurā indivīdu izaugsme ir līdzsvarā ar sabiedrības ekonomisko, sociālo un vides labklājību.</w:t>
      </w:r>
    </w:p>
    <w:p w14:paraId="6A6C682D"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5BE57D08"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b/>
          <w:sz w:val="24"/>
        </w:rPr>
        <w:t xml:space="preserve">MĒS AICINĀM </w:t>
      </w:r>
      <w:r w:rsidRPr="00A35A61">
        <w:rPr>
          <w:rFonts w:ascii="Times New Roman" w:hAnsi="Times New Roman"/>
          <w:sz w:val="24"/>
        </w:rPr>
        <w:t xml:space="preserve">ESAO ar </w:t>
      </w:r>
      <w:r w:rsidRPr="00A35A61">
        <w:rPr>
          <w:rFonts w:ascii="Times New Roman" w:hAnsi="Times New Roman"/>
          <w:i/>
          <w:sz w:val="24"/>
        </w:rPr>
        <w:t>EDPC</w:t>
      </w:r>
      <w:r w:rsidRPr="00A35A61">
        <w:rPr>
          <w:rFonts w:ascii="Times New Roman" w:hAnsi="Times New Roman"/>
          <w:sz w:val="24"/>
        </w:rPr>
        <w:t xml:space="preserve"> starpniecību un sadarbībā ar citām attiecīgajām ESAO komitejām:</w:t>
      </w:r>
    </w:p>
    <w:p w14:paraId="0DFA9152"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60A5C277" w14:textId="77777777" w:rsidR="0040400A" w:rsidRPr="00A35A61" w:rsidRDefault="0040400A" w:rsidP="00995A04">
      <w:pPr>
        <w:widowControl w:val="0"/>
        <w:numPr>
          <w:ilvl w:val="0"/>
          <w:numId w:val="5"/>
        </w:numPr>
        <w:ind w:left="567" w:hanging="284"/>
        <w:jc w:val="both"/>
        <w:rPr>
          <w:rFonts w:ascii="Times New Roman" w:eastAsia="Arial" w:hAnsi="Times New Roman" w:cs="Times New Roman"/>
          <w:noProof/>
          <w:sz w:val="24"/>
          <w:szCs w:val="24"/>
        </w:rPr>
      </w:pPr>
      <w:r w:rsidRPr="00A35A61">
        <w:rPr>
          <w:rFonts w:ascii="Times New Roman" w:hAnsi="Times New Roman"/>
          <w:sz w:val="24"/>
        </w:rPr>
        <w:t>izveidot jaunu redzējumu par prasmju attīstīšanu, kas atbilst pārmaiņām sabiedrībā un ekonomikā, kā arī palīdz īstenot pārkārtošanos uz klimatneitralitāti;</w:t>
      </w:r>
    </w:p>
    <w:p w14:paraId="52223A9A" w14:textId="77777777" w:rsidR="0040400A" w:rsidRPr="00A35A61" w:rsidRDefault="0040400A" w:rsidP="00995A04">
      <w:pPr>
        <w:widowControl w:val="0"/>
        <w:ind w:left="567" w:hanging="284"/>
        <w:jc w:val="both"/>
        <w:rPr>
          <w:rFonts w:ascii="Times New Roman" w:hAnsi="Times New Roman" w:cs="Times New Roman"/>
          <w:noProof/>
          <w:sz w:val="24"/>
          <w:szCs w:val="24"/>
          <w:lang w:val="en-US"/>
        </w:rPr>
      </w:pPr>
    </w:p>
    <w:p w14:paraId="062F0AF4" w14:textId="77777777" w:rsidR="0040400A" w:rsidRPr="00A35A61" w:rsidRDefault="0040400A" w:rsidP="00995A04">
      <w:pPr>
        <w:widowControl w:val="0"/>
        <w:numPr>
          <w:ilvl w:val="0"/>
          <w:numId w:val="5"/>
        </w:numPr>
        <w:ind w:left="567" w:hanging="284"/>
        <w:jc w:val="both"/>
        <w:rPr>
          <w:rFonts w:ascii="Times New Roman" w:eastAsia="Arial" w:hAnsi="Times New Roman" w:cs="Times New Roman"/>
          <w:noProof/>
          <w:sz w:val="24"/>
          <w:szCs w:val="24"/>
        </w:rPr>
      </w:pPr>
      <w:r w:rsidRPr="00A35A61">
        <w:rPr>
          <w:rFonts w:ascii="Times New Roman" w:hAnsi="Times New Roman"/>
          <w:sz w:val="24"/>
        </w:rPr>
        <w:t>sniegt atbalstu valstīm, lai veicinātu vides ilgtspējību ar izglītības palīdzību;</w:t>
      </w:r>
    </w:p>
    <w:p w14:paraId="55C3E06C" w14:textId="77777777" w:rsidR="0040400A" w:rsidRPr="00A35A61" w:rsidRDefault="0040400A" w:rsidP="00995A04">
      <w:pPr>
        <w:widowControl w:val="0"/>
        <w:ind w:left="567" w:hanging="284"/>
        <w:jc w:val="both"/>
        <w:rPr>
          <w:rFonts w:ascii="Times New Roman" w:hAnsi="Times New Roman" w:cs="Times New Roman"/>
          <w:noProof/>
          <w:sz w:val="24"/>
          <w:szCs w:val="24"/>
          <w:lang w:val="en-US"/>
        </w:rPr>
      </w:pPr>
    </w:p>
    <w:p w14:paraId="56856866" w14:textId="77777777" w:rsidR="0040400A" w:rsidRPr="00A35A61" w:rsidRDefault="0040400A" w:rsidP="00995A04">
      <w:pPr>
        <w:widowControl w:val="0"/>
        <w:numPr>
          <w:ilvl w:val="0"/>
          <w:numId w:val="5"/>
        </w:numPr>
        <w:ind w:left="567" w:hanging="284"/>
        <w:jc w:val="both"/>
        <w:rPr>
          <w:rFonts w:ascii="Times New Roman" w:eastAsia="Arial" w:hAnsi="Times New Roman" w:cs="Times New Roman"/>
          <w:noProof/>
          <w:sz w:val="24"/>
          <w:szCs w:val="24"/>
        </w:rPr>
      </w:pPr>
      <w:r w:rsidRPr="00A35A61">
        <w:rPr>
          <w:rFonts w:ascii="Times New Roman" w:hAnsi="Times New Roman"/>
          <w:sz w:val="24"/>
        </w:rPr>
        <w:t>atbalstīt valstis stratēģiju izstrādē, lai dotu iespēju un pienācīgi palīdzētu visiem izglītojamajiem veidot pamatprasmes un nododamas prasmes pašreizējiem un nākotnes darba tirgiem, kā arī digitālajām un zaļajām demokrātijām;</w:t>
      </w:r>
    </w:p>
    <w:p w14:paraId="5702F0BD" w14:textId="77777777" w:rsidR="0040400A" w:rsidRPr="00A35A61" w:rsidRDefault="0040400A" w:rsidP="00995A04">
      <w:pPr>
        <w:widowControl w:val="0"/>
        <w:ind w:left="567" w:hanging="284"/>
        <w:jc w:val="both"/>
        <w:rPr>
          <w:rFonts w:ascii="Times New Roman" w:hAnsi="Times New Roman" w:cs="Times New Roman"/>
          <w:noProof/>
          <w:sz w:val="24"/>
          <w:szCs w:val="24"/>
          <w:lang w:val="en-US"/>
        </w:rPr>
      </w:pPr>
    </w:p>
    <w:p w14:paraId="26DA5AC7" w14:textId="77777777" w:rsidR="0040400A" w:rsidRPr="00A35A61" w:rsidRDefault="0040400A" w:rsidP="00995A04">
      <w:pPr>
        <w:widowControl w:val="0"/>
        <w:numPr>
          <w:ilvl w:val="0"/>
          <w:numId w:val="5"/>
        </w:numPr>
        <w:ind w:left="567" w:hanging="284"/>
        <w:jc w:val="both"/>
        <w:rPr>
          <w:rFonts w:ascii="Times New Roman" w:eastAsia="Arial" w:hAnsi="Times New Roman" w:cs="Times New Roman"/>
          <w:noProof/>
          <w:sz w:val="24"/>
          <w:szCs w:val="24"/>
        </w:rPr>
      </w:pPr>
      <w:r w:rsidRPr="00A35A61">
        <w:rPr>
          <w:rFonts w:ascii="Times New Roman" w:hAnsi="Times New Roman"/>
          <w:sz w:val="24"/>
        </w:rPr>
        <w:t>sniegt atbalstu valstīm, lai sadarbotos ar dažādiem sociālajiem partneriem, kopienām, uzņēmumiem un izglītojamajiem nolūkā paredzēt turpmākās vajadzības attiecībā uz prasmēm pastāvīgi mainīgā ekonomikā, sabiedrībā un darba tirgos;</w:t>
      </w:r>
    </w:p>
    <w:p w14:paraId="21D94F26" w14:textId="77777777" w:rsidR="0040400A" w:rsidRPr="00A35A61" w:rsidRDefault="0040400A" w:rsidP="00995A04">
      <w:pPr>
        <w:widowControl w:val="0"/>
        <w:ind w:left="567" w:hanging="284"/>
        <w:jc w:val="both"/>
        <w:rPr>
          <w:rFonts w:ascii="Times New Roman" w:hAnsi="Times New Roman" w:cs="Times New Roman"/>
          <w:noProof/>
          <w:sz w:val="24"/>
          <w:szCs w:val="24"/>
          <w:lang w:val="en-US"/>
        </w:rPr>
      </w:pPr>
    </w:p>
    <w:p w14:paraId="28BE29E4" w14:textId="77777777" w:rsidR="0040400A" w:rsidRPr="00A35A61" w:rsidRDefault="0040400A" w:rsidP="00995A04">
      <w:pPr>
        <w:widowControl w:val="0"/>
        <w:numPr>
          <w:ilvl w:val="0"/>
          <w:numId w:val="5"/>
        </w:numPr>
        <w:ind w:left="567" w:hanging="284"/>
        <w:jc w:val="both"/>
        <w:rPr>
          <w:rFonts w:ascii="Times New Roman" w:eastAsia="Arial" w:hAnsi="Times New Roman" w:cs="Times New Roman"/>
          <w:noProof/>
          <w:sz w:val="24"/>
          <w:szCs w:val="24"/>
        </w:rPr>
      </w:pPr>
      <w:r w:rsidRPr="00A35A61">
        <w:rPr>
          <w:rFonts w:ascii="Times New Roman" w:hAnsi="Times New Roman"/>
          <w:sz w:val="24"/>
        </w:rPr>
        <w:t>izpētīt pieejas, lai noteiktu izglītības un mācību rezultātus visām iedzīvotāju apakškopām un uzlabotu ESAO apsekojumu analīzi visu mūžu aptverošā perspektīvā;</w:t>
      </w:r>
    </w:p>
    <w:p w14:paraId="2259D570" w14:textId="77777777" w:rsidR="0040400A" w:rsidRPr="00A35A61" w:rsidRDefault="0040400A" w:rsidP="00995A04">
      <w:pPr>
        <w:widowControl w:val="0"/>
        <w:ind w:left="567" w:hanging="284"/>
        <w:jc w:val="both"/>
        <w:rPr>
          <w:rFonts w:ascii="Times New Roman" w:hAnsi="Times New Roman" w:cs="Times New Roman"/>
          <w:noProof/>
          <w:sz w:val="24"/>
          <w:szCs w:val="24"/>
          <w:lang w:val="en-US"/>
        </w:rPr>
      </w:pPr>
    </w:p>
    <w:p w14:paraId="6B5DF9B5" w14:textId="77777777" w:rsidR="0040400A" w:rsidRPr="00A35A61" w:rsidRDefault="0040400A" w:rsidP="00995A04">
      <w:pPr>
        <w:widowControl w:val="0"/>
        <w:numPr>
          <w:ilvl w:val="0"/>
          <w:numId w:val="5"/>
        </w:numPr>
        <w:ind w:left="567" w:hanging="284"/>
        <w:jc w:val="both"/>
        <w:rPr>
          <w:rFonts w:ascii="Times New Roman" w:eastAsia="Arial" w:hAnsi="Times New Roman" w:cs="Times New Roman"/>
          <w:noProof/>
          <w:sz w:val="24"/>
          <w:szCs w:val="24"/>
        </w:rPr>
      </w:pPr>
      <w:r w:rsidRPr="00A35A61">
        <w:rPr>
          <w:rFonts w:ascii="Times New Roman" w:hAnsi="Times New Roman"/>
          <w:sz w:val="24"/>
        </w:rPr>
        <w:t>sniegt atbalstu valstīm, lai mācību dzīvi labāk integrētu ar darba dzīvi izglītošanas, mācību, kvalifikācijas celšanas un pārkvalifikācijas procesā.</w:t>
      </w:r>
    </w:p>
    <w:p w14:paraId="1E942F08" w14:textId="77777777" w:rsidR="000970B1" w:rsidRPr="00A35A61" w:rsidRDefault="000970B1" w:rsidP="00391E68">
      <w:pPr>
        <w:widowControl w:val="0"/>
        <w:tabs>
          <w:tab w:val="left" w:pos="1190"/>
        </w:tabs>
        <w:jc w:val="both"/>
        <w:rPr>
          <w:rFonts w:ascii="Times New Roman" w:hAnsi="Times New Roman" w:cs="Times New Roman"/>
          <w:noProof/>
          <w:sz w:val="24"/>
          <w:szCs w:val="24"/>
          <w:lang w:val="en-US"/>
        </w:rPr>
      </w:pPr>
    </w:p>
    <w:p w14:paraId="733F0E28" w14:textId="77777777" w:rsidR="00995A04" w:rsidRPr="00A35A61" w:rsidRDefault="00995A04">
      <w:pPr>
        <w:rPr>
          <w:rFonts w:ascii="Times New Roman" w:eastAsia="Arial" w:hAnsi="Times New Roman" w:cs="Times New Roman"/>
          <w:b/>
          <w:noProof/>
          <w:color w:val="1F467A"/>
          <w:sz w:val="28"/>
          <w:szCs w:val="28"/>
        </w:rPr>
      </w:pPr>
      <w:r w:rsidRPr="00A35A61">
        <w:rPr>
          <w:rFonts w:ascii="Times New Roman" w:hAnsi="Times New Roman"/>
        </w:rPr>
        <w:br w:type="page"/>
      </w:r>
    </w:p>
    <w:p w14:paraId="61F0CD44" w14:textId="7CC38129" w:rsidR="0040400A" w:rsidRPr="00A35A61" w:rsidRDefault="0040400A" w:rsidP="00391E68">
      <w:pPr>
        <w:widowControl w:val="0"/>
        <w:jc w:val="both"/>
        <w:rPr>
          <w:rFonts w:ascii="Times New Roman" w:eastAsia="Arial" w:hAnsi="Times New Roman" w:cs="Times New Roman"/>
          <w:b/>
          <w:noProof/>
          <w:color w:val="1F467A"/>
          <w:sz w:val="28"/>
          <w:szCs w:val="28"/>
        </w:rPr>
      </w:pPr>
      <w:r w:rsidRPr="00A35A61">
        <w:rPr>
          <w:rFonts w:ascii="Times New Roman" w:hAnsi="Times New Roman"/>
          <w:b/>
          <w:color w:val="1F467A"/>
          <w:sz w:val="28"/>
        </w:rPr>
        <w:lastRenderedPageBreak/>
        <w:t>Par ESAO</w:t>
      </w:r>
      <w:bookmarkStart w:id="2" w:name="page7"/>
      <w:bookmarkEnd w:id="2"/>
    </w:p>
    <w:p w14:paraId="6DFF9A8B"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01D8B578"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Ekonomiskās sadarbības un attīstības organizācija (ESAO) ir unikāls forums, kurā valstis kopīgi meklē risinājumus ekonomiskiem, sociāliem un vides izaicinājumiem, ko rada globalizācija. ESAO arī velta ļoti daudz pūļu tam, lai sekmētu izpratni par jaunām parādībām un problēmām, piemēram, par korporatīvo pārvaldību, informācijas ekonomiku un izaicinājumiem, ko rada iedzīvotāju novecošana, un palīdzētu valdībām reaģēt uz šīm pārmaiņām. Šī organizācija nodrošina vidi, kurā valstis var salīdzināt politikas jomā gūto pieredzi, risināt kopīgas problēmas, noteikt paraugprakses piemērus un strādāt, lai saskaņotu politiku valsts un starptautiskā līmenī.</w:t>
      </w:r>
    </w:p>
    <w:p w14:paraId="71B67084"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7F07736F"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ESAO dalībvalstis ir Amerikas Savienotās Valstis, Apvienotā Karaliste, Austrālija, Austrija, Beļģija, Čehija, Čīle, Dānija, Francija, Grieķija, Igaunija, Islande, Itālija, Izraēla, Īrija, Japāna, Jaunzēlande, Kanāda, Kolumbija, Koreja, Kostarika, Latvija, Lietuva, Luksemburga, Meksika, Nīderlande, Norvēģija, Polija, Portugāle, Slovākija, Slovēnija, Somija, Spānija, Šveice, Turcija, Ungārija, Vācija un Zviedrija. Eiropas Savienība piedalās ESAO darbā.</w:t>
      </w:r>
    </w:p>
    <w:p w14:paraId="5BE4676D"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6460B569" w14:textId="77777777" w:rsidR="0040400A" w:rsidRPr="00A35A61" w:rsidRDefault="0040400A" w:rsidP="00391E68">
      <w:pPr>
        <w:widowControl w:val="0"/>
        <w:jc w:val="both"/>
        <w:rPr>
          <w:rFonts w:ascii="Times New Roman" w:eastAsia="Arial" w:hAnsi="Times New Roman" w:cs="Times New Roman"/>
          <w:b/>
          <w:noProof/>
          <w:color w:val="1F467A"/>
          <w:sz w:val="28"/>
          <w:szCs w:val="28"/>
        </w:rPr>
      </w:pPr>
      <w:r w:rsidRPr="00A35A61">
        <w:rPr>
          <w:rFonts w:ascii="Times New Roman" w:hAnsi="Times New Roman"/>
          <w:b/>
          <w:color w:val="1F467A"/>
          <w:sz w:val="28"/>
        </w:rPr>
        <w:t>ESAO juridiskie instrumenti</w:t>
      </w:r>
    </w:p>
    <w:p w14:paraId="6D1C5DCD"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74476772"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Kopš ESAO izveidošanas 1961. gadā tās ietvaros ir izstrādāti aptuveni 460 būtiski juridiskie instrumenti. Tie ir ESAO akti (t. i., lēmumi un rekomendācijas, ko saskaņā ar ESAO Konvenciju pieņēmusi ESAO Padome) un citi juridiskie instrumenti, kas izstrādāti ESAO ietvaros (piemēram, deklarācijas, starptautiskas vienošanās).</w:t>
      </w:r>
    </w:p>
    <w:p w14:paraId="725888DB"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498730EB"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Visi būtiskie ESAO juridiskie instrumenti – gan spēkā esošie, gan atceltie– ir uzskaitīti</w:t>
      </w:r>
    </w:p>
    <w:p w14:paraId="626C8ED8" w14:textId="77777777" w:rsidR="0040400A" w:rsidRPr="00A35A61" w:rsidRDefault="0040400A" w:rsidP="00391E68">
      <w:pPr>
        <w:widowControl w:val="0"/>
        <w:jc w:val="both"/>
        <w:rPr>
          <w:rFonts w:ascii="Times New Roman" w:eastAsia="Arial" w:hAnsi="Times New Roman" w:cs="Times New Roman"/>
          <w:noProof/>
          <w:sz w:val="24"/>
          <w:szCs w:val="24"/>
        </w:rPr>
      </w:pPr>
      <w:r w:rsidRPr="00A35A61">
        <w:rPr>
          <w:rFonts w:ascii="Times New Roman" w:hAnsi="Times New Roman"/>
          <w:sz w:val="24"/>
        </w:rPr>
        <w:t>ESAO juridisko instrumentu tiešsaistes krājumā. Tie tiek grupēti piecās kategorijās:</w:t>
      </w:r>
    </w:p>
    <w:p w14:paraId="79B0EEC0" w14:textId="77777777" w:rsidR="0040400A" w:rsidRPr="00A35A61" w:rsidRDefault="0040400A" w:rsidP="00391E68">
      <w:pPr>
        <w:widowControl w:val="0"/>
        <w:jc w:val="both"/>
        <w:rPr>
          <w:rFonts w:ascii="Times New Roman" w:eastAsia="Times New Roman" w:hAnsi="Times New Roman" w:cs="Times New Roman"/>
          <w:noProof/>
          <w:sz w:val="24"/>
          <w:szCs w:val="24"/>
          <w:lang w:val="en-US"/>
        </w:rPr>
      </w:pPr>
    </w:p>
    <w:p w14:paraId="13C42660" w14:textId="77777777" w:rsidR="0040400A" w:rsidRPr="00A35A61" w:rsidRDefault="0040400A" w:rsidP="00995A04">
      <w:pPr>
        <w:widowControl w:val="0"/>
        <w:numPr>
          <w:ilvl w:val="0"/>
          <w:numId w:val="6"/>
        </w:numPr>
        <w:ind w:left="567" w:hanging="284"/>
        <w:jc w:val="both"/>
        <w:rPr>
          <w:rFonts w:ascii="Times New Roman" w:eastAsia="Arial" w:hAnsi="Times New Roman" w:cs="Times New Roman"/>
          <w:noProof/>
          <w:sz w:val="24"/>
          <w:szCs w:val="24"/>
        </w:rPr>
      </w:pPr>
      <w:r w:rsidRPr="00A35A61">
        <w:rPr>
          <w:rFonts w:ascii="Times New Roman" w:hAnsi="Times New Roman"/>
          <w:b/>
          <w:sz w:val="24"/>
        </w:rPr>
        <w:t xml:space="preserve">Lēmumus </w:t>
      </w:r>
      <w:r w:rsidRPr="00A35A61">
        <w:rPr>
          <w:rFonts w:ascii="Times New Roman" w:hAnsi="Times New Roman"/>
          <w:sz w:val="24"/>
        </w:rPr>
        <w:t>pieņem Padome, un tie ir juridiski saistoši visām dalībvalstīm, izņemot tās, kas to pieņemšanas laikā ir atturējušās no balsošanas. Tajos noteiktas īpašas tiesības un pienākumi, un tajos var būt ietverti uzraudzības mehānismi.</w:t>
      </w:r>
    </w:p>
    <w:p w14:paraId="6700F6A2" w14:textId="77777777" w:rsidR="0040400A" w:rsidRPr="00A35A61" w:rsidRDefault="0040400A" w:rsidP="00995A04">
      <w:pPr>
        <w:widowControl w:val="0"/>
        <w:ind w:left="567" w:hanging="284"/>
        <w:jc w:val="both"/>
        <w:rPr>
          <w:rFonts w:ascii="Times New Roman" w:eastAsia="Arial" w:hAnsi="Times New Roman" w:cs="Times New Roman"/>
          <w:noProof/>
          <w:sz w:val="24"/>
          <w:szCs w:val="24"/>
          <w:lang w:val="en-US"/>
        </w:rPr>
      </w:pPr>
    </w:p>
    <w:p w14:paraId="2B0282D0" w14:textId="77777777" w:rsidR="0040400A" w:rsidRPr="00A35A61" w:rsidRDefault="0040400A" w:rsidP="00995A04">
      <w:pPr>
        <w:widowControl w:val="0"/>
        <w:numPr>
          <w:ilvl w:val="0"/>
          <w:numId w:val="6"/>
        </w:numPr>
        <w:ind w:left="567" w:hanging="284"/>
        <w:jc w:val="both"/>
        <w:rPr>
          <w:rFonts w:ascii="Times New Roman" w:eastAsia="Arial" w:hAnsi="Times New Roman" w:cs="Times New Roman"/>
          <w:noProof/>
          <w:sz w:val="24"/>
          <w:szCs w:val="24"/>
        </w:rPr>
      </w:pPr>
      <w:r w:rsidRPr="00A35A61">
        <w:rPr>
          <w:rFonts w:ascii="Times New Roman" w:hAnsi="Times New Roman"/>
          <w:b/>
          <w:sz w:val="24"/>
        </w:rPr>
        <w:t xml:space="preserve">Rekomendācijas </w:t>
      </w:r>
      <w:r w:rsidRPr="00A35A61">
        <w:rPr>
          <w:rFonts w:ascii="Times New Roman" w:hAnsi="Times New Roman"/>
          <w:sz w:val="24"/>
        </w:rPr>
        <w:t>pieņem Padome, un tās nav juridiski saistošas. Tajās atspoguļota politiska apņemšanās ievērot tajās ietvertos principus, un saskaņā ar tām tiek sagaidīts, ka īstenotāji darīs visu iespējamo, lai tās īstenotu.</w:t>
      </w:r>
    </w:p>
    <w:p w14:paraId="1A6136DD" w14:textId="77777777" w:rsidR="0040400A" w:rsidRPr="00A35A61" w:rsidRDefault="0040400A" w:rsidP="00995A04">
      <w:pPr>
        <w:widowControl w:val="0"/>
        <w:ind w:left="567" w:hanging="284"/>
        <w:jc w:val="both"/>
        <w:rPr>
          <w:rFonts w:ascii="Times New Roman" w:eastAsia="Arial" w:hAnsi="Times New Roman" w:cs="Times New Roman"/>
          <w:noProof/>
          <w:sz w:val="24"/>
          <w:szCs w:val="24"/>
          <w:lang w:val="en-US"/>
        </w:rPr>
      </w:pPr>
    </w:p>
    <w:p w14:paraId="1E8272D6" w14:textId="77777777" w:rsidR="0040400A" w:rsidRPr="00A35A61" w:rsidRDefault="0040400A" w:rsidP="00995A04">
      <w:pPr>
        <w:widowControl w:val="0"/>
        <w:numPr>
          <w:ilvl w:val="0"/>
          <w:numId w:val="6"/>
        </w:numPr>
        <w:ind w:left="567" w:hanging="284"/>
        <w:jc w:val="both"/>
        <w:rPr>
          <w:rFonts w:ascii="Times New Roman" w:eastAsia="Arial" w:hAnsi="Times New Roman" w:cs="Times New Roman"/>
          <w:noProof/>
          <w:sz w:val="24"/>
          <w:szCs w:val="24"/>
        </w:rPr>
      </w:pPr>
      <w:r w:rsidRPr="00A35A61">
        <w:rPr>
          <w:rFonts w:ascii="Times New Roman" w:hAnsi="Times New Roman"/>
          <w:b/>
          <w:sz w:val="24"/>
        </w:rPr>
        <w:t xml:space="preserve">Būtiskus apkopojošos dokumentus </w:t>
      </w:r>
      <w:r w:rsidRPr="00A35A61">
        <w:rPr>
          <w:rFonts w:ascii="Times New Roman" w:hAnsi="Times New Roman"/>
          <w:sz w:val="24"/>
        </w:rPr>
        <w:t>pieņem atsevišķi sarakstā ietvertie īstenotāji, nevis ESAO institūcija, un tie ir pieņemti ministru līmeņa, augsta līmeņa vai cita veida sanāksmes rezultātā Organizācijas ietvaros. Parasti tajos noteikti vispārējie principi vai ilgtermiņa mērķi, un tie ir oficiāli.</w:t>
      </w:r>
    </w:p>
    <w:p w14:paraId="0D7C3836" w14:textId="77777777" w:rsidR="0040400A" w:rsidRPr="00A35A61" w:rsidRDefault="0040400A" w:rsidP="00995A04">
      <w:pPr>
        <w:widowControl w:val="0"/>
        <w:ind w:left="567" w:hanging="284"/>
        <w:jc w:val="both"/>
        <w:rPr>
          <w:rFonts w:ascii="Times New Roman" w:eastAsia="Arial" w:hAnsi="Times New Roman" w:cs="Times New Roman"/>
          <w:noProof/>
          <w:sz w:val="24"/>
          <w:szCs w:val="24"/>
          <w:lang w:val="en-US"/>
        </w:rPr>
      </w:pPr>
    </w:p>
    <w:p w14:paraId="7185397E" w14:textId="77777777" w:rsidR="0040400A" w:rsidRPr="00A35A61" w:rsidRDefault="0040400A" w:rsidP="00995A04">
      <w:pPr>
        <w:widowControl w:val="0"/>
        <w:numPr>
          <w:ilvl w:val="0"/>
          <w:numId w:val="6"/>
        </w:numPr>
        <w:ind w:left="567" w:hanging="284"/>
        <w:jc w:val="both"/>
        <w:rPr>
          <w:rFonts w:ascii="Times New Roman" w:eastAsia="Arial" w:hAnsi="Times New Roman" w:cs="Times New Roman"/>
          <w:noProof/>
          <w:sz w:val="24"/>
          <w:szCs w:val="24"/>
        </w:rPr>
      </w:pPr>
      <w:r w:rsidRPr="00A35A61">
        <w:rPr>
          <w:rFonts w:ascii="Times New Roman" w:hAnsi="Times New Roman"/>
          <w:b/>
          <w:sz w:val="24"/>
        </w:rPr>
        <w:t xml:space="preserve">Starptautiskie nolīgumi </w:t>
      </w:r>
      <w:r w:rsidRPr="00A35A61">
        <w:rPr>
          <w:rFonts w:ascii="Times New Roman" w:hAnsi="Times New Roman"/>
          <w:sz w:val="24"/>
        </w:rPr>
        <w:t>tiek apspriesti un noslēgti Organizācijas ietvaros. Tie pusēm ir juridiski saistoši.</w:t>
      </w:r>
    </w:p>
    <w:p w14:paraId="1EFB9AB9" w14:textId="77777777" w:rsidR="0040400A" w:rsidRPr="00A35A61" w:rsidRDefault="0040400A" w:rsidP="00995A04">
      <w:pPr>
        <w:widowControl w:val="0"/>
        <w:ind w:left="567" w:hanging="284"/>
        <w:jc w:val="both"/>
        <w:rPr>
          <w:rFonts w:ascii="Times New Roman" w:eastAsia="Arial" w:hAnsi="Times New Roman" w:cs="Times New Roman"/>
          <w:noProof/>
          <w:sz w:val="24"/>
          <w:szCs w:val="24"/>
          <w:lang w:val="en-US"/>
        </w:rPr>
      </w:pPr>
    </w:p>
    <w:p w14:paraId="356B801A" w14:textId="77777777" w:rsidR="0040400A" w:rsidRPr="00A35A61" w:rsidRDefault="0040400A" w:rsidP="00995A04">
      <w:pPr>
        <w:widowControl w:val="0"/>
        <w:numPr>
          <w:ilvl w:val="0"/>
          <w:numId w:val="6"/>
        </w:numPr>
        <w:ind w:left="567" w:hanging="284"/>
        <w:jc w:val="both"/>
        <w:rPr>
          <w:rFonts w:ascii="Times New Roman" w:eastAsia="Arial" w:hAnsi="Times New Roman" w:cs="Times New Roman"/>
          <w:noProof/>
          <w:sz w:val="24"/>
          <w:szCs w:val="24"/>
        </w:rPr>
      </w:pPr>
      <w:r w:rsidRPr="00A35A61">
        <w:rPr>
          <w:rFonts w:ascii="Times New Roman" w:hAnsi="Times New Roman"/>
          <w:b/>
          <w:sz w:val="24"/>
        </w:rPr>
        <w:t>Vienošanās, saprašanās un citi instrumenti</w:t>
      </w:r>
      <w:r w:rsidRPr="00A35A61">
        <w:rPr>
          <w:rFonts w:ascii="Times New Roman" w:hAnsi="Times New Roman"/>
          <w:sz w:val="24"/>
        </w:rPr>
        <w:t>. Laika gaitā ESAO ietvaros ir izstrādāti vairāki būtiski citu veidu juridiskie instrumenti, tādi kā Vienošanās par oficiāli atbalstītiem eksporta kredītiem, Starptautiskā saprašanās par jūras transporta principiem un Attīstības palīdzības komitejas (</w:t>
      </w:r>
      <w:r w:rsidRPr="00A35A61">
        <w:rPr>
          <w:rFonts w:ascii="Times New Roman" w:hAnsi="Times New Roman"/>
          <w:i/>
          <w:sz w:val="24"/>
        </w:rPr>
        <w:t>DAC</w:t>
      </w:r>
      <w:r w:rsidRPr="00A35A61">
        <w:rPr>
          <w:rFonts w:ascii="Times New Roman" w:hAnsi="Times New Roman"/>
          <w:sz w:val="24"/>
        </w:rPr>
        <w:t>) rekomendācijas.</w:t>
      </w:r>
    </w:p>
    <w:sectPr w:rsidR="0040400A" w:rsidRPr="00A35A61" w:rsidSect="00B95F53">
      <w:headerReference w:type="default" r:id="rId13"/>
      <w:footerReference w:type="default" r:id="rId14"/>
      <w:headerReference w:type="first" r:id="rId15"/>
      <w:footerReference w:type="first" r:id="rId16"/>
      <w:pgSz w:w="11900" w:h="16841" w:code="9"/>
      <w:pgMar w:top="1134" w:right="1134" w:bottom="1134" w:left="1701" w:header="567" w:footer="567" w:gutter="0"/>
      <w:cols w:space="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B2DBBC" w14:textId="77777777" w:rsidR="00FC76EC" w:rsidRPr="0040400A" w:rsidRDefault="00FC76EC" w:rsidP="0040400A">
      <w:pPr>
        <w:rPr>
          <w:noProof/>
          <w:lang w:val="en-US"/>
        </w:rPr>
      </w:pPr>
      <w:r w:rsidRPr="0040400A">
        <w:rPr>
          <w:noProof/>
          <w:lang w:val="en-US"/>
        </w:rPr>
        <w:separator/>
      </w:r>
    </w:p>
  </w:endnote>
  <w:endnote w:type="continuationSeparator" w:id="0">
    <w:p w14:paraId="042B6636" w14:textId="77777777" w:rsidR="00FC76EC" w:rsidRPr="0040400A" w:rsidRDefault="00FC76EC" w:rsidP="0040400A">
      <w:pPr>
        <w:rPr>
          <w:noProof/>
          <w:lang w:val="en-US"/>
        </w:rPr>
      </w:pPr>
      <w:r w:rsidRPr="0040400A">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6989BA" w14:textId="09317B30" w:rsidR="004B28EB" w:rsidRPr="009C04EC" w:rsidRDefault="004B28EB" w:rsidP="004B28EB">
    <w:pPr>
      <w:pStyle w:val="Header"/>
      <w:tabs>
        <w:tab w:val="left" w:pos="9072"/>
      </w:tabs>
      <w:rPr>
        <w:rStyle w:val="PageNumber"/>
        <w:rFonts w:ascii="Times New Roman" w:hAnsi="Times New Roman" w:cs="Times New Roman"/>
        <w:noProof/>
        <w:u w:val="single"/>
        <w:lang w:val="en-US"/>
      </w:rPr>
    </w:pPr>
  </w:p>
  <w:p w14:paraId="2BD58348" w14:textId="77777777" w:rsidR="004B28EB" w:rsidRPr="009C04EC" w:rsidRDefault="004B28EB" w:rsidP="004B28EB">
    <w:pPr>
      <w:pStyle w:val="Header"/>
      <w:tabs>
        <w:tab w:val="clear" w:pos="4153"/>
        <w:tab w:val="clear" w:pos="8306"/>
        <w:tab w:val="right" w:pos="9065"/>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391A2B69" w14:textId="77777777" w:rsidR="004B28EB" w:rsidRPr="009C04EC" w:rsidRDefault="004B28EB" w:rsidP="004B28EB">
    <w:pPr>
      <w:pStyle w:val="Header"/>
      <w:tabs>
        <w:tab w:val="right" w:pos="9072"/>
      </w:tabs>
      <w:rPr>
        <w:rStyle w:val="PageNumber"/>
        <w:rFonts w:ascii="Times New Roman" w:hAnsi="Times New Roman" w:cs="Times New Roman"/>
        <w:noProof/>
        <w:u w:val="single"/>
        <w:lang w:val="en-US"/>
      </w:rPr>
    </w:pPr>
  </w:p>
  <w:p w14:paraId="06A84484" w14:textId="48CE2775" w:rsidR="0040400A" w:rsidRPr="0038128A" w:rsidRDefault="004B28EB" w:rsidP="008B798C">
    <w:pPr>
      <w:pStyle w:val="Footer"/>
      <w:tabs>
        <w:tab w:val="clear" w:pos="4153"/>
        <w:tab w:val="clear" w:pos="8306"/>
        <w:tab w:val="right" w:pos="9065"/>
      </w:tabs>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2023</w:t>
    </w:r>
    <w:r w:rsidR="0038128A" w:rsidRPr="009C04EC">
      <w:rPr>
        <w:rFonts w:ascii="Times New Roman" w:hAnsi="Times New Roman" w:cs="Times New Roman"/>
        <w:noProof/>
        <w:lang w:val="en-US"/>
      </w:rPr>
      <w:tab/>
    </w:r>
    <w:r w:rsidR="0038128A" w:rsidRPr="009C04EC">
      <w:rPr>
        <w:rStyle w:val="PageNumber"/>
        <w:rFonts w:ascii="Times New Roman" w:hAnsi="Times New Roman" w:cs="Times New Roman"/>
        <w:noProof/>
        <w:lang w:val="en-US"/>
      </w:rPr>
      <w:fldChar w:fldCharType="begin"/>
    </w:r>
    <w:r w:rsidR="0038128A" w:rsidRPr="009C04EC">
      <w:rPr>
        <w:rStyle w:val="PageNumber"/>
        <w:rFonts w:ascii="Times New Roman" w:hAnsi="Times New Roman" w:cs="Times New Roman"/>
        <w:noProof/>
        <w:lang w:val="en-US"/>
      </w:rPr>
      <w:instrText xml:space="preserve">page </w:instrText>
    </w:r>
    <w:r w:rsidR="0038128A" w:rsidRPr="009C04EC">
      <w:rPr>
        <w:rStyle w:val="PageNumber"/>
        <w:rFonts w:ascii="Times New Roman" w:hAnsi="Times New Roman" w:cs="Times New Roman"/>
        <w:noProof/>
        <w:lang w:val="en-US"/>
      </w:rPr>
      <w:fldChar w:fldCharType="separate"/>
    </w:r>
    <w:r w:rsidR="0038128A">
      <w:rPr>
        <w:rStyle w:val="PageNumber"/>
        <w:rFonts w:ascii="Times New Roman" w:hAnsi="Times New Roman" w:cs="Times New Roman"/>
        <w:noProof/>
        <w:lang w:val="en-US"/>
      </w:rPr>
      <w:t>3</w:t>
    </w:r>
    <w:r w:rsidR="0038128A" w:rsidRPr="009C04EC">
      <w:rPr>
        <w:rStyle w:val="PageNumber"/>
        <w:rFonts w:ascii="Times New Roman" w:hAnsi="Times New Roman" w:cs="Times New Roman"/>
        <w:noProof/>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8CF85" w14:textId="77777777" w:rsidR="00B34A3D" w:rsidRPr="009C04EC" w:rsidRDefault="00B34A3D" w:rsidP="00B34A3D">
    <w:pPr>
      <w:pStyle w:val="Header"/>
      <w:tabs>
        <w:tab w:val="clear" w:pos="4153"/>
        <w:tab w:val="clear" w:pos="8306"/>
        <w:tab w:val="right" w:pos="9065"/>
      </w:tabs>
      <w:rPr>
        <w:rFonts w:ascii="Times New Roman" w:hAnsi="Times New Roman" w:cs="Times New Roman"/>
        <w:noProof/>
        <w:u w:val="single"/>
        <w:lang w:val="en-US"/>
      </w:rPr>
    </w:pPr>
    <w:r w:rsidRPr="009C04EC">
      <w:rPr>
        <w:rFonts w:ascii="Times New Roman" w:hAnsi="Times New Roman" w:cs="Times New Roman"/>
        <w:noProof/>
        <w:u w:val="single"/>
        <w:lang w:val="en-US"/>
      </w:rPr>
      <w:tab/>
    </w:r>
  </w:p>
  <w:p w14:paraId="6C1E1933" w14:textId="77777777" w:rsidR="00B34A3D" w:rsidRPr="009C04EC" w:rsidRDefault="00B34A3D" w:rsidP="00B34A3D">
    <w:pPr>
      <w:pStyle w:val="Header"/>
      <w:tabs>
        <w:tab w:val="left" w:pos="9072"/>
      </w:tabs>
      <w:rPr>
        <w:rStyle w:val="PageNumber"/>
        <w:rFonts w:ascii="Times New Roman" w:hAnsi="Times New Roman" w:cs="Times New Roman"/>
        <w:noProof/>
        <w:u w:val="single"/>
        <w:lang w:val="en-US"/>
      </w:rPr>
    </w:pPr>
  </w:p>
  <w:p w14:paraId="3244EE79" w14:textId="52A56417" w:rsidR="0040400A" w:rsidRPr="00B34A3D" w:rsidRDefault="00B34A3D">
    <w:pPr>
      <w:pStyle w:val="Footer"/>
      <w:rPr>
        <w:rFonts w:ascii="Times New Roman" w:hAnsi="Times New Roman" w:cs="Times New Roman"/>
        <w:noProof/>
        <w:lang w:val="en-US"/>
      </w:rPr>
    </w:pPr>
    <w:r w:rsidRPr="009C04EC">
      <w:rPr>
        <w:rFonts w:ascii="Times New Roman" w:hAnsi="Times New Roman" w:cs="Times New Roman"/>
        <w:noProof/>
        <w:lang w:val="en-US"/>
      </w:rPr>
      <w:t xml:space="preserve">Tulkojums </w:t>
    </w:r>
    <w:r w:rsidRPr="009C04EC">
      <w:rPr>
        <w:rFonts w:ascii="Times New Roman" w:hAnsi="Times New Roman" w:cs="Times New Roman"/>
        <w:noProof/>
        <w:lang w:val="en-US"/>
      </w:rPr>
      <w:fldChar w:fldCharType="begin"/>
    </w:r>
    <w:r w:rsidRPr="009C04EC">
      <w:rPr>
        <w:rFonts w:ascii="Times New Roman" w:hAnsi="Times New Roman" w:cs="Times New Roman"/>
        <w:noProof/>
        <w:lang w:val="en-US"/>
      </w:rPr>
      <w:instrText>symbol 211 \f "Symbol" \s 9</w:instrText>
    </w:r>
    <w:r w:rsidRPr="009C04EC">
      <w:rPr>
        <w:rFonts w:ascii="Times New Roman" w:hAnsi="Times New Roman" w:cs="Times New Roman"/>
        <w:noProof/>
        <w:lang w:val="en-US"/>
      </w:rPr>
      <w:fldChar w:fldCharType="separate"/>
    </w:r>
    <w:r w:rsidRPr="009C04EC">
      <w:rPr>
        <w:rFonts w:ascii="Times New Roman" w:hAnsi="Times New Roman" w:cs="Times New Roman"/>
        <w:noProof/>
        <w:lang w:val="en-US"/>
      </w:rPr>
      <w:t>Ó</w:t>
    </w:r>
    <w:r w:rsidRPr="009C04EC">
      <w:rPr>
        <w:rFonts w:ascii="Times New Roman" w:hAnsi="Times New Roman" w:cs="Times New Roman"/>
        <w:noProof/>
        <w:lang w:val="en-US"/>
      </w:rPr>
      <w:fldChar w:fldCharType="end"/>
    </w:r>
    <w:r w:rsidRPr="009C04EC">
      <w:rPr>
        <w:rFonts w:ascii="Times New Roman" w:hAnsi="Times New Roman" w:cs="Times New Roman"/>
        <w:noProof/>
        <w:lang w:val="en-US"/>
      </w:rPr>
      <w:t xml:space="preserve"> Valsts valodas centrs,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4E9007" w14:textId="77777777" w:rsidR="00FC76EC" w:rsidRPr="0040400A" w:rsidRDefault="00FC76EC" w:rsidP="0040400A">
      <w:pPr>
        <w:rPr>
          <w:noProof/>
          <w:lang w:val="en-US"/>
        </w:rPr>
      </w:pPr>
      <w:r w:rsidRPr="0040400A">
        <w:rPr>
          <w:noProof/>
          <w:lang w:val="en-US"/>
        </w:rPr>
        <w:separator/>
      </w:r>
    </w:p>
  </w:footnote>
  <w:footnote w:type="continuationSeparator" w:id="0">
    <w:p w14:paraId="257CD6A0" w14:textId="77777777" w:rsidR="00FC76EC" w:rsidRPr="0040400A" w:rsidRDefault="00FC76EC" w:rsidP="0040400A">
      <w:pPr>
        <w:rPr>
          <w:noProof/>
          <w:lang w:val="en-US"/>
        </w:rPr>
      </w:pPr>
      <w:r w:rsidRPr="0040400A">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F9D68" w14:textId="77777777" w:rsidR="00FB4415" w:rsidRPr="009C04EC" w:rsidRDefault="00FB4415" w:rsidP="00FB4415">
    <w:pPr>
      <w:pStyle w:val="Header"/>
      <w:rPr>
        <w:rStyle w:val="PageNumber"/>
        <w:noProof/>
        <w:sz w:val="18"/>
        <w:szCs w:val="18"/>
        <w:u w:val="single"/>
        <w:lang w:val="en-US"/>
      </w:rPr>
    </w:pPr>
  </w:p>
  <w:p w14:paraId="64F6885A" w14:textId="77777777" w:rsidR="00FB4415" w:rsidRPr="009C04EC" w:rsidRDefault="00FB4415" w:rsidP="00FB4415">
    <w:pPr>
      <w:pStyle w:val="Header"/>
      <w:tabs>
        <w:tab w:val="clear" w:pos="4153"/>
        <w:tab w:val="clear" w:pos="8306"/>
        <w:tab w:val="right" w:pos="9065"/>
      </w:tabs>
      <w:rPr>
        <w:noProof/>
        <w:sz w:val="18"/>
        <w:szCs w:val="18"/>
        <w:u w:val="single"/>
        <w:lang w:val="en-US"/>
      </w:rPr>
    </w:pPr>
    <w:r w:rsidRPr="009C04EC">
      <w:rPr>
        <w:noProof/>
        <w:sz w:val="18"/>
        <w:szCs w:val="18"/>
        <w:u w:val="single"/>
        <w:lang w:val="en-US"/>
      </w:rPr>
      <w:tab/>
    </w:r>
  </w:p>
  <w:p w14:paraId="2C741212" w14:textId="77777777" w:rsidR="0040400A" w:rsidRDefault="0040400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946C3" w14:textId="77777777" w:rsidR="000241B7" w:rsidRPr="009C04EC" w:rsidRDefault="000241B7" w:rsidP="000241B7">
    <w:pPr>
      <w:pStyle w:val="Header"/>
      <w:pBdr>
        <w:bottom w:val="single" w:sz="12" w:space="1" w:color="auto"/>
      </w:pBdr>
      <w:rPr>
        <w:noProof/>
        <w:sz w:val="18"/>
        <w:szCs w:val="18"/>
        <w:lang w:val="en-US"/>
      </w:rPr>
    </w:pPr>
  </w:p>
  <w:p w14:paraId="771EB068" w14:textId="77777777" w:rsidR="0040400A" w:rsidRDefault="0040400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AE8944A"/>
    <w:lvl w:ilvl="0" w:tplc="907A2888">
      <w:start w:val="4"/>
      <w:numFmt w:val="decimal"/>
      <w:lvlText w:val="%1"/>
      <w:lvlJc w:val="left"/>
    </w:lvl>
    <w:lvl w:ilvl="1" w:tplc="5EAEA3FE">
      <w:start w:val="1"/>
      <w:numFmt w:val="bullet"/>
      <w:lvlText w:val=""/>
      <w:lvlJc w:val="left"/>
    </w:lvl>
    <w:lvl w:ilvl="2" w:tplc="DF8A2BC0">
      <w:start w:val="1"/>
      <w:numFmt w:val="bullet"/>
      <w:lvlText w:val=""/>
      <w:lvlJc w:val="left"/>
    </w:lvl>
    <w:lvl w:ilvl="3" w:tplc="E2FC9136">
      <w:start w:val="1"/>
      <w:numFmt w:val="bullet"/>
      <w:lvlText w:val=""/>
      <w:lvlJc w:val="left"/>
    </w:lvl>
    <w:lvl w:ilvl="4" w:tplc="54BE5AC0">
      <w:start w:val="1"/>
      <w:numFmt w:val="bullet"/>
      <w:lvlText w:val=""/>
      <w:lvlJc w:val="left"/>
    </w:lvl>
    <w:lvl w:ilvl="5" w:tplc="0082BB50">
      <w:start w:val="1"/>
      <w:numFmt w:val="bullet"/>
      <w:lvlText w:val=""/>
      <w:lvlJc w:val="left"/>
    </w:lvl>
    <w:lvl w:ilvl="6" w:tplc="77243666">
      <w:start w:val="1"/>
      <w:numFmt w:val="bullet"/>
      <w:lvlText w:val=""/>
      <w:lvlJc w:val="left"/>
    </w:lvl>
    <w:lvl w:ilvl="7" w:tplc="38464690">
      <w:start w:val="1"/>
      <w:numFmt w:val="bullet"/>
      <w:lvlText w:val=""/>
      <w:lvlJc w:val="left"/>
    </w:lvl>
    <w:lvl w:ilvl="8" w:tplc="66D694F8">
      <w:start w:val="1"/>
      <w:numFmt w:val="bullet"/>
      <w:lvlText w:val=""/>
      <w:lvlJc w:val="left"/>
    </w:lvl>
  </w:abstractNum>
  <w:abstractNum w:abstractNumId="1" w15:restartNumberingAfterBreak="0">
    <w:nsid w:val="00000002"/>
    <w:multiLevelType w:val="hybridMultilevel"/>
    <w:tmpl w:val="625558EC"/>
    <w:lvl w:ilvl="0" w:tplc="35045038">
      <w:start w:val="1"/>
      <w:numFmt w:val="bullet"/>
      <w:lvlText w:val="●"/>
      <w:lvlJc w:val="left"/>
    </w:lvl>
    <w:lvl w:ilvl="1" w:tplc="C8A04EFC">
      <w:start w:val="1"/>
      <w:numFmt w:val="bullet"/>
      <w:lvlText w:val=""/>
      <w:lvlJc w:val="left"/>
    </w:lvl>
    <w:lvl w:ilvl="2" w:tplc="8CBECEEA">
      <w:start w:val="1"/>
      <w:numFmt w:val="bullet"/>
      <w:lvlText w:val=""/>
      <w:lvlJc w:val="left"/>
    </w:lvl>
    <w:lvl w:ilvl="3" w:tplc="646AA9C8">
      <w:start w:val="1"/>
      <w:numFmt w:val="bullet"/>
      <w:lvlText w:val=""/>
      <w:lvlJc w:val="left"/>
    </w:lvl>
    <w:lvl w:ilvl="4" w:tplc="DCD207C8">
      <w:start w:val="1"/>
      <w:numFmt w:val="bullet"/>
      <w:lvlText w:val=""/>
      <w:lvlJc w:val="left"/>
    </w:lvl>
    <w:lvl w:ilvl="5" w:tplc="CE60E308">
      <w:start w:val="1"/>
      <w:numFmt w:val="bullet"/>
      <w:lvlText w:val=""/>
      <w:lvlJc w:val="left"/>
    </w:lvl>
    <w:lvl w:ilvl="6" w:tplc="479C87E2">
      <w:start w:val="1"/>
      <w:numFmt w:val="bullet"/>
      <w:lvlText w:val=""/>
      <w:lvlJc w:val="left"/>
    </w:lvl>
    <w:lvl w:ilvl="7" w:tplc="85605616">
      <w:start w:val="1"/>
      <w:numFmt w:val="bullet"/>
      <w:lvlText w:val=""/>
      <w:lvlJc w:val="left"/>
    </w:lvl>
    <w:lvl w:ilvl="8" w:tplc="F8CAF476">
      <w:start w:val="1"/>
      <w:numFmt w:val="bullet"/>
      <w:lvlText w:val=""/>
      <w:lvlJc w:val="left"/>
    </w:lvl>
  </w:abstractNum>
  <w:abstractNum w:abstractNumId="2" w15:restartNumberingAfterBreak="0">
    <w:nsid w:val="00000003"/>
    <w:multiLevelType w:val="hybridMultilevel"/>
    <w:tmpl w:val="238E1F28"/>
    <w:lvl w:ilvl="0" w:tplc="F2345526">
      <w:start w:val="1"/>
      <w:numFmt w:val="bullet"/>
      <w:lvlText w:val="●"/>
      <w:lvlJc w:val="left"/>
    </w:lvl>
    <w:lvl w:ilvl="1" w:tplc="22F09B80">
      <w:start w:val="1"/>
      <w:numFmt w:val="bullet"/>
      <w:lvlText w:val=""/>
      <w:lvlJc w:val="left"/>
    </w:lvl>
    <w:lvl w:ilvl="2" w:tplc="F00E03C0">
      <w:start w:val="1"/>
      <w:numFmt w:val="bullet"/>
      <w:lvlText w:val=""/>
      <w:lvlJc w:val="left"/>
    </w:lvl>
    <w:lvl w:ilvl="3" w:tplc="431ACFAA">
      <w:start w:val="1"/>
      <w:numFmt w:val="bullet"/>
      <w:lvlText w:val=""/>
      <w:lvlJc w:val="left"/>
    </w:lvl>
    <w:lvl w:ilvl="4" w:tplc="445E264E">
      <w:start w:val="1"/>
      <w:numFmt w:val="bullet"/>
      <w:lvlText w:val=""/>
      <w:lvlJc w:val="left"/>
    </w:lvl>
    <w:lvl w:ilvl="5" w:tplc="D994A86A">
      <w:start w:val="1"/>
      <w:numFmt w:val="bullet"/>
      <w:lvlText w:val=""/>
      <w:lvlJc w:val="left"/>
    </w:lvl>
    <w:lvl w:ilvl="6" w:tplc="87EC00E0">
      <w:start w:val="1"/>
      <w:numFmt w:val="bullet"/>
      <w:lvlText w:val=""/>
      <w:lvlJc w:val="left"/>
    </w:lvl>
    <w:lvl w:ilvl="7" w:tplc="CECA8F7A">
      <w:start w:val="1"/>
      <w:numFmt w:val="bullet"/>
      <w:lvlText w:val=""/>
      <w:lvlJc w:val="left"/>
    </w:lvl>
    <w:lvl w:ilvl="8" w:tplc="A6188274">
      <w:start w:val="1"/>
      <w:numFmt w:val="bullet"/>
      <w:lvlText w:val=""/>
      <w:lvlJc w:val="left"/>
    </w:lvl>
  </w:abstractNum>
  <w:abstractNum w:abstractNumId="3" w15:restartNumberingAfterBreak="0">
    <w:nsid w:val="00000004"/>
    <w:multiLevelType w:val="hybridMultilevel"/>
    <w:tmpl w:val="46E87CCC"/>
    <w:lvl w:ilvl="0" w:tplc="9D6E19B6">
      <w:start w:val="6"/>
      <w:numFmt w:val="decimal"/>
      <w:lvlText w:val="%1"/>
      <w:lvlJc w:val="left"/>
    </w:lvl>
    <w:lvl w:ilvl="1" w:tplc="A0B2428C">
      <w:start w:val="1"/>
      <w:numFmt w:val="bullet"/>
      <w:lvlText w:val="●"/>
      <w:lvlJc w:val="left"/>
    </w:lvl>
    <w:lvl w:ilvl="2" w:tplc="5978E9B6">
      <w:start w:val="1"/>
      <w:numFmt w:val="bullet"/>
      <w:lvlText w:val=""/>
      <w:lvlJc w:val="left"/>
    </w:lvl>
    <w:lvl w:ilvl="3" w:tplc="B3C2C69C">
      <w:start w:val="1"/>
      <w:numFmt w:val="bullet"/>
      <w:lvlText w:val=""/>
      <w:lvlJc w:val="left"/>
    </w:lvl>
    <w:lvl w:ilvl="4" w:tplc="FCF28432">
      <w:start w:val="1"/>
      <w:numFmt w:val="bullet"/>
      <w:lvlText w:val=""/>
      <w:lvlJc w:val="left"/>
    </w:lvl>
    <w:lvl w:ilvl="5" w:tplc="FFAAE086">
      <w:start w:val="1"/>
      <w:numFmt w:val="bullet"/>
      <w:lvlText w:val=""/>
      <w:lvlJc w:val="left"/>
    </w:lvl>
    <w:lvl w:ilvl="6" w:tplc="F4EA5272">
      <w:start w:val="1"/>
      <w:numFmt w:val="bullet"/>
      <w:lvlText w:val=""/>
      <w:lvlJc w:val="left"/>
    </w:lvl>
    <w:lvl w:ilvl="7" w:tplc="7AB288EA">
      <w:start w:val="1"/>
      <w:numFmt w:val="bullet"/>
      <w:lvlText w:val=""/>
      <w:lvlJc w:val="left"/>
    </w:lvl>
    <w:lvl w:ilvl="8" w:tplc="170686FC">
      <w:start w:val="1"/>
      <w:numFmt w:val="bullet"/>
      <w:lvlText w:val=""/>
      <w:lvlJc w:val="left"/>
    </w:lvl>
  </w:abstractNum>
  <w:abstractNum w:abstractNumId="4" w15:restartNumberingAfterBreak="0">
    <w:nsid w:val="00000005"/>
    <w:multiLevelType w:val="hybridMultilevel"/>
    <w:tmpl w:val="3D1B58BA"/>
    <w:lvl w:ilvl="0" w:tplc="4DF650D6">
      <w:start w:val="1"/>
      <w:numFmt w:val="bullet"/>
      <w:lvlText w:val="●"/>
      <w:lvlJc w:val="left"/>
    </w:lvl>
    <w:lvl w:ilvl="1" w:tplc="84EE243C">
      <w:start w:val="1"/>
      <w:numFmt w:val="bullet"/>
      <w:lvlText w:val=""/>
      <w:lvlJc w:val="left"/>
    </w:lvl>
    <w:lvl w:ilvl="2" w:tplc="893AEAEC">
      <w:start w:val="1"/>
      <w:numFmt w:val="bullet"/>
      <w:lvlText w:val=""/>
      <w:lvlJc w:val="left"/>
    </w:lvl>
    <w:lvl w:ilvl="3" w:tplc="DD0EE066">
      <w:start w:val="1"/>
      <w:numFmt w:val="bullet"/>
      <w:lvlText w:val=""/>
      <w:lvlJc w:val="left"/>
    </w:lvl>
    <w:lvl w:ilvl="4" w:tplc="30E2DC6A">
      <w:start w:val="1"/>
      <w:numFmt w:val="bullet"/>
      <w:lvlText w:val=""/>
      <w:lvlJc w:val="left"/>
    </w:lvl>
    <w:lvl w:ilvl="5" w:tplc="63DEBEFC">
      <w:start w:val="1"/>
      <w:numFmt w:val="bullet"/>
      <w:lvlText w:val=""/>
      <w:lvlJc w:val="left"/>
    </w:lvl>
    <w:lvl w:ilvl="6" w:tplc="5AE6A26C">
      <w:start w:val="1"/>
      <w:numFmt w:val="bullet"/>
      <w:lvlText w:val=""/>
      <w:lvlJc w:val="left"/>
    </w:lvl>
    <w:lvl w:ilvl="7" w:tplc="BAE22ABC">
      <w:start w:val="1"/>
      <w:numFmt w:val="bullet"/>
      <w:lvlText w:val=""/>
      <w:lvlJc w:val="left"/>
    </w:lvl>
    <w:lvl w:ilvl="8" w:tplc="D3B0C464">
      <w:start w:val="1"/>
      <w:numFmt w:val="bullet"/>
      <w:lvlText w:val=""/>
      <w:lvlJc w:val="left"/>
    </w:lvl>
  </w:abstractNum>
  <w:abstractNum w:abstractNumId="5" w15:restartNumberingAfterBreak="0">
    <w:nsid w:val="00000006"/>
    <w:multiLevelType w:val="hybridMultilevel"/>
    <w:tmpl w:val="507ED7AA"/>
    <w:lvl w:ilvl="0" w:tplc="C12AFE34">
      <w:start w:val="1"/>
      <w:numFmt w:val="bullet"/>
      <w:lvlText w:val="•"/>
      <w:lvlJc w:val="left"/>
    </w:lvl>
    <w:lvl w:ilvl="1" w:tplc="B5E46D4E">
      <w:start w:val="1"/>
      <w:numFmt w:val="bullet"/>
      <w:lvlText w:val=""/>
      <w:lvlJc w:val="left"/>
    </w:lvl>
    <w:lvl w:ilvl="2" w:tplc="C58C3F3A">
      <w:start w:val="1"/>
      <w:numFmt w:val="bullet"/>
      <w:lvlText w:val=""/>
      <w:lvlJc w:val="left"/>
    </w:lvl>
    <w:lvl w:ilvl="3" w:tplc="E418FCA2">
      <w:start w:val="1"/>
      <w:numFmt w:val="bullet"/>
      <w:lvlText w:val=""/>
      <w:lvlJc w:val="left"/>
    </w:lvl>
    <w:lvl w:ilvl="4" w:tplc="5E7C4922">
      <w:start w:val="1"/>
      <w:numFmt w:val="bullet"/>
      <w:lvlText w:val=""/>
      <w:lvlJc w:val="left"/>
    </w:lvl>
    <w:lvl w:ilvl="5" w:tplc="F4FCF9A4">
      <w:start w:val="1"/>
      <w:numFmt w:val="bullet"/>
      <w:lvlText w:val=""/>
      <w:lvlJc w:val="left"/>
    </w:lvl>
    <w:lvl w:ilvl="6" w:tplc="C0D2D53C">
      <w:start w:val="1"/>
      <w:numFmt w:val="bullet"/>
      <w:lvlText w:val=""/>
      <w:lvlJc w:val="left"/>
    </w:lvl>
    <w:lvl w:ilvl="7" w:tplc="01CE916E">
      <w:start w:val="1"/>
      <w:numFmt w:val="bullet"/>
      <w:lvlText w:val=""/>
      <w:lvlJc w:val="left"/>
    </w:lvl>
    <w:lvl w:ilvl="8" w:tplc="CAD04638">
      <w:start w:val="1"/>
      <w:numFmt w:val="bullet"/>
      <w:lvlText w:val=""/>
      <w:lvlJc w:val="left"/>
    </w:lvl>
  </w:abstractNum>
  <w:num w:numId="1" w16cid:durableId="1484157238">
    <w:abstractNumId w:val="0"/>
  </w:num>
  <w:num w:numId="2" w16cid:durableId="1761565934">
    <w:abstractNumId w:val="1"/>
  </w:num>
  <w:num w:numId="3" w16cid:durableId="1671983575">
    <w:abstractNumId w:val="2"/>
  </w:num>
  <w:num w:numId="4" w16cid:durableId="496917400">
    <w:abstractNumId w:val="3"/>
  </w:num>
  <w:num w:numId="5" w16cid:durableId="378171019">
    <w:abstractNumId w:val="4"/>
  </w:num>
  <w:num w:numId="6" w16cid:durableId="3578534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1AB"/>
    <w:rsid w:val="000241B7"/>
    <w:rsid w:val="00036A13"/>
    <w:rsid w:val="000727B3"/>
    <w:rsid w:val="000970B1"/>
    <w:rsid w:val="000E46D9"/>
    <w:rsid w:val="00214BDE"/>
    <w:rsid w:val="00233BCD"/>
    <w:rsid w:val="00291092"/>
    <w:rsid w:val="0038128A"/>
    <w:rsid w:val="00391E68"/>
    <w:rsid w:val="003C1001"/>
    <w:rsid w:val="0040400A"/>
    <w:rsid w:val="004404AE"/>
    <w:rsid w:val="004577AA"/>
    <w:rsid w:val="004B28EB"/>
    <w:rsid w:val="00546091"/>
    <w:rsid w:val="006921FF"/>
    <w:rsid w:val="006E01AB"/>
    <w:rsid w:val="008B798C"/>
    <w:rsid w:val="00903E20"/>
    <w:rsid w:val="00995A04"/>
    <w:rsid w:val="009E7359"/>
    <w:rsid w:val="00A35A61"/>
    <w:rsid w:val="00A42622"/>
    <w:rsid w:val="00A87E4F"/>
    <w:rsid w:val="00B34A3D"/>
    <w:rsid w:val="00B61896"/>
    <w:rsid w:val="00B95F53"/>
    <w:rsid w:val="00BB7332"/>
    <w:rsid w:val="00BE3A5B"/>
    <w:rsid w:val="00D50702"/>
    <w:rsid w:val="00DC644C"/>
    <w:rsid w:val="00DD1BEE"/>
    <w:rsid w:val="00EA4697"/>
    <w:rsid w:val="00F43AAE"/>
    <w:rsid w:val="00FB4415"/>
    <w:rsid w:val="00FC76E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A1390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40400A"/>
    <w:pPr>
      <w:tabs>
        <w:tab w:val="center" w:pos="4153"/>
        <w:tab w:val="right" w:pos="8306"/>
      </w:tabs>
    </w:pPr>
  </w:style>
  <w:style w:type="character" w:customStyle="1" w:styleId="HeaderChar">
    <w:name w:val="Header Char"/>
    <w:basedOn w:val="DefaultParagraphFont"/>
    <w:link w:val="Header"/>
    <w:uiPriority w:val="99"/>
    <w:rsid w:val="0040400A"/>
  </w:style>
  <w:style w:type="paragraph" w:styleId="Footer">
    <w:name w:val="footer"/>
    <w:basedOn w:val="Normal"/>
    <w:link w:val="FooterChar"/>
    <w:unhideWhenUsed/>
    <w:rsid w:val="0040400A"/>
    <w:pPr>
      <w:tabs>
        <w:tab w:val="center" w:pos="4153"/>
        <w:tab w:val="right" w:pos="8306"/>
      </w:tabs>
    </w:pPr>
  </w:style>
  <w:style w:type="character" w:customStyle="1" w:styleId="FooterChar">
    <w:name w:val="Footer Char"/>
    <w:basedOn w:val="DefaultParagraphFont"/>
    <w:link w:val="Footer"/>
    <w:uiPriority w:val="99"/>
    <w:rsid w:val="0040400A"/>
  </w:style>
  <w:style w:type="table" w:styleId="TableGrid">
    <w:name w:val="Table Grid"/>
    <w:basedOn w:val="TableNormal"/>
    <w:uiPriority w:val="59"/>
    <w:rsid w:val="000E46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PageNumber">
    <w:name w:val="page number"/>
    <w:basedOn w:val="DefaultParagraphFont"/>
    <w:semiHidden/>
    <w:rsid w:val="00B34A3D"/>
  </w:style>
  <w:style w:type="paragraph" w:customStyle="1" w:styleId="TableParagraph">
    <w:name w:val="Table Paragraph"/>
    <w:basedOn w:val="Normal"/>
    <w:uiPriority w:val="1"/>
    <w:qFormat/>
    <w:rsid w:val="004B28EB"/>
    <w:pPr>
      <w:widowControl w:val="0"/>
    </w:pPr>
    <w:rPr>
      <w:rFonts w:asciiTheme="minorHAnsi" w:eastAsiaTheme="minorHAnsi" w:hAnsiTheme="minorHAnsi" w:cstheme="minorBidi"/>
      <w:sz w:val="22"/>
      <w:szCs w:val="22"/>
      <w:lang w:eastAsia="en-US"/>
    </w:rPr>
  </w:style>
  <w:style w:type="character" w:styleId="LineNumber">
    <w:name w:val="line number"/>
    <w:basedOn w:val="DefaultParagraphFont"/>
    <w:uiPriority w:val="99"/>
    <w:semiHidden/>
    <w:unhideWhenUsed/>
    <w:rsid w:val="00B95F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5394070">
      <w:bodyDiv w:val="1"/>
      <w:marLeft w:val="0"/>
      <w:marRight w:val="0"/>
      <w:marTop w:val="0"/>
      <w:marBottom w:val="0"/>
      <w:divBdr>
        <w:top w:val="none" w:sz="0" w:space="0" w:color="auto"/>
        <w:left w:val="none" w:sz="0" w:space="0" w:color="auto"/>
        <w:bottom w:val="none" w:sz="0" w:space="0" w:color="auto"/>
        <w:right w:val="none" w:sz="0" w:space="0" w:color="auto"/>
      </w:divBdr>
    </w:div>
    <w:div w:id="85480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47409639620A48BB08F713A1AC624B" ma:contentTypeVersion="13" ma:contentTypeDescription="Create a new document." ma:contentTypeScope="" ma:versionID="83b39d866c7ae3a588d90f7893782e0e">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ad709f65d3583e38fd8a50d7026c9e9d"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ObjectDetectorVersion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222419-119E-43D8-B348-51A2C0F495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57a815-79e8-498e-8f04-9c2e9221b678"/>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0F28FA-5223-47B0-96CA-EFAC2DB2628A}">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AF28A723-3390-404E-B325-AB41D278A54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2506</Words>
  <Characters>14290</Characters>
  <Application>Microsoft Office Word</Application>
  <DocSecurity>0</DocSecurity>
  <Lines>119</Lines>
  <Paragraphs>33</Paragraphs>
  <ScaleCrop>false</ScaleCrop>
  <Company/>
  <LinksUpToDate>false</LinksUpToDate>
  <CharactersWithSpaces>16763</CharactersWithSpaces>
  <SharedDoc>false</SharedDoc>
  <HLinks>
    <vt:vector size="54" baseType="variant">
      <vt:variant>
        <vt:i4>5177408</vt:i4>
      </vt:variant>
      <vt:variant>
        <vt:i4>24</vt:i4>
      </vt:variant>
      <vt:variant>
        <vt:i4>0</vt:i4>
      </vt:variant>
      <vt:variant>
        <vt:i4>5</vt:i4>
      </vt:variant>
      <vt:variant>
        <vt:lpwstr>https://www.oecd.org/mcm/MCM_2021_Part_2_%5BC-MIN_2021_16-FINAL.en%5D.pdf</vt:lpwstr>
      </vt:variant>
      <vt:variant>
        <vt:lpwstr/>
      </vt:variant>
      <vt:variant>
        <vt:i4>5177408</vt:i4>
      </vt:variant>
      <vt:variant>
        <vt:i4>21</vt:i4>
      </vt:variant>
      <vt:variant>
        <vt:i4>0</vt:i4>
      </vt:variant>
      <vt:variant>
        <vt:i4>5</vt:i4>
      </vt:variant>
      <vt:variant>
        <vt:lpwstr>https://www.oecd.org/mcm/MCM_2021_Part_2_%5BC-MIN_2021_16-FINAL.en%5D.pdf</vt:lpwstr>
      </vt:variant>
      <vt:variant>
        <vt:lpwstr/>
      </vt:variant>
      <vt:variant>
        <vt:i4>2556011</vt:i4>
      </vt:variant>
      <vt:variant>
        <vt:i4>18</vt:i4>
      </vt:variant>
      <vt:variant>
        <vt:i4>0</vt:i4>
      </vt:variant>
      <vt:variant>
        <vt:i4>5</vt:i4>
      </vt:variant>
      <vt:variant>
        <vt:lpwstr>https://www.oecd.org/education/ministerial/</vt:lpwstr>
      </vt:variant>
      <vt:variant>
        <vt:lpwstr/>
      </vt:variant>
      <vt:variant>
        <vt:i4>6553610</vt:i4>
      </vt:variant>
      <vt:variant>
        <vt:i4>15</vt:i4>
      </vt:variant>
      <vt:variant>
        <vt:i4>0</vt:i4>
      </vt:variant>
      <vt:variant>
        <vt:i4>5</vt:i4>
      </vt:variant>
      <vt:variant>
        <vt:lpwstr>mailto:Kateryna.Obvintseva@oecd.org</vt:lpwstr>
      </vt:variant>
      <vt:variant>
        <vt:lpwstr/>
      </vt:variant>
      <vt:variant>
        <vt:i4>2556011</vt:i4>
      </vt:variant>
      <vt:variant>
        <vt:i4>12</vt:i4>
      </vt:variant>
      <vt:variant>
        <vt:i4>0</vt:i4>
      </vt:variant>
      <vt:variant>
        <vt:i4>5</vt:i4>
      </vt:variant>
      <vt:variant>
        <vt:lpwstr>https://www.oecd.org/education/ministerial/</vt:lpwstr>
      </vt:variant>
      <vt:variant>
        <vt:lpwstr/>
      </vt:variant>
      <vt:variant>
        <vt:i4>2556011</vt:i4>
      </vt:variant>
      <vt:variant>
        <vt:i4>9</vt:i4>
      </vt:variant>
      <vt:variant>
        <vt:i4>0</vt:i4>
      </vt:variant>
      <vt:variant>
        <vt:i4>5</vt:i4>
      </vt:variant>
      <vt:variant>
        <vt:lpwstr>https://www.oecd.org/education/ministerial/</vt:lpwstr>
      </vt:variant>
      <vt:variant>
        <vt:lpwstr/>
      </vt:variant>
      <vt:variant>
        <vt:i4>2556011</vt:i4>
      </vt:variant>
      <vt:variant>
        <vt:i4>6</vt:i4>
      </vt:variant>
      <vt:variant>
        <vt:i4>0</vt:i4>
      </vt:variant>
      <vt:variant>
        <vt:i4>5</vt:i4>
      </vt:variant>
      <vt:variant>
        <vt:lpwstr>https://www.oecd.org/education/ministerial/</vt:lpwstr>
      </vt:variant>
      <vt:variant>
        <vt:lpwstr/>
      </vt:variant>
      <vt:variant>
        <vt:i4>1376325</vt:i4>
      </vt:variant>
      <vt:variant>
        <vt:i4>3</vt:i4>
      </vt:variant>
      <vt:variant>
        <vt:i4>0</vt:i4>
      </vt:variant>
      <vt:variant>
        <vt:i4>5</vt:i4>
      </vt:variant>
      <vt:variant>
        <vt:lpwstr>http://legalinstruments.oecd.org/</vt:lpwstr>
      </vt:variant>
      <vt:variant>
        <vt:lpwstr/>
      </vt:variant>
      <vt:variant>
        <vt:i4>1376325</vt:i4>
      </vt:variant>
      <vt:variant>
        <vt:i4>0</vt:i4>
      </vt:variant>
      <vt:variant>
        <vt:i4>0</vt:i4>
      </vt:variant>
      <vt:variant>
        <vt:i4>5</vt:i4>
      </vt:variant>
      <vt:variant>
        <vt:lpwstr>http://legalinstruments.oecd.org/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2023-07-06T08:07:00Z</dcterms:created>
  <dcterms:modified xsi:type="dcterms:W3CDTF">2023-09-07T07:16:00Z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