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E28D" w14:textId="77777777" w:rsidR="00E40011" w:rsidRPr="00E40011" w:rsidRDefault="00E40011" w:rsidP="00E40011">
      <w:pPr>
        <w:shd w:val="clear" w:color="auto" w:fill="FFFFFF"/>
        <w:spacing w:after="0" w:line="240" w:lineRule="auto"/>
        <w:jc w:val="center"/>
        <w:rPr>
          <w:rFonts w:ascii="Times New Roman" w:hAnsi="Times New Roman"/>
          <w:b/>
          <w:noProof/>
          <w:sz w:val="24"/>
          <w:lang w:val="en-US"/>
        </w:rPr>
      </w:pPr>
      <w:r w:rsidRPr="00E40011">
        <w:rPr>
          <w:rFonts w:ascii="Times New Roman" w:hAnsi="Times New Roman"/>
          <w:b/>
          <w:noProof/>
          <w:sz w:val="24"/>
          <w:lang w:val="en-US"/>
        </w:rPr>
        <w:t>Decision No. 1/11 of the Board of the Public Utilities Commission</w:t>
      </w:r>
    </w:p>
    <w:p w14:paraId="72A128C4"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A5D679" w14:textId="77777777" w:rsidR="00E40011" w:rsidRPr="00E40011" w:rsidRDefault="00E40011" w:rsidP="00E40011">
      <w:pPr>
        <w:shd w:val="clear" w:color="auto" w:fill="FFFFFF"/>
        <w:spacing w:after="0" w:line="240" w:lineRule="auto"/>
        <w:jc w:val="center"/>
        <w:rPr>
          <w:rFonts w:ascii="Times New Roman" w:hAnsi="Times New Roman"/>
          <w:noProof/>
          <w:sz w:val="24"/>
          <w:lang w:val="en-US"/>
        </w:rPr>
      </w:pPr>
      <w:r w:rsidRPr="00E40011">
        <w:rPr>
          <w:rFonts w:ascii="Times New Roman" w:hAnsi="Times New Roman"/>
          <w:noProof/>
          <w:sz w:val="24"/>
          <w:lang w:val="en-US"/>
        </w:rPr>
        <w:t>Adopted 18 August 2022</w:t>
      </w:r>
    </w:p>
    <w:p w14:paraId="1421AFC2"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B606A1C"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D39CB2" w14:textId="77777777" w:rsidR="00E40011" w:rsidRPr="00E40011" w:rsidRDefault="00E40011" w:rsidP="00E40011">
      <w:pPr>
        <w:shd w:val="clear" w:color="auto" w:fill="FFFFFF"/>
        <w:spacing w:after="0" w:line="240" w:lineRule="auto"/>
        <w:jc w:val="center"/>
        <w:rPr>
          <w:rFonts w:ascii="Times New Roman" w:hAnsi="Times New Roman"/>
          <w:b/>
          <w:noProof/>
          <w:sz w:val="28"/>
          <w:lang w:val="en-US"/>
        </w:rPr>
      </w:pPr>
      <w:r w:rsidRPr="00E40011">
        <w:rPr>
          <w:rFonts w:ascii="Times New Roman" w:hAnsi="Times New Roman"/>
          <w:b/>
          <w:noProof/>
          <w:sz w:val="28"/>
          <w:lang w:val="en-US"/>
        </w:rPr>
        <w:t>Regulations Regarding the Provision of Number Portability Service</w:t>
      </w:r>
    </w:p>
    <w:p w14:paraId="0D2F417E"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F036BE"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710B29" w14:textId="77777777" w:rsidR="00E40011" w:rsidRPr="00E40011" w:rsidRDefault="00E40011" w:rsidP="00E40011">
      <w:pPr>
        <w:shd w:val="clear" w:color="auto" w:fill="FFFFFF"/>
        <w:spacing w:after="0" w:line="240" w:lineRule="auto"/>
        <w:jc w:val="right"/>
        <w:rPr>
          <w:rFonts w:ascii="Times New Roman" w:hAnsi="Times New Roman"/>
          <w:i/>
          <w:noProof/>
          <w:sz w:val="24"/>
          <w:lang w:val="en-US"/>
        </w:rPr>
      </w:pPr>
      <w:r w:rsidRPr="00E40011">
        <w:rPr>
          <w:rFonts w:ascii="Times New Roman" w:hAnsi="Times New Roman"/>
          <w:i/>
          <w:noProof/>
          <w:sz w:val="24"/>
          <w:lang w:val="en-US"/>
        </w:rPr>
        <w:t>Issued pursuant to</w:t>
      </w:r>
    </w:p>
    <w:p w14:paraId="25C61291" w14:textId="77777777" w:rsidR="00E40011" w:rsidRPr="00E40011" w:rsidRDefault="00E40011" w:rsidP="00E40011">
      <w:pPr>
        <w:shd w:val="clear" w:color="auto" w:fill="FFFFFF"/>
        <w:spacing w:after="0" w:line="240" w:lineRule="auto"/>
        <w:jc w:val="right"/>
        <w:rPr>
          <w:rFonts w:ascii="Times New Roman" w:hAnsi="Times New Roman"/>
          <w:i/>
          <w:noProof/>
          <w:sz w:val="24"/>
          <w:lang w:val="en-US"/>
        </w:rPr>
      </w:pPr>
      <w:r w:rsidRPr="00E40011">
        <w:rPr>
          <w:rFonts w:ascii="Times New Roman" w:hAnsi="Times New Roman"/>
          <w:i/>
          <w:noProof/>
          <w:sz w:val="24"/>
          <w:lang w:val="en-US"/>
        </w:rPr>
        <w:t>Section 43, Paragraph three of the Electronic Communications Law and Section 25, Paragraph one of the law On Regulators of Public Utilities</w:t>
      </w:r>
    </w:p>
    <w:p w14:paraId="3AC30304"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125936"/>
      <w:bookmarkEnd w:id="0"/>
      <w:bookmarkEnd w:id="1"/>
    </w:p>
    <w:p w14:paraId="66578F16"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81928A4" w14:textId="77777777" w:rsidR="00E40011" w:rsidRPr="00E40011" w:rsidRDefault="00E40011" w:rsidP="00E40011">
      <w:pPr>
        <w:shd w:val="clear" w:color="auto" w:fill="FFFFFF"/>
        <w:spacing w:after="0" w:line="240" w:lineRule="auto"/>
        <w:jc w:val="center"/>
        <w:rPr>
          <w:rFonts w:ascii="Times New Roman" w:hAnsi="Times New Roman"/>
          <w:b/>
          <w:noProof/>
          <w:sz w:val="24"/>
          <w:lang w:val="en-US"/>
        </w:rPr>
      </w:pPr>
      <w:r w:rsidRPr="00E40011">
        <w:rPr>
          <w:rFonts w:ascii="Times New Roman" w:hAnsi="Times New Roman"/>
          <w:b/>
          <w:noProof/>
          <w:sz w:val="24"/>
          <w:lang w:val="en-US"/>
        </w:rPr>
        <w:t>I. General Provisions</w:t>
      </w:r>
    </w:p>
    <w:p w14:paraId="0838F9C4"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25937"/>
      <w:bookmarkEnd w:id="2"/>
    </w:p>
    <w:p w14:paraId="0CD2940C"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1. These regulations prescribe:</w:t>
      </w:r>
      <w:bookmarkStart w:id="3" w:name="p1"/>
      <w:bookmarkEnd w:id="3"/>
    </w:p>
    <w:p w14:paraId="05863A8C"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1.1. the conditions for the provision of the number portability service and for the continuity of services;</w:t>
      </w:r>
    </w:p>
    <w:p w14:paraId="0980CA74"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1.2. the time limits for the provision of the number portability service;</w:t>
      </w:r>
    </w:p>
    <w:p w14:paraId="2CE38375"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1.3. the costs which may be included in the charge for the provision of the change of a service provider;</w:t>
      </w:r>
    </w:p>
    <w:p w14:paraId="2F36E5A3"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1.4. the scope of the information to be submitted to the Public Utilities Commission and the procedures for its submission.</w:t>
      </w:r>
    </w:p>
    <w:p w14:paraId="681478A7"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25938"/>
      <w:bookmarkEnd w:id="4"/>
    </w:p>
    <w:p w14:paraId="746581B8"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2. Within the meaning of these regulations, the term “ported number” shall mean a number transferred for use to an end-user which is retained by the end-user when changing the provider of electronic communications services (hereinafter – the merchant).</w:t>
      </w:r>
      <w:bookmarkStart w:id="5" w:name="p2"/>
      <w:bookmarkEnd w:id="5"/>
    </w:p>
    <w:p w14:paraId="752E74FD"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125939"/>
      <w:bookmarkEnd w:id="6"/>
    </w:p>
    <w:p w14:paraId="124B0593"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3. The merchant shall port a number transferred for use to an end-user as follows:</w:t>
      </w:r>
      <w:bookmarkStart w:id="7" w:name="p3"/>
      <w:bookmarkEnd w:id="7"/>
    </w:p>
    <w:p w14:paraId="63218F06"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3.1. public fixed telephone network number – from one public fixed electronic communications network to another public fixed electronic communications network;</w:t>
      </w:r>
    </w:p>
    <w:p w14:paraId="1978C2FB"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3.2. public mobile telephone network number – from one public mobile electronic communications network to another public mobile electronic communications network;</w:t>
      </w:r>
    </w:p>
    <w:p w14:paraId="48DCDCF1"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3.3. short number, service number, internet of things or machine to machine communications (IoT/M2M) number within the country – from one public electronic communications network to another public electronic communications network;</w:t>
      </w:r>
    </w:p>
    <w:p w14:paraId="5C14E782"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3.4. internet of things or machine to machine communications (IoT/M2M) number for extraterritorial use – from one public electronic communications network to another public electronic communications network if this is technically possible.</w:t>
      </w:r>
    </w:p>
    <w:p w14:paraId="29025DE4"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1125940"/>
      <w:bookmarkEnd w:id="8"/>
      <w:bookmarkEnd w:id="9"/>
    </w:p>
    <w:p w14:paraId="5AD8AA60" w14:textId="77777777" w:rsidR="00E40011" w:rsidRPr="00E40011" w:rsidRDefault="00E40011" w:rsidP="00E40011">
      <w:pPr>
        <w:shd w:val="clear" w:color="auto" w:fill="FFFFFF"/>
        <w:spacing w:after="0" w:line="240" w:lineRule="auto"/>
        <w:jc w:val="center"/>
        <w:rPr>
          <w:rFonts w:ascii="Times New Roman" w:hAnsi="Times New Roman"/>
          <w:b/>
          <w:noProof/>
          <w:sz w:val="24"/>
          <w:lang w:val="en-US"/>
        </w:rPr>
      </w:pPr>
      <w:r w:rsidRPr="00E40011">
        <w:rPr>
          <w:rFonts w:ascii="Times New Roman" w:hAnsi="Times New Roman"/>
          <w:b/>
          <w:noProof/>
          <w:sz w:val="24"/>
          <w:lang w:val="en-US"/>
        </w:rPr>
        <w:t>II. Receipt of Number Portability Service</w:t>
      </w:r>
    </w:p>
    <w:p w14:paraId="450D07B5"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125941"/>
      <w:bookmarkEnd w:id="10"/>
    </w:p>
    <w:p w14:paraId="1FED74A3" w14:textId="43AE6F86"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 xml:space="preserve">4. </w:t>
      </w:r>
      <w:r w:rsidR="00AB1558" w:rsidRPr="00AB1558">
        <w:rPr>
          <w:rFonts w:ascii="Times New Roman" w:hAnsi="Times New Roman"/>
          <w:noProof/>
          <w:sz w:val="24"/>
          <w:lang w:val="en-US"/>
        </w:rPr>
        <w:t>An end-user shall indicate the following information in an application to the recipient</w:t>
      </w:r>
      <w:r w:rsidRPr="00E40011">
        <w:rPr>
          <w:rFonts w:ascii="Times New Roman" w:hAnsi="Times New Roman"/>
          <w:noProof/>
          <w:sz w:val="24"/>
          <w:lang w:val="en-US"/>
        </w:rPr>
        <w:t>:</w:t>
      </w:r>
      <w:bookmarkStart w:id="11" w:name="p4"/>
      <w:bookmarkEnd w:id="11"/>
    </w:p>
    <w:p w14:paraId="73A0486F"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4.1. if the end-user has a valid or terminated electronic communications services contract – given name, surname, and personal identity number or the name and registration number of a legal person, the number transferred for use to the end-user and the name of the donor service provider;</w:t>
      </w:r>
    </w:p>
    <w:p w14:paraId="6707C581"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4.2. in other cases – the serial number of the subscriber identification module (SIM) card and the name of the donor service provider.</w:t>
      </w:r>
    </w:p>
    <w:p w14:paraId="3030D762"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125942"/>
      <w:bookmarkEnd w:id="12"/>
    </w:p>
    <w:p w14:paraId="5CC38532" w14:textId="6052E8D0"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lastRenderedPageBreak/>
        <w:t xml:space="preserve">5. </w:t>
      </w:r>
      <w:r w:rsidR="00C43D70" w:rsidRPr="00C43D70">
        <w:rPr>
          <w:rFonts w:ascii="Times New Roman" w:hAnsi="Times New Roman"/>
          <w:noProof/>
          <w:sz w:val="24"/>
          <w:lang w:val="en-US"/>
        </w:rPr>
        <w:t>After receipt of an application from an end-user, the recipient shall verify the information indicated in the application and, in the case referred to in Sub-paragraph 4.2 of these regulations, request to present the subscriber identification module (SIM) card</w:t>
      </w:r>
      <w:r w:rsidRPr="00E40011">
        <w:rPr>
          <w:rFonts w:ascii="Times New Roman" w:hAnsi="Times New Roman"/>
          <w:noProof/>
          <w:sz w:val="24"/>
          <w:lang w:val="en-US"/>
        </w:rPr>
        <w:t>.</w:t>
      </w:r>
      <w:bookmarkStart w:id="13" w:name="p5"/>
      <w:bookmarkEnd w:id="13"/>
    </w:p>
    <w:p w14:paraId="53D9AAA7"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125943"/>
      <w:bookmarkEnd w:id="14"/>
    </w:p>
    <w:p w14:paraId="60749A30" w14:textId="03C44879"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 xml:space="preserve">6. </w:t>
      </w:r>
      <w:r w:rsidR="00C43D70" w:rsidRPr="00C43D70">
        <w:rPr>
          <w:rFonts w:ascii="Times New Roman" w:hAnsi="Times New Roman"/>
          <w:noProof/>
          <w:sz w:val="24"/>
          <w:lang w:val="en-US"/>
        </w:rPr>
        <w:t>The recipient has the right to request and verify also other information necessary to evaluate the right of an end-user to submit an application and to receive the number portability service</w:t>
      </w:r>
      <w:r w:rsidRPr="00E40011">
        <w:rPr>
          <w:rFonts w:ascii="Times New Roman" w:hAnsi="Times New Roman"/>
          <w:noProof/>
          <w:sz w:val="24"/>
          <w:lang w:val="en-US"/>
        </w:rPr>
        <w:t>.</w:t>
      </w:r>
      <w:bookmarkStart w:id="15" w:name="p6"/>
      <w:bookmarkEnd w:id="15"/>
    </w:p>
    <w:p w14:paraId="744C1540"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1125944"/>
      <w:bookmarkEnd w:id="16"/>
    </w:p>
    <w:p w14:paraId="25D83515"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7. After receipt of an application from an end-user:</w:t>
      </w:r>
      <w:bookmarkStart w:id="17" w:name="p7"/>
      <w:bookmarkEnd w:id="17"/>
    </w:p>
    <w:p w14:paraId="727931C7" w14:textId="458D3963"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 xml:space="preserve">7.1. </w:t>
      </w:r>
      <w:r w:rsidR="00C43D70" w:rsidRPr="00C43D70">
        <w:rPr>
          <w:rFonts w:ascii="Times New Roman" w:hAnsi="Times New Roman"/>
          <w:noProof/>
          <w:sz w:val="24"/>
          <w:lang w:val="en-US"/>
        </w:rPr>
        <w:t>the recipient shall send to the donor service provider information on the application received from the end-user</w:t>
      </w:r>
      <w:r w:rsidRPr="00E40011">
        <w:rPr>
          <w:rFonts w:ascii="Times New Roman" w:hAnsi="Times New Roman"/>
          <w:noProof/>
          <w:sz w:val="24"/>
          <w:lang w:val="en-US"/>
        </w:rPr>
        <w:t>;</w:t>
      </w:r>
    </w:p>
    <w:p w14:paraId="2E77A69D" w14:textId="7E3354D6"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 xml:space="preserve">7.2. </w:t>
      </w:r>
      <w:r w:rsidR="00752530" w:rsidRPr="00752530">
        <w:rPr>
          <w:rFonts w:ascii="Times New Roman" w:hAnsi="Times New Roman"/>
          <w:noProof/>
          <w:sz w:val="24"/>
          <w:lang w:val="en-US"/>
        </w:rPr>
        <w:t>the donor service provider shall provide to the recipient a confirmation on the receipt of the sent information</w:t>
      </w:r>
      <w:r w:rsidRPr="00E40011">
        <w:rPr>
          <w:rFonts w:ascii="Times New Roman" w:hAnsi="Times New Roman"/>
          <w:noProof/>
          <w:sz w:val="24"/>
          <w:lang w:val="en-US"/>
        </w:rPr>
        <w:t>;</w:t>
      </w:r>
    </w:p>
    <w:p w14:paraId="3F3FB0AC" w14:textId="0ECD8065"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 xml:space="preserve">7.3. </w:t>
      </w:r>
      <w:r w:rsidR="00752530" w:rsidRPr="00752530">
        <w:rPr>
          <w:rFonts w:ascii="Times New Roman" w:hAnsi="Times New Roman"/>
          <w:noProof/>
          <w:sz w:val="24"/>
          <w:lang w:val="en-US"/>
        </w:rPr>
        <w:t>the donor service provider shall, within 24 hours after receipt of the information referred to in Sub-paragraph 7.1 of these regulations, except for Saturdays, Sundays, or public holidays, provide to the recipient a confirmation on the porting of the number transferred for use to the end-user or the refusal, providing a justification</w:t>
      </w:r>
      <w:r w:rsidRPr="00E40011">
        <w:rPr>
          <w:rFonts w:ascii="Times New Roman" w:hAnsi="Times New Roman"/>
          <w:noProof/>
          <w:sz w:val="24"/>
          <w:lang w:val="en-US"/>
        </w:rPr>
        <w:t>;</w:t>
      </w:r>
    </w:p>
    <w:p w14:paraId="096995F2" w14:textId="1B533B1E"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 xml:space="preserve">7.4. </w:t>
      </w:r>
      <w:r w:rsidR="00752530" w:rsidRPr="00752530">
        <w:rPr>
          <w:rFonts w:ascii="Times New Roman" w:hAnsi="Times New Roman"/>
          <w:noProof/>
          <w:sz w:val="24"/>
          <w:lang w:val="en-US"/>
        </w:rPr>
        <w:t>the recipient shall inform the end-user of the porting of the number</w:t>
      </w:r>
      <w:r w:rsidRPr="00E40011">
        <w:rPr>
          <w:rFonts w:ascii="Times New Roman" w:hAnsi="Times New Roman"/>
          <w:noProof/>
          <w:sz w:val="24"/>
          <w:lang w:val="en-US"/>
        </w:rPr>
        <w:t>;</w:t>
      </w:r>
    </w:p>
    <w:p w14:paraId="32AA2820" w14:textId="670D3060"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 xml:space="preserve">7.5. </w:t>
      </w:r>
      <w:r w:rsidR="00752530" w:rsidRPr="00752530">
        <w:rPr>
          <w:rFonts w:ascii="Times New Roman" w:hAnsi="Times New Roman"/>
          <w:noProof/>
          <w:sz w:val="24"/>
          <w:lang w:val="en-US"/>
        </w:rPr>
        <w:t>the recipient shall activate the number transferred for use to the end-user</w:t>
      </w:r>
      <w:r w:rsidRPr="00E40011">
        <w:rPr>
          <w:rFonts w:ascii="Times New Roman" w:hAnsi="Times New Roman"/>
          <w:noProof/>
          <w:sz w:val="24"/>
          <w:lang w:val="en-US"/>
        </w:rPr>
        <w:t>:</w:t>
      </w:r>
    </w:p>
    <w:p w14:paraId="44D22AD7" w14:textId="6A378F4E" w:rsidR="00E40011" w:rsidRPr="00E40011" w:rsidRDefault="00E40011" w:rsidP="00E40011">
      <w:pPr>
        <w:shd w:val="clear" w:color="auto" w:fill="FFFFFF"/>
        <w:spacing w:after="0" w:line="240" w:lineRule="auto"/>
        <w:ind w:left="709" w:firstLine="709"/>
        <w:jc w:val="both"/>
        <w:rPr>
          <w:rFonts w:ascii="Times New Roman" w:hAnsi="Times New Roman"/>
          <w:noProof/>
          <w:sz w:val="24"/>
          <w:lang w:val="en-US"/>
        </w:rPr>
      </w:pPr>
      <w:r w:rsidRPr="00E40011">
        <w:rPr>
          <w:rFonts w:ascii="Times New Roman" w:hAnsi="Times New Roman"/>
          <w:noProof/>
          <w:sz w:val="24"/>
          <w:lang w:val="en-US"/>
        </w:rPr>
        <w:t xml:space="preserve">7.5.1. </w:t>
      </w:r>
      <w:r w:rsidR="00861261" w:rsidRPr="00861261">
        <w:rPr>
          <w:rFonts w:ascii="Times New Roman" w:hAnsi="Times New Roman"/>
          <w:noProof/>
          <w:sz w:val="24"/>
          <w:lang w:val="en-US"/>
        </w:rPr>
        <w:t>in the case provided for in Sub-paragraph 3.1 of these regulations – at the time mutually agreed upon by the recipient and the end-user, without exceeding the interruption in the provision of electronic communications services longer than two hours</w:t>
      </w:r>
      <w:r w:rsidRPr="00E40011">
        <w:rPr>
          <w:rFonts w:ascii="Times New Roman" w:hAnsi="Times New Roman"/>
          <w:noProof/>
          <w:sz w:val="24"/>
          <w:lang w:val="en-US"/>
        </w:rPr>
        <w:t>;</w:t>
      </w:r>
    </w:p>
    <w:p w14:paraId="4DC2646E" w14:textId="77777777" w:rsidR="00E40011" w:rsidRPr="00E40011" w:rsidRDefault="00E40011" w:rsidP="00E40011">
      <w:pPr>
        <w:shd w:val="clear" w:color="auto" w:fill="FFFFFF"/>
        <w:spacing w:after="0" w:line="240" w:lineRule="auto"/>
        <w:ind w:left="709" w:firstLine="709"/>
        <w:jc w:val="both"/>
        <w:rPr>
          <w:rFonts w:ascii="Times New Roman" w:hAnsi="Times New Roman"/>
          <w:noProof/>
          <w:sz w:val="24"/>
          <w:lang w:val="en-US"/>
        </w:rPr>
      </w:pPr>
      <w:r w:rsidRPr="00E40011">
        <w:rPr>
          <w:rFonts w:ascii="Times New Roman" w:hAnsi="Times New Roman"/>
          <w:noProof/>
          <w:sz w:val="24"/>
          <w:lang w:val="en-US"/>
        </w:rPr>
        <w:t>7.5.2. in the case provided for in Sub-paragraphs 3.2 and 3.3 of these regulations – from Monday to Friday, from 3.00 to 5.00 o’clock, with the exception of public holidays.</w:t>
      </w:r>
    </w:p>
    <w:p w14:paraId="3593A023"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1125945"/>
      <w:bookmarkEnd w:id="18"/>
    </w:p>
    <w:p w14:paraId="7B731FD3" w14:textId="708199F2"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8. An end-user may withdraw their application before the activation of the number transferred for use to the end-user on the public electronic communications network of the recipient.</w:t>
      </w:r>
      <w:bookmarkStart w:id="19" w:name="p8"/>
      <w:bookmarkEnd w:id="19"/>
    </w:p>
    <w:p w14:paraId="0A98DBF0"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25946"/>
      <w:bookmarkEnd w:id="20"/>
    </w:p>
    <w:p w14:paraId="253A4A73" w14:textId="432D4ADA"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 xml:space="preserve">9. </w:t>
      </w:r>
      <w:r w:rsidR="006D44FC" w:rsidRPr="006D44FC">
        <w:rPr>
          <w:rFonts w:ascii="Times New Roman" w:hAnsi="Times New Roman"/>
          <w:noProof/>
          <w:sz w:val="24"/>
          <w:lang w:val="en-US"/>
        </w:rPr>
        <w:t>If the use of the ported number on the public electronic communications network of the recipient has been stopped and the recipient has not received an application from the end-user for the porting of the number to another public electronic communications network, the ported number shall, not later than six months after stopping the use, be assigned to such merchant to whom the right of use of numbering to the particular number has been granted or retransferred</w:t>
      </w:r>
      <w:r w:rsidRPr="00E40011">
        <w:rPr>
          <w:rFonts w:ascii="Times New Roman" w:hAnsi="Times New Roman"/>
          <w:noProof/>
          <w:sz w:val="24"/>
          <w:lang w:val="en-US"/>
        </w:rPr>
        <w:t>.</w:t>
      </w:r>
      <w:bookmarkStart w:id="21" w:name="p9"/>
      <w:bookmarkEnd w:id="21"/>
    </w:p>
    <w:p w14:paraId="4846E376"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1125947"/>
      <w:bookmarkEnd w:id="22"/>
      <w:bookmarkEnd w:id="23"/>
    </w:p>
    <w:p w14:paraId="6290FCDB" w14:textId="77777777" w:rsidR="00E40011" w:rsidRPr="00E40011" w:rsidRDefault="00E40011" w:rsidP="00E40011">
      <w:pPr>
        <w:shd w:val="clear" w:color="auto" w:fill="FFFFFF"/>
        <w:spacing w:after="0" w:line="240" w:lineRule="auto"/>
        <w:jc w:val="center"/>
        <w:rPr>
          <w:rFonts w:ascii="Times New Roman" w:hAnsi="Times New Roman"/>
          <w:b/>
          <w:noProof/>
          <w:sz w:val="24"/>
          <w:lang w:val="en-US"/>
        </w:rPr>
      </w:pPr>
      <w:r w:rsidRPr="00E40011">
        <w:rPr>
          <w:rFonts w:ascii="Times New Roman" w:hAnsi="Times New Roman"/>
          <w:b/>
          <w:noProof/>
          <w:sz w:val="24"/>
          <w:lang w:val="en-US"/>
        </w:rPr>
        <w:t>III. Charge for Number Portability Service</w:t>
      </w:r>
    </w:p>
    <w:p w14:paraId="6F415956"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25948"/>
      <w:bookmarkEnd w:id="24"/>
    </w:p>
    <w:p w14:paraId="390D3B25" w14:textId="5CD6B2D6"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 xml:space="preserve">10. </w:t>
      </w:r>
      <w:r w:rsidR="008265B2" w:rsidRPr="008265B2">
        <w:rPr>
          <w:rFonts w:ascii="Times New Roman" w:hAnsi="Times New Roman"/>
          <w:noProof/>
          <w:sz w:val="24"/>
          <w:lang w:val="en-US"/>
        </w:rPr>
        <w:t>The donor service provider may set a charge for the recipient for the number portability service which shall be close to the costs</w:t>
      </w:r>
      <w:r w:rsidRPr="00E40011">
        <w:rPr>
          <w:rFonts w:ascii="Times New Roman" w:hAnsi="Times New Roman"/>
          <w:noProof/>
          <w:sz w:val="24"/>
          <w:lang w:val="en-US"/>
        </w:rPr>
        <w:t>.</w:t>
      </w:r>
      <w:bookmarkStart w:id="25" w:name="p10"/>
      <w:bookmarkEnd w:id="25"/>
    </w:p>
    <w:p w14:paraId="4BA2BA81"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25949"/>
      <w:bookmarkEnd w:id="26"/>
    </w:p>
    <w:p w14:paraId="3CD9CC51"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11. The donor service provider is entitled to specify a charge for the porting of a number transferred for use to an end-user in the amount which does not exceed the total sum arising from the costs of:</w:t>
      </w:r>
      <w:bookmarkStart w:id="27" w:name="p11"/>
      <w:bookmarkEnd w:id="27"/>
    </w:p>
    <w:p w14:paraId="0A801705" w14:textId="24DA9FCF"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 xml:space="preserve">11.1. </w:t>
      </w:r>
      <w:r w:rsidR="008265B2" w:rsidRPr="008265B2">
        <w:rPr>
          <w:rFonts w:ascii="Times New Roman" w:hAnsi="Times New Roman"/>
          <w:noProof/>
          <w:sz w:val="24"/>
          <w:lang w:val="en-US"/>
        </w:rPr>
        <w:t>processing the information provided by the recipient on the application from the end-user, verification of end-user data and routing number, clarification of information and correcting the mistakes</w:t>
      </w:r>
      <w:r w:rsidRPr="00E40011">
        <w:rPr>
          <w:rFonts w:ascii="Times New Roman" w:hAnsi="Times New Roman"/>
          <w:noProof/>
          <w:sz w:val="24"/>
          <w:lang w:val="en-US"/>
        </w:rPr>
        <w:t>;</w:t>
      </w:r>
    </w:p>
    <w:p w14:paraId="6EFFDB41"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11.2. making changes in the switching or routing equipment, and also the accounting and payment systems and databases of the donor service provider;</w:t>
      </w:r>
    </w:p>
    <w:p w14:paraId="688B2E8B" w14:textId="051B9D6D"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 xml:space="preserve">11.3. </w:t>
      </w:r>
      <w:r w:rsidR="006E1568" w:rsidRPr="006E1568">
        <w:rPr>
          <w:rFonts w:ascii="Times New Roman" w:hAnsi="Times New Roman"/>
          <w:noProof/>
          <w:sz w:val="24"/>
          <w:lang w:val="en-US"/>
        </w:rPr>
        <w:t>the exchange of payment information between the donor service provider and recipient</w:t>
      </w:r>
      <w:r w:rsidRPr="00E40011">
        <w:rPr>
          <w:rFonts w:ascii="Times New Roman" w:hAnsi="Times New Roman"/>
          <w:noProof/>
          <w:sz w:val="24"/>
          <w:lang w:val="en-US"/>
        </w:rPr>
        <w:t>;</w:t>
      </w:r>
    </w:p>
    <w:p w14:paraId="3E8573EC"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11.4. the registration of the number porting in the numbering database;</w:t>
      </w:r>
    </w:p>
    <w:p w14:paraId="20BCEE04"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11.5. the use of the numbering database which depend on the number of ported numbers.</w:t>
      </w:r>
    </w:p>
    <w:p w14:paraId="0B03DBA9"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25950"/>
      <w:bookmarkEnd w:id="28"/>
    </w:p>
    <w:p w14:paraId="2E0E8B75"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12. The donor service provider shall calculate the costs referred to in Sub-paragraphs 11.1, 11.2, 11.3, and 11.4 of these regulations, using one of the following methods:</w:t>
      </w:r>
      <w:bookmarkStart w:id="29" w:name="p12"/>
      <w:bookmarkEnd w:id="29"/>
    </w:p>
    <w:p w14:paraId="7F08CFA8"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12.1. in accordance with the average time spent on each cost item for the provision of portability service for one number and the average cost of a working hour of the workforce employed in the provision of number portability service on the donor service provider in the previous calendar year;</w:t>
      </w:r>
    </w:p>
    <w:p w14:paraId="10135D2A" w14:textId="77777777" w:rsidR="00E40011" w:rsidRPr="00E40011" w:rsidRDefault="00E40011" w:rsidP="00E40011">
      <w:pPr>
        <w:shd w:val="clear" w:color="auto" w:fill="FFFFFF"/>
        <w:spacing w:after="0" w:line="240" w:lineRule="auto"/>
        <w:ind w:firstLine="709"/>
        <w:jc w:val="both"/>
        <w:rPr>
          <w:rFonts w:ascii="Times New Roman" w:hAnsi="Times New Roman"/>
          <w:noProof/>
          <w:sz w:val="24"/>
          <w:lang w:val="en-US"/>
        </w:rPr>
      </w:pPr>
      <w:r w:rsidRPr="00E40011">
        <w:rPr>
          <w:rFonts w:ascii="Times New Roman" w:hAnsi="Times New Roman"/>
          <w:noProof/>
          <w:sz w:val="24"/>
          <w:lang w:val="en-US"/>
        </w:rPr>
        <w:t>12.2. in accordance with the average costs in the previous calendar year incurred upon receipt of the service from another merchant for the provision of portability service for one number.</w:t>
      </w:r>
    </w:p>
    <w:p w14:paraId="51E9D4EC"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125951"/>
      <w:bookmarkEnd w:id="30"/>
    </w:p>
    <w:p w14:paraId="129A3236" w14:textId="486F3299"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 xml:space="preserve">13. </w:t>
      </w:r>
      <w:r w:rsidR="006E1568" w:rsidRPr="006E1568">
        <w:rPr>
          <w:rFonts w:ascii="Times New Roman" w:hAnsi="Times New Roman"/>
          <w:noProof/>
          <w:sz w:val="24"/>
          <w:lang w:val="en-US"/>
        </w:rPr>
        <w:t>The donor service provider shall ensure that the charge specified for the porting of the number transferred for use to an end-user is publicly available on its website, and the charge shall be applied equally to all recipients regardless of the type of the number to be ported</w:t>
      </w:r>
      <w:r w:rsidRPr="00E40011">
        <w:rPr>
          <w:rFonts w:ascii="Times New Roman" w:hAnsi="Times New Roman"/>
          <w:noProof/>
          <w:sz w:val="24"/>
          <w:lang w:val="en-US"/>
        </w:rPr>
        <w:t>.</w:t>
      </w:r>
      <w:bookmarkStart w:id="31" w:name="p13"/>
      <w:bookmarkEnd w:id="31"/>
    </w:p>
    <w:p w14:paraId="4084F83D"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125952"/>
      <w:bookmarkEnd w:id="32"/>
    </w:p>
    <w:p w14:paraId="483425F5"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14. The donor service provider shall, upon request of the Public Utilities Commission, provide a justification for the amount of the charge determined in Paragraph 10 of these regulations.</w:t>
      </w:r>
      <w:bookmarkStart w:id="33" w:name="p14"/>
      <w:bookmarkEnd w:id="33"/>
    </w:p>
    <w:p w14:paraId="13A11421"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125953"/>
      <w:bookmarkEnd w:id="34"/>
    </w:p>
    <w:p w14:paraId="258DED96" w14:textId="6933FE60"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 xml:space="preserve">15. </w:t>
      </w:r>
      <w:r w:rsidR="00F47732" w:rsidRPr="00F47732">
        <w:rPr>
          <w:rFonts w:ascii="Times New Roman" w:hAnsi="Times New Roman"/>
          <w:noProof/>
          <w:sz w:val="24"/>
          <w:lang w:val="en-US"/>
        </w:rPr>
        <w:t>The regular costs which are related to the provision of number portability service shall be included in the tariff of the interconnection service for the termination of the connection on own public electronic communications network</w:t>
      </w:r>
      <w:r w:rsidRPr="00E40011">
        <w:rPr>
          <w:rFonts w:ascii="Times New Roman" w:hAnsi="Times New Roman"/>
          <w:noProof/>
          <w:sz w:val="24"/>
          <w:lang w:val="en-US"/>
        </w:rPr>
        <w:t>.</w:t>
      </w:r>
      <w:bookmarkStart w:id="35" w:name="p15"/>
      <w:bookmarkEnd w:id="35"/>
    </w:p>
    <w:p w14:paraId="50E064CA"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4"/>
      <w:bookmarkStart w:id="37" w:name="n-1125954"/>
      <w:bookmarkEnd w:id="36"/>
      <w:bookmarkEnd w:id="37"/>
    </w:p>
    <w:p w14:paraId="4B87764B" w14:textId="77777777" w:rsidR="00E40011" w:rsidRPr="00E40011" w:rsidRDefault="00E40011" w:rsidP="00E40011">
      <w:pPr>
        <w:shd w:val="clear" w:color="auto" w:fill="FFFFFF"/>
        <w:spacing w:after="0" w:line="240" w:lineRule="auto"/>
        <w:jc w:val="center"/>
        <w:rPr>
          <w:rFonts w:ascii="Times New Roman" w:hAnsi="Times New Roman"/>
          <w:b/>
          <w:noProof/>
          <w:sz w:val="24"/>
          <w:lang w:val="en-US"/>
        </w:rPr>
      </w:pPr>
      <w:r w:rsidRPr="00E40011">
        <w:rPr>
          <w:rFonts w:ascii="Times New Roman" w:hAnsi="Times New Roman"/>
          <w:b/>
          <w:noProof/>
          <w:sz w:val="24"/>
          <w:lang w:val="en-US"/>
        </w:rPr>
        <w:t>IV. Closing Provisions</w:t>
      </w:r>
    </w:p>
    <w:p w14:paraId="26D1FE14"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125955"/>
      <w:bookmarkEnd w:id="38"/>
    </w:p>
    <w:p w14:paraId="610D0F25"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r w:rsidRPr="00E40011">
        <w:rPr>
          <w:rFonts w:ascii="Times New Roman" w:hAnsi="Times New Roman"/>
          <w:noProof/>
          <w:sz w:val="24"/>
          <w:lang w:val="en-US"/>
        </w:rPr>
        <w:t>16. Decision No. 1/19 of the Board of the Public Utilities Commission of 3 December 2015, Regulations Regarding the Provision of Number Portability Service (</w:t>
      </w:r>
      <w:r w:rsidRPr="00E40011">
        <w:rPr>
          <w:rFonts w:ascii="Times New Roman" w:hAnsi="Times New Roman"/>
          <w:i/>
          <w:iCs/>
          <w:noProof/>
          <w:sz w:val="24"/>
          <w:lang w:val="en-US"/>
        </w:rPr>
        <w:t>Latvijas Vēstnesis</w:t>
      </w:r>
      <w:r w:rsidRPr="00E40011">
        <w:rPr>
          <w:rFonts w:ascii="Times New Roman" w:hAnsi="Times New Roman"/>
          <w:noProof/>
          <w:sz w:val="24"/>
          <w:lang w:val="en-US"/>
        </w:rPr>
        <w:t>, 2015, No. 240; 2016, No. 237; 2021, No. 10), is repealed.</w:t>
      </w:r>
      <w:bookmarkStart w:id="39" w:name="p16"/>
      <w:bookmarkEnd w:id="39"/>
    </w:p>
    <w:p w14:paraId="4D0ADC07" w14:textId="77777777" w:rsidR="00E40011" w:rsidRPr="00E40011" w:rsidRDefault="00E40011" w:rsidP="00E40011">
      <w:pPr>
        <w:shd w:val="clear" w:color="auto" w:fill="FFFFFF"/>
        <w:spacing w:after="0" w:line="240" w:lineRule="auto"/>
        <w:jc w:val="both"/>
        <w:rPr>
          <w:rFonts w:ascii="Times New Roman" w:hAnsi="Times New Roman"/>
          <w:noProof/>
          <w:sz w:val="24"/>
          <w:lang w:val="en-US"/>
        </w:rPr>
      </w:pPr>
      <w:bookmarkStart w:id="40" w:name="p-1125956"/>
      <w:bookmarkEnd w:id="40"/>
    </w:p>
    <w:p w14:paraId="34A7CD5D"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rPr>
      </w:pPr>
      <w:r w:rsidRPr="00E40011">
        <w:rPr>
          <w:rFonts w:ascii="Times New Roman" w:hAnsi="Times New Roman"/>
          <w:noProof/>
          <w:sz w:val="24"/>
          <w:lang w:val="en-US"/>
        </w:rPr>
        <w:t xml:space="preserve">17. These regulations shall come into force on the day after their publication in the official gazette </w:t>
      </w:r>
      <w:r w:rsidRPr="00E40011">
        <w:rPr>
          <w:rFonts w:ascii="Times New Roman" w:hAnsi="Times New Roman"/>
          <w:i/>
          <w:iCs/>
          <w:noProof/>
          <w:sz w:val="24"/>
          <w:lang w:val="en-US"/>
        </w:rPr>
        <w:t>Latvijas Vēstnesis</w:t>
      </w:r>
      <w:r w:rsidRPr="00E40011">
        <w:rPr>
          <w:rFonts w:ascii="Times New Roman" w:hAnsi="Times New Roman"/>
          <w:noProof/>
          <w:sz w:val="24"/>
          <w:lang w:val="en-US"/>
        </w:rPr>
        <w:t>.</w:t>
      </w:r>
      <w:bookmarkStart w:id="41" w:name="p17"/>
      <w:bookmarkEnd w:id="41"/>
    </w:p>
    <w:p w14:paraId="247E33F1"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9B5F26" w14:textId="77777777" w:rsidR="00E40011" w:rsidRPr="00E40011" w:rsidRDefault="00E40011" w:rsidP="00E400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9DE9EE" w14:textId="77777777" w:rsidR="00E40011" w:rsidRPr="00E40011" w:rsidRDefault="00E40011" w:rsidP="00E40011">
      <w:pPr>
        <w:shd w:val="clear" w:color="auto" w:fill="FFFFFF"/>
        <w:tabs>
          <w:tab w:val="left" w:pos="8080"/>
        </w:tabs>
        <w:spacing w:after="0" w:line="240" w:lineRule="auto"/>
        <w:jc w:val="both"/>
        <w:rPr>
          <w:rFonts w:ascii="Times New Roman" w:hAnsi="Times New Roman"/>
          <w:noProof/>
          <w:sz w:val="24"/>
          <w:lang w:val="en-US"/>
        </w:rPr>
      </w:pPr>
      <w:r w:rsidRPr="00E40011">
        <w:rPr>
          <w:rFonts w:ascii="Times New Roman" w:hAnsi="Times New Roman"/>
          <w:noProof/>
          <w:sz w:val="24"/>
          <w:lang w:val="en-US"/>
        </w:rPr>
        <w:t>Acting Chairperson, Board Member of the Public Utilities Commission</w:t>
      </w:r>
      <w:r w:rsidRPr="00E40011">
        <w:rPr>
          <w:rFonts w:ascii="Times New Roman" w:hAnsi="Times New Roman"/>
          <w:noProof/>
          <w:sz w:val="24"/>
          <w:lang w:val="en-US"/>
        </w:rPr>
        <w:tab/>
        <w:t>I. Birziņš</w:t>
      </w:r>
    </w:p>
    <w:p w14:paraId="142420FC" w14:textId="77777777" w:rsidR="00E40011" w:rsidRPr="00E40011" w:rsidRDefault="00E40011" w:rsidP="00E40011">
      <w:pPr>
        <w:spacing w:after="0" w:line="240" w:lineRule="auto"/>
        <w:jc w:val="both"/>
        <w:rPr>
          <w:rFonts w:ascii="Times New Roman" w:eastAsia="Times New Roman" w:hAnsi="Times New Roman" w:cs="Times New Roman"/>
          <w:noProof/>
          <w:sz w:val="24"/>
          <w:szCs w:val="24"/>
          <w:lang w:val="en-US"/>
        </w:rPr>
      </w:pPr>
    </w:p>
    <w:sectPr w:rsidR="00E40011" w:rsidRPr="00E40011" w:rsidSect="00E9751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241D" w14:textId="77777777" w:rsidR="002E3136" w:rsidRPr="00E40011" w:rsidRDefault="002E3136" w:rsidP="002344CE">
      <w:pPr>
        <w:spacing w:after="0" w:line="240" w:lineRule="auto"/>
        <w:rPr>
          <w:noProof/>
          <w:lang w:val="en-US"/>
        </w:rPr>
      </w:pPr>
      <w:r w:rsidRPr="00E40011">
        <w:rPr>
          <w:noProof/>
          <w:lang w:val="en-US"/>
        </w:rPr>
        <w:separator/>
      </w:r>
    </w:p>
  </w:endnote>
  <w:endnote w:type="continuationSeparator" w:id="0">
    <w:p w14:paraId="7CDC1EFB" w14:textId="77777777" w:rsidR="002E3136" w:rsidRPr="00E40011" w:rsidRDefault="002E3136" w:rsidP="002344CE">
      <w:pPr>
        <w:spacing w:after="0" w:line="240" w:lineRule="auto"/>
        <w:rPr>
          <w:noProof/>
          <w:lang w:val="en-US"/>
        </w:rPr>
      </w:pPr>
      <w:r w:rsidRPr="00E40011">
        <w:rPr>
          <w:noProof/>
          <w:lang w:val="en-US"/>
        </w:rPr>
        <w:continuationSeparator/>
      </w:r>
    </w:p>
  </w:endnote>
  <w:endnote w:type="continuationNotice" w:id="1">
    <w:p w14:paraId="6998C33C" w14:textId="77777777" w:rsidR="002E3136" w:rsidRDefault="002E3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DC1A" w14:textId="77777777" w:rsidR="00E40011" w:rsidRDefault="00E40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6A85" w14:textId="77777777" w:rsidR="00D1569B" w:rsidRPr="00E40011" w:rsidRDefault="00D1569B" w:rsidP="00D1569B">
    <w:pPr>
      <w:pStyle w:val="Footer"/>
      <w:tabs>
        <w:tab w:val="right" w:pos="9072"/>
      </w:tabs>
      <w:rPr>
        <w:rFonts w:ascii="Times New Roman" w:hAnsi="Times New Roman" w:cs="Times New Roman"/>
        <w:noProof/>
        <w:sz w:val="20"/>
        <w:szCs w:val="20"/>
        <w:lang w:val="en-US"/>
      </w:rPr>
    </w:pPr>
  </w:p>
  <w:p w14:paraId="5F919859" w14:textId="4DB4921B" w:rsidR="00992579" w:rsidRPr="00E40011" w:rsidRDefault="00D1569B" w:rsidP="00D1569B">
    <w:pPr>
      <w:pStyle w:val="Footer"/>
      <w:tabs>
        <w:tab w:val="right" w:pos="9071"/>
      </w:tabs>
      <w:rPr>
        <w:rFonts w:ascii="Times New Roman" w:hAnsi="Times New Roman" w:cs="Times New Roman"/>
        <w:noProof/>
        <w:sz w:val="20"/>
        <w:szCs w:val="20"/>
        <w:lang w:val="en-US"/>
      </w:rPr>
    </w:pPr>
    <w:r w:rsidRPr="00E40011">
      <w:rPr>
        <w:rFonts w:ascii="Times New Roman" w:hAnsi="Times New Roman" w:cs="Times New Roman"/>
        <w:noProof/>
        <w:sz w:val="20"/>
        <w:szCs w:val="20"/>
        <w:lang w:val="en-US"/>
      </w:rPr>
      <w:t xml:space="preserve">Translation </w:t>
    </w:r>
    <w:r w:rsidRPr="00E40011">
      <w:rPr>
        <w:rFonts w:ascii="Times New Roman" w:hAnsi="Times New Roman" w:cs="Times New Roman"/>
        <w:noProof/>
        <w:sz w:val="20"/>
        <w:szCs w:val="20"/>
        <w:lang w:val="en-US"/>
      </w:rPr>
      <w:fldChar w:fldCharType="begin"/>
    </w:r>
    <w:r w:rsidRPr="00E40011">
      <w:rPr>
        <w:rFonts w:ascii="Times New Roman" w:hAnsi="Times New Roman" w:cs="Times New Roman"/>
        <w:noProof/>
        <w:sz w:val="20"/>
        <w:szCs w:val="20"/>
        <w:lang w:val="en-US"/>
      </w:rPr>
      <w:instrText>symbol 169 \f "UnivrstyRoman TL" \s 8</w:instrText>
    </w:r>
    <w:r w:rsidRPr="00E40011">
      <w:rPr>
        <w:rFonts w:ascii="Times New Roman" w:hAnsi="Times New Roman" w:cs="Times New Roman"/>
        <w:noProof/>
        <w:sz w:val="20"/>
        <w:szCs w:val="20"/>
        <w:lang w:val="en-US"/>
      </w:rPr>
      <w:fldChar w:fldCharType="separate"/>
    </w:r>
    <w:r w:rsidRPr="00E40011">
      <w:rPr>
        <w:rFonts w:ascii="Times New Roman" w:hAnsi="Times New Roman" w:cs="Times New Roman"/>
        <w:noProof/>
        <w:sz w:val="20"/>
        <w:szCs w:val="20"/>
        <w:lang w:val="en-US"/>
      </w:rPr>
      <w:t>©</w:t>
    </w:r>
    <w:r w:rsidRPr="00E40011">
      <w:rPr>
        <w:rFonts w:ascii="Times New Roman" w:hAnsi="Times New Roman" w:cs="Times New Roman"/>
        <w:noProof/>
        <w:sz w:val="20"/>
        <w:szCs w:val="20"/>
        <w:lang w:val="en-US"/>
      </w:rPr>
      <w:fldChar w:fldCharType="end"/>
    </w:r>
    <w:r w:rsidRPr="00E40011">
      <w:rPr>
        <w:rFonts w:ascii="Times New Roman" w:hAnsi="Times New Roman" w:cs="Times New Roman"/>
        <w:noProof/>
        <w:sz w:val="20"/>
        <w:szCs w:val="20"/>
        <w:lang w:val="en-US"/>
      </w:rPr>
      <w:t xml:space="preserve"> 2023 Valsts valodas centrs (State Language Centre)</w:t>
    </w:r>
    <w:r w:rsidRPr="00E40011">
      <w:rPr>
        <w:rFonts w:ascii="Times New Roman" w:hAnsi="Times New Roman" w:cs="Times New Roman"/>
        <w:noProof/>
        <w:sz w:val="20"/>
        <w:szCs w:val="20"/>
        <w:lang w:val="en-US"/>
      </w:rPr>
      <w:tab/>
    </w:r>
    <w:r w:rsidRPr="00E40011">
      <w:rPr>
        <w:rStyle w:val="PageNumber"/>
        <w:rFonts w:ascii="Times New Roman" w:hAnsi="Times New Roman" w:cs="Times New Roman"/>
        <w:noProof/>
        <w:sz w:val="20"/>
        <w:szCs w:val="20"/>
        <w:lang w:val="en-US"/>
      </w:rPr>
      <w:fldChar w:fldCharType="begin"/>
    </w:r>
    <w:r w:rsidRPr="00E40011">
      <w:rPr>
        <w:rStyle w:val="PageNumber"/>
        <w:rFonts w:ascii="Times New Roman" w:hAnsi="Times New Roman" w:cs="Times New Roman"/>
        <w:noProof/>
        <w:sz w:val="20"/>
        <w:szCs w:val="20"/>
        <w:lang w:val="en-US"/>
      </w:rPr>
      <w:instrText xml:space="preserve"> PAGE </w:instrText>
    </w:r>
    <w:r w:rsidRPr="00E40011">
      <w:rPr>
        <w:rStyle w:val="PageNumber"/>
        <w:rFonts w:ascii="Times New Roman" w:hAnsi="Times New Roman" w:cs="Times New Roman"/>
        <w:noProof/>
        <w:sz w:val="20"/>
        <w:szCs w:val="20"/>
        <w:lang w:val="en-US"/>
      </w:rPr>
      <w:fldChar w:fldCharType="separate"/>
    </w:r>
    <w:r w:rsidRPr="00E40011">
      <w:rPr>
        <w:rStyle w:val="PageNumber"/>
        <w:rFonts w:ascii="Times New Roman" w:hAnsi="Times New Roman" w:cs="Times New Roman"/>
        <w:noProof/>
        <w:sz w:val="20"/>
        <w:szCs w:val="20"/>
        <w:lang w:val="en-US"/>
      </w:rPr>
      <w:t>2</w:t>
    </w:r>
    <w:r w:rsidRPr="00E40011">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982F" w14:textId="77777777" w:rsidR="00F349EB" w:rsidRPr="00E40011" w:rsidRDefault="00F349EB" w:rsidP="00F349EB">
    <w:pPr>
      <w:pStyle w:val="Footer"/>
      <w:rPr>
        <w:rFonts w:ascii="Times New Roman" w:hAnsi="Times New Roman" w:cs="Times New Roman"/>
        <w:noProof/>
        <w:sz w:val="20"/>
        <w:lang w:val="en-US"/>
      </w:rPr>
    </w:pPr>
  </w:p>
  <w:p w14:paraId="59A74602" w14:textId="4AB09113" w:rsidR="00992579" w:rsidRPr="00E40011" w:rsidRDefault="00F349EB">
    <w:pPr>
      <w:pStyle w:val="Footer"/>
      <w:rPr>
        <w:rFonts w:ascii="Times New Roman" w:hAnsi="Times New Roman" w:cs="Times New Roman"/>
        <w:noProof/>
        <w:sz w:val="20"/>
        <w:lang w:val="en-US"/>
      </w:rPr>
    </w:pPr>
    <w:r w:rsidRPr="00E40011">
      <w:rPr>
        <w:rFonts w:ascii="Times New Roman" w:hAnsi="Times New Roman" w:cs="Times New Roman"/>
        <w:noProof/>
        <w:sz w:val="20"/>
        <w:lang w:val="en-US"/>
      </w:rPr>
      <w:t xml:space="preserve">Translation </w:t>
    </w:r>
    <w:r w:rsidRPr="00E40011">
      <w:rPr>
        <w:rFonts w:ascii="Times New Roman" w:hAnsi="Times New Roman" w:cs="Times New Roman"/>
        <w:noProof/>
        <w:sz w:val="20"/>
        <w:lang w:val="en-US"/>
      </w:rPr>
      <w:fldChar w:fldCharType="begin"/>
    </w:r>
    <w:r w:rsidRPr="00E40011">
      <w:rPr>
        <w:rFonts w:ascii="Times New Roman" w:hAnsi="Times New Roman" w:cs="Times New Roman"/>
        <w:noProof/>
        <w:sz w:val="20"/>
        <w:lang w:val="en-US"/>
      </w:rPr>
      <w:instrText>symbol 169 \f "UnivrstyRoman TL" \s 8</w:instrText>
    </w:r>
    <w:r w:rsidRPr="00E40011">
      <w:rPr>
        <w:rFonts w:ascii="Times New Roman" w:hAnsi="Times New Roman" w:cs="Times New Roman"/>
        <w:noProof/>
        <w:sz w:val="20"/>
        <w:lang w:val="en-US"/>
      </w:rPr>
      <w:fldChar w:fldCharType="separate"/>
    </w:r>
    <w:r w:rsidRPr="00E40011">
      <w:rPr>
        <w:rFonts w:ascii="Times New Roman" w:hAnsi="Times New Roman" w:cs="Times New Roman"/>
        <w:noProof/>
        <w:sz w:val="20"/>
        <w:lang w:val="en-US"/>
      </w:rPr>
      <w:t>©</w:t>
    </w:r>
    <w:r w:rsidRPr="00E40011">
      <w:rPr>
        <w:rFonts w:ascii="Times New Roman" w:hAnsi="Times New Roman" w:cs="Times New Roman"/>
        <w:noProof/>
        <w:sz w:val="20"/>
        <w:lang w:val="en-US"/>
      </w:rPr>
      <w:fldChar w:fldCharType="end"/>
    </w:r>
    <w:r w:rsidRPr="00E40011">
      <w:rPr>
        <w:rFonts w:ascii="Times New Roman" w:hAnsi="Times New Roman"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D146" w14:textId="77777777" w:rsidR="002E3136" w:rsidRPr="00E40011" w:rsidRDefault="002E3136" w:rsidP="002344CE">
      <w:pPr>
        <w:spacing w:after="0" w:line="240" w:lineRule="auto"/>
        <w:rPr>
          <w:noProof/>
          <w:lang w:val="en-US"/>
        </w:rPr>
      </w:pPr>
      <w:r w:rsidRPr="00E40011">
        <w:rPr>
          <w:noProof/>
          <w:lang w:val="en-US"/>
        </w:rPr>
        <w:separator/>
      </w:r>
    </w:p>
  </w:footnote>
  <w:footnote w:type="continuationSeparator" w:id="0">
    <w:p w14:paraId="1D385E3C" w14:textId="77777777" w:rsidR="002E3136" w:rsidRPr="00E40011" w:rsidRDefault="002E3136" w:rsidP="002344CE">
      <w:pPr>
        <w:spacing w:after="0" w:line="240" w:lineRule="auto"/>
        <w:rPr>
          <w:noProof/>
          <w:lang w:val="en-US"/>
        </w:rPr>
      </w:pPr>
      <w:r w:rsidRPr="00E40011">
        <w:rPr>
          <w:noProof/>
          <w:lang w:val="en-US"/>
        </w:rPr>
        <w:continuationSeparator/>
      </w:r>
    </w:p>
  </w:footnote>
  <w:footnote w:type="continuationNotice" w:id="1">
    <w:p w14:paraId="5F8F546E" w14:textId="77777777" w:rsidR="002E3136" w:rsidRDefault="002E3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EE61" w14:textId="77777777" w:rsidR="00E40011" w:rsidRDefault="00E40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0B64" w14:textId="77777777" w:rsidR="00E40011" w:rsidRDefault="00E40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43E9" w14:textId="77777777" w:rsidR="00E40011" w:rsidRDefault="00E40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F5"/>
    <w:rsid w:val="00052489"/>
    <w:rsid w:val="001629DD"/>
    <w:rsid w:val="002344CE"/>
    <w:rsid w:val="002E3136"/>
    <w:rsid w:val="003E6A15"/>
    <w:rsid w:val="004454AB"/>
    <w:rsid w:val="004F61AE"/>
    <w:rsid w:val="0052147E"/>
    <w:rsid w:val="00564499"/>
    <w:rsid w:val="00581328"/>
    <w:rsid w:val="00641CE0"/>
    <w:rsid w:val="006A34F5"/>
    <w:rsid w:val="006D44FC"/>
    <w:rsid w:val="006E1568"/>
    <w:rsid w:val="00752530"/>
    <w:rsid w:val="00772D7B"/>
    <w:rsid w:val="007C397E"/>
    <w:rsid w:val="007C4F5A"/>
    <w:rsid w:val="008265B2"/>
    <w:rsid w:val="008411C8"/>
    <w:rsid w:val="00861261"/>
    <w:rsid w:val="008824E4"/>
    <w:rsid w:val="0089716F"/>
    <w:rsid w:val="00913D7A"/>
    <w:rsid w:val="00964D47"/>
    <w:rsid w:val="00992579"/>
    <w:rsid w:val="00994854"/>
    <w:rsid w:val="00A65E5B"/>
    <w:rsid w:val="00AB1558"/>
    <w:rsid w:val="00B961AD"/>
    <w:rsid w:val="00BE404C"/>
    <w:rsid w:val="00BE69CA"/>
    <w:rsid w:val="00C43D70"/>
    <w:rsid w:val="00CA469E"/>
    <w:rsid w:val="00CF088F"/>
    <w:rsid w:val="00D07F48"/>
    <w:rsid w:val="00D1569B"/>
    <w:rsid w:val="00D61025"/>
    <w:rsid w:val="00E11BB2"/>
    <w:rsid w:val="00E12FC3"/>
    <w:rsid w:val="00E40011"/>
    <w:rsid w:val="00E41EAC"/>
    <w:rsid w:val="00E9751B"/>
    <w:rsid w:val="00F22D59"/>
    <w:rsid w:val="00F349EB"/>
    <w:rsid w:val="00F3535C"/>
    <w:rsid w:val="00F47732"/>
    <w:rsid w:val="00F64537"/>
    <w:rsid w:val="00F81202"/>
    <w:rsid w:val="00FC5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BE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44CE"/>
    <w:rPr>
      <w:color w:val="0000FF"/>
      <w:u w:val="single"/>
    </w:rPr>
  </w:style>
  <w:style w:type="paragraph" w:customStyle="1" w:styleId="tv213">
    <w:name w:val="tv213"/>
    <w:basedOn w:val="Normal"/>
    <w:rsid w:val="002344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3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CE"/>
  </w:style>
  <w:style w:type="paragraph" w:styleId="Footer">
    <w:name w:val="footer"/>
    <w:basedOn w:val="Normal"/>
    <w:link w:val="FooterChar"/>
    <w:unhideWhenUsed/>
    <w:rsid w:val="0023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CE"/>
  </w:style>
  <w:style w:type="character" w:styleId="PageNumber">
    <w:name w:val="page number"/>
    <w:rsid w:val="00D1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63285">
      <w:bodyDiv w:val="1"/>
      <w:marLeft w:val="0"/>
      <w:marRight w:val="0"/>
      <w:marTop w:val="0"/>
      <w:marBottom w:val="0"/>
      <w:divBdr>
        <w:top w:val="none" w:sz="0" w:space="0" w:color="auto"/>
        <w:left w:val="none" w:sz="0" w:space="0" w:color="auto"/>
        <w:bottom w:val="none" w:sz="0" w:space="0" w:color="auto"/>
        <w:right w:val="none" w:sz="0" w:space="0" w:color="auto"/>
      </w:divBdr>
      <w:divsChild>
        <w:div w:id="1650786468">
          <w:marLeft w:val="0"/>
          <w:marRight w:val="0"/>
          <w:marTop w:val="480"/>
          <w:marBottom w:val="240"/>
          <w:divBdr>
            <w:top w:val="none" w:sz="0" w:space="0" w:color="auto"/>
            <w:left w:val="none" w:sz="0" w:space="0" w:color="auto"/>
            <w:bottom w:val="none" w:sz="0" w:space="0" w:color="auto"/>
            <w:right w:val="none" w:sz="0" w:space="0" w:color="auto"/>
          </w:divBdr>
        </w:div>
        <w:div w:id="143089882">
          <w:marLeft w:val="0"/>
          <w:marRight w:val="0"/>
          <w:marTop w:val="0"/>
          <w:marBottom w:val="567"/>
          <w:divBdr>
            <w:top w:val="none" w:sz="0" w:space="0" w:color="auto"/>
            <w:left w:val="none" w:sz="0" w:space="0" w:color="auto"/>
            <w:bottom w:val="none" w:sz="0" w:space="0" w:color="auto"/>
            <w:right w:val="none" w:sz="0" w:space="0" w:color="auto"/>
          </w:divBdr>
        </w:div>
        <w:div w:id="501625769">
          <w:marLeft w:val="0"/>
          <w:marRight w:val="0"/>
          <w:marTop w:val="0"/>
          <w:marBottom w:val="567"/>
          <w:divBdr>
            <w:top w:val="none" w:sz="0" w:space="0" w:color="auto"/>
            <w:left w:val="none" w:sz="0" w:space="0" w:color="auto"/>
            <w:bottom w:val="none" w:sz="0" w:space="0" w:color="auto"/>
            <w:right w:val="none" w:sz="0" w:space="0" w:color="auto"/>
          </w:divBdr>
        </w:div>
        <w:div w:id="1597127495">
          <w:marLeft w:val="0"/>
          <w:marRight w:val="0"/>
          <w:marTop w:val="0"/>
          <w:marBottom w:val="0"/>
          <w:divBdr>
            <w:top w:val="none" w:sz="0" w:space="0" w:color="auto"/>
            <w:left w:val="none" w:sz="0" w:space="0" w:color="auto"/>
            <w:bottom w:val="none" w:sz="0" w:space="0" w:color="auto"/>
            <w:right w:val="none" w:sz="0" w:space="0" w:color="auto"/>
          </w:divBdr>
        </w:div>
        <w:div w:id="437456075">
          <w:marLeft w:val="0"/>
          <w:marRight w:val="0"/>
          <w:marTop w:val="0"/>
          <w:marBottom w:val="0"/>
          <w:divBdr>
            <w:top w:val="none" w:sz="0" w:space="0" w:color="auto"/>
            <w:left w:val="none" w:sz="0" w:space="0" w:color="auto"/>
            <w:bottom w:val="none" w:sz="0" w:space="0" w:color="auto"/>
            <w:right w:val="none" w:sz="0" w:space="0" w:color="auto"/>
          </w:divBdr>
        </w:div>
        <w:div w:id="1578788078">
          <w:marLeft w:val="0"/>
          <w:marRight w:val="0"/>
          <w:marTop w:val="0"/>
          <w:marBottom w:val="0"/>
          <w:divBdr>
            <w:top w:val="none" w:sz="0" w:space="0" w:color="auto"/>
            <w:left w:val="none" w:sz="0" w:space="0" w:color="auto"/>
            <w:bottom w:val="none" w:sz="0" w:space="0" w:color="auto"/>
            <w:right w:val="none" w:sz="0" w:space="0" w:color="auto"/>
          </w:divBdr>
        </w:div>
        <w:div w:id="396048790">
          <w:marLeft w:val="0"/>
          <w:marRight w:val="0"/>
          <w:marTop w:val="0"/>
          <w:marBottom w:val="0"/>
          <w:divBdr>
            <w:top w:val="none" w:sz="0" w:space="0" w:color="auto"/>
            <w:left w:val="none" w:sz="0" w:space="0" w:color="auto"/>
            <w:bottom w:val="none" w:sz="0" w:space="0" w:color="auto"/>
            <w:right w:val="none" w:sz="0" w:space="0" w:color="auto"/>
          </w:divBdr>
        </w:div>
        <w:div w:id="1079061113">
          <w:marLeft w:val="0"/>
          <w:marRight w:val="0"/>
          <w:marTop w:val="0"/>
          <w:marBottom w:val="0"/>
          <w:divBdr>
            <w:top w:val="none" w:sz="0" w:space="0" w:color="auto"/>
            <w:left w:val="none" w:sz="0" w:space="0" w:color="auto"/>
            <w:bottom w:val="none" w:sz="0" w:space="0" w:color="auto"/>
            <w:right w:val="none" w:sz="0" w:space="0" w:color="auto"/>
          </w:divBdr>
        </w:div>
        <w:div w:id="169417953">
          <w:marLeft w:val="0"/>
          <w:marRight w:val="0"/>
          <w:marTop w:val="0"/>
          <w:marBottom w:val="0"/>
          <w:divBdr>
            <w:top w:val="none" w:sz="0" w:space="0" w:color="auto"/>
            <w:left w:val="none" w:sz="0" w:space="0" w:color="auto"/>
            <w:bottom w:val="none" w:sz="0" w:space="0" w:color="auto"/>
            <w:right w:val="none" w:sz="0" w:space="0" w:color="auto"/>
          </w:divBdr>
        </w:div>
        <w:div w:id="1991248933">
          <w:marLeft w:val="0"/>
          <w:marRight w:val="0"/>
          <w:marTop w:val="0"/>
          <w:marBottom w:val="0"/>
          <w:divBdr>
            <w:top w:val="none" w:sz="0" w:space="0" w:color="auto"/>
            <w:left w:val="none" w:sz="0" w:space="0" w:color="auto"/>
            <w:bottom w:val="none" w:sz="0" w:space="0" w:color="auto"/>
            <w:right w:val="none" w:sz="0" w:space="0" w:color="auto"/>
          </w:divBdr>
        </w:div>
        <w:div w:id="1883974576">
          <w:marLeft w:val="0"/>
          <w:marRight w:val="0"/>
          <w:marTop w:val="0"/>
          <w:marBottom w:val="0"/>
          <w:divBdr>
            <w:top w:val="none" w:sz="0" w:space="0" w:color="auto"/>
            <w:left w:val="none" w:sz="0" w:space="0" w:color="auto"/>
            <w:bottom w:val="none" w:sz="0" w:space="0" w:color="auto"/>
            <w:right w:val="none" w:sz="0" w:space="0" w:color="auto"/>
          </w:divBdr>
        </w:div>
        <w:div w:id="70975828">
          <w:marLeft w:val="0"/>
          <w:marRight w:val="0"/>
          <w:marTop w:val="0"/>
          <w:marBottom w:val="0"/>
          <w:divBdr>
            <w:top w:val="none" w:sz="0" w:space="0" w:color="auto"/>
            <w:left w:val="none" w:sz="0" w:space="0" w:color="auto"/>
            <w:bottom w:val="none" w:sz="0" w:space="0" w:color="auto"/>
            <w:right w:val="none" w:sz="0" w:space="0" w:color="auto"/>
          </w:divBdr>
        </w:div>
        <w:div w:id="50733202">
          <w:marLeft w:val="0"/>
          <w:marRight w:val="0"/>
          <w:marTop w:val="0"/>
          <w:marBottom w:val="0"/>
          <w:divBdr>
            <w:top w:val="none" w:sz="0" w:space="0" w:color="auto"/>
            <w:left w:val="none" w:sz="0" w:space="0" w:color="auto"/>
            <w:bottom w:val="none" w:sz="0" w:space="0" w:color="auto"/>
            <w:right w:val="none" w:sz="0" w:space="0" w:color="auto"/>
          </w:divBdr>
        </w:div>
        <w:div w:id="344986827">
          <w:marLeft w:val="0"/>
          <w:marRight w:val="0"/>
          <w:marTop w:val="0"/>
          <w:marBottom w:val="0"/>
          <w:divBdr>
            <w:top w:val="none" w:sz="0" w:space="0" w:color="auto"/>
            <w:left w:val="none" w:sz="0" w:space="0" w:color="auto"/>
            <w:bottom w:val="none" w:sz="0" w:space="0" w:color="auto"/>
            <w:right w:val="none" w:sz="0" w:space="0" w:color="auto"/>
          </w:divBdr>
        </w:div>
        <w:div w:id="820119249">
          <w:marLeft w:val="0"/>
          <w:marRight w:val="0"/>
          <w:marTop w:val="0"/>
          <w:marBottom w:val="0"/>
          <w:divBdr>
            <w:top w:val="none" w:sz="0" w:space="0" w:color="auto"/>
            <w:left w:val="none" w:sz="0" w:space="0" w:color="auto"/>
            <w:bottom w:val="none" w:sz="0" w:space="0" w:color="auto"/>
            <w:right w:val="none" w:sz="0" w:space="0" w:color="auto"/>
          </w:divBdr>
        </w:div>
        <w:div w:id="432437646">
          <w:marLeft w:val="0"/>
          <w:marRight w:val="0"/>
          <w:marTop w:val="0"/>
          <w:marBottom w:val="0"/>
          <w:divBdr>
            <w:top w:val="none" w:sz="0" w:space="0" w:color="auto"/>
            <w:left w:val="none" w:sz="0" w:space="0" w:color="auto"/>
            <w:bottom w:val="none" w:sz="0" w:space="0" w:color="auto"/>
            <w:right w:val="none" w:sz="0" w:space="0" w:color="auto"/>
          </w:divBdr>
        </w:div>
        <w:div w:id="1841120969">
          <w:marLeft w:val="0"/>
          <w:marRight w:val="0"/>
          <w:marTop w:val="0"/>
          <w:marBottom w:val="0"/>
          <w:divBdr>
            <w:top w:val="none" w:sz="0" w:space="0" w:color="auto"/>
            <w:left w:val="none" w:sz="0" w:space="0" w:color="auto"/>
            <w:bottom w:val="none" w:sz="0" w:space="0" w:color="auto"/>
            <w:right w:val="none" w:sz="0" w:space="0" w:color="auto"/>
          </w:divBdr>
        </w:div>
        <w:div w:id="663431512">
          <w:marLeft w:val="0"/>
          <w:marRight w:val="0"/>
          <w:marTop w:val="0"/>
          <w:marBottom w:val="0"/>
          <w:divBdr>
            <w:top w:val="none" w:sz="0" w:space="0" w:color="auto"/>
            <w:left w:val="none" w:sz="0" w:space="0" w:color="auto"/>
            <w:bottom w:val="none" w:sz="0" w:space="0" w:color="auto"/>
            <w:right w:val="none" w:sz="0" w:space="0" w:color="auto"/>
          </w:divBdr>
        </w:div>
        <w:div w:id="616790056">
          <w:marLeft w:val="0"/>
          <w:marRight w:val="0"/>
          <w:marTop w:val="0"/>
          <w:marBottom w:val="0"/>
          <w:divBdr>
            <w:top w:val="none" w:sz="0" w:space="0" w:color="auto"/>
            <w:left w:val="none" w:sz="0" w:space="0" w:color="auto"/>
            <w:bottom w:val="none" w:sz="0" w:space="0" w:color="auto"/>
            <w:right w:val="none" w:sz="0" w:space="0" w:color="auto"/>
          </w:divBdr>
        </w:div>
        <w:div w:id="1281961013">
          <w:marLeft w:val="0"/>
          <w:marRight w:val="0"/>
          <w:marTop w:val="0"/>
          <w:marBottom w:val="0"/>
          <w:divBdr>
            <w:top w:val="none" w:sz="0" w:space="0" w:color="auto"/>
            <w:left w:val="none" w:sz="0" w:space="0" w:color="auto"/>
            <w:bottom w:val="none" w:sz="0" w:space="0" w:color="auto"/>
            <w:right w:val="none" w:sz="0" w:space="0" w:color="auto"/>
          </w:divBdr>
        </w:div>
        <w:div w:id="24380042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1DCCF-FCD4-4DDD-A975-949F4E944CE5}">
  <ds:schemaRefs>
    <ds:schemaRef ds:uri="http://schemas.microsoft.com/sharepoint/v3/contenttype/forms"/>
  </ds:schemaRefs>
</ds:datastoreItem>
</file>

<file path=customXml/itemProps2.xml><?xml version="1.0" encoding="utf-8"?>
<ds:datastoreItem xmlns:ds="http://schemas.openxmlformats.org/officeDocument/2006/customXml" ds:itemID="{63B8E67B-16CC-4C12-9C61-812E0688905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333CE151-1B46-442E-B635-53D2C3626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4868</Words>
  <Characters>2775</Characters>
  <Application>Microsoft Office Word</Application>
  <DocSecurity>0</DocSecurity>
  <Lines>23</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2023-02-14T09:21:00Z</dcterms:created>
  <dcterms:modified xsi:type="dcterms:W3CDTF">2023-12-19T10:08:00Z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