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1B66D" w14:textId="3A37C022" w:rsidR="00FE0DBC" w:rsidRPr="00130DB8" w:rsidRDefault="00B716EA" w:rsidP="00130DB8">
      <w:pPr>
        <w:pStyle w:val="BodyText"/>
        <w:jc w:val="both"/>
        <w:rPr>
          <w:rFonts w:ascii="Times New Roman" w:hAnsi="Times New Roman"/>
          <w:noProof/>
          <w:sz w:val="24"/>
        </w:rPr>
      </w:pPr>
      <w:r w:rsidRPr="00B716EA">
        <w:rPr>
          <w:rFonts w:ascii="Times New Roman" w:hAnsi="Times New Roman"/>
          <w:noProof/>
          <w:sz w:val="24"/>
        </w:rPr>
        <w:drawing>
          <wp:inline distT="0" distB="0" distL="0" distR="0" wp14:anchorId="07D2B172" wp14:editId="10964B4F">
            <wp:extent cx="5760720" cy="869950"/>
            <wp:effectExtent l="0" t="0" r="0" b="0"/>
            <wp:docPr id="561208209"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208209" name="Picture 1" descr="A black and white logo&#10;&#10;Description automatically generated"/>
                    <pic:cNvPicPr/>
                  </pic:nvPicPr>
                  <pic:blipFill>
                    <a:blip r:embed="rId10"/>
                    <a:stretch>
                      <a:fillRect/>
                    </a:stretch>
                  </pic:blipFill>
                  <pic:spPr>
                    <a:xfrm>
                      <a:off x="0" y="0"/>
                      <a:ext cx="5760720" cy="869950"/>
                    </a:xfrm>
                    <a:prstGeom prst="rect">
                      <a:avLst/>
                    </a:prstGeom>
                  </pic:spPr>
                </pic:pic>
              </a:graphicData>
            </a:graphic>
          </wp:inline>
        </w:drawing>
      </w:r>
    </w:p>
    <w:p w14:paraId="66506509" w14:textId="77777777" w:rsidR="00FE0DBC" w:rsidRPr="00130DB8" w:rsidRDefault="00FE0DBC" w:rsidP="00130DB8">
      <w:pPr>
        <w:pStyle w:val="BodyText"/>
        <w:jc w:val="both"/>
        <w:rPr>
          <w:rFonts w:ascii="Times New Roman" w:hAnsi="Times New Roman"/>
          <w:noProof/>
          <w:sz w:val="24"/>
        </w:rPr>
      </w:pPr>
    </w:p>
    <w:p w14:paraId="35410AC6" w14:textId="77777777" w:rsidR="00FE0DBC" w:rsidRPr="00130DB8" w:rsidRDefault="00FE0DBC" w:rsidP="00130DB8">
      <w:pPr>
        <w:pStyle w:val="BodyText"/>
        <w:jc w:val="both"/>
        <w:rPr>
          <w:rFonts w:ascii="Times New Roman" w:hAnsi="Times New Roman"/>
          <w:noProof/>
          <w:sz w:val="24"/>
        </w:rPr>
      </w:pPr>
    </w:p>
    <w:p w14:paraId="7890C2A0" w14:textId="77777777" w:rsidR="0037341C" w:rsidRDefault="00FE0DBC" w:rsidP="0079083C">
      <w:pPr>
        <w:jc w:val="center"/>
        <w:rPr>
          <w:rFonts w:ascii="Times New Roman" w:hAnsi="Times New Roman"/>
          <w:noProof/>
          <w:sz w:val="24"/>
        </w:rPr>
      </w:pPr>
      <w:r>
        <w:rPr>
          <w:rFonts w:ascii="Times New Roman" w:hAnsi="Times New Roman"/>
          <w:i/>
          <w:iCs/>
          <w:sz w:val="24"/>
        </w:rPr>
        <w:t>4 ALBERT EMBANKMENT</w:t>
      </w:r>
    </w:p>
    <w:p w14:paraId="1B47151D" w14:textId="597329D5" w:rsidR="00FE0DBC" w:rsidRDefault="00FE0DBC" w:rsidP="0079083C">
      <w:pPr>
        <w:jc w:val="center"/>
        <w:rPr>
          <w:rFonts w:ascii="Times New Roman" w:hAnsi="Times New Roman"/>
          <w:noProof/>
          <w:sz w:val="24"/>
        </w:rPr>
      </w:pPr>
      <w:r>
        <w:rPr>
          <w:rFonts w:ascii="Times New Roman" w:hAnsi="Times New Roman"/>
          <w:i/>
          <w:iCs/>
          <w:sz w:val="24"/>
        </w:rPr>
        <w:t>LONDON SE1 7SR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4"/>
        <w:gridCol w:w="4564"/>
      </w:tblGrid>
      <w:tr w:rsidR="00DB0E40" w14:paraId="39BD988C" w14:textId="77777777" w:rsidTr="00A14477">
        <w:tc>
          <w:tcPr>
            <w:tcW w:w="2500" w:type="pct"/>
          </w:tcPr>
          <w:p w14:paraId="020D19B1" w14:textId="2C370E54" w:rsidR="00DB0E40" w:rsidRDefault="00DB0E40" w:rsidP="0079083C">
            <w:pPr>
              <w:jc w:val="center"/>
              <w:rPr>
                <w:rFonts w:ascii="Times New Roman" w:hAnsi="Times New Roman"/>
                <w:noProof/>
                <w:sz w:val="24"/>
              </w:rPr>
            </w:pPr>
            <w:r>
              <w:rPr>
                <w:rFonts w:ascii="Times New Roman" w:hAnsi="Times New Roman"/>
                <w:sz w:val="24"/>
              </w:rPr>
              <w:t>Tālruņa numurs: +44 (0)20 7735 7611</w:t>
            </w:r>
          </w:p>
        </w:tc>
        <w:tc>
          <w:tcPr>
            <w:tcW w:w="2500" w:type="pct"/>
          </w:tcPr>
          <w:p w14:paraId="4B9F4F9A" w14:textId="35D1CB53" w:rsidR="00DB0E40" w:rsidRDefault="00DB0E40" w:rsidP="00DB0E40">
            <w:pPr>
              <w:tabs>
                <w:tab w:val="left" w:pos="3236"/>
              </w:tabs>
              <w:jc w:val="center"/>
              <w:rPr>
                <w:rFonts w:ascii="Times New Roman" w:hAnsi="Times New Roman"/>
                <w:noProof/>
                <w:sz w:val="24"/>
              </w:rPr>
            </w:pPr>
            <w:r>
              <w:rPr>
                <w:rFonts w:ascii="Times New Roman" w:hAnsi="Times New Roman"/>
                <w:sz w:val="24"/>
              </w:rPr>
              <w:t>Fakss: +44 (0)20 7587 3210</w:t>
            </w:r>
          </w:p>
        </w:tc>
      </w:tr>
    </w:tbl>
    <w:p w14:paraId="671A8EA6" w14:textId="77777777" w:rsidR="00FE0DBC" w:rsidRPr="00130DB8" w:rsidRDefault="00FE0DBC" w:rsidP="00130DB8">
      <w:pPr>
        <w:pStyle w:val="BodyText"/>
        <w:jc w:val="both"/>
        <w:rPr>
          <w:rFonts w:ascii="Times New Roman" w:hAnsi="Times New Roman"/>
          <w:noProof/>
          <w:sz w:val="24"/>
        </w:rPr>
      </w:pPr>
    </w:p>
    <w:p w14:paraId="00DF5EAF" w14:textId="77777777" w:rsidR="00FE0DBC" w:rsidRPr="00130DB8" w:rsidRDefault="00FE0DBC" w:rsidP="00130DB8">
      <w:pPr>
        <w:pStyle w:val="BodyText"/>
        <w:jc w:val="both"/>
        <w:rPr>
          <w:rFonts w:ascii="Times New Roman" w:hAnsi="Times New Roman"/>
          <w:noProof/>
          <w:sz w:val="24"/>
        </w:rPr>
      </w:pPr>
    </w:p>
    <w:p w14:paraId="14401407" w14:textId="77777777" w:rsidR="00FE0DBC" w:rsidRPr="00130DB8" w:rsidRDefault="00FE0DBC" w:rsidP="00130DB8">
      <w:pPr>
        <w:pStyle w:val="BodyText"/>
        <w:jc w:val="both"/>
        <w:rPr>
          <w:rFonts w:ascii="Times New Roman" w:hAnsi="Times New Roman"/>
          <w:noProof/>
          <w:sz w:val="24"/>
        </w:rPr>
      </w:pPr>
      <w:r>
        <w:rPr>
          <w:rFonts w:ascii="Times New Roman" w:hAnsi="Times New Roman"/>
          <w:i/>
          <w:iCs/>
          <w:sz w:val="24"/>
        </w:rPr>
        <w:t>NV</w:t>
      </w:r>
      <w:r>
        <w:rPr>
          <w:rFonts w:ascii="Times New Roman" w:hAnsi="Times New Roman"/>
          <w:sz w:val="24"/>
        </w:rPr>
        <w:t>. 052</w:t>
      </w:r>
    </w:p>
    <w:p w14:paraId="794D09B6" w14:textId="77777777" w:rsidR="00FE0DBC" w:rsidRPr="00130DB8" w:rsidRDefault="00FE0DBC" w:rsidP="00130DB8">
      <w:pPr>
        <w:pStyle w:val="BodyText"/>
        <w:jc w:val="both"/>
        <w:rPr>
          <w:rFonts w:ascii="Times New Roman" w:hAnsi="Times New Roman"/>
          <w:noProof/>
          <w:sz w:val="24"/>
        </w:rPr>
      </w:pPr>
    </w:p>
    <w:p w14:paraId="1B7A872A" w14:textId="283221E8" w:rsidR="00FE0DBC" w:rsidRPr="00130DB8" w:rsidRDefault="00FE0DBC" w:rsidP="00130DB8">
      <w:pPr>
        <w:pStyle w:val="BodyText"/>
        <w:jc w:val="both"/>
        <w:rPr>
          <w:rFonts w:ascii="Times New Roman" w:hAnsi="Times New Roman"/>
          <w:noProof/>
          <w:sz w:val="24"/>
        </w:rPr>
      </w:pPr>
      <w:r>
        <w:rPr>
          <w:rFonts w:ascii="Times New Roman" w:hAnsi="Times New Roman"/>
          <w:sz w:val="24"/>
        </w:rPr>
        <w:t xml:space="preserve">Ģenerālsekretāram ir tas gods atsaukties uz 1965. gada Konvencijas par starptautiskās jūras satiksmes atvieglošanu </w:t>
      </w:r>
      <w:r w:rsidR="00E70770" w:rsidRPr="00E70770">
        <w:rPr>
          <w:rFonts w:ascii="Times New Roman" w:hAnsi="Times New Roman"/>
          <w:sz w:val="24"/>
        </w:rPr>
        <w:t>(</w:t>
      </w:r>
      <w:r w:rsidR="00E70770" w:rsidRPr="00E70770">
        <w:rPr>
          <w:rFonts w:ascii="Times New Roman" w:hAnsi="Times New Roman"/>
          <w:i/>
          <w:iCs/>
          <w:sz w:val="24"/>
        </w:rPr>
        <w:t>FAL</w:t>
      </w:r>
      <w:r w:rsidR="00E70770" w:rsidRPr="00E70770">
        <w:rPr>
          <w:rFonts w:ascii="Times New Roman" w:hAnsi="Times New Roman"/>
          <w:sz w:val="24"/>
        </w:rPr>
        <w:t xml:space="preserve"> konvencija) </w:t>
      </w:r>
      <w:r>
        <w:rPr>
          <w:rFonts w:ascii="Times New Roman" w:hAnsi="Times New Roman"/>
          <w:sz w:val="24"/>
        </w:rPr>
        <w:t>pielikuma grozījumiem, ko Atvieglošanas komiteja pieņēmusi savā 46. sesijā 2022. gada 13. maijā ar Rezolūciju FAL.14(46).</w:t>
      </w:r>
    </w:p>
    <w:p w14:paraId="46A011AD" w14:textId="77777777" w:rsidR="00FE0DBC" w:rsidRPr="00130DB8" w:rsidRDefault="00FE0DBC" w:rsidP="00130DB8">
      <w:pPr>
        <w:pStyle w:val="BodyText"/>
        <w:jc w:val="both"/>
        <w:rPr>
          <w:rFonts w:ascii="Times New Roman" w:hAnsi="Times New Roman"/>
          <w:noProof/>
          <w:sz w:val="24"/>
        </w:rPr>
      </w:pPr>
    </w:p>
    <w:p w14:paraId="05D2F544" w14:textId="77777777" w:rsidR="00FE0DBC" w:rsidRPr="00130DB8" w:rsidRDefault="00FE0DBC" w:rsidP="00130DB8">
      <w:pPr>
        <w:pStyle w:val="BodyText"/>
        <w:jc w:val="both"/>
        <w:rPr>
          <w:rFonts w:ascii="Times New Roman" w:hAnsi="Times New Roman"/>
          <w:noProof/>
          <w:sz w:val="24"/>
        </w:rPr>
      </w:pPr>
    </w:p>
    <w:p w14:paraId="0917D5E6" w14:textId="76002F4B" w:rsidR="00FE0DBC" w:rsidRPr="00130DB8" w:rsidRDefault="00C43BA1" w:rsidP="00130DB8">
      <w:pPr>
        <w:pStyle w:val="BodyText"/>
        <w:jc w:val="both"/>
        <w:rPr>
          <w:rFonts w:ascii="Times New Roman" w:hAnsi="Times New Roman"/>
          <w:noProof/>
          <w:sz w:val="24"/>
        </w:rPr>
      </w:pPr>
      <w:r w:rsidRPr="00C43BA1">
        <w:rPr>
          <w:rFonts w:ascii="Times New Roman" w:hAnsi="Times New Roman"/>
          <w:sz w:val="24"/>
        </w:rPr>
        <w:t xml:space="preserve">Apstiprināta grozījumu kopija angļu, arābu, franču, krievu, ķīniešu un spāņu valodā tika nosūtīta uz </w:t>
      </w:r>
      <w:r w:rsidRPr="00C43BA1">
        <w:rPr>
          <w:rFonts w:ascii="Times New Roman" w:hAnsi="Times New Roman"/>
          <w:i/>
          <w:iCs/>
          <w:sz w:val="24"/>
        </w:rPr>
        <w:t>IMODOCS</w:t>
      </w:r>
      <w:r w:rsidRPr="00C43BA1">
        <w:rPr>
          <w:rFonts w:ascii="Times New Roman" w:hAnsi="Times New Roman"/>
          <w:sz w:val="24"/>
        </w:rPr>
        <w:t xml:space="preserve"> Līgumu sadaļu 2022. gada 20. septembrī.</w:t>
      </w:r>
    </w:p>
    <w:p w14:paraId="727581C3" w14:textId="77777777" w:rsidR="00FE0DBC" w:rsidRPr="00130DB8" w:rsidRDefault="00FE0DBC" w:rsidP="00130DB8">
      <w:pPr>
        <w:pStyle w:val="BodyText"/>
        <w:jc w:val="both"/>
        <w:rPr>
          <w:rFonts w:ascii="Times New Roman" w:hAnsi="Times New Roman"/>
          <w:noProof/>
          <w:sz w:val="24"/>
        </w:rPr>
      </w:pPr>
      <w:r>
        <w:rPr>
          <w:rFonts w:ascii="Times New Roman" w:hAnsi="Times New Roman"/>
          <w:sz w:val="24"/>
        </w:rPr>
        <w:t>Kopš apstiprinātās kopijas izdošanas ģenerālsekretāra uzmanības lokā ir nonākušas dažas kļūdas grozījumu tekstā. Atvieglošanas komiteja savā četrdesmit septītajā sesijā lēma labot šīs kļūdas un uzdeva Sekretariātam veikt Rezolūcijas FAL.14(46) apstiprinātās kopijas kļūdu labojumu (dokuments FAL 47/22, 3.10.–3.12. punkts). Tāpat Komiteja vienojās par zemsvītras piezīmes labošanu Rezolūcijas FAL.14(46) 2.1. punktā aprakstītā standarta h) apakšpunktā, kura netika iekļauta Rezolūcijas apstiprinātajā kopijā atbilstoši Organizācijas praksei.</w:t>
      </w:r>
    </w:p>
    <w:p w14:paraId="2100124C" w14:textId="77777777" w:rsidR="00FE0DBC" w:rsidRPr="00130DB8" w:rsidRDefault="00FE0DBC" w:rsidP="00130DB8">
      <w:pPr>
        <w:pStyle w:val="BodyText"/>
        <w:jc w:val="both"/>
        <w:rPr>
          <w:rFonts w:ascii="Times New Roman" w:hAnsi="Times New Roman"/>
          <w:noProof/>
          <w:sz w:val="24"/>
        </w:rPr>
      </w:pPr>
    </w:p>
    <w:p w14:paraId="1ACABC36" w14:textId="77777777" w:rsidR="00FE0DBC" w:rsidRPr="00130DB8" w:rsidRDefault="00FE0DBC" w:rsidP="00130DB8">
      <w:pPr>
        <w:pStyle w:val="BodyText"/>
        <w:jc w:val="both"/>
        <w:rPr>
          <w:rFonts w:ascii="Times New Roman" w:hAnsi="Times New Roman"/>
          <w:noProof/>
          <w:sz w:val="24"/>
        </w:rPr>
      </w:pPr>
      <w:r>
        <w:rPr>
          <w:rFonts w:ascii="Times New Roman" w:hAnsi="Times New Roman"/>
          <w:sz w:val="24"/>
        </w:rPr>
        <w:t>Redakcionālās kļūdas ir izlabotas, kā parādīts šīs verbālnotas pielikumā. Dalībvalstu valdības tiek aicinātas ņemt vērā šos labojumus.</w:t>
      </w:r>
    </w:p>
    <w:p w14:paraId="6EA32BD8" w14:textId="77777777" w:rsidR="00FE0DBC" w:rsidRPr="00130DB8" w:rsidRDefault="00FE0DBC" w:rsidP="00130DB8">
      <w:pPr>
        <w:pStyle w:val="BodyText"/>
        <w:jc w:val="both"/>
        <w:rPr>
          <w:rFonts w:ascii="Times New Roman" w:hAnsi="Times New Roman"/>
          <w:noProof/>
          <w:sz w:val="24"/>
        </w:rPr>
      </w:pPr>
    </w:p>
    <w:p w14:paraId="04D60192" w14:textId="77777777" w:rsidR="00FE0DBC" w:rsidRPr="00130DB8" w:rsidRDefault="00FE0DBC" w:rsidP="00130DB8">
      <w:pPr>
        <w:pStyle w:val="BodyText"/>
        <w:jc w:val="both"/>
        <w:rPr>
          <w:rFonts w:ascii="Times New Roman" w:hAnsi="Times New Roman"/>
          <w:noProof/>
          <w:sz w:val="24"/>
        </w:rPr>
      </w:pPr>
    </w:p>
    <w:p w14:paraId="23C5171C" w14:textId="77777777" w:rsidR="00FE0DBC" w:rsidRPr="00130DB8" w:rsidRDefault="00FE0DBC" w:rsidP="00130DB8">
      <w:pPr>
        <w:pStyle w:val="BodyText"/>
        <w:jc w:val="both"/>
        <w:rPr>
          <w:rFonts w:ascii="Times New Roman" w:hAnsi="Times New Roman"/>
          <w:noProof/>
          <w:sz w:val="24"/>
        </w:rPr>
      </w:pPr>
    </w:p>
    <w:p w14:paraId="5B144465" w14:textId="77777777" w:rsidR="00FE0DBC" w:rsidRPr="00130DB8" w:rsidRDefault="00FE0DBC" w:rsidP="00130DB8">
      <w:pPr>
        <w:pStyle w:val="BodyText"/>
        <w:jc w:val="both"/>
        <w:rPr>
          <w:rFonts w:ascii="Times New Roman" w:hAnsi="Times New Roman"/>
          <w:noProof/>
          <w:sz w:val="24"/>
        </w:rPr>
      </w:pPr>
      <w:r>
        <w:rPr>
          <w:rFonts w:ascii="Times New Roman" w:hAnsi="Times New Roman"/>
          <w:sz w:val="24"/>
        </w:rPr>
        <w:t>Londona, 2023. gada 4. jūlijs</w:t>
      </w:r>
    </w:p>
    <w:p w14:paraId="3390AB83" w14:textId="751C260B" w:rsidR="00FE0DBC" w:rsidRPr="00130DB8" w:rsidRDefault="0051421A" w:rsidP="00130DB8">
      <w:pPr>
        <w:pStyle w:val="BodyText"/>
        <w:jc w:val="both"/>
        <w:rPr>
          <w:rFonts w:ascii="Times New Roman" w:hAnsi="Times New Roman"/>
          <w:noProof/>
          <w:sz w:val="24"/>
        </w:rPr>
      </w:pPr>
      <w:r>
        <w:rPr>
          <w:rFonts w:ascii="Times New Roman" w:hAnsi="Times New Roman"/>
          <w:noProof/>
          <w:sz w:val="24"/>
        </w:rPr>
        <w:drawing>
          <wp:inline distT="0" distB="0" distL="0" distR="0" wp14:anchorId="53EC5C38" wp14:editId="0B16A6FC">
            <wp:extent cx="699654" cy="333392"/>
            <wp:effectExtent l="0" t="0" r="0" b="0"/>
            <wp:docPr id="1002263956" name="Picture 1" descr="A close up of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63956" name="Picture 1" descr="A close up of a blue line&#10;&#10;Description automatically generated"/>
                    <pic:cNvPicPr/>
                  </pic:nvPicPr>
                  <pic:blipFill>
                    <a:blip r:embed="rId11"/>
                    <a:stretch>
                      <a:fillRect/>
                    </a:stretch>
                  </pic:blipFill>
                  <pic:spPr>
                    <a:xfrm>
                      <a:off x="0" y="0"/>
                      <a:ext cx="710160" cy="338398"/>
                    </a:xfrm>
                    <a:prstGeom prst="rect">
                      <a:avLst/>
                    </a:prstGeom>
                  </pic:spPr>
                </pic:pic>
              </a:graphicData>
            </a:graphic>
          </wp:inline>
        </w:drawing>
      </w:r>
    </w:p>
    <w:p w14:paraId="50108BBE" w14:textId="77777777" w:rsidR="00FE0DBC" w:rsidRPr="00130DB8" w:rsidRDefault="00FE0DBC" w:rsidP="00130DB8">
      <w:pPr>
        <w:pStyle w:val="BodyText"/>
        <w:jc w:val="both"/>
        <w:rPr>
          <w:rFonts w:ascii="Times New Roman" w:hAnsi="Times New Roman"/>
          <w:noProof/>
          <w:sz w:val="24"/>
        </w:rPr>
      </w:pPr>
    </w:p>
    <w:p w14:paraId="5B43A3B9" w14:textId="7F10BCA1" w:rsidR="00FE0DBC" w:rsidRDefault="00FE0DBC" w:rsidP="00130DB8">
      <w:pPr>
        <w:pStyle w:val="BodyText"/>
        <w:jc w:val="both"/>
        <w:rPr>
          <w:rFonts w:ascii="Times New Roman" w:hAnsi="Times New Roman"/>
          <w:noProof/>
          <w:sz w:val="24"/>
        </w:rPr>
      </w:pPr>
    </w:p>
    <w:p w14:paraId="09215D7F" w14:textId="2D89A2D7" w:rsidR="0011382B" w:rsidRDefault="0011382B" w:rsidP="00130DB8">
      <w:pPr>
        <w:pStyle w:val="BodyText"/>
        <w:jc w:val="both"/>
        <w:rPr>
          <w:rFonts w:ascii="Times New Roman" w:hAnsi="Times New Roman"/>
          <w:noProof/>
          <w:sz w:val="24"/>
        </w:rPr>
      </w:pPr>
    </w:p>
    <w:p w14:paraId="5C454153" w14:textId="49A90C82" w:rsidR="0011382B" w:rsidRDefault="0011382B" w:rsidP="0011382B">
      <w:pPr>
        <w:pStyle w:val="BodyText"/>
        <w:jc w:val="center"/>
        <w:rPr>
          <w:rFonts w:eastAsiaTheme="minorHAnsi"/>
          <w:color w:val="2A2D2E"/>
          <w:sz w:val="20"/>
          <w:szCs w:val="20"/>
        </w:rPr>
      </w:pPr>
      <w:r>
        <w:rPr>
          <w:color w:val="2A2D2E"/>
          <w:sz w:val="20"/>
        </w:rPr>
        <w:t>***</w:t>
      </w:r>
    </w:p>
    <w:p w14:paraId="62064B08" w14:textId="77777777" w:rsidR="0011382B" w:rsidRDefault="0011382B" w:rsidP="0011382B">
      <w:pPr>
        <w:pStyle w:val="BodyText"/>
        <w:jc w:val="center"/>
        <w:rPr>
          <w:rFonts w:ascii="Times New Roman" w:hAnsi="Times New Roman"/>
          <w:noProof/>
          <w:sz w:val="24"/>
        </w:rPr>
      </w:pPr>
    </w:p>
    <w:p w14:paraId="12A4F1D9" w14:textId="77777777" w:rsidR="005E68D4" w:rsidRDefault="005E68D4" w:rsidP="0011382B">
      <w:pPr>
        <w:pStyle w:val="BodyText"/>
        <w:jc w:val="center"/>
        <w:rPr>
          <w:rFonts w:ascii="Times New Roman" w:hAnsi="Times New Roman"/>
          <w:noProof/>
          <w:sz w:val="24"/>
        </w:rPr>
      </w:pPr>
    </w:p>
    <w:p w14:paraId="200705BB" w14:textId="77777777" w:rsidR="001C5C19" w:rsidRDefault="001C5C19" w:rsidP="0011382B">
      <w:pPr>
        <w:pStyle w:val="BodyText"/>
        <w:jc w:val="center"/>
        <w:rPr>
          <w:rFonts w:ascii="Times New Roman" w:hAnsi="Times New Roman"/>
          <w:noProof/>
          <w:sz w:val="24"/>
        </w:rPr>
      </w:pPr>
    </w:p>
    <w:p w14:paraId="1346F32F" w14:textId="77777777" w:rsidR="001C5C19" w:rsidRDefault="001C5C19" w:rsidP="0011382B">
      <w:pPr>
        <w:pStyle w:val="BodyText"/>
        <w:jc w:val="center"/>
        <w:rPr>
          <w:rFonts w:ascii="Times New Roman" w:hAnsi="Times New Roman"/>
          <w:noProof/>
          <w:sz w:val="24"/>
        </w:rPr>
      </w:pPr>
    </w:p>
    <w:p w14:paraId="2F5BD261" w14:textId="77777777" w:rsidR="001C5C19" w:rsidRDefault="001C5C19" w:rsidP="0011382B">
      <w:pPr>
        <w:pStyle w:val="BodyText"/>
        <w:jc w:val="center"/>
        <w:rPr>
          <w:rFonts w:ascii="Times New Roman" w:hAnsi="Times New Roman"/>
          <w:noProof/>
          <w:sz w:val="24"/>
        </w:rPr>
      </w:pPr>
    </w:p>
    <w:p w14:paraId="59095F04" w14:textId="77777777" w:rsidR="001C5C19" w:rsidRDefault="001C5C19" w:rsidP="00BD2C58">
      <w:pPr>
        <w:pStyle w:val="BodyText"/>
        <w:rPr>
          <w:rFonts w:ascii="Times New Roman" w:hAnsi="Times New Roman"/>
          <w:noProof/>
          <w:sz w:val="24"/>
        </w:rPr>
      </w:pPr>
    </w:p>
    <w:p w14:paraId="774E4D46" w14:textId="77777777" w:rsidR="001C5C19" w:rsidRPr="00130DB8" w:rsidRDefault="001C5C19" w:rsidP="0011382B">
      <w:pPr>
        <w:pStyle w:val="BodyText"/>
        <w:jc w:val="center"/>
        <w:rPr>
          <w:rFonts w:ascii="Times New Roman" w:hAnsi="Times New Roman"/>
          <w:noProof/>
          <w:sz w:val="24"/>
        </w:rPr>
      </w:pPr>
    </w:p>
    <w:p w14:paraId="36855833" w14:textId="64F82AE4" w:rsidR="001C5C19" w:rsidRDefault="00FE0DBC" w:rsidP="005E68D4">
      <w:pPr>
        <w:pStyle w:val="BodyText"/>
        <w:jc w:val="right"/>
        <w:rPr>
          <w:rFonts w:ascii="Times New Roman" w:hAnsi="Times New Roman"/>
          <w:noProof/>
          <w:sz w:val="24"/>
        </w:rPr>
      </w:pPr>
      <w:r>
        <w:rPr>
          <w:rFonts w:ascii="Times New Roman" w:hAnsi="Times New Roman"/>
          <w:noProof/>
          <w:sz w:val="24"/>
        </w:rPr>
        <w:drawing>
          <wp:inline distT="0" distB="0" distL="0" distR="0" wp14:anchorId="2E8A599C" wp14:editId="0C9C8E04">
            <wp:extent cx="1272646" cy="482345"/>
            <wp:effectExtent l="0" t="0" r="0" b="0"/>
            <wp:docPr id="1" name="image3.jpeg"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eg" descr="A logo for a company&#10;&#10;Description automatically generated"/>
                    <pic:cNvPicPr/>
                  </pic:nvPicPr>
                  <pic:blipFill>
                    <a:blip r:embed="rId12" cstate="print"/>
                    <a:stretch>
                      <a:fillRect/>
                    </a:stretch>
                  </pic:blipFill>
                  <pic:spPr>
                    <a:xfrm>
                      <a:off x="0" y="0"/>
                      <a:ext cx="1272646" cy="482345"/>
                    </a:xfrm>
                    <a:prstGeom prst="rect">
                      <a:avLst/>
                    </a:prstGeom>
                  </pic:spPr>
                </pic:pic>
              </a:graphicData>
            </a:graphic>
          </wp:inline>
        </w:drawing>
      </w:r>
    </w:p>
    <w:p w14:paraId="1F925F9F" w14:textId="77777777" w:rsidR="001C5C19" w:rsidRDefault="001C5C19">
      <w:pPr>
        <w:rPr>
          <w:rFonts w:ascii="Times New Roman" w:hAnsi="Times New Roman"/>
          <w:noProof/>
          <w:sz w:val="24"/>
          <w:szCs w:val="21"/>
        </w:rPr>
      </w:pPr>
      <w:r>
        <w:rPr>
          <w:rFonts w:ascii="Times New Roman" w:hAnsi="Times New Roman"/>
          <w:noProof/>
          <w:sz w:val="24"/>
        </w:rPr>
        <w:br w:type="page"/>
      </w:r>
    </w:p>
    <w:p w14:paraId="0D03C70E" w14:textId="77777777" w:rsidR="00FE0DBC" w:rsidRPr="00130DB8" w:rsidRDefault="00FE0DBC" w:rsidP="005E68D4">
      <w:pPr>
        <w:pStyle w:val="BodyText"/>
        <w:jc w:val="right"/>
        <w:rPr>
          <w:rFonts w:ascii="Times New Roman" w:hAnsi="Times New Roman"/>
          <w:noProof/>
          <w:sz w:val="24"/>
        </w:rPr>
      </w:pPr>
    </w:p>
    <w:p w14:paraId="7424514B" w14:textId="66E15127" w:rsidR="00FE0DBC" w:rsidRPr="00B91180" w:rsidRDefault="00FE0DBC" w:rsidP="006F0CAF">
      <w:pPr>
        <w:pStyle w:val="Heading1"/>
        <w:ind w:left="0"/>
        <w:rPr>
          <w:rFonts w:ascii="Times New Roman" w:hAnsi="Times New Roman"/>
          <w:b/>
          <w:bCs/>
          <w:noProof/>
          <w:sz w:val="24"/>
        </w:rPr>
      </w:pPr>
      <w:r>
        <w:rPr>
          <w:rFonts w:ascii="Times New Roman" w:hAnsi="Times New Roman"/>
          <w:b/>
          <w:sz w:val="24"/>
        </w:rPr>
        <w:t>PIELIKUMS</w:t>
      </w:r>
    </w:p>
    <w:p w14:paraId="57480D27" w14:textId="77777777" w:rsidR="006F0CAF" w:rsidRPr="00B91180" w:rsidRDefault="006F0CAF" w:rsidP="006F0CAF">
      <w:pPr>
        <w:pStyle w:val="Heading1"/>
        <w:ind w:left="0"/>
        <w:rPr>
          <w:rFonts w:ascii="Times New Roman" w:hAnsi="Times New Roman"/>
          <w:b/>
          <w:bCs/>
          <w:noProof/>
          <w:sz w:val="24"/>
        </w:rPr>
      </w:pPr>
    </w:p>
    <w:p w14:paraId="65BEF3DA" w14:textId="198ED7F9" w:rsidR="00FE0DBC" w:rsidRPr="00B91180" w:rsidRDefault="00FE0DBC" w:rsidP="006F0CAF">
      <w:pPr>
        <w:jc w:val="center"/>
        <w:rPr>
          <w:rFonts w:ascii="Times New Roman" w:hAnsi="Times New Roman"/>
          <w:b/>
          <w:bCs/>
          <w:noProof/>
          <w:sz w:val="24"/>
        </w:rPr>
      </w:pPr>
      <w:r>
        <w:rPr>
          <w:rFonts w:ascii="Times New Roman" w:hAnsi="Times New Roman"/>
          <w:b/>
          <w:sz w:val="24"/>
        </w:rPr>
        <w:t>1965. GADA KONVENCIJAS PAR STARPTAUTISKĀS JŪRAS SATIKSMES ATVIEGLOŠANU (</w:t>
      </w:r>
      <w:r>
        <w:rPr>
          <w:rFonts w:ascii="Times New Roman" w:hAnsi="Times New Roman"/>
          <w:b/>
          <w:i/>
          <w:iCs/>
          <w:sz w:val="24"/>
        </w:rPr>
        <w:t>FAL</w:t>
      </w:r>
      <w:r>
        <w:rPr>
          <w:rFonts w:ascii="Times New Roman" w:hAnsi="Times New Roman"/>
          <w:b/>
          <w:sz w:val="24"/>
        </w:rPr>
        <w:t xml:space="preserve"> KONVENCIJA, 1965) PIELIKUMA GROZĪJUMI, KAS PIEŅEMTI 2022. GADĀ</w:t>
      </w:r>
    </w:p>
    <w:p w14:paraId="3F905A8D" w14:textId="77777777" w:rsidR="00B91180" w:rsidRPr="00B91180" w:rsidRDefault="00B91180" w:rsidP="006F0CAF">
      <w:pPr>
        <w:jc w:val="center"/>
        <w:rPr>
          <w:rFonts w:ascii="Times New Roman" w:hAnsi="Times New Roman"/>
          <w:b/>
          <w:bCs/>
          <w:noProof/>
          <w:sz w:val="24"/>
        </w:rPr>
      </w:pPr>
    </w:p>
    <w:p w14:paraId="699DD82C" w14:textId="77777777" w:rsidR="00FE0DBC" w:rsidRPr="00B91180" w:rsidRDefault="00FE0DBC" w:rsidP="006F0CAF">
      <w:pPr>
        <w:jc w:val="center"/>
        <w:rPr>
          <w:rFonts w:ascii="Times New Roman" w:hAnsi="Times New Roman"/>
          <w:b/>
          <w:bCs/>
          <w:noProof/>
          <w:sz w:val="24"/>
        </w:rPr>
      </w:pPr>
      <w:r>
        <w:rPr>
          <w:rFonts w:ascii="Times New Roman" w:hAnsi="Times New Roman"/>
          <w:b/>
          <w:sz w:val="24"/>
        </w:rPr>
        <w:t>LABOJUMI</w:t>
      </w:r>
    </w:p>
    <w:p w14:paraId="677AF1FD" w14:textId="77777777" w:rsidR="00FE0DBC" w:rsidRPr="00130DB8" w:rsidRDefault="00FE0DBC" w:rsidP="00130DB8">
      <w:pPr>
        <w:pStyle w:val="BodyText"/>
        <w:jc w:val="both"/>
        <w:rPr>
          <w:rFonts w:ascii="Times New Roman" w:hAnsi="Times New Roman"/>
          <w:noProof/>
          <w:sz w:val="24"/>
        </w:rPr>
      </w:pPr>
    </w:p>
    <w:p w14:paraId="72A2673A" w14:textId="6E75E78E" w:rsidR="00FE0DBC" w:rsidRPr="00130DB8" w:rsidRDefault="00FE0DBC" w:rsidP="00130DB8">
      <w:pPr>
        <w:jc w:val="both"/>
        <w:rPr>
          <w:rFonts w:ascii="Times New Roman" w:hAnsi="Times New Roman"/>
          <w:noProof/>
          <w:sz w:val="24"/>
        </w:rPr>
      </w:pPr>
      <w:r>
        <w:rPr>
          <w:rFonts w:ascii="Times New Roman" w:hAnsi="Times New Roman"/>
          <w:sz w:val="24"/>
        </w:rPr>
        <w:t xml:space="preserve">Turpmāk minētie labojumi attiecas uz tekstu </w:t>
      </w:r>
      <w:r w:rsidR="00970A0F">
        <w:rPr>
          <w:rFonts w:ascii="Times New Roman" w:hAnsi="Times New Roman"/>
          <w:sz w:val="24"/>
        </w:rPr>
        <w:t xml:space="preserve">visās </w:t>
      </w:r>
      <w:r>
        <w:rPr>
          <w:rFonts w:ascii="Times New Roman" w:hAnsi="Times New Roman"/>
          <w:sz w:val="24"/>
        </w:rPr>
        <w:t>valodās, kas iekļautas apstiprinātajā Rezolūcijas FAL.14(46) kopijā.</w:t>
      </w:r>
    </w:p>
    <w:p w14:paraId="5B5F009F" w14:textId="77777777" w:rsidR="00FE0DBC" w:rsidRPr="00130DB8" w:rsidRDefault="00FE0DBC" w:rsidP="00130DB8">
      <w:pPr>
        <w:pStyle w:val="BodyText"/>
        <w:jc w:val="both"/>
        <w:rPr>
          <w:rFonts w:ascii="Times New Roman" w:hAnsi="Times New Roman"/>
          <w:noProof/>
          <w:sz w:val="24"/>
        </w:rPr>
      </w:pPr>
    </w:p>
    <w:p w14:paraId="66A7CAF8" w14:textId="77777777" w:rsidR="00FE0DBC" w:rsidRPr="00B91180" w:rsidRDefault="00FE0DBC" w:rsidP="00B91180">
      <w:pPr>
        <w:jc w:val="center"/>
        <w:rPr>
          <w:rFonts w:ascii="Times New Roman" w:hAnsi="Times New Roman"/>
          <w:b/>
          <w:bCs/>
          <w:noProof/>
          <w:sz w:val="24"/>
        </w:rPr>
      </w:pPr>
      <w:r>
        <w:rPr>
          <w:rFonts w:ascii="Times New Roman" w:hAnsi="Times New Roman"/>
          <w:b/>
          <w:sz w:val="24"/>
        </w:rPr>
        <w:t>PIELIKUMS</w:t>
      </w:r>
    </w:p>
    <w:p w14:paraId="1F8C71DA" w14:textId="77777777" w:rsidR="00B91180" w:rsidRPr="00130DB8" w:rsidRDefault="00B91180" w:rsidP="00130DB8">
      <w:pPr>
        <w:jc w:val="both"/>
        <w:rPr>
          <w:rFonts w:ascii="Times New Roman" w:hAnsi="Times New Roman"/>
          <w:noProof/>
          <w:sz w:val="24"/>
        </w:rPr>
      </w:pPr>
    </w:p>
    <w:p w14:paraId="4E228BEC" w14:textId="77777777" w:rsidR="00FE0DBC" w:rsidRDefault="00FE0DBC" w:rsidP="00595B82">
      <w:pPr>
        <w:jc w:val="center"/>
        <w:rPr>
          <w:rFonts w:ascii="Times New Roman" w:hAnsi="Times New Roman"/>
          <w:b/>
          <w:bCs/>
          <w:noProof/>
          <w:sz w:val="24"/>
        </w:rPr>
      </w:pPr>
      <w:r>
        <w:rPr>
          <w:rFonts w:ascii="Times New Roman" w:hAnsi="Times New Roman"/>
          <w:b/>
          <w:sz w:val="24"/>
        </w:rPr>
        <w:t>2. nodaļa. Kuģa ienākšana, stāvēšana un iziešana</w:t>
      </w:r>
    </w:p>
    <w:p w14:paraId="71FB7697" w14:textId="77777777" w:rsidR="00595B82" w:rsidRPr="00595B82" w:rsidRDefault="00595B82" w:rsidP="00595B82">
      <w:pPr>
        <w:jc w:val="center"/>
        <w:rPr>
          <w:rFonts w:ascii="Times New Roman" w:hAnsi="Times New Roman"/>
          <w:b/>
          <w:bCs/>
          <w:noProof/>
          <w:sz w:val="24"/>
        </w:rPr>
      </w:pPr>
    </w:p>
    <w:p w14:paraId="1E5EB1EE" w14:textId="5DAA4902" w:rsidR="00FE0DBC" w:rsidRPr="00595B82" w:rsidRDefault="00595B82" w:rsidP="00595B82">
      <w:pPr>
        <w:pStyle w:val="ListParagraph"/>
        <w:tabs>
          <w:tab w:val="left" w:pos="4231"/>
        </w:tabs>
        <w:spacing w:before="0"/>
        <w:ind w:left="0" w:firstLine="0"/>
        <w:jc w:val="center"/>
        <w:rPr>
          <w:rFonts w:ascii="Times New Roman" w:hAnsi="Times New Roman"/>
          <w:b/>
          <w:bCs/>
          <w:noProof/>
          <w:sz w:val="24"/>
        </w:rPr>
      </w:pPr>
      <w:r>
        <w:rPr>
          <w:rFonts w:ascii="Times New Roman" w:hAnsi="Times New Roman"/>
          <w:b/>
          <w:sz w:val="24"/>
        </w:rPr>
        <w:t>A. Vispārīgi noteikumi</w:t>
      </w:r>
    </w:p>
    <w:p w14:paraId="1E6D3119" w14:textId="77777777" w:rsidR="00595B82" w:rsidRPr="00130DB8" w:rsidRDefault="00595B82" w:rsidP="00595B82">
      <w:pPr>
        <w:pStyle w:val="ListParagraph"/>
        <w:tabs>
          <w:tab w:val="left" w:pos="4231"/>
        </w:tabs>
        <w:spacing w:before="0"/>
        <w:ind w:left="0" w:firstLine="0"/>
        <w:jc w:val="both"/>
        <w:rPr>
          <w:rFonts w:ascii="Times New Roman" w:hAnsi="Times New Roman"/>
          <w:noProof/>
          <w:sz w:val="24"/>
        </w:rPr>
      </w:pPr>
    </w:p>
    <w:p w14:paraId="31DCBF18" w14:textId="18126B04" w:rsidR="00FE0DBC" w:rsidRPr="00130DB8" w:rsidRDefault="000862AD" w:rsidP="000862AD">
      <w:pPr>
        <w:pStyle w:val="ListParagraph"/>
        <w:tabs>
          <w:tab w:val="left" w:pos="962"/>
          <w:tab w:val="left" w:pos="963"/>
        </w:tabs>
        <w:spacing w:before="0"/>
        <w:ind w:left="0" w:firstLine="0"/>
        <w:jc w:val="both"/>
        <w:rPr>
          <w:rFonts w:ascii="Times New Roman" w:hAnsi="Times New Roman"/>
          <w:noProof/>
          <w:sz w:val="24"/>
        </w:rPr>
      </w:pPr>
      <w:r>
        <w:rPr>
          <w:rFonts w:ascii="Times New Roman" w:hAnsi="Times New Roman"/>
          <w:sz w:val="24"/>
        </w:rPr>
        <w:t xml:space="preserve">1. </w:t>
      </w:r>
      <w:r>
        <w:rPr>
          <w:rFonts w:ascii="Times New Roman" w:hAnsi="Times New Roman"/>
          <w:b/>
          <w:sz w:val="24"/>
        </w:rPr>
        <w:t>Standarts.</w:t>
      </w:r>
      <w:r>
        <w:rPr>
          <w:rFonts w:ascii="Times New Roman" w:hAnsi="Times New Roman"/>
          <w:sz w:val="24"/>
        </w:rPr>
        <w:t xml:space="preserve"> </w:t>
      </w:r>
      <w:r w:rsidR="00514A52" w:rsidRPr="00514A52">
        <w:rPr>
          <w:rFonts w:ascii="Times New Roman" w:hAnsi="Times New Roman"/>
          <w:sz w:val="24"/>
        </w:rPr>
        <w:t>2.1. punkta h) apakšpunkta frāze “Īpašā deklarācija attiecībā uz pasta sūtījumiem, kas aprakstīta pašreiz spēkā esošajos Pasaules Pasta savienības aktos”</w:t>
      </w:r>
      <w:r w:rsidR="00514A52">
        <w:rPr>
          <w:rFonts w:ascii="Times New Roman" w:hAnsi="Times New Roman"/>
          <w:sz w:val="24"/>
        </w:rPr>
        <w:t xml:space="preserve"> </w:t>
      </w:r>
      <w:r>
        <w:rPr>
          <w:rFonts w:ascii="Times New Roman" w:hAnsi="Times New Roman"/>
          <w:sz w:val="24"/>
        </w:rPr>
        <w:t>tiek aizstāts ar:</w:t>
      </w:r>
    </w:p>
    <w:p w14:paraId="7C9BC811" w14:textId="77777777" w:rsidR="00FE0DBC" w:rsidRPr="00130DB8" w:rsidRDefault="00FE0DBC" w:rsidP="00130DB8">
      <w:pPr>
        <w:pStyle w:val="BodyText"/>
        <w:jc w:val="both"/>
        <w:rPr>
          <w:rFonts w:ascii="Times New Roman" w:hAnsi="Times New Roman"/>
          <w:noProof/>
          <w:sz w:val="24"/>
        </w:rPr>
      </w:pPr>
    </w:p>
    <w:p w14:paraId="7F5737E5" w14:textId="2BE5DF18" w:rsidR="00FE0DBC" w:rsidRPr="00130DB8" w:rsidRDefault="00FE0DBC" w:rsidP="000862AD">
      <w:pPr>
        <w:ind w:left="284"/>
        <w:jc w:val="both"/>
        <w:rPr>
          <w:rFonts w:ascii="Times New Roman" w:hAnsi="Times New Roman"/>
          <w:noProof/>
          <w:sz w:val="24"/>
        </w:rPr>
      </w:pPr>
      <w:r>
        <w:rPr>
          <w:rFonts w:ascii="Times New Roman" w:hAnsi="Times New Roman"/>
          <w:sz w:val="24"/>
        </w:rPr>
        <w:t>“</w:t>
      </w:r>
      <w:r w:rsidR="00741B1A">
        <w:rPr>
          <w:rFonts w:ascii="Times New Roman" w:hAnsi="Times New Roman"/>
          <w:sz w:val="24"/>
        </w:rPr>
        <w:t xml:space="preserve">pasta </w:t>
      </w:r>
      <w:r>
        <w:rPr>
          <w:rFonts w:ascii="Times New Roman" w:hAnsi="Times New Roman"/>
          <w:sz w:val="24"/>
        </w:rPr>
        <w:t xml:space="preserve">sūtījumu nodošanas pavadraksts, kas aprakstīts pašreiz spēkā esošajos Pasaules Pasta savienības </w:t>
      </w:r>
      <w:r w:rsidR="00741B1A">
        <w:rPr>
          <w:rFonts w:ascii="Times New Roman" w:hAnsi="Times New Roman"/>
          <w:sz w:val="24"/>
        </w:rPr>
        <w:t>aktos</w:t>
      </w:r>
      <w:r>
        <w:rPr>
          <w:rFonts w:ascii="Times New Roman" w:hAnsi="Times New Roman"/>
          <w:sz w:val="24"/>
        </w:rPr>
        <w:t>, Pasaules Pasta konvencijā un tās Reglamentā”.</w:t>
      </w:r>
    </w:p>
    <w:p w14:paraId="500858FB" w14:textId="77777777" w:rsidR="00FE0DBC" w:rsidRPr="00130DB8" w:rsidRDefault="00FE0DBC" w:rsidP="00130DB8">
      <w:pPr>
        <w:pStyle w:val="BodyText"/>
        <w:jc w:val="both"/>
        <w:rPr>
          <w:rFonts w:ascii="Times New Roman" w:hAnsi="Times New Roman"/>
          <w:noProof/>
          <w:sz w:val="24"/>
        </w:rPr>
      </w:pPr>
    </w:p>
    <w:p w14:paraId="6B4A7AB6" w14:textId="19C6F1FB" w:rsidR="00FE0DBC" w:rsidRPr="000862AD" w:rsidRDefault="000862AD" w:rsidP="000862AD">
      <w:pPr>
        <w:pStyle w:val="ListParagraph"/>
        <w:tabs>
          <w:tab w:val="left" w:pos="2737"/>
        </w:tabs>
        <w:spacing w:before="0"/>
        <w:ind w:left="0" w:firstLine="0"/>
        <w:jc w:val="center"/>
        <w:rPr>
          <w:rFonts w:ascii="Times New Roman" w:hAnsi="Times New Roman"/>
          <w:b/>
          <w:bCs/>
          <w:noProof/>
          <w:sz w:val="24"/>
        </w:rPr>
      </w:pPr>
      <w:r>
        <w:rPr>
          <w:rFonts w:ascii="Times New Roman" w:hAnsi="Times New Roman"/>
          <w:b/>
          <w:sz w:val="24"/>
        </w:rPr>
        <w:t>B. Deklarāciju saturs un mērķis</w:t>
      </w:r>
    </w:p>
    <w:p w14:paraId="62B213F1" w14:textId="77777777" w:rsidR="000862AD" w:rsidRPr="00130DB8" w:rsidRDefault="000862AD" w:rsidP="000862AD">
      <w:pPr>
        <w:pStyle w:val="ListParagraph"/>
        <w:tabs>
          <w:tab w:val="left" w:pos="2737"/>
        </w:tabs>
        <w:spacing w:before="0"/>
        <w:ind w:left="0" w:firstLine="0"/>
        <w:jc w:val="both"/>
        <w:rPr>
          <w:rFonts w:ascii="Times New Roman" w:hAnsi="Times New Roman"/>
          <w:noProof/>
          <w:sz w:val="24"/>
        </w:rPr>
      </w:pPr>
    </w:p>
    <w:p w14:paraId="235276AE" w14:textId="340C3B02" w:rsidR="00FE0DBC" w:rsidRPr="00130DB8" w:rsidRDefault="000862AD" w:rsidP="000862AD">
      <w:pPr>
        <w:pStyle w:val="ListParagraph"/>
        <w:tabs>
          <w:tab w:val="left" w:pos="962"/>
          <w:tab w:val="left" w:pos="963"/>
        </w:tabs>
        <w:spacing w:before="0"/>
        <w:ind w:left="0" w:firstLine="0"/>
        <w:jc w:val="both"/>
        <w:rPr>
          <w:rFonts w:ascii="Times New Roman" w:hAnsi="Times New Roman"/>
          <w:noProof/>
          <w:sz w:val="24"/>
        </w:rPr>
      </w:pPr>
      <w:r>
        <w:rPr>
          <w:rFonts w:ascii="Times New Roman" w:hAnsi="Times New Roman"/>
          <w:sz w:val="24"/>
        </w:rPr>
        <w:t xml:space="preserve">2. </w:t>
      </w:r>
      <w:r w:rsidR="00D84B71" w:rsidRPr="00D84B71">
        <w:rPr>
          <w:rFonts w:ascii="Times New Roman" w:hAnsi="Times New Roman"/>
          <w:sz w:val="24"/>
        </w:rPr>
        <w:t>2.3.4.1. punktā ir dzēsta atsauce uz 2.3.1. punktā aprakstīto ieteicamo praksi, labotais punkts izteikts šādā</w:t>
      </w:r>
      <w:r>
        <w:rPr>
          <w:rFonts w:ascii="Times New Roman" w:hAnsi="Times New Roman"/>
          <w:sz w:val="24"/>
        </w:rPr>
        <w:t xml:space="preserve"> redakcijā:</w:t>
      </w:r>
    </w:p>
    <w:p w14:paraId="2D9FADAE" w14:textId="77777777" w:rsidR="00FE0DBC" w:rsidRPr="00130DB8" w:rsidRDefault="00FE0DBC" w:rsidP="00130DB8">
      <w:pPr>
        <w:pStyle w:val="BodyText"/>
        <w:jc w:val="both"/>
        <w:rPr>
          <w:rFonts w:ascii="Times New Roman" w:hAnsi="Times New Roman"/>
          <w:noProof/>
          <w:sz w:val="24"/>
        </w:rPr>
      </w:pPr>
    </w:p>
    <w:p w14:paraId="61D6B617" w14:textId="77777777" w:rsidR="00FE0DBC" w:rsidRPr="00130DB8" w:rsidRDefault="00FE0DBC" w:rsidP="008165E8">
      <w:pPr>
        <w:ind w:left="284"/>
        <w:jc w:val="both"/>
        <w:rPr>
          <w:rFonts w:ascii="Times New Roman" w:hAnsi="Times New Roman"/>
          <w:noProof/>
          <w:sz w:val="24"/>
        </w:rPr>
      </w:pPr>
      <w:r>
        <w:rPr>
          <w:rFonts w:ascii="Times New Roman" w:hAnsi="Times New Roman"/>
          <w:b/>
          <w:sz w:val="24"/>
        </w:rPr>
        <w:t>“2.3.4.1. Ieteicamā prakse.</w:t>
      </w:r>
      <w:r>
        <w:rPr>
          <w:rFonts w:ascii="Times New Roman" w:hAnsi="Times New Roman"/>
          <w:sz w:val="24"/>
        </w:rPr>
        <w:t xml:space="preserve"> Kā alternatīvu 2.3.4. punktā aprakstītajam standartam valsts iestādes var pieņemt pārvadājuma dokumentu, ja tajā ir vismaz tā informācija, kas tiek pieprasīta saskaņā ar 2.3.2. punktā aprakstīto standartu. Šāds pārvadājuma dokuments ir jāautentificē saskaņā ar 1.8.2. punktā aprakstīto standartu.”</w:t>
      </w:r>
    </w:p>
    <w:p w14:paraId="05146DF2" w14:textId="77777777" w:rsidR="00FE0DBC" w:rsidRPr="00130DB8" w:rsidRDefault="00FE0DBC" w:rsidP="00130DB8">
      <w:pPr>
        <w:pStyle w:val="BodyText"/>
        <w:jc w:val="both"/>
        <w:rPr>
          <w:rFonts w:ascii="Times New Roman" w:hAnsi="Times New Roman"/>
          <w:noProof/>
          <w:sz w:val="24"/>
        </w:rPr>
      </w:pPr>
    </w:p>
    <w:p w14:paraId="7BCA8B5E" w14:textId="77777777" w:rsidR="00FE0DBC" w:rsidRPr="00130DB8" w:rsidRDefault="00FE0DBC" w:rsidP="00130DB8">
      <w:pPr>
        <w:pStyle w:val="BodyText"/>
        <w:jc w:val="both"/>
        <w:rPr>
          <w:rFonts w:ascii="Times New Roman" w:hAnsi="Times New Roman"/>
          <w:noProof/>
          <w:sz w:val="24"/>
        </w:rPr>
      </w:pPr>
    </w:p>
    <w:p w14:paraId="245186AB" w14:textId="77777777" w:rsidR="00FE0DBC" w:rsidRPr="00130DB8" w:rsidRDefault="00FE0DBC" w:rsidP="00130DB8">
      <w:pPr>
        <w:pStyle w:val="BodyText"/>
        <w:jc w:val="both"/>
        <w:rPr>
          <w:rFonts w:ascii="Times New Roman" w:hAnsi="Times New Roman"/>
          <w:noProof/>
          <w:sz w:val="24"/>
        </w:rPr>
      </w:pPr>
    </w:p>
    <w:p w14:paraId="63221B9E" w14:textId="0E14FE9B" w:rsidR="00FE0DBC" w:rsidRPr="00130DB8" w:rsidRDefault="00000000" w:rsidP="00130DB8">
      <w:pPr>
        <w:pStyle w:val="BodyText"/>
        <w:jc w:val="both"/>
        <w:rPr>
          <w:rFonts w:ascii="Times New Roman" w:hAnsi="Times New Roman"/>
          <w:noProof/>
          <w:sz w:val="24"/>
        </w:rPr>
      </w:pPr>
      <w:r>
        <w:rPr>
          <w:rFonts w:ascii="Times New Roman" w:hAnsi="Times New Roman"/>
          <w:sz w:val="24"/>
        </w:rPr>
        <w:pict w14:anchorId="31F834D6">
          <v:shape id="_x0000_s2067" style="position:absolute;left:0;text-align:left;margin-left:273.9pt;margin-top:12.95pt;width:65.1pt;height:.1pt;z-index:-251658752;mso-wrap-distance-left:0;mso-wrap-distance-right:0;mso-position-horizontal-relative:page" coordorigin="5478,259" coordsize="1302,0" path="m5478,259r1301,e" filled="f" strokecolor="#2f2f2f" strokeweight=".33875mm">
            <v:path arrowok="t"/>
            <w10:wrap type="topAndBottom" anchorx="page"/>
          </v:shape>
        </w:pict>
      </w:r>
    </w:p>
    <w:sectPr w:rsidR="00FE0DBC" w:rsidRPr="00130DB8" w:rsidSect="00031A05">
      <w:headerReference w:type="default" r:id="rId13"/>
      <w:footerReference w:type="default" r:id="rId14"/>
      <w:headerReference w:type="first" r:id="rId15"/>
      <w:footerReference w:type="first" r:id="rId16"/>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AE4A2" w14:textId="77777777" w:rsidR="00031A05" w:rsidRPr="00FE0DBC" w:rsidRDefault="00031A05" w:rsidP="00FE0DBC">
      <w:pPr>
        <w:rPr>
          <w:noProof/>
        </w:rPr>
      </w:pPr>
      <w:r w:rsidRPr="00FE0DBC">
        <w:rPr>
          <w:noProof/>
        </w:rPr>
        <w:separator/>
      </w:r>
    </w:p>
  </w:endnote>
  <w:endnote w:type="continuationSeparator" w:id="0">
    <w:p w14:paraId="49FFF2D9" w14:textId="77777777" w:rsidR="00031A05" w:rsidRPr="00FE0DBC" w:rsidRDefault="00031A05" w:rsidP="00FE0DBC">
      <w:pPr>
        <w:rPr>
          <w:noProof/>
        </w:rPr>
      </w:pPr>
      <w:r w:rsidRPr="00FE0DB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B554" w14:textId="77777777" w:rsidR="009B490B" w:rsidRPr="009C04EC" w:rsidRDefault="009B490B" w:rsidP="009B490B">
    <w:pPr>
      <w:pStyle w:val="Header"/>
      <w:tabs>
        <w:tab w:val="left" w:pos="9072"/>
      </w:tabs>
      <w:rPr>
        <w:rStyle w:val="PageNumber"/>
        <w:rFonts w:ascii="Times New Roman" w:hAnsi="Times New Roman" w:cs="Times New Roman"/>
        <w:noProof/>
        <w:sz w:val="20"/>
        <w:szCs w:val="20"/>
        <w:u w:val="single"/>
        <w:lang w:val="en-US"/>
      </w:rPr>
    </w:pPr>
  </w:p>
  <w:p w14:paraId="4D3251B9" w14:textId="77777777" w:rsidR="009B490B" w:rsidRPr="009C04EC" w:rsidRDefault="009B490B" w:rsidP="009B490B">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1E7609F0" w14:textId="77777777" w:rsidR="009B490B" w:rsidRPr="009C04EC" w:rsidRDefault="009B490B" w:rsidP="009B490B">
    <w:pPr>
      <w:pStyle w:val="Header"/>
      <w:tabs>
        <w:tab w:val="right" w:pos="9072"/>
      </w:tabs>
      <w:rPr>
        <w:rStyle w:val="PageNumber"/>
        <w:rFonts w:ascii="Times New Roman" w:hAnsi="Times New Roman" w:cs="Times New Roman"/>
        <w:noProof/>
        <w:sz w:val="20"/>
        <w:szCs w:val="20"/>
        <w:u w:val="single"/>
        <w:lang w:val="en-US"/>
      </w:rPr>
    </w:pPr>
  </w:p>
  <w:p w14:paraId="5516491A" w14:textId="7145616C" w:rsidR="00BD2C58" w:rsidRPr="009B490B" w:rsidRDefault="009B490B" w:rsidP="009B490B">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81481" w14:textId="77777777" w:rsidR="00BD2C58" w:rsidRPr="009C04EC" w:rsidRDefault="00BD2C58" w:rsidP="00BD2C58">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3E275DB9" w14:textId="77777777" w:rsidR="00BD2C58" w:rsidRPr="009C04EC" w:rsidRDefault="00BD2C58" w:rsidP="00BD2C58">
    <w:pPr>
      <w:pStyle w:val="Header"/>
      <w:tabs>
        <w:tab w:val="left" w:pos="9072"/>
      </w:tabs>
      <w:rPr>
        <w:rStyle w:val="PageNumber"/>
        <w:rFonts w:ascii="Times New Roman" w:hAnsi="Times New Roman" w:cs="Times New Roman"/>
        <w:noProof/>
        <w:sz w:val="20"/>
        <w:szCs w:val="20"/>
        <w:u w:val="single"/>
        <w:lang w:val="en-US"/>
      </w:rPr>
    </w:pPr>
  </w:p>
  <w:p w14:paraId="020DB97E" w14:textId="04ECB37A" w:rsidR="00FE0DBC" w:rsidRPr="00BD2C58" w:rsidRDefault="00BD2C58">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C2DAD" w14:textId="77777777" w:rsidR="00031A05" w:rsidRPr="00FE0DBC" w:rsidRDefault="00031A05" w:rsidP="00FE0DBC">
      <w:pPr>
        <w:rPr>
          <w:noProof/>
        </w:rPr>
      </w:pPr>
      <w:r w:rsidRPr="00FE0DBC">
        <w:rPr>
          <w:noProof/>
        </w:rPr>
        <w:separator/>
      </w:r>
    </w:p>
  </w:footnote>
  <w:footnote w:type="continuationSeparator" w:id="0">
    <w:p w14:paraId="48A82F3C" w14:textId="77777777" w:rsidR="00031A05" w:rsidRPr="00FE0DBC" w:rsidRDefault="00031A05" w:rsidP="00FE0DBC">
      <w:pPr>
        <w:rPr>
          <w:noProof/>
        </w:rPr>
      </w:pPr>
      <w:r w:rsidRPr="00FE0DBC">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3E8A" w14:textId="77777777" w:rsidR="00EF6AC4" w:rsidRPr="009C04EC" w:rsidRDefault="00EF6AC4" w:rsidP="00EF6AC4">
    <w:pPr>
      <w:pStyle w:val="Header"/>
      <w:rPr>
        <w:rStyle w:val="PageNumber"/>
        <w:noProof/>
        <w:sz w:val="18"/>
        <w:szCs w:val="18"/>
        <w:u w:val="single"/>
        <w:lang w:val="en-US"/>
      </w:rPr>
    </w:pPr>
  </w:p>
  <w:p w14:paraId="4F23F5B2" w14:textId="77777777" w:rsidR="00EF6AC4" w:rsidRPr="009C04EC" w:rsidRDefault="00EF6AC4" w:rsidP="00EF6AC4">
    <w:pPr>
      <w:pStyle w:val="Header"/>
      <w:tabs>
        <w:tab w:val="clear" w:pos="4513"/>
        <w:tab w:val="center" w:pos="9072"/>
      </w:tabs>
      <w:rPr>
        <w:noProof/>
        <w:sz w:val="18"/>
        <w:szCs w:val="18"/>
        <w:u w:val="single"/>
        <w:lang w:val="en-US"/>
      </w:rPr>
    </w:pPr>
    <w:r w:rsidRPr="009C04EC">
      <w:rPr>
        <w:noProof/>
        <w:sz w:val="18"/>
        <w:szCs w:val="18"/>
        <w:u w:val="single"/>
        <w:lang w:val="en-US"/>
      </w:rPr>
      <w:tab/>
    </w:r>
  </w:p>
  <w:p w14:paraId="782C1A9F" w14:textId="77777777" w:rsidR="00BD2C58" w:rsidRDefault="00BD2C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692E" w14:textId="77777777" w:rsidR="000A372D" w:rsidRPr="009C04EC" w:rsidRDefault="000A372D" w:rsidP="000A372D">
    <w:pPr>
      <w:pStyle w:val="Header"/>
      <w:pBdr>
        <w:bottom w:val="single" w:sz="12" w:space="1" w:color="auto"/>
      </w:pBdr>
      <w:rPr>
        <w:noProof/>
        <w:sz w:val="18"/>
        <w:szCs w:val="18"/>
        <w:lang w:val="en-US"/>
      </w:rPr>
    </w:pPr>
  </w:p>
  <w:p w14:paraId="22275355" w14:textId="77777777" w:rsidR="00FE0DBC" w:rsidRDefault="00FE0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872355"/>
    <w:multiLevelType w:val="hybridMultilevel"/>
    <w:tmpl w:val="6944E66E"/>
    <w:lvl w:ilvl="0" w:tplc="C7A46C4E">
      <w:start w:val="1"/>
      <w:numFmt w:val="upperLetter"/>
      <w:lvlText w:val="%1."/>
      <w:lvlJc w:val="left"/>
      <w:pPr>
        <w:ind w:left="4230" w:hanging="267"/>
        <w:jc w:val="right"/>
      </w:pPr>
      <w:rPr>
        <w:rFonts w:hint="default"/>
        <w:spacing w:val="-1"/>
        <w:w w:val="76"/>
        <w:lang w:val="en-US" w:eastAsia="en-US" w:bidi="ar-SA"/>
      </w:rPr>
    </w:lvl>
    <w:lvl w:ilvl="1" w:tplc="6CCAFE94">
      <w:numFmt w:val="bullet"/>
      <w:lvlText w:val="•"/>
      <w:lvlJc w:val="left"/>
      <w:pPr>
        <w:ind w:left="4714" w:hanging="267"/>
      </w:pPr>
      <w:rPr>
        <w:rFonts w:hint="default"/>
        <w:lang w:val="en-US" w:eastAsia="en-US" w:bidi="ar-SA"/>
      </w:rPr>
    </w:lvl>
    <w:lvl w:ilvl="2" w:tplc="FD9033BC">
      <w:numFmt w:val="bullet"/>
      <w:lvlText w:val="•"/>
      <w:lvlJc w:val="left"/>
      <w:pPr>
        <w:ind w:left="5188" w:hanging="267"/>
      </w:pPr>
      <w:rPr>
        <w:rFonts w:hint="default"/>
        <w:lang w:val="en-US" w:eastAsia="en-US" w:bidi="ar-SA"/>
      </w:rPr>
    </w:lvl>
    <w:lvl w:ilvl="3" w:tplc="FDA433EA">
      <w:numFmt w:val="bullet"/>
      <w:lvlText w:val="•"/>
      <w:lvlJc w:val="left"/>
      <w:pPr>
        <w:ind w:left="5662" w:hanging="267"/>
      </w:pPr>
      <w:rPr>
        <w:rFonts w:hint="default"/>
        <w:lang w:val="en-US" w:eastAsia="en-US" w:bidi="ar-SA"/>
      </w:rPr>
    </w:lvl>
    <w:lvl w:ilvl="4" w:tplc="2678197C">
      <w:numFmt w:val="bullet"/>
      <w:lvlText w:val="•"/>
      <w:lvlJc w:val="left"/>
      <w:pPr>
        <w:ind w:left="6136" w:hanging="267"/>
      </w:pPr>
      <w:rPr>
        <w:rFonts w:hint="default"/>
        <w:lang w:val="en-US" w:eastAsia="en-US" w:bidi="ar-SA"/>
      </w:rPr>
    </w:lvl>
    <w:lvl w:ilvl="5" w:tplc="2ED4FA8E">
      <w:numFmt w:val="bullet"/>
      <w:lvlText w:val="•"/>
      <w:lvlJc w:val="left"/>
      <w:pPr>
        <w:ind w:left="6610" w:hanging="267"/>
      </w:pPr>
      <w:rPr>
        <w:rFonts w:hint="default"/>
        <w:lang w:val="en-US" w:eastAsia="en-US" w:bidi="ar-SA"/>
      </w:rPr>
    </w:lvl>
    <w:lvl w:ilvl="6" w:tplc="ACA8554E">
      <w:numFmt w:val="bullet"/>
      <w:lvlText w:val="•"/>
      <w:lvlJc w:val="left"/>
      <w:pPr>
        <w:ind w:left="7084" w:hanging="267"/>
      </w:pPr>
      <w:rPr>
        <w:rFonts w:hint="default"/>
        <w:lang w:val="en-US" w:eastAsia="en-US" w:bidi="ar-SA"/>
      </w:rPr>
    </w:lvl>
    <w:lvl w:ilvl="7" w:tplc="1CA2BF4A">
      <w:numFmt w:val="bullet"/>
      <w:lvlText w:val="•"/>
      <w:lvlJc w:val="left"/>
      <w:pPr>
        <w:ind w:left="7558" w:hanging="267"/>
      </w:pPr>
      <w:rPr>
        <w:rFonts w:hint="default"/>
        <w:lang w:val="en-US" w:eastAsia="en-US" w:bidi="ar-SA"/>
      </w:rPr>
    </w:lvl>
    <w:lvl w:ilvl="8" w:tplc="EA02F30E">
      <w:numFmt w:val="bullet"/>
      <w:lvlText w:val="•"/>
      <w:lvlJc w:val="left"/>
      <w:pPr>
        <w:ind w:left="8032" w:hanging="267"/>
      </w:pPr>
      <w:rPr>
        <w:rFonts w:hint="default"/>
        <w:lang w:val="en-US" w:eastAsia="en-US" w:bidi="ar-SA"/>
      </w:rPr>
    </w:lvl>
  </w:abstractNum>
  <w:abstractNum w:abstractNumId="1" w15:restartNumberingAfterBreak="0">
    <w:nsid w:val="753659D9"/>
    <w:multiLevelType w:val="hybridMultilevel"/>
    <w:tmpl w:val="668C9952"/>
    <w:lvl w:ilvl="0" w:tplc="4D1EF00E">
      <w:start w:val="1"/>
      <w:numFmt w:val="decimal"/>
      <w:lvlText w:val="%1"/>
      <w:lvlJc w:val="left"/>
      <w:pPr>
        <w:ind w:left="144" w:hanging="817"/>
        <w:jc w:val="left"/>
      </w:pPr>
      <w:rPr>
        <w:rFonts w:hint="default"/>
        <w:w w:val="102"/>
        <w:lang w:val="en-US" w:eastAsia="en-US" w:bidi="ar-SA"/>
      </w:rPr>
    </w:lvl>
    <w:lvl w:ilvl="1" w:tplc="FCE21C78">
      <w:numFmt w:val="bullet"/>
      <w:lvlText w:val="•"/>
      <w:lvlJc w:val="left"/>
      <w:pPr>
        <w:ind w:left="1024" w:hanging="817"/>
      </w:pPr>
      <w:rPr>
        <w:rFonts w:hint="default"/>
        <w:lang w:val="en-US" w:eastAsia="en-US" w:bidi="ar-SA"/>
      </w:rPr>
    </w:lvl>
    <w:lvl w:ilvl="2" w:tplc="8648E938">
      <w:numFmt w:val="bullet"/>
      <w:lvlText w:val="•"/>
      <w:lvlJc w:val="left"/>
      <w:pPr>
        <w:ind w:left="1908" w:hanging="817"/>
      </w:pPr>
      <w:rPr>
        <w:rFonts w:hint="default"/>
        <w:lang w:val="en-US" w:eastAsia="en-US" w:bidi="ar-SA"/>
      </w:rPr>
    </w:lvl>
    <w:lvl w:ilvl="3" w:tplc="8B744C46">
      <w:numFmt w:val="bullet"/>
      <w:lvlText w:val="•"/>
      <w:lvlJc w:val="left"/>
      <w:pPr>
        <w:ind w:left="2792" w:hanging="817"/>
      </w:pPr>
      <w:rPr>
        <w:rFonts w:hint="default"/>
        <w:lang w:val="en-US" w:eastAsia="en-US" w:bidi="ar-SA"/>
      </w:rPr>
    </w:lvl>
    <w:lvl w:ilvl="4" w:tplc="AC7C9138">
      <w:numFmt w:val="bullet"/>
      <w:lvlText w:val="•"/>
      <w:lvlJc w:val="left"/>
      <w:pPr>
        <w:ind w:left="3676" w:hanging="817"/>
      </w:pPr>
      <w:rPr>
        <w:rFonts w:hint="default"/>
        <w:lang w:val="en-US" w:eastAsia="en-US" w:bidi="ar-SA"/>
      </w:rPr>
    </w:lvl>
    <w:lvl w:ilvl="5" w:tplc="A1EAF734">
      <w:numFmt w:val="bullet"/>
      <w:lvlText w:val="•"/>
      <w:lvlJc w:val="left"/>
      <w:pPr>
        <w:ind w:left="4560" w:hanging="817"/>
      </w:pPr>
      <w:rPr>
        <w:rFonts w:hint="default"/>
        <w:lang w:val="en-US" w:eastAsia="en-US" w:bidi="ar-SA"/>
      </w:rPr>
    </w:lvl>
    <w:lvl w:ilvl="6" w:tplc="20B29CB2">
      <w:numFmt w:val="bullet"/>
      <w:lvlText w:val="•"/>
      <w:lvlJc w:val="left"/>
      <w:pPr>
        <w:ind w:left="5444" w:hanging="817"/>
      </w:pPr>
      <w:rPr>
        <w:rFonts w:hint="default"/>
        <w:lang w:val="en-US" w:eastAsia="en-US" w:bidi="ar-SA"/>
      </w:rPr>
    </w:lvl>
    <w:lvl w:ilvl="7" w:tplc="07A0F9CA">
      <w:numFmt w:val="bullet"/>
      <w:lvlText w:val="•"/>
      <w:lvlJc w:val="left"/>
      <w:pPr>
        <w:ind w:left="6328" w:hanging="817"/>
      </w:pPr>
      <w:rPr>
        <w:rFonts w:hint="default"/>
        <w:lang w:val="en-US" w:eastAsia="en-US" w:bidi="ar-SA"/>
      </w:rPr>
    </w:lvl>
    <w:lvl w:ilvl="8" w:tplc="4B3A76CC">
      <w:numFmt w:val="bullet"/>
      <w:lvlText w:val="•"/>
      <w:lvlJc w:val="left"/>
      <w:pPr>
        <w:ind w:left="7212" w:hanging="817"/>
      </w:pPr>
      <w:rPr>
        <w:rFonts w:hint="default"/>
        <w:lang w:val="en-US" w:eastAsia="en-US" w:bidi="ar-SA"/>
      </w:rPr>
    </w:lvl>
  </w:abstractNum>
  <w:num w:numId="1" w16cid:durableId="1017852006">
    <w:abstractNumId w:val="0"/>
  </w:num>
  <w:num w:numId="2" w16cid:durableId="618878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efaultTabStop w:val="720"/>
  <w:doNotHyphenateCaps/>
  <w:drawingGridHorizontalSpacing w:val="110"/>
  <w:displayHorizontalDrawingGridEvery w:val="2"/>
  <w:characterSpacingControl w:val="doNotCompress"/>
  <w:hdrShapeDefaults>
    <o:shapedefaults v:ext="edit" spidmax="2068"/>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6558E"/>
    <w:rsid w:val="00031A05"/>
    <w:rsid w:val="000808C2"/>
    <w:rsid w:val="000862AD"/>
    <w:rsid w:val="000A372D"/>
    <w:rsid w:val="0011382B"/>
    <w:rsid w:val="00130DB8"/>
    <w:rsid w:val="001C5C19"/>
    <w:rsid w:val="001E19A8"/>
    <w:rsid w:val="0020004C"/>
    <w:rsid w:val="00330FF5"/>
    <w:rsid w:val="0037341C"/>
    <w:rsid w:val="003E1C3E"/>
    <w:rsid w:val="003E2C03"/>
    <w:rsid w:val="004D1207"/>
    <w:rsid w:val="0051421A"/>
    <w:rsid w:val="00514A52"/>
    <w:rsid w:val="00540942"/>
    <w:rsid w:val="00574B60"/>
    <w:rsid w:val="00595B82"/>
    <w:rsid w:val="005E68D4"/>
    <w:rsid w:val="006455A7"/>
    <w:rsid w:val="006F0CAF"/>
    <w:rsid w:val="00741B1A"/>
    <w:rsid w:val="0078442B"/>
    <w:rsid w:val="0079083C"/>
    <w:rsid w:val="008165E8"/>
    <w:rsid w:val="00912C6B"/>
    <w:rsid w:val="0097026C"/>
    <w:rsid w:val="00970A0F"/>
    <w:rsid w:val="009B490B"/>
    <w:rsid w:val="00A14477"/>
    <w:rsid w:val="00A910D2"/>
    <w:rsid w:val="00AB5227"/>
    <w:rsid w:val="00B17073"/>
    <w:rsid w:val="00B716EA"/>
    <w:rsid w:val="00B91180"/>
    <w:rsid w:val="00BD2C58"/>
    <w:rsid w:val="00C43BA1"/>
    <w:rsid w:val="00C63BB0"/>
    <w:rsid w:val="00C672E8"/>
    <w:rsid w:val="00C93DE0"/>
    <w:rsid w:val="00D3520F"/>
    <w:rsid w:val="00D6558E"/>
    <w:rsid w:val="00D84B71"/>
    <w:rsid w:val="00DB0E40"/>
    <w:rsid w:val="00E70770"/>
    <w:rsid w:val="00E878BB"/>
    <w:rsid w:val="00EA520A"/>
    <w:rsid w:val="00EF6AC4"/>
    <w:rsid w:val="00F0439E"/>
    <w:rsid w:val="00FC67C2"/>
    <w:rsid w:val="00FD24C2"/>
    <w:rsid w:val="00FE0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6135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48"/>
      <w:jc w:val="center"/>
      <w:outlineLvl w:val="0"/>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47"/>
      <w:ind w:left="144" w:hanging="270"/>
    </w:pPr>
  </w:style>
  <w:style w:type="paragraph" w:customStyle="1" w:styleId="TableParagraph">
    <w:name w:val="Table Paragraph"/>
    <w:basedOn w:val="Normal"/>
    <w:uiPriority w:val="1"/>
    <w:qFormat/>
  </w:style>
  <w:style w:type="paragraph" w:styleId="Header">
    <w:name w:val="header"/>
    <w:basedOn w:val="Normal"/>
    <w:link w:val="HeaderChar"/>
    <w:unhideWhenUsed/>
    <w:rsid w:val="00FE0DBC"/>
    <w:pPr>
      <w:tabs>
        <w:tab w:val="center" w:pos="4513"/>
        <w:tab w:val="right" w:pos="9026"/>
      </w:tabs>
    </w:pPr>
  </w:style>
  <w:style w:type="character" w:customStyle="1" w:styleId="HeaderChar">
    <w:name w:val="Header Char"/>
    <w:basedOn w:val="DefaultParagraphFont"/>
    <w:link w:val="Header"/>
    <w:rsid w:val="00FE0DBC"/>
    <w:rPr>
      <w:rFonts w:ascii="Arial" w:eastAsia="Arial" w:hAnsi="Arial" w:cs="Arial"/>
    </w:rPr>
  </w:style>
  <w:style w:type="paragraph" w:styleId="Footer">
    <w:name w:val="footer"/>
    <w:basedOn w:val="Normal"/>
    <w:link w:val="FooterChar"/>
    <w:unhideWhenUsed/>
    <w:rsid w:val="00FE0DBC"/>
    <w:pPr>
      <w:tabs>
        <w:tab w:val="center" w:pos="4513"/>
        <w:tab w:val="right" w:pos="9026"/>
      </w:tabs>
    </w:pPr>
  </w:style>
  <w:style w:type="character" w:customStyle="1" w:styleId="FooterChar">
    <w:name w:val="Footer Char"/>
    <w:basedOn w:val="DefaultParagraphFont"/>
    <w:link w:val="Footer"/>
    <w:rsid w:val="00FE0DBC"/>
    <w:rPr>
      <w:rFonts w:ascii="Arial" w:eastAsia="Arial" w:hAnsi="Arial" w:cs="Arial"/>
    </w:rPr>
  </w:style>
  <w:style w:type="table" w:styleId="TableGrid">
    <w:name w:val="Table Grid"/>
    <w:basedOn w:val="TableNormal"/>
    <w:uiPriority w:val="39"/>
    <w:rsid w:val="00574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BD2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1d57a815-79e8-498e-8f04-9c2e9221b6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719792f5380df3e2572258580d5149e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36e43188edbb274ca2b23978d94e8bc6"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0C21C-C4C5-4A71-85A3-07FC1596FBC2}">
  <ds:schemaRefs>
    <ds:schemaRef ds:uri="http://schemas.microsoft.com/office/2006/metadata/properties"/>
    <ds:schemaRef ds:uri="http://schemas.microsoft.com/office/infopath/2007/PartnerControls"/>
    <ds:schemaRef ds:uri="05fc81c9-325d-42ab-a312-d2989bc4c6c1"/>
    <ds:schemaRef ds:uri="1d57a815-79e8-498e-8f04-9c2e9221b678"/>
  </ds:schemaRefs>
</ds:datastoreItem>
</file>

<file path=customXml/itemProps2.xml><?xml version="1.0" encoding="utf-8"?>
<ds:datastoreItem xmlns:ds="http://schemas.openxmlformats.org/officeDocument/2006/customXml" ds:itemID="{89AB1399-1441-4ADF-9B5E-E6216E8B3564}">
  <ds:schemaRefs>
    <ds:schemaRef ds:uri="http://schemas.microsoft.com/sharepoint/v3/contenttype/forms"/>
  </ds:schemaRefs>
</ds:datastoreItem>
</file>

<file path=customXml/itemProps3.xml><?xml version="1.0" encoding="utf-8"?>
<ds:datastoreItem xmlns:ds="http://schemas.openxmlformats.org/officeDocument/2006/customXml" ds:itemID="{0B227E89-5127-4C7D-BEFF-DB313A865887}"/>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2023-10-20T07:16:00Z</dcterms:created>
  <dcterms:modified xsi:type="dcterms:W3CDTF">2024-01-15T12:13:00Z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2023-09-21T00:00:00Z</vt:filetime>
  </property>
  <property fmtid="{D5CDD505-2E9C-101B-9397-08002B2CF9AE}" pid="3" name="MediaServiceImageTags">
    <vt:lpwstr/>
  </property>
  <property fmtid="{D5CDD505-2E9C-101B-9397-08002B2CF9AE}" pid="4" name="Created">
    <vt:filetime>2023-07-05T00:00:00Z</vt:filetime>
  </property>
  <property fmtid="{D5CDD505-2E9C-101B-9397-08002B2CF9AE}" pid="5" name="ContentTypeId">
    <vt:lpwstr>0x0101006747409639620A48BB08F713A1AC624B</vt:lpwstr>
  </property>
</Properties>
</file>