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theme/themeOverride3.xml" ContentType="application/vnd.openxmlformats-officedocument.themeOverrid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D88AF" w14:textId="56B3182E" w:rsidR="0030172C" w:rsidRPr="00B37A02" w:rsidRDefault="00765830" w:rsidP="00C97F66">
      <w:pPr>
        <w:widowControl w:val="0"/>
        <w:spacing w:after="0" w:line="240" w:lineRule="auto"/>
        <w:jc w:val="both"/>
        <w:rPr>
          <w:rFonts w:ascii="Times New Roman" w:hAnsi="Times New Roman" w:cs="Times New Roman"/>
          <w:sz w:val="24"/>
        </w:rPr>
      </w:pPr>
      <w:r w:rsidRPr="00765830">
        <w:rPr>
          <w:rFonts w:ascii="Times New Roman" w:hAnsi="Times New Roman" w:cs="Times New Roman"/>
          <w:noProof/>
          <w:sz w:val="24"/>
        </w:rPr>
        <w:drawing>
          <wp:inline distT="0" distB="0" distL="0" distR="0" wp14:anchorId="2FB392B9" wp14:editId="03F7FE3C">
            <wp:extent cx="2555420" cy="1023620"/>
            <wp:effectExtent l="0" t="0" r="0" b="5080"/>
            <wp:docPr id="1707605393" name="Picture 1" descr="A blue flag with yellow stars and a blue flag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605393" name="Picture 1" descr="A blue flag with yellow stars and a blue flag with white text&#10;&#10;Description automatically generated"/>
                    <pic:cNvPicPr/>
                  </pic:nvPicPr>
                  <pic:blipFill>
                    <a:blip r:embed="rId11"/>
                    <a:stretch>
                      <a:fillRect/>
                    </a:stretch>
                  </pic:blipFill>
                  <pic:spPr>
                    <a:xfrm>
                      <a:off x="0" y="0"/>
                      <a:ext cx="2560764" cy="1025761"/>
                    </a:xfrm>
                    <a:prstGeom prst="rect">
                      <a:avLst/>
                    </a:prstGeom>
                  </pic:spPr>
                </pic:pic>
              </a:graphicData>
            </a:graphic>
          </wp:inline>
        </w:drawing>
      </w:r>
    </w:p>
    <w:p w14:paraId="2D79D451" w14:textId="77777777" w:rsidR="00765830" w:rsidRDefault="00765830" w:rsidP="00C97F66">
      <w:pPr>
        <w:widowControl w:val="0"/>
        <w:spacing w:after="0" w:line="240" w:lineRule="auto"/>
        <w:jc w:val="right"/>
        <w:rPr>
          <w:rFonts w:ascii="Times New Roman" w:hAnsi="Times New Roman" w:cs="Times New Roman"/>
          <w:sz w:val="24"/>
        </w:rPr>
      </w:pPr>
    </w:p>
    <w:p w14:paraId="77C54353" w14:textId="77777777" w:rsidR="00765830" w:rsidRDefault="00765830" w:rsidP="00C97F66">
      <w:pPr>
        <w:widowControl w:val="0"/>
        <w:spacing w:after="0" w:line="240" w:lineRule="auto"/>
        <w:jc w:val="right"/>
        <w:rPr>
          <w:rFonts w:ascii="Times New Roman" w:hAnsi="Times New Roman" w:cs="Times New Roman"/>
          <w:sz w:val="24"/>
        </w:rPr>
      </w:pPr>
    </w:p>
    <w:p w14:paraId="286DC086" w14:textId="35D2EC70" w:rsidR="00EC5DE2" w:rsidRPr="00B37A02" w:rsidRDefault="0030172C" w:rsidP="00C97F66">
      <w:pPr>
        <w:widowControl w:val="0"/>
        <w:spacing w:after="0" w:line="240" w:lineRule="auto"/>
        <w:jc w:val="right"/>
        <w:rPr>
          <w:rFonts w:ascii="Times New Roman" w:hAnsi="Times New Roman" w:cs="Times New Roman"/>
          <w:sz w:val="24"/>
        </w:rPr>
      </w:pPr>
      <w:r w:rsidRPr="00B37A02">
        <w:rPr>
          <w:rFonts w:ascii="Times New Roman" w:hAnsi="Times New Roman" w:cs="Times New Roman"/>
          <w:sz w:val="24"/>
        </w:rPr>
        <w:t>Briselē, 2021. gada 24. martā</w:t>
      </w:r>
    </w:p>
    <w:p w14:paraId="24AE01D1" w14:textId="1760B907" w:rsidR="0030172C" w:rsidRPr="00B37A02" w:rsidRDefault="0030172C" w:rsidP="00C97F66">
      <w:pPr>
        <w:widowControl w:val="0"/>
        <w:spacing w:after="0" w:line="240" w:lineRule="auto"/>
        <w:jc w:val="right"/>
        <w:rPr>
          <w:rFonts w:ascii="Times New Roman" w:hAnsi="Times New Roman" w:cs="Times New Roman"/>
          <w:sz w:val="24"/>
        </w:rPr>
      </w:pPr>
      <w:r w:rsidRPr="00B37A02">
        <w:rPr>
          <w:rFonts w:ascii="Times New Roman" w:hAnsi="Times New Roman" w:cs="Times New Roman"/>
          <w:sz w:val="24"/>
        </w:rPr>
        <w:t>SWD(2021) 62 final</w:t>
      </w:r>
    </w:p>
    <w:p w14:paraId="2219E49D" w14:textId="77777777" w:rsidR="00BC5BDF" w:rsidRPr="00B37A02" w:rsidRDefault="00BC5BDF" w:rsidP="00C97F66">
      <w:pPr>
        <w:widowControl w:val="0"/>
        <w:spacing w:after="0" w:line="240" w:lineRule="auto"/>
        <w:jc w:val="both"/>
        <w:rPr>
          <w:rFonts w:ascii="Times New Roman" w:hAnsi="Times New Roman" w:cs="Times New Roman"/>
          <w:sz w:val="24"/>
        </w:rPr>
      </w:pPr>
    </w:p>
    <w:p w14:paraId="5C86EFF8" w14:textId="6780D5B6" w:rsidR="00091E31" w:rsidRPr="00B37A02" w:rsidRDefault="00091E31" w:rsidP="00C97F66">
      <w:pPr>
        <w:widowControl w:val="0"/>
        <w:spacing w:after="0" w:line="240" w:lineRule="auto"/>
        <w:jc w:val="both"/>
        <w:rPr>
          <w:rFonts w:ascii="Times New Roman" w:hAnsi="Times New Roman" w:cs="Times New Roman"/>
          <w:sz w:val="24"/>
        </w:rPr>
      </w:pPr>
    </w:p>
    <w:p w14:paraId="122FBDD5" w14:textId="1A41BC9D" w:rsidR="00C97F66" w:rsidRPr="00B37A02" w:rsidRDefault="00C97F66" w:rsidP="00C97F66">
      <w:pPr>
        <w:widowControl w:val="0"/>
        <w:spacing w:after="0" w:line="240" w:lineRule="auto"/>
        <w:jc w:val="both"/>
        <w:rPr>
          <w:rFonts w:ascii="Times New Roman" w:hAnsi="Times New Roman" w:cs="Times New Roman"/>
          <w:sz w:val="24"/>
        </w:rPr>
      </w:pPr>
    </w:p>
    <w:p w14:paraId="248D7AB4" w14:textId="1B389A9F" w:rsidR="00C97F66" w:rsidRPr="00B37A02" w:rsidRDefault="00C97F66" w:rsidP="00C97F66">
      <w:pPr>
        <w:widowControl w:val="0"/>
        <w:spacing w:after="0" w:line="240" w:lineRule="auto"/>
        <w:jc w:val="both"/>
        <w:rPr>
          <w:rFonts w:ascii="Times New Roman" w:hAnsi="Times New Roman" w:cs="Times New Roman"/>
          <w:sz w:val="24"/>
        </w:rPr>
      </w:pPr>
    </w:p>
    <w:p w14:paraId="0CB00980" w14:textId="77777777" w:rsidR="00C97F66" w:rsidRPr="00B37A02" w:rsidRDefault="00C97F66" w:rsidP="00C97F66">
      <w:pPr>
        <w:widowControl w:val="0"/>
        <w:spacing w:after="0" w:line="240" w:lineRule="auto"/>
        <w:jc w:val="both"/>
        <w:rPr>
          <w:rFonts w:ascii="Times New Roman" w:hAnsi="Times New Roman" w:cs="Times New Roman"/>
          <w:sz w:val="24"/>
        </w:rPr>
      </w:pPr>
    </w:p>
    <w:p w14:paraId="12CDD598" w14:textId="77777777" w:rsidR="00091E31" w:rsidRPr="00B37A02" w:rsidRDefault="00091E31" w:rsidP="00C97F66">
      <w:pPr>
        <w:widowControl w:val="0"/>
        <w:spacing w:after="0" w:line="240" w:lineRule="auto"/>
        <w:jc w:val="center"/>
        <w:rPr>
          <w:rFonts w:ascii="Times New Roman" w:hAnsi="Times New Roman" w:cs="Times New Roman"/>
          <w:b/>
          <w:bCs/>
          <w:sz w:val="24"/>
        </w:rPr>
      </w:pPr>
      <w:r w:rsidRPr="00B37A02">
        <w:rPr>
          <w:rFonts w:ascii="Times New Roman" w:hAnsi="Times New Roman" w:cs="Times New Roman"/>
          <w:b/>
          <w:sz w:val="24"/>
        </w:rPr>
        <w:t>KOMISIJAS DIENESTU DARBA DOKUMENTS</w:t>
      </w:r>
    </w:p>
    <w:p w14:paraId="3ECC290F" w14:textId="58691E35" w:rsidR="00B66C46" w:rsidRPr="00B37A02" w:rsidRDefault="00B66C46" w:rsidP="00C97F66">
      <w:pPr>
        <w:widowControl w:val="0"/>
        <w:spacing w:after="0" w:line="240" w:lineRule="auto"/>
        <w:jc w:val="center"/>
        <w:rPr>
          <w:rFonts w:ascii="Times New Roman" w:hAnsi="Times New Roman" w:cs="Times New Roman"/>
          <w:sz w:val="24"/>
        </w:rPr>
      </w:pPr>
    </w:p>
    <w:p w14:paraId="53B8C59F" w14:textId="728253F4" w:rsidR="00C97F66" w:rsidRPr="00B37A02" w:rsidRDefault="00C97F66" w:rsidP="00C97F66">
      <w:pPr>
        <w:widowControl w:val="0"/>
        <w:spacing w:after="0" w:line="240" w:lineRule="auto"/>
        <w:jc w:val="center"/>
        <w:rPr>
          <w:rFonts w:ascii="Times New Roman" w:hAnsi="Times New Roman" w:cs="Times New Roman"/>
          <w:sz w:val="24"/>
        </w:rPr>
      </w:pPr>
    </w:p>
    <w:p w14:paraId="0CDBA6C3" w14:textId="619948B3" w:rsidR="00C97F66" w:rsidRPr="00B37A02" w:rsidRDefault="00C97F66" w:rsidP="00C97F66">
      <w:pPr>
        <w:widowControl w:val="0"/>
        <w:spacing w:after="0" w:line="240" w:lineRule="auto"/>
        <w:jc w:val="center"/>
        <w:rPr>
          <w:rFonts w:ascii="Times New Roman" w:hAnsi="Times New Roman" w:cs="Times New Roman"/>
          <w:sz w:val="24"/>
        </w:rPr>
      </w:pPr>
    </w:p>
    <w:p w14:paraId="5086EE44" w14:textId="636F8E7A" w:rsidR="00C97F66" w:rsidRPr="00B37A02" w:rsidRDefault="00C97F66" w:rsidP="00C97F66">
      <w:pPr>
        <w:widowControl w:val="0"/>
        <w:spacing w:after="0" w:line="240" w:lineRule="auto"/>
        <w:jc w:val="center"/>
        <w:rPr>
          <w:rFonts w:ascii="Times New Roman" w:hAnsi="Times New Roman" w:cs="Times New Roman"/>
          <w:sz w:val="24"/>
        </w:rPr>
      </w:pPr>
    </w:p>
    <w:p w14:paraId="49B9CE1D" w14:textId="782508AC" w:rsidR="00C97F66" w:rsidRPr="00B37A02" w:rsidRDefault="00C97F66" w:rsidP="00C97F66">
      <w:pPr>
        <w:widowControl w:val="0"/>
        <w:spacing w:after="0" w:line="240" w:lineRule="auto"/>
        <w:jc w:val="center"/>
        <w:rPr>
          <w:rFonts w:ascii="Times New Roman" w:hAnsi="Times New Roman" w:cs="Times New Roman"/>
          <w:sz w:val="24"/>
        </w:rPr>
      </w:pPr>
    </w:p>
    <w:p w14:paraId="3FCA9C08" w14:textId="77777777" w:rsidR="00C97F66" w:rsidRPr="00B37A02" w:rsidRDefault="00C97F66" w:rsidP="00C97F66">
      <w:pPr>
        <w:widowControl w:val="0"/>
        <w:spacing w:after="0" w:line="240" w:lineRule="auto"/>
        <w:jc w:val="center"/>
        <w:rPr>
          <w:rFonts w:ascii="Times New Roman" w:hAnsi="Times New Roman" w:cs="Times New Roman"/>
          <w:sz w:val="24"/>
        </w:rPr>
      </w:pPr>
    </w:p>
    <w:p w14:paraId="4FFEF654" w14:textId="77777777" w:rsidR="00C97F66" w:rsidRPr="00B37A02" w:rsidRDefault="00B66C46" w:rsidP="00C97F66">
      <w:pPr>
        <w:widowControl w:val="0"/>
        <w:spacing w:after="0" w:line="240" w:lineRule="auto"/>
        <w:jc w:val="center"/>
        <w:rPr>
          <w:rFonts w:ascii="Times New Roman" w:hAnsi="Times New Roman" w:cs="Times New Roman"/>
          <w:b/>
          <w:bCs/>
          <w:i/>
          <w:iCs/>
          <w:sz w:val="24"/>
        </w:rPr>
      </w:pPr>
      <w:r w:rsidRPr="00B37A02">
        <w:rPr>
          <w:rFonts w:ascii="Times New Roman" w:hAnsi="Times New Roman" w:cs="Times New Roman"/>
          <w:b/>
          <w:i/>
          <w:sz w:val="24"/>
        </w:rPr>
        <w:t>Pavaddokuments dokumentam</w:t>
      </w:r>
    </w:p>
    <w:p w14:paraId="51B388FA" w14:textId="79DF48F4" w:rsidR="00C97F66" w:rsidRPr="00B37A02" w:rsidRDefault="00C97F66" w:rsidP="00C97F66">
      <w:pPr>
        <w:widowControl w:val="0"/>
        <w:spacing w:after="0" w:line="240" w:lineRule="auto"/>
        <w:jc w:val="center"/>
        <w:rPr>
          <w:rFonts w:ascii="Times New Roman" w:hAnsi="Times New Roman" w:cs="Times New Roman"/>
          <w:b/>
          <w:bCs/>
          <w:sz w:val="24"/>
        </w:rPr>
      </w:pPr>
    </w:p>
    <w:p w14:paraId="05FEC25D" w14:textId="77777777" w:rsidR="00C97F66" w:rsidRPr="00B37A02" w:rsidRDefault="00C97F66" w:rsidP="00C97F66">
      <w:pPr>
        <w:widowControl w:val="0"/>
        <w:spacing w:after="0" w:line="240" w:lineRule="auto"/>
        <w:jc w:val="center"/>
        <w:rPr>
          <w:rFonts w:ascii="Times New Roman" w:hAnsi="Times New Roman" w:cs="Times New Roman"/>
          <w:b/>
          <w:bCs/>
          <w:sz w:val="24"/>
        </w:rPr>
      </w:pPr>
    </w:p>
    <w:p w14:paraId="32B4995E" w14:textId="033CE1EA" w:rsidR="00B66C46" w:rsidRPr="00B37A02" w:rsidRDefault="00B66C46" w:rsidP="00C97F66">
      <w:pPr>
        <w:widowControl w:val="0"/>
        <w:spacing w:after="0" w:line="240" w:lineRule="auto"/>
        <w:jc w:val="center"/>
        <w:rPr>
          <w:rFonts w:ascii="Times New Roman" w:hAnsi="Times New Roman" w:cs="Times New Roman"/>
          <w:b/>
          <w:bCs/>
          <w:sz w:val="24"/>
        </w:rPr>
      </w:pPr>
      <w:r w:rsidRPr="00B37A02">
        <w:rPr>
          <w:rFonts w:ascii="Times New Roman" w:hAnsi="Times New Roman" w:cs="Times New Roman"/>
          <w:b/>
          <w:sz w:val="24"/>
        </w:rPr>
        <w:t>“Priekšlikums Padomes Ieteikumam,</w:t>
      </w:r>
    </w:p>
    <w:p w14:paraId="3BFDB4B3" w14:textId="6E003559" w:rsidR="00DC14E0" w:rsidRPr="00B37A02" w:rsidRDefault="00DC14E0" w:rsidP="00C97F66">
      <w:pPr>
        <w:widowControl w:val="0"/>
        <w:spacing w:after="0" w:line="240" w:lineRule="auto"/>
        <w:jc w:val="center"/>
        <w:rPr>
          <w:rFonts w:ascii="Times New Roman" w:hAnsi="Times New Roman" w:cs="Times New Roman"/>
          <w:b/>
          <w:bCs/>
          <w:sz w:val="24"/>
        </w:rPr>
      </w:pPr>
    </w:p>
    <w:p w14:paraId="190B9763" w14:textId="6CBB74C6" w:rsidR="00C97F66" w:rsidRPr="00B37A02" w:rsidRDefault="00C97F66" w:rsidP="00C97F66">
      <w:pPr>
        <w:widowControl w:val="0"/>
        <w:spacing w:after="0" w:line="240" w:lineRule="auto"/>
        <w:jc w:val="center"/>
        <w:rPr>
          <w:rFonts w:ascii="Times New Roman" w:hAnsi="Times New Roman" w:cs="Times New Roman"/>
          <w:b/>
          <w:bCs/>
          <w:sz w:val="24"/>
        </w:rPr>
      </w:pPr>
    </w:p>
    <w:p w14:paraId="6E7BB887" w14:textId="77777777" w:rsidR="00C97F66" w:rsidRPr="00B37A02" w:rsidRDefault="00C97F66" w:rsidP="00C97F66">
      <w:pPr>
        <w:widowControl w:val="0"/>
        <w:spacing w:after="0" w:line="240" w:lineRule="auto"/>
        <w:jc w:val="center"/>
        <w:rPr>
          <w:rFonts w:ascii="Times New Roman" w:hAnsi="Times New Roman" w:cs="Times New Roman"/>
          <w:b/>
          <w:bCs/>
          <w:sz w:val="24"/>
        </w:rPr>
      </w:pPr>
    </w:p>
    <w:p w14:paraId="7C1529D5" w14:textId="77777777" w:rsidR="00DC14E0" w:rsidRPr="00B37A02" w:rsidRDefault="00DC14E0" w:rsidP="00C97F66">
      <w:pPr>
        <w:widowControl w:val="0"/>
        <w:spacing w:after="0" w:line="240" w:lineRule="auto"/>
        <w:jc w:val="center"/>
        <w:rPr>
          <w:rFonts w:ascii="Times New Roman" w:hAnsi="Times New Roman" w:cs="Times New Roman"/>
          <w:b/>
          <w:bCs/>
          <w:sz w:val="24"/>
          <w:szCs w:val="18"/>
        </w:rPr>
      </w:pPr>
      <w:r w:rsidRPr="00B37A02">
        <w:rPr>
          <w:rFonts w:ascii="Times New Roman" w:hAnsi="Times New Roman" w:cs="Times New Roman"/>
          <w:b/>
          <w:sz w:val="24"/>
        </w:rPr>
        <w:t>ar ko izveido Eiropas Garantiju bērniem”</w:t>
      </w:r>
    </w:p>
    <w:p w14:paraId="448FA009" w14:textId="6F9AB6C9" w:rsidR="00FD05B9" w:rsidRPr="00B37A02" w:rsidRDefault="00FD05B9" w:rsidP="00C97F66">
      <w:pPr>
        <w:widowControl w:val="0"/>
        <w:spacing w:after="0" w:line="240" w:lineRule="auto"/>
        <w:jc w:val="center"/>
        <w:rPr>
          <w:rFonts w:ascii="Times New Roman" w:hAnsi="Times New Roman" w:cs="Times New Roman"/>
          <w:b/>
          <w:bCs/>
          <w:sz w:val="24"/>
          <w:szCs w:val="18"/>
        </w:rPr>
      </w:pPr>
    </w:p>
    <w:p w14:paraId="1D63374E" w14:textId="0E6035B3" w:rsidR="00C97F66" w:rsidRPr="00B37A02" w:rsidRDefault="00C97F66" w:rsidP="00C97F66">
      <w:pPr>
        <w:widowControl w:val="0"/>
        <w:spacing w:after="0" w:line="240" w:lineRule="auto"/>
        <w:jc w:val="center"/>
        <w:rPr>
          <w:rFonts w:ascii="Times New Roman" w:hAnsi="Times New Roman" w:cs="Times New Roman"/>
          <w:b/>
          <w:bCs/>
          <w:sz w:val="24"/>
          <w:szCs w:val="18"/>
        </w:rPr>
      </w:pPr>
    </w:p>
    <w:p w14:paraId="1BF8DA16" w14:textId="6B269B67" w:rsidR="00C97F66" w:rsidRPr="00B37A02" w:rsidRDefault="00C97F66" w:rsidP="00C97F66">
      <w:pPr>
        <w:widowControl w:val="0"/>
        <w:spacing w:after="0" w:line="240" w:lineRule="auto"/>
        <w:jc w:val="center"/>
        <w:rPr>
          <w:rFonts w:ascii="Times New Roman" w:hAnsi="Times New Roman" w:cs="Times New Roman"/>
          <w:b/>
          <w:bCs/>
          <w:sz w:val="24"/>
          <w:szCs w:val="18"/>
        </w:rPr>
      </w:pPr>
    </w:p>
    <w:p w14:paraId="4324B986" w14:textId="77777777" w:rsidR="00C97F66" w:rsidRPr="00B37A02" w:rsidRDefault="00C97F66" w:rsidP="00C97F66">
      <w:pPr>
        <w:widowControl w:val="0"/>
        <w:spacing w:after="0" w:line="240" w:lineRule="auto"/>
        <w:jc w:val="center"/>
        <w:rPr>
          <w:rFonts w:ascii="Times New Roman" w:hAnsi="Times New Roman" w:cs="Times New Roman"/>
          <w:b/>
          <w:bCs/>
          <w:sz w:val="24"/>
          <w:szCs w:val="18"/>
        </w:rPr>
      </w:pPr>
    </w:p>
    <w:p w14:paraId="1927290C" w14:textId="0727FACF" w:rsidR="00017D8B" w:rsidRPr="00B37A02" w:rsidRDefault="00FD05B9" w:rsidP="00C97F66">
      <w:pPr>
        <w:widowControl w:val="0"/>
        <w:spacing w:after="0" w:line="240" w:lineRule="auto"/>
        <w:jc w:val="center"/>
        <w:rPr>
          <w:rFonts w:ascii="Times New Roman" w:hAnsi="Times New Roman" w:cs="Times New Roman"/>
          <w:sz w:val="24"/>
        </w:rPr>
      </w:pPr>
      <w:r w:rsidRPr="00B37A02">
        <w:rPr>
          <w:rFonts w:ascii="Times New Roman" w:hAnsi="Times New Roman" w:cs="Times New Roman"/>
          <w:sz w:val="24"/>
        </w:rPr>
        <w:t>{COM(2021) 137 final}</w:t>
      </w:r>
    </w:p>
    <w:p w14:paraId="57438C6C" w14:textId="77777777" w:rsidR="00017D8B" w:rsidRPr="00B37A02" w:rsidRDefault="00017D8B" w:rsidP="00C97F66">
      <w:pPr>
        <w:spacing w:after="0" w:line="240" w:lineRule="auto"/>
        <w:rPr>
          <w:rFonts w:ascii="Times New Roman" w:eastAsiaTheme="majorEastAsia" w:hAnsi="Times New Roman" w:cs="Times New Roman"/>
          <w:color w:val="2E74B5" w:themeColor="accent1" w:themeShade="BF"/>
          <w:sz w:val="24"/>
          <w:szCs w:val="32"/>
        </w:rPr>
      </w:pPr>
      <w:r w:rsidRPr="00B37A02">
        <w:rPr>
          <w:rFonts w:ascii="Times New Roman" w:hAnsi="Times New Roman" w:cs="Times New Roman"/>
        </w:rPr>
        <w:br w:type="page"/>
      </w:r>
    </w:p>
    <w:p w14:paraId="79B9BE11" w14:textId="1B6302C3" w:rsidR="00BC5BDF" w:rsidRPr="00B37A02" w:rsidRDefault="00BC5BDF" w:rsidP="00C97F66">
      <w:pPr>
        <w:pStyle w:val="TOCHeading"/>
        <w:keepNext w:val="0"/>
        <w:keepLines w:val="0"/>
        <w:widowControl w:val="0"/>
        <w:spacing w:before="0" w:line="240" w:lineRule="auto"/>
        <w:jc w:val="both"/>
        <w:rPr>
          <w:rFonts w:ascii="Times New Roman" w:hAnsi="Times New Roman" w:cs="Times New Roman"/>
          <w:sz w:val="28"/>
          <w:szCs w:val="36"/>
        </w:rPr>
      </w:pPr>
      <w:r w:rsidRPr="00B37A02">
        <w:rPr>
          <w:rFonts w:ascii="Times New Roman" w:hAnsi="Times New Roman" w:cs="Times New Roman"/>
          <w:sz w:val="28"/>
        </w:rPr>
        <w:lastRenderedPageBreak/>
        <w:t>IEVADS</w:t>
      </w:r>
    </w:p>
    <w:p w14:paraId="19850505" w14:textId="77777777" w:rsidR="00017D8B" w:rsidRPr="00B37A02" w:rsidRDefault="00017D8B" w:rsidP="00C97F66">
      <w:pPr>
        <w:spacing w:after="0" w:line="240" w:lineRule="auto"/>
        <w:rPr>
          <w:rFonts w:ascii="Times New Roman" w:hAnsi="Times New Roman" w:cs="Times New Roman"/>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061"/>
      </w:tblGrid>
      <w:tr w:rsidR="00BC5BDF" w:rsidRPr="00B37A02" w14:paraId="31528B44" w14:textId="77777777" w:rsidTr="00C97F66">
        <w:tc>
          <w:tcPr>
            <w:tcW w:w="9242" w:type="dxa"/>
          </w:tcPr>
          <w:p w14:paraId="681C4EDF" w14:textId="77777777" w:rsidR="008F7A09" w:rsidRDefault="00BC5BDF" w:rsidP="00C97F66">
            <w:pPr>
              <w:pStyle w:val="BodyText"/>
              <w:widowControl w:val="0"/>
              <w:spacing w:after="0"/>
              <w:rPr>
                <w:rFonts w:ascii="Times New Roman" w:hAnsi="Times New Roman"/>
                <w:sz w:val="24"/>
              </w:rPr>
            </w:pPr>
            <w:r w:rsidRPr="00B37A02">
              <w:rPr>
                <w:rFonts w:ascii="Times New Roman" w:hAnsi="Times New Roman"/>
                <w:i/>
                <w:sz w:val="24"/>
              </w:rPr>
              <w:t xml:space="preserve">“Mums ir jākaunas par to, ka gandrīz 25 miljoni bērnu, kas ir jaunāki par 18 gadiem, ir pakļauti nabadzības vai sociālās atstumtības riskam. Nabadzībā dzīvojoši bērni, visticamāk, dzīvos nabadzībā arī pieaugušā vecumā. Mums ir jāpārrauj šis apburtais loks. Mums ir jādara vairāk. </w:t>
            </w:r>
            <w:r w:rsidRPr="00B37A02">
              <w:rPr>
                <w:rFonts w:ascii="Times New Roman" w:hAnsi="Times New Roman"/>
                <w:i/>
                <w:iCs/>
                <w:sz w:val="24"/>
              </w:rPr>
              <w:t>Lai atbalstītu visus bērnus, kam vajadzīga palīdzība, es izveidošu Eiropas Garantiju bērniem,”</w:t>
            </w:r>
            <w:r w:rsidRPr="00B37A02">
              <w:rPr>
                <w:rFonts w:ascii="Times New Roman" w:hAnsi="Times New Roman"/>
                <w:sz w:val="24"/>
              </w:rPr>
              <w:t xml:space="preserve"> norādīja Komisijas prezidente Urzula fon der Leiena [</w:t>
            </w:r>
            <w:r w:rsidRPr="00B37A02">
              <w:rPr>
                <w:rFonts w:ascii="Times New Roman" w:hAnsi="Times New Roman"/>
                <w:i/>
                <w:iCs/>
                <w:sz w:val="24"/>
              </w:rPr>
              <w:t>Ursula von der Leyen</w:t>
            </w:r>
            <w:r w:rsidRPr="00B37A02">
              <w:rPr>
                <w:rFonts w:ascii="Times New Roman" w:hAnsi="Times New Roman"/>
                <w:sz w:val="24"/>
              </w:rPr>
              <w:t>] viņas izstrādātajās politiskajās pamatnostādnēs nākamajai Eiropas Komisijai</w:t>
            </w:r>
          </w:p>
          <w:p w14:paraId="65BD7C33" w14:textId="210AB54E" w:rsidR="00BC5BDF" w:rsidRPr="00B37A02" w:rsidRDefault="00BC5BDF" w:rsidP="00C97F66">
            <w:pPr>
              <w:pStyle w:val="BodyText"/>
              <w:widowControl w:val="0"/>
              <w:spacing w:after="0"/>
              <w:rPr>
                <w:rFonts w:ascii="Times New Roman" w:eastAsia="Calibri" w:hAnsi="Times New Roman"/>
                <w:sz w:val="24"/>
                <w:szCs w:val="24"/>
              </w:rPr>
            </w:pPr>
            <w:r w:rsidRPr="00B37A02">
              <w:rPr>
                <w:rFonts w:ascii="Times New Roman" w:hAnsi="Times New Roman"/>
                <w:sz w:val="24"/>
              </w:rPr>
              <w:t xml:space="preserve">2019.–2024. gadam. </w:t>
            </w:r>
          </w:p>
        </w:tc>
      </w:tr>
    </w:tbl>
    <w:p w14:paraId="46B58845" w14:textId="77777777" w:rsidR="00BC5BDF" w:rsidRPr="00B37A02" w:rsidRDefault="00BC5BDF" w:rsidP="00C97F66">
      <w:pPr>
        <w:pStyle w:val="BodyText"/>
        <w:widowControl w:val="0"/>
        <w:spacing w:after="0"/>
        <w:rPr>
          <w:rFonts w:ascii="Times New Roman" w:eastAsia="Calibri" w:hAnsi="Times New Roman"/>
          <w:i/>
          <w:sz w:val="24"/>
          <w:szCs w:val="24"/>
        </w:rPr>
      </w:pPr>
    </w:p>
    <w:p w14:paraId="625CD417" w14:textId="52EC6B20" w:rsidR="00EC5DE2" w:rsidRPr="00B37A02" w:rsidRDefault="00BC5BDF" w:rsidP="00C97F66">
      <w:pPr>
        <w:pStyle w:val="BodyText"/>
        <w:widowControl w:val="0"/>
        <w:spacing w:after="0"/>
        <w:rPr>
          <w:rFonts w:ascii="Times New Roman" w:eastAsia="Calibri" w:hAnsi="Times New Roman"/>
          <w:sz w:val="24"/>
          <w:szCs w:val="24"/>
        </w:rPr>
      </w:pPr>
      <w:r w:rsidRPr="00B37A02">
        <w:rPr>
          <w:rFonts w:ascii="Times New Roman" w:hAnsi="Times New Roman"/>
          <w:b/>
          <w:bCs/>
          <w:sz w:val="24"/>
        </w:rPr>
        <w:t>Komisijas priekšlikums Padomes Ieteikumam, ar ko izveido Eiropas Garantiju bērniem, izriet no Eiropas sociālo tiesību pīlāra un ir balstīts uz vairākiem tā principiem.</w:t>
      </w:r>
      <w:r w:rsidRPr="00B37A02">
        <w:rPr>
          <w:rFonts w:ascii="Times New Roman" w:hAnsi="Times New Roman"/>
          <w:sz w:val="24"/>
          <w:szCs w:val="24"/>
          <w:vertAlign w:val="superscript"/>
        </w:rPr>
        <w:footnoteReference w:id="2"/>
      </w:r>
      <w:r w:rsidRPr="00B37A02">
        <w:rPr>
          <w:rFonts w:ascii="Times New Roman" w:hAnsi="Times New Roman"/>
          <w:sz w:val="24"/>
        </w:rPr>
        <w:t xml:space="preserve"> Tas ir svarīgs un konkrēts Eiropas sociālo tiesību pīlāra rīcības plāna</w:t>
      </w:r>
      <w:r w:rsidRPr="00B37A02">
        <w:rPr>
          <w:rFonts w:ascii="Times New Roman" w:eastAsia="Calibri" w:hAnsi="Times New Roman"/>
          <w:sz w:val="24"/>
          <w:szCs w:val="24"/>
          <w:vertAlign w:val="superscript"/>
        </w:rPr>
        <w:footnoteReference w:id="3"/>
      </w:r>
      <w:r w:rsidRPr="00B37A02">
        <w:rPr>
          <w:rFonts w:ascii="Times New Roman" w:hAnsi="Times New Roman"/>
          <w:sz w:val="24"/>
        </w:rPr>
        <w:t xml:space="preserve"> rezultāts, un tas veicinās tajā izvirzītā vērienīgā mērķa sasniegšanu, lai paglābtu vismaz 5 miljonus bērnu Eiropas Savienībā no nabadzības vai sociālās atstumtības. Šī iniciatīva izriet no Komisijas 2013. gada Ieteikuma “Ieguldījums bērnos: nabadzības apburtā loka pārraušana”</w:t>
      </w:r>
      <w:r w:rsidRPr="00B37A02">
        <w:rPr>
          <w:rFonts w:ascii="Times New Roman" w:eastAsia="Calibri" w:hAnsi="Times New Roman"/>
          <w:sz w:val="24"/>
          <w:szCs w:val="24"/>
          <w:vertAlign w:val="superscript"/>
        </w:rPr>
        <w:footnoteReference w:id="4"/>
      </w:r>
      <w:r w:rsidRPr="00B37A02">
        <w:rPr>
          <w:rFonts w:ascii="Times New Roman" w:hAnsi="Times New Roman"/>
          <w:sz w:val="24"/>
        </w:rPr>
        <w:t xml:space="preserve"> un papildina ES Bērnu tiesību stratēģiju 2021.–2024. gadam, kas pieņemta kopā ar šo priekšlikumu.</w:t>
      </w:r>
      <w:r w:rsidRPr="00B37A02">
        <w:rPr>
          <w:rStyle w:val="FootnoteReference"/>
          <w:rFonts w:ascii="Times New Roman" w:eastAsia="Calibri" w:hAnsi="Times New Roman"/>
          <w:sz w:val="24"/>
          <w:szCs w:val="24"/>
        </w:rPr>
        <w:footnoteReference w:id="5"/>
      </w:r>
      <w:r w:rsidRPr="00B37A02">
        <w:rPr>
          <w:rFonts w:ascii="Times New Roman" w:hAnsi="Times New Roman"/>
          <w:sz w:val="24"/>
        </w:rPr>
        <w:t xml:space="preserve"> Kopā šīs iniciatīvas veido spēcīgu pasākumu kopumu, lai palīdzētu bērniem un sniegtu lielāku ieguldījumu turpmākajās paaudzēs.</w:t>
      </w:r>
    </w:p>
    <w:p w14:paraId="4E550C43" w14:textId="77777777" w:rsidR="00C97F66" w:rsidRPr="00B37A02" w:rsidRDefault="00C97F66" w:rsidP="00C97F66">
      <w:pPr>
        <w:pStyle w:val="BodyText"/>
        <w:widowControl w:val="0"/>
        <w:spacing w:after="0"/>
        <w:rPr>
          <w:rFonts w:ascii="Times New Roman" w:hAnsi="Times New Roman"/>
          <w:b/>
          <w:color w:val="000000"/>
          <w:sz w:val="24"/>
          <w:szCs w:val="24"/>
          <w:bdr w:val="none" w:sz="0" w:space="0" w:color="auto" w:frame="1"/>
        </w:rPr>
      </w:pPr>
    </w:p>
    <w:p w14:paraId="63F121DE" w14:textId="406DC616" w:rsidR="00BC5BDF" w:rsidRPr="00B37A02" w:rsidRDefault="00BC5BDF" w:rsidP="00C97F66">
      <w:pPr>
        <w:pStyle w:val="BodyText"/>
        <w:widowControl w:val="0"/>
        <w:spacing w:after="0"/>
        <w:rPr>
          <w:rFonts w:ascii="Times New Roman" w:eastAsia="Calibri" w:hAnsi="Times New Roman"/>
          <w:b/>
          <w:sz w:val="24"/>
          <w:szCs w:val="24"/>
        </w:rPr>
      </w:pPr>
      <w:r w:rsidRPr="00B37A02">
        <w:rPr>
          <w:rFonts w:ascii="Times New Roman" w:hAnsi="Times New Roman"/>
          <w:b/>
          <w:bCs/>
          <w:color w:val="000000"/>
          <w:sz w:val="24"/>
          <w:bdr w:val="none" w:sz="0" w:space="0" w:color="auto" w:frame="1"/>
        </w:rPr>
        <w:t>Sociālā atstumtība ir sarežģīta un daudzdimensionāla parādība.</w:t>
      </w:r>
      <w:r w:rsidRPr="00B37A02">
        <w:rPr>
          <w:rFonts w:ascii="Times New Roman" w:hAnsi="Times New Roman"/>
          <w:color w:val="000000"/>
          <w:sz w:val="24"/>
          <w:bdr w:val="none" w:sz="0" w:space="0" w:color="auto" w:frame="1"/>
        </w:rPr>
        <w:t xml:space="preserve"> Tās galvenie virzītājspēki ir nepietiekami resursi un nabadzība, kā arī nevienlīdzīga piekļuve precēm un pakalpojumiem dažādu nelabvēlīgu apstākļu dēļ, kas liedz pilnvērtīgu līdzdalību sabiedrībā.</w:t>
      </w:r>
      <w:r w:rsidRPr="00B37A02">
        <w:rPr>
          <w:rFonts w:ascii="Times New Roman" w:hAnsi="Times New Roman"/>
          <w:color w:val="000000"/>
          <w:sz w:val="24"/>
          <w:szCs w:val="24"/>
          <w:bdr w:val="none" w:sz="0" w:space="0" w:color="auto" w:frame="1"/>
          <w:vertAlign w:val="superscript"/>
        </w:rPr>
        <w:footnoteReference w:id="6"/>
      </w:r>
    </w:p>
    <w:p w14:paraId="19689928" w14:textId="77777777" w:rsidR="00C97F66" w:rsidRPr="00B37A02" w:rsidRDefault="00C97F66" w:rsidP="00C97F66">
      <w:pPr>
        <w:pStyle w:val="BodyText"/>
        <w:widowControl w:val="0"/>
        <w:spacing w:after="0"/>
        <w:rPr>
          <w:rFonts w:ascii="Times New Roman" w:eastAsia="Calibri" w:hAnsi="Times New Roman"/>
          <w:b/>
          <w:sz w:val="24"/>
          <w:szCs w:val="24"/>
        </w:rPr>
      </w:pPr>
    </w:p>
    <w:p w14:paraId="774C3A23" w14:textId="2FC4511D" w:rsidR="00EC5DE2" w:rsidRPr="00B37A02" w:rsidRDefault="00BC5BDF" w:rsidP="00C97F66">
      <w:pPr>
        <w:pStyle w:val="BodyText"/>
        <w:widowControl w:val="0"/>
        <w:spacing w:after="0"/>
        <w:rPr>
          <w:rFonts w:ascii="Times New Roman" w:eastAsia="Calibri" w:hAnsi="Times New Roman"/>
          <w:sz w:val="24"/>
          <w:szCs w:val="24"/>
        </w:rPr>
      </w:pPr>
      <w:r w:rsidRPr="00B37A02">
        <w:rPr>
          <w:rFonts w:ascii="Times New Roman" w:hAnsi="Times New Roman"/>
          <w:b/>
          <w:sz w:val="24"/>
        </w:rPr>
        <w:t xml:space="preserve">No paaudzes paaudzē pārmantotā nabadzības apburtā loka pārraušana sākas ar ieguldījumu, kura mērķis ir mazināt nevienlīdzīgo piekļuvi pamatpakalpojumiem starp bērniem, kam vajadzīga palīdzība, un viņu vienaudžiem, kuri atrodas labākā situācijā. </w:t>
      </w:r>
      <w:r w:rsidRPr="00B37A02">
        <w:rPr>
          <w:rFonts w:ascii="Times New Roman" w:hAnsi="Times New Roman"/>
          <w:sz w:val="24"/>
        </w:rPr>
        <w:t>Šā priekšlikuma nolūks ir novērst bērnu sociālo atstumtību un cīnīties ar to, garantējot bērniem, kam vajadzīga palīdzība, piekļuvi agrīnajai pirmsskolas izglītībai un aprūpei, izglītībai (tostarp skolas nodarbībām), veselības aprūpei, uzturam un mājoklim. Tajā ir pausta apņemšanās uzlabot vienlīdzīgas iespējas un nodrošināt, ka neviens bērns netiek aizmirsts. Lai gan vairumam bērnu Eiropas Savienībā ir piekļuve šiem pakalpojumiem, iekļaujoša un patiesi universāla piekļuve ir ļoti svarīga, lai nodrošinātu vienlīdzīgas iespējas visiem bērniem, jo īpaši tiem, kuri ir pakļauti sociālajai atstumtībai nabadzības vai citu nelabvēlīgu apstākļu dēļ.</w:t>
      </w:r>
    </w:p>
    <w:p w14:paraId="0E6F3A54" w14:textId="77777777" w:rsidR="00C97F66" w:rsidRPr="00B37A02" w:rsidRDefault="00C97F66" w:rsidP="00C97F66">
      <w:pPr>
        <w:pStyle w:val="BodyText"/>
        <w:widowControl w:val="0"/>
        <w:spacing w:after="0"/>
        <w:rPr>
          <w:rFonts w:ascii="Times New Roman" w:eastAsia="Calibri" w:hAnsi="Times New Roman"/>
          <w:b/>
          <w:sz w:val="24"/>
          <w:szCs w:val="24"/>
        </w:rPr>
      </w:pPr>
    </w:p>
    <w:p w14:paraId="22D65076" w14:textId="5CC86248" w:rsidR="00EC5DE2" w:rsidRPr="00B37A02" w:rsidRDefault="00BC5BDF" w:rsidP="00C97F66">
      <w:pPr>
        <w:pStyle w:val="BodyText"/>
        <w:widowControl w:val="0"/>
        <w:spacing w:after="0"/>
        <w:rPr>
          <w:rFonts w:ascii="Times New Roman" w:eastAsia="Calibri" w:hAnsi="Times New Roman"/>
          <w:bCs/>
          <w:sz w:val="24"/>
          <w:szCs w:val="24"/>
        </w:rPr>
      </w:pPr>
      <w:r w:rsidRPr="00B37A02">
        <w:rPr>
          <w:rFonts w:ascii="Times New Roman" w:hAnsi="Times New Roman"/>
          <w:b/>
          <w:bCs/>
          <w:sz w:val="24"/>
        </w:rPr>
        <w:t>Eiropas Garantija bērniem ir vērsta uz “grūtībās nonākušiem bērniem”</w:t>
      </w:r>
      <w:r w:rsidRPr="00B37A02">
        <w:rPr>
          <w:rFonts w:ascii="Times New Roman" w:hAnsi="Times New Roman"/>
          <w:sz w:val="24"/>
        </w:rPr>
        <w:t xml:space="preserve">, un tā attiecas galvenokārt uz bērniem, kuri ir pakļauti nabadzības vai sociālās atstumtības riskam. Līdzās nabadzībai arī citi nelabvēlīgi apstākļi rada šķēršļus iekļautībai un līdzdalībai sabiedrībā. Līdz ar to šajā priekšlikumā īpaša uzmanība pievērsta konkrētām vajadzībām attiecībā uz: i) bērniem </w:t>
      </w:r>
      <w:r w:rsidRPr="00B37A02">
        <w:rPr>
          <w:rFonts w:ascii="Times New Roman" w:hAnsi="Times New Roman"/>
          <w:sz w:val="24"/>
        </w:rPr>
        <w:lastRenderedPageBreak/>
        <w:t>bezpajumtniekiem vai bērniem, kuriem ir ļoti slikti sadzīves apstākļi; ii) bērniem ar invaliditāti; iii) migrantu izcelsmes bērniem; iv) rases vai etniskās minoritātes izcelsmes bērniem (jo īpaši romiem); v) alternatīvajā (jo īpaši institucionālā) aprūpē esošiem bērniem un vi) bērniem, kas dzīvo nestabilos ģimenes apstākļos. Galvenā uzmanība tiek pievērsta tieši grūtībās nonākušiem bērniem, lai novērstu situāciju, ka viņi būs pakļauti nabadzības vai sociālās atstumtības riskam pieaugušā vecumā.</w:t>
      </w:r>
    </w:p>
    <w:p w14:paraId="6CB83872" w14:textId="77777777" w:rsidR="00C97F66" w:rsidRPr="00B37A02" w:rsidRDefault="00C97F66" w:rsidP="00C97F66">
      <w:pPr>
        <w:pStyle w:val="BodyText"/>
        <w:widowControl w:val="0"/>
        <w:spacing w:after="0"/>
        <w:rPr>
          <w:rFonts w:ascii="Times New Roman" w:eastAsia="Calibri" w:hAnsi="Times New Roman"/>
          <w:b/>
          <w:sz w:val="24"/>
          <w:szCs w:val="24"/>
        </w:rPr>
      </w:pPr>
    </w:p>
    <w:p w14:paraId="70D1AE73" w14:textId="5C1D57A5" w:rsidR="00EC5DE2" w:rsidRPr="00B37A02" w:rsidRDefault="00BC5BDF" w:rsidP="00C97F66">
      <w:pPr>
        <w:pStyle w:val="BodyText"/>
        <w:widowControl w:val="0"/>
        <w:spacing w:after="0"/>
        <w:rPr>
          <w:rFonts w:ascii="Times New Roman" w:eastAsia="Calibri" w:hAnsi="Times New Roman"/>
          <w:sz w:val="24"/>
          <w:szCs w:val="24"/>
        </w:rPr>
      </w:pPr>
      <w:r w:rsidRPr="00B37A02">
        <w:rPr>
          <w:rFonts w:ascii="Times New Roman" w:hAnsi="Times New Roman"/>
          <w:b/>
          <w:sz w:val="24"/>
        </w:rPr>
        <w:t xml:space="preserve">Lai gan bērnu nabadzības vai sociālās atstumtības risks Eiropas Savienībā no 2014. līdz 2019. gadam ir samazinājies, gandrīz katrs ceturtais bērns joprojām ir pakļauts šim riskam. </w:t>
      </w:r>
      <w:r w:rsidRPr="00B37A02">
        <w:rPr>
          <w:rFonts w:ascii="Times New Roman" w:hAnsi="Times New Roman"/>
          <w:sz w:val="24"/>
        </w:rPr>
        <w:t>Covid-19 un tā ekonomiskās sekas, visticamāk, spēcīgāk ietekmēs bērnus no nelabvēlīgas vides vai ģimenēm ar nelieliem ienākumiem.</w:t>
      </w:r>
    </w:p>
    <w:p w14:paraId="0DAE4BE1" w14:textId="77777777" w:rsidR="00C97F66" w:rsidRPr="00B37A02" w:rsidRDefault="00C97F66" w:rsidP="00C97F66">
      <w:pPr>
        <w:pStyle w:val="BodyText"/>
        <w:widowControl w:val="0"/>
        <w:spacing w:after="0"/>
        <w:rPr>
          <w:rFonts w:ascii="Times New Roman" w:eastAsia="Calibri" w:hAnsi="Times New Roman"/>
          <w:b/>
          <w:sz w:val="24"/>
          <w:szCs w:val="24"/>
        </w:rPr>
      </w:pPr>
    </w:p>
    <w:p w14:paraId="2024A445" w14:textId="725A4FA4" w:rsidR="00BC5BDF" w:rsidRPr="00B37A02" w:rsidRDefault="00BC5BDF" w:rsidP="00C97F66">
      <w:pPr>
        <w:pStyle w:val="BodyText"/>
        <w:widowControl w:val="0"/>
        <w:spacing w:after="0"/>
        <w:rPr>
          <w:rFonts w:ascii="Times New Roman" w:eastAsia="Calibri" w:hAnsi="Times New Roman"/>
          <w:sz w:val="24"/>
          <w:szCs w:val="24"/>
        </w:rPr>
      </w:pPr>
      <w:r w:rsidRPr="00B37A02">
        <w:rPr>
          <w:rFonts w:ascii="Times New Roman" w:hAnsi="Times New Roman"/>
          <w:b/>
          <w:sz w:val="24"/>
        </w:rPr>
        <w:t xml:space="preserve">Ieguldīšana bērnos ir ļoti svarīga, lai nodrošinātu ilgtspējīgu, efektīvu un konkurētspējīgu zināšanu ekonomiku un taisnīgu sabiedrību. </w:t>
      </w:r>
      <w:r w:rsidRPr="00B37A02">
        <w:rPr>
          <w:rFonts w:ascii="Times New Roman" w:hAnsi="Times New Roman"/>
          <w:sz w:val="24"/>
        </w:rPr>
        <w:t>Nākotnes izaugsmes izredzes un sociālās aizsardzības sistēmu ilgtspēja ir atkarīga no mūsu bērniem. Publiskā sektora izdevumi, kas rodas, lai novērstu bērnībā piedzīvotās nabadzības radītās sekas indivīda dzīves laikā, ir ievērojami lielāki par ieguldījumu, kas nepieciešams, lai uzlabotu viņu dzīves izredzes, sniedzot viņiem atbalstu jau bērnībā. Izvirzot priekšplānā bērnus no nelabvēlīgas sociālekonomiskās vides, ir cerība pārraut nabadzības apburto loku, kas turpinās no paaudzes paaudzē, līdzsvarojot bērna attīstības vidi.</w:t>
      </w:r>
    </w:p>
    <w:p w14:paraId="3FDAC857" w14:textId="77777777" w:rsidR="00C97F66" w:rsidRPr="00B37A02" w:rsidRDefault="00C97F66" w:rsidP="00C97F66">
      <w:pPr>
        <w:pStyle w:val="BodyText"/>
        <w:widowControl w:val="0"/>
        <w:spacing w:after="0"/>
        <w:rPr>
          <w:rFonts w:ascii="Times New Roman" w:eastAsia="Calibri" w:hAnsi="Times New Roman"/>
          <w:b/>
          <w:sz w:val="24"/>
          <w:szCs w:val="24"/>
        </w:rPr>
      </w:pPr>
    </w:p>
    <w:p w14:paraId="5AE114C8" w14:textId="72A1AF9B"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b/>
          <w:sz w:val="24"/>
        </w:rPr>
        <w:t xml:space="preserve">Priekšlikums Ieteikumam, ar ko izveido Eiropas Garantiju bērniem, ir īpaši būtisks Covid-19 pandēmijas radīto sociālekonomisko seku kontekstā. </w:t>
      </w:r>
      <w:r w:rsidRPr="00B37A02">
        <w:rPr>
          <w:rFonts w:ascii="Times New Roman" w:hAnsi="Times New Roman"/>
          <w:sz w:val="24"/>
        </w:rPr>
        <w:t>Šī pandēmija var pasliktināt nevienlīdzību, un tā rada papildu spiedienu uz pakalpojumu pieejamību. Nabadzībā dzīvojošiem bērniem skolu slēgšana bieži vien nozīmēja to, ka papildus izglītības trūkumam viņiem vairs nebija pieejamas skolas maltītes. Attālinātās mācības arī pastiprināja izglītības un digitālo plaisu, tostarp lauku un attālos reģionos. Bērni ar invaliditāti saskārās ar papildu atstumtības vai diskriminācijas risku pieejama izglītības satura, platformu un specializēta atbalsta trūkuma dēļ. Šis priekšlikums palīdzēs mazināt pandēmijas negatīvās sekas, precīzāk, novērst trūkumus saistībā ar piekļuvi kvalitatīviem pakalpojumiem, sekmēt sociālo iekļaušanu un vairot vienlīdzīgas iespējas.</w:t>
      </w:r>
    </w:p>
    <w:p w14:paraId="2D21D504" w14:textId="77777777" w:rsidR="00C97F66" w:rsidRPr="00B37A02" w:rsidRDefault="00C97F66" w:rsidP="00C97F66">
      <w:pPr>
        <w:pStyle w:val="BodyText"/>
        <w:widowControl w:val="0"/>
        <w:spacing w:after="0"/>
        <w:rPr>
          <w:rFonts w:ascii="Times New Roman" w:eastAsia="Calibri" w:hAnsi="Times New Roman"/>
          <w:b/>
          <w:sz w:val="24"/>
          <w:szCs w:val="24"/>
        </w:rPr>
      </w:pPr>
    </w:p>
    <w:p w14:paraId="08B1B42C" w14:textId="47449556" w:rsidR="00BC5BDF" w:rsidRPr="00B37A02" w:rsidRDefault="00BC5BDF" w:rsidP="00C97F66">
      <w:pPr>
        <w:pStyle w:val="BodyText"/>
        <w:widowControl w:val="0"/>
        <w:spacing w:after="0"/>
        <w:rPr>
          <w:rFonts w:ascii="Times New Roman" w:eastAsia="Calibri" w:hAnsi="Times New Roman"/>
          <w:sz w:val="24"/>
          <w:szCs w:val="24"/>
        </w:rPr>
      </w:pPr>
      <w:r w:rsidRPr="00B37A02">
        <w:rPr>
          <w:rFonts w:ascii="Times New Roman" w:hAnsi="Times New Roman"/>
          <w:b/>
          <w:sz w:val="24"/>
        </w:rPr>
        <w:t xml:space="preserve">Šis dienestu darba dokuments papildina Komisijas priekšlikumu Padomes Ieteikumam, ar ko izveido Eiropas Garantiju bērniem. </w:t>
      </w:r>
      <w:r w:rsidRPr="00B37A02">
        <w:rPr>
          <w:rFonts w:ascii="Times New Roman" w:hAnsi="Times New Roman"/>
          <w:sz w:val="24"/>
        </w:rPr>
        <w:t>Tajā ir: i) izklāstītas ar iniciatīvu risināmās problēmas; ii) ierosināti atbildes pasākumi šo problēmu risināšanai un iii) apspriesta šo atbildes pasākumu iespējamā ietekme. Laikā no 2020. gada jūlija līdz novembrim notika apspriede ar ieinteresētajām pusēm par priekšlikuma sagatavošanu. Šajā procesā tika ņemti vērā šīs apspriedes rezultāti un tajā paustie viedokļi. Ieinteresēto pušu apspriedes kopsavilkums ir iekļauts šā dokumenta C pielikumā.</w:t>
      </w:r>
    </w:p>
    <w:p w14:paraId="2459C1AB" w14:textId="77777777" w:rsidR="00BC5BDF" w:rsidRPr="00B37A02" w:rsidRDefault="00BC5BDF" w:rsidP="00C97F66">
      <w:pPr>
        <w:pStyle w:val="BodyText"/>
        <w:widowControl w:val="0"/>
        <w:spacing w:after="0"/>
        <w:rPr>
          <w:rFonts w:ascii="Times New Roman" w:eastAsia="Calibri" w:hAnsi="Times New Roman"/>
          <w:sz w:val="24"/>
          <w:szCs w:val="24"/>
        </w:rPr>
      </w:pPr>
    </w:p>
    <w:p w14:paraId="79B4CC60" w14:textId="35902440" w:rsidR="00B81164" w:rsidRPr="00B37A02" w:rsidRDefault="00CA35DB" w:rsidP="00B83038">
      <w:pPr>
        <w:keepNext/>
        <w:keepLines/>
        <w:widowControl w:val="0"/>
        <w:spacing w:after="0" w:line="240" w:lineRule="auto"/>
        <w:rPr>
          <w:rFonts w:ascii="Times New Roman" w:eastAsiaTheme="majorEastAsia" w:hAnsi="Times New Roman" w:cs="Times New Roman"/>
          <w:color w:val="2E74B5" w:themeColor="accent1" w:themeShade="BF"/>
          <w:sz w:val="28"/>
          <w:szCs w:val="36"/>
        </w:rPr>
      </w:pPr>
      <w:r w:rsidRPr="00B37A02">
        <w:rPr>
          <w:rFonts w:ascii="Times New Roman" w:hAnsi="Times New Roman" w:cs="Times New Roman"/>
          <w:color w:val="2E74B5" w:themeColor="accent1" w:themeShade="BF"/>
          <w:sz w:val="28"/>
        </w:rPr>
        <w:lastRenderedPageBreak/>
        <w:t>1. PRIEKŠLIKUMA PAMATĀ ESOŠĀS SOCIĀLĀS PROBLĒMAS</w:t>
      </w:r>
    </w:p>
    <w:p w14:paraId="75CB6923" w14:textId="77777777" w:rsidR="00CA35DB" w:rsidRPr="00B37A02" w:rsidRDefault="00CA35DB" w:rsidP="00B83038">
      <w:pPr>
        <w:keepNext/>
        <w:keepLines/>
        <w:widowControl w:val="0"/>
        <w:spacing w:after="0" w:line="240" w:lineRule="auto"/>
        <w:rPr>
          <w:rFonts w:ascii="Times New Roman" w:hAnsi="Times New Roman" w:cs="Times New Roman"/>
        </w:rPr>
      </w:pPr>
    </w:p>
    <w:p w14:paraId="121196F1" w14:textId="77777777" w:rsidR="00EC5DE2" w:rsidRPr="00B37A02" w:rsidRDefault="00BC5BDF" w:rsidP="00B83038">
      <w:pPr>
        <w:pStyle w:val="BodyText"/>
        <w:keepNext/>
        <w:keepLines/>
        <w:widowControl w:val="0"/>
        <w:spacing w:after="0"/>
        <w:rPr>
          <w:rFonts w:ascii="Times New Roman" w:hAnsi="Times New Roman"/>
          <w:sz w:val="24"/>
          <w:szCs w:val="24"/>
        </w:rPr>
      </w:pPr>
      <w:r w:rsidRPr="00B37A02">
        <w:rPr>
          <w:rFonts w:ascii="Times New Roman" w:hAnsi="Times New Roman"/>
          <w:b/>
          <w:sz w:val="24"/>
        </w:rPr>
        <w:t>Eiropas Savienībā ir vērojams viens no augstākajiem sociālās iekļaušanas un kohēzijas līmeņiem pasaulē.</w:t>
      </w:r>
      <w:r w:rsidRPr="00B37A02">
        <w:rPr>
          <w:rStyle w:val="FootnoteReference"/>
          <w:rFonts w:ascii="Times New Roman" w:hAnsi="Times New Roman"/>
          <w:b/>
          <w:sz w:val="24"/>
          <w:szCs w:val="24"/>
        </w:rPr>
        <w:footnoteReference w:id="7"/>
      </w:r>
      <w:r w:rsidRPr="00B37A02">
        <w:rPr>
          <w:rFonts w:ascii="Times New Roman" w:hAnsi="Times New Roman"/>
          <w:b/>
          <w:sz w:val="24"/>
        </w:rPr>
        <w:t xml:space="preserve"> Tomēr mēs nevaram samierināties ar bērnu nabadzības problēmu. </w:t>
      </w:r>
      <w:r w:rsidRPr="00B37A02">
        <w:rPr>
          <w:rFonts w:ascii="Times New Roman" w:hAnsi="Times New Roman"/>
          <w:sz w:val="24"/>
        </w:rPr>
        <w:t>Bērni Eiropas Savienībā joprojām ir strukturāli vairāk pakļauti nabadzībai nekā pārējie iedzīvotāji, kas ir galvenais sociālās atstumtības virzītājspēks (skat. 1. attēlu).</w:t>
      </w:r>
    </w:p>
    <w:p w14:paraId="41C45F98" w14:textId="77777777" w:rsidR="00C97F66" w:rsidRPr="00B37A02" w:rsidRDefault="00C97F66" w:rsidP="00B83038">
      <w:pPr>
        <w:pStyle w:val="Caption"/>
        <w:keepNext/>
        <w:keepLines/>
        <w:widowControl w:val="0"/>
        <w:spacing w:after="0"/>
        <w:jc w:val="both"/>
        <w:rPr>
          <w:rFonts w:ascii="Times New Roman" w:hAnsi="Times New Roman" w:cs="Times New Roman"/>
          <w:sz w:val="24"/>
          <w:szCs w:val="22"/>
        </w:rPr>
      </w:pPr>
    </w:p>
    <w:p w14:paraId="77216139" w14:textId="4EA20ADF" w:rsidR="00CC1970" w:rsidRPr="008024E5" w:rsidRDefault="00BC5BDF" w:rsidP="008024E5">
      <w:pPr>
        <w:pStyle w:val="Caption"/>
        <w:keepNext/>
        <w:keepLines/>
        <w:widowControl w:val="0"/>
        <w:spacing w:after="0"/>
        <w:jc w:val="both"/>
        <w:rPr>
          <w:rFonts w:ascii="Times New Roman" w:hAnsi="Times New Roman" w:cs="Times New Roman"/>
          <w:sz w:val="24"/>
          <w:szCs w:val="22"/>
        </w:rPr>
      </w:pPr>
      <w:r w:rsidRPr="00B37A02">
        <w:rPr>
          <w:rFonts w:ascii="Times New Roman" w:hAnsi="Times New Roman" w:cs="Times New Roman"/>
          <w:sz w:val="24"/>
        </w:rPr>
        <w:fldChar w:fldCharType="begin"/>
      </w:r>
      <w:r w:rsidRPr="00B37A02">
        <w:rPr>
          <w:rFonts w:ascii="Times New Roman" w:hAnsi="Times New Roman" w:cs="Times New Roman"/>
          <w:sz w:val="24"/>
        </w:rPr>
        <w:instrText xml:space="preserve"> SEQ Figure \* ARABIC </w:instrText>
      </w:r>
      <w:r w:rsidRPr="00B37A02">
        <w:rPr>
          <w:rFonts w:ascii="Times New Roman" w:hAnsi="Times New Roman" w:cs="Times New Roman"/>
          <w:sz w:val="24"/>
        </w:rPr>
        <w:fldChar w:fldCharType="separate"/>
      </w:r>
      <w:r w:rsidRPr="00B37A02">
        <w:rPr>
          <w:rFonts w:ascii="Times New Roman" w:hAnsi="Times New Roman" w:cs="Times New Roman"/>
          <w:sz w:val="24"/>
        </w:rPr>
        <w:t>1</w:t>
      </w:r>
      <w:r w:rsidRPr="00B37A02">
        <w:rPr>
          <w:rFonts w:ascii="Times New Roman" w:hAnsi="Times New Roman" w:cs="Times New Roman"/>
          <w:sz w:val="24"/>
        </w:rPr>
        <w:fldChar w:fldCharType="end"/>
      </w:r>
      <w:r w:rsidRPr="00B37A02">
        <w:rPr>
          <w:rFonts w:ascii="Times New Roman" w:hAnsi="Times New Roman" w:cs="Times New Roman"/>
        </w:rPr>
        <w:t>. </w:t>
      </w:r>
      <w:r w:rsidRPr="00B37A02">
        <w:rPr>
          <w:rFonts w:ascii="Times New Roman" w:hAnsi="Times New Roman" w:cs="Times New Roman"/>
          <w:sz w:val="24"/>
        </w:rPr>
        <w:t>attēls</w:t>
      </w:r>
      <w:r w:rsidRPr="00B37A02">
        <w:rPr>
          <w:rFonts w:ascii="Times New Roman" w:hAnsi="Times New Roman" w:cs="Times New Roman"/>
        </w:rPr>
        <w:t>.</w:t>
      </w:r>
      <w:r w:rsidRPr="00B37A02">
        <w:rPr>
          <w:rFonts w:ascii="Times New Roman" w:hAnsi="Times New Roman" w:cs="Times New Roman"/>
          <w:sz w:val="24"/>
        </w:rPr>
        <w:t xml:space="preserve"> Nabadzības vai sociālās atstumtības riskam (AROPE) pakļauto bērnu īpatsvars Eiropas Savienībā, 2005.–2019. gads</w:t>
      </w:r>
    </w:p>
    <w:p w14:paraId="32B2978F" w14:textId="13D4F01D" w:rsidR="00CC1970" w:rsidRPr="00B37A02" w:rsidRDefault="008024E5" w:rsidP="00C97F66">
      <w:pPr>
        <w:pStyle w:val="Caption"/>
        <w:widowControl w:val="0"/>
        <w:spacing w:after="0"/>
        <w:jc w:val="both"/>
        <w:rPr>
          <w:rFonts w:ascii="Times New Roman" w:hAnsi="Times New Roman" w:cs="Times New Roman"/>
          <w:i w:val="0"/>
          <w:iCs w:val="0"/>
          <w:color w:val="auto"/>
          <w:sz w:val="24"/>
          <w:szCs w:val="16"/>
        </w:rPr>
      </w:pPr>
      <w:r>
        <w:rPr>
          <w:rFonts w:ascii="Times New Roman" w:hAnsi="Times New Roman" w:cs="Times New Roman"/>
          <w:noProof/>
        </w:rPr>
        <w:drawing>
          <wp:inline distT="0" distB="0" distL="0" distR="0" wp14:anchorId="6B0C509E" wp14:editId="1A5DE767">
            <wp:extent cx="5779770" cy="2819400"/>
            <wp:effectExtent l="0" t="0" r="0" b="0"/>
            <wp:docPr id="202011871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118716" name="Picture 1" descr="A screenshot of a computer&#10;&#10;Description automatically generated"/>
                    <pic:cNvPicPr/>
                  </pic:nvPicPr>
                  <pic:blipFill rotWithShape="1">
                    <a:blip r:embed="rId12">
                      <a:extLst>
                        <a:ext uri="{28A0092B-C50C-407E-A947-70E740481C1C}">
                          <a14:useLocalDpi xmlns:a14="http://schemas.microsoft.com/office/drawing/2010/main" val="0"/>
                        </a:ext>
                      </a:extLst>
                    </a:blip>
                    <a:srcRect r="36722" b="71039"/>
                    <a:stretch/>
                  </pic:blipFill>
                  <pic:spPr bwMode="auto">
                    <a:xfrm>
                      <a:off x="0" y="0"/>
                      <a:ext cx="5789169" cy="2823985"/>
                    </a:xfrm>
                    <a:prstGeom prst="rect">
                      <a:avLst/>
                    </a:prstGeom>
                    <a:ln>
                      <a:noFill/>
                    </a:ln>
                    <a:extLst>
                      <a:ext uri="{53640926-AAD7-44D8-BBD7-CCE9431645EC}">
                        <a14:shadowObscured xmlns:a14="http://schemas.microsoft.com/office/drawing/2010/main"/>
                      </a:ext>
                    </a:extLst>
                  </pic:spPr>
                </pic:pic>
              </a:graphicData>
            </a:graphic>
          </wp:inline>
        </w:drawing>
      </w:r>
    </w:p>
    <w:p w14:paraId="215F6992" w14:textId="77777777" w:rsidR="00837438" w:rsidRPr="00B37A02" w:rsidRDefault="00837438" w:rsidP="00C97F66">
      <w:pPr>
        <w:spacing w:after="0" w:line="240" w:lineRule="auto"/>
        <w:rPr>
          <w:rFonts w:ascii="Times New Roman" w:hAnsi="Times New Roman" w:cs="Times New Roman"/>
        </w:rPr>
      </w:pPr>
    </w:p>
    <w:p w14:paraId="64B3FA2D" w14:textId="569BD120" w:rsidR="00BC5BDF" w:rsidRPr="00B37A02" w:rsidRDefault="00BC5BDF" w:rsidP="00C97F66">
      <w:pPr>
        <w:pStyle w:val="Caption"/>
        <w:widowControl w:val="0"/>
        <w:spacing w:after="0"/>
        <w:jc w:val="both"/>
        <w:rPr>
          <w:rFonts w:ascii="Times New Roman" w:hAnsi="Times New Roman" w:cs="Times New Roman"/>
          <w:sz w:val="20"/>
          <w:szCs w:val="16"/>
        </w:rPr>
      </w:pPr>
      <w:r w:rsidRPr="00B37A02">
        <w:rPr>
          <w:rFonts w:ascii="Times New Roman" w:hAnsi="Times New Roman" w:cs="Times New Roman"/>
          <w:i w:val="0"/>
          <w:color w:val="auto"/>
          <w:sz w:val="20"/>
        </w:rPr>
        <w:t>Piezīme.</w:t>
      </w:r>
      <w:r w:rsidRPr="00B37A02">
        <w:rPr>
          <w:rFonts w:ascii="Times New Roman" w:hAnsi="Times New Roman" w:cs="Times New Roman"/>
          <w:sz w:val="20"/>
        </w:rPr>
        <w:t xml:space="preserve"> </w:t>
      </w:r>
      <w:r w:rsidRPr="00B37A02">
        <w:rPr>
          <w:rFonts w:ascii="Times New Roman" w:hAnsi="Times New Roman" w:cs="Times New Roman"/>
          <w:i w:val="0"/>
          <w:color w:val="auto"/>
          <w:sz w:val="20"/>
        </w:rPr>
        <w:t xml:space="preserve">Ar nabadzības vai sociālās atstumtības risku (turpmāk tekstā – </w:t>
      </w:r>
      <w:r w:rsidRPr="00B37A02">
        <w:rPr>
          <w:rFonts w:ascii="Times New Roman" w:hAnsi="Times New Roman" w:cs="Times New Roman"/>
          <w:color w:val="auto"/>
          <w:sz w:val="20"/>
        </w:rPr>
        <w:t>AROPE</w:t>
      </w:r>
      <w:r w:rsidRPr="00B37A02">
        <w:rPr>
          <w:rFonts w:ascii="Times New Roman" w:hAnsi="Times New Roman" w:cs="Times New Roman"/>
          <w:i w:val="0"/>
          <w:color w:val="auto"/>
          <w:sz w:val="20"/>
        </w:rPr>
        <w:t xml:space="preserve">) saprot dzīvošanu mājsaimniecībā: a) kurā rīcībā esošie ienākumi (t. i., ienākumi pēc nodokļu atskaitīšanas un sociālie transferti) atbilstoši mājsaimniecības lielumam nepārsniedz 60 % no valsts vidējiem ekvivalentajiem rīcībā esošajiem ienākumiem vai b) kura nevar atļauties vismaz četras no deviņām turpmāk minētajām vienībām: i) maksāt īri, hipotēku vai komunālo pakalpojumu rēķinus; ii) pietiekami apsildīt mājokli; iii) apmaksāt neparedzētus izdevumus; iv) regulāri ēst gaļu vai uzņemt proteīnus; v) pavadīt brīvdienas ārpus dzīvesvietas; vi) iegādāties televizoru; vii) iegādāties veļas mazgājamo mašīnu; viii) iegādāties automašīnu; ix) iegādāties telefonu, vai c) kurā pieaugušie darbspējas vecumā pēdējo 12 mēnešu laikā strādājuši mazāk par 20 % no sava darba potenciāla. Bērnu </w:t>
      </w:r>
      <w:r w:rsidRPr="00B37A02">
        <w:rPr>
          <w:rFonts w:ascii="Times New Roman" w:hAnsi="Times New Roman" w:cs="Times New Roman"/>
          <w:color w:val="auto"/>
          <w:sz w:val="20"/>
        </w:rPr>
        <w:t>AROPE</w:t>
      </w:r>
      <w:r w:rsidRPr="00B37A02">
        <w:rPr>
          <w:rFonts w:ascii="Times New Roman" w:hAnsi="Times New Roman" w:cs="Times New Roman"/>
          <w:i w:val="0"/>
          <w:color w:val="auto"/>
          <w:sz w:val="20"/>
        </w:rPr>
        <w:t xml:space="preserve"> kritums 27 ES dalībvalstīs no 2016. līdz 2017. gadam lielā mērā bija saistāms arī ar straujo situācijas uzlabošanos trīs dalībvalstīs, proti, Polijā, Rumānijā un Bulgārijā. Kopumā divās trešdaļās dalībvalstu bērnu nabadzības risks ir augstāks nekā pārējo iedzīvotāju vidū. Avots: </w:t>
      </w:r>
      <w:r w:rsidRPr="00B37A02">
        <w:rPr>
          <w:rFonts w:ascii="Times New Roman" w:hAnsi="Times New Roman" w:cs="Times New Roman"/>
          <w:color w:val="auto"/>
          <w:sz w:val="20"/>
        </w:rPr>
        <w:t>Eurostat</w:t>
      </w:r>
      <w:r w:rsidRPr="00B37A02">
        <w:rPr>
          <w:rFonts w:ascii="Times New Roman" w:hAnsi="Times New Roman" w:cs="Times New Roman"/>
          <w:i w:val="0"/>
          <w:iCs w:val="0"/>
          <w:color w:val="auto"/>
          <w:sz w:val="20"/>
        </w:rPr>
        <w:t>,</w:t>
      </w:r>
      <w:r w:rsidRPr="00B37A02">
        <w:rPr>
          <w:rFonts w:ascii="Times New Roman" w:hAnsi="Times New Roman" w:cs="Times New Roman"/>
          <w:i w:val="0"/>
          <w:color w:val="auto"/>
          <w:sz w:val="20"/>
        </w:rPr>
        <w:t xml:space="preserve"> </w:t>
      </w:r>
      <w:r w:rsidRPr="00B37A02">
        <w:rPr>
          <w:rStyle w:val="rightside"/>
          <w:rFonts w:ascii="Times New Roman" w:hAnsi="Times New Roman" w:cs="Times New Roman"/>
          <w:i w:val="0"/>
          <w:color w:val="auto"/>
          <w:sz w:val="20"/>
        </w:rPr>
        <w:t>[ilc_peps01]; dati iegūti 28.01.2021.</w:t>
      </w:r>
    </w:p>
    <w:p w14:paraId="679176C6" w14:textId="77777777" w:rsidR="00BC5BDF" w:rsidRPr="00B37A02" w:rsidRDefault="00BC5BDF" w:rsidP="00C97F66">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p w14:paraId="6A46A97B" w14:textId="77777777" w:rsidR="00EC5DE2" w:rsidRPr="00B37A02" w:rsidRDefault="00BC5BDF" w:rsidP="00C97F66">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37A02">
        <w:rPr>
          <w:rFonts w:ascii="Times New Roman" w:hAnsi="Times New Roman" w:cs="Times New Roman"/>
          <w:b/>
          <w:sz w:val="24"/>
        </w:rPr>
        <w:t xml:space="preserve">Turklāt dažādu sociālo pabalstu (ne tikai ģimenes vai bērna pabalstu) kopējā ietekme uz bērnu nabadzību dalībvalstīs ir ļoti atšķirīga. </w:t>
      </w:r>
      <w:r w:rsidRPr="00B37A02">
        <w:rPr>
          <w:rFonts w:ascii="Times New Roman" w:hAnsi="Times New Roman" w:cs="Times New Roman"/>
          <w:sz w:val="24"/>
        </w:rPr>
        <w:t>Visbūtiskākā nabadzības mazināšanās ietekme vērojama valstīs ar zemu vai vidēju bērnu nabadzības līmeni (piemēram, Somijā, Ungārijā, Dānijā, Īrijā, Polijā, Vācijā, Austrijā un Slovēnijā, skat. 2. attēlu).</w:t>
      </w:r>
    </w:p>
    <w:p w14:paraId="0A6BDA32" w14:textId="0884D0B0" w:rsidR="00BC5BDF" w:rsidRPr="00B37A02" w:rsidRDefault="00BC5BDF" w:rsidP="00C97F66">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1E56F07F" w14:textId="33EDBADA" w:rsidR="007F6C5D" w:rsidRPr="00790562" w:rsidRDefault="00BC5BDF" w:rsidP="00790562">
      <w:pPr>
        <w:keepNext/>
        <w:keepLines/>
        <w:widowControl w:val="0"/>
        <w:autoSpaceDE w:val="0"/>
        <w:autoSpaceDN w:val="0"/>
        <w:adjustRightInd w:val="0"/>
        <w:spacing w:after="0" w:line="240" w:lineRule="auto"/>
        <w:jc w:val="both"/>
        <w:rPr>
          <w:rFonts w:ascii="Times New Roman" w:hAnsi="Times New Roman" w:cs="Times New Roman"/>
          <w:i/>
          <w:color w:val="44546A" w:themeColor="text2"/>
          <w:sz w:val="24"/>
        </w:rPr>
      </w:pPr>
      <w:r w:rsidRPr="00B37A02">
        <w:rPr>
          <w:rFonts w:ascii="Times New Roman" w:hAnsi="Times New Roman" w:cs="Times New Roman"/>
          <w:i/>
          <w:color w:val="44546A" w:themeColor="text2"/>
          <w:sz w:val="24"/>
        </w:rPr>
        <w:lastRenderedPageBreak/>
        <w:t>2. attēls. Nepietiekamu ienākumu radītas nabadzības riskam (AROP) pakļauto bērnu īpatsvars un sociālo transfertu (kas nav pensijas) ietekme uz bērnu nabadzības mazināšanu, 2019. gads</w:t>
      </w:r>
    </w:p>
    <w:p w14:paraId="774B2BA6" w14:textId="38502AF1" w:rsidR="00B65647" w:rsidRPr="00B37A02" w:rsidRDefault="00B65647" w:rsidP="00790562">
      <w:pPr>
        <w:keepNext/>
        <w:keepLines/>
        <w:widowControl w:val="0"/>
        <w:autoSpaceDE w:val="0"/>
        <w:autoSpaceDN w:val="0"/>
        <w:adjustRightInd w:val="0"/>
        <w:spacing w:after="0" w:line="240" w:lineRule="auto"/>
        <w:jc w:val="both"/>
        <w:rPr>
          <w:rFonts w:ascii="Times New Roman" w:hAnsi="Times New Roman" w:cs="Times New Roman"/>
          <w:sz w:val="24"/>
          <w:szCs w:val="18"/>
        </w:rPr>
      </w:pPr>
      <w:r w:rsidRPr="00B65647">
        <w:rPr>
          <w:rFonts w:ascii="Times New Roman" w:hAnsi="Times New Roman" w:cs="Times New Roman"/>
          <w:noProof/>
          <w:sz w:val="24"/>
          <w:szCs w:val="18"/>
        </w:rPr>
        <w:drawing>
          <wp:inline distT="0" distB="0" distL="0" distR="0" wp14:anchorId="6758731D" wp14:editId="286318F7">
            <wp:extent cx="5760085" cy="3060700"/>
            <wp:effectExtent l="0" t="0" r="0" b="6350"/>
            <wp:docPr id="1729148917" name="Picture 1" descr="A graph with blue and orang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148917" name="Picture 1" descr="A graph with blue and orange lines&#10;&#10;Description automatically generated"/>
                    <pic:cNvPicPr/>
                  </pic:nvPicPr>
                  <pic:blipFill>
                    <a:blip r:embed="rId13"/>
                    <a:stretch>
                      <a:fillRect/>
                    </a:stretch>
                  </pic:blipFill>
                  <pic:spPr>
                    <a:xfrm>
                      <a:off x="0" y="0"/>
                      <a:ext cx="5760085" cy="3060700"/>
                    </a:xfrm>
                    <a:prstGeom prst="rect">
                      <a:avLst/>
                    </a:prstGeom>
                  </pic:spPr>
                </pic:pic>
              </a:graphicData>
            </a:graphic>
          </wp:inline>
        </w:drawing>
      </w:r>
    </w:p>
    <w:p w14:paraId="4A9A2830" w14:textId="283352D5" w:rsidR="00EC5DE2" w:rsidRPr="00B37A02" w:rsidRDefault="00BC5BDF" w:rsidP="00C97F66">
      <w:pPr>
        <w:widowControl w:val="0"/>
        <w:autoSpaceDE w:val="0"/>
        <w:autoSpaceDN w:val="0"/>
        <w:adjustRightInd w:val="0"/>
        <w:spacing w:after="0" w:line="240" w:lineRule="auto"/>
        <w:jc w:val="both"/>
        <w:rPr>
          <w:rFonts w:ascii="Times New Roman" w:hAnsi="Times New Roman" w:cs="Times New Roman"/>
          <w:sz w:val="20"/>
          <w:szCs w:val="14"/>
        </w:rPr>
      </w:pPr>
      <w:r w:rsidRPr="00B37A02">
        <w:rPr>
          <w:rFonts w:ascii="Times New Roman" w:hAnsi="Times New Roman" w:cs="Times New Roman"/>
          <w:sz w:val="20"/>
        </w:rPr>
        <w:t>Piezīme. Ar nabadzības risku (</w:t>
      </w:r>
      <w:r w:rsidRPr="00B37A02">
        <w:rPr>
          <w:rFonts w:ascii="Times New Roman" w:hAnsi="Times New Roman" w:cs="Times New Roman"/>
          <w:i/>
          <w:iCs/>
          <w:sz w:val="20"/>
        </w:rPr>
        <w:t>AROP</w:t>
      </w:r>
      <w:r w:rsidRPr="00B37A02">
        <w:rPr>
          <w:rFonts w:ascii="Times New Roman" w:hAnsi="Times New Roman" w:cs="Times New Roman"/>
          <w:sz w:val="20"/>
        </w:rPr>
        <w:t xml:space="preserve">) saprot dzīvošanu mājsaimniecībā, kurā rīcībā esošie ienākumi (t. i., ienākumi pēc nodokļu atskaitīšanas un sociālie transferti) atbilstoši mājsaimniecības lielumam nepārsniedz 60 % no valsts vidējiem ekvivalentajiem rīcībā esošajiem ienākumiem. *) 2018. gada dati par sociālo transfertu ietekmi; **) 2018. gada dati par sociālo transfertu ietekmi un bērnu </w:t>
      </w:r>
      <w:r w:rsidRPr="00B37A02">
        <w:rPr>
          <w:rFonts w:ascii="Times New Roman" w:hAnsi="Times New Roman" w:cs="Times New Roman"/>
          <w:i/>
          <w:iCs/>
          <w:sz w:val="20"/>
        </w:rPr>
        <w:t>AROP</w:t>
      </w:r>
      <w:r w:rsidRPr="00B37A02">
        <w:rPr>
          <w:rFonts w:ascii="Times New Roman" w:hAnsi="Times New Roman" w:cs="Times New Roman"/>
          <w:sz w:val="20"/>
        </w:rPr>
        <w:t>.</w:t>
      </w:r>
    </w:p>
    <w:p w14:paraId="6752A5E0" w14:textId="1BB00189" w:rsidR="00BC5BDF" w:rsidRPr="00B37A02" w:rsidRDefault="00BC5BDF" w:rsidP="00C97F66">
      <w:pPr>
        <w:widowControl w:val="0"/>
        <w:autoSpaceDE w:val="0"/>
        <w:autoSpaceDN w:val="0"/>
        <w:adjustRightInd w:val="0"/>
        <w:spacing w:after="0" w:line="240" w:lineRule="auto"/>
        <w:jc w:val="both"/>
        <w:rPr>
          <w:rFonts w:ascii="Times New Roman" w:hAnsi="Times New Roman" w:cs="Times New Roman"/>
          <w:sz w:val="20"/>
          <w:szCs w:val="14"/>
        </w:rPr>
      </w:pPr>
      <w:r w:rsidRPr="00B37A02">
        <w:rPr>
          <w:rFonts w:ascii="Times New Roman" w:hAnsi="Times New Roman" w:cs="Times New Roman"/>
          <w:sz w:val="20"/>
        </w:rPr>
        <w:t xml:space="preserve">Avots: Eiropas Komisija, kopīgā izvērtējuma sistēma (turpmāk tekstā – </w:t>
      </w:r>
      <w:r w:rsidRPr="00B37A02">
        <w:rPr>
          <w:rFonts w:ascii="Times New Roman" w:hAnsi="Times New Roman" w:cs="Times New Roman"/>
          <w:i/>
          <w:iCs/>
          <w:sz w:val="20"/>
        </w:rPr>
        <w:t>JAF</w:t>
      </w:r>
      <w:r w:rsidRPr="00B37A02">
        <w:rPr>
          <w:rFonts w:ascii="Times New Roman" w:hAnsi="Times New Roman" w:cs="Times New Roman"/>
          <w:sz w:val="20"/>
        </w:rPr>
        <w:t>).</w:t>
      </w:r>
    </w:p>
    <w:p w14:paraId="4A37964C" w14:textId="77777777" w:rsidR="0002413F" w:rsidRPr="00B37A02" w:rsidRDefault="0002413F" w:rsidP="00C97F66">
      <w:pPr>
        <w:widowControl w:val="0"/>
        <w:autoSpaceDE w:val="0"/>
        <w:autoSpaceDN w:val="0"/>
        <w:adjustRightInd w:val="0"/>
        <w:spacing w:after="0" w:line="240" w:lineRule="auto"/>
        <w:jc w:val="both"/>
        <w:rPr>
          <w:rFonts w:ascii="Times New Roman" w:hAnsi="Times New Roman" w:cs="Times New Roman"/>
          <w:sz w:val="24"/>
          <w:szCs w:val="18"/>
        </w:rPr>
      </w:pPr>
    </w:p>
    <w:p w14:paraId="68B26BB9" w14:textId="77777777" w:rsidR="00BC5BDF" w:rsidRPr="00B37A02" w:rsidRDefault="00BC5BDF" w:rsidP="00C97F66">
      <w:pPr>
        <w:widowControl w:val="0"/>
        <w:spacing w:after="0" w:line="240" w:lineRule="auto"/>
        <w:jc w:val="both"/>
        <w:rPr>
          <w:rFonts w:ascii="Times New Roman" w:hAnsi="Times New Roman" w:cs="Times New Roman"/>
          <w:sz w:val="24"/>
          <w:szCs w:val="24"/>
          <w:shd w:val="clear" w:color="auto" w:fill="FFFFFF"/>
        </w:rPr>
      </w:pPr>
      <w:r w:rsidRPr="00B37A02">
        <w:rPr>
          <w:rFonts w:ascii="Times New Roman" w:hAnsi="Times New Roman" w:cs="Times New Roman"/>
          <w:b/>
          <w:bCs/>
          <w:sz w:val="24"/>
        </w:rPr>
        <w:t>Lielāks ieguldījums bērnos ir cerība pārraut nabadzības apburto loku, kas turpinās no paaudzes paaudzē</w:t>
      </w:r>
      <w:r w:rsidRPr="00B37A02">
        <w:rPr>
          <w:rFonts w:ascii="Times New Roman" w:hAnsi="Times New Roman" w:cs="Times New Roman"/>
          <w:sz w:val="24"/>
        </w:rPr>
        <w:t>,</w:t>
      </w:r>
      <w:r w:rsidRPr="00B37A02">
        <w:rPr>
          <w:rFonts w:ascii="Times New Roman" w:hAnsi="Times New Roman" w:cs="Times New Roman"/>
          <w:sz w:val="24"/>
          <w:szCs w:val="24"/>
          <w:vertAlign w:val="superscript"/>
        </w:rPr>
        <w:footnoteReference w:id="8"/>
      </w:r>
      <w:r w:rsidRPr="00B37A02">
        <w:rPr>
          <w:rFonts w:ascii="Times New Roman" w:hAnsi="Times New Roman" w:cs="Times New Roman"/>
          <w:sz w:val="24"/>
        </w:rPr>
        <w:t xml:space="preserve"> turklāt tam ir pastiprinošs efekts.</w:t>
      </w:r>
      <w:r w:rsidRPr="00B37A02">
        <w:rPr>
          <w:rStyle w:val="FootnoteReference"/>
          <w:rFonts w:ascii="Times New Roman" w:hAnsi="Times New Roman" w:cs="Times New Roman"/>
          <w:sz w:val="24"/>
          <w:szCs w:val="24"/>
        </w:rPr>
        <w:footnoteReference w:id="9"/>
      </w:r>
      <w:r w:rsidRPr="00B37A02">
        <w:rPr>
          <w:rFonts w:ascii="Times New Roman" w:hAnsi="Times New Roman" w:cs="Times New Roman"/>
          <w:sz w:val="24"/>
        </w:rPr>
        <w:t xml:space="preserve"> Galvenā loma šā cikla pārraušanā ir agrīnajai pirmsskolas izglītībai un aprūpei (turpmāk tekstā – </w:t>
      </w:r>
      <w:r w:rsidRPr="00B37A02">
        <w:rPr>
          <w:rFonts w:ascii="Times New Roman" w:hAnsi="Times New Roman" w:cs="Times New Roman"/>
          <w:i/>
          <w:iCs/>
          <w:sz w:val="24"/>
        </w:rPr>
        <w:t>ECEC</w:t>
      </w:r>
      <w:r w:rsidRPr="00B37A02">
        <w:rPr>
          <w:rFonts w:ascii="Times New Roman" w:hAnsi="Times New Roman" w:cs="Times New Roman"/>
          <w:sz w:val="24"/>
        </w:rPr>
        <w:t>), kā arī izglītības un veselības aprūpes sistēmām.</w:t>
      </w:r>
      <w:r w:rsidRPr="00B37A02">
        <w:rPr>
          <w:rStyle w:val="FootnoteReference"/>
          <w:rFonts w:ascii="Times New Roman" w:hAnsi="Times New Roman" w:cs="Times New Roman"/>
          <w:sz w:val="24"/>
          <w:szCs w:val="24"/>
        </w:rPr>
        <w:footnoteReference w:id="10"/>
      </w:r>
      <w:r w:rsidRPr="00B37A02">
        <w:rPr>
          <w:rFonts w:ascii="Times New Roman" w:hAnsi="Times New Roman" w:cs="Times New Roman"/>
          <w:sz w:val="24"/>
        </w:rPr>
        <w:t xml:space="preserve"> Visā Eiropas Savienībā valsts skolas nodrošina pamatskolas un vidusskolas izglītību bez maksas. Vairums dalībvalstu arī nodrošina vismaz vienu gadu </w:t>
      </w:r>
      <w:r w:rsidRPr="00B37A02">
        <w:rPr>
          <w:rFonts w:ascii="Times New Roman" w:hAnsi="Times New Roman" w:cs="Times New Roman"/>
          <w:i/>
          <w:iCs/>
          <w:sz w:val="24"/>
        </w:rPr>
        <w:t>ECEC</w:t>
      </w:r>
      <w:r w:rsidRPr="00B37A02">
        <w:rPr>
          <w:rFonts w:ascii="Times New Roman" w:hAnsi="Times New Roman" w:cs="Times New Roman"/>
          <w:sz w:val="24"/>
        </w:rPr>
        <w:t xml:space="preserve"> vispārēji un bez maksas. Plaši pieejama ir arī bezmaksas ārstnieciskā un profilaktiskā veselības aprūpe bērniem, tādēļ </w:t>
      </w:r>
      <w:r w:rsidRPr="00B37A02">
        <w:rPr>
          <w:rFonts w:ascii="Times New Roman" w:hAnsi="Times New Roman" w:cs="Times New Roman"/>
          <w:sz w:val="24"/>
          <w:shd w:val="clear" w:color="auto" w:fill="FFFFFF"/>
        </w:rPr>
        <w:t>to nabadzības riskam pakļauto bērnu īpatsvars Eiropas Savienībā, kuru vajadzības pēc medicīniskās aprūpes netiek apmierinātas, ir tikai 3 %.</w:t>
      </w:r>
      <w:r w:rsidRPr="00B37A02">
        <w:rPr>
          <w:rStyle w:val="FootnoteReference"/>
          <w:rFonts w:ascii="Times New Roman" w:hAnsi="Times New Roman" w:cs="Times New Roman"/>
          <w:sz w:val="24"/>
          <w:szCs w:val="24"/>
          <w:shd w:val="clear" w:color="auto" w:fill="FFFFFF"/>
        </w:rPr>
        <w:footnoteReference w:id="11"/>
      </w:r>
      <w:r w:rsidRPr="00B37A02">
        <w:rPr>
          <w:rFonts w:ascii="Times New Roman" w:hAnsi="Times New Roman" w:cs="Times New Roman"/>
          <w:sz w:val="24"/>
          <w:shd w:val="clear" w:color="auto" w:fill="FFFFFF"/>
        </w:rPr>
        <w:t xml:space="preserve"> Eiropas Savienība un tās dalībvalstis arī cenšas atbalstīt veselīgu dzīvesveidu un atbilstošu uzturu bērniem.</w:t>
      </w:r>
    </w:p>
    <w:p w14:paraId="3797E560" w14:textId="77777777" w:rsidR="00C97F66" w:rsidRPr="00B37A02" w:rsidRDefault="00C97F66" w:rsidP="00C97F66">
      <w:pPr>
        <w:widowControl w:val="0"/>
        <w:autoSpaceDE w:val="0"/>
        <w:autoSpaceDN w:val="0"/>
        <w:adjustRightInd w:val="0"/>
        <w:spacing w:after="0" w:line="240" w:lineRule="auto"/>
        <w:jc w:val="both"/>
        <w:rPr>
          <w:rFonts w:ascii="Times New Roman" w:hAnsi="Times New Roman" w:cs="Times New Roman"/>
          <w:b/>
          <w:sz w:val="24"/>
          <w:szCs w:val="24"/>
        </w:rPr>
      </w:pPr>
    </w:p>
    <w:p w14:paraId="27DE199B" w14:textId="1C6A5DA9" w:rsidR="00EC5DE2" w:rsidRPr="00B37A02" w:rsidRDefault="00BC5BDF" w:rsidP="00C97F66">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37A02">
        <w:rPr>
          <w:rFonts w:ascii="Times New Roman" w:hAnsi="Times New Roman" w:cs="Times New Roman"/>
          <w:b/>
          <w:sz w:val="24"/>
        </w:rPr>
        <w:t xml:space="preserve">Tomēr, lai gan kopš 2008. gada ir palielinājušies sociālās aizsardzības izdevumi par ģimenes pabalstiem vidēji uz vienu iedzīvotāju, ir palielinājušās arī atšķirības starp dalībvalstīm. </w:t>
      </w:r>
      <w:r w:rsidRPr="00B37A02">
        <w:rPr>
          <w:rFonts w:ascii="Times New Roman" w:hAnsi="Times New Roman" w:cs="Times New Roman"/>
          <w:sz w:val="24"/>
        </w:rPr>
        <w:t>Ģimenes izdevumi uz vienu bērnu proporcionāli IKP uz vienu iedzīvotāju laikā no 2008. gada krīzes līdz 2018. gadam nedaudz pieauga.</w:t>
      </w:r>
      <w:r w:rsidRPr="00B37A02">
        <w:rPr>
          <w:rStyle w:val="FootnoteReference"/>
          <w:rFonts w:ascii="Times New Roman" w:eastAsia="Times New Roman" w:hAnsi="Times New Roman" w:cs="Times New Roman"/>
          <w:bCs/>
          <w:sz w:val="24"/>
          <w:szCs w:val="24"/>
        </w:rPr>
        <w:footnoteReference w:id="12"/>
      </w:r>
      <w:r w:rsidRPr="00B37A02">
        <w:rPr>
          <w:rFonts w:ascii="Times New Roman" w:hAnsi="Times New Roman" w:cs="Times New Roman"/>
          <w:sz w:val="24"/>
        </w:rPr>
        <w:t xml:space="preserve"> Tomēr izdevumi kopš 2011. gada dažādās dalībvalstīs ir bijuši atšķirīgi. 2016. gadā izdevumi uz vienu bērnu svārstījās no aptuveni 6 % no IKP uz vienu iedzīvotāju Īrijā, Nīderlandē, Grieķijā un Maltā līdz vairāk nekā </w:t>
      </w:r>
      <w:r w:rsidRPr="00B37A02">
        <w:rPr>
          <w:rFonts w:ascii="Times New Roman" w:hAnsi="Times New Roman" w:cs="Times New Roman"/>
          <w:sz w:val="24"/>
        </w:rPr>
        <w:lastRenderedPageBreak/>
        <w:t>16 % Dānijā, Luksemburgā un Vācijā. Vislielākais kāpums bija vērojams Polijā, Itālijā, Bulgārijā, Latvijā un Horvātijā (vairāk nekā 25 %), savukārt Īrijā un Lietuvā šis rādītājs bija strauji sarucis (virs 30 %).</w:t>
      </w:r>
    </w:p>
    <w:p w14:paraId="23D01C96" w14:textId="77777777" w:rsidR="00C97F66" w:rsidRPr="00B37A02" w:rsidRDefault="00C97F66" w:rsidP="00C97F66">
      <w:pPr>
        <w:pStyle w:val="BodyText"/>
        <w:widowControl w:val="0"/>
        <w:spacing w:after="0"/>
        <w:rPr>
          <w:rFonts w:ascii="Times New Roman" w:hAnsi="Times New Roman"/>
          <w:b/>
          <w:sz w:val="24"/>
          <w:szCs w:val="24"/>
        </w:rPr>
      </w:pPr>
    </w:p>
    <w:p w14:paraId="42EC2E6D" w14:textId="59476A91" w:rsidR="00BC5BDF" w:rsidRPr="00B37A02" w:rsidRDefault="00BC5BDF" w:rsidP="00C97F66">
      <w:pPr>
        <w:pStyle w:val="BodyText"/>
        <w:widowControl w:val="0"/>
        <w:spacing w:after="0"/>
        <w:rPr>
          <w:rFonts w:ascii="Times New Roman" w:hAnsi="Times New Roman"/>
          <w:sz w:val="24"/>
          <w:szCs w:val="24"/>
          <w:shd w:val="clear" w:color="auto" w:fill="FFFFFF"/>
        </w:rPr>
      </w:pPr>
      <w:r w:rsidRPr="00B37A02">
        <w:rPr>
          <w:rFonts w:ascii="Times New Roman" w:hAnsi="Times New Roman"/>
          <w:b/>
          <w:sz w:val="24"/>
        </w:rPr>
        <w:t xml:space="preserve">Bērniem no nelabvēlīgas vides (tostarp no mājsaimniecībām ar zemiem ienākumiem) joprojām ir grūtības piekļūt nepieciešamajiem pakalpojumiem. </w:t>
      </w:r>
      <w:r w:rsidRPr="00B37A02">
        <w:rPr>
          <w:rFonts w:ascii="Times New Roman" w:hAnsi="Times New Roman"/>
          <w:sz w:val="24"/>
        </w:rPr>
        <w:t xml:space="preserve">Piemēram, pat tad, ja izglītība ir pieejama bez maksas, ģimenes budžetu ietekmē skolas grāmatu iegāde, kā arī skolas transporta, maltīšu un papildu skolas aktivitāšu (t. i., </w:t>
      </w:r>
      <w:r w:rsidRPr="00B37A02">
        <w:rPr>
          <w:rFonts w:ascii="Times New Roman" w:hAnsi="Times New Roman"/>
          <w:sz w:val="24"/>
          <w:shd w:val="clear" w:color="auto" w:fill="FFFFFF"/>
        </w:rPr>
        <w:t>atpūtas, sporta un kultūras pasākumu) izmaksas. 2016. gadā 15 dalībvalstīs vismaz pusē no visām mājsaimniecībām šie izdevumi tika uzskatīti par būtiskiem.</w:t>
      </w:r>
      <w:r w:rsidRPr="00B37A02">
        <w:rPr>
          <w:rFonts w:ascii="Times New Roman" w:hAnsi="Times New Roman"/>
          <w:sz w:val="24"/>
          <w:szCs w:val="24"/>
          <w:vertAlign w:val="superscript"/>
        </w:rPr>
        <w:footnoteReference w:id="13"/>
      </w:r>
      <w:r w:rsidRPr="00B37A02">
        <w:rPr>
          <w:rFonts w:ascii="Times New Roman" w:hAnsi="Times New Roman"/>
          <w:sz w:val="24"/>
          <w:shd w:val="clear" w:color="auto" w:fill="FFFFFF"/>
        </w:rPr>
        <w:t xml:space="preserve"> Problēmas sagādā arī </w:t>
      </w:r>
      <w:r w:rsidRPr="00B37A02">
        <w:rPr>
          <w:rFonts w:ascii="Times New Roman" w:hAnsi="Times New Roman"/>
          <w:i/>
          <w:iCs/>
          <w:sz w:val="24"/>
          <w:shd w:val="clear" w:color="auto" w:fill="FFFFFF"/>
        </w:rPr>
        <w:t>ECEC</w:t>
      </w:r>
      <w:r w:rsidRPr="00B37A02">
        <w:rPr>
          <w:rFonts w:ascii="Times New Roman" w:hAnsi="Times New Roman"/>
          <w:sz w:val="24"/>
          <w:shd w:val="clear" w:color="auto" w:fill="FFFFFF"/>
        </w:rPr>
        <w:t xml:space="preserve"> pieejamība cenas ziņā. Proti, aptuveni vienā trešdaļā dalībvalstu vecāki ar mēreniem ienākumiem uzskata, ka izmaksas par jaunāko bērnu </w:t>
      </w:r>
      <w:r w:rsidRPr="00B37A02">
        <w:rPr>
          <w:rFonts w:ascii="Times New Roman" w:hAnsi="Times New Roman"/>
          <w:i/>
          <w:iCs/>
          <w:sz w:val="24"/>
          <w:shd w:val="clear" w:color="auto" w:fill="FFFFFF"/>
        </w:rPr>
        <w:t>ECEC</w:t>
      </w:r>
      <w:r w:rsidRPr="00B37A02">
        <w:rPr>
          <w:rFonts w:ascii="Times New Roman" w:hAnsi="Times New Roman"/>
          <w:sz w:val="24"/>
          <w:shd w:val="clear" w:color="auto" w:fill="FFFFFF"/>
        </w:rPr>
        <w:t xml:space="preserve"> ir ļoti augstas.</w:t>
      </w:r>
      <w:r w:rsidRPr="00B37A02">
        <w:rPr>
          <w:rStyle w:val="FootnoteReference"/>
          <w:rFonts w:ascii="Times New Roman" w:hAnsi="Times New Roman"/>
          <w:sz w:val="24"/>
          <w:szCs w:val="24"/>
          <w:shd w:val="clear" w:color="auto" w:fill="FFFFFF"/>
        </w:rPr>
        <w:footnoteReference w:id="14"/>
      </w:r>
      <w:r w:rsidRPr="00B37A02">
        <w:rPr>
          <w:rFonts w:ascii="Times New Roman" w:hAnsi="Times New Roman"/>
          <w:sz w:val="24"/>
          <w:shd w:val="clear" w:color="auto" w:fill="FFFFFF"/>
        </w:rPr>
        <w:t xml:space="preserve"> Pievēršoties </w:t>
      </w:r>
      <w:r w:rsidRPr="00B37A02">
        <w:rPr>
          <w:rFonts w:ascii="Times New Roman" w:hAnsi="Times New Roman"/>
          <w:i/>
          <w:iCs/>
          <w:sz w:val="24"/>
          <w:shd w:val="clear" w:color="auto" w:fill="FFFFFF"/>
        </w:rPr>
        <w:t>ECEC</w:t>
      </w:r>
      <w:r w:rsidRPr="00B37A02">
        <w:rPr>
          <w:rFonts w:ascii="Times New Roman" w:hAnsi="Times New Roman"/>
          <w:sz w:val="24"/>
          <w:shd w:val="clear" w:color="auto" w:fill="FFFFFF"/>
        </w:rPr>
        <w:t xml:space="preserve"> pieejamībai, uzņemšanas rādītāji vairumā dalībvalstu joprojām ir zemāki par Barselonas konvencijas mērķiem.</w:t>
      </w:r>
      <w:r w:rsidRPr="00B37A02">
        <w:rPr>
          <w:rStyle w:val="FootnoteReference"/>
          <w:rFonts w:ascii="Times New Roman" w:hAnsi="Times New Roman"/>
          <w:sz w:val="24"/>
          <w:szCs w:val="24"/>
          <w:shd w:val="clear" w:color="auto" w:fill="FFFFFF"/>
        </w:rPr>
        <w:footnoteReference w:id="15"/>
      </w:r>
      <w:r w:rsidRPr="00B37A02">
        <w:rPr>
          <w:rFonts w:ascii="Times New Roman" w:hAnsi="Times New Roman"/>
          <w:sz w:val="24"/>
          <w:shd w:val="clear" w:color="auto" w:fill="FFFFFF"/>
        </w:rPr>
        <w:t xml:space="preserve"> Vairākās dalībvalstīs</w:t>
      </w:r>
      <w:r w:rsidRPr="00B37A02">
        <w:rPr>
          <w:rStyle w:val="FootnoteReference"/>
          <w:rFonts w:ascii="Times New Roman" w:hAnsi="Times New Roman"/>
          <w:sz w:val="24"/>
          <w:szCs w:val="24"/>
          <w:shd w:val="clear" w:color="auto" w:fill="FFFFFF"/>
        </w:rPr>
        <w:footnoteReference w:id="16"/>
      </w:r>
      <w:r w:rsidRPr="00B37A02">
        <w:rPr>
          <w:rFonts w:ascii="Times New Roman" w:hAnsi="Times New Roman"/>
          <w:sz w:val="24"/>
          <w:shd w:val="clear" w:color="auto" w:fill="FFFFFF"/>
        </w:rPr>
        <w:t xml:space="preserve"> bērniem bez maksas ir pieejami tikai daži ar veselības aprūpi saistīti pakalpojumi. 2014. gadā 4 % bērnu dzīvoja mājsaimniecībās, kurās nebija pietiekamu līdzekļu, lai visus bērnus ik dienas nodrošinātu ar augļiem un dārzeņiem vai proteīnu avotiem.</w:t>
      </w:r>
      <w:r w:rsidRPr="00B37A02">
        <w:rPr>
          <w:rStyle w:val="FootnoteReference"/>
          <w:rFonts w:ascii="Times New Roman" w:hAnsi="Times New Roman"/>
          <w:sz w:val="24"/>
          <w:szCs w:val="24"/>
        </w:rPr>
        <w:footnoteReference w:id="17"/>
      </w:r>
      <w:r w:rsidRPr="00B37A02">
        <w:rPr>
          <w:rFonts w:ascii="Times New Roman" w:hAnsi="Times New Roman"/>
          <w:sz w:val="24"/>
          <w:shd w:val="clear" w:color="auto" w:fill="FFFFFF"/>
        </w:rPr>
        <w:t xml:space="preserve"> Sešās dalībvalstīs</w:t>
      </w:r>
      <w:r w:rsidRPr="00B37A02">
        <w:rPr>
          <w:rStyle w:val="FootnoteReference"/>
          <w:rFonts w:ascii="Times New Roman" w:hAnsi="Times New Roman"/>
          <w:sz w:val="24"/>
          <w:szCs w:val="24"/>
          <w:shd w:val="clear" w:color="auto" w:fill="FFFFFF"/>
        </w:rPr>
        <w:footnoteReference w:id="18"/>
      </w:r>
      <w:r w:rsidRPr="00B37A02">
        <w:rPr>
          <w:rFonts w:ascii="Times New Roman" w:hAnsi="Times New Roman"/>
          <w:sz w:val="24"/>
          <w:shd w:val="clear" w:color="auto" w:fill="FFFFFF"/>
        </w:rPr>
        <w:t xml:space="preserve"> vairāk nekā 10 % bērnu dzīvoja ļoti sliktos sadzīves apstākļos.</w:t>
      </w:r>
      <w:r w:rsidRPr="00B37A02">
        <w:rPr>
          <w:rStyle w:val="FootnoteReference"/>
          <w:rFonts w:ascii="Times New Roman" w:hAnsi="Times New Roman"/>
          <w:sz w:val="24"/>
          <w:szCs w:val="24"/>
          <w:shd w:val="clear" w:color="auto" w:fill="FFFFFF"/>
        </w:rPr>
        <w:footnoteReference w:id="19"/>
      </w:r>
      <w:r w:rsidRPr="00B37A02">
        <w:rPr>
          <w:rFonts w:ascii="Times New Roman" w:hAnsi="Times New Roman"/>
          <w:sz w:val="24"/>
          <w:shd w:val="clear" w:color="auto" w:fill="FFFFFF"/>
        </w:rPr>
        <w:t xml:space="preserve"> Bezpajumtniecība ir palielinājusies visās dalībvalstīs, izņemot Somiju, kas ietekmē arī bērnus.</w:t>
      </w:r>
      <w:r w:rsidRPr="00B37A02">
        <w:rPr>
          <w:rStyle w:val="FootnoteReference"/>
          <w:rFonts w:ascii="Times New Roman" w:hAnsi="Times New Roman"/>
          <w:sz w:val="24"/>
          <w:szCs w:val="24"/>
          <w:shd w:val="clear" w:color="auto" w:fill="FFFFFF"/>
        </w:rPr>
        <w:footnoteReference w:id="20"/>
      </w:r>
    </w:p>
    <w:p w14:paraId="59992FA8" w14:textId="77777777" w:rsidR="00C97F66" w:rsidRPr="00B37A02" w:rsidRDefault="00C97F66" w:rsidP="00C97F66">
      <w:pPr>
        <w:pStyle w:val="BodyText"/>
        <w:widowControl w:val="0"/>
        <w:spacing w:after="0"/>
        <w:rPr>
          <w:rFonts w:ascii="Times New Roman" w:hAnsi="Times New Roman"/>
          <w:b/>
          <w:bCs/>
          <w:sz w:val="24"/>
          <w:szCs w:val="24"/>
        </w:rPr>
      </w:pPr>
    </w:p>
    <w:p w14:paraId="79BDDAA5" w14:textId="01E56D27" w:rsidR="00BC5BDF"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b/>
          <w:sz w:val="24"/>
        </w:rPr>
        <w:t xml:space="preserve">Covid-19 pandēmija, visticamāk, negatīvi ietekmēs bērnus no nelabvēlīgas vides. </w:t>
      </w:r>
      <w:r w:rsidRPr="00B37A02">
        <w:rPr>
          <w:rFonts w:ascii="Times New Roman" w:hAnsi="Times New Roman"/>
          <w:sz w:val="24"/>
        </w:rPr>
        <w:t>Gan dalībvalstu, gan Eiropas Savienības līmenī pieņemtie vērienīgie un ātri īstenojamie politiskie pasākumi ir ļāvuši mazināt pandēmijas tūlītējo ietekmi uz nodarbinātību un sociālo jomu.</w:t>
      </w:r>
      <w:r w:rsidRPr="00B37A02">
        <w:rPr>
          <w:rStyle w:val="FootnoteReference"/>
          <w:rFonts w:ascii="Times New Roman" w:hAnsi="Times New Roman"/>
          <w:sz w:val="24"/>
          <w:szCs w:val="24"/>
        </w:rPr>
        <w:footnoteReference w:id="21"/>
      </w:r>
      <w:r w:rsidRPr="00B37A02">
        <w:rPr>
          <w:rFonts w:ascii="Times New Roman" w:hAnsi="Times New Roman"/>
          <w:sz w:val="24"/>
        </w:rPr>
        <w:t xml:space="preserve"> Tomēr pandēmijas rezultātā ir palielinājušies sociālekonomiskie riski attiecībā uz tādām jau iepriekš darba tirgū neaizsargātām personām kā nestabilās darba attiecībās strādājošas personas, vientuļie vecāki, personas ar invaliditāti, migrantu izcelsmes personas un personas, kuras dzīvo reģionos un mājsaimniecībās, kurās ir ierobežota digitālā infrastruktūra vai tādas nav vispār, piemēram, lauku un attālos reģionos. Iedzīvotāju grupas ar zemiem un vidējiem ienākumiem ir pakļautas lielākam ienākumu zaudēšanas riskam, jo samazinās tāldarba iespējas un palielinās </w:t>
      </w:r>
      <w:r w:rsidRPr="00B37A02">
        <w:rPr>
          <w:rFonts w:ascii="Times New Roman" w:hAnsi="Times New Roman"/>
          <w:sz w:val="24"/>
        </w:rPr>
        <w:lastRenderedPageBreak/>
        <w:t>bezdarbs.</w:t>
      </w:r>
      <w:r w:rsidRPr="00B37A02">
        <w:rPr>
          <w:rStyle w:val="FootnoteReference"/>
          <w:rFonts w:ascii="Times New Roman" w:hAnsi="Times New Roman"/>
          <w:sz w:val="24"/>
          <w:szCs w:val="24"/>
        </w:rPr>
        <w:footnoteReference w:id="22"/>
      </w:r>
      <w:r w:rsidRPr="00B37A02">
        <w:rPr>
          <w:rFonts w:ascii="Times New Roman" w:hAnsi="Times New Roman"/>
          <w:sz w:val="24"/>
        </w:rPr>
        <w:t xml:space="preserve"> Pirms pandēmijas to nabadzības riskam pakļauto mājsaimniecību ar bērniem īpatsvars, kurās bija parādi par komunālajiem pakalpojumiem, bija trīsreiz lielāks salīdzinājumā ar pārējo iedzīvotāju vidējo rādītāju. Savukārt vientuļo vecāku mājsaimniecībās parādi bija divreiz biežāk nekā pārējiem iedzīvotājiem, pat ja tās nebija pakļautas nabadzības riskam.</w:t>
      </w:r>
      <w:r w:rsidRPr="00B37A02">
        <w:rPr>
          <w:rStyle w:val="FootnoteReference"/>
          <w:rFonts w:ascii="Times New Roman" w:hAnsi="Times New Roman"/>
          <w:sz w:val="24"/>
          <w:szCs w:val="24"/>
        </w:rPr>
        <w:footnoteReference w:id="23"/>
      </w:r>
    </w:p>
    <w:p w14:paraId="21AA085B" w14:textId="77777777" w:rsidR="00C97F66" w:rsidRPr="00B37A02" w:rsidRDefault="00C97F66" w:rsidP="00C97F66">
      <w:pPr>
        <w:pStyle w:val="BodyText"/>
        <w:widowControl w:val="0"/>
        <w:spacing w:after="0"/>
        <w:rPr>
          <w:rFonts w:ascii="Times New Roman" w:hAnsi="Times New Roman"/>
          <w:b/>
          <w:sz w:val="24"/>
          <w:szCs w:val="24"/>
        </w:rPr>
      </w:pPr>
    </w:p>
    <w:p w14:paraId="04CE8B19" w14:textId="64C62C9A"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b/>
          <w:sz w:val="24"/>
        </w:rPr>
        <w:t xml:space="preserve">Būtiska ir bijusi arī Covid-19 tiešā ietekme uz Eiropas jauniešu izglītības rezultātiem, kā arī viņu dzīves apstākļiem un sociālo vidi. </w:t>
      </w:r>
      <w:r w:rsidRPr="00B37A02">
        <w:rPr>
          <w:rFonts w:ascii="Times New Roman" w:hAnsi="Times New Roman"/>
          <w:sz w:val="24"/>
        </w:rPr>
        <w:t>Lai gan mācībām tiešsaistē ir liels potenciāls, tās ir efektīvākas tad, ja bērni, skolotāji un skolas ir atbilstoši sagatavotas un aprīkotas. Taču tas tā nebija pārvietošanās ierobežojumu laikā 2020. gada pavasarī, kad vairumam skolotāju (67 %) pirmo reizi dzīvē bija jāvada nodarbības tiešsaistē.</w:t>
      </w:r>
      <w:r w:rsidRPr="00B37A02">
        <w:rPr>
          <w:rStyle w:val="FootnoteReference"/>
          <w:rFonts w:ascii="Times New Roman" w:hAnsi="Times New Roman"/>
          <w:sz w:val="24"/>
          <w:szCs w:val="24"/>
        </w:rPr>
        <w:footnoteReference w:id="24"/>
      </w:r>
      <w:r w:rsidRPr="00B37A02">
        <w:rPr>
          <w:rFonts w:ascii="Times New Roman" w:hAnsi="Times New Roman"/>
          <w:sz w:val="24"/>
        </w:rPr>
        <w:t xml:space="preserve"> Gan vecāku finanšu resursiem, gan viņu atbalstam ir izšķiroša nozīme, lai nodrošinātu veiksmīgas mācības mājās. Šā iemesla dēļ bērni no nelabvēlīgas vides salīdzinājumā ar viņu vienaudžiem, kuri atrodas labākā situācijā, pārvietošanās ierobežojumu dēļ tiek biežāk pakļauti lielākam mācīšanās rezultātu pasliktināšanās riskam.</w:t>
      </w:r>
    </w:p>
    <w:p w14:paraId="5BF9D8C7" w14:textId="77777777" w:rsidR="0002413F" w:rsidRPr="00B37A02" w:rsidRDefault="0002413F" w:rsidP="00C97F66">
      <w:pPr>
        <w:pStyle w:val="Heading1"/>
        <w:keepNext w:val="0"/>
        <w:keepLines w:val="0"/>
        <w:widowControl w:val="0"/>
        <w:spacing w:before="0" w:line="240" w:lineRule="auto"/>
        <w:jc w:val="both"/>
        <w:rPr>
          <w:rFonts w:ascii="Times New Roman" w:hAnsi="Times New Roman" w:cs="Times New Roman"/>
          <w:sz w:val="24"/>
        </w:rPr>
      </w:pPr>
      <w:bookmarkStart w:id="0" w:name="_Toc63862413"/>
      <w:bookmarkStart w:id="1" w:name="_Toc64476323"/>
      <w:bookmarkStart w:id="2" w:name="_Toc62942361"/>
    </w:p>
    <w:p w14:paraId="3239F23A" w14:textId="6F8C9A37" w:rsidR="00EC5DE2" w:rsidRPr="00B37A02" w:rsidRDefault="0002413F" w:rsidP="00C97F66">
      <w:pPr>
        <w:pStyle w:val="Heading1"/>
        <w:keepNext w:val="0"/>
        <w:keepLines w:val="0"/>
        <w:widowControl w:val="0"/>
        <w:spacing w:before="0" w:line="240" w:lineRule="auto"/>
        <w:jc w:val="both"/>
        <w:rPr>
          <w:rFonts w:ascii="Times New Roman" w:hAnsi="Times New Roman" w:cs="Times New Roman"/>
          <w:sz w:val="28"/>
          <w:szCs w:val="36"/>
        </w:rPr>
      </w:pPr>
      <w:r w:rsidRPr="00B37A02">
        <w:rPr>
          <w:rFonts w:ascii="Times New Roman" w:hAnsi="Times New Roman" w:cs="Times New Roman"/>
          <w:sz w:val="28"/>
        </w:rPr>
        <w:t>2. BĒRNI, KAM VAJADZĪGA PALĪDZĪBA</w:t>
      </w:r>
      <w:bookmarkEnd w:id="0"/>
      <w:bookmarkEnd w:id="1"/>
      <w:bookmarkEnd w:id="2"/>
    </w:p>
    <w:p w14:paraId="00052BB1" w14:textId="77777777" w:rsidR="0002413F" w:rsidRPr="00B37A02" w:rsidRDefault="0002413F" w:rsidP="00C97F66">
      <w:pPr>
        <w:spacing w:after="0" w:line="240" w:lineRule="auto"/>
        <w:rPr>
          <w:rFonts w:ascii="Times New Roman" w:hAnsi="Times New Roman" w:cs="Times New Roman"/>
        </w:rPr>
      </w:pPr>
    </w:p>
    <w:p w14:paraId="128AD955" w14:textId="120DB087" w:rsidR="00BC5BDF" w:rsidRPr="00B37A02" w:rsidRDefault="00BC5BDF" w:rsidP="00C97F66">
      <w:pPr>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sz w:val="24"/>
        </w:rPr>
        <w:t>Sociālās atstumtības sekas bērnus var ietekmēt visu viņu dzīvi, un tās var turpināties arī nākamajās paaudzēs. Bez nepieciešamā atbalsta bērni no nelabvēlīgas vides vai ģimenēm ar zemiem ienākumiem, visticamāk, tiks pakļauti riskam, ka nelabvēlīgie apstākļi tiks pārmantoti no paaudzes paaudzē.</w:t>
      </w:r>
    </w:p>
    <w:p w14:paraId="73C05DEE" w14:textId="77777777" w:rsidR="00BC5BDF" w:rsidRPr="00B37A02" w:rsidRDefault="00BC5BDF" w:rsidP="00C97F66">
      <w:pPr>
        <w:pStyle w:val="Caption"/>
        <w:widowControl w:val="0"/>
        <w:spacing w:after="0"/>
        <w:jc w:val="both"/>
        <w:rPr>
          <w:rFonts w:ascii="Times New Roman" w:hAnsi="Times New Roman" w:cs="Times New Roman"/>
          <w:sz w:val="24"/>
          <w:szCs w:val="24"/>
        </w:rPr>
      </w:pPr>
      <w:r w:rsidRPr="00B37A02">
        <w:rPr>
          <w:rFonts w:ascii="Times New Roman" w:hAnsi="Times New Roman" w:cs="Times New Roman"/>
          <w:i w:val="0"/>
          <w:color w:val="auto"/>
          <w:sz w:val="24"/>
        </w:rPr>
        <w:t>Mērķorientētajā apspriedē par Eiropas Garantiju bērniem ieinteresētajām pusēm tika jautāts, cik viegli vai grūti dažādu kategoriju bērniem, kam vajadzīga palīdzība, ir piekļūt pamatpakalpojumiem, uz kuriem varētu attiekties iniciatīva. Bērniem no ekonomiski nestabilām ģimenēm (t. i., nabadzībai vai materiālajai nenodrošinātībai pakļautām mājsaimniecībām), šķiet, visgrūtāk ir pieejams pienācīgs mājoklis. Ne mazāk grūtāk ir piekļūt arī citiem pakalpojumiem, proti, vairāk nekā 70 % gadījumu visās apakškategorijās un attiecībā uz visiem pakalpojumiem tika sniegtas atbildes “ļoti grūti” un “drīzāk grūti”.</w:t>
      </w:r>
      <w:r w:rsidRPr="00B37A02">
        <w:rPr>
          <w:rStyle w:val="FootnoteReference"/>
          <w:rFonts w:ascii="Times New Roman" w:hAnsi="Times New Roman" w:cs="Times New Roman"/>
          <w:i w:val="0"/>
          <w:color w:val="auto"/>
          <w:sz w:val="24"/>
          <w:szCs w:val="24"/>
        </w:rPr>
        <w:footnoteReference w:id="25"/>
      </w:r>
    </w:p>
    <w:p w14:paraId="4477BE53" w14:textId="77777777" w:rsidR="00EC5DE2" w:rsidRPr="00B37A02" w:rsidRDefault="00BC5BDF" w:rsidP="00C97F66">
      <w:pPr>
        <w:pStyle w:val="BodyText"/>
        <w:widowControl w:val="0"/>
        <w:spacing w:after="0"/>
        <w:rPr>
          <w:rFonts w:ascii="Times New Roman" w:hAnsi="Times New Roman"/>
          <w:sz w:val="24"/>
        </w:rPr>
      </w:pPr>
      <w:r w:rsidRPr="00B37A02">
        <w:rPr>
          <w:rFonts w:ascii="Times New Roman" w:hAnsi="Times New Roman"/>
          <w:sz w:val="24"/>
        </w:rPr>
        <w:t>Šajā nodaļā ir aplūkotas to bērnu kategorijas, kas saskaras ar nelabvēlīgām situācijām, kurās būtu nepieciešams papildu atbalsts, lai nodrošinātu piekļuvi papildpakalpojumiem.</w:t>
      </w:r>
    </w:p>
    <w:p w14:paraId="7B1BDC9B" w14:textId="0E2BE187" w:rsidR="00BC5BDF" w:rsidRPr="00B37A02" w:rsidRDefault="00BC5BDF" w:rsidP="00C97F66">
      <w:pPr>
        <w:pStyle w:val="BodyText"/>
        <w:widowControl w:val="0"/>
        <w:spacing w:after="0"/>
        <w:rPr>
          <w:rFonts w:ascii="Times New Roman" w:hAnsi="Times New Roman"/>
          <w:sz w:val="24"/>
        </w:rPr>
      </w:pPr>
    </w:p>
    <w:p w14:paraId="6C92027C" w14:textId="422931AC" w:rsidR="00EC5DE2" w:rsidRPr="00B37A02" w:rsidRDefault="0002413F" w:rsidP="00C97F66">
      <w:pPr>
        <w:pStyle w:val="Heading2"/>
        <w:keepNext w:val="0"/>
        <w:keepLines w:val="0"/>
        <w:widowControl w:val="0"/>
        <w:spacing w:before="0" w:line="240" w:lineRule="auto"/>
        <w:jc w:val="both"/>
        <w:rPr>
          <w:rFonts w:cs="Times New Roman"/>
          <w:sz w:val="24"/>
          <w:szCs w:val="28"/>
        </w:rPr>
      </w:pPr>
      <w:bookmarkStart w:id="3" w:name="_Toc62823374"/>
      <w:bookmarkStart w:id="4" w:name="_Toc62823462"/>
      <w:bookmarkStart w:id="5" w:name="_Toc62833090"/>
      <w:bookmarkStart w:id="6" w:name="_Toc62841443"/>
      <w:bookmarkStart w:id="7" w:name="_Toc62942362"/>
      <w:bookmarkStart w:id="8" w:name="_Toc63178083"/>
      <w:bookmarkStart w:id="9" w:name="_Toc63258836"/>
      <w:bookmarkStart w:id="10" w:name="_Toc63269630"/>
      <w:bookmarkStart w:id="11" w:name="_Toc63692736"/>
      <w:bookmarkStart w:id="12" w:name="_Toc63712823"/>
      <w:bookmarkStart w:id="13" w:name="_Toc63850055"/>
      <w:bookmarkStart w:id="14" w:name="_Toc63850273"/>
      <w:bookmarkStart w:id="15" w:name="_Toc63862414"/>
      <w:bookmarkStart w:id="16" w:name="_Toc64476324"/>
      <w:r w:rsidRPr="00B37A02">
        <w:rPr>
          <w:rFonts w:cs="Times New Roman"/>
          <w:sz w:val="24"/>
        </w:rPr>
        <w:t>2.1. Nabadzības riskam vai sociālajai atstumtībai pakļauti bērni</w:t>
      </w:r>
      <w:bookmarkEnd w:id="3"/>
      <w:bookmarkEnd w:id="4"/>
      <w:bookmarkEnd w:id="5"/>
      <w:bookmarkEnd w:id="6"/>
      <w:bookmarkEnd w:id="7"/>
      <w:bookmarkEnd w:id="8"/>
      <w:bookmarkEnd w:id="9"/>
      <w:bookmarkEnd w:id="10"/>
      <w:bookmarkEnd w:id="11"/>
      <w:bookmarkEnd w:id="12"/>
      <w:bookmarkEnd w:id="13"/>
      <w:bookmarkEnd w:id="14"/>
      <w:bookmarkEnd w:id="15"/>
      <w:bookmarkEnd w:id="16"/>
    </w:p>
    <w:p w14:paraId="6C6C2564" w14:textId="77777777" w:rsidR="0002413F" w:rsidRPr="00B37A02" w:rsidRDefault="0002413F" w:rsidP="00C97F66">
      <w:pPr>
        <w:spacing w:after="0" w:line="240" w:lineRule="auto"/>
        <w:rPr>
          <w:rFonts w:ascii="Times New Roman" w:hAnsi="Times New Roman" w:cs="Times New Roman"/>
        </w:rPr>
      </w:pPr>
    </w:p>
    <w:p w14:paraId="7D705376" w14:textId="087E33B3"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Zemi ienākumi un bezdarbs mājsaimniecībās ar bērniem joprojām ir galvenie faktori, kas ietekmē bērnu sociālo atstumtību. Lai uzraudzītu nabadzības un sociālās atstumtības problēmu, Savienība izmanto jēdzienu “nabadzības vai sociālās atstumtības risks” (</w:t>
      </w:r>
      <w:r w:rsidRPr="00B37A02">
        <w:rPr>
          <w:rFonts w:ascii="Times New Roman" w:hAnsi="Times New Roman"/>
          <w:i/>
          <w:iCs/>
          <w:sz w:val="24"/>
        </w:rPr>
        <w:t>AROPE</w:t>
      </w:r>
      <w:r w:rsidRPr="00B37A02">
        <w:rPr>
          <w:rFonts w:ascii="Times New Roman" w:hAnsi="Times New Roman"/>
          <w:sz w:val="24"/>
        </w:rPr>
        <w:t>),</w:t>
      </w:r>
      <w:r w:rsidRPr="00B37A02">
        <w:rPr>
          <w:rStyle w:val="FootnoteReference"/>
          <w:rFonts w:ascii="Times New Roman" w:hAnsi="Times New Roman"/>
          <w:sz w:val="24"/>
          <w:szCs w:val="24"/>
        </w:rPr>
        <w:footnoteReference w:id="26"/>
      </w:r>
      <w:r w:rsidRPr="00B37A02">
        <w:rPr>
          <w:rFonts w:ascii="Times New Roman" w:hAnsi="Times New Roman"/>
          <w:sz w:val="24"/>
        </w:rPr>
        <w:t xml:space="preserve"> kas ietver trīs dažādus nelabvēlīgu apstākļu aspektus: nepietiekamu ienākumu radīta nabadzība,</w:t>
      </w:r>
      <w:r w:rsidRPr="00B37A02">
        <w:rPr>
          <w:rStyle w:val="FootnoteReference"/>
          <w:rFonts w:ascii="Times New Roman" w:hAnsi="Times New Roman"/>
          <w:sz w:val="24"/>
          <w:szCs w:val="24"/>
        </w:rPr>
        <w:footnoteReference w:id="27"/>
      </w:r>
      <w:r w:rsidRPr="00B37A02">
        <w:rPr>
          <w:rFonts w:ascii="Times New Roman" w:hAnsi="Times New Roman"/>
          <w:sz w:val="24"/>
        </w:rPr>
        <w:t xml:space="preserve"> smaga </w:t>
      </w:r>
      <w:r w:rsidRPr="00B37A02">
        <w:rPr>
          <w:rFonts w:ascii="Times New Roman" w:hAnsi="Times New Roman"/>
          <w:sz w:val="24"/>
        </w:rPr>
        <w:lastRenderedPageBreak/>
        <w:t>materiālā nenodrošinātība</w:t>
      </w:r>
      <w:r w:rsidRPr="00B37A02">
        <w:rPr>
          <w:rFonts w:ascii="Times New Roman" w:hAnsi="Times New Roman"/>
          <w:sz w:val="24"/>
          <w:szCs w:val="24"/>
          <w:vertAlign w:val="superscript"/>
        </w:rPr>
        <w:footnoteReference w:id="28"/>
      </w:r>
      <w:r w:rsidRPr="00B37A02">
        <w:rPr>
          <w:rFonts w:ascii="Times New Roman" w:hAnsi="Times New Roman"/>
          <w:sz w:val="24"/>
        </w:rPr>
        <w:t xml:space="preserve"> un dzīvošana mājsaimniecībā ar ļoti zemu nodarbinātības intensitāti</w:t>
      </w:r>
      <w:r w:rsidRPr="00B37A02">
        <w:rPr>
          <w:rFonts w:ascii="Times New Roman" w:hAnsi="Times New Roman"/>
          <w:sz w:val="24"/>
          <w:szCs w:val="24"/>
          <w:vertAlign w:val="superscript"/>
        </w:rPr>
        <w:footnoteReference w:id="29"/>
      </w:r>
      <w:r w:rsidRPr="00B37A02">
        <w:rPr>
          <w:rFonts w:ascii="Times New Roman" w:hAnsi="Times New Roman"/>
          <w:sz w:val="24"/>
        </w:rPr>
        <w:t xml:space="preserve"> (papildu informāciju skat. 3. attēlā). Nabadzībai vai sociālajai atstumtībai pakļauti bērni (17,9 miljoni visās 27 ES dalībvalstīs 2019. gadā)</w:t>
      </w:r>
      <w:r w:rsidRPr="00B37A02">
        <w:rPr>
          <w:rStyle w:val="FootnoteReference"/>
          <w:rFonts w:ascii="Times New Roman" w:hAnsi="Times New Roman"/>
          <w:sz w:val="24"/>
          <w:szCs w:val="24"/>
        </w:rPr>
        <w:footnoteReference w:id="30"/>
      </w:r>
      <w:r w:rsidRPr="00B37A02">
        <w:rPr>
          <w:rFonts w:ascii="Times New Roman" w:hAnsi="Times New Roman"/>
          <w:sz w:val="24"/>
        </w:rPr>
        <w:t xml:space="preserve"> ir ļoti daudzveidīga grupa. Bērnu nabadzības vai sociālās atstumtības risks (22,2 % 27 ES dalībvalstīs) svārstās no 11,7 % Slovēnijā līdz 35,8 % Rumānijā.</w:t>
      </w:r>
    </w:p>
    <w:p w14:paraId="50064415" w14:textId="77777777" w:rsidR="00C97F66" w:rsidRPr="00B37A02" w:rsidRDefault="00C97F66" w:rsidP="00C97F66">
      <w:pPr>
        <w:pStyle w:val="BodyText"/>
        <w:widowControl w:val="0"/>
        <w:spacing w:after="0"/>
        <w:rPr>
          <w:rFonts w:ascii="Times New Roman" w:hAnsi="Times New Roman"/>
          <w:sz w:val="24"/>
          <w:szCs w:val="24"/>
        </w:rPr>
      </w:pPr>
    </w:p>
    <w:p w14:paraId="3DAF010B" w14:textId="130F60EE"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2019. gadā kopējais nepietiekamu ienākumu radītās nabadzības riskam (</w:t>
      </w:r>
      <w:r w:rsidRPr="00B37A02">
        <w:rPr>
          <w:rFonts w:ascii="Times New Roman" w:hAnsi="Times New Roman"/>
          <w:i/>
          <w:iCs/>
          <w:sz w:val="24"/>
        </w:rPr>
        <w:t>AROP</w:t>
      </w:r>
      <w:r w:rsidRPr="00B37A02">
        <w:rPr>
          <w:rFonts w:ascii="Times New Roman" w:hAnsi="Times New Roman"/>
          <w:sz w:val="24"/>
        </w:rPr>
        <w:t>) pakļauto bērnu skaits 27 ES dalībvalstīs bija aptuveni 14,9 miljoni (18,5 % no visiem bērniem), kas ir par aptuveni 930 000 mazāk nekā gadu iepriekš.</w:t>
      </w:r>
      <w:r w:rsidRPr="00B37A02">
        <w:rPr>
          <w:rStyle w:val="FootnoteReference"/>
          <w:rFonts w:ascii="Times New Roman" w:hAnsi="Times New Roman"/>
          <w:sz w:val="24"/>
          <w:szCs w:val="24"/>
        </w:rPr>
        <w:footnoteReference w:id="31"/>
      </w:r>
      <w:r w:rsidRPr="00B37A02">
        <w:rPr>
          <w:rFonts w:ascii="Times New Roman" w:hAnsi="Times New Roman"/>
          <w:sz w:val="24"/>
        </w:rPr>
        <w:t xml:space="preserve"> Vislielākais nepietiekamu ienākumu radītās nabadzības riskam pakļauto bērnu īpatsvars bija novērojams Rumānijā (30,8 %), Bulgārijā (27,5 %) un Spānijā (27,4 %), savukārt mazākais īpatsvars – Somijā, Dānijā, Čehijā un Slovēnijā (visās valstīs šis rādītājs ir gandrīz 10 %).</w:t>
      </w:r>
    </w:p>
    <w:p w14:paraId="7F134958" w14:textId="77777777" w:rsidR="00C97F66" w:rsidRPr="00B37A02" w:rsidRDefault="00C97F66" w:rsidP="00C97F66">
      <w:pPr>
        <w:pStyle w:val="BodyText"/>
        <w:widowControl w:val="0"/>
        <w:spacing w:after="0"/>
        <w:rPr>
          <w:rFonts w:ascii="Times New Roman" w:hAnsi="Times New Roman"/>
          <w:sz w:val="24"/>
          <w:szCs w:val="24"/>
        </w:rPr>
      </w:pPr>
    </w:p>
    <w:p w14:paraId="2F102FE9" w14:textId="1B6EA742"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 xml:space="preserve">2019. gadā vairāk nekā 4,5 miljoni bērnu (5,7 %) 27 ES dalībvalstīs dzīvoja mājsaimniecībās, kuras skar smaga materiālā nenodrošinātība (turpmāk tekstā – </w:t>
      </w:r>
      <w:r w:rsidRPr="00B37A02">
        <w:rPr>
          <w:rFonts w:ascii="Times New Roman" w:hAnsi="Times New Roman"/>
          <w:i/>
          <w:iCs/>
          <w:sz w:val="24"/>
        </w:rPr>
        <w:t>SMD</w:t>
      </w:r>
      <w:r w:rsidRPr="00B37A02">
        <w:rPr>
          <w:rFonts w:ascii="Times New Roman" w:hAnsi="Times New Roman"/>
          <w:sz w:val="24"/>
        </w:rPr>
        <w:t xml:space="preserve">). </w:t>
      </w:r>
      <w:r w:rsidRPr="00B37A02">
        <w:rPr>
          <w:rFonts w:ascii="Times New Roman" w:hAnsi="Times New Roman"/>
          <w:i/>
          <w:iCs/>
          <w:sz w:val="24"/>
        </w:rPr>
        <w:t>SMD</w:t>
      </w:r>
      <w:r w:rsidRPr="00B37A02">
        <w:rPr>
          <w:rFonts w:ascii="Times New Roman" w:hAnsi="Times New Roman"/>
          <w:sz w:val="24"/>
        </w:rPr>
        <w:t xml:space="preserve"> rādītāji dalībvalstīs ir ļoti atšķirīgi. Piemēram, Luksemburgā, Zviedrijā un Vācijā </w:t>
      </w:r>
      <w:r w:rsidRPr="00B37A02">
        <w:rPr>
          <w:rFonts w:ascii="Times New Roman" w:hAnsi="Times New Roman"/>
          <w:i/>
          <w:iCs/>
          <w:sz w:val="24"/>
        </w:rPr>
        <w:t>SMD</w:t>
      </w:r>
      <w:r w:rsidRPr="00B37A02">
        <w:rPr>
          <w:rFonts w:ascii="Times New Roman" w:hAnsi="Times New Roman"/>
          <w:sz w:val="24"/>
        </w:rPr>
        <w:t xml:space="preserve"> pakļautās mājsaimniecībās dzīvo mazāk nekā 15 % visu nabadzības riskam vai sociālajai atstumtībai pakļauto bērnu. Vairumā dalībvalstu aptuveni pusē no </w:t>
      </w:r>
      <w:r w:rsidRPr="00B37A02">
        <w:rPr>
          <w:rFonts w:ascii="Times New Roman" w:hAnsi="Times New Roman"/>
          <w:i/>
          <w:iCs/>
          <w:sz w:val="24"/>
        </w:rPr>
        <w:t>SMD</w:t>
      </w:r>
      <w:r w:rsidRPr="00B37A02">
        <w:rPr>
          <w:rFonts w:ascii="Times New Roman" w:hAnsi="Times New Roman"/>
          <w:sz w:val="24"/>
        </w:rPr>
        <w:t xml:space="preserve"> pakļauto mājsaimniecību ienākumu līmenis nav noslīdējis zem nabadzības sliekšņa.</w:t>
      </w:r>
    </w:p>
    <w:p w14:paraId="4DDD6C0B" w14:textId="77777777" w:rsidR="00C97F66" w:rsidRPr="00B37A02" w:rsidRDefault="00C97F66" w:rsidP="00C97F66">
      <w:pPr>
        <w:pStyle w:val="BodyText"/>
        <w:widowControl w:val="0"/>
        <w:spacing w:after="0"/>
        <w:rPr>
          <w:rFonts w:ascii="Times New Roman" w:hAnsi="Times New Roman"/>
          <w:sz w:val="24"/>
          <w:szCs w:val="24"/>
        </w:rPr>
      </w:pPr>
    </w:p>
    <w:p w14:paraId="59722AEB" w14:textId="21F1A1EB"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 xml:space="preserve">Ļoti zema nodarbinātības intensitāte (turpmāk tekstā – </w:t>
      </w:r>
      <w:r w:rsidRPr="00B37A02">
        <w:rPr>
          <w:rFonts w:ascii="Times New Roman" w:hAnsi="Times New Roman"/>
          <w:i/>
          <w:iCs/>
          <w:sz w:val="24"/>
        </w:rPr>
        <w:t>VLWI</w:t>
      </w:r>
      <w:r w:rsidRPr="00B37A02">
        <w:rPr>
          <w:rFonts w:ascii="Times New Roman" w:hAnsi="Times New Roman"/>
          <w:sz w:val="24"/>
        </w:rPr>
        <w:t xml:space="preserve">) rada problēmas galvenokārt kā nabadzību un nenodrošinātību sekmējošs faktors. Tas tā ir tādēļ, ka mājsaimniecības ar </w:t>
      </w:r>
      <w:r w:rsidRPr="00B37A02">
        <w:rPr>
          <w:rFonts w:ascii="Times New Roman" w:hAnsi="Times New Roman"/>
          <w:i/>
          <w:iCs/>
          <w:sz w:val="24"/>
        </w:rPr>
        <w:t>VLWI</w:t>
      </w:r>
      <w:r w:rsidRPr="00B37A02">
        <w:rPr>
          <w:rFonts w:ascii="Times New Roman" w:hAnsi="Times New Roman"/>
          <w:sz w:val="24"/>
        </w:rPr>
        <w:t xml:space="preserve">, kurās dzīvo apgādājami bērni, salīdzinājumā ar mājsaimniecībām ar </w:t>
      </w:r>
      <w:r w:rsidRPr="00B37A02">
        <w:rPr>
          <w:rFonts w:ascii="Times New Roman" w:hAnsi="Times New Roman"/>
          <w:i/>
          <w:iCs/>
          <w:sz w:val="24"/>
        </w:rPr>
        <w:t>VLWI</w:t>
      </w:r>
      <w:r w:rsidRPr="00B37A02">
        <w:rPr>
          <w:rFonts w:ascii="Times New Roman" w:hAnsi="Times New Roman"/>
          <w:sz w:val="24"/>
        </w:rPr>
        <w:t>, kurās nedzīvo apgādājami bērni, ievērojami biežāk nonāk nabadzībā (attiecīgi 70,2 % un 55,6 % 27 ES dalībvalstīs 2019. gadā). Individuālā līmenī ilgstoša dzīvošana mājsaimniecībā ar ļoti zemu nodarbinātības intensitāti var nelabvēlīgi ietekmēt bērna centienus darba meklējumos, jo viņa vecākiem ir ļoti neliela saskare ar nodarbinātību. 2019. gadā aptuveni 1,2 miljoni bērnu dzīvoja mājsaimniecībās ar ļoti zemu nodarbinātības intensitāti, taču tās nebija pakļautas ne nepietiekamu ienākumu radītai nabadzībai, ne smagas materiālas nenodrošinātības apstākļiem.</w:t>
      </w:r>
    </w:p>
    <w:p w14:paraId="45A47521" w14:textId="77777777" w:rsidR="00C97F66" w:rsidRPr="00B37A02" w:rsidRDefault="00C97F66" w:rsidP="00C97F66">
      <w:pPr>
        <w:pStyle w:val="BodyText"/>
        <w:widowControl w:val="0"/>
        <w:spacing w:after="0"/>
        <w:rPr>
          <w:rFonts w:ascii="Times New Roman" w:eastAsiaTheme="minorHAnsi" w:hAnsi="Times New Roman"/>
          <w:i/>
          <w:iCs/>
          <w:color w:val="44546A" w:themeColor="text2"/>
          <w:sz w:val="24"/>
          <w:szCs w:val="22"/>
        </w:rPr>
      </w:pPr>
    </w:p>
    <w:p w14:paraId="24456B78" w14:textId="4286BA43" w:rsidR="00EC5DE2" w:rsidRPr="00B37A02" w:rsidRDefault="00BC5BDF" w:rsidP="00790562">
      <w:pPr>
        <w:pStyle w:val="BodyText"/>
        <w:keepNext/>
        <w:keepLines/>
        <w:widowControl w:val="0"/>
        <w:spacing w:after="0"/>
        <w:rPr>
          <w:rFonts w:ascii="Times New Roman" w:hAnsi="Times New Roman"/>
          <w:sz w:val="24"/>
        </w:rPr>
      </w:pPr>
      <w:r w:rsidRPr="00B37A02">
        <w:rPr>
          <w:rFonts w:ascii="Times New Roman" w:hAnsi="Times New Roman"/>
          <w:i/>
          <w:color w:val="44546A" w:themeColor="text2"/>
          <w:sz w:val="24"/>
        </w:rPr>
        <w:lastRenderedPageBreak/>
        <w:t>3. attēls. Bērnu nabadzības vai sociālās atstumtības risks (AROPE) 2019. gadā. Tā krustpunkti starp elementiem</w:t>
      </w:r>
    </w:p>
    <w:p w14:paraId="0EA67DF6" w14:textId="77777777" w:rsidR="00EC5DE2" w:rsidRPr="00B37A02" w:rsidRDefault="00BC5BDF" w:rsidP="00790562">
      <w:pPr>
        <w:pStyle w:val="BodyText"/>
        <w:keepNext/>
        <w:keepLines/>
        <w:widowControl w:val="0"/>
        <w:spacing w:after="0"/>
        <w:rPr>
          <w:rFonts w:ascii="Times New Roman" w:hAnsi="Times New Roman"/>
          <w:szCs w:val="16"/>
        </w:rPr>
      </w:pPr>
      <w:r w:rsidRPr="00B37A02">
        <w:rPr>
          <w:rFonts w:ascii="Times New Roman" w:hAnsi="Times New Roman"/>
          <w:noProof/>
          <w:sz w:val="24"/>
        </w:rPr>
        <w:drawing>
          <wp:inline distT="0" distB="0" distL="0" distR="0" wp14:anchorId="1554B664" wp14:editId="17E98358">
            <wp:extent cx="5734050" cy="5311140"/>
            <wp:effectExtent l="0" t="0" r="0" b="381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B37A02">
        <w:rPr>
          <w:rFonts w:ascii="Times New Roman" w:hAnsi="Times New Roman"/>
        </w:rPr>
        <w:t xml:space="preserve">Avots: </w:t>
      </w:r>
      <w:r w:rsidRPr="00B37A02">
        <w:rPr>
          <w:rFonts w:ascii="Times New Roman" w:hAnsi="Times New Roman"/>
          <w:i/>
          <w:iCs/>
        </w:rPr>
        <w:t>EU SILC</w:t>
      </w:r>
      <w:r w:rsidRPr="00B37A02">
        <w:rPr>
          <w:rFonts w:ascii="Times New Roman" w:hAnsi="Times New Roman"/>
        </w:rPr>
        <w:t xml:space="preserve"> [ilc_pees01], dati iegūti 02.12.2020.</w:t>
      </w:r>
    </w:p>
    <w:p w14:paraId="5133AFE8" w14:textId="77777777" w:rsidR="0002413F" w:rsidRPr="00B37A02" w:rsidRDefault="0002413F" w:rsidP="00C97F66">
      <w:pPr>
        <w:pStyle w:val="BodyText"/>
        <w:widowControl w:val="0"/>
        <w:spacing w:after="0"/>
        <w:rPr>
          <w:rFonts w:ascii="Times New Roman" w:hAnsi="Times New Roman"/>
          <w:sz w:val="24"/>
          <w:szCs w:val="24"/>
        </w:rPr>
      </w:pPr>
    </w:p>
    <w:p w14:paraId="3DBFDCE5" w14:textId="6C7B4C86" w:rsidR="00EC5DE2" w:rsidRPr="00B37A02" w:rsidRDefault="00BC5BDF" w:rsidP="00C97F66">
      <w:pPr>
        <w:pStyle w:val="BodyText"/>
        <w:widowControl w:val="0"/>
        <w:spacing w:after="0"/>
        <w:rPr>
          <w:rFonts w:ascii="Times New Roman" w:hAnsi="Times New Roman"/>
          <w:bCs/>
          <w:sz w:val="24"/>
          <w:szCs w:val="24"/>
        </w:rPr>
      </w:pPr>
      <w:r w:rsidRPr="00B37A02">
        <w:rPr>
          <w:rFonts w:ascii="Times New Roman" w:hAnsi="Times New Roman"/>
          <w:sz w:val="24"/>
        </w:rPr>
        <w:t>Šķiet, ka pēdējo desmit gadu laikā nabadzības intensitāte un noturība bērnu vidū ir saglabājusies augstāka nekā pārējo iedzīvotāju vidū. 2019. gadā nabadzības plaisa</w:t>
      </w:r>
      <w:r w:rsidRPr="00B37A02">
        <w:rPr>
          <w:rFonts w:ascii="Times New Roman" w:hAnsi="Times New Roman"/>
          <w:sz w:val="24"/>
          <w:szCs w:val="24"/>
          <w:vertAlign w:val="superscript"/>
        </w:rPr>
        <w:footnoteReference w:id="32"/>
      </w:r>
      <w:r w:rsidRPr="00B37A02">
        <w:rPr>
          <w:rFonts w:ascii="Times New Roman" w:hAnsi="Times New Roman"/>
          <w:sz w:val="24"/>
        </w:rPr>
        <w:t xml:space="preserve"> bērnu vidū bija nedaudz lielāka (25,4 %) nekā pārējo iedzīvotāju vidū (24,3 %), pēdējo gadu laikā šai starpībai lēnām samazinoties. Turklāt nabadzības noturība</w:t>
      </w:r>
      <w:r w:rsidRPr="00B37A02">
        <w:rPr>
          <w:rFonts w:ascii="Times New Roman" w:hAnsi="Times New Roman"/>
          <w:sz w:val="24"/>
          <w:szCs w:val="24"/>
          <w:vertAlign w:val="superscript"/>
        </w:rPr>
        <w:footnoteReference w:id="33"/>
      </w:r>
      <w:r w:rsidRPr="00B37A02">
        <w:rPr>
          <w:rFonts w:ascii="Times New Roman" w:hAnsi="Times New Roman"/>
          <w:sz w:val="24"/>
        </w:rPr>
        <w:t xml:space="preserve"> joprojām ir augstāka bērnu vidū (14,1 %) nekā pārējo iedzīvotāju vidū (10,8 %) un ne nabadzības līmenis, ne starpība ar pārējiem iedzīvotājiem pēdējo desmit gadu laikā nav būtiski samazinājusies. Šis lēnais progress kavē vienlīdzīgu iespēju vairošanu. Bērniem no mājsaimniecībām ar zemiem ienākumiem klājas sliktāk visu mūžu, turklāt viņiem ir sliktāki kognitīvo prasmju testu rezultāti agrīnā bērnībā, viņi biežāk pamet mācības un retāk iegūst augstāko izglītību.</w:t>
      </w:r>
      <w:r w:rsidRPr="00B37A02">
        <w:rPr>
          <w:rStyle w:val="FootnoteReference"/>
          <w:rFonts w:ascii="Times New Roman" w:hAnsi="Times New Roman"/>
          <w:bCs/>
          <w:sz w:val="24"/>
          <w:szCs w:val="24"/>
        </w:rPr>
        <w:footnoteReference w:id="34"/>
      </w:r>
    </w:p>
    <w:p w14:paraId="3C70B6FD" w14:textId="11A9E4EC" w:rsidR="00BC5BDF" w:rsidRPr="00B37A02" w:rsidRDefault="00BC5BDF" w:rsidP="00C97F66">
      <w:pPr>
        <w:pStyle w:val="BodyText"/>
        <w:widowControl w:val="0"/>
        <w:spacing w:after="0"/>
        <w:rPr>
          <w:rFonts w:ascii="Times New Roman" w:hAnsi="Times New Roman"/>
          <w:sz w:val="24"/>
        </w:rPr>
      </w:pPr>
    </w:p>
    <w:p w14:paraId="3139C7D4" w14:textId="46F0419B" w:rsidR="00EC5DE2" w:rsidRPr="00B37A02" w:rsidRDefault="0002413F" w:rsidP="00C97F66">
      <w:pPr>
        <w:pStyle w:val="Heading2"/>
        <w:keepNext w:val="0"/>
        <w:keepLines w:val="0"/>
        <w:widowControl w:val="0"/>
        <w:spacing w:before="0" w:line="240" w:lineRule="auto"/>
        <w:jc w:val="both"/>
        <w:rPr>
          <w:rFonts w:cs="Times New Roman"/>
          <w:sz w:val="24"/>
          <w:szCs w:val="28"/>
        </w:rPr>
      </w:pPr>
      <w:bookmarkStart w:id="17" w:name="_Toc63692741"/>
      <w:bookmarkStart w:id="18" w:name="_Toc63712824"/>
      <w:bookmarkStart w:id="19" w:name="_Toc63850056"/>
      <w:bookmarkStart w:id="20" w:name="_Toc63850274"/>
      <w:bookmarkStart w:id="21" w:name="_Toc63862415"/>
      <w:bookmarkStart w:id="22" w:name="_Toc64476325"/>
      <w:bookmarkStart w:id="23" w:name="_Toc62841444"/>
      <w:bookmarkStart w:id="24" w:name="_Toc62823375"/>
      <w:bookmarkStart w:id="25" w:name="_Toc62823463"/>
      <w:bookmarkStart w:id="26" w:name="_Toc62833091"/>
      <w:bookmarkStart w:id="27" w:name="_Toc62942363"/>
      <w:bookmarkStart w:id="28" w:name="_Toc63178084"/>
      <w:bookmarkStart w:id="29" w:name="_Toc63258837"/>
      <w:bookmarkStart w:id="30" w:name="_Toc63269631"/>
      <w:r w:rsidRPr="00B37A02">
        <w:rPr>
          <w:rFonts w:cs="Times New Roman"/>
          <w:sz w:val="24"/>
        </w:rPr>
        <w:t>2.2. Bērni bezpajumtnieki</w:t>
      </w:r>
      <w:bookmarkEnd w:id="17"/>
      <w:bookmarkEnd w:id="18"/>
      <w:bookmarkEnd w:id="19"/>
      <w:bookmarkEnd w:id="20"/>
      <w:bookmarkEnd w:id="21"/>
      <w:bookmarkEnd w:id="22"/>
    </w:p>
    <w:p w14:paraId="0A11A77C" w14:textId="77777777" w:rsidR="0002413F" w:rsidRPr="00B37A02" w:rsidRDefault="0002413F" w:rsidP="00C97F66">
      <w:pPr>
        <w:spacing w:after="0" w:line="240" w:lineRule="auto"/>
        <w:rPr>
          <w:rFonts w:ascii="Times New Roman" w:hAnsi="Times New Roman" w:cs="Times New Roman"/>
        </w:rPr>
      </w:pPr>
    </w:p>
    <w:p w14:paraId="77613756" w14:textId="7B6A1F25" w:rsidR="00BC5BDF" w:rsidRPr="00B37A02" w:rsidRDefault="00BC5BDF" w:rsidP="00C97F66">
      <w:pPr>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sz w:val="24"/>
        </w:rPr>
        <w:t>Bezpajumtniecība ir spēcīga sociālās atstumtības izpausme. Pat īss bezpajumtniecības periods var radīt sociālo atstumtību, kā arī strauji pasliktināt personas fizisko un garīgo veselību, nodarbinātības iespējas un sociālās prasmes. Bezpajumtniekiem ir ierobežota piekļuve veselības aprūpei, sociālajiem pakalpojumiem un citiem pakalpojumiem. Viņi arī ne vienmēr var īstenot savas cilvēka un pilsoniskās pamattiesības. Ilgāka bezpajumtniecības perioda radītās sekas var būt neatgriezeniskas.</w:t>
      </w:r>
      <w:r w:rsidRPr="00B37A02">
        <w:rPr>
          <w:rStyle w:val="FootnoteReference"/>
          <w:rFonts w:ascii="Times New Roman" w:hAnsi="Times New Roman" w:cs="Times New Roman"/>
          <w:sz w:val="24"/>
          <w:szCs w:val="24"/>
        </w:rPr>
        <w:footnoteReference w:id="35"/>
      </w:r>
    </w:p>
    <w:p w14:paraId="107517AA" w14:textId="77777777" w:rsidR="00C97F66" w:rsidRPr="00B37A02" w:rsidRDefault="00C97F66" w:rsidP="00C97F66">
      <w:pPr>
        <w:widowControl w:val="0"/>
        <w:spacing w:after="0" w:line="240" w:lineRule="auto"/>
        <w:jc w:val="both"/>
        <w:rPr>
          <w:rFonts w:ascii="Times New Roman" w:hAnsi="Times New Roman" w:cs="Times New Roman"/>
          <w:sz w:val="24"/>
          <w:szCs w:val="24"/>
        </w:rPr>
      </w:pPr>
    </w:p>
    <w:p w14:paraId="569DD7D3" w14:textId="79AD8285" w:rsidR="00EC5DE2" w:rsidRPr="00B37A02" w:rsidRDefault="00BC5BDF" w:rsidP="00C97F66">
      <w:pPr>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sz w:val="24"/>
        </w:rPr>
        <w:t>Aizvien vairāk ģimeņu ar bērniem Eiropā saskaras ar bezpajumtniecību, pat ja šīm ģimenēm parasti izdodas uzturēties pagaidu vai nestabilā naktsmītnē tā vietā, lai nakšņotu uz ielas.</w:t>
      </w:r>
      <w:r w:rsidRPr="00B37A02">
        <w:rPr>
          <w:rFonts w:ascii="Times New Roman" w:hAnsi="Times New Roman" w:cs="Times New Roman"/>
          <w:sz w:val="24"/>
          <w:szCs w:val="24"/>
          <w:vertAlign w:val="superscript"/>
        </w:rPr>
        <w:footnoteReference w:id="36"/>
      </w:r>
      <w:r w:rsidRPr="00B37A02">
        <w:rPr>
          <w:rFonts w:ascii="Times New Roman" w:hAnsi="Times New Roman" w:cs="Times New Roman"/>
          <w:sz w:val="24"/>
          <w:vertAlign w:val="superscript"/>
        </w:rPr>
        <w:t xml:space="preserve"> </w:t>
      </w:r>
      <w:r w:rsidRPr="00B37A02">
        <w:rPr>
          <w:rFonts w:ascii="Times New Roman" w:hAnsi="Times New Roman" w:cs="Times New Roman"/>
          <w:sz w:val="24"/>
        </w:rPr>
        <w:t>Tāpat lielākam bezpajumtniecības riskam ir pakļauti jaunieši, kuri iepriekš ir dzīvojuši kādā aprūpes iestādē, jo viņiem bieži vien nākas kļūt patstāvīgiem daudz agrāk nekā viņu vienaudžiem, kuri aug ģimenē. Īpašam riskam ir pakļautas arī citas bērnu grupas: romu bērni, nepavadīti bērni patvēruma meklētāji un bērni bez dokumentiem vai nereģistrēti bērni.</w:t>
      </w:r>
      <w:r w:rsidRPr="00B37A02">
        <w:rPr>
          <w:rStyle w:val="FootnoteReference"/>
          <w:rFonts w:ascii="Times New Roman" w:hAnsi="Times New Roman" w:cs="Times New Roman"/>
          <w:sz w:val="24"/>
          <w:szCs w:val="24"/>
        </w:rPr>
        <w:footnoteReference w:id="37"/>
      </w:r>
    </w:p>
    <w:p w14:paraId="29193CA5" w14:textId="77777777" w:rsidR="00C97F66" w:rsidRPr="00B37A02" w:rsidRDefault="00C97F66" w:rsidP="00C97F66">
      <w:pPr>
        <w:widowControl w:val="0"/>
        <w:spacing w:after="0" w:line="240" w:lineRule="auto"/>
        <w:jc w:val="both"/>
        <w:rPr>
          <w:rFonts w:ascii="Times New Roman" w:hAnsi="Times New Roman" w:cs="Times New Roman"/>
          <w:sz w:val="24"/>
          <w:szCs w:val="24"/>
        </w:rPr>
      </w:pPr>
    </w:p>
    <w:p w14:paraId="53184E18" w14:textId="7719853C" w:rsidR="00EC5DE2" w:rsidRPr="00B37A02" w:rsidRDefault="00BC5BDF" w:rsidP="00C97F66">
      <w:pPr>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sz w:val="24"/>
        </w:rPr>
        <w:t>Lai gan ir pieejams maz datu par bērnu un ģimeņu bezpajumtniecību un tos bieži vien nav iespējams salīdzināt, garantijas bērniem sagatavošanās pasākuma</w:t>
      </w:r>
      <w:r w:rsidRPr="00B37A02">
        <w:rPr>
          <w:rFonts w:ascii="Times New Roman" w:hAnsi="Times New Roman" w:cs="Times New Roman"/>
          <w:sz w:val="24"/>
          <w:szCs w:val="24"/>
          <w:vertAlign w:val="superscript"/>
        </w:rPr>
        <w:footnoteReference w:id="38"/>
      </w:r>
      <w:r w:rsidRPr="00B37A02">
        <w:rPr>
          <w:rFonts w:ascii="Times New Roman" w:hAnsi="Times New Roman" w:cs="Times New Roman"/>
          <w:sz w:val="24"/>
        </w:rPr>
        <w:t xml:space="preserve"> ietvaros apkopotie dati liecina, ka 27 ES dalībvalstīs laika posmā no 2018. līdz 2020. gadam bija vismaz 90 000 bērnu bezpajumtnieku.</w:t>
      </w:r>
      <w:r w:rsidRPr="00B37A02">
        <w:rPr>
          <w:rStyle w:val="FootnoteReference"/>
          <w:rFonts w:ascii="Times New Roman" w:hAnsi="Times New Roman" w:cs="Times New Roman"/>
          <w:sz w:val="24"/>
          <w:szCs w:val="24"/>
        </w:rPr>
        <w:footnoteReference w:id="39"/>
      </w:r>
      <w:r w:rsidRPr="00B37A02">
        <w:rPr>
          <w:rFonts w:ascii="Times New Roman" w:hAnsi="Times New Roman" w:cs="Times New Roman"/>
          <w:sz w:val="24"/>
        </w:rPr>
        <w:t xml:space="preserve"> Bērnus bezpajumtniekus var iedalīt trīs apakškategorijās: i) bez pajumtes palikušas ģimenes locekļi (dažās valstīs šajā kategorijā ietilpst arī ģimenes, kuras dzīvo ļoti sliktos sadzīves apstākļos); ii) personas, kuras piedzīvojušas vardarbību ģimenē (kuras bieži vien pavada citi ģimenes locekļi, parasti mātes, un kuras biežāk uzturas pagaidu patversmē), un iii) nepavadīti jaunieši (šajā grupā ietilpst bēguļojoši vai no mājām izmesti jaunieši).</w:t>
      </w:r>
      <w:r w:rsidRPr="00B37A02">
        <w:rPr>
          <w:rStyle w:val="FootnoteReference"/>
          <w:rFonts w:ascii="Times New Roman" w:hAnsi="Times New Roman" w:cs="Times New Roman"/>
          <w:sz w:val="24"/>
          <w:szCs w:val="24"/>
        </w:rPr>
        <w:footnoteReference w:id="40"/>
      </w:r>
    </w:p>
    <w:p w14:paraId="31A8FC67" w14:textId="77777777" w:rsidR="00C97F66" w:rsidRPr="00B37A02" w:rsidRDefault="00C97F66" w:rsidP="00C97F66">
      <w:pPr>
        <w:pStyle w:val="BodyText"/>
        <w:widowControl w:val="0"/>
        <w:spacing w:after="0"/>
        <w:rPr>
          <w:rFonts w:ascii="Times New Roman" w:hAnsi="Times New Roman"/>
          <w:sz w:val="24"/>
          <w:szCs w:val="24"/>
        </w:rPr>
      </w:pPr>
    </w:p>
    <w:p w14:paraId="09E896B1" w14:textId="48384482" w:rsidR="00BC5BDF"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Tiem, kas ir cietuši no vardarbības ģimenē, vislielākās grūtības rada dažkārt satraucoši ilgais laika periods, kuru bērni pavada pagaidu patversmēs un naktsmītnēs. Šādas nestabilas situācijas palielina psiholoģisko stresu un var būt par iemeslu tam, ka bērni pamet mācības, kas nelabvēlīgi ietekmē viņu attīstību un izredzes gūt panākumus turpmākās dzīves laikā.</w:t>
      </w:r>
      <w:r w:rsidRPr="00B37A02">
        <w:rPr>
          <w:rStyle w:val="FootnoteReference"/>
          <w:rFonts w:ascii="Times New Roman" w:hAnsi="Times New Roman"/>
          <w:sz w:val="24"/>
          <w:szCs w:val="24"/>
        </w:rPr>
        <w:footnoteReference w:id="41"/>
      </w:r>
    </w:p>
    <w:p w14:paraId="6B7150B2" w14:textId="77777777" w:rsidR="00C97F66" w:rsidRPr="00B37A02" w:rsidRDefault="00C97F66" w:rsidP="00C97F66">
      <w:pPr>
        <w:pStyle w:val="BodyText"/>
        <w:widowControl w:val="0"/>
        <w:spacing w:after="0"/>
        <w:rPr>
          <w:rFonts w:ascii="Times New Roman" w:hAnsi="Times New Roman"/>
          <w:sz w:val="24"/>
          <w:szCs w:val="24"/>
        </w:rPr>
      </w:pPr>
    </w:p>
    <w:p w14:paraId="4066777B" w14:textId="3AE7D8B4" w:rsidR="00EC5DE2" w:rsidRPr="00B37A02" w:rsidRDefault="00BC5BDF" w:rsidP="00790562">
      <w:pPr>
        <w:pStyle w:val="BodyText"/>
        <w:keepNext/>
        <w:keepLines/>
        <w:widowControl w:val="0"/>
        <w:spacing w:after="0"/>
        <w:rPr>
          <w:rFonts w:ascii="Times New Roman" w:hAnsi="Times New Roman"/>
          <w:sz w:val="24"/>
          <w:szCs w:val="24"/>
        </w:rPr>
      </w:pPr>
      <w:r w:rsidRPr="00B37A02">
        <w:rPr>
          <w:rFonts w:ascii="Times New Roman" w:hAnsi="Times New Roman"/>
          <w:sz w:val="24"/>
        </w:rPr>
        <w:lastRenderedPageBreak/>
        <w:t>Izglītības pārtraukšana ir papildu risks, kam ir pakļauti ielas bērni, bēguļojošie bērni un no mājām izmestie jaunieši. Arī piekļuve veselības aprūpei sagādā grūtības, jo viņiem nav dokumentu un viņi nav pietiekami informēti par veselības aprūpes pieejamību. Nepietiekami informēta ir lielākā daļa to jauniešu bezpajumtnieku, kuri ir ieceļojuši ES no valstīm, kas nav ES dalībvalstis.</w:t>
      </w:r>
      <w:r w:rsidRPr="00B37A02">
        <w:rPr>
          <w:rStyle w:val="FootnoteReference"/>
          <w:rFonts w:ascii="Times New Roman" w:hAnsi="Times New Roman"/>
          <w:sz w:val="24"/>
          <w:szCs w:val="24"/>
        </w:rPr>
        <w:footnoteReference w:id="42"/>
      </w:r>
      <w:r w:rsidRPr="00B37A02">
        <w:rPr>
          <w:rFonts w:ascii="Times New Roman" w:hAnsi="Times New Roman"/>
          <w:sz w:val="24"/>
        </w:rPr>
        <w:t xml:space="preserve"> Nepavadīti bērni bezpajumtnieki ir pakļauti arī augstam riskam kļūt par noziedzības upuriem, piemēram, cilvēku tirdzniecības upuriem.</w:t>
      </w:r>
      <w:r w:rsidRPr="00B37A02">
        <w:rPr>
          <w:rStyle w:val="FootnoteReference"/>
          <w:rFonts w:ascii="Times New Roman" w:hAnsi="Times New Roman"/>
          <w:sz w:val="24"/>
          <w:szCs w:val="24"/>
        </w:rPr>
        <w:footnoteReference w:id="43"/>
      </w:r>
      <w:r w:rsidRPr="00B37A02">
        <w:rPr>
          <w:rFonts w:ascii="Times New Roman" w:hAnsi="Times New Roman"/>
          <w:sz w:val="24"/>
        </w:rPr>
        <w:t xml:space="preserve"> Neaizsargāti bērni un nepavadīti nepilngadīgie joprojām ir pakļauti augstākam cilvēku tirdzniecības un ekspluatācijas riskam migrācijas ceļos uz ES un ES teritorijā.</w:t>
      </w:r>
    </w:p>
    <w:p w14:paraId="229F7A9A" w14:textId="77777777" w:rsidR="00B64624" w:rsidRPr="00B37A02" w:rsidRDefault="00B64624" w:rsidP="00C97F66">
      <w:pPr>
        <w:pStyle w:val="Heading2"/>
        <w:keepNext w:val="0"/>
        <w:keepLines w:val="0"/>
        <w:widowControl w:val="0"/>
        <w:spacing w:before="0" w:line="240" w:lineRule="auto"/>
        <w:jc w:val="both"/>
        <w:rPr>
          <w:rFonts w:cs="Times New Roman"/>
          <w:sz w:val="24"/>
          <w:szCs w:val="28"/>
        </w:rPr>
      </w:pPr>
      <w:bookmarkStart w:id="31" w:name="_Toc63692742"/>
      <w:bookmarkStart w:id="32" w:name="_Toc63712825"/>
      <w:bookmarkStart w:id="33" w:name="_Toc63850057"/>
      <w:bookmarkStart w:id="34" w:name="_Toc63850275"/>
      <w:bookmarkStart w:id="35" w:name="_Toc63862416"/>
      <w:bookmarkStart w:id="36" w:name="_Toc64476326"/>
    </w:p>
    <w:p w14:paraId="2F8AFAAA" w14:textId="73E25BFA" w:rsidR="00EC5DE2" w:rsidRPr="00B37A02" w:rsidRDefault="00B64624" w:rsidP="00C97F66">
      <w:pPr>
        <w:pStyle w:val="Heading2"/>
        <w:keepNext w:val="0"/>
        <w:keepLines w:val="0"/>
        <w:widowControl w:val="0"/>
        <w:spacing w:before="0" w:line="240" w:lineRule="auto"/>
        <w:jc w:val="both"/>
        <w:rPr>
          <w:rFonts w:cs="Times New Roman"/>
          <w:sz w:val="24"/>
          <w:szCs w:val="28"/>
        </w:rPr>
      </w:pPr>
      <w:r w:rsidRPr="00B37A02">
        <w:rPr>
          <w:rFonts w:cs="Times New Roman"/>
          <w:sz w:val="24"/>
        </w:rPr>
        <w:t>2.3. Bērni ar invaliditāti</w:t>
      </w:r>
      <w:bookmarkEnd w:id="31"/>
      <w:bookmarkEnd w:id="32"/>
      <w:bookmarkEnd w:id="33"/>
      <w:bookmarkEnd w:id="34"/>
      <w:bookmarkEnd w:id="35"/>
      <w:bookmarkEnd w:id="36"/>
    </w:p>
    <w:p w14:paraId="106C5F4B" w14:textId="77777777" w:rsidR="00C97F66" w:rsidRPr="00B37A02" w:rsidRDefault="00C97F66" w:rsidP="00C97F66">
      <w:pPr>
        <w:pStyle w:val="BodyText"/>
        <w:widowControl w:val="0"/>
        <w:spacing w:after="0"/>
        <w:rPr>
          <w:rFonts w:ascii="Times New Roman" w:hAnsi="Times New Roman"/>
          <w:sz w:val="24"/>
          <w:szCs w:val="24"/>
        </w:rPr>
      </w:pPr>
    </w:p>
    <w:p w14:paraId="1E0D684A" w14:textId="7531BEA9" w:rsidR="00BC5BDF"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Bērni ar invaliditāti</w:t>
      </w:r>
      <w:r w:rsidRPr="00B37A02">
        <w:rPr>
          <w:rFonts w:ascii="Times New Roman" w:hAnsi="Times New Roman"/>
          <w:sz w:val="24"/>
          <w:szCs w:val="24"/>
          <w:vertAlign w:val="superscript"/>
        </w:rPr>
        <w:footnoteReference w:id="44"/>
      </w:r>
      <w:r w:rsidRPr="00B37A02">
        <w:rPr>
          <w:rFonts w:ascii="Times New Roman" w:hAnsi="Times New Roman"/>
          <w:sz w:val="24"/>
        </w:rPr>
        <w:t xml:space="preserve"> saskaras ar konkrētām grūtībām, cīnoties ar sociālo atstumtību, un bieži vien cīnās par tādām pašām iespējām, kādas ir viņu vienaudžiem bez invaliditātes. Vairumā dalībvalstu aptuveni 1 % bērnu (vecumā no 0 līdz 15 gadiem) ir invaliditāte. To bērnu īpatsvars, kuru ierobežojumi ir mazāk nopietni, katrā dalībvalstī ir atšķirīgs. Tas svārstās no mazāk par 2 % Kiprā, Grieķijā un Itālijā līdz vairāk nekā 8 % Igaunijā, Lietuvā, Dānijā un Somijā un 11,4 % Latvijā.</w:t>
      </w:r>
      <w:r w:rsidRPr="00B37A02">
        <w:rPr>
          <w:rStyle w:val="FootnoteReference"/>
          <w:rFonts w:ascii="Times New Roman" w:hAnsi="Times New Roman"/>
          <w:sz w:val="24"/>
          <w:szCs w:val="24"/>
        </w:rPr>
        <w:footnoteReference w:id="45"/>
      </w:r>
    </w:p>
    <w:p w14:paraId="4C1E2A90" w14:textId="77777777" w:rsidR="00C97F66" w:rsidRPr="00B37A02" w:rsidRDefault="00C97F66" w:rsidP="00C97F66">
      <w:pPr>
        <w:pStyle w:val="BodyText"/>
        <w:widowControl w:val="0"/>
        <w:spacing w:after="0"/>
        <w:rPr>
          <w:rFonts w:ascii="Times New Roman" w:hAnsi="Times New Roman"/>
          <w:sz w:val="24"/>
          <w:szCs w:val="24"/>
        </w:rPr>
      </w:pPr>
    </w:p>
    <w:p w14:paraId="28EA582B" w14:textId="49D43A07"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Piekļuve iekļaujošai, kvalitatīvai, pieejamai un vispārējai izglītībai joprojām ir problemātiska daudziem bērniem ar invaliditāti.</w:t>
      </w:r>
      <w:r w:rsidRPr="00B37A02">
        <w:rPr>
          <w:rStyle w:val="FootnoteReference"/>
          <w:rFonts w:ascii="Times New Roman" w:hAnsi="Times New Roman"/>
          <w:sz w:val="24"/>
          <w:szCs w:val="24"/>
        </w:rPr>
        <w:footnoteReference w:id="46"/>
      </w:r>
      <w:r w:rsidRPr="00B37A02">
        <w:rPr>
          <w:rFonts w:ascii="Times New Roman" w:hAnsi="Times New Roman"/>
          <w:sz w:val="24"/>
        </w:rPr>
        <w:t xml:space="preserve"> Pierādījumi liecina par būtiskām atšķirībām starp izglītojamo ar invaliditāti un izglītojamo bez invaliditātes mācību sekmēm. Daudzi izglītojamie ar invaliditāti </w:t>
      </w:r>
      <w:r w:rsidR="00B755CC">
        <w:rPr>
          <w:rFonts w:ascii="Times New Roman" w:hAnsi="Times New Roman"/>
          <w:sz w:val="24"/>
        </w:rPr>
        <w:t>pārtrauc</w:t>
      </w:r>
      <w:r w:rsidRPr="00B37A02">
        <w:rPr>
          <w:rFonts w:ascii="Times New Roman" w:hAnsi="Times New Roman"/>
          <w:sz w:val="24"/>
        </w:rPr>
        <w:t xml:space="preserve"> izglītību un mācības priekšlaicīgi (19,9 %) salīdzinājumā ar audzēkņiem bez invaliditātes (9 %) (dati par 2018. gadu). Eiropas Speciālās un iekļaujošās izglītības aģentūras (turpmāk tekstā – </w:t>
      </w:r>
      <w:r w:rsidRPr="00B37A02">
        <w:rPr>
          <w:rFonts w:ascii="Times New Roman" w:hAnsi="Times New Roman"/>
          <w:i/>
          <w:iCs/>
          <w:sz w:val="24"/>
        </w:rPr>
        <w:t>EASNIE</w:t>
      </w:r>
      <w:r w:rsidRPr="00B37A02">
        <w:rPr>
          <w:rFonts w:ascii="Times New Roman" w:hAnsi="Times New Roman"/>
          <w:sz w:val="24"/>
        </w:rPr>
        <w:t>)</w:t>
      </w:r>
      <w:r w:rsidRPr="00B37A02">
        <w:rPr>
          <w:rStyle w:val="FootnoteReference"/>
          <w:rFonts w:ascii="Times New Roman" w:eastAsiaTheme="majorEastAsia" w:hAnsi="Times New Roman"/>
          <w:sz w:val="24"/>
          <w:szCs w:val="24"/>
        </w:rPr>
        <w:footnoteReference w:id="47"/>
      </w:r>
      <w:r w:rsidRPr="00B37A02">
        <w:rPr>
          <w:rFonts w:ascii="Times New Roman" w:hAnsi="Times New Roman"/>
          <w:sz w:val="24"/>
        </w:rPr>
        <w:t xml:space="preserve"> publicētie statistikas dati par iekļaujošu izglītību liecina, ka iekļaujošu nodarbību</w:t>
      </w:r>
      <w:r w:rsidRPr="00B37A02">
        <w:rPr>
          <w:rFonts w:ascii="Times New Roman" w:eastAsiaTheme="majorEastAsia" w:hAnsi="Times New Roman"/>
          <w:sz w:val="24"/>
          <w:szCs w:val="24"/>
          <w:vertAlign w:val="superscript"/>
        </w:rPr>
        <w:footnoteReference w:id="48"/>
      </w:r>
      <w:r w:rsidRPr="00B37A02">
        <w:rPr>
          <w:rFonts w:ascii="Times New Roman" w:hAnsi="Times New Roman"/>
          <w:sz w:val="24"/>
        </w:rPr>
        <w:t xml:space="preserve"> paredzēšana bērniem saskaņā ar oficiālu lēmumu</w:t>
      </w:r>
      <w:r w:rsidRPr="00B37A02">
        <w:rPr>
          <w:rFonts w:ascii="Times New Roman" w:eastAsiaTheme="majorEastAsia" w:hAnsi="Times New Roman"/>
          <w:sz w:val="24"/>
          <w:szCs w:val="24"/>
          <w:vertAlign w:val="superscript"/>
        </w:rPr>
        <w:footnoteReference w:id="49"/>
      </w:r>
      <w:r w:rsidRPr="00B37A02">
        <w:rPr>
          <w:rFonts w:ascii="Times New Roman" w:hAnsi="Times New Roman"/>
          <w:sz w:val="24"/>
        </w:rPr>
        <w:t xml:space="preserve"> par ĪIV (īpašām izglītības vajadzībām)</w:t>
      </w:r>
      <w:r w:rsidRPr="00B37A02">
        <w:rPr>
          <w:rStyle w:val="FootnoteReference"/>
          <w:rFonts w:ascii="Times New Roman" w:eastAsiaTheme="majorEastAsia" w:hAnsi="Times New Roman"/>
          <w:sz w:val="24"/>
          <w:szCs w:val="24"/>
        </w:rPr>
        <w:footnoteReference w:id="50"/>
      </w:r>
      <w:r w:rsidRPr="00B37A02">
        <w:rPr>
          <w:rFonts w:ascii="Times New Roman" w:hAnsi="Times New Roman"/>
          <w:sz w:val="24"/>
        </w:rPr>
        <w:t xml:space="preserve"> Eiropā nebūt nav izplatīta prakse.</w:t>
      </w:r>
      <w:r w:rsidRPr="00B37A02">
        <w:rPr>
          <w:rStyle w:val="FootnoteReference"/>
          <w:rFonts w:ascii="Times New Roman" w:eastAsiaTheme="majorEastAsia" w:hAnsi="Times New Roman"/>
          <w:sz w:val="24"/>
          <w:szCs w:val="24"/>
        </w:rPr>
        <w:footnoteReference w:id="51"/>
      </w:r>
      <w:r w:rsidRPr="00B37A02">
        <w:rPr>
          <w:rFonts w:ascii="Times New Roman" w:hAnsi="Times New Roman"/>
          <w:sz w:val="24"/>
        </w:rPr>
        <w:t xml:space="preserve"> Turklāt vispārizglītojošās </w:t>
      </w:r>
      <w:r w:rsidRPr="00B37A02">
        <w:rPr>
          <w:rFonts w:ascii="Times New Roman" w:hAnsi="Times New Roman"/>
          <w:sz w:val="24"/>
        </w:rPr>
        <w:lastRenderedPageBreak/>
        <w:t>skolās bieži vien netiek nodrošināta pietiekama piekļuve saistībā ar fizisko vidi un informācijas un komunikāciju tehnoloģijām, tostarp mācību un ar mācībām nesaistītajiem materiāliem un tiešsaistes sistēmām, ko izmanto izglītības mērķiem. Tāpat vispārīgi trūkst skolotāju, kuru specialitāte ir izglītojamo ar invaliditāti izglītošana, turklāt vispārizglītojošo skolu skolotāju vidū kopumā nav pietiekamas izpratnes par bērnu ar invaliditāti dažādajām vajadzībām un nepieciešamību pēc iespējas lielākā mērā tās apmierināt iekļaujošā vidē. ES ir jāsekmē visu skolu aptverošas pieejas, kas paredz iekļaujošas prakses īstenošanu un daudzveidību atbalstošas skolas kultūras radīšanu, tostarp vairojot skolas vadības izpratni, kuras izšķirošo lomu uzsvēra Apvienoto Nāciju Organizācijas Personu ar invaliditāti tiesību komiteja.</w:t>
      </w:r>
      <w:r w:rsidRPr="00B37A02">
        <w:rPr>
          <w:rStyle w:val="FootnoteReference"/>
          <w:rFonts w:ascii="Times New Roman" w:eastAsiaTheme="majorEastAsia" w:hAnsi="Times New Roman"/>
          <w:sz w:val="24"/>
          <w:szCs w:val="24"/>
        </w:rPr>
        <w:footnoteReference w:id="52"/>
      </w:r>
    </w:p>
    <w:p w14:paraId="738243DA" w14:textId="77777777" w:rsidR="00C97F66" w:rsidRPr="00B37A02" w:rsidRDefault="00C97F66" w:rsidP="00C97F66">
      <w:pPr>
        <w:pStyle w:val="BodyText"/>
        <w:widowControl w:val="0"/>
        <w:spacing w:after="0"/>
        <w:rPr>
          <w:rFonts w:ascii="Times New Roman" w:hAnsi="Times New Roman"/>
          <w:sz w:val="24"/>
          <w:szCs w:val="24"/>
        </w:rPr>
      </w:pPr>
    </w:p>
    <w:p w14:paraId="43271BAB" w14:textId="3C53BCE4"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Bērni ar invaliditāti, kuri ir ievietoti aprūpes iestādē, saskaras ar īpaši sarežģītām situācijām, un viņiem var rasties grūtības ar piekļuvi kvalitatīvai izglītībai un veselības aprūpei. Bieži vien dati par šiem bērniem nav iekļauti statistikas datos.</w:t>
      </w:r>
      <w:r w:rsidRPr="00B37A02">
        <w:rPr>
          <w:rStyle w:val="FootnoteReference"/>
          <w:rFonts w:ascii="Times New Roman" w:eastAsiaTheme="majorEastAsia" w:hAnsi="Times New Roman"/>
          <w:sz w:val="24"/>
          <w:szCs w:val="24"/>
        </w:rPr>
        <w:footnoteReference w:id="53"/>
      </w:r>
      <w:r w:rsidRPr="00B37A02">
        <w:rPr>
          <w:rFonts w:ascii="Times New Roman" w:hAnsi="Times New Roman"/>
          <w:sz w:val="24"/>
        </w:rPr>
        <w:t xml:space="preserve"> Dažās valstīs bērni ar invaliditāti tiek ievietoti internātskolās, tādējādi radot sava veida “slēptu” bērnu institucionalizāciju, jo šie dati netiek iekļauti oficiālajos statistikas datos par stacionārā aprūpē esošiem bērniem.</w:t>
      </w:r>
      <w:r w:rsidRPr="00B37A02">
        <w:rPr>
          <w:rStyle w:val="FootnoteReference"/>
          <w:rFonts w:ascii="Times New Roman" w:eastAsiaTheme="majorEastAsia" w:hAnsi="Times New Roman"/>
          <w:sz w:val="24"/>
          <w:szCs w:val="24"/>
        </w:rPr>
        <w:footnoteReference w:id="54"/>
      </w:r>
      <w:r w:rsidRPr="00B37A02">
        <w:rPr>
          <w:rFonts w:ascii="Times New Roman" w:hAnsi="Times New Roman"/>
          <w:sz w:val="24"/>
        </w:rPr>
        <w:t xml:space="preserve"> Turklāt pārāk liels bērnu ar invaliditāti īpatsvars atrodas alternatīvajā aprūpē.</w:t>
      </w:r>
      <w:r w:rsidRPr="00B37A02">
        <w:rPr>
          <w:rStyle w:val="FootnoteReference"/>
          <w:rFonts w:ascii="Times New Roman" w:hAnsi="Times New Roman"/>
          <w:sz w:val="24"/>
          <w:szCs w:val="24"/>
        </w:rPr>
        <w:footnoteReference w:id="55"/>
      </w:r>
    </w:p>
    <w:p w14:paraId="1A4066E9" w14:textId="77777777" w:rsidR="00C97F66" w:rsidRPr="00B37A02" w:rsidRDefault="00C97F66" w:rsidP="00C97F66">
      <w:pPr>
        <w:pStyle w:val="BodyText"/>
        <w:widowControl w:val="0"/>
        <w:spacing w:after="0"/>
        <w:rPr>
          <w:rFonts w:ascii="Times New Roman" w:hAnsi="Times New Roman"/>
          <w:sz w:val="24"/>
          <w:szCs w:val="24"/>
        </w:rPr>
      </w:pPr>
    </w:p>
    <w:p w14:paraId="3B98EFDA" w14:textId="6771F7E8" w:rsidR="00BC5BDF"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Ieinteresētās puses, kuras piedalījās mērķorientētajā apspriedē,</w:t>
      </w:r>
      <w:r w:rsidRPr="00B37A02">
        <w:rPr>
          <w:rFonts w:ascii="Times New Roman" w:hAnsi="Times New Roman"/>
          <w:sz w:val="24"/>
          <w:szCs w:val="24"/>
          <w:vertAlign w:val="superscript"/>
        </w:rPr>
        <w:footnoteReference w:id="56"/>
      </w:r>
      <w:r w:rsidRPr="00B37A02">
        <w:rPr>
          <w:rFonts w:ascii="Times New Roman" w:hAnsi="Times New Roman"/>
          <w:sz w:val="24"/>
        </w:rPr>
        <w:t xml:space="preserve"> izvērtēja visus pakalpojumus, ko aptvers garantija bērniem. Tās uzsvēra divus no šiem pakalpojumiem, kuriem bērniem ar invaliditāti ir visgrūtāk piekļūt, proti, kvalitatīvu izglītību un ārpusskolas nodarbības. Turklāt tieši puse no aptaujātajiem ekspertiem atzina, ka bērniem ar invaliditāti ir ļoti grūti vai drīzāk grūti piekļūt veselības aprūpei. Tas ir liels īpatsvars, ņemot vērā to, ka tieši bērniem ar retām slimībām visbiežāk ir nepieciešams īpašs atbalsts veselības aprūpē. Šiem bērniem ir nepieciešama piekļuve arī atbilstošiem pakalpojumiem saistībā ar rehabilitāciju un habilitāciju, kuriem ir jābūt labi koordinētiem ar izglītību.</w:t>
      </w:r>
    </w:p>
    <w:p w14:paraId="4EC1BC67" w14:textId="77777777" w:rsidR="00B64624" w:rsidRPr="00B37A02" w:rsidRDefault="00B64624" w:rsidP="00C97F66">
      <w:pPr>
        <w:pStyle w:val="BodyText"/>
        <w:widowControl w:val="0"/>
        <w:spacing w:after="0"/>
        <w:rPr>
          <w:rFonts w:ascii="Times New Roman" w:hAnsi="Times New Roman"/>
          <w:sz w:val="24"/>
          <w:szCs w:val="24"/>
        </w:rPr>
      </w:pPr>
    </w:p>
    <w:p w14:paraId="7536563C" w14:textId="57354F6A" w:rsidR="00BC5BDF" w:rsidRPr="00B37A02" w:rsidRDefault="00B64624" w:rsidP="00C97F66">
      <w:pPr>
        <w:pStyle w:val="Heading2"/>
        <w:keepNext w:val="0"/>
        <w:keepLines w:val="0"/>
        <w:widowControl w:val="0"/>
        <w:spacing w:before="0" w:line="240" w:lineRule="auto"/>
        <w:jc w:val="both"/>
        <w:rPr>
          <w:rFonts w:cs="Times New Roman"/>
          <w:sz w:val="24"/>
          <w:szCs w:val="28"/>
        </w:rPr>
      </w:pPr>
      <w:bookmarkStart w:id="37" w:name="_Toc63692743"/>
      <w:bookmarkStart w:id="38" w:name="_Toc63712826"/>
      <w:bookmarkStart w:id="39" w:name="_Toc63850058"/>
      <w:bookmarkStart w:id="40" w:name="_Toc63850276"/>
      <w:bookmarkStart w:id="41" w:name="_Toc63862417"/>
      <w:bookmarkStart w:id="42" w:name="_Toc64476327"/>
      <w:r w:rsidRPr="00B37A02">
        <w:rPr>
          <w:rFonts w:cs="Times New Roman"/>
          <w:sz w:val="24"/>
        </w:rPr>
        <w:t>2.4. Migrantu izcelsmes bērni</w:t>
      </w:r>
      <w:bookmarkEnd w:id="23"/>
      <w:bookmarkEnd w:id="24"/>
      <w:bookmarkEnd w:id="25"/>
      <w:bookmarkEnd w:id="26"/>
      <w:bookmarkEnd w:id="27"/>
      <w:bookmarkEnd w:id="28"/>
      <w:bookmarkEnd w:id="29"/>
      <w:bookmarkEnd w:id="30"/>
      <w:bookmarkEnd w:id="37"/>
      <w:bookmarkEnd w:id="38"/>
      <w:bookmarkEnd w:id="39"/>
      <w:bookmarkEnd w:id="40"/>
      <w:bookmarkEnd w:id="41"/>
      <w:bookmarkEnd w:id="42"/>
    </w:p>
    <w:p w14:paraId="3813E8F8" w14:textId="77777777" w:rsidR="00B64624" w:rsidRPr="00B37A02" w:rsidRDefault="00B64624" w:rsidP="00C97F66">
      <w:pPr>
        <w:spacing w:after="0" w:line="240" w:lineRule="auto"/>
        <w:rPr>
          <w:rFonts w:ascii="Times New Roman" w:hAnsi="Times New Roman" w:cs="Times New Roman"/>
        </w:rPr>
      </w:pPr>
    </w:p>
    <w:p w14:paraId="62DF88B7" w14:textId="77777777"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Migranta statuss vai izcelsme</w:t>
      </w:r>
      <w:r w:rsidRPr="00B37A02">
        <w:rPr>
          <w:rFonts w:ascii="Times New Roman" w:hAnsi="Times New Roman"/>
          <w:sz w:val="24"/>
          <w:szCs w:val="24"/>
          <w:vertAlign w:val="superscript"/>
        </w:rPr>
        <w:footnoteReference w:id="57"/>
      </w:r>
      <w:r w:rsidRPr="00B37A02">
        <w:rPr>
          <w:rFonts w:ascii="Times New Roman" w:hAnsi="Times New Roman"/>
          <w:sz w:val="24"/>
        </w:rPr>
        <w:t xml:space="preserve"> pati par sevi ir saistīta ar zemiem ienākumiem un līdz ar to lielāku nabadzības un sociālās atstumtības risku. Minētais rada papildu izaicinājumus arī bērniem, no kuriem izteiktākie ir stigmatizācija, rasisms un atbalsta tīklu trūkums.</w:t>
      </w:r>
    </w:p>
    <w:p w14:paraId="4FE38518" w14:textId="77777777" w:rsidR="00C97F66" w:rsidRPr="00B37A02" w:rsidRDefault="00C97F66" w:rsidP="00C97F66">
      <w:pPr>
        <w:pStyle w:val="BodyText"/>
        <w:widowControl w:val="0"/>
        <w:spacing w:after="0"/>
        <w:rPr>
          <w:rFonts w:ascii="Times New Roman" w:hAnsi="Times New Roman"/>
          <w:sz w:val="24"/>
          <w:szCs w:val="24"/>
        </w:rPr>
      </w:pPr>
    </w:p>
    <w:p w14:paraId="420E3269" w14:textId="33B8B424" w:rsidR="00EC5DE2" w:rsidRPr="00B37A02" w:rsidRDefault="00BC5BDF" w:rsidP="00790562">
      <w:pPr>
        <w:pStyle w:val="BodyText"/>
        <w:keepNext/>
        <w:keepLines/>
        <w:widowControl w:val="0"/>
        <w:spacing w:after="0"/>
        <w:rPr>
          <w:rFonts w:ascii="Times New Roman" w:hAnsi="Times New Roman"/>
          <w:sz w:val="24"/>
          <w:szCs w:val="24"/>
        </w:rPr>
      </w:pPr>
      <w:r w:rsidRPr="00B37A02">
        <w:rPr>
          <w:rFonts w:ascii="Times New Roman" w:hAnsi="Times New Roman"/>
          <w:sz w:val="24"/>
        </w:rPr>
        <w:lastRenderedPageBreak/>
        <w:t>27 ES dalībvalstīs kopumā 16 miljoniem bērnu ir vecāki, kuri nav ES dalībvalstu pilsoņi vai kuri ir migrantu izcelsmes ES dalībvalstu pilsoņi. Šis rādītājs ir lielāks Vācijā un Francijā (vairāk nekā 3 miljoni katrā no tām), kam seko Itālija un Spānija (vairāk nekā 1 miljons katrā no tām), savukārt pēc tam – Nīderlande, Zviedrija, Beļģija un Austrija. Pārējās 19 dalībvalstīs kopumā dzīvo vienīgi 10 % no 27 ES dalībvalstīs esošajiem migrantu izcelsmes bērniem.</w:t>
      </w:r>
      <w:r w:rsidRPr="00B37A02">
        <w:rPr>
          <w:rStyle w:val="FootnoteReference"/>
          <w:rFonts w:ascii="Times New Roman" w:hAnsi="Times New Roman"/>
          <w:sz w:val="24"/>
          <w:szCs w:val="24"/>
        </w:rPr>
        <w:footnoteReference w:id="58"/>
      </w:r>
    </w:p>
    <w:p w14:paraId="51B355E7" w14:textId="77777777" w:rsidR="00C97F66" w:rsidRPr="00B37A02" w:rsidRDefault="00C97F66" w:rsidP="00C97F66">
      <w:pPr>
        <w:pStyle w:val="BodyText"/>
        <w:widowControl w:val="0"/>
        <w:spacing w:after="0"/>
        <w:rPr>
          <w:rFonts w:ascii="Times New Roman" w:hAnsi="Times New Roman"/>
          <w:sz w:val="24"/>
          <w:szCs w:val="24"/>
        </w:rPr>
      </w:pPr>
    </w:p>
    <w:p w14:paraId="5F29C191" w14:textId="6675D683"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Valodas barjeras ir būtisks šķērslis migrantu izcelsmes bērnu dalībai izglītībā. Arī skolām ir grūti noteikt to jaunpienācēju izglītības līmeni, kuriem nav neviena izglītību apliecinoša dokumenta. Apmeklējot nodarbības, kuru līmenis ir augstāks vai zemāks par bērna spējām, tas bērnā var radīt zemu pašnovērtējumu un vilšanos, kā arī apgrūtināt sociālo integrāciju un labu izglītības rezultātu gūšanu. Turklāt vairumā dalībvalstu veselības aprūpes nodrošināšana migrantu izcelsmes bērniem joprojām ir izaicinājums, lai gan ir ieviesti atbilstoši atbildes pasākumi.</w:t>
      </w:r>
      <w:r w:rsidRPr="00B37A02">
        <w:rPr>
          <w:rStyle w:val="FootnoteReference"/>
          <w:rFonts w:ascii="Times New Roman" w:hAnsi="Times New Roman"/>
          <w:sz w:val="24"/>
          <w:szCs w:val="24"/>
        </w:rPr>
        <w:footnoteReference w:id="59"/>
      </w:r>
    </w:p>
    <w:p w14:paraId="7C8A08B1" w14:textId="77777777" w:rsidR="00C97F66" w:rsidRPr="00B37A02" w:rsidRDefault="00C97F66" w:rsidP="00C97F66">
      <w:pPr>
        <w:pStyle w:val="BodyText"/>
        <w:widowControl w:val="0"/>
        <w:spacing w:after="0"/>
        <w:rPr>
          <w:rFonts w:ascii="Times New Roman" w:hAnsi="Times New Roman"/>
          <w:sz w:val="24"/>
          <w:szCs w:val="24"/>
        </w:rPr>
      </w:pPr>
    </w:p>
    <w:p w14:paraId="06ED8432" w14:textId="67F3517D"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 xml:space="preserve">Kā liecina 2018. gadā īstenotās Starptautiskās skolēnu novērtēšanas programmas (turpmāk tekstā – </w:t>
      </w:r>
      <w:r w:rsidRPr="00B37A02">
        <w:rPr>
          <w:rFonts w:ascii="Times New Roman" w:hAnsi="Times New Roman"/>
          <w:i/>
          <w:iCs/>
          <w:sz w:val="24"/>
        </w:rPr>
        <w:t>PISA</w:t>
      </w:r>
      <w:r w:rsidRPr="00B37A02">
        <w:rPr>
          <w:rFonts w:ascii="Times New Roman" w:hAnsi="Times New Roman"/>
          <w:sz w:val="24"/>
        </w:rPr>
        <w:t>) ietvaros veiktais apsekojums, vairumā apsekoto valstu imigrantu</w:t>
      </w:r>
      <w:r w:rsidRPr="00B37A02">
        <w:rPr>
          <w:rFonts w:ascii="Times New Roman" w:hAnsi="Times New Roman"/>
          <w:sz w:val="24"/>
          <w:szCs w:val="24"/>
          <w:vertAlign w:val="superscript"/>
        </w:rPr>
        <w:footnoteReference w:id="60"/>
      </w:r>
      <w:r w:rsidRPr="00B37A02">
        <w:rPr>
          <w:rFonts w:ascii="Times New Roman" w:hAnsi="Times New Roman"/>
          <w:sz w:val="24"/>
        </w:rPr>
        <w:t xml:space="preserve"> izcelsmes skolēnu vērtējums lasīšanā bija zemāks par vidējiem rezultātiem. ESAO valstīs, kurās 2018. gadā vismaz 5 % skolēnu bija imigrantu izcelsmes bērni, lielākās atšķirības attiecībā uz lasītprasmi starp imigrantu izcelsmes skolēniem un skolēniem bez šādas izcelsmes tika novērotas ES dalībvalstīs: Austrijā, Beļģijā, Dānijā, Somijā, Vācijā, Nīderlandē, Slovēnijā un Zviedrijā. Visās šajās valstīs to skolēnu, kuri nebija imigrantu izcelsmes, lasītprasme salīdzinājumā ar imigrantu izcelsmes skolēniem tika novērtēta par vairāk nekā 60 </w:t>
      </w:r>
      <w:r w:rsidRPr="00B37A02">
        <w:rPr>
          <w:rFonts w:ascii="Times New Roman" w:hAnsi="Times New Roman"/>
          <w:i/>
          <w:iCs/>
          <w:sz w:val="24"/>
        </w:rPr>
        <w:t>PISA</w:t>
      </w:r>
      <w:r w:rsidRPr="00B37A02">
        <w:rPr>
          <w:rFonts w:ascii="Times New Roman" w:hAnsi="Times New Roman"/>
          <w:sz w:val="24"/>
        </w:rPr>
        <w:t xml:space="preserve"> punktiem augstāk. Tomēr deviņās 2018. gadā </w:t>
      </w:r>
      <w:r w:rsidRPr="00B37A02">
        <w:rPr>
          <w:rFonts w:ascii="Times New Roman" w:hAnsi="Times New Roman"/>
          <w:i/>
          <w:iCs/>
          <w:sz w:val="24"/>
        </w:rPr>
        <w:t>PISA</w:t>
      </w:r>
      <w:r w:rsidRPr="00B37A02">
        <w:rPr>
          <w:rFonts w:ascii="Times New Roman" w:hAnsi="Times New Roman"/>
          <w:sz w:val="24"/>
        </w:rPr>
        <w:t xml:space="preserve"> ietvaros apsekotajās valstīs, kuras nebija ES dalībvalstis, imigrantu izcelsmes skolēnu lasītprasme bija labāka vai vismaz tādā pašā līmenī kā viņu vienaudžiem, kuri bija dzimuši attiecīgajā valstī.</w:t>
      </w:r>
      <w:r w:rsidRPr="00B37A02">
        <w:rPr>
          <w:rStyle w:val="FootnoteReference"/>
          <w:rFonts w:ascii="Times New Roman" w:hAnsi="Times New Roman"/>
          <w:sz w:val="24"/>
          <w:szCs w:val="24"/>
        </w:rPr>
        <w:footnoteReference w:id="61"/>
      </w:r>
    </w:p>
    <w:p w14:paraId="25727774" w14:textId="29DB0318" w:rsidR="00BC5BDF"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 xml:space="preserve">Saskaņā ar </w:t>
      </w:r>
      <w:r w:rsidRPr="00B37A02">
        <w:rPr>
          <w:rFonts w:ascii="Times New Roman" w:hAnsi="Times New Roman"/>
          <w:i/>
          <w:iCs/>
          <w:sz w:val="24"/>
        </w:rPr>
        <w:t>PISA</w:t>
      </w:r>
      <w:r w:rsidRPr="00B37A02">
        <w:rPr>
          <w:rFonts w:ascii="Times New Roman" w:hAnsi="Times New Roman"/>
          <w:sz w:val="24"/>
        </w:rPr>
        <w:t xml:space="preserve"> datiem Somijā, Dānijā, Igaunijā, Portugālē un Maltā imigrantu izcelsmes bērni biežāk apmeklēja skolu kopā ar citiem imigrantu izcelsmes bērniem, kas nelabvēlīgi ietekmēja viņu integrāciju uzņemošajā sabiedrībā.</w:t>
      </w:r>
      <w:r w:rsidRPr="00B37A02">
        <w:rPr>
          <w:rFonts w:ascii="Times New Roman" w:hAnsi="Times New Roman"/>
          <w:sz w:val="24"/>
          <w:szCs w:val="24"/>
          <w:vertAlign w:val="superscript"/>
          <w:lang w:bidi="he-IL"/>
        </w:rPr>
        <w:footnoteReference w:id="62"/>
      </w:r>
      <w:r w:rsidRPr="00B37A02">
        <w:rPr>
          <w:rFonts w:ascii="Times New Roman" w:hAnsi="Times New Roman"/>
          <w:sz w:val="24"/>
          <w:vertAlign w:val="superscript"/>
        </w:rPr>
        <w:t xml:space="preserve"> </w:t>
      </w:r>
      <w:r w:rsidRPr="00B37A02">
        <w:rPr>
          <w:rFonts w:ascii="Times New Roman" w:hAnsi="Times New Roman"/>
          <w:sz w:val="24"/>
        </w:rPr>
        <w:t>Neatkarīgi no šīs imigrantu izcelsmes skolēnu koncentrācijas dažās skolās imigrantu izcelsmes skolēni visās ES dalībvalstīs retāk ir apmierināti ar savu dzīvi un skolā biežāk jūtas atstumti salīdzinājumā ar bērniem bez imigrantu izcelsmes.</w:t>
      </w:r>
      <w:r w:rsidRPr="00B37A02">
        <w:rPr>
          <w:rStyle w:val="FootnoteReference"/>
          <w:rFonts w:ascii="Times New Roman" w:hAnsi="Times New Roman"/>
          <w:sz w:val="24"/>
          <w:szCs w:val="24"/>
          <w:lang w:bidi="he-IL"/>
        </w:rPr>
        <w:footnoteReference w:id="63"/>
      </w:r>
      <w:r w:rsidRPr="00B37A02">
        <w:rPr>
          <w:rFonts w:ascii="Times New Roman" w:hAnsi="Times New Roman"/>
          <w:sz w:val="24"/>
        </w:rPr>
        <w:t xml:space="preserve"> Skolēni, kuri ir dzimuši ārpus valsts, kurā viņi dzīvo, salīdzinājumā ar viņu vienaudžiem, kuri ir dzimuši attiecīgajā valstī, ievērojami biežāk p</w:t>
      </w:r>
      <w:r w:rsidR="00AC3221">
        <w:rPr>
          <w:rFonts w:ascii="Times New Roman" w:hAnsi="Times New Roman"/>
          <w:sz w:val="24"/>
        </w:rPr>
        <w:t>ārtrauc</w:t>
      </w:r>
      <w:r w:rsidRPr="00B37A02">
        <w:rPr>
          <w:rFonts w:ascii="Times New Roman" w:hAnsi="Times New Roman"/>
          <w:sz w:val="24"/>
        </w:rPr>
        <w:t xml:space="preserve"> mācības priekšlaicīgi.</w:t>
      </w:r>
      <w:r w:rsidRPr="00B37A02">
        <w:rPr>
          <w:rStyle w:val="FootnoteReference"/>
          <w:rFonts w:ascii="Times New Roman" w:hAnsi="Times New Roman"/>
          <w:sz w:val="24"/>
          <w:szCs w:val="24"/>
        </w:rPr>
        <w:footnoteReference w:id="64"/>
      </w:r>
    </w:p>
    <w:p w14:paraId="7C664F1F" w14:textId="77777777" w:rsidR="00C97F66" w:rsidRPr="00B37A02" w:rsidRDefault="00C97F66" w:rsidP="00C97F66">
      <w:pPr>
        <w:pStyle w:val="BodyText"/>
        <w:widowControl w:val="0"/>
        <w:spacing w:after="0"/>
        <w:rPr>
          <w:rFonts w:ascii="Times New Roman" w:hAnsi="Times New Roman"/>
          <w:sz w:val="24"/>
          <w:szCs w:val="24"/>
        </w:rPr>
      </w:pPr>
    </w:p>
    <w:p w14:paraId="335D685F" w14:textId="0BB6BC66" w:rsidR="00BC5BDF"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 xml:space="preserve">Salīdzinot </w:t>
      </w:r>
      <w:r w:rsidRPr="00B37A02">
        <w:rPr>
          <w:rFonts w:ascii="Times New Roman" w:hAnsi="Times New Roman"/>
          <w:i/>
          <w:iCs/>
          <w:sz w:val="24"/>
        </w:rPr>
        <w:t>PISA</w:t>
      </w:r>
      <w:r w:rsidRPr="00B37A02">
        <w:rPr>
          <w:rFonts w:ascii="Times New Roman" w:hAnsi="Times New Roman"/>
          <w:sz w:val="24"/>
        </w:rPr>
        <w:t xml:space="preserve"> lasītprasmes rezultātus attiecībā uz 15 gadus veciem imigrantu izcelsmes skolēniem no līdzīgas sociālekonomiskās vides, tika secināts, ka skolēni, kuriem bija nodrošināta agrīnā pirmsskolas izglītība un aprūpe (</w:t>
      </w:r>
      <w:r w:rsidRPr="00B37A02">
        <w:rPr>
          <w:rFonts w:ascii="Times New Roman" w:hAnsi="Times New Roman"/>
          <w:i/>
          <w:iCs/>
          <w:sz w:val="24"/>
        </w:rPr>
        <w:t>ECEC</w:t>
      </w:r>
      <w:r w:rsidRPr="00B37A02">
        <w:rPr>
          <w:rFonts w:ascii="Times New Roman" w:hAnsi="Times New Roman"/>
          <w:sz w:val="24"/>
        </w:rPr>
        <w:t xml:space="preserve">), konsekventi ieguva labākus rezultātus. Visā ES izglītības progress, ko nodrošina dalība </w:t>
      </w:r>
      <w:r w:rsidRPr="00B37A02">
        <w:rPr>
          <w:rFonts w:ascii="Times New Roman" w:hAnsi="Times New Roman"/>
          <w:i/>
          <w:iCs/>
          <w:sz w:val="24"/>
        </w:rPr>
        <w:t>ECEC</w:t>
      </w:r>
      <w:r w:rsidRPr="00B37A02">
        <w:rPr>
          <w:rFonts w:ascii="Times New Roman" w:hAnsi="Times New Roman"/>
          <w:sz w:val="24"/>
        </w:rPr>
        <w:t xml:space="preserve">, ir līdzvērtīgs 6 mēnešiem imigrantu izcelsmes bērnam un 18 mēnešiem bērnam bez imigrantu izcelsmes. Tomēr tikai vienā dalībvalstī – Somijā – imigrantu izcelsmes bērni </w:t>
      </w:r>
      <w:r w:rsidRPr="00B37A02">
        <w:rPr>
          <w:rFonts w:ascii="Times New Roman" w:hAnsi="Times New Roman"/>
          <w:i/>
          <w:iCs/>
          <w:sz w:val="24"/>
        </w:rPr>
        <w:t>ECEC</w:t>
      </w:r>
      <w:r w:rsidRPr="00B37A02">
        <w:rPr>
          <w:rFonts w:ascii="Times New Roman" w:hAnsi="Times New Roman"/>
          <w:sz w:val="24"/>
        </w:rPr>
        <w:t xml:space="preserve"> piedalās biežāk nekā bērni bez </w:t>
      </w:r>
      <w:r w:rsidRPr="00B37A02">
        <w:rPr>
          <w:rFonts w:ascii="Times New Roman" w:hAnsi="Times New Roman"/>
          <w:sz w:val="24"/>
        </w:rPr>
        <w:lastRenderedPageBreak/>
        <w:t xml:space="preserve">imigrantu izcelsmes. Visā ES imigrantu izcelsmes bērnu </w:t>
      </w:r>
      <w:r w:rsidRPr="00B37A02">
        <w:rPr>
          <w:rFonts w:ascii="Times New Roman" w:hAnsi="Times New Roman"/>
          <w:i/>
          <w:iCs/>
          <w:sz w:val="24"/>
        </w:rPr>
        <w:t>ECEC</w:t>
      </w:r>
      <w:r w:rsidRPr="00B37A02">
        <w:rPr>
          <w:rFonts w:ascii="Times New Roman" w:hAnsi="Times New Roman"/>
          <w:sz w:val="24"/>
        </w:rPr>
        <w:t xml:space="preserve"> apmeklētības līmenis ir par 4 procentpunktiem zemāks nekā tas ir attiecīgajā valstī dzimušajiem bērniem (77 % visu bērnu imigrantu mājsaimniecībās attiecībā pret 81 % visu attiecīgajā valstī dzimušo bērnu mājsaimniecībās). Slovēnijā un Francijā imigrantu izcelsmes bērnu </w:t>
      </w:r>
      <w:r w:rsidRPr="00B37A02">
        <w:rPr>
          <w:rFonts w:ascii="Times New Roman" w:hAnsi="Times New Roman"/>
          <w:i/>
          <w:iCs/>
          <w:sz w:val="24"/>
        </w:rPr>
        <w:t>ECEC</w:t>
      </w:r>
      <w:r w:rsidRPr="00B37A02">
        <w:rPr>
          <w:rFonts w:ascii="Times New Roman" w:hAnsi="Times New Roman"/>
          <w:sz w:val="24"/>
        </w:rPr>
        <w:t xml:space="preserve"> apmeklētības līmenis ir par vismaz 10 procentpunktiem augstāks nekā bērniem bez imigrantu izcelsmes.</w:t>
      </w:r>
      <w:r w:rsidRPr="00B37A02">
        <w:rPr>
          <w:rStyle w:val="FootnoteReference"/>
          <w:rFonts w:ascii="Times New Roman" w:hAnsi="Times New Roman"/>
          <w:sz w:val="24"/>
          <w:szCs w:val="24"/>
        </w:rPr>
        <w:footnoteReference w:id="65"/>
      </w:r>
    </w:p>
    <w:p w14:paraId="335C4E2F" w14:textId="77777777" w:rsidR="00C97F66" w:rsidRPr="00B37A02" w:rsidRDefault="00C97F66" w:rsidP="00C97F66">
      <w:pPr>
        <w:pStyle w:val="BodyText"/>
        <w:widowControl w:val="0"/>
        <w:spacing w:after="0"/>
        <w:rPr>
          <w:rFonts w:ascii="Times New Roman" w:hAnsi="Times New Roman"/>
          <w:sz w:val="24"/>
          <w:szCs w:val="24"/>
        </w:rPr>
      </w:pPr>
    </w:p>
    <w:p w14:paraId="5A1CB5CB" w14:textId="7BF64FB2"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Attiecībā uz piekļuvi dažādiem pakalpojumiem tiek uzskatīts,</w:t>
      </w:r>
      <w:r w:rsidRPr="00B37A02">
        <w:rPr>
          <w:rFonts w:ascii="Times New Roman" w:hAnsi="Times New Roman"/>
          <w:sz w:val="24"/>
          <w:szCs w:val="24"/>
          <w:vertAlign w:val="superscript"/>
        </w:rPr>
        <w:footnoteReference w:id="66"/>
      </w:r>
      <w:r w:rsidRPr="00B37A02">
        <w:rPr>
          <w:rFonts w:ascii="Times New Roman" w:hAnsi="Times New Roman"/>
          <w:sz w:val="24"/>
        </w:rPr>
        <w:t xml:space="preserve"> ka migrantu izcelsmes bērni saskaras ar līdzīgām grūtībām kā nabadzības riskam vai sociālās atstumtības riskam pakļauti bērni, lai gan viņi saskaras ar īpašiem šķēršļiem, tostarp ļoti augstu stigmatizācijas un rasisma risku, kā arī nepietiekamu atbalsta tīklu un piekļuvi informācijai. Visgrūtāk ir piekļūt pienācīgam mājoklim un kvalitatīvai izglītībai, kam seko piekļuve </w:t>
      </w:r>
      <w:r w:rsidRPr="00B37A02">
        <w:rPr>
          <w:rFonts w:ascii="Times New Roman" w:hAnsi="Times New Roman"/>
          <w:i/>
          <w:iCs/>
          <w:sz w:val="24"/>
        </w:rPr>
        <w:t>ECEC</w:t>
      </w:r>
      <w:r w:rsidRPr="00B37A02">
        <w:rPr>
          <w:rFonts w:ascii="Times New Roman" w:hAnsi="Times New Roman"/>
          <w:sz w:val="24"/>
        </w:rPr>
        <w:t>.</w:t>
      </w:r>
    </w:p>
    <w:p w14:paraId="0B7BBDF2" w14:textId="77777777" w:rsidR="00B64624" w:rsidRPr="00B37A02" w:rsidRDefault="00B64624" w:rsidP="00C97F66">
      <w:pPr>
        <w:pStyle w:val="BodyText"/>
        <w:widowControl w:val="0"/>
        <w:spacing w:after="0"/>
        <w:rPr>
          <w:rFonts w:ascii="Times New Roman" w:hAnsi="Times New Roman"/>
          <w:sz w:val="24"/>
          <w:szCs w:val="24"/>
        </w:rPr>
      </w:pPr>
    </w:p>
    <w:p w14:paraId="252B4C61" w14:textId="180B3AB8" w:rsidR="00B64624" w:rsidRPr="00B37A02" w:rsidRDefault="00CA35DB" w:rsidP="00C97F66">
      <w:pPr>
        <w:spacing w:after="0" w:line="240" w:lineRule="auto"/>
        <w:rPr>
          <w:rFonts w:ascii="Times New Roman" w:eastAsiaTheme="majorEastAsia" w:hAnsi="Times New Roman" w:cs="Times New Roman"/>
          <w:color w:val="2E74B5" w:themeColor="accent1" w:themeShade="BF"/>
          <w:sz w:val="24"/>
          <w:szCs w:val="28"/>
        </w:rPr>
      </w:pPr>
      <w:r w:rsidRPr="00B37A02">
        <w:rPr>
          <w:rFonts w:ascii="Times New Roman" w:hAnsi="Times New Roman" w:cs="Times New Roman"/>
          <w:color w:val="2E74B5" w:themeColor="accent1" w:themeShade="BF"/>
          <w:sz w:val="24"/>
        </w:rPr>
        <w:t>2.5. Bērni ar minoritāšu rasi vai etnisko piederību</w:t>
      </w:r>
    </w:p>
    <w:p w14:paraId="01D85720" w14:textId="77777777" w:rsidR="00CA35DB" w:rsidRPr="00B37A02" w:rsidRDefault="00CA35DB" w:rsidP="00C97F66">
      <w:pPr>
        <w:spacing w:after="0" w:line="240" w:lineRule="auto"/>
        <w:rPr>
          <w:rFonts w:ascii="Times New Roman" w:hAnsi="Times New Roman" w:cs="Times New Roman"/>
        </w:rPr>
      </w:pPr>
    </w:p>
    <w:p w14:paraId="31750E28" w14:textId="77777777"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Diskriminācija un aizspriedumi pret minoritātēm ES joprojām tieši ietekmē bērnus ar minoritāšu rasi vai etnisko piederību. Kā liecina ES Pamattiesību aģentūras</w:t>
      </w:r>
      <w:r w:rsidRPr="00B37A02">
        <w:rPr>
          <w:rStyle w:val="FootnoteReference"/>
          <w:rFonts w:ascii="Times New Roman" w:hAnsi="Times New Roman"/>
          <w:sz w:val="24"/>
          <w:szCs w:val="24"/>
        </w:rPr>
        <w:footnoteReference w:id="67"/>
      </w:r>
      <w:r w:rsidRPr="00B37A02">
        <w:rPr>
          <w:rFonts w:ascii="Times New Roman" w:hAnsi="Times New Roman"/>
          <w:sz w:val="24"/>
        </w:rPr>
        <w:t xml:space="preserve"> ziņojumi, katrs piektais afrikāņu izcelsmes apsekojuma respondents (21 %) piecu gadu laikā pirms apsekojuma veikšanas ir izjutis rasu diskrimināciju saistībā ar piekļuvi mājoklim.</w:t>
      </w:r>
      <w:r w:rsidRPr="00B37A02">
        <w:rPr>
          <w:rStyle w:val="FootnoteReference"/>
          <w:rFonts w:ascii="Times New Roman" w:hAnsi="Times New Roman"/>
          <w:sz w:val="24"/>
          <w:szCs w:val="24"/>
        </w:rPr>
        <w:footnoteReference w:id="68"/>
      </w:r>
      <w:r w:rsidRPr="00B37A02">
        <w:rPr>
          <w:rFonts w:ascii="Times New Roman" w:hAnsi="Times New Roman"/>
          <w:sz w:val="24"/>
        </w:rPr>
        <w:t xml:space="preserve"> Saskaņā ar respondentu apgalvojumiem vislielākā diskriminācija saistībā ar piekļuvi mājoklim ir novērojama Itālijā un Austrijā (to norādīja 39 % apsekojuma respondentu katrā valstī), kam seko Luksemburga (36 %) un Vācija (33 %).</w:t>
      </w:r>
      <w:r w:rsidRPr="00B37A02">
        <w:rPr>
          <w:rStyle w:val="FootnoteReference"/>
          <w:rFonts w:ascii="Times New Roman" w:hAnsi="Times New Roman"/>
          <w:sz w:val="24"/>
          <w:szCs w:val="24"/>
        </w:rPr>
        <w:footnoteReference w:id="69"/>
      </w:r>
      <w:r w:rsidRPr="00B37A02">
        <w:rPr>
          <w:rFonts w:ascii="Times New Roman" w:hAnsi="Times New Roman"/>
          <w:sz w:val="24"/>
        </w:rPr>
        <w:t xml:space="preserve"> </w:t>
      </w:r>
      <w:r w:rsidRPr="00B37A02">
        <w:rPr>
          <w:rFonts w:ascii="Times New Roman" w:hAnsi="Times New Roman"/>
          <w:i/>
          <w:iCs/>
          <w:sz w:val="24"/>
        </w:rPr>
        <w:t>EU-MIDIS II</w:t>
      </w:r>
      <w:r w:rsidRPr="00B37A02">
        <w:rPr>
          <w:rFonts w:ascii="Times New Roman" w:hAnsi="Times New Roman"/>
          <w:sz w:val="24"/>
        </w:rPr>
        <w:t xml:space="preserve"> apsekojumā bija aplūkota arī diskriminējoša rīcība saskarsmē ar skolas vadību, kad: i) tiek liegta bērna uzņemšana skolā; ii) vecāki tiek lūgti vest bērnu uz citu skolu vai iii) bērns nonāk klasē vai programmā, kuras līmenis ir zemāks par bērna zināšanu līmeni. Ar katru no šīm situācijām ir saskārušies aptuveni 2 % vecāku vai aizbildņu, savukārt aptuveni 4 % visu vecāku/aizbildņu ar minoritāšu etnisko piederību/rasi atsaucās uz vismaz vienu no trim minētajām situācijām. Apsekojumā vecākiem vai aizbildņiem tika jautāts, vai viņu bērni pēdējo 12 mēnešu laikā pirms apsekojuma veikšanas bija saskārušies ar rasistisku attieksmi, tostarp uzmākšanos, iebiedēšanu, atstumtību vai vardarbību. Kopumā no 1745 afrikāņu izcelsmes respondentiem (bērna vecākiem vai aizbildņiem, vai arī pašiem bērniem) 18 % apgalvoja, ka viņi vai viņu bērni bija piedzīvojuši vienu vai vairākus no septiņiem dažādiem rasistiskas uzmākšanās vai vardarbības veidiem. Vecāki Somijā (45 %), Austrijā (42 %) un Vācijā (41 %) biežāk atsaucās uz rasistisku uzmākšanos viņu bērniem un rasu diskrimināciju skolā.</w:t>
      </w:r>
      <w:r w:rsidRPr="00B37A02">
        <w:rPr>
          <w:rStyle w:val="FootnoteReference"/>
          <w:rFonts w:ascii="Times New Roman" w:hAnsi="Times New Roman"/>
          <w:sz w:val="24"/>
          <w:szCs w:val="24"/>
        </w:rPr>
        <w:footnoteReference w:id="70"/>
      </w:r>
    </w:p>
    <w:p w14:paraId="0FDDF9DB" w14:textId="77777777" w:rsidR="00C97F66" w:rsidRPr="00B37A02" w:rsidRDefault="00C97F66" w:rsidP="00C97F66">
      <w:pPr>
        <w:pStyle w:val="BodyText"/>
        <w:widowControl w:val="0"/>
        <w:spacing w:after="0"/>
        <w:rPr>
          <w:rFonts w:ascii="Times New Roman" w:hAnsi="Times New Roman"/>
          <w:sz w:val="24"/>
          <w:szCs w:val="24"/>
        </w:rPr>
      </w:pPr>
    </w:p>
    <w:p w14:paraId="02DD61AA" w14:textId="773037EA" w:rsidR="00BC5BDF"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Īpaši satraucoša ir situācija saistībā ar romu bērniem, kas ir vislielākā etnisko minoritāšu grupa Eiropā.</w:t>
      </w:r>
      <w:r w:rsidRPr="00B37A02">
        <w:rPr>
          <w:rFonts w:ascii="Times New Roman" w:hAnsi="Times New Roman"/>
          <w:sz w:val="24"/>
          <w:szCs w:val="24"/>
          <w:vertAlign w:val="superscript"/>
        </w:rPr>
        <w:footnoteReference w:id="71"/>
      </w:r>
      <w:r w:rsidRPr="00B37A02">
        <w:rPr>
          <w:rFonts w:ascii="Times New Roman" w:hAnsi="Times New Roman"/>
          <w:sz w:val="24"/>
        </w:rPr>
        <w:t xml:space="preserve"> Dažas dalībvalstis, proti, Rumānija un Bulgārija (bet arī Slovākija, Ungārija, Čehija </w:t>
      </w:r>
      <w:r w:rsidRPr="00B37A02">
        <w:rPr>
          <w:rFonts w:ascii="Times New Roman" w:hAnsi="Times New Roman"/>
          <w:sz w:val="24"/>
        </w:rPr>
        <w:lastRenderedPageBreak/>
        <w:t>un Horvātija), saskaras ar nopietnām problēmām saistībā ar lielāku romu grupu diskrimināciju un atstumšanu.</w:t>
      </w:r>
      <w:r w:rsidRPr="00B37A02">
        <w:rPr>
          <w:rStyle w:val="FootnoteReference"/>
          <w:rFonts w:ascii="Times New Roman" w:hAnsi="Times New Roman"/>
          <w:sz w:val="24"/>
          <w:szCs w:val="24"/>
          <w:lang w:bidi="en-GB"/>
        </w:rPr>
        <w:footnoteReference w:id="72"/>
      </w:r>
      <w:r w:rsidRPr="00B37A02">
        <w:rPr>
          <w:rFonts w:ascii="Times New Roman" w:hAnsi="Times New Roman"/>
          <w:sz w:val="24"/>
        </w:rPr>
        <w:t xml:space="preserve"> </w:t>
      </w:r>
      <w:bookmarkStart w:id="43" w:name="_Ref5983132"/>
      <w:r w:rsidRPr="00B37A02">
        <w:rPr>
          <w:rFonts w:ascii="Times New Roman" w:hAnsi="Times New Roman"/>
          <w:sz w:val="24"/>
        </w:rPr>
        <w:t>Vairumā dalībvalstu, kurās ir liels romu iedzīvotāju skaits, romu bērni divreiz biežāk saskaras ar nepietiekamu ienākumu radītu nabadzību nekā viņu vienaudži, kas nav romi. Aptuveni 60 % romu bērnu saskaras ar smagu materiālo nenodrošinātību, savukārt 85 % ir pakļauti nabadzības riskam.</w:t>
      </w:r>
      <w:r w:rsidRPr="00B37A02">
        <w:rPr>
          <w:rStyle w:val="FootnoteReference"/>
          <w:rFonts w:ascii="Times New Roman" w:hAnsi="Times New Roman"/>
          <w:sz w:val="24"/>
          <w:szCs w:val="24"/>
        </w:rPr>
        <w:footnoteReference w:id="73"/>
      </w:r>
      <w:r w:rsidRPr="00B37A02">
        <w:rPr>
          <w:rFonts w:ascii="Times New Roman" w:hAnsi="Times New Roman"/>
          <w:sz w:val="24"/>
        </w:rPr>
        <w:t xml:space="preserve"> </w:t>
      </w:r>
      <w:bookmarkEnd w:id="43"/>
      <w:r w:rsidRPr="00B37A02">
        <w:rPr>
          <w:rFonts w:ascii="Times New Roman" w:hAnsi="Times New Roman"/>
          <w:sz w:val="24"/>
        </w:rPr>
        <w:t>2016. gadā 78 % romu, kuri tika apsekoti deviņās dalībvalstīs,</w:t>
      </w:r>
      <w:r w:rsidRPr="00B37A02">
        <w:rPr>
          <w:rFonts w:ascii="Times New Roman" w:hAnsi="Times New Roman"/>
          <w:sz w:val="24"/>
          <w:szCs w:val="24"/>
          <w:vertAlign w:val="superscript"/>
        </w:rPr>
        <w:footnoteReference w:id="74"/>
      </w:r>
      <w:r w:rsidRPr="00B37A02">
        <w:rPr>
          <w:rFonts w:ascii="Times New Roman" w:hAnsi="Times New Roman"/>
          <w:sz w:val="24"/>
        </w:rPr>
        <w:t xml:space="preserve"> un 2019. gadā 48 % romu un klejotāju, kuri tika apsekoti citās sešās dalībvalstīs,</w:t>
      </w:r>
      <w:r w:rsidRPr="00B37A02">
        <w:rPr>
          <w:rFonts w:ascii="Times New Roman" w:hAnsi="Times New Roman"/>
          <w:sz w:val="24"/>
          <w:szCs w:val="24"/>
          <w:vertAlign w:val="superscript"/>
        </w:rPr>
        <w:footnoteReference w:id="75"/>
      </w:r>
      <w:r w:rsidRPr="00B37A02">
        <w:rPr>
          <w:rFonts w:ascii="Times New Roman" w:hAnsi="Times New Roman"/>
          <w:sz w:val="24"/>
        </w:rPr>
        <w:t xml:space="preserve"> dzīvoja pārapdzīvotās mājsaimniecībās. To cilvēku īpatsvars, kuri dzīvo mājsaimniecībās bez ūdensvada mājoklī, bija attiecīgi 30 % (deviņās dalībvalstīs apsekoto iedzīvotāju grupā) un 9 % (sešās dalībvalstīs apsekoto iedzīvotāju grupā).</w:t>
      </w:r>
    </w:p>
    <w:p w14:paraId="5B1C69CD" w14:textId="77777777" w:rsidR="00C97F66" w:rsidRPr="00B37A02" w:rsidRDefault="00C97F66" w:rsidP="00C97F66">
      <w:pPr>
        <w:pStyle w:val="BodyText"/>
        <w:widowControl w:val="0"/>
        <w:spacing w:after="0"/>
        <w:rPr>
          <w:rFonts w:ascii="Times New Roman" w:hAnsi="Times New Roman"/>
          <w:sz w:val="24"/>
          <w:szCs w:val="24"/>
        </w:rPr>
      </w:pPr>
    </w:p>
    <w:p w14:paraId="01F878A0" w14:textId="6E152CF7" w:rsidR="00BC5BDF"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Reģionos ar lielu romu iedzīvotāju skaitu joprojām ir grūti nodrošināt efektīvu vienlīdzīgu piekļuvi iekļaujošai, nenodalošai vispārējai izglītībai un mācībām, kā arī atstumtu romu bērnu agrīnai pirmsskolas izglītībai un aprūpei.</w:t>
      </w:r>
      <w:r w:rsidRPr="00B37A02">
        <w:rPr>
          <w:rFonts w:ascii="Times New Roman" w:hAnsi="Times New Roman"/>
          <w:sz w:val="24"/>
          <w:szCs w:val="24"/>
          <w:vertAlign w:val="superscript"/>
        </w:rPr>
        <w:footnoteReference w:id="76"/>
      </w:r>
      <w:r w:rsidRPr="00B37A02">
        <w:rPr>
          <w:rFonts w:ascii="Times New Roman" w:hAnsi="Times New Roman"/>
          <w:sz w:val="24"/>
        </w:rPr>
        <w:t xml:space="preserve"> Šajos reģionos ir grūti nodrošināt arī mērķorientētu papildu atbalstu integrētās daudzveidīgās klasēs. Kopš Covid-19 pandēmijas uzliesmojuma daudzi romu bērni no attālām un atstumtām kopienām ir bijuši neizdevīgākā situācijā, jo viņiem trūkst piekļuves internetam un IT aprīkojumam, kas nepieciešams, lai piedalītos </w:t>
      </w:r>
      <w:r w:rsidR="00E005B7">
        <w:rPr>
          <w:rFonts w:ascii="Times New Roman" w:hAnsi="Times New Roman"/>
          <w:sz w:val="24"/>
        </w:rPr>
        <w:t>attālinātajās mācībās</w:t>
      </w:r>
      <w:r w:rsidRPr="00B37A02">
        <w:rPr>
          <w:rFonts w:ascii="Times New Roman" w:hAnsi="Times New Roman"/>
          <w:sz w:val="24"/>
        </w:rPr>
        <w:t>. Tas ir palielinājis risku, ka romu bērni pamet mācības vai atpaliek no mācībām.</w:t>
      </w:r>
      <w:r w:rsidRPr="00B37A02">
        <w:rPr>
          <w:rStyle w:val="FootnoteReference"/>
          <w:rFonts w:ascii="Times New Roman" w:hAnsi="Times New Roman"/>
          <w:sz w:val="24"/>
          <w:szCs w:val="24"/>
        </w:rPr>
        <w:footnoteReference w:id="77"/>
      </w:r>
      <w:r w:rsidRPr="00B37A02">
        <w:rPr>
          <w:rFonts w:ascii="Times New Roman" w:hAnsi="Times New Roman"/>
          <w:sz w:val="24"/>
        </w:rPr>
        <w:t xml:space="preserve"> Romu bērnu izglītības nodalīšana joprojām ir izaicinājums, ņemot vērā to romu bērnu pieaugošo īpatsvaru (44 %), kas apmeklē skolas, kurās “vairums skolēnu vai visi skolēni ir romu tautības pārstāvji”.</w:t>
      </w:r>
      <w:r w:rsidRPr="00B37A02">
        <w:rPr>
          <w:rStyle w:val="FootnoteReference"/>
          <w:rFonts w:ascii="Times New Roman" w:hAnsi="Times New Roman"/>
          <w:sz w:val="24"/>
          <w:szCs w:val="24"/>
        </w:rPr>
        <w:footnoteReference w:id="78"/>
      </w:r>
      <w:r w:rsidRPr="00B37A02">
        <w:rPr>
          <w:rFonts w:ascii="Times New Roman" w:hAnsi="Times New Roman"/>
          <w:sz w:val="24"/>
        </w:rPr>
        <w:t xml:space="preserve"> 2016. gadā visā Eiropā skolu neapmeklēja 10 % no romu bērniem obligātajā skolas vecumā. Grieķijā šis īpatsvars sasniedza 31 %, savukārt Rumānijā – 23 %. Deviņās no apsekotajām dalībvalstīm to bērnu īpatsvars, kuri priekšlaicīgi p</w:t>
      </w:r>
      <w:r w:rsidR="007A01E2">
        <w:rPr>
          <w:rFonts w:ascii="Times New Roman" w:hAnsi="Times New Roman"/>
          <w:sz w:val="24"/>
        </w:rPr>
        <w:t>ārtrauc</w:t>
      </w:r>
      <w:r w:rsidRPr="00B37A02">
        <w:rPr>
          <w:rFonts w:ascii="Times New Roman" w:hAnsi="Times New Roman"/>
          <w:sz w:val="24"/>
        </w:rPr>
        <w:t xml:space="preserve"> izglītību un mācības, bija ļoti augsts, proti, no 57 % līdz 92 %.</w:t>
      </w:r>
      <w:r w:rsidRPr="00B37A02">
        <w:rPr>
          <w:rFonts w:ascii="Times New Roman" w:hAnsi="Times New Roman"/>
          <w:sz w:val="24"/>
          <w:szCs w:val="24"/>
          <w:vertAlign w:val="superscript"/>
        </w:rPr>
        <w:footnoteReference w:id="79"/>
      </w:r>
    </w:p>
    <w:p w14:paraId="0522EC9E" w14:textId="77777777" w:rsidR="00B64624" w:rsidRPr="00B37A02" w:rsidRDefault="00B64624" w:rsidP="00C97F66">
      <w:pPr>
        <w:pStyle w:val="BodyText"/>
        <w:widowControl w:val="0"/>
        <w:spacing w:after="0"/>
        <w:rPr>
          <w:rFonts w:ascii="Times New Roman" w:hAnsi="Times New Roman"/>
          <w:sz w:val="24"/>
          <w:szCs w:val="24"/>
        </w:rPr>
      </w:pPr>
    </w:p>
    <w:p w14:paraId="343838A4" w14:textId="1E7055C2" w:rsidR="00BC5BDF" w:rsidRPr="00B37A02" w:rsidRDefault="00B64624" w:rsidP="00C97F66">
      <w:pPr>
        <w:pStyle w:val="Heading2"/>
        <w:keepNext w:val="0"/>
        <w:keepLines w:val="0"/>
        <w:widowControl w:val="0"/>
        <w:spacing w:before="0" w:line="240" w:lineRule="auto"/>
        <w:jc w:val="both"/>
        <w:rPr>
          <w:rFonts w:cs="Times New Roman"/>
          <w:sz w:val="24"/>
          <w:szCs w:val="28"/>
        </w:rPr>
      </w:pPr>
      <w:bookmarkStart w:id="44" w:name="_Toc54363161"/>
      <w:bookmarkStart w:id="45" w:name="_Toc56153634"/>
      <w:bookmarkStart w:id="46" w:name="_Toc55633707"/>
      <w:bookmarkStart w:id="47" w:name="_Toc61713358"/>
      <w:bookmarkStart w:id="48" w:name="_Toc61856800"/>
      <w:bookmarkStart w:id="49" w:name="_Toc62486976"/>
      <w:bookmarkStart w:id="50" w:name="_Toc62823378"/>
      <w:bookmarkStart w:id="51" w:name="_Toc62823466"/>
      <w:bookmarkStart w:id="52" w:name="_Toc62833094"/>
      <w:bookmarkStart w:id="53" w:name="_Toc62841447"/>
      <w:bookmarkStart w:id="54" w:name="_Toc62942366"/>
      <w:bookmarkStart w:id="55" w:name="_Toc63178087"/>
      <w:bookmarkStart w:id="56" w:name="_Toc63258840"/>
      <w:bookmarkStart w:id="57" w:name="_Toc63269634"/>
      <w:bookmarkStart w:id="58" w:name="_Toc63692745"/>
      <w:bookmarkStart w:id="59" w:name="_Toc63712828"/>
      <w:bookmarkStart w:id="60" w:name="_Toc63850060"/>
      <w:bookmarkStart w:id="61" w:name="_Toc63850278"/>
      <w:bookmarkStart w:id="62" w:name="_Toc63862419"/>
      <w:bookmarkStart w:id="63" w:name="_Toc64476329"/>
      <w:r w:rsidRPr="00B37A02">
        <w:rPr>
          <w:rFonts w:cs="Times New Roman"/>
          <w:sz w:val="24"/>
        </w:rPr>
        <w:t>2.6. Alternatīvajā aprūpē esoši bērni</w:t>
      </w:r>
      <w:bookmarkStart w:id="64" w:name="_Toc63355434"/>
      <w:bookmarkStart w:id="65" w:name="_Toc63355433"/>
      <w:bookmarkStart w:id="66" w:name="_Toc63355432"/>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44D631D2" w14:textId="77777777" w:rsidR="00B64624" w:rsidRPr="00B37A02" w:rsidRDefault="00B64624" w:rsidP="00C97F66">
      <w:pPr>
        <w:spacing w:after="0" w:line="240" w:lineRule="auto"/>
        <w:rPr>
          <w:rFonts w:ascii="Times New Roman" w:hAnsi="Times New Roman" w:cs="Times New Roman"/>
        </w:rPr>
      </w:pPr>
    </w:p>
    <w:p w14:paraId="4C8477CE" w14:textId="77777777" w:rsidR="00EC5DE2" w:rsidRPr="00B37A02" w:rsidRDefault="00BC5BDF" w:rsidP="00790562">
      <w:pPr>
        <w:pStyle w:val="BodyText"/>
        <w:spacing w:after="0"/>
        <w:rPr>
          <w:rFonts w:ascii="Times New Roman" w:hAnsi="Times New Roman"/>
          <w:sz w:val="24"/>
          <w:szCs w:val="24"/>
        </w:rPr>
      </w:pPr>
      <w:r w:rsidRPr="00B37A02">
        <w:rPr>
          <w:rFonts w:ascii="Times New Roman" w:hAnsi="Times New Roman"/>
          <w:sz w:val="24"/>
        </w:rPr>
        <w:t>Alternatīvā aprūpe var izpausties kā: i) neformāla aprūpe ģimenē, ko nodrošina radinieki, kuri nav vecāki; ii) aprūpe audžuģimenē vai iii) institucionāla aprūpe.</w:t>
      </w:r>
      <w:r w:rsidRPr="00B37A02">
        <w:rPr>
          <w:rStyle w:val="FootnoteReference"/>
          <w:rFonts w:ascii="Times New Roman" w:hAnsi="Times New Roman"/>
          <w:sz w:val="24"/>
          <w:szCs w:val="24"/>
        </w:rPr>
        <w:footnoteReference w:id="80"/>
      </w:r>
      <w:r w:rsidRPr="00B37A02">
        <w:rPr>
          <w:rFonts w:ascii="Times New Roman" w:hAnsi="Times New Roman"/>
          <w:sz w:val="24"/>
        </w:rPr>
        <w:t xml:space="preserve"> Dati par alternatīvajā aprūpē esošo bērnu skaitu nav pilnīgi, un tos ir grūti salīdzināt ar dažādu dalībvalstu datiem. </w:t>
      </w:r>
      <w:r w:rsidRPr="00B37A02">
        <w:rPr>
          <w:rFonts w:ascii="Times New Roman" w:hAnsi="Times New Roman"/>
          <w:sz w:val="24"/>
        </w:rPr>
        <w:lastRenderedPageBreak/>
        <w:t>Aptuvenais alternatīvajā aprūpē esošo bērnu skaits ES dalībvalstīs būtiski atšķiras, tam svārstoties no vismaz 350 000</w:t>
      </w:r>
      <w:r w:rsidRPr="00B37A02">
        <w:rPr>
          <w:rFonts w:ascii="Times New Roman" w:hAnsi="Times New Roman"/>
          <w:sz w:val="24"/>
          <w:szCs w:val="24"/>
          <w:vertAlign w:val="superscript"/>
        </w:rPr>
        <w:footnoteReference w:id="81"/>
      </w:r>
      <w:r w:rsidRPr="00B37A02">
        <w:rPr>
          <w:rFonts w:ascii="Times New Roman" w:hAnsi="Times New Roman"/>
          <w:sz w:val="24"/>
        </w:rPr>
        <w:t xml:space="preserve"> līdz aptuveni 1 000 000 bērnu.</w:t>
      </w:r>
      <w:r w:rsidRPr="00B37A02">
        <w:rPr>
          <w:rStyle w:val="FootnoteReference"/>
          <w:rFonts w:ascii="Times New Roman" w:hAnsi="Times New Roman"/>
          <w:sz w:val="24"/>
          <w:szCs w:val="24"/>
        </w:rPr>
        <w:footnoteReference w:id="82"/>
      </w:r>
    </w:p>
    <w:p w14:paraId="4BF083C9" w14:textId="77777777" w:rsidR="00C97F66" w:rsidRPr="00B37A02" w:rsidRDefault="00C97F66" w:rsidP="00790562">
      <w:pPr>
        <w:pStyle w:val="BodyText"/>
        <w:spacing w:after="0"/>
        <w:rPr>
          <w:rFonts w:ascii="Times New Roman" w:hAnsi="Times New Roman"/>
          <w:sz w:val="24"/>
          <w:szCs w:val="24"/>
        </w:rPr>
      </w:pPr>
    </w:p>
    <w:p w14:paraId="1E5C4741" w14:textId="6C13BAC2"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Iemesli, kādēļ bērni tiek nodoti alternatīvajā aprūpē, ir sarežģīti un daudzdimensionāli.</w:t>
      </w:r>
      <w:r w:rsidRPr="00B37A02">
        <w:rPr>
          <w:rStyle w:val="FootnoteReference"/>
          <w:rFonts w:ascii="Times New Roman" w:hAnsi="Times New Roman"/>
          <w:sz w:val="24"/>
          <w:szCs w:val="24"/>
        </w:rPr>
        <w:footnoteReference w:id="83"/>
      </w:r>
      <w:r w:rsidRPr="00B37A02">
        <w:rPr>
          <w:rFonts w:ascii="Times New Roman" w:hAnsi="Times New Roman"/>
          <w:sz w:val="24"/>
        </w:rPr>
        <w:t xml:space="preserve"> Šie iemesli var ietvert: i) nevērību un ļaunprātīgu izmantošanu; ii) neatbilstošu mājokli; iii) bērnu audzināšanu vientuļo vecāku ģimenēs; iv) nepietiekamu piekļuvi labklājībai; v) nepietiekamu piekļuvi diena aprūpes un specializētajiem pakalpojumiem bērniem ar invaliditāti; vi) bērnu veselības problēmas; vii) aizspriedumus un diskrimināciju. Svarīga loma var būt arī ar vecākiem saistītiem faktoriem, piemēram, viņu veselības stāvoklim, ekonomiskajai situācijai vai atkarību izraisošu vielu lietošanai. Šos faktorus var saasināt ekonomiskā nestabilitāte, kas var nopietni ietekmēt vecāku pieejamību (piemēram, pagarināta darba laika, vairāku darbavietu dēļ) un viņu pašu emocionālo labklājību.</w:t>
      </w:r>
      <w:r w:rsidRPr="00B37A02">
        <w:rPr>
          <w:rStyle w:val="FootnoteReference"/>
          <w:rFonts w:ascii="Times New Roman" w:hAnsi="Times New Roman"/>
          <w:sz w:val="24"/>
          <w:szCs w:val="24"/>
        </w:rPr>
        <w:footnoteReference w:id="84"/>
      </w:r>
    </w:p>
    <w:p w14:paraId="486CB97D" w14:textId="77777777" w:rsidR="00C97F66" w:rsidRPr="00B37A02" w:rsidRDefault="00C97F66" w:rsidP="00C97F66">
      <w:pPr>
        <w:pStyle w:val="BodyText"/>
        <w:widowControl w:val="0"/>
        <w:spacing w:after="0"/>
        <w:rPr>
          <w:rFonts w:ascii="Times New Roman" w:hAnsi="Times New Roman"/>
          <w:sz w:val="24"/>
          <w:szCs w:val="24"/>
        </w:rPr>
      </w:pPr>
    </w:p>
    <w:p w14:paraId="209BB1EA" w14:textId="64FC91A8"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No visiem alternatīvajā aprūpē esošajiem bērniem tieši stacionārās aprūpes iestādēs</w:t>
      </w:r>
      <w:r w:rsidRPr="00B37A02">
        <w:rPr>
          <w:rFonts w:ascii="Times New Roman" w:hAnsi="Times New Roman"/>
          <w:sz w:val="24"/>
          <w:szCs w:val="24"/>
          <w:vertAlign w:val="superscript"/>
        </w:rPr>
        <w:footnoteReference w:id="85"/>
      </w:r>
      <w:r w:rsidRPr="00B37A02">
        <w:rPr>
          <w:rFonts w:ascii="Times New Roman" w:hAnsi="Times New Roman"/>
          <w:sz w:val="24"/>
        </w:rPr>
        <w:t xml:space="preserve"> ievietotajiem bērniem visvairāk ir nepieciešami sociālo iekļaušanu sekmējoši pasākumi. Bērnu nodošana institucionālajā aprūpē jāizmanto vienīgi kā galējais līdzeklis. Alternatīvajā aprūpē esošu bērnu sociālo iekļaušanu sekmējošajiem pasākumiem jābūt vērstiem uz to, lai šie bērni varētu apmeklēt vispārizglītojošas skolas, kas vislabāk atbilst viņu talantam un interesēm. Ne mazāk svarīgs ir atbalsts pārejai no institucionālās aprūpes uz kvalitatīvu alternatīvo aprūpi ģimenē vai kopienā vai uz neatkarīgu dzīvi. Lai to panāktu, attiecīgās programmas ir jāīsteno savlaicīgi (t. i., krietni pirms dienas, kurā bērns atstāj iestādi), kā arī jānodrošina efektīva piekļuve sociālajam mājoklim.</w:t>
      </w:r>
      <w:r w:rsidRPr="00B37A02">
        <w:rPr>
          <w:rStyle w:val="FootnoteReference"/>
          <w:rFonts w:ascii="Times New Roman" w:hAnsi="Times New Roman"/>
          <w:sz w:val="24"/>
          <w:szCs w:val="24"/>
        </w:rPr>
        <w:footnoteReference w:id="86"/>
      </w:r>
      <w:r w:rsidRPr="00B37A02">
        <w:rPr>
          <w:rFonts w:ascii="Times New Roman" w:hAnsi="Times New Roman"/>
          <w:sz w:val="24"/>
        </w:rPr>
        <w:t xml:space="preserve"> Bez šāda atbalsta jaunieši pēc iestāžu atstāšanas ir pakļauti bezpajumtniecības riskam.</w:t>
      </w:r>
    </w:p>
    <w:p w14:paraId="50FB6FC3" w14:textId="77777777" w:rsidR="00C97F66" w:rsidRPr="00B37A02" w:rsidRDefault="00C97F66" w:rsidP="00C97F66">
      <w:pPr>
        <w:pStyle w:val="BodyText"/>
        <w:widowControl w:val="0"/>
        <w:spacing w:after="0"/>
        <w:rPr>
          <w:rFonts w:ascii="Times New Roman" w:hAnsi="Times New Roman"/>
          <w:sz w:val="24"/>
          <w:szCs w:val="24"/>
        </w:rPr>
      </w:pPr>
    </w:p>
    <w:p w14:paraId="5379A1D7" w14:textId="0E14D9FD" w:rsidR="00BC5BDF" w:rsidRPr="00B37A02" w:rsidRDefault="00BC5BDF" w:rsidP="00790562">
      <w:pPr>
        <w:pStyle w:val="BodyText"/>
        <w:spacing w:after="0"/>
        <w:rPr>
          <w:rFonts w:ascii="Times New Roman" w:hAnsi="Times New Roman"/>
          <w:sz w:val="24"/>
          <w:szCs w:val="24"/>
        </w:rPr>
      </w:pPr>
      <w:r w:rsidRPr="00B37A02">
        <w:rPr>
          <w:rFonts w:ascii="Times New Roman" w:hAnsi="Times New Roman"/>
          <w:sz w:val="24"/>
        </w:rPr>
        <w:t>Visās dalībvalstīs, par kurām ir pieejami atsevišķi dati, dažu grupu bērnu īpatsvars alternatīvās aprūpes sistēmā, jo īpaši institucionālās aprūpes sistēmā, ir pārmērīgi liels. Piemēram, noteikta veida invaliditāte vai migrantu vai etnisko minoritāšu izcelsme palielināja iespējamību, ka bērns tiks nodots institucionālā aprūpē. Ungārijā, Bulgārijā un Rumānijā, kur romu īpatsvars veido aptuveni 10 % no iedzīvotāju kopskaita, 60 % iestādēs dzīvojošo bērnu ir romu izcelsmes bērni.</w:t>
      </w:r>
      <w:r w:rsidRPr="00B37A02">
        <w:rPr>
          <w:rStyle w:val="FootnoteReference"/>
          <w:rFonts w:ascii="Times New Roman" w:hAnsi="Times New Roman"/>
          <w:sz w:val="24"/>
          <w:szCs w:val="24"/>
        </w:rPr>
        <w:footnoteReference w:id="87"/>
      </w:r>
      <w:r w:rsidRPr="00B37A02">
        <w:rPr>
          <w:rFonts w:ascii="Times New Roman" w:hAnsi="Times New Roman"/>
          <w:sz w:val="24"/>
        </w:rPr>
        <w:t xml:space="preserve"> Savukārt Vācijā gandrīz pusei institucionālajā aprūpē nodoto bērnu vismaz viens no vecākiem ir dzimis ārvalstī. Tā kā pastāvīgi pieaug pēdējos gados ES ieceļojošo nepavadīto </w:t>
      </w:r>
      <w:r w:rsidRPr="00B37A02">
        <w:rPr>
          <w:rFonts w:ascii="Times New Roman" w:hAnsi="Times New Roman"/>
          <w:sz w:val="24"/>
        </w:rPr>
        <w:lastRenderedPageBreak/>
        <w:t>nepilngadīgo ārvalstnieku skaits, būtiski ir palielinājies alternatīvajā aprūpē esošo bērnu skaits.</w:t>
      </w:r>
      <w:r w:rsidRPr="00B37A02">
        <w:rPr>
          <w:rStyle w:val="FootnoteReference"/>
          <w:rFonts w:ascii="Times New Roman" w:hAnsi="Times New Roman"/>
          <w:sz w:val="24"/>
          <w:szCs w:val="24"/>
        </w:rPr>
        <w:footnoteReference w:id="88"/>
      </w:r>
    </w:p>
    <w:p w14:paraId="54580273" w14:textId="230568C7" w:rsidR="00EC5DE2" w:rsidRPr="00B37A02" w:rsidRDefault="00BC5BDF" w:rsidP="00C97F66">
      <w:pPr>
        <w:widowControl w:val="0"/>
        <w:spacing w:after="0" w:line="240" w:lineRule="auto"/>
        <w:jc w:val="both"/>
        <w:rPr>
          <w:rFonts w:ascii="Times New Roman" w:hAnsi="Times New Roman" w:cs="Times New Roman"/>
          <w:sz w:val="24"/>
          <w:szCs w:val="20"/>
        </w:rPr>
      </w:pPr>
      <w:r w:rsidRPr="00B37A02">
        <w:rPr>
          <w:rFonts w:ascii="Times New Roman" w:hAnsi="Times New Roman" w:cs="Times New Roman"/>
          <w:sz w:val="24"/>
        </w:rPr>
        <w:t>Ieinteresētās puses, kuras piedalījās apspriedē par Eiropas Garantiju bērniem,</w:t>
      </w:r>
      <w:r w:rsidRPr="00B37A02">
        <w:rPr>
          <w:rFonts w:ascii="Times New Roman" w:hAnsi="Times New Roman" w:cs="Times New Roman"/>
          <w:sz w:val="24"/>
          <w:szCs w:val="20"/>
          <w:vertAlign w:val="superscript"/>
        </w:rPr>
        <w:footnoteReference w:id="89"/>
      </w:r>
      <w:r w:rsidRPr="00B37A02">
        <w:rPr>
          <w:rFonts w:ascii="Times New Roman" w:hAnsi="Times New Roman" w:cs="Times New Roman"/>
          <w:sz w:val="24"/>
        </w:rPr>
        <w:t xml:space="preserve"> minēja pienācīgu mājokli, kvalitatīvu izglītību un ārpusskolas nodarbības kā pakalpojumus, kuriem institucionālajā aprūpē esošajiem vai aprūpes iestādi atstājošajiem bērniem piekļūt ir visgrūtāk. Attiecībā uz veselības aprūpi un agrīno pirmsskolas izglītību un aprūpi tiek uzskatīts, ka aprūpes iestādēs ievietotajiem bērniem ir vieglāk piekļūt šiem pakalpojumiem nekā citu kategoriju bērniem, kam vajadzīga palīdzība. Tas atspoguļo to, ka gan veselības aprūpe, gan agrīnā pirmsskolas izglītība un aprūpe bieži vien ir integrētas institucionālajā aprūpē.</w:t>
      </w:r>
    </w:p>
    <w:p w14:paraId="21916D77" w14:textId="77777777" w:rsidR="00B64624" w:rsidRPr="00B37A02" w:rsidRDefault="00B64624" w:rsidP="00C97F66">
      <w:pPr>
        <w:widowControl w:val="0"/>
        <w:spacing w:after="0" w:line="240" w:lineRule="auto"/>
        <w:jc w:val="both"/>
        <w:rPr>
          <w:rFonts w:ascii="Times New Roman" w:hAnsi="Times New Roman" w:cs="Times New Roman"/>
          <w:sz w:val="24"/>
          <w:szCs w:val="20"/>
        </w:rPr>
      </w:pPr>
    </w:p>
    <w:p w14:paraId="7A821967" w14:textId="49F6E394" w:rsidR="00EC5DE2" w:rsidRPr="00B37A02" w:rsidRDefault="00B64624" w:rsidP="00C97F66">
      <w:pPr>
        <w:pStyle w:val="Heading2"/>
        <w:keepNext w:val="0"/>
        <w:keepLines w:val="0"/>
        <w:widowControl w:val="0"/>
        <w:spacing w:before="0" w:line="240" w:lineRule="auto"/>
        <w:jc w:val="both"/>
        <w:rPr>
          <w:rFonts w:cs="Times New Roman"/>
          <w:sz w:val="24"/>
          <w:szCs w:val="28"/>
        </w:rPr>
      </w:pPr>
      <w:bookmarkStart w:id="67" w:name="_Toc62823380"/>
      <w:bookmarkStart w:id="68" w:name="_Toc62823468"/>
      <w:bookmarkStart w:id="69" w:name="_Toc62833095"/>
      <w:bookmarkStart w:id="70" w:name="_Toc62841448"/>
      <w:bookmarkStart w:id="71" w:name="_Toc62942367"/>
      <w:bookmarkStart w:id="72" w:name="_Toc63178088"/>
      <w:bookmarkStart w:id="73" w:name="_Toc63258841"/>
      <w:bookmarkStart w:id="74" w:name="_Toc63269635"/>
      <w:bookmarkStart w:id="75" w:name="_Toc63692746"/>
      <w:bookmarkStart w:id="76" w:name="_Toc63712829"/>
      <w:bookmarkStart w:id="77" w:name="_Toc63850061"/>
      <w:bookmarkStart w:id="78" w:name="_Toc63850279"/>
      <w:bookmarkStart w:id="79" w:name="_Toc63862420"/>
      <w:bookmarkStart w:id="80" w:name="_Toc64476330"/>
      <w:bookmarkStart w:id="81" w:name="_Toc54363163"/>
      <w:bookmarkStart w:id="82" w:name="_Toc56153636"/>
      <w:bookmarkStart w:id="83" w:name="_Toc55633709"/>
      <w:bookmarkStart w:id="84" w:name="_Toc61713360"/>
      <w:bookmarkStart w:id="85" w:name="_Toc61856802"/>
      <w:bookmarkStart w:id="86" w:name="_Toc62486978"/>
      <w:r w:rsidRPr="00B37A02">
        <w:rPr>
          <w:rFonts w:cs="Times New Roman"/>
          <w:sz w:val="24"/>
        </w:rPr>
        <w:t>2.7. Bērni, kas dzīvo nestabilos ģimenes apstākļos</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0CA9054E" w14:textId="77777777" w:rsidR="00B64624" w:rsidRPr="00B37A02" w:rsidRDefault="00B64624" w:rsidP="00C97F66">
      <w:pPr>
        <w:spacing w:after="0" w:line="240" w:lineRule="auto"/>
        <w:rPr>
          <w:rFonts w:ascii="Times New Roman" w:hAnsi="Times New Roman" w:cs="Times New Roman"/>
        </w:rPr>
      </w:pPr>
    </w:p>
    <w:p w14:paraId="58139BB1" w14:textId="77777777"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Sociālā atstumtība var izrietēt arī no nestabiliem ģimenes apstākļiem. Tas ietver: i) dzīvošanu vientuļā vecāka mājsaimniecībā;</w:t>
      </w:r>
      <w:r w:rsidRPr="00B37A02">
        <w:rPr>
          <w:rStyle w:val="FootnoteReference"/>
          <w:rFonts w:ascii="Times New Roman" w:hAnsi="Times New Roman"/>
          <w:sz w:val="24"/>
          <w:szCs w:val="24"/>
        </w:rPr>
        <w:footnoteReference w:id="90"/>
      </w:r>
      <w:r w:rsidRPr="00B37A02">
        <w:rPr>
          <w:rFonts w:ascii="Times New Roman" w:hAnsi="Times New Roman"/>
          <w:sz w:val="24"/>
        </w:rPr>
        <w:t xml:space="preserve"> ii) dzīvošanu kopā ar vienu no vecākiem, kuram ir invaliditāte;</w:t>
      </w:r>
      <w:r w:rsidRPr="00B37A02">
        <w:rPr>
          <w:rStyle w:val="FootnoteReference"/>
          <w:rFonts w:ascii="Times New Roman" w:hAnsi="Times New Roman"/>
          <w:sz w:val="24"/>
          <w:szCs w:val="24"/>
        </w:rPr>
        <w:footnoteReference w:id="91"/>
      </w:r>
      <w:r w:rsidRPr="00B37A02">
        <w:rPr>
          <w:rFonts w:ascii="Times New Roman" w:hAnsi="Times New Roman"/>
          <w:sz w:val="24"/>
        </w:rPr>
        <w:t xml:space="preserve"> iii) dzīvošanu mājsaimniecībā, kurā ir garīgās veselības problēmas vai ilgstoša slimība; iv) dzīvošanu mājsaimniecībā, kurā notiek pārmērīga atkarību izraisošu vielu lietošana vai vardarbība ģimenē. Turklāt tiek uzskatīts, ka v) bērni, kuru vecāki ir pārcēlušies uz citu dalībvalsti, bet bērni ir palikuši savā izcelsmes dalībvalstī; vi) bērni ar pusaudžu vecuma māti vai pusaudžu vecuma mātes, kā arī vii) bērni, kuru viens no vecākiem ir ieslodzījumā, dzīvo nestabilos ģimenes apstākļos.</w:t>
      </w:r>
    </w:p>
    <w:p w14:paraId="41F0F96E" w14:textId="77777777" w:rsidR="00C97F66" w:rsidRPr="00B37A02" w:rsidRDefault="00C97F66" w:rsidP="00C97F66">
      <w:pPr>
        <w:pStyle w:val="BodyText"/>
        <w:widowControl w:val="0"/>
        <w:spacing w:after="0"/>
        <w:rPr>
          <w:rFonts w:ascii="Times New Roman" w:hAnsi="Times New Roman"/>
          <w:sz w:val="24"/>
          <w:szCs w:val="24"/>
        </w:rPr>
      </w:pPr>
    </w:p>
    <w:p w14:paraId="3A5EB275" w14:textId="58FB7629" w:rsidR="00BC5BDF"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 xml:space="preserve">Dzīvošana </w:t>
      </w:r>
      <w:r w:rsidRPr="00B37A02">
        <w:rPr>
          <w:rFonts w:ascii="Times New Roman" w:hAnsi="Times New Roman"/>
          <w:b/>
          <w:bCs/>
          <w:sz w:val="24"/>
        </w:rPr>
        <w:t>vientuļā vecāka mājsaimniecībā</w:t>
      </w:r>
      <w:r w:rsidRPr="00B37A02">
        <w:rPr>
          <w:rFonts w:ascii="Times New Roman" w:hAnsi="Times New Roman"/>
          <w:sz w:val="24"/>
        </w:rPr>
        <w:t xml:space="preserve"> palielina bērnu maznodrošinātības vai nepietiekamu ienākumu radītās nabadzības risku, taču tas arī ir faktors, kas ietekmē citas dzīves sfēras. Vientuļā vecāka mājsaimniecības ir daudz neaizsargātākas, jo tām ir mazākas iespējas apvienot ekonomiskos riskus un uzticēt bērna aprūpi kādam citam. Viņi arī saskaras ar fiksētām izmaksām (piemēram, par mājokli, bērnu aprūpi un veselības aprūpi), kas kopumā veido lielāku viņu resursu daļu, nekā tas ir mājsaimniecībās ar vairāk nekā vienu pieaugušo. Vientuļā vecāka mājsaimniecībās arī ir lielākas grūtības apvienot darbu ar ģimeni, tādēļ tajās priekšroka biežāk tiek dota nepilnas slodzes darbam vai ekonomiskajai neaktivitātei. Vientuļā vecāka mājsaimniecībām arī vairāk nākas saskarties ar organizatoriskiem (tostarp laika ziņā) un emocionāliem izaicinājumiem, nekā tas ir mājsaimniecībās ar diviem pieaugušajiem.</w:t>
      </w:r>
      <w:r w:rsidRPr="00B37A02">
        <w:rPr>
          <w:rStyle w:val="FootnoteReference"/>
          <w:rFonts w:ascii="Times New Roman" w:hAnsi="Times New Roman"/>
          <w:sz w:val="24"/>
          <w:szCs w:val="24"/>
        </w:rPr>
        <w:footnoteReference w:id="92"/>
      </w:r>
      <w:r w:rsidRPr="00B37A02">
        <w:rPr>
          <w:rFonts w:ascii="Times New Roman" w:hAnsi="Times New Roman"/>
          <w:sz w:val="24"/>
        </w:rPr>
        <w:t xml:space="preserve"> Sievietes vada lielāko daļu vientuļā vecāka mājsaimniecību ES, un nabadzība vai sociālā atstumtība viņas ietekmē nesamērīgi.</w:t>
      </w:r>
      <w:r w:rsidRPr="00B37A02">
        <w:rPr>
          <w:rStyle w:val="FootnoteReference"/>
          <w:rFonts w:ascii="Times New Roman" w:hAnsi="Times New Roman"/>
          <w:sz w:val="24"/>
          <w:szCs w:val="24"/>
        </w:rPr>
        <w:footnoteReference w:id="93"/>
      </w:r>
    </w:p>
    <w:p w14:paraId="4685149B" w14:textId="77777777" w:rsidR="00C97F66" w:rsidRPr="00B37A02" w:rsidRDefault="00C97F66" w:rsidP="00C97F66">
      <w:pPr>
        <w:pStyle w:val="BodyText"/>
        <w:widowControl w:val="0"/>
        <w:spacing w:after="0"/>
        <w:rPr>
          <w:rFonts w:ascii="Times New Roman" w:hAnsi="Times New Roman"/>
          <w:sz w:val="24"/>
          <w:szCs w:val="24"/>
        </w:rPr>
      </w:pPr>
    </w:p>
    <w:p w14:paraId="5DF0FBB5" w14:textId="549DD870" w:rsidR="00BC5BDF"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 xml:space="preserve">Saskaņā ar Eiropas Asociācijas aprūpētāju atbalstam (turpmāk tekstā – </w:t>
      </w:r>
      <w:r w:rsidRPr="00B37A02">
        <w:rPr>
          <w:rFonts w:ascii="Times New Roman" w:hAnsi="Times New Roman"/>
          <w:i/>
          <w:iCs/>
          <w:sz w:val="24"/>
        </w:rPr>
        <w:t>Eurocarers</w:t>
      </w:r>
      <w:r w:rsidRPr="00B37A02">
        <w:rPr>
          <w:rFonts w:ascii="Times New Roman" w:hAnsi="Times New Roman"/>
          <w:sz w:val="24"/>
        </w:rPr>
        <w:t>) ziņojumu</w:t>
      </w:r>
      <w:r w:rsidRPr="00B37A02">
        <w:rPr>
          <w:rFonts w:ascii="Times New Roman" w:hAnsi="Times New Roman"/>
          <w:b/>
          <w:bCs/>
          <w:sz w:val="24"/>
        </w:rPr>
        <w:t xml:space="preserve"> jauniešiem, kuru ģimenē kādam ģimenes loceklim ir kāda slimība</w:t>
      </w:r>
      <w:r w:rsidRPr="00B37A02">
        <w:rPr>
          <w:rFonts w:ascii="Times New Roman" w:hAnsi="Times New Roman"/>
          <w:sz w:val="24"/>
        </w:rPr>
        <w:t>, biežāk mēdz būt garīgās veselības problēmas un nelabvēlīgāki uzvedības, psihosociālās un akadēmiskās pielāgošanās rezultāti nekā viņu vienaudžiem, kuru ģimenē nevienam ģimenes loceklim nav hroniskas slimības. Šīs sekas galvenokārt izpaužas kā mazāka apmierinātība ar dzīvi un iekšēja problemātiska uzvedība, piemēram, depresija, noslēgtība un nemiers.</w:t>
      </w:r>
      <w:r w:rsidRPr="00B37A02">
        <w:rPr>
          <w:rStyle w:val="FootnoteReference"/>
          <w:rFonts w:ascii="Times New Roman" w:hAnsi="Times New Roman"/>
          <w:sz w:val="24"/>
          <w:szCs w:val="24"/>
        </w:rPr>
        <w:footnoteReference w:id="94"/>
      </w:r>
      <w:r w:rsidRPr="00B37A02">
        <w:rPr>
          <w:rFonts w:ascii="Times New Roman" w:hAnsi="Times New Roman"/>
          <w:sz w:val="24"/>
        </w:rPr>
        <w:t xml:space="preserve"> Negatīvā ietekme uz </w:t>
      </w:r>
      <w:r w:rsidRPr="00B37A02">
        <w:rPr>
          <w:rFonts w:ascii="Times New Roman" w:hAnsi="Times New Roman"/>
          <w:sz w:val="24"/>
        </w:rPr>
        <w:lastRenderedPageBreak/>
        <w:t>izglītību galvenokārt attiecas uz punktualitāti un skolas apmeklēšanu, kā arī uz problēmām ar mājas un skolas darbiem. Ziņojumā tika minētas arī grūtības iesaistīties ārpusskolas nodarbībās, zemi izglītības rezultāti, nemiers un nogurums.</w:t>
      </w:r>
      <w:r w:rsidRPr="00B37A02">
        <w:rPr>
          <w:rStyle w:val="FootnoteReference"/>
          <w:rFonts w:ascii="Times New Roman" w:hAnsi="Times New Roman"/>
          <w:sz w:val="24"/>
          <w:szCs w:val="24"/>
        </w:rPr>
        <w:footnoteReference w:id="95"/>
      </w:r>
      <w:r w:rsidRPr="00B37A02">
        <w:rPr>
          <w:rFonts w:ascii="Times New Roman" w:hAnsi="Times New Roman"/>
          <w:sz w:val="24"/>
        </w:rPr>
        <w:t xml:space="preserve"> Lai gan nav pieejami precīzi dati par gados jauno aprūpētāju skaitu Eiropā, </w:t>
      </w:r>
      <w:r w:rsidRPr="00B37A02">
        <w:rPr>
          <w:rFonts w:ascii="Times New Roman" w:hAnsi="Times New Roman"/>
          <w:i/>
          <w:iCs/>
          <w:sz w:val="24"/>
        </w:rPr>
        <w:t>Eurocarers</w:t>
      </w:r>
      <w:r w:rsidRPr="00B37A02">
        <w:rPr>
          <w:rFonts w:ascii="Times New Roman" w:hAnsi="Times New Roman"/>
          <w:sz w:val="24"/>
        </w:rPr>
        <w:t xml:space="preserve"> pētījums liecina, ka 8 % no visiem bērniem tiek uzticēti aprūpes pienākumi.</w:t>
      </w:r>
      <w:r w:rsidRPr="00B37A02">
        <w:rPr>
          <w:rStyle w:val="FootnoteReference"/>
          <w:rFonts w:ascii="Times New Roman" w:hAnsi="Times New Roman"/>
          <w:sz w:val="24"/>
          <w:szCs w:val="24"/>
        </w:rPr>
        <w:footnoteReference w:id="96"/>
      </w:r>
    </w:p>
    <w:p w14:paraId="5EEA5E82" w14:textId="77777777" w:rsidR="00C97F66" w:rsidRPr="00B37A02" w:rsidRDefault="00C97F66" w:rsidP="00C97F66">
      <w:pPr>
        <w:pStyle w:val="BodyText"/>
        <w:widowControl w:val="0"/>
        <w:spacing w:after="0"/>
        <w:rPr>
          <w:rFonts w:ascii="Times New Roman" w:hAnsi="Times New Roman"/>
          <w:sz w:val="24"/>
          <w:szCs w:val="24"/>
        </w:rPr>
      </w:pPr>
    </w:p>
    <w:p w14:paraId="00F53A5B" w14:textId="7A7468EE" w:rsidR="00BC5BDF"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 xml:space="preserve">2019. gadā aptuveni 0,74 % visu 27 ES dalībvalstīs dzimušo bērnu </w:t>
      </w:r>
      <w:r w:rsidRPr="00B37A02">
        <w:rPr>
          <w:rFonts w:ascii="Times New Roman" w:hAnsi="Times New Roman"/>
          <w:b/>
          <w:bCs/>
          <w:sz w:val="24"/>
        </w:rPr>
        <w:t>mātes bija jaunākas par 18 gadiem</w:t>
      </w:r>
      <w:r w:rsidRPr="00B37A02">
        <w:rPr>
          <w:rFonts w:ascii="Times New Roman" w:hAnsi="Times New Roman"/>
          <w:sz w:val="24"/>
        </w:rPr>
        <w:t>. Šis īpatsvars vidējo rādītāju būtiski pārsniedza Bulgārijā (4,75 %), Rumānijā (4,23 %), Slovākijā (2,27 %), Ungārijā (1,96 %) un Grieķijā (1,18 %). Pusaudžu grūtniecība parasti saistāma ar pastāvīgu nestabilu sociālekonomisko statusu, proti, pusaudžu vecuma grūtnieces salīdzinājumā ar viņu vienaudzēm retāk iegūst vidējo un augstāko izglītību. Tas ietekmē viņu turpmākos ienākumus, kā arī viņu bērnu izglītības rezultātus. Pusaudžu vecuma grūtnieces bieži vien vēlāk kļūst par vientuļajām mātēm, tādēļ tas saistāms ar augstu sociālās nestabilitātes pakāpi, kas savukārt rada zemu pašvērtējumu un emocionālas problēmas gan mātēm, gan bērniem.</w:t>
      </w:r>
      <w:r w:rsidRPr="00B37A02">
        <w:rPr>
          <w:rStyle w:val="FootnoteReference"/>
          <w:rFonts w:ascii="Times New Roman" w:hAnsi="Times New Roman"/>
          <w:sz w:val="24"/>
          <w:szCs w:val="24"/>
        </w:rPr>
        <w:footnoteReference w:id="97"/>
      </w:r>
    </w:p>
    <w:p w14:paraId="716E9180" w14:textId="77777777" w:rsidR="00C97F66" w:rsidRPr="00B37A02" w:rsidRDefault="00C97F66" w:rsidP="00C97F66">
      <w:pPr>
        <w:pStyle w:val="BodyText"/>
        <w:widowControl w:val="0"/>
        <w:spacing w:after="0"/>
        <w:rPr>
          <w:rFonts w:ascii="Times New Roman" w:hAnsi="Times New Roman"/>
          <w:sz w:val="24"/>
          <w:szCs w:val="24"/>
        </w:rPr>
      </w:pPr>
    </w:p>
    <w:p w14:paraId="5ACC623D" w14:textId="6038785E" w:rsidR="00BC5BDF"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 xml:space="preserve">Ir atzīts un dokumentēts, ka pēdējo desmit gadu laikā ir izplatījusies </w:t>
      </w:r>
      <w:r w:rsidRPr="00B37A02">
        <w:rPr>
          <w:rFonts w:ascii="Times New Roman" w:hAnsi="Times New Roman"/>
          <w:b/>
          <w:bCs/>
          <w:sz w:val="24"/>
        </w:rPr>
        <w:t>vardarbība ģimenē</w:t>
      </w:r>
      <w:r w:rsidRPr="00B37A02">
        <w:rPr>
          <w:rFonts w:ascii="Times New Roman" w:hAnsi="Times New Roman"/>
          <w:sz w:val="24"/>
        </w:rPr>
        <w:t>. Vardarbība pret bērniem ģimenē var notikt disciplinēšanas nolūkā un izpausties kā fizisks, nežēlīgs vai pazemojošs sods. Fizisko vardarbību bieži vien papildina psiholoģiskā vardarbība.</w:t>
      </w:r>
      <w:r w:rsidRPr="00B37A02">
        <w:rPr>
          <w:rStyle w:val="FootnoteReference"/>
          <w:rFonts w:ascii="Times New Roman" w:hAnsi="Times New Roman"/>
          <w:sz w:val="24"/>
          <w:szCs w:val="24"/>
        </w:rPr>
        <w:footnoteReference w:id="98"/>
      </w:r>
      <w:r w:rsidRPr="00B37A02">
        <w:rPr>
          <w:rFonts w:ascii="Times New Roman" w:hAnsi="Times New Roman"/>
          <w:sz w:val="24"/>
        </w:rPr>
        <w:t xml:space="preserve"> Bērni tiek uzskatīti par vardarbības ģimenē upuriem pat tad, ja vardarbība nav vērsta pret viņiem tieši.</w:t>
      </w:r>
      <w:r w:rsidRPr="00B37A02">
        <w:rPr>
          <w:rStyle w:val="FootnoteReference"/>
          <w:rFonts w:ascii="Times New Roman" w:hAnsi="Times New Roman"/>
          <w:sz w:val="24"/>
          <w:szCs w:val="24"/>
        </w:rPr>
        <w:footnoteReference w:id="99"/>
      </w:r>
      <w:r w:rsidRPr="00B37A02">
        <w:rPr>
          <w:rFonts w:ascii="Times New Roman" w:hAnsi="Times New Roman"/>
          <w:sz w:val="24"/>
        </w:rPr>
        <w:t xml:space="preserve"> Situācijas, kurās bērni piedzīvo vardarbību vai ir tās liecinieki, var radīt bērnos attieksmi, kas attaisno viņu pašu vardarbīgu rīcību, un priekšstatu, ka vardarbība ir pieņemama, kas savukārt var ietekmēt viņu uzvedību attiecībās ar citiem cilvēkiem.</w:t>
      </w:r>
      <w:r w:rsidRPr="00B37A02">
        <w:rPr>
          <w:rStyle w:val="FootnoteReference"/>
          <w:rFonts w:ascii="Times New Roman" w:hAnsi="Times New Roman"/>
          <w:sz w:val="24"/>
          <w:szCs w:val="24"/>
        </w:rPr>
        <w:footnoteReference w:id="100"/>
      </w:r>
      <w:r w:rsidRPr="00B37A02">
        <w:rPr>
          <w:rFonts w:ascii="Times New Roman" w:hAnsi="Times New Roman"/>
          <w:sz w:val="24"/>
        </w:rPr>
        <w:t xml:space="preserve"> Ir daudzi faktori, kas sekmē vardarbību ģimenē, tostarp garīgās veselības problēmas un atkarību izraisošu vielu pārmērīga lietošana, taču pie šiem faktoriem pieskaitāma arī ekonomiskā spriedze, ko rada, piemēram, bezdarbs. Vardarbības pieaugums ģimenē un starp ģimenes locekļiem ir viena no Covid-19 pandēmijas blakusparādībām, kas tiek novērota visā pasaulē.</w:t>
      </w:r>
      <w:r w:rsidRPr="00B37A02">
        <w:rPr>
          <w:rStyle w:val="FootnoteReference"/>
          <w:rFonts w:ascii="Times New Roman" w:hAnsi="Times New Roman"/>
          <w:sz w:val="24"/>
          <w:szCs w:val="24"/>
        </w:rPr>
        <w:footnoteReference w:id="101"/>
      </w:r>
    </w:p>
    <w:p w14:paraId="1BB4A3B6" w14:textId="77777777" w:rsidR="00C97F66" w:rsidRPr="00B37A02" w:rsidRDefault="00C97F66" w:rsidP="00C97F66">
      <w:pPr>
        <w:pStyle w:val="BodyText"/>
        <w:widowControl w:val="0"/>
        <w:spacing w:after="0"/>
        <w:rPr>
          <w:rFonts w:ascii="Times New Roman" w:hAnsi="Times New Roman"/>
          <w:b/>
          <w:sz w:val="24"/>
          <w:szCs w:val="24"/>
        </w:rPr>
      </w:pPr>
    </w:p>
    <w:p w14:paraId="4C77170B" w14:textId="39D0D629"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b/>
          <w:bCs/>
          <w:sz w:val="24"/>
        </w:rPr>
        <w:t xml:space="preserve">Arī bērni, kuri ir palikuši savā izcelsmes valstī pēc tam, kad vecāki </w:t>
      </w:r>
      <w:r w:rsidRPr="00B37A02">
        <w:rPr>
          <w:rFonts w:ascii="Times New Roman" w:hAnsi="Times New Roman"/>
          <w:sz w:val="24"/>
        </w:rPr>
        <w:t>darba nolūkos</w:t>
      </w:r>
      <w:r w:rsidRPr="00B37A02">
        <w:rPr>
          <w:rFonts w:ascii="Times New Roman" w:hAnsi="Times New Roman"/>
          <w:b/>
          <w:bCs/>
          <w:sz w:val="24"/>
        </w:rPr>
        <w:t xml:space="preserve"> ir pārcēlušies</w:t>
      </w:r>
      <w:r w:rsidRPr="00B37A02">
        <w:rPr>
          <w:rFonts w:ascii="Times New Roman" w:hAnsi="Times New Roman"/>
          <w:sz w:val="24"/>
        </w:rPr>
        <w:t xml:space="preserve"> uz citu dalībvalsti, bieži vien dzīvo nestabilos apstākļos. Lai gan konstatējumi apstiprina, ka ienākumu pieaugums ES mobilo darbinieku mājsaimniecībās ir labvēlīgi ietekmējis bērnu veselību un uzturu, vecāku aprūpes trūkums būtiski ietekmē viņu labklājību un var radīt arī tālejošākas sekas ģimenes izjukšanas, tostarp bērnu pamešanas, rezultātā.</w:t>
      </w:r>
      <w:r w:rsidRPr="00B37A02">
        <w:rPr>
          <w:rStyle w:val="FootnoteReference"/>
          <w:rFonts w:ascii="Times New Roman" w:hAnsi="Times New Roman"/>
          <w:sz w:val="24"/>
          <w:szCs w:val="24"/>
        </w:rPr>
        <w:footnoteReference w:id="102"/>
      </w:r>
      <w:r w:rsidRPr="00B37A02">
        <w:rPr>
          <w:rFonts w:ascii="Times New Roman" w:hAnsi="Times New Roman"/>
          <w:sz w:val="24"/>
        </w:rPr>
        <w:t xml:space="preserve"> </w:t>
      </w:r>
      <w:r w:rsidRPr="00B37A02">
        <w:rPr>
          <w:rFonts w:ascii="Times New Roman" w:hAnsi="Times New Roman"/>
          <w:sz w:val="24"/>
        </w:rPr>
        <w:lastRenderedPageBreak/>
        <w:t>Tiek lēsts, ka 25 % bērnu Bulgārijā vismaz viens no vecākiem strādā ārvalstīs.</w:t>
      </w:r>
      <w:r w:rsidRPr="00B37A02">
        <w:rPr>
          <w:rFonts w:ascii="Times New Roman" w:hAnsi="Times New Roman"/>
          <w:sz w:val="24"/>
          <w:szCs w:val="24"/>
          <w:vertAlign w:val="superscript"/>
        </w:rPr>
        <w:footnoteReference w:id="103"/>
      </w:r>
      <w:r w:rsidRPr="00B37A02">
        <w:rPr>
          <w:rFonts w:ascii="Times New Roman" w:hAnsi="Times New Roman"/>
          <w:sz w:val="24"/>
        </w:rPr>
        <w:t xml:space="preserve"> Rumānijas Valsts bērnu tiesību aizsardzības un adopcijas aģentūras (turpmāk tekstā – </w:t>
      </w:r>
      <w:r w:rsidRPr="00B37A02">
        <w:rPr>
          <w:rFonts w:ascii="Times New Roman" w:hAnsi="Times New Roman"/>
          <w:i/>
          <w:iCs/>
          <w:sz w:val="24"/>
        </w:rPr>
        <w:t>ANPDCA</w:t>
      </w:r>
      <w:r w:rsidRPr="00B37A02">
        <w:rPr>
          <w:rFonts w:ascii="Times New Roman" w:hAnsi="Times New Roman"/>
          <w:sz w:val="24"/>
        </w:rPr>
        <w:t>) dati liecina, ka 2018. gadā aptuveni 95 000 bērnu Rumānijā (aptuveni 2,8 %) viens no vecākiem strādāja ārvalstīs.</w:t>
      </w:r>
    </w:p>
    <w:p w14:paraId="22796101" w14:textId="77777777" w:rsidR="00C97F66" w:rsidRPr="00B37A02" w:rsidRDefault="00C97F66" w:rsidP="00C97F66">
      <w:pPr>
        <w:pStyle w:val="BodyText"/>
        <w:widowControl w:val="0"/>
        <w:spacing w:after="0"/>
        <w:rPr>
          <w:rFonts w:ascii="Times New Roman" w:hAnsi="Times New Roman"/>
          <w:sz w:val="24"/>
          <w:szCs w:val="24"/>
        </w:rPr>
      </w:pPr>
    </w:p>
    <w:p w14:paraId="059C1218" w14:textId="7BF93529" w:rsidR="00BC5BDF"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b/>
          <w:bCs/>
          <w:sz w:val="24"/>
        </w:rPr>
        <w:t>Bērni, kuru vecāki atrodas ieslodzījumā</w:t>
      </w:r>
      <w:r w:rsidRPr="00B37A02">
        <w:rPr>
          <w:rFonts w:ascii="Times New Roman" w:hAnsi="Times New Roman"/>
          <w:sz w:val="24"/>
        </w:rPr>
        <w:t>, ir pakļauti ekonomiskajai nestabilitātei, viņiem ir sliktākas mācību sekmes, sliktāks veselības stāvoklis un zemāks pašvērtējums, un pret viņiem tiek vērsti aizspriedumi.</w:t>
      </w:r>
      <w:r w:rsidRPr="00B37A02">
        <w:rPr>
          <w:rStyle w:val="FootnoteReference"/>
          <w:rFonts w:ascii="Times New Roman" w:hAnsi="Times New Roman"/>
          <w:sz w:val="24"/>
          <w:szCs w:val="24"/>
        </w:rPr>
        <w:footnoteReference w:id="104"/>
      </w:r>
      <w:r w:rsidRPr="00B37A02">
        <w:rPr>
          <w:rFonts w:ascii="Times New Roman" w:hAnsi="Times New Roman"/>
          <w:sz w:val="24"/>
        </w:rPr>
        <w:t xml:space="preserve"> Vecāku atrašanās ieslodzījumā tiek uzskatīta par riska faktoru bērna antisociālai uzvedībai, prettiesiskai rīcībai, garīgās veselības problēmām, narkotisko vielu lietošanai, skolas kavēšanai un turpmākam bezdarbam.</w:t>
      </w:r>
      <w:r w:rsidRPr="00B37A02">
        <w:rPr>
          <w:rStyle w:val="FootnoteReference"/>
          <w:rFonts w:ascii="Times New Roman" w:hAnsi="Times New Roman"/>
          <w:sz w:val="24"/>
          <w:szCs w:val="24"/>
        </w:rPr>
        <w:footnoteReference w:id="105"/>
      </w:r>
    </w:p>
    <w:p w14:paraId="4F6EC99B" w14:textId="77777777" w:rsidR="00BC5BDF" w:rsidRPr="00B37A02" w:rsidRDefault="00BC5BDF" w:rsidP="00C97F66">
      <w:pPr>
        <w:pStyle w:val="BodyText"/>
        <w:widowControl w:val="0"/>
        <w:spacing w:after="0"/>
        <w:rPr>
          <w:rFonts w:ascii="Times New Roman" w:hAnsi="Times New Roman"/>
          <w:sz w:val="24"/>
          <w:szCs w:val="24"/>
        </w:rPr>
      </w:pPr>
    </w:p>
    <w:p w14:paraId="03629F89" w14:textId="1A514FE9" w:rsidR="00EC5DE2" w:rsidRPr="00B37A02" w:rsidRDefault="00B64624" w:rsidP="00C97F66">
      <w:pPr>
        <w:pStyle w:val="Heading1"/>
        <w:keepNext w:val="0"/>
        <w:keepLines w:val="0"/>
        <w:widowControl w:val="0"/>
        <w:spacing w:before="0" w:line="240" w:lineRule="auto"/>
        <w:jc w:val="both"/>
        <w:rPr>
          <w:rFonts w:ascii="Times New Roman" w:hAnsi="Times New Roman" w:cs="Times New Roman"/>
          <w:sz w:val="28"/>
          <w:szCs w:val="36"/>
        </w:rPr>
      </w:pPr>
      <w:bookmarkStart w:id="87" w:name="_Toc63269638"/>
      <w:bookmarkStart w:id="88" w:name="_Toc63692747"/>
      <w:bookmarkStart w:id="89" w:name="_Toc63712830"/>
      <w:bookmarkStart w:id="90" w:name="_Toc63850062"/>
      <w:bookmarkStart w:id="91" w:name="_Toc63850280"/>
      <w:bookmarkStart w:id="92" w:name="_Toc63862421"/>
      <w:bookmarkStart w:id="93" w:name="_Toc64476331"/>
      <w:bookmarkStart w:id="94" w:name="_Toc62823384"/>
      <w:bookmarkStart w:id="95" w:name="_Toc62823472"/>
      <w:bookmarkStart w:id="96" w:name="_Toc62833098"/>
      <w:bookmarkStart w:id="97" w:name="_Toc62841450"/>
      <w:bookmarkStart w:id="98" w:name="_Toc62942369"/>
      <w:bookmarkStart w:id="99" w:name="_Toc63178091"/>
      <w:r w:rsidRPr="00B37A02">
        <w:rPr>
          <w:rFonts w:ascii="Times New Roman" w:hAnsi="Times New Roman" w:cs="Times New Roman"/>
          <w:sz w:val="28"/>
        </w:rPr>
        <w:t>3. BĒRNU, KAM VAJADZĪGA PALĪDZĪBA, PIEKĻUVE PAMATPAKALPOJUMIEM</w:t>
      </w:r>
      <w:bookmarkEnd w:id="87"/>
      <w:bookmarkEnd w:id="88"/>
      <w:bookmarkEnd w:id="89"/>
      <w:bookmarkEnd w:id="90"/>
      <w:bookmarkEnd w:id="91"/>
      <w:bookmarkEnd w:id="92"/>
      <w:bookmarkEnd w:id="93"/>
      <w:bookmarkEnd w:id="94"/>
      <w:bookmarkEnd w:id="95"/>
      <w:bookmarkEnd w:id="96"/>
      <w:bookmarkEnd w:id="97"/>
      <w:bookmarkEnd w:id="98"/>
      <w:bookmarkEnd w:id="99"/>
    </w:p>
    <w:p w14:paraId="3C736A72" w14:textId="77777777" w:rsidR="00B64624" w:rsidRPr="00B37A02" w:rsidRDefault="00B64624" w:rsidP="00C97F66">
      <w:pPr>
        <w:spacing w:after="0" w:line="240" w:lineRule="auto"/>
        <w:rPr>
          <w:rFonts w:ascii="Times New Roman" w:hAnsi="Times New Roman" w:cs="Times New Roman"/>
        </w:rPr>
      </w:pPr>
    </w:p>
    <w:p w14:paraId="7316267F" w14:textId="580CF011" w:rsidR="00BC5BDF"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Lai gan sociālā atstumtība ir daudzdimensionāla, tā ir cieši saistīta ar nepietiekamu piekļuvi pamatpakalpojumiem, piemēram, agrīnajai pirmsskolas izglītībai un aprūpei, izglītībai, uzturam un mājoklim. Lai gan šie pakalpojumi ir ieviesti, pierādījumi liecina, ka piekļuve dalībvalstīs nav vienmērīga, jo īpaši bērniem, kam vajadzīga palīdzība.</w:t>
      </w:r>
      <w:r w:rsidRPr="00B37A02">
        <w:rPr>
          <w:rStyle w:val="FootnoteReference"/>
          <w:rFonts w:ascii="Times New Roman" w:hAnsi="Times New Roman"/>
          <w:sz w:val="24"/>
          <w:szCs w:val="24"/>
        </w:rPr>
        <w:footnoteReference w:id="106"/>
      </w:r>
      <w:r w:rsidRPr="00B37A02">
        <w:rPr>
          <w:rFonts w:ascii="Times New Roman" w:hAnsi="Times New Roman"/>
          <w:sz w:val="24"/>
        </w:rPr>
        <w:t xml:space="preserve"> Nevienlīdzīgai piekļuvei pakalpojumiem ir dažādi iemesli, tostarp: i) finanšu resursi nav pietiekami, lai vecāki vai aizbildņi varētu segt izmaksas; ii) ierobežota pieejamība, jo īpaši lauku, attālos vai nelabvēlīgos reģionos; iii) nepietiekama pakalpojumu vai personāla pielāgošana bērniem ar īpašām vajadzībām; iv) nepietiekama informācija par pieejamajiem pakalpojumiem; v) administratīvie šķēršļi, kā arī vi) sociālo aizspriedumu risks.</w:t>
      </w:r>
    </w:p>
    <w:p w14:paraId="31346FCB" w14:textId="77777777" w:rsidR="00AE7AC4" w:rsidRPr="00B37A02" w:rsidRDefault="00AE7AC4" w:rsidP="00C97F66">
      <w:pPr>
        <w:pStyle w:val="BodyText"/>
        <w:widowControl w:val="0"/>
        <w:spacing w:after="0"/>
        <w:rPr>
          <w:rFonts w:ascii="Times New Roman" w:hAnsi="Times New Roman"/>
          <w:sz w:val="24"/>
          <w:szCs w:val="24"/>
        </w:rPr>
      </w:pPr>
    </w:p>
    <w:p w14:paraId="7A773BE6" w14:textId="74CE80E9"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 xml:space="preserve">Vienlīdzīgai piekļuvei </w:t>
      </w:r>
      <w:r w:rsidRPr="00B37A02">
        <w:rPr>
          <w:rFonts w:ascii="Times New Roman" w:hAnsi="Times New Roman"/>
          <w:b/>
          <w:bCs/>
          <w:sz w:val="24"/>
        </w:rPr>
        <w:t>cenas ziņā pieejamai un iekļaujošai agrīnajai pirmsskolas izglītībai un aprūpei, kā arī kvalitatīvai iekļaujošai izglītībai</w:t>
      </w:r>
      <w:r w:rsidRPr="00B37A02">
        <w:rPr>
          <w:rFonts w:ascii="Times New Roman" w:hAnsi="Times New Roman"/>
          <w:sz w:val="24"/>
        </w:rPr>
        <w:t xml:space="preserve"> ir izšķiroša nozīme, lai nodrošinātu vienlīdzīgas iespējas un apturētu sociālās atstumtības pārmantošanu no paaudzes paaudzē. Tomēr izglītības rezultātus gan pamatskolā, gan vidusskolā būtiski ietekmē bērna ģimenes apstākļi. Analīze par saistību starp vecāku un bērnu izglītības sasniegumiem liecina, ka cilvēki no nelabvēlīgām ģimenēm joprojām saskaras ar ievērojamām grūtībām izmantot visu savu potenciālu skolā un sasniegt labāku dzīves līmeni.</w:t>
      </w:r>
      <w:r w:rsidRPr="00B37A02">
        <w:rPr>
          <w:rStyle w:val="FootnoteReference"/>
          <w:rFonts w:ascii="Times New Roman" w:hAnsi="Times New Roman"/>
          <w:sz w:val="24"/>
          <w:szCs w:val="24"/>
        </w:rPr>
        <w:footnoteReference w:id="107"/>
      </w:r>
    </w:p>
    <w:p w14:paraId="0DEFD2E9" w14:textId="77777777" w:rsidR="00AE7AC4" w:rsidRPr="00B37A02" w:rsidRDefault="00AE7AC4" w:rsidP="00C97F66">
      <w:pPr>
        <w:pStyle w:val="BodyText"/>
        <w:widowControl w:val="0"/>
        <w:spacing w:after="0"/>
        <w:rPr>
          <w:rFonts w:ascii="Times New Roman" w:hAnsi="Times New Roman"/>
          <w:sz w:val="24"/>
          <w:szCs w:val="24"/>
        </w:rPr>
      </w:pPr>
    </w:p>
    <w:p w14:paraId="5A46286A" w14:textId="43B1900B" w:rsidR="00EC5DE2" w:rsidRPr="00B37A02" w:rsidRDefault="00BC5BDF" w:rsidP="008B0989">
      <w:pPr>
        <w:pStyle w:val="BodyText"/>
        <w:spacing w:after="0"/>
        <w:rPr>
          <w:rFonts w:ascii="Times New Roman" w:hAnsi="Times New Roman"/>
          <w:sz w:val="24"/>
          <w:szCs w:val="24"/>
        </w:rPr>
      </w:pPr>
      <w:r w:rsidRPr="00B37A02">
        <w:rPr>
          <w:rFonts w:ascii="Times New Roman" w:hAnsi="Times New Roman"/>
          <w:sz w:val="24"/>
        </w:rPr>
        <w:t xml:space="preserve">Bērnu sociālā atstumtība bieži vien nozīmē to, ka bērni, kuri dzīvo ģimenēs ar zemiem ienākumiem vai citos nelabvēlīgos apstākļos, nevar atļauties piedalīties daudzās </w:t>
      </w:r>
      <w:r w:rsidRPr="00B37A02">
        <w:rPr>
          <w:rFonts w:ascii="Times New Roman" w:hAnsi="Times New Roman"/>
          <w:b/>
          <w:bCs/>
          <w:sz w:val="24"/>
        </w:rPr>
        <w:t>skolas nodarbībās</w:t>
      </w:r>
      <w:r w:rsidRPr="00B37A02">
        <w:rPr>
          <w:rFonts w:ascii="Times New Roman" w:hAnsi="Times New Roman"/>
          <w:sz w:val="24"/>
        </w:rPr>
        <w:t>, kurās piedalās bērni, kuri atrodas labākā situācijā. Šādas nodarbības ietver skolas ekskursijas, kultūras vai sporta pasākumus</w:t>
      </w:r>
      <w:r w:rsidRPr="00B37A02">
        <w:rPr>
          <w:rStyle w:val="FootnoteReference"/>
          <w:rFonts w:ascii="Times New Roman" w:hAnsi="Times New Roman"/>
          <w:sz w:val="24"/>
          <w:szCs w:val="24"/>
        </w:rPr>
        <w:footnoteReference w:id="108"/>
      </w:r>
      <w:r w:rsidRPr="00B37A02">
        <w:rPr>
          <w:rFonts w:ascii="Times New Roman" w:hAnsi="Times New Roman"/>
          <w:sz w:val="24"/>
        </w:rPr>
        <w:t xml:space="preserve"> un līdzīgas nodarbības, kas notiek skolas vidē. Līdzās ar dārdzību saistītajiem ierobežojumiem bērniem no lauku un attāliem reģioniem, bērniem ar invaliditāti un migrantu izcelsmes bērniem var būt mazāk iespēju piedalīties šajās </w:t>
      </w:r>
      <w:r w:rsidRPr="00B37A02">
        <w:rPr>
          <w:rFonts w:ascii="Times New Roman" w:hAnsi="Times New Roman"/>
          <w:sz w:val="24"/>
        </w:rPr>
        <w:lastRenderedPageBreak/>
        <w:t>nodarbībās. Tam par iemeslu var būt atbilstošas infrastruktūras trūkums, nepietiekama piekļuve, valodas barjeras vai pārmērīgas izmaksas.</w:t>
      </w:r>
    </w:p>
    <w:p w14:paraId="3B80AF6A" w14:textId="77777777" w:rsidR="00AE7AC4" w:rsidRPr="00B37A02" w:rsidRDefault="00AE7AC4" w:rsidP="00C97F66">
      <w:pPr>
        <w:pStyle w:val="BodyText"/>
        <w:widowControl w:val="0"/>
        <w:spacing w:after="0"/>
        <w:rPr>
          <w:rFonts w:ascii="Times New Roman" w:hAnsi="Times New Roman"/>
          <w:sz w:val="24"/>
          <w:szCs w:val="24"/>
        </w:rPr>
      </w:pPr>
    </w:p>
    <w:p w14:paraId="59B50449" w14:textId="447AF11D"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 xml:space="preserve">Visā Eiropā joprojām pastāv nevienlīdzība attiecībā uz rezultātiem bērnu veselības jomā un </w:t>
      </w:r>
      <w:r w:rsidRPr="00B37A02">
        <w:rPr>
          <w:rFonts w:ascii="Times New Roman" w:hAnsi="Times New Roman"/>
          <w:b/>
          <w:bCs/>
          <w:sz w:val="24"/>
        </w:rPr>
        <w:t>piekļuvi veselības aprūpei</w:t>
      </w:r>
      <w:r w:rsidRPr="00B37A02">
        <w:rPr>
          <w:rFonts w:ascii="Times New Roman" w:hAnsi="Times New Roman"/>
          <w:sz w:val="24"/>
        </w:rPr>
        <w:t>. Nabadzībai vai citiem nelabvēlīgiem apstākļiem pakļautiem bērniem ir mazāk iespēju un resursu gūt labumu no slimību profilakses un veselības veicināšanas programmām. Pierādījumi liecina, ka pēc bērna sociālekonomiskā statusa iespējams lieliski paredzēt viņa veselības stāvokli pieaugušā vecumā, proti, uzaugšana nelabvēlīgā vidē var radīt ilgstošu kaitējumu veselībai, ko nav iespējams novērst ar augšupejošas sociālās mobilitātes palīdzību.</w:t>
      </w:r>
      <w:r w:rsidRPr="00B37A02">
        <w:rPr>
          <w:rStyle w:val="FootnoteReference"/>
          <w:rFonts w:ascii="Times New Roman" w:hAnsi="Times New Roman"/>
          <w:sz w:val="24"/>
          <w:szCs w:val="24"/>
        </w:rPr>
        <w:footnoteReference w:id="109"/>
      </w:r>
    </w:p>
    <w:p w14:paraId="033E948B" w14:textId="77777777" w:rsidR="00AE7AC4" w:rsidRPr="00B37A02" w:rsidRDefault="00AE7AC4" w:rsidP="00C97F66">
      <w:pPr>
        <w:pStyle w:val="BodyText"/>
        <w:widowControl w:val="0"/>
        <w:spacing w:after="0"/>
        <w:rPr>
          <w:rFonts w:ascii="Times New Roman" w:hAnsi="Times New Roman"/>
          <w:sz w:val="24"/>
          <w:szCs w:val="24"/>
        </w:rPr>
      </w:pPr>
    </w:p>
    <w:p w14:paraId="1418B98F" w14:textId="52D65318"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 xml:space="preserve">Arī nepietiekama piekļuve regulāram veselīgam </w:t>
      </w:r>
      <w:r w:rsidRPr="00B37A02">
        <w:rPr>
          <w:rFonts w:ascii="Times New Roman" w:hAnsi="Times New Roman"/>
          <w:b/>
          <w:bCs/>
          <w:sz w:val="24"/>
        </w:rPr>
        <w:t>uzturam</w:t>
      </w:r>
      <w:r w:rsidRPr="00B37A02">
        <w:rPr>
          <w:rFonts w:ascii="Times New Roman" w:hAnsi="Times New Roman"/>
          <w:sz w:val="24"/>
        </w:rPr>
        <w:t xml:space="preserve"> var būtiski pasliktināt bērna veselību un vispārējo labsajūtu. Pat īslaicīga maznodrošinātība bērnam var radīt paliekošas sekas. Nepareizs uzturs agrīnās attīstības posmā bērna pirmo trīs dzīves gadu laikā var radīt mācīšanās un atmiņas traucējumus, zemākus izglītības rezultātus, kā arī uzvedības problēmas bērnībā un pusaudžu vecumā.</w:t>
      </w:r>
      <w:r w:rsidRPr="00B37A02">
        <w:rPr>
          <w:rStyle w:val="FootnoteReference"/>
          <w:rFonts w:ascii="Times New Roman" w:hAnsi="Times New Roman"/>
          <w:sz w:val="24"/>
          <w:szCs w:val="24"/>
        </w:rPr>
        <w:footnoteReference w:id="110"/>
      </w:r>
    </w:p>
    <w:p w14:paraId="199CFA7B" w14:textId="77777777" w:rsidR="00AE7AC4" w:rsidRPr="00B37A02" w:rsidRDefault="00AE7AC4" w:rsidP="00C97F66">
      <w:pPr>
        <w:pStyle w:val="BodyText"/>
        <w:widowControl w:val="0"/>
        <w:spacing w:after="0"/>
        <w:rPr>
          <w:rFonts w:ascii="Times New Roman" w:hAnsi="Times New Roman"/>
          <w:b/>
          <w:sz w:val="24"/>
          <w:szCs w:val="24"/>
        </w:rPr>
      </w:pPr>
    </w:p>
    <w:p w14:paraId="6AD7B26C" w14:textId="12D53D4A" w:rsidR="00BC5BDF"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b/>
          <w:bCs/>
          <w:sz w:val="24"/>
        </w:rPr>
        <w:t>Neatbilstošs mājoklis</w:t>
      </w:r>
      <w:r w:rsidRPr="00B37A02">
        <w:rPr>
          <w:rFonts w:ascii="Times New Roman" w:hAnsi="Times New Roman"/>
          <w:sz w:val="24"/>
        </w:rPr>
        <w:t xml:space="preserve"> ir vēl viena nelabvēlīgu apstākļu izpausme. Gan apstākļi mājās (piemēram, apgaismojuma un rotaļu vietas trūkums, nepietiekama apkure vai caurs jumts) un neatbilstoši apkārtējās vides apstākļi (piesārņojums, netīrumi, nedrošība, nespēja piekļūt zaļajām zonām) var būt par iemeslu sliktai veselībai, nelaimes gadījumiem, sliktām mācību sekmēm un vispārējas labklājības trūkumam. Dzīvošana neatbilstošā mājoklī palielina risku, ka sociālās atstumtības cikls tiks pārmantots no paaudzes paaudzē, līdz ar to dziļi un ilgtermiņā ietekmējot bērnu dzīves perspektīvas. Turpmākajā nodaļā ir detalizēti aplūkoti galvenie izaicinājumi, ar kuriem nākas saskarties, nodrošinot piekļuvi pamatpakalpojumiem bērniem, kam vajadzīga palīdzība.</w:t>
      </w:r>
    </w:p>
    <w:p w14:paraId="44214A86" w14:textId="77777777" w:rsidR="00B64624" w:rsidRPr="00B37A02" w:rsidRDefault="00B64624" w:rsidP="00C97F66">
      <w:pPr>
        <w:pStyle w:val="BodyText"/>
        <w:widowControl w:val="0"/>
        <w:spacing w:after="0"/>
        <w:rPr>
          <w:rFonts w:ascii="Times New Roman" w:hAnsi="Times New Roman"/>
          <w:sz w:val="24"/>
          <w:szCs w:val="24"/>
        </w:rPr>
      </w:pPr>
    </w:p>
    <w:p w14:paraId="1F7883C7" w14:textId="2BABBE7B" w:rsidR="00B64624" w:rsidRPr="00B37A02" w:rsidRDefault="00CA35DB" w:rsidP="00C97F66">
      <w:pPr>
        <w:spacing w:after="0" w:line="240" w:lineRule="auto"/>
        <w:rPr>
          <w:rFonts w:ascii="Times New Roman" w:eastAsiaTheme="majorEastAsia" w:hAnsi="Times New Roman" w:cs="Times New Roman"/>
          <w:color w:val="2E74B5" w:themeColor="accent1" w:themeShade="BF"/>
          <w:sz w:val="24"/>
          <w:szCs w:val="26"/>
        </w:rPr>
      </w:pPr>
      <w:bookmarkStart w:id="100" w:name="_Ref48752966"/>
      <w:bookmarkStart w:id="101" w:name="_Toc54363167"/>
      <w:bookmarkStart w:id="102" w:name="_Toc56153641"/>
      <w:bookmarkStart w:id="103" w:name="_Toc55633713"/>
      <w:bookmarkStart w:id="104" w:name="_Toc61713367"/>
      <w:bookmarkStart w:id="105" w:name="_Toc61856809"/>
      <w:bookmarkStart w:id="106" w:name="_Toc62463033"/>
      <w:r w:rsidRPr="00B37A02">
        <w:rPr>
          <w:rFonts w:ascii="Times New Roman" w:hAnsi="Times New Roman" w:cs="Times New Roman"/>
          <w:color w:val="2E74B5" w:themeColor="accent1" w:themeShade="BF"/>
          <w:sz w:val="24"/>
        </w:rPr>
        <w:t>3.1. Agrīnā pirmsskolas izglītība un aprūpe (</w:t>
      </w:r>
      <w:r w:rsidRPr="00B37A02">
        <w:rPr>
          <w:rFonts w:ascii="Times New Roman" w:hAnsi="Times New Roman" w:cs="Times New Roman"/>
          <w:i/>
          <w:iCs/>
          <w:color w:val="2E74B5" w:themeColor="accent1" w:themeShade="BF"/>
          <w:sz w:val="24"/>
        </w:rPr>
        <w:t>ECEC</w:t>
      </w:r>
      <w:r w:rsidRPr="00B37A02">
        <w:rPr>
          <w:rFonts w:ascii="Times New Roman" w:hAnsi="Times New Roman" w:cs="Times New Roman"/>
          <w:color w:val="2E74B5" w:themeColor="accent1" w:themeShade="BF"/>
          <w:sz w:val="24"/>
        </w:rPr>
        <w:t>)</w:t>
      </w:r>
    </w:p>
    <w:p w14:paraId="76B743BB" w14:textId="77777777" w:rsidR="00CA35DB" w:rsidRPr="00B37A02" w:rsidRDefault="00CA35DB" w:rsidP="00C97F66">
      <w:pPr>
        <w:spacing w:after="0" w:line="240" w:lineRule="auto"/>
        <w:rPr>
          <w:rFonts w:ascii="Times New Roman" w:hAnsi="Times New Roman" w:cs="Times New Roman"/>
        </w:rPr>
      </w:pPr>
    </w:p>
    <w:p w14:paraId="39D26B4C" w14:textId="6C5756E5" w:rsidR="00BC5BDF" w:rsidRPr="00B37A02" w:rsidRDefault="00BC5BDF" w:rsidP="00C97F66">
      <w:pPr>
        <w:pStyle w:val="BodyText"/>
        <w:widowControl w:val="0"/>
        <w:spacing w:after="0"/>
        <w:rPr>
          <w:rFonts w:ascii="Times New Roman" w:hAnsi="Times New Roman"/>
          <w:sz w:val="24"/>
        </w:rPr>
      </w:pPr>
      <w:r w:rsidRPr="00B37A02">
        <w:rPr>
          <w:rFonts w:ascii="Times New Roman" w:hAnsi="Times New Roman"/>
          <w:sz w:val="24"/>
        </w:rPr>
        <w:t>Ar agrīno pirmsskolas izglītību un aprūpi (</w:t>
      </w:r>
      <w:r w:rsidRPr="00B37A02">
        <w:rPr>
          <w:rFonts w:ascii="Times New Roman" w:hAnsi="Times New Roman"/>
          <w:i/>
          <w:iCs/>
          <w:sz w:val="24"/>
        </w:rPr>
        <w:t>ECEC</w:t>
      </w:r>
      <w:r w:rsidRPr="00B37A02">
        <w:rPr>
          <w:rFonts w:ascii="Times New Roman" w:hAnsi="Times New Roman"/>
          <w:sz w:val="24"/>
        </w:rPr>
        <w:t>) saprot jebkuru regulētu pasākumu, kas paredz nodrošināt bērniem izglītību un aprūpi no viņu dzimšanas līdz obligātajam skolas vecumam neatkarīgi no vides, finansējuma, darba laika vai programmas satura. Šeit ietilpst: i) centrs vai ģimenes dienas aprūpe; ii) privāti vai publiski finansēti pakalpojumi; iii) pirmsskolas un sākumskolas izglītības pakalpojumi.</w:t>
      </w:r>
      <w:r w:rsidRPr="00B37A02">
        <w:rPr>
          <w:rStyle w:val="FootnoteReference"/>
          <w:rFonts w:ascii="Times New Roman" w:hAnsi="Times New Roman"/>
          <w:sz w:val="24"/>
        </w:rPr>
        <w:footnoteReference w:id="111"/>
      </w:r>
    </w:p>
    <w:p w14:paraId="6DAD8F51" w14:textId="77777777" w:rsidR="00B64624" w:rsidRPr="00B37A02" w:rsidRDefault="00B64624" w:rsidP="00C97F66">
      <w:pPr>
        <w:pStyle w:val="BodyText"/>
        <w:widowControl w:val="0"/>
        <w:spacing w:after="0"/>
        <w:rPr>
          <w:rFonts w:ascii="Times New Roman" w:hAnsi="Times New Roman"/>
          <w:sz w:val="24"/>
        </w:rPr>
      </w:pPr>
    </w:p>
    <w:p w14:paraId="3720472D" w14:textId="52945D60" w:rsidR="00B64624" w:rsidRPr="00B37A02" w:rsidRDefault="00CA35DB" w:rsidP="00C97F66">
      <w:pPr>
        <w:spacing w:after="0" w:line="240" w:lineRule="auto"/>
        <w:rPr>
          <w:rFonts w:ascii="Times New Roman" w:eastAsiaTheme="majorEastAsia" w:hAnsi="Times New Roman" w:cs="Times New Roman"/>
          <w:color w:val="2E74B5" w:themeColor="accent1" w:themeShade="BF"/>
          <w:sz w:val="24"/>
          <w:szCs w:val="24"/>
        </w:rPr>
      </w:pPr>
      <w:r w:rsidRPr="00B37A02">
        <w:rPr>
          <w:rFonts w:ascii="Times New Roman" w:hAnsi="Times New Roman" w:cs="Times New Roman"/>
          <w:color w:val="2E74B5" w:themeColor="accent1" w:themeShade="BF"/>
          <w:sz w:val="24"/>
        </w:rPr>
        <w:t xml:space="preserve">3.1.1. </w:t>
      </w:r>
      <w:r w:rsidRPr="00B37A02">
        <w:rPr>
          <w:rFonts w:ascii="Times New Roman" w:hAnsi="Times New Roman" w:cs="Times New Roman"/>
          <w:i/>
          <w:iCs/>
          <w:color w:val="2E74B5" w:themeColor="accent1" w:themeShade="BF"/>
          <w:sz w:val="24"/>
        </w:rPr>
        <w:t>ECEC</w:t>
      </w:r>
      <w:r w:rsidRPr="00B37A02">
        <w:rPr>
          <w:rFonts w:ascii="Times New Roman" w:hAnsi="Times New Roman" w:cs="Times New Roman"/>
          <w:color w:val="2E74B5" w:themeColor="accent1" w:themeShade="BF"/>
          <w:sz w:val="24"/>
        </w:rPr>
        <w:t xml:space="preserve"> pieejamība</w:t>
      </w:r>
    </w:p>
    <w:p w14:paraId="20CF01AC" w14:textId="77777777" w:rsidR="00CA35DB" w:rsidRPr="00B37A02" w:rsidRDefault="00CA35DB" w:rsidP="00C97F66">
      <w:pPr>
        <w:spacing w:after="0" w:line="240" w:lineRule="auto"/>
        <w:rPr>
          <w:rFonts w:ascii="Times New Roman" w:hAnsi="Times New Roman" w:cs="Times New Roman"/>
        </w:rPr>
      </w:pPr>
    </w:p>
    <w:p w14:paraId="2F6CBC8F" w14:textId="77777777" w:rsidR="002E6D8F" w:rsidRDefault="00BC5BDF" w:rsidP="002E6D8F">
      <w:pPr>
        <w:pStyle w:val="BodyText"/>
        <w:widowControl w:val="0"/>
        <w:tabs>
          <w:tab w:val="left" w:pos="284"/>
          <w:tab w:val="left" w:pos="2410"/>
          <w:tab w:val="left" w:pos="9072"/>
        </w:tabs>
        <w:spacing w:after="0"/>
        <w:ind w:right="-1"/>
        <w:rPr>
          <w:rFonts w:ascii="Times New Roman" w:hAnsi="Times New Roman"/>
          <w:sz w:val="24"/>
        </w:rPr>
      </w:pPr>
      <w:r w:rsidRPr="00B37A02">
        <w:rPr>
          <w:rFonts w:ascii="Times New Roman" w:hAnsi="Times New Roman"/>
          <w:sz w:val="24"/>
        </w:rPr>
        <w:t>2002. gadā Padome tikās Barselonā, lai noteiktu mērķus dalībai agrīnajā pirmsskolas izglītībā un aprūpē. Šie mērķi paredzēja, ka dalībvalstīm līdz 2010. gadam ir jānodrošina bērnu aprūpe vismaz 90 % bērnu vecumā no 3 gadiem līdz obligātajam skolas vecumam, kā arī vismaz 33 % bērnu, kuri ir jaunāki par 3 gadiem. Lai gan vispārējie mērķi ES līmenī lielākoties ir sasniegti, dalībvalstīs joprojām pastāv ievērojamas atšķirības attiecībā uz uzņemšanu iestādēs kopumā un jo īpaši attiecībā uz nabadzības vai sociālās atstumtības riskam pakļauto bērnu dalību.</w:t>
      </w:r>
      <w:r w:rsidRPr="00B37A02">
        <w:rPr>
          <w:rStyle w:val="FootnoteReference"/>
          <w:rFonts w:ascii="Times New Roman" w:hAnsi="Times New Roman"/>
          <w:sz w:val="24"/>
          <w:szCs w:val="24"/>
        </w:rPr>
        <w:footnoteReference w:id="112"/>
      </w:r>
      <w:r w:rsidRPr="00B37A02">
        <w:rPr>
          <w:rFonts w:ascii="Times New Roman" w:hAnsi="Times New Roman"/>
          <w:sz w:val="24"/>
        </w:rPr>
        <w:t xml:space="preserve"> Tāpat </w:t>
      </w:r>
      <w:r w:rsidRPr="00B37A02">
        <w:rPr>
          <w:rFonts w:ascii="Times New Roman" w:hAnsi="Times New Roman"/>
          <w:sz w:val="24"/>
        </w:rPr>
        <w:lastRenderedPageBreak/>
        <w:t>ar Komisijas paziņojumu par dzimumu līdztiesības stratēģiju 2020.–2025. gadam tika ierosināts pārskatīt Barselonas konvencijas mērķus, lai nodrošinātu turpmāku augšupēju konverģenci. Šī apņemšanās ir uzsvērta arī Eiropas sociālo tiesību pīlāra rīcības plānā, un Komisija 2022. gadā ierosinās jaunus mērķus. Turklāt ar Padomes 2021. gada Rezolūciju par stratēģisku satvaru Eiropas sadarbībai izglītības un mācību jomā ceļā uz Eiropas izglītības telpu un turpmāk</w:t>
      </w:r>
    </w:p>
    <w:p w14:paraId="1EA84B0A" w14:textId="1390A73E" w:rsidR="00BC5BDF" w:rsidRPr="00B37A02" w:rsidRDefault="00BC5BDF" w:rsidP="002E6D8F">
      <w:pPr>
        <w:pStyle w:val="BodyText"/>
        <w:widowControl w:val="0"/>
        <w:tabs>
          <w:tab w:val="left" w:pos="284"/>
          <w:tab w:val="left" w:pos="2410"/>
          <w:tab w:val="left" w:pos="9072"/>
        </w:tabs>
        <w:spacing w:after="0"/>
        <w:ind w:right="-1"/>
        <w:rPr>
          <w:rFonts w:ascii="Times New Roman" w:hAnsi="Times New Roman"/>
          <w:sz w:val="24"/>
          <w:szCs w:val="24"/>
        </w:rPr>
      </w:pPr>
      <w:r w:rsidRPr="00B37A02">
        <w:rPr>
          <w:rFonts w:ascii="Times New Roman" w:hAnsi="Times New Roman"/>
          <w:sz w:val="24"/>
        </w:rPr>
        <w:t>(2021–2030)</w:t>
      </w:r>
      <w:r w:rsidRPr="00B37A02">
        <w:rPr>
          <w:rStyle w:val="FootnoteReference"/>
          <w:rFonts w:ascii="Times New Roman" w:hAnsi="Times New Roman"/>
          <w:sz w:val="24"/>
          <w:szCs w:val="24"/>
        </w:rPr>
        <w:footnoteReference w:id="113"/>
      </w:r>
      <w:r w:rsidRPr="00B37A02">
        <w:rPr>
          <w:rFonts w:ascii="Times New Roman" w:hAnsi="Times New Roman"/>
          <w:sz w:val="24"/>
        </w:rPr>
        <w:t xml:space="preserve"> tika panākta vienošanās par ES mērķi panākt, ka </w:t>
      </w:r>
      <w:r w:rsidRPr="00B37A02">
        <w:rPr>
          <w:rFonts w:ascii="Times New Roman" w:hAnsi="Times New Roman"/>
          <w:i/>
          <w:iCs/>
          <w:sz w:val="24"/>
        </w:rPr>
        <w:t>ECEC</w:t>
      </w:r>
      <w:r w:rsidRPr="00B37A02">
        <w:rPr>
          <w:rFonts w:ascii="Times New Roman" w:hAnsi="Times New Roman"/>
          <w:sz w:val="24"/>
        </w:rPr>
        <w:t xml:space="preserve"> ir iesaistīti vismaz 96 % bērnu vecumā no 3 gadiem līdz vecumam, kad jāsāk obligātā pamatskolas izglītība.</w:t>
      </w:r>
      <w:r w:rsidRPr="00B37A02">
        <w:rPr>
          <w:rStyle w:val="FootnoteReference"/>
          <w:rFonts w:ascii="Times New Roman" w:hAnsi="Times New Roman"/>
          <w:sz w:val="24"/>
          <w:szCs w:val="24"/>
        </w:rPr>
        <w:footnoteReference w:id="114"/>
      </w:r>
    </w:p>
    <w:p w14:paraId="1520FF49" w14:textId="77777777" w:rsidR="00AE7AC4" w:rsidRPr="00B37A02" w:rsidRDefault="00AE7AC4" w:rsidP="00C97F66">
      <w:pPr>
        <w:pStyle w:val="BodyText"/>
        <w:widowControl w:val="0"/>
        <w:spacing w:after="0"/>
        <w:rPr>
          <w:rFonts w:ascii="Times New Roman" w:hAnsi="Times New Roman"/>
          <w:sz w:val="24"/>
          <w:szCs w:val="24"/>
        </w:rPr>
      </w:pPr>
    </w:p>
    <w:p w14:paraId="3953890A" w14:textId="2DF46DB2" w:rsidR="00BC5BDF"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i/>
          <w:iCs/>
          <w:sz w:val="24"/>
        </w:rPr>
        <w:t>ECEC</w:t>
      </w:r>
      <w:r w:rsidRPr="00B37A02">
        <w:rPr>
          <w:rFonts w:ascii="Times New Roman" w:hAnsi="Times New Roman"/>
          <w:sz w:val="24"/>
        </w:rPr>
        <w:t xml:space="preserve"> nodrošināšana maziem bērniem (vecumā līdz 3 gadiem) ir īpaši problemātiska Slovākijā, Čehijā, Polijā, Rumānijā un Horvātijā. Nīderlandē, Īrijā un Austrijā vairums bērnu apmeklē šīs iestādes mazāk par 30 stundām nedēļā. Šāda “nepilna laika” apmeklēšana rada bažas par vecāku, jo īpaši māšu, dalību darba tirgū, un tā var apgrūtināt bērnu izglītību un socializāciju.</w:t>
      </w:r>
      <w:r w:rsidRPr="00B37A02">
        <w:rPr>
          <w:rStyle w:val="FootnoteReference"/>
          <w:rFonts w:ascii="Times New Roman" w:hAnsi="Times New Roman"/>
          <w:sz w:val="24"/>
          <w:szCs w:val="24"/>
        </w:rPr>
        <w:footnoteReference w:id="115"/>
      </w:r>
    </w:p>
    <w:p w14:paraId="2D11A92D" w14:textId="77777777" w:rsidR="00AE7AC4" w:rsidRPr="00B37A02" w:rsidRDefault="00AE7AC4" w:rsidP="00C97F66">
      <w:pPr>
        <w:pStyle w:val="BodyText"/>
        <w:widowControl w:val="0"/>
        <w:spacing w:after="0"/>
        <w:rPr>
          <w:rFonts w:ascii="Times New Roman" w:hAnsi="Times New Roman"/>
          <w:sz w:val="24"/>
          <w:szCs w:val="24"/>
        </w:rPr>
      </w:pPr>
    </w:p>
    <w:p w14:paraId="54BD0645" w14:textId="2DEE6126" w:rsidR="00BC5BDF"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 xml:space="preserve">Pierādījumi liecina par ievērojami zemākiem </w:t>
      </w:r>
      <w:r w:rsidRPr="00B37A02">
        <w:rPr>
          <w:rFonts w:ascii="Times New Roman" w:hAnsi="Times New Roman"/>
          <w:i/>
          <w:iCs/>
          <w:sz w:val="24"/>
        </w:rPr>
        <w:t>ECEC</w:t>
      </w:r>
      <w:r w:rsidRPr="00B37A02">
        <w:rPr>
          <w:rFonts w:ascii="Times New Roman" w:hAnsi="Times New Roman"/>
          <w:sz w:val="24"/>
        </w:rPr>
        <w:t xml:space="preserve"> iestāžu apmeklēšanas rādītājiem attiecībā uz bērniem, kuri ir pakļauti sliktākiem sociālekonomiskajiem apstākļiem vai ir no sociāli nelabvēlīgām grupām. Laika gaitā formālās bērnu aprūpes izmantošana ir palielinājusies starp visām ienākumu grupām, taču nevienlīdzība tās izmantošanā nav mazinājusies.</w:t>
      </w:r>
      <w:r w:rsidRPr="00B37A02">
        <w:rPr>
          <w:rStyle w:val="FootnoteReference"/>
          <w:rFonts w:ascii="Times New Roman" w:hAnsi="Times New Roman"/>
          <w:sz w:val="24"/>
          <w:szCs w:val="24"/>
        </w:rPr>
        <w:footnoteReference w:id="116"/>
      </w:r>
      <w:r w:rsidRPr="00B37A02">
        <w:rPr>
          <w:rFonts w:ascii="Times New Roman" w:hAnsi="Times New Roman"/>
          <w:sz w:val="24"/>
        </w:rPr>
        <w:t xml:space="preserve"> Literatūras apskatā</w:t>
      </w:r>
      <w:r w:rsidRPr="00B37A02">
        <w:rPr>
          <w:rFonts w:ascii="Times New Roman" w:hAnsi="Times New Roman"/>
          <w:sz w:val="24"/>
          <w:szCs w:val="24"/>
          <w:vertAlign w:val="superscript"/>
        </w:rPr>
        <w:footnoteReference w:id="117"/>
      </w:r>
      <w:r w:rsidRPr="00B37A02">
        <w:rPr>
          <w:rFonts w:ascii="Times New Roman" w:hAnsi="Times New Roman"/>
          <w:sz w:val="24"/>
        </w:rPr>
        <w:t xml:space="preserve"> tika secināts, ka bērnu no nelabvēlīgas vides īpatsvars bērnu aprūpes pakalpojumu saņēmēju vidū ir ļoti zems. Šis īpatsvars bija īpaši zems attiecībā uz maziem bērniem (vecumā līdz 3 gadiem) no nelabvēlīgas vides. Faktori, kas visbiežāk saistāmi ar zemo līdzdalības līmeni, ietver: i) zemu vecāku sociālekonomisko statusu; ii) nestrādājošas mātes; iii) minoritāšu etnisko piederību, kā arī iv) dzīvošanu nabadzīgā apkaimē, lauku apvidū vai atstumtā kopienā. Ļoti zems līdzdalības līmenis novērojams attiecībā uz romu bērniem.</w:t>
      </w:r>
    </w:p>
    <w:p w14:paraId="5A822D58" w14:textId="77777777" w:rsidR="00AE7AC4" w:rsidRPr="00B37A02" w:rsidRDefault="00AE7AC4" w:rsidP="00C97F66">
      <w:pPr>
        <w:pStyle w:val="BodyText"/>
        <w:widowControl w:val="0"/>
        <w:spacing w:after="0"/>
        <w:rPr>
          <w:rFonts w:ascii="Times New Roman" w:hAnsi="Times New Roman"/>
          <w:sz w:val="24"/>
          <w:szCs w:val="24"/>
        </w:rPr>
      </w:pPr>
    </w:p>
    <w:p w14:paraId="4395501B" w14:textId="1993E9EF"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Šāda nevienlīdzība bērna agrīnajā dzīves posmā turpmāk bērna dzīves laikā izpaužas kā: i) sliktākas mācību sekmes; ii) zemāks izglītības līmenis un mazāk veiksmīga izglītības pabeigšana, kā arī iii) vājākas nodarbinātības izredzes pieaugušā vecumā.</w:t>
      </w:r>
    </w:p>
    <w:p w14:paraId="5AD85F29" w14:textId="77777777" w:rsidR="00B64624" w:rsidRPr="00B37A02" w:rsidRDefault="00B64624" w:rsidP="00C97F66">
      <w:pPr>
        <w:pStyle w:val="BodyText"/>
        <w:widowControl w:val="0"/>
        <w:spacing w:after="0"/>
        <w:rPr>
          <w:rFonts w:ascii="Times New Roman" w:hAnsi="Times New Roman"/>
          <w:sz w:val="24"/>
          <w:szCs w:val="24"/>
        </w:rPr>
      </w:pPr>
    </w:p>
    <w:p w14:paraId="37EB0266" w14:textId="78A7AD53" w:rsidR="00B64624" w:rsidRPr="00B37A02" w:rsidRDefault="00CA35DB" w:rsidP="00C97F66">
      <w:pPr>
        <w:spacing w:after="0" w:line="240" w:lineRule="auto"/>
        <w:rPr>
          <w:rFonts w:ascii="Times New Roman" w:eastAsiaTheme="majorEastAsia" w:hAnsi="Times New Roman" w:cs="Times New Roman"/>
          <w:color w:val="2E74B5" w:themeColor="accent1" w:themeShade="BF"/>
          <w:sz w:val="24"/>
          <w:szCs w:val="24"/>
        </w:rPr>
      </w:pPr>
      <w:r w:rsidRPr="00B37A02">
        <w:rPr>
          <w:rFonts w:ascii="Times New Roman" w:hAnsi="Times New Roman" w:cs="Times New Roman"/>
          <w:color w:val="2E74B5" w:themeColor="accent1" w:themeShade="BF"/>
          <w:sz w:val="24"/>
        </w:rPr>
        <w:t xml:space="preserve">3.1.2. </w:t>
      </w:r>
      <w:r w:rsidRPr="00B37A02">
        <w:rPr>
          <w:rFonts w:ascii="Times New Roman" w:hAnsi="Times New Roman" w:cs="Times New Roman"/>
          <w:i/>
          <w:iCs/>
          <w:color w:val="2E74B5" w:themeColor="accent1" w:themeShade="BF"/>
          <w:sz w:val="24"/>
        </w:rPr>
        <w:t>ECEC</w:t>
      </w:r>
      <w:r w:rsidRPr="00B37A02">
        <w:rPr>
          <w:rFonts w:ascii="Times New Roman" w:hAnsi="Times New Roman" w:cs="Times New Roman"/>
          <w:color w:val="2E74B5" w:themeColor="accent1" w:themeShade="BF"/>
          <w:sz w:val="24"/>
        </w:rPr>
        <w:t xml:space="preserve"> pieejamība cenas ziņā</w:t>
      </w:r>
    </w:p>
    <w:p w14:paraId="53B15485" w14:textId="77777777" w:rsidR="00CA35DB" w:rsidRPr="00B37A02" w:rsidRDefault="00CA35DB" w:rsidP="00C97F66">
      <w:pPr>
        <w:spacing w:after="0" w:line="240" w:lineRule="auto"/>
        <w:rPr>
          <w:rFonts w:ascii="Times New Roman" w:hAnsi="Times New Roman" w:cs="Times New Roman"/>
        </w:rPr>
      </w:pPr>
    </w:p>
    <w:p w14:paraId="544C6C03" w14:textId="77777777"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Agrīno pirmsskolas izglītību un aprūpi dalībvalstīs apmaksā dažādi. Tas atspoguļo šai izglītībai un aprūpei atvēlēto valsts izdevumu īpatsvaru, kas svārstās no 0,4 % no IKP Īrijā līdz 1,6 % no IKP Zviedrijā. Ir ieviesti dažādi pasākumi, lai pakalpojumi būtu cenas ziņā pieejami visiem bērniem.</w:t>
      </w:r>
      <w:r w:rsidRPr="00B37A02">
        <w:rPr>
          <w:rStyle w:val="FootnoteReference"/>
          <w:rFonts w:ascii="Times New Roman" w:hAnsi="Times New Roman"/>
          <w:sz w:val="24"/>
          <w:szCs w:val="24"/>
        </w:rPr>
        <w:footnoteReference w:id="118"/>
      </w:r>
      <w:r w:rsidRPr="00B37A02">
        <w:rPr>
          <w:rFonts w:ascii="Times New Roman" w:hAnsi="Times New Roman"/>
          <w:sz w:val="24"/>
        </w:rPr>
        <w:t xml:space="preserve"> Dažās dalībvalstīs ģimenes ar zemiem ienākumiem saņem pabalstus, lai segtu bērnu aprūpes izmaksas (arī pilnīgu izdevumu kompensāciju), taču tām ir arī prioritāra piekļuve pakalpojumiem.</w:t>
      </w:r>
      <w:r w:rsidRPr="00B37A02">
        <w:rPr>
          <w:rStyle w:val="FootnoteReference"/>
          <w:rFonts w:ascii="Times New Roman" w:hAnsi="Times New Roman"/>
          <w:sz w:val="24"/>
          <w:szCs w:val="24"/>
        </w:rPr>
        <w:footnoteReference w:id="119"/>
      </w:r>
    </w:p>
    <w:p w14:paraId="1D9E58F3" w14:textId="77777777" w:rsidR="00AE7AC4" w:rsidRPr="00B37A02" w:rsidRDefault="00AE7AC4" w:rsidP="00C97F66">
      <w:pPr>
        <w:pStyle w:val="BodyText"/>
        <w:widowControl w:val="0"/>
        <w:spacing w:after="0"/>
        <w:rPr>
          <w:rFonts w:ascii="Times New Roman" w:hAnsi="Times New Roman"/>
          <w:sz w:val="24"/>
          <w:szCs w:val="24"/>
        </w:rPr>
      </w:pPr>
    </w:p>
    <w:p w14:paraId="617FF7DC" w14:textId="7F1D2EEE"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 xml:space="preserve">Lai gan pieejams dažādu veidu atbalsts, “personīgās” (vai “neto”) izmaksas par </w:t>
      </w:r>
      <w:r w:rsidRPr="00B37A02">
        <w:rPr>
          <w:rFonts w:ascii="Times New Roman" w:hAnsi="Times New Roman"/>
          <w:i/>
          <w:iCs/>
          <w:sz w:val="24"/>
        </w:rPr>
        <w:t>ECEC</w:t>
      </w:r>
      <w:r w:rsidRPr="00B37A02">
        <w:rPr>
          <w:rFonts w:ascii="Times New Roman" w:hAnsi="Times New Roman"/>
          <w:sz w:val="24"/>
        </w:rPr>
        <w:t xml:space="preserve"> ir lielas daudzās dalībvalstīs. Aprēķini, izmantojot salīdzināmus datus par bērnu aprūpes cenām, liecina, </w:t>
      </w:r>
      <w:r w:rsidRPr="00B37A02">
        <w:rPr>
          <w:rFonts w:ascii="Times New Roman" w:hAnsi="Times New Roman"/>
          <w:sz w:val="24"/>
        </w:rPr>
        <w:lastRenderedPageBreak/>
        <w:t>ka neto izmaksas pieaug līdz vairāk nekā trešdaļai no sieviešu vidējās izpeļņas Īrijā un Slovākijā.</w:t>
      </w:r>
      <w:r w:rsidRPr="00B37A02">
        <w:rPr>
          <w:rStyle w:val="FootnoteReference"/>
          <w:rFonts w:ascii="Times New Roman" w:hAnsi="Times New Roman"/>
          <w:sz w:val="24"/>
          <w:szCs w:val="24"/>
        </w:rPr>
        <w:footnoteReference w:id="120"/>
      </w:r>
      <w:r w:rsidRPr="00B37A02">
        <w:rPr>
          <w:rFonts w:ascii="Times New Roman" w:hAnsi="Times New Roman"/>
          <w:sz w:val="24"/>
        </w:rPr>
        <w:t xml:space="preserve"> Visā ES augstās maksas ir galvenais šķērslis, kura dēļ mājsaimniecībās ar apgādājamiem bērniem vecāki izvēlas nesūtīt bērnus uz agrīnās pirmsskolas izglītības un aprūpes iestādi. Sociāli nelabvēlīgu apstākļu ietekme uz līdzdalību ir būtiska. Piemēram, dzīvošana ģimenē, kura ir pakļauta nabadzības vai sociālās atstumtības riskam vai pieder tikai pie zemākā ienākumu līmeņa, būtiski samazina iespēju uzņemt iestādēs bērnus, kuri ir jaunāki par 3 gadiem, un mazākā mērā bērnus vecumā no 3 gadiem līdz minimālajam vecumam, kad jāsāk obligātā pamatskolas izglītība.</w:t>
      </w:r>
    </w:p>
    <w:p w14:paraId="170D599D" w14:textId="77777777" w:rsidR="00AE7AC4" w:rsidRPr="00B37A02" w:rsidRDefault="00AE7AC4" w:rsidP="00C97F66">
      <w:pPr>
        <w:pStyle w:val="BodyText"/>
        <w:widowControl w:val="0"/>
        <w:spacing w:after="0"/>
        <w:rPr>
          <w:rFonts w:ascii="Times New Roman" w:hAnsi="Times New Roman"/>
          <w:sz w:val="24"/>
          <w:szCs w:val="24"/>
        </w:rPr>
      </w:pPr>
    </w:p>
    <w:p w14:paraId="25994FE6" w14:textId="5EC718C0" w:rsidR="00BC5BDF"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Arī vecāku izglītības līmenim ir nozīme, proti, bērni, kuru mātes ir ieguvušas augstāko izglītību, biežāk apmeklē agrīnās pirmsskolas izglītības un aprūpes iestādes.</w:t>
      </w:r>
      <w:r w:rsidRPr="00B37A02">
        <w:rPr>
          <w:rStyle w:val="FootnoteReference"/>
          <w:rFonts w:ascii="Times New Roman" w:hAnsi="Times New Roman"/>
          <w:sz w:val="24"/>
          <w:szCs w:val="24"/>
        </w:rPr>
        <w:footnoteReference w:id="121"/>
      </w:r>
    </w:p>
    <w:p w14:paraId="4D9D5D9B" w14:textId="77777777" w:rsidR="00B64624" w:rsidRPr="00B37A02" w:rsidRDefault="00B64624" w:rsidP="00C97F66">
      <w:pPr>
        <w:pStyle w:val="BodyText"/>
        <w:widowControl w:val="0"/>
        <w:spacing w:after="0"/>
        <w:rPr>
          <w:rFonts w:ascii="Times New Roman" w:hAnsi="Times New Roman"/>
          <w:sz w:val="24"/>
          <w:szCs w:val="24"/>
        </w:rPr>
      </w:pPr>
    </w:p>
    <w:bookmarkEnd w:id="100"/>
    <w:bookmarkEnd w:id="101"/>
    <w:bookmarkEnd w:id="102"/>
    <w:bookmarkEnd w:id="103"/>
    <w:bookmarkEnd w:id="104"/>
    <w:bookmarkEnd w:id="105"/>
    <w:bookmarkEnd w:id="106"/>
    <w:p w14:paraId="4E775056" w14:textId="28072905" w:rsidR="00B64624" w:rsidRPr="00B37A02" w:rsidRDefault="00CA35DB" w:rsidP="00C97F66">
      <w:pPr>
        <w:spacing w:after="0" w:line="240" w:lineRule="auto"/>
        <w:rPr>
          <w:rFonts w:ascii="Times New Roman" w:eastAsiaTheme="majorEastAsia" w:hAnsi="Times New Roman" w:cs="Times New Roman"/>
          <w:color w:val="2E74B5" w:themeColor="accent1" w:themeShade="BF"/>
          <w:sz w:val="24"/>
          <w:szCs w:val="28"/>
        </w:rPr>
      </w:pPr>
      <w:r w:rsidRPr="00B37A02">
        <w:rPr>
          <w:rFonts w:ascii="Times New Roman" w:hAnsi="Times New Roman" w:cs="Times New Roman"/>
          <w:color w:val="2E74B5" w:themeColor="accent1" w:themeShade="BF"/>
          <w:sz w:val="24"/>
        </w:rPr>
        <w:t>3.2. Izglītība un skolas nodarbības</w:t>
      </w:r>
    </w:p>
    <w:p w14:paraId="35BD7EA8" w14:textId="77777777" w:rsidR="00CA35DB" w:rsidRPr="00B37A02" w:rsidRDefault="00CA35DB" w:rsidP="00C97F66">
      <w:pPr>
        <w:spacing w:after="0" w:line="240" w:lineRule="auto"/>
        <w:rPr>
          <w:rFonts w:ascii="Times New Roman" w:hAnsi="Times New Roman" w:cs="Times New Roman"/>
        </w:rPr>
      </w:pPr>
    </w:p>
    <w:p w14:paraId="232794DA" w14:textId="77777777" w:rsidR="00BC5BDF"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Izglītība ir veids, kā pārraut nabadzības apburto loku un nodrošināt bērniem labākas dzīves izredzes. Tas tā ir tādēļ, ka izglītība ļauj attīstīt personīgās un sociālās prasmes, kas ir svarīgas turpmākajā nodarbinātībā, mūžizglītībā un saskarsmē ar cilvēkiem. Ir pierādīts, ka kvalitatīva un iekļaujoša izglītība sekmē iecietību, cieņu pret daudzveidību, sociālo integrāciju, kohēziju un iekļaušanu. Tāpat tā palīdz samazināt noziedzību, radīt tīrāku vidi un nodrošināt labāku dzīves kvalitāti. Tomēr dati liecina, ka nelabvēlīgie apstākļi un nevienlīdzība, ar ko ģimenes saskaras, ietekmē mācību sekmes pamatskolas un vidusskolas līmenī. Izglītības sistēmas sniedz iespējas mazināt sociālo nevienlīdzību un atstumtību, taču tās arī var palielināt atšķirības, ja netiek izpildītas taisnīguma un kvalitātes prasības.</w:t>
      </w:r>
      <w:r w:rsidRPr="00B37A02">
        <w:rPr>
          <w:rStyle w:val="FootnoteReference"/>
          <w:rFonts w:ascii="Times New Roman" w:hAnsi="Times New Roman"/>
          <w:sz w:val="24"/>
          <w:szCs w:val="24"/>
        </w:rPr>
        <w:footnoteReference w:id="122"/>
      </w:r>
      <w:r w:rsidRPr="00B37A02">
        <w:rPr>
          <w:rFonts w:ascii="Times New Roman" w:hAnsi="Times New Roman"/>
          <w:sz w:val="24"/>
        </w:rPr>
        <w:t xml:space="preserve"> Ir acīmredzami, ka bērniem, kam vajadzīga palīdzība, ir nepieciešams papildu atbalsts, lai viņiem būtu labas mācību sekmes.</w:t>
      </w:r>
    </w:p>
    <w:p w14:paraId="24B444C6" w14:textId="77777777" w:rsidR="00AE7AC4" w:rsidRPr="00B37A02" w:rsidRDefault="00AE7AC4" w:rsidP="00C97F66">
      <w:pPr>
        <w:pStyle w:val="BodyText"/>
        <w:widowControl w:val="0"/>
        <w:spacing w:after="0"/>
        <w:rPr>
          <w:rFonts w:ascii="Times New Roman" w:hAnsi="Times New Roman"/>
          <w:sz w:val="24"/>
          <w:szCs w:val="24"/>
        </w:rPr>
      </w:pPr>
    </w:p>
    <w:p w14:paraId="4C285EC3" w14:textId="5C22095B"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Skolas pamešanas rādītāji ir ievērojami lielāki romu un migrantu izcelsmes bērnu vidū. Tie arī ir ievērojami augstāki attiecībā uz bērniem ar invaliditāti vai īpašām vajadzībām.</w:t>
      </w:r>
      <w:r w:rsidRPr="00B37A02">
        <w:rPr>
          <w:rStyle w:val="FootnoteReference"/>
          <w:rFonts w:ascii="Times New Roman" w:hAnsi="Times New Roman"/>
          <w:sz w:val="24"/>
          <w:szCs w:val="24"/>
        </w:rPr>
        <w:footnoteReference w:id="123"/>
      </w:r>
      <w:r w:rsidRPr="00B37A02">
        <w:rPr>
          <w:rFonts w:ascii="Times New Roman" w:hAnsi="Times New Roman"/>
          <w:sz w:val="24"/>
        </w:rPr>
        <w:t xml:space="preserve"> Šo neaizsargāto bērnu īpatsvars ir lielāks to izglītību un mācības priekšlaicīgi p</w:t>
      </w:r>
      <w:r w:rsidR="007A01E2">
        <w:rPr>
          <w:rFonts w:ascii="Times New Roman" w:hAnsi="Times New Roman"/>
          <w:sz w:val="24"/>
        </w:rPr>
        <w:t>ārtraukušo</w:t>
      </w:r>
      <w:r w:rsidRPr="00B37A02">
        <w:rPr>
          <w:rFonts w:ascii="Times New Roman" w:hAnsi="Times New Roman"/>
          <w:sz w:val="24"/>
        </w:rPr>
        <w:t xml:space="preserve"> bērnu vidū, kuri ir ieguvuši tikai pamatizglītību. Turklāt ievērojami mazāks skaits neaizsargāto bērnu iegūst vidējo un jo īpaši augstāko izglītību salīdzinājumā ar kopējo iedzīvotāju vidējo rādītāju.</w:t>
      </w:r>
      <w:r w:rsidRPr="00B37A02">
        <w:rPr>
          <w:rStyle w:val="FootnoteReference"/>
          <w:rFonts w:ascii="Times New Roman" w:hAnsi="Times New Roman"/>
          <w:sz w:val="24"/>
          <w:szCs w:val="24"/>
        </w:rPr>
        <w:footnoteReference w:id="124"/>
      </w:r>
      <w:r w:rsidRPr="00B37A02">
        <w:rPr>
          <w:rFonts w:ascii="Times New Roman" w:hAnsi="Times New Roman"/>
          <w:sz w:val="24"/>
        </w:rPr>
        <w:t xml:space="preserve"> Izglītības sistēmās pieaug migrantu izcelsmes bērnu skaits, tādēļ ir jānovērš nodalīšana skolu vidē un jāpielāgo mācību metodes.</w:t>
      </w:r>
    </w:p>
    <w:p w14:paraId="6CB090E4" w14:textId="77777777" w:rsidR="00AE7AC4" w:rsidRPr="00B37A02" w:rsidRDefault="00AE7AC4" w:rsidP="00C97F66">
      <w:pPr>
        <w:pStyle w:val="BodyText"/>
        <w:widowControl w:val="0"/>
        <w:spacing w:after="0"/>
        <w:rPr>
          <w:rFonts w:ascii="Times New Roman" w:hAnsi="Times New Roman"/>
          <w:sz w:val="24"/>
          <w:szCs w:val="24"/>
        </w:rPr>
      </w:pPr>
    </w:p>
    <w:p w14:paraId="641F7D78" w14:textId="32BF3713"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Izglītības struktūra</w:t>
      </w:r>
      <w:r w:rsidRPr="00B37A02">
        <w:rPr>
          <w:rFonts w:ascii="Times New Roman" w:hAnsi="Times New Roman"/>
          <w:sz w:val="24"/>
          <w:szCs w:val="24"/>
          <w:vertAlign w:val="superscript"/>
        </w:rPr>
        <w:footnoteReference w:id="125"/>
      </w:r>
      <w:r w:rsidRPr="00B37A02">
        <w:rPr>
          <w:rFonts w:ascii="Times New Roman" w:hAnsi="Times New Roman"/>
          <w:sz w:val="24"/>
        </w:rPr>
        <w:t xml:space="preserve"> dažādās dalībvalstīs ir ļoti atšķirīga. Pamatskolas un vidusskolas bez maksas ir pieejamas visā ES. Tomēr netiešās ar mācībām saistītās izmaksas (mācību grāmatas, maltītes skolā, skolas ekskursijas, skolas formastērpi, aprīkojums, tostarp digitālie rīki u. c.) daudzām ģimenēm joprojām rada būtiskus izdevumus.</w:t>
      </w:r>
      <w:r w:rsidRPr="00B37A02">
        <w:rPr>
          <w:rStyle w:val="FootnoteReference"/>
          <w:rFonts w:ascii="Times New Roman" w:hAnsi="Times New Roman"/>
          <w:sz w:val="24"/>
          <w:szCs w:val="24"/>
        </w:rPr>
        <w:footnoteReference w:id="126"/>
      </w:r>
      <w:r w:rsidRPr="00B37A02">
        <w:rPr>
          <w:rFonts w:ascii="Times New Roman" w:hAnsi="Times New Roman"/>
          <w:sz w:val="24"/>
        </w:rPr>
        <w:t xml:space="preserve"> Piemēram, Grieķijā un Horvātijā </w:t>
      </w:r>
      <w:r w:rsidRPr="00B37A02">
        <w:rPr>
          <w:rFonts w:ascii="Times New Roman" w:hAnsi="Times New Roman"/>
          <w:sz w:val="24"/>
        </w:rPr>
        <w:lastRenderedPageBreak/>
        <w:t>vairāk nekā 80 % ģimeņu ar zemiem ienākumiem saskaras ar grūtībām segt izmaksas par formāli bezmaksas izglītību</w:t>
      </w:r>
      <w:r w:rsidRPr="00B37A02">
        <w:rPr>
          <w:rStyle w:val="FootnoteReference"/>
          <w:rFonts w:ascii="Times New Roman" w:hAnsi="Times New Roman"/>
          <w:sz w:val="24"/>
          <w:szCs w:val="24"/>
        </w:rPr>
        <w:footnoteReference w:id="127"/>
      </w:r>
      <w:r w:rsidRPr="00B37A02">
        <w:rPr>
          <w:rStyle w:val="tlid-translation"/>
          <w:rFonts w:ascii="Times New Roman" w:hAnsi="Times New Roman"/>
          <w:sz w:val="24"/>
        </w:rPr>
        <w:t xml:space="preserve">. </w:t>
      </w:r>
      <w:r w:rsidRPr="00B37A02">
        <w:rPr>
          <w:rFonts w:ascii="Times New Roman" w:hAnsi="Times New Roman"/>
          <w:sz w:val="24"/>
        </w:rPr>
        <w:t>Izaicinājumus joprojām rada arī nodalīšana un diskriminācija, kā arī dažu neaizsargātu bērnu atstumtība, ievietojot viņus “īpašās” skolās.</w:t>
      </w:r>
      <w:r w:rsidRPr="00B37A02">
        <w:rPr>
          <w:rFonts w:ascii="Times New Roman" w:hAnsi="Times New Roman"/>
          <w:sz w:val="24"/>
          <w:szCs w:val="24"/>
          <w:vertAlign w:val="superscript"/>
        </w:rPr>
        <w:footnoteReference w:id="128"/>
      </w:r>
      <w:r w:rsidRPr="00B37A02">
        <w:rPr>
          <w:rFonts w:ascii="Times New Roman" w:hAnsi="Times New Roman"/>
          <w:sz w:val="24"/>
        </w:rPr>
        <w:t xml:space="preserve"> Risinot problēmas, ar kurām saskaras neaizsargāto bērnu un jauniešu grupas, aptverošākas darbības ir jāapvieno ar mērķorientētiem pasākumiem.</w:t>
      </w:r>
    </w:p>
    <w:p w14:paraId="1BAEFD3A" w14:textId="77777777" w:rsidR="00AE7AC4" w:rsidRPr="00B37A02" w:rsidRDefault="00AE7AC4" w:rsidP="00C97F66">
      <w:pPr>
        <w:widowControl w:val="0"/>
        <w:spacing w:after="0" w:line="240" w:lineRule="auto"/>
        <w:jc w:val="both"/>
        <w:rPr>
          <w:rFonts w:ascii="Times New Roman" w:hAnsi="Times New Roman" w:cs="Times New Roman"/>
          <w:sz w:val="24"/>
          <w:szCs w:val="24"/>
        </w:rPr>
      </w:pPr>
    </w:p>
    <w:p w14:paraId="62FB2F16" w14:textId="756DA5D9" w:rsidR="00EC5DE2" w:rsidRPr="00B37A02" w:rsidRDefault="00BC5BDF" w:rsidP="00C97F66">
      <w:pPr>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sz w:val="24"/>
        </w:rPr>
        <w:t xml:space="preserve">Lai mazinātu Covid-19 izplatību, 2020. gadā dalībvalstis pārgāja uz </w:t>
      </w:r>
      <w:r w:rsidR="006642A3">
        <w:rPr>
          <w:rFonts w:ascii="Times New Roman" w:hAnsi="Times New Roman" w:cs="Times New Roman"/>
          <w:sz w:val="24"/>
        </w:rPr>
        <w:t>attālinātajām mācībām</w:t>
      </w:r>
      <w:r w:rsidRPr="00B37A02">
        <w:rPr>
          <w:rFonts w:ascii="Times New Roman" w:hAnsi="Times New Roman" w:cs="Times New Roman"/>
          <w:sz w:val="24"/>
        </w:rPr>
        <w:t>, kas skāra aptuveni 58 miljonus pamatskolas un vidusskolas skolēnu. Laikā, kad skolas fiziski bija slēgtas, izrādījās, ka mājās pieejamajiem resursiem un vecāku iesaistei mācību darbā ir būtiska nozīme mācību procesā. Tomēr šīs iespējas nav pieejamas vienādi visiem bērniem. Komisijas Kopējā pētniecības centra</w:t>
      </w:r>
      <w:r w:rsidRPr="00B37A02">
        <w:rPr>
          <w:rStyle w:val="FootnoteReference"/>
          <w:rFonts w:ascii="Times New Roman" w:hAnsi="Times New Roman" w:cs="Times New Roman"/>
          <w:sz w:val="24"/>
          <w:szCs w:val="24"/>
        </w:rPr>
        <w:footnoteReference w:id="129"/>
      </w:r>
      <w:r w:rsidRPr="00B37A02">
        <w:rPr>
          <w:rFonts w:ascii="Times New Roman" w:hAnsi="Times New Roman" w:cs="Times New Roman"/>
          <w:sz w:val="24"/>
        </w:rPr>
        <w:t xml:space="preserve"> apsekotajā 21 dalībvalstī vairāk nekā piektdaļai ceturtās klases skolēnu trūka vismaz divi no četriem veiksmīg</w:t>
      </w:r>
      <w:r w:rsidR="002466D1">
        <w:rPr>
          <w:rFonts w:ascii="Times New Roman" w:hAnsi="Times New Roman" w:cs="Times New Roman"/>
          <w:sz w:val="24"/>
        </w:rPr>
        <w:t>ām attālinātajām mācībām</w:t>
      </w:r>
      <w:r w:rsidRPr="00B37A02">
        <w:rPr>
          <w:rFonts w:ascii="Times New Roman" w:hAnsi="Times New Roman" w:cs="Times New Roman"/>
          <w:sz w:val="24"/>
        </w:rPr>
        <w:t xml:space="preserve"> nepieciešamajiem resursiem (t. i., pašiem sava istaba, lasīšanas iespējas, piekļuve internetam un vecāku iesaiste). To bērnu īpatsvars, kuru vecākiem bija zems izglītības līmenis, bija 28 % salīdzinājumā ar 10 % īpatsvaru attiecībā uz bērniem, kuru vecākiem ir augstākā izglītība. </w:t>
      </w:r>
      <w:r w:rsidRPr="00B37A02">
        <w:rPr>
          <w:rFonts w:ascii="Times New Roman" w:hAnsi="Times New Roman" w:cs="Times New Roman"/>
          <w:i/>
          <w:iCs/>
          <w:sz w:val="24"/>
        </w:rPr>
        <w:t>Eurostat</w:t>
      </w:r>
      <w:r w:rsidRPr="00B37A02">
        <w:rPr>
          <w:rFonts w:ascii="Times New Roman" w:hAnsi="Times New Roman" w:cs="Times New Roman"/>
          <w:sz w:val="24"/>
        </w:rPr>
        <w:t xml:space="preserve"> 2019. gada dati liecina, ka piekļuve platjoslas internetam ES ievērojami atšķiras – piekļuve ir 74 % mājsaimniecību, kas pieder pie zemākās ienākumu kvartiles, un 97 % mājsaimniecību, kas pieder pie visaugstākās ienākumu kvartiles.</w:t>
      </w:r>
      <w:r w:rsidRPr="00B37A02">
        <w:rPr>
          <w:rStyle w:val="FootnoteReference"/>
          <w:rFonts w:ascii="Times New Roman" w:hAnsi="Times New Roman" w:cs="Times New Roman"/>
          <w:sz w:val="24"/>
          <w:szCs w:val="24"/>
        </w:rPr>
        <w:footnoteReference w:id="130"/>
      </w:r>
    </w:p>
    <w:p w14:paraId="4F9C1DA4" w14:textId="77777777" w:rsidR="00AE7AC4" w:rsidRPr="00B37A02" w:rsidRDefault="00AE7AC4" w:rsidP="00C97F66">
      <w:pPr>
        <w:widowControl w:val="0"/>
        <w:spacing w:after="0" w:line="240" w:lineRule="auto"/>
        <w:jc w:val="both"/>
        <w:rPr>
          <w:rFonts w:ascii="Times New Roman" w:hAnsi="Times New Roman" w:cs="Times New Roman"/>
          <w:sz w:val="24"/>
          <w:szCs w:val="24"/>
        </w:rPr>
      </w:pPr>
    </w:p>
    <w:p w14:paraId="3D554AC5" w14:textId="37C4B2AB" w:rsidR="00BC5BDF" w:rsidRPr="00B37A02" w:rsidRDefault="00BC5BDF" w:rsidP="00C97F66">
      <w:pPr>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sz w:val="24"/>
        </w:rPr>
        <w:t>Vidēji bērniem, kuriem trūkst resursu un atbalsta, jau pirms krīzes bija sliktākas sekmes, un šie bērni, visticamāk, ir vēl vairāk atpalikuši no mācībām skolu slēgšanas laikā Covid-19 dēļ. Turklāt Covid-19 pandēmijas dēļ ir samazinājies arī prakses vietu piedāvājums. Joprojām pieejamās prakses vietas saskaras ar jauniem izaicinājumiem saistībā ar praktiskās darba pieredzes trūkuma kompensēšanu ar citiem attālinātās un digitālās izglītības veidiem. Covid-19 krīzes izraisītie mācību pārtraukumi, visticamāk, palielinās esošo izglītības nevienlīdzību un radīs jaunus izaicinājumus, tostarp ietekmējot skolēnu emocionālo labklājību. Šīs problēmas risināšanai ir jāpieliek lielākas pūles, lai: i) samazinātu to jauniešu skaitu, kuri p</w:t>
      </w:r>
      <w:r w:rsidR="007B2D75">
        <w:rPr>
          <w:rFonts w:ascii="Times New Roman" w:hAnsi="Times New Roman" w:cs="Times New Roman"/>
          <w:sz w:val="24"/>
        </w:rPr>
        <w:t>ārtrauc</w:t>
      </w:r>
      <w:r w:rsidRPr="00B37A02">
        <w:rPr>
          <w:rFonts w:ascii="Times New Roman" w:hAnsi="Times New Roman" w:cs="Times New Roman"/>
          <w:sz w:val="24"/>
        </w:rPr>
        <w:t xml:space="preserve"> mācības priekšlaicīgi, pat neiegūstot vidējo izglītību; ii) samazinātu to skolēnu skaitu un īpatsvaru, kuriem ir sliktas mācību sekmes, kā arī iii) nodrošinātu bērniem skolā labsajūtu un pozitīvu mācību vidi.</w:t>
      </w:r>
    </w:p>
    <w:p w14:paraId="6E603BB3" w14:textId="77777777" w:rsidR="00AE7AC4" w:rsidRPr="00B37A02" w:rsidRDefault="00AE7AC4" w:rsidP="00C97F66">
      <w:pPr>
        <w:pStyle w:val="BodyText"/>
        <w:widowControl w:val="0"/>
        <w:spacing w:after="0"/>
        <w:rPr>
          <w:rFonts w:ascii="Times New Roman" w:hAnsi="Times New Roman"/>
          <w:sz w:val="24"/>
          <w:szCs w:val="24"/>
        </w:rPr>
      </w:pPr>
    </w:p>
    <w:p w14:paraId="6C6ECFFB" w14:textId="332A0721" w:rsidR="00EC5DE2" w:rsidRPr="00B37A02" w:rsidRDefault="00BC5BDF" w:rsidP="008B0989">
      <w:pPr>
        <w:pStyle w:val="BodyText"/>
        <w:spacing w:after="0"/>
        <w:rPr>
          <w:rFonts w:ascii="Times New Roman" w:hAnsi="Times New Roman"/>
          <w:sz w:val="24"/>
          <w:szCs w:val="24"/>
        </w:rPr>
      </w:pPr>
      <w:r w:rsidRPr="00B37A02">
        <w:rPr>
          <w:rFonts w:ascii="Times New Roman" w:hAnsi="Times New Roman"/>
          <w:sz w:val="24"/>
        </w:rPr>
        <w:t>Izglītība neattiecas tikai uz klasē notiekošo. Izglītību veido arī spēlēšanās, atpūta, sporta un kultūras pasākumi, un visiem šiem faktoriem ir būtiska nozīme sociālo prasmju attīstībā. Daudzas no šīm nodarbībām organizē skolas (ierastajā stundu laikā vai pēc stundām). Tomēr šīs nodarbības atšķirībā no klases nodarbībām ne vienmēr ir pieejamas bez maksas. Šīs nodarbības, kas notiek kopā ar skolēniem, kuri apmeklē to pašu skolu, vai dažādās grupās, ir svarīgs papildinājums izglītībai un sniedz īpašu labumu bērniem no nelabvēlīgas vides.</w:t>
      </w:r>
      <w:r w:rsidRPr="00B37A02">
        <w:rPr>
          <w:rStyle w:val="FootnoteReference"/>
          <w:rFonts w:ascii="Times New Roman" w:hAnsi="Times New Roman"/>
          <w:sz w:val="24"/>
          <w:szCs w:val="24"/>
        </w:rPr>
        <w:footnoteReference w:id="131"/>
      </w:r>
      <w:r w:rsidRPr="00B37A02">
        <w:rPr>
          <w:rFonts w:ascii="Times New Roman" w:hAnsi="Times New Roman"/>
          <w:sz w:val="24"/>
        </w:rPr>
        <w:t xml:space="preserve"> Grieķijā un Horvātijā četrām no piecām ģimenēm ar zemiem ienākumiem ir grūti segt netiešās ar mācībām saistītās izmaksas. To bērnu īpatsvars, kuri nevarēja piedalīties skolas maksas ekskursijās un skolas pasākumos, 2014. gadā svārstījās no 0,7 % Vācijā un 0,8 % Somijā un </w:t>
      </w:r>
      <w:r w:rsidRPr="00B37A02">
        <w:rPr>
          <w:rFonts w:ascii="Times New Roman" w:hAnsi="Times New Roman"/>
          <w:sz w:val="24"/>
        </w:rPr>
        <w:lastRenderedPageBreak/>
        <w:t>Zviedrijā līdz 22,1 % Grieķijā, 40,3 % Rumānijā un 43,0 % Bulgārijā, vidējam rādītājam 28 ES dalībvalstīs esot 7,6 %.</w:t>
      </w:r>
      <w:r w:rsidRPr="00B37A02">
        <w:rPr>
          <w:rStyle w:val="FootnoteReference"/>
          <w:rFonts w:ascii="Times New Roman" w:hAnsi="Times New Roman"/>
          <w:sz w:val="24"/>
          <w:szCs w:val="24"/>
        </w:rPr>
        <w:footnoteReference w:id="132"/>
      </w:r>
    </w:p>
    <w:p w14:paraId="5F978952" w14:textId="77777777" w:rsidR="00AE7AC4" w:rsidRPr="00B37A02" w:rsidRDefault="00AE7AC4" w:rsidP="00C97F66">
      <w:pPr>
        <w:pStyle w:val="BodyText"/>
        <w:widowControl w:val="0"/>
        <w:spacing w:after="0"/>
        <w:rPr>
          <w:rFonts w:ascii="Times New Roman" w:hAnsi="Times New Roman"/>
          <w:sz w:val="24"/>
          <w:szCs w:val="24"/>
        </w:rPr>
      </w:pPr>
    </w:p>
    <w:p w14:paraId="16B8C109" w14:textId="537C0181" w:rsidR="00BC5BDF"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Lai gan apkopotos datus nav iespējams pilnībā salīdzināt, aptuvenie rādītāji liecina, ka mājsaimniecībās ar apgādājamiem bērniem par izglītību vidēji tiek tērēti 1,7 % no mājsaimniecības budžeta.</w:t>
      </w:r>
      <w:r w:rsidRPr="00B37A02">
        <w:rPr>
          <w:rStyle w:val="FootnoteReference"/>
          <w:rFonts w:ascii="Times New Roman" w:hAnsi="Times New Roman"/>
          <w:sz w:val="24"/>
          <w:szCs w:val="24"/>
        </w:rPr>
        <w:footnoteReference w:id="133"/>
      </w:r>
      <w:r w:rsidRPr="00B37A02">
        <w:rPr>
          <w:rFonts w:ascii="Times New Roman" w:hAnsi="Times New Roman"/>
          <w:sz w:val="24"/>
        </w:rPr>
        <w:t xml:space="preserve"> Šis īpatsvars, visticamāk, ir lielāks mājsaimniecībās ar zemiem ienākumiem, kas liecina par mācību izmaksu regresīvo ietekmi. Rekordzemais privāto izdevumu līmenis izglītībai Somijā un Zviedrijā ir saistāms ar universālām bezmaksas izglītības sistēmām, kas darbojas šajās dalībvalstīs un piedāvā arī plašu veselības un sociālo pakalpojumu klāstu, bezmaksas maltītes un atpūtas pasākumus. Šādi iespējams novērst nabadzības draudu risku un to bērnu stigmatizāciju, kuri dzīvo ģimenēs ar zemiem ienākumiem vai ir nonākuši neaizsargātā situācijā.</w:t>
      </w:r>
    </w:p>
    <w:p w14:paraId="57529AB0" w14:textId="77777777" w:rsidR="00AE7AC4" w:rsidRPr="00B37A02" w:rsidRDefault="00AE7AC4" w:rsidP="00C97F66">
      <w:pPr>
        <w:pStyle w:val="BodyText"/>
        <w:widowControl w:val="0"/>
        <w:spacing w:after="0"/>
        <w:rPr>
          <w:rFonts w:ascii="Times New Roman" w:hAnsi="Times New Roman"/>
          <w:sz w:val="24"/>
          <w:szCs w:val="24"/>
        </w:rPr>
      </w:pPr>
    </w:p>
    <w:p w14:paraId="48D245B1" w14:textId="4F170788" w:rsidR="00BC5BDF" w:rsidRPr="00B37A02" w:rsidRDefault="00AE7AC4" w:rsidP="00C97F66">
      <w:pPr>
        <w:pStyle w:val="Heading2"/>
        <w:keepNext w:val="0"/>
        <w:keepLines w:val="0"/>
        <w:widowControl w:val="0"/>
        <w:spacing w:before="0" w:line="240" w:lineRule="auto"/>
        <w:jc w:val="both"/>
        <w:rPr>
          <w:rFonts w:cs="Times New Roman"/>
          <w:sz w:val="24"/>
          <w:szCs w:val="28"/>
        </w:rPr>
      </w:pPr>
      <w:bookmarkStart w:id="107" w:name="_Toc62823420"/>
      <w:bookmarkStart w:id="108" w:name="_Toc62823508"/>
      <w:bookmarkStart w:id="109" w:name="_Toc62833105"/>
      <w:bookmarkStart w:id="110" w:name="_Toc62841456"/>
      <w:bookmarkStart w:id="111" w:name="_Toc62942375"/>
      <w:bookmarkStart w:id="112" w:name="_Toc63178097"/>
      <w:bookmarkStart w:id="113" w:name="_Toc63269644"/>
      <w:bookmarkStart w:id="114" w:name="_Toc63258850"/>
      <w:bookmarkStart w:id="115" w:name="_Toc63692757"/>
      <w:bookmarkStart w:id="116" w:name="_Toc63712836"/>
      <w:bookmarkStart w:id="117" w:name="_Toc63850067"/>
      <w:bookmarkStart w:id="118" w:name="_Toc63850285"/>
      <w:bookmarkStart w:id="119" w:name="_Toc63862426"/>
      <w:bookmarkStart w:id="120" w:name="_Toc64476336"/>
      <w:r w:rsidRPr="00B37A02">
        <w:rPr>
          <w:rFonts w:cs="Times New Roman"/>
          <w:sz w:val="24"/>
        </w:rPr>
        <w:t>3.3. Veselības aprūpe</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14:paraId="3D16DB56" w14:textId="77777777" w:rsidR="00AE7AC4" w:rsidRPr="00B37A02" w:rsidRDefault="00AE7AC4" w:rsidP="00C97F66">
      <w:pPr>
        <w:spacing w:after="0" w:line="240" w:lineRule="auto"/>
        <w:rPr>
          <w:rFonts w:ascii="Times New Roman" w:hAnsi="Times New Roman" w:cs="Times New Roman"/>
        </w:rPr>
      </w:pPr>
    </w:p>
    <w:p w14:paraId="7F3FE57C" w14:textId="77777777"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Dažādi pētījumi liecina par sociālās nevienlīdzības pastāvēšanu un noturību attiecībā uz rezultātiem bērnu veselības jomā.</w:t>
      </w:r>
      <w:r w:rsidRPr="00B37A02">
        <w:rPr>
          <w:rStyle w:val="FootnoteReference"/>
          <w:rFonts w:ascii="Times New Roman" w:hAnsi="Times New Roman"/>
          <w:sz w:val="24"/>
          <w:szCs w:val="24"/>
        </w:rPr>
        <w:footnoteReference w:id="134"/>
      </w:r>
      <w:r w:rsidRPr="00B37A02">
        <w:rPr>
          <w:rFonts w:ascii="Times New Roman" w:hAnsi="Times New Roman"/>
          <w:sz w:val="24"/>
        </w:rPr>
        <w:t xml:space="preserve"> Agrīna iejaukšanās un profilakse ir būtiska. Labākus rezultātus var sasniegt, nodrošinot: i) labāku piekļuvi mātes veselības aprūpei, kā arī ii) labākus sabiedriskās veselības pasākumus (tostarp vakcinēšanas sekmēšanas programmas, atbalstu vecākiem un bērnu uzturu).</w:t>
      </w:r>
    </w:p>
    <w:p w14:paraId="3A718ACC" w14:textId="77777777" w:rsidR="00AE7AC4" w:rsidRPr="00B37A02" w:rsidRDefault="00AE7AC4" w:rsidP="00C97F66">
      <w:pPr>
        <w:pStyle w:val="BodyText"/>
        <w:widowControl w:val="0"/>
        <w:spacing w:after="0"/>
        <w:rPr>
          <w:rFonts w:ascii="Times New Roman" w:hAnsi="Times New Roman"/>
          <w:sz w:val="24"/>
          <w:szCs w:val="24"/>
        </w:rPr>
      </w:pPr>
    </w:p>
    <w:p w14:paraId="77F0B8BF" w14:textId="4188DC20"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 xml:space="preserve">Gandrīz visas dalībvalstis principā nodrošina bezmaksas piekļuvi veselības aprūpei visiem bērniem, savukārt dažas piedāvā bezmaksas pamatpakalpojumu par noteiktu maksu (piemēram, maksa par receptes izsniegšanu Igaunijā vai līdzmaksājumi Francijā un Slovākijā). </w:t>
      </w:r>
      <w:r w:rsidRPr="00B37A02">
        <w:rPr>
          <w:rFonts w:ascii="Times New Roman" w:hAnsi="Times New Roman"/>
          <w:sz w:val="24"/>
          <w:shd w:val="clear" w:color="auto" w:fill="FFFFFF"/>
        </w:rPr>
        <w:t>Tikai</w:t>
      </w:r>
      <w:r w:rsidRPr="00B37A02">
        <w:rPr>
          <w:rFonts w:ascii="Times New Roman" w:hAnsi="Times New Roman"/>
          <w:sz w:val="24"/>
        </w:rPr>
        <w:t xml:space="preserve"> astoņās dalībvalstīs ar vispārējiem bezmaksas pakalpojumiem visiem bērniem, tostarp bērniem no nelabvēlīgas vides, bija efektīva piekļuve šiem pakalpojumiem.</w:t>
      </w:r>
      <w:r w:rsidRPr="00B37A02">
        <w:rPr>
          <w:rStyle w:val="FootnoteReference"/>
          <w:rFonts w:ascii="Times New Roman" w:hAnsi="Times New Roman"/>
          <w:sz w:val="24"/>
          <w:szCs w:val="24"/>
        </w:rPr>
        <w:footnoteReference w:id="135"/>
      </w:r>
    </w:p>
    <w:p w14:paraId="15B2CE0B" w14:textId="77777777" w:rsidR="00AE7AC4" w:rsidRPr="00B37A02" w:rsidRDefault="00AE7AC4" w:rsidP="00C97F66">
      <w:pPr>
        <w:pStyle w:val="BodyText"/>
        <w:widowControl w:val="0"/>
        <w:spacing w:after="0"/>
        <w:rPr>
          <w:rFonts w:ascii="Times New Roman" w:hAnsi="Times New Roman"/>
          <w:sz w:val="24"/>
          <w:szCs w:val="24"/>
        </w:rPr>
      </w:pPr>
    </w:p>
    <w:p w14:paraId="1D831FF7" w14:textId="30E67F6A" w:rsidR="00BC5BDF"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Visā ES 3 % nabadzības riskam pakļauto bērnu medicīniskās vajadzības netika apmierinātas, kas ir divreiz vairāk nekā attiecībā uz bērniem no pārtikušākām ģimenēm.</w:t>
      </w:r>
      <w:r w:rsidRPr="00B37A02">
        <w:rPr>
          <w:rStyle w:val="FootnoteReference"/>
          <w:rFonts w:ascii="Times New Roman" w:hAnsi="Times New Roman"/>
          <w:sz w:val="24"/>
          <w:szCs w:val="24"/>
        </w:rPr>
        <w:footnoteReference w:id="136"/>
      </w:r>
      <w:r w:rsidRPr="00B37A02">
        <w:rPr>
          <w:rFonts w:ascii="Times New Roman" w:hAnsi="Times New Roman"/>
          <w:sz w:val="24"/>
        </w:rPr>
        <w:t xml:space="preserve"> Beļģijā, Bulgārijā, Grieķijā, Itālijā, Kiprā, Portugālē un Rumānijā galvenais iemesls bērnu medicīnisko vajadzību neapmierināšanai bija pakalpojumu dārdzība. Turklāt bērniem, kam vajadzīga palīdzība, salīdzinājumā ar citiem bērniem bieži vien nācās ilgāk gaidīt ārsta vizīti.</w:t>
      </w:r>
      <w:r w:rsidRPr="00B37A02">
        <w:rPr>
          <w:rStyle w:val="FootnoteReference"/>
          <w:rFonts w:ascii="Times New Roman" w:hAnsi="Times New Roman"/>
          <w:sz w:val="24"/>
          <w:szCs w:val="24"/>
        </w:rPr>
        <w:footnoteReference w:id="137"/>
      </w:r>
    </w:p>
    <w:p w14:paraId="4D081202" w14:textId="77777777" w:rsidR="00AE7AC4" w:rsidRPr="00B37A02" w:rsidRDefault="00AE7AC4" w:rsidP="00C97F66">
      <w:pPr>
        <w:pStyle w:val="BodyText"/>
        <w:widowControl w:val="0"/>
        <w:spacing w:after="0"/>
        <w:rPr>
          <w:rFonts w:ascii="Times New Roman" w:hAnsi="Times New Roman"/>
          <w:sz w:val="24"/>
          <w:szCs w:val="24"/>
        </w:rPr>
      </w:pPr>
    </w:p>
    <w:p w14:paraId="4A6E0944" w14:textId="079728E2" w:rsidR="00BC5BDF"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Pievēršoties jautājumam par piekļuvi medicīniskajiem pakalpojumiem, jānorāda, ka divas jomas bērniem, kam vajadzīga palīdzība, ir īpaši problemātiskas, proti, ortodontija un oftalmoloģija (tostarp breketes un attiecīgi brilles/korekcijas lēcas). Dalībvalstis atšķiras atkarībā no: i) to pakalpojumu klāsta, ko sedz pamata veselības apdrošināšana; ii) šo pakalpojumu savlaicīguma un pieejamības, kā arī iii) šo pakalpojumu kompensācijas ierobežojumiem. Dažkārt šajās trīs jomās novērojamas atšķirības pat starp vienas dalībvalsts reģioniem. Kopumā ortodontijas un oftalmoloģijas pakalpojumi tiek labāk nodrošināti bērniem nekā vecākām vecuma grupām, taču joprojām pastāv nepilnības attiecībā uz bērnu, kam vajadzīga palīdzība, piekļuvi šiem pakalpojumiem, jo ortodontiskā vai oftalmoloģiskā aprūpe paredz līdzmaksājumus vai kompensācijas sistēma šo aprūpi aptver tikai ierobežotā apmērā.</w:t>
      </w:r>
      <w:r w:rsidRPr="00B37A02">
        <w:rPr>
          <w:rStyle w:val="FootnoteReference"/>
          <w:rFonts w:ascii="Times New Roman" w:hAnsi="Times New Roman"/>
          <w:sz w:val="24"/>
          <w:szCs w:val="24"/>
        </w:rPr>
        <w:footnoteReference w:id="138"/>
      </w:r>
      <w:r w:rsidRPr="00B37A02">
        <w:rPr>
          <w:rFonts w:ascii="Times New Roman" w:hAnsi="Times New Roman"/>
          <w:sz w:val="24"/>
        </w:rPr>
        <w:t xml:space="preserve"> Lai novērstu negatīvo ietekmi uz veselību un nodrošinātu visu bērnu iesaisti izglītībā un visās </w:t>
      </w:r>
      <w:r w:rsidRPr="00B37A02">
        <w:rPr>
          <w:rFonts w:ascii="Times New Roman" w:hAnsi="Times New Roman"/>
          <w:sz w:val="24"/>
        </w:rPr>
        <w:lastRenderedPageBreak/>
        <w:t>sociālajās norisēs, ir jānodrošina arī piekļuve pienācīgiem higiēnas līdzekļiem un telpām (piemēram, atbilstošām tualetes telpām un menstruāciju līdzekļiem meitenēm).</w:t>
      </w:r>
    </w:p>
    <w:p w14:paraId="680D7A49" w14:textId="77777777" w:rsidR="00AE7AC4" w:rsidRPr="00B37A02" w:rsidRDefault="00AE7AC4" w:rsidP="00C97F66">
      <w:pPr>
        <w:widowControl w:val="0"/>
        <w:spacing w:after="0" w:line="240" w:lineRule="auto"/>
        <w:jc w:val="both"/>
        <w:rPr>
          <w:rFonts w:ascii="Times New Roman" w:hAnsi="Times New Roman" w:cs="Times New Roman"/>
          <w:sz w:val="24"/>
        </w:rPr>
      </w:pPr>
    </w:p>
    <w:p w14:paraId="3199BAA8" w14:textId="3CE63F0C" w:rsidR="00EC5DE2" w:rsidRPr="00B37A02" w:rsidRDefault="00BC5BDF" w:rsidP="00C97F66">
      <w:pPr>
        <w:widowControl w:val="0"/>
        <w:spacing w:after="0" w:line="240" w:lineRule="auto"/>
        <w:jc w:val="both"/>
        <w:rPr>
          <w:rFonts w:ascii="Times New Roman" w:hAnsi="Times New Roman" w:cs="Times New Roman"/>
          <w:color w:val="000000"/>
          <w:sz w:val="24"/>
          <w:szCs w:val="24"/>
        </w:rPr>
      </w:pPr>
      <w:r w:rsidRPr="00B37A02">
        <w:rPr>
          <w:rFonts w:ascii="Times New Roman" w:hAnsi="Times New Roman" w:cs="Times New Roman"/>
          <w:sz w:val="24"/>
        </w:rPr>
        <w:t>Ziņojumā “Implementation of the right to health care under the UN Convention on the Rights of the Child” [Tiesību uz veselības aprūpi īstenošana saskaņā ar ANO Konvenciju par bērna tiesībām]</w:t>
      </w:r>
      <w:r w:rsidRPr="00B37A02">
        <w:rPr>
          <w:rFonts w:ascii="Times New Roman" w:hAnsi="Times New Roman" w:cs="Times New Roman"/>
          <w:sz w:val="24"/>
          <w:vertAlign w:val="superscript"/>
        </w:rPr>
        <w:footnoteReference w:id="139"/>
      </w:r>
      <w:r w:rsidRPr="00B37A02">
        <w:rPr>
          <w:rFonts w:ascii="Times New Roman" w:hAnsi="Times New Roman" w:cs="Times New Roman"/>
          <w:sz w:val="24"/>
        </w:rPr>
        <w:t xml:space="preserve"> ir norādītas konkrētas bērnu grupas, kurām nodrošinātā veselības aprūpe nav pietiekama vai tāda netiek nodrošināta vispār. Bērni, kas dzīvoja valstī, kurā viņiem nebija pastāvīgas uzturēšanās statusa, tika atzīti par visneaizsargātāko grupu. </w:t>
      </w:r>
      <w:r w:rsidRPr="00B37A02">
        <w:rPr>
          <w:rFonts w:ascii="Times New Roman" w:hAnsi="Times New Roman" w:cs="Times New Roman"/>
          <w:color w:val="000000"/>
          <w:sz w:val="24"/>
        </w:rPr>
        <w:t>Piekļuve cenas ziņā pieejamām bērnu vakcinācijas programmām visiem bērniem ir ļoti būtiska. Vakcinācija ir galvenais slimību profilakses līdzeklis. Tomēr vairākas ES dalībvalstis nepietiekama vakcinācijas līmeņa dēļ saskaras ar tādu slimību uzliesmojumiem, jo īpaši masalām, ko iespējams novērst ar vakcinēšanos.</w:t>
      </w:r>
    </w:p>
    <w:p w14:paraId="2A109CAD" w14:textId="77777777" w:rsidR="00AE7AC4" w:rsidRPr="00B37A02" w:rsidRDefault="00AE7AC4" w:rsidP="00C97F66">
      <w:pPr>
        <w:widowControl w:val="0"/>
        <w:spacing w:after="0" w:line="240" w:lineRule="auto"/>
        <w:jc w:val="both"/>
        <w:rPr>
          <w:rFonts w:ascii="Times New Roman" w:hAnsi="Times New Roman" w:cs="Times New Roman"/>
          <w:sz w:val="24"/>
        </w:rPr>
      </w:pPr>
    </w:p>
    <w:p w14:paraId="0A234433" w14:textId="5A57693F" w:rsidR="00EC5DE2" w:rsidRPr="00B37A02" w:rsidRDefault="00BC5BDF" w:rsidP="00C97F66">
      <w:pPr>
        <w:widowControl w:val="0"/>
        <w:spacing w:after="0" w:line="240" w:lineRule="auto"/>
        <w:jc w:val="both"/>
        <w:rPr>
          <w:rFonts w:ascii="Times New Roman" w:hAnsi="Times New Roman" w:cs="Times New Roman"/>
          <w:sz w:val="24"/>
        </w:rPr>
      </w:pPr>
      <w:r w:rsidRPr="00B37A02">
        <w:rPr>
          <w:rFonts w:ascii="Times New Roman" w:hAnsi="Times New Roman" w:cs="Times New Roman"/>
          <w:sz w:val="24"/>
        </w:rPr>
        <w:t>Visā ES pastāv būtiskas nepilnības attiecībā uz piekļuvi garīgās veselības aprūpes pakalpojumiem. Darba dokumentam “Veselības stāvoklis ES dalībvalstīs”</w:t>
      </w:r>
      <w:r w:rsidRPr="00B37A02">
        <w:rPr>
          <w:rFonts w:ascii="Times New Roman" w:hAnsi="Times New Roman" w:cs="Times New Roman"/>
          <w:sz w:val="24"/>
          <w:vertAlign w:val="superscript"/>
        </w:rPr>
        <w:footnoteReference w:id="140"/>
      </w:r>
      <w:r w:rsidRPr="00B37A02">
        <w:rPr>
          <w:rFonts w:ascii="Times New Roman" w:hAnsi="Times New Roman" w:cs="Times New Roman"/>
          <w:sz w:val="24"/>
        </w:rPr>
        <w:t xml:space="preserve"> pievienotajā 2019. gada ziņojumā garīgās veselības aprūpe ir norādīta kā viens no vismazāk piedāvātajiem veselības pakalpojumiem, kā rezultātā pacientiem nākas gaidīt garās rindās.</w:t>
      </w:r>
      <w:r w:rsidRPr="00B37A02">
        <w:rPr>
          <w:rFonts w:ascii="Times New Roman" w:hAnsi="Times New Roman" w:cs="Times New Roman"/>
          <w:sz w:val="24"/>
          <w:vertAlign w:val="superscript"/>
        </w:rPr>
        <w:footnoteReference w:id="141"/>
      </w:r>
      <w:r w:rsidRPr="00B37A02">
        <w:rPr>
          <w:rFonts w:ascii="Times New Roman" w:hAnsi="Times New Roman" w:cs="Times New Roman"/>
          <w:sz w:val="24"/>
        </w:rPr>
        <w:t xml:space="preserve"> Pacientu no nelabvēlīgas vides, tostarp bērnu, piekļuvi šiem pakalpojumiem vēl jo vairāk apgrūtina ierobežojumi psihoterapijas pakalpojumu izmaksu kompensācijai no valsts veselības aprūpes budžeta. Aptuveni 10–20 % bērnu un pusaudžu cieš no garīgās veselības traucējumiem, piemēram, nemiera un depresijas. Šie traucējumi var nopietni ietekmēt viņu attīstību, mācību sekmes un iespēju dzīvot pilnvērtīgu dzīvi. Uz garīgās veselības aprūpes problēmu risināšanu skolās vērstā prakse</w:t>
      </w:r>
      <w:r w:rsidRPr="00B37A02">
        <w:rPr>
          <w:rFonts w:ascii="Times New Roman" w:hAnsi="Times New Roman" w:cs="Times New Roman"/>
          <w:sz w:val="24"/>
          <w:vertAlign w:val="superscript"/>
        </w:rPr>
        <w:footnoteReference w:id="142"/>
      </w:r>
      <w:r w:rsidRPr="00B37A02">
        <w:rPr>
          <w:rFonts w:ascii="Times New Roman" w:hAnsi="Times New Roman" w:cs="Times New Roman"/>
          <w:sz w:val="24"/>
        </w:rPr>
        <w:t xml:space="preserve"> ietver cīņu pret aizspriedumiem, depresijas un pašnāvību novēršanu, kā arī LBGT+ jauniešu konsultēšanu.</w:t>
      </w:r>
      <w:r w:rsidRPr="00B37A02">
        <w:rPr>
          <w:rFonts w:ascii="Times New Roman" w:hAnsi="Times New Roman" w:cs="Times New Roman"/>
          <w:sz w:val="24"/>
          <w:vertAlign w:val="superscript"/>
        </w:rPr>
        <w:footnoteReference w:id="143"/>
      </w:r>
    </w:p>
    <w:p w14:paraId="666D6BE7" w14:textId="77777777" w:rsidR="00AE7AC4" w:rsidRPr="00B37A02" w:rsidRDefault="00AE7AC4" w:rsidP="00C97F66">
      <w:pPr>
        <w:widowControl w:val="0"/>
        <w:spacing w:after="0" w:line="240" w:lineRule="auto"/>
        <w:jc w:val="both"/>
        <w:rPr>
          <w:rFonts w:ascii="Times New Roman" w:hAnsi="Times New Roman" w:cs="Times New Roman"/>
          <w:sz w:val="24"/>
        </w:rPr>
      </w:pPr>
    </w:p>
    <w:p w14:paraId="02667F8C" w14:textId="39454A96" w:rsidR="00BC5BDF" w:rsidRPr="00B37A02" w:rsidRDefault="00AE7AC4" w:rsidP="00C97F66">
      <w:pPr>
        <w:pStyle w:val="Heading2"/>
        <w:keepNext w:val="0"/>
        <w:keepLines w:val="0"/>
        <w:widowControl w:val="0"/>
        <w:spacing w:before="0" w:line="240" w:lineRule="auto"/>
        <w:jc w:val="both"/>
        <w:rPr>
          <w:rFonts w:cs="Times New Roman"/>
          <w:sz w:val="24"/>
          <w:szCs w:val="28"/>
        </w:rPr>
      </w:pPr>
      <w:bookmarkStart w:id="121" w:name="_Toc62823421"/>
      <w:bookmarkStart w:id="122" w:name="_Toc62823509"/>
      <w:bookmarkStart w:id="123" w:name="_Toc62833106"/>
      <w:bookmarkStart w:id="124" w:name="_Toc62841457"/>
      <w:bookmarkStart w:id="125" w:name="_Toc62942376"/>
      <w:bookmarkStart w:id="126" w:name="_Toc63178098"/>
      <w:bookmarkStart w:id="127" w:name="_Toc63258851"/>
      <w:bookmarkStart w:id="128" w:name="_Toc63269647"/>
      <w:bookmarkStart w:id="129" w:name="_Toc63692758"/>
      <w:bookmarkStart w:id="130" w:name="_Toc63712837"/>
      <w:bookmarkStart w:id="131" w:name="_Toc63850068"/>
      <w:bookmarkStart w:id="132" w:name="_Toc63850286"/>
      <w:bookmarkStart w:id="133" w:name="_Toc63862427"/>
      <w:bookmarkStart w:id="134" w:name="_Toc64476337"/>
      <w:r w:rsidRPr="00B37A02">
        <w:rPr>
          <w:rFonts w:cs="Times New Roman"/>
          <w:sz w:val="24"/>
        </w:rPr>
        <w:t>3.4. Veselīgs uzturs</w:t>
      </w:r>
      <w:bookmarkStart w:id="135" w:name="_Toc63355445"/>
      <w:bookmarkStart w:id="136" w:name="_Toc63355444"/>
      <w:bookmarkStart w:id="137" w:name="_Toc63319127"/>
      <w:bookmarkStart w:id="138" w:name="_Toc63319126"/>
      <w:bookmarkStart w:id="139" w:name="_Toc63269646"/>
      <w:bookmarkStart w:id="140" w:name="_Toc63269645"/>
      <w:bookmarkStart w:id="141" w:name="_Toc63267824"/>
      <w:bookmarkStart w:id="142" w:name="_Toc63267823"/>
      <w:bookmarkStart w:id="143" w:name="_Toc63267696"/>
      <w:bookmarkStart w:id="144" w:name="_Toc63267695"/>
      <w:bookmarkStart w:id="145" w:name="_Toc63259127"/>
      <w:bookmarkStart w:id="146" w:name="_Toc63259126"/>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12FC7F7E" w14:textId="77777777" w:rsidR="00AE7AC4" w:rsidRPr="00B37A02" w:rsidRDefault="00AE7AC4" w:rsidP="00C97F66">
      <w:pPr>
        <w:spacing w:after="0" w:line="240" w:lineRule="auto"/>
        <w:rPr>
          <w:rFonts w:ascii="Times New Roman" w:hAnsi="Times New Roman" w:cs="Times New Roman"/>
        </w:rPr>
      </w:pPr>
    </w:p>
    <w:p w14:paraId="3137BFE1" w14:textId="77777777" w:rsidR="00BC5BDF"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Saskaņā ar Eiropas Pārtikas nekaitīguma iestādes datiem sabalansēts proteīnu, ogļhidrātu, tauku, vitamīnu, minerālvielu un ūdens patēriņš</w:t>
      </w:r>
      <w:r w:rsidRPr="00B37A02">
        <w:rPr>
          <w:rFonts w:ascii="Times New Roman" w:hAnsi="Times New Roman"/>
          <w:sz w:val="24"/>
          <w:szCs w:val="24"/>
          <w:vertAlign w:val="superscript"/>
        </w:rPr>
        <w:footnoteReference w:id="144"/>
      </w:r>
      <w:r w:rsidRPr="00B37A02">
        <w:rPr>
          <w:rFonts w:ascii="Times New Roman" w:hAnsi="Times New Roman"/>
          <w:sz w:val="24"/>
        </w:rPr>
        <w:t xml:space="preserve"> ir svarīgs bērnu fiziskajai un garīgajai attīstībai. Saskaņā ar Pasaules Veselības organizācijas datiem bērna uzturs tiek uzskatīts par atbilstošu, ja vismaz viena ēdienreize dienā ietver sarkano gaļu, mājputnu gaļu, zivis vai augu izcelsmes proteīnu avotu. Attiecībā uz kaloriju patēriņu jāievēro šādi nosacījumi: i) tas ir jāsadala dienas laikā; ii) tam jāsatur mērens daudzums tauku, cukura un sāls un (iii) tam dienā jāiekļauj vismaz 400 g vai piecas porcijas augļu un dārzeņu.</w:t>
      </w:r>
      <w:r w:rsidRPr="00B37A02">
        <w:rPr>
          <w:rFonts w:ascii="Times New Roman" w:hAnsi="Times New Roman"/>
          <w:sz w:val="24"/>
          <w:szCs w:val="24"/>
          <w:vertAlign w:val="superscript"/>
        </w:rPr>
        <w:footnoteReference w:id="145"/>
      </w:r>
      <w:r w:rsidRPr="00B37A02">
        <w:rPr>
          <w:rFonts w:ascii="Times New Roman" w:hAnsi="Times New Roman"/>
          <w:sz w:val="24"/>
        </w:rPr>
        <w:t xml:space="preserve"> Tas samazina neinfekciozu slimību risku un būtiski ietekmē bērnu veselīgu attīstību.</w:t>
      </w:r>
    </w:p>
    <w:p w14:paraId="09989641" w14:textId="77777777" w:rsidR="00AE7AC4" w:rsidRPr="00B37A02" w:rsidRDefault="00AE7AC4" w:rsidP="00C97F66">
      <w:pPr>
        <w:pStyle w:val="BodyText"/>
        <w:widowControl w:val="0"/>
        <w:spacing w:after="0"/>
        <w:rPr>
          <w:rFonts w:ascii="Times New Roman" w:hAnsi="Times New Roman"/>
          <w:sz w:val="24"/>
          <w:szCs w:val="24"/>
        </w:rPr>
      </w:pPr>
    </w:p>
    <w:p w14:paraId="42C8E00D" w14:textId="324B30B6" w:rsidR="00BC5BDF"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lastRenderedPageBreak/>
        <w:t>Visās 25 dalībvalstīs</w:t>
      </w:r>
      <w:r w:rsidRPr="00B37A02">
        <w:rPr>
          <w:rFonts w:ascii="Times New Roman" w:hAnsi="Times New Roman"/>
          <w:sz w:val="24"/>
          <w:szCs w:val="24"/>
          <w:vertAlign w:val="superscript"/>
        </w:rPr>
        <w:footnoteReference w:id="146"/>
      </w:r>
      <w:r w:rsidRPr="00B37A02">
        <w:rPr>
          <w:rFonts w:ascii="Times New Roman" w:hAnsi="Times New Roman"/>
          <w:sz w:val="24"/>
        </w:rPr>
        <w:t xml:space="preserve"> vidēji aptuveni 22 % bērnu nebrokasto pirms došanās uz skolu. Šis rādītājs svārstījās no aptuveni 7 % Portugālē līdz aptuveni 36 % Austrijā.</w:t>
      </w:r>
      <w:r w:rsidRPr="00B37A02">
        <w:rPr>
          <w:rStyle w:val="FootnoteReference"/>
          <w:rFonts w:ascii="Times New Roman" w:hAnsi="Times New Roman"/>
          <w:sz w:val="24"/>
          <w:szCs w:val="24"/>
        </w:rPr>
        <w:footnoteReference w:id="147"/>
      </w:r>
      <w:r w:rsidRPr="00B37A02">
        <w:rPr>
          <w:rFonts w:ascii="Times New Roman" w:hAnsi="Times New Roman"/>
          <w:sz w:val="24"/>
        </w:rPr>
        <w:t xml:space="preserve"> Bērniem, kuri pirms došanās uz skolu brokastoja, bija labākas sekmes dabaszinātnēs nekā tiem, kuri nebrokastoja (par 10 procentpunktiem augstāks rādītājs zēniem, bet par 6 – meitenēm). Bērni, kuri nebrokastoja, ievērojami biežāk bija no ģimenēm, kuras dzīvo sliktākos sociālekonomiskos apstākļos.</w:t>
      </w:r>
      <w:r w:rsidRPr="00B37A02">
        <w:rPr>
          <w:rStyle w:val="FootnoteReference"/>
          <w:rFonts w:ascii="Times New Roman" w:hAnsi="Times New Roman"/>
          <w:sz w:val="24"/>
          <w:szCs w:val="24"/>
        </w:rPr>
        <w:footnoteReference w:id="148"/>
      </w:r>
    </w:p>
    <w:p w14:paraId="60CB340D" w14:textId="77777777" w:rsidR="00AE7AC4" w:rsidRPr="00B37A02" w:rsidRDefault="00AE7AC4" w:rsidP="00C97F66">
      <w:pPr>
        <w:pStyle w:val="BodyText"/>
        <w:widowControl w:val="0"/>
        <w:spacing w:after="0"/>
        <w:rPr>
          <w:rFonts w:ascii="Times New Roman" w:hAnsi="Times New Roman"/>
          <w:sz w:val="24"/>
          <w:szCs w:val="24"/>
        </w:rPr>
      </w:pPr>
    </w:p>
    <w:p w14:paraId="2F481DE1" w14:textId="3DC8F0D0" w:rsidR="00BC5BDF"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 xml:space="preserve">2014. gadā apkopotais </w:t>
      </w:r>
      <w:r w:rsidRPr="00B37A02">
        <w:rPr>
          <w:rFonts w:ascii="Times New Roman" w:hAnsi="Times New Roman"/>
          <w:i/>
          <w:iCs/>
          <w:sz w:val="24"/>
        </w:rPr>
        <w:t>EU-SILC</w:t>
      </w:r>
      <w:r w:rsidRPr="00B37A02">
        <w:rPr>
          <w:rFonts w:ascii="Times New Roman" w:hAnsi="Times New Roman"/>
          <w:sz w:val="24"/>
        </w:rPr>
        <w:t xml:space="preserve"> </w:t>
      </w:r>
      <w:r w:rsidRPr="00B37A02">
        <w:rPr>
          <w:rFonts w:ascii="Times New Roman" w:hAnsi="Times New Roman"/>
          <w:i/>
          <w:iCs/>
          <w:sz w:val="24"/>
        </w:rPr>
        <w:t>ad hoc</w:t>
      </w:r>
      <w:r w:rsidRPr="00B37A02">
        <w:rPr>
          <w:rFonts w:ascii="Times New Roman" w:hAnsi="Times New Roman"/>
          <w:sz w:val="24"/>
        </w:rPr>
        <w:t xml:space="preserve"> modulis saistībā ar bērnu maznodrošinātību sniedz zināmu informāciju par augļu, dārzeņu un proteīnu piespiedu trūkumu bērnu (vecumā no 1 līdz 15 gadiem) uzturā. To bērnu īpatsvars, kas dzīvoja mājsaimniecībās, kurās trūka šo pārtikas avotu, svārstījās no mazāk nekā 1 % līdz 40 %, ES vidējam rādītājam esot 4 %.</w:t>
      </w:r>
      <w:r w:rsidRPr="00B37A02">
        <w:rPr>
          <w:rStyle w:val="FootnoteReference"/>
          <w:rFonts w:ascii="Times New Roman" w:hAnsi="Times New Roman"/>
          <w:sz w:val="24"/>
          <w:szCs w:val="24"/>
        </w:rPr>
        <w:footnoteReference w:id="149"/>
      </w:r>
      <w:r w:rsidRPr="00B37A02">
        <w:rPr>
          <w:rFonts w:ascii="Times New Roman" w:hAnsi="Times New Roman"/>
          <w:sz w:val="24"/>
        </w:rPr>
        <w:t xml:space="preserve"> Nepietiekamu ienākumu radītā nabadzība palielina uzturvielu trūkuma risku resursu nepietiekamības dēļ vairumā dalībvalstu, izņemot Austriju, Dāniju, Somiju, Luksemburgu un Zviedriju, kur šo problēmu izplatība ir zema attiecībā uz visiem bērniem.</w:t>
      </w:r>
    </w:p>
    <w:p w14:paraId="48B515BF" w14:textId="77777777" w:rsidR="00AE7AC4" w:rsidRPr="00B37A02" w:rsidRDefault="00AE7AC4" w:rsidP="00C97F66">
      <w:pPr>
        <w:pStyle w:val="BodyText"/>
        <w:widowControl w:val="0"/>
        <w:spacing w:after="0"/>
        <w:rPr>
          <w:rFonts w:ascii="Times New Roman" w:hAnsi="Times New Roman"/>
          <w:sz w:val="24"/>
          <w:szCs w:val="24"/>
        </w:rPr>
      </w:pPr>
    </w:p>
    <w:p w14:paraId="7CAEFB54" w14:textId="1466D990" w:rsidR="00BC5BDF"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Vairums dalībvalstu sniedz mērķorientētu pārtikas atbalstu skolēniem, kuriem viņu ģimenes zemo ienākumu vai citu nelabvēlīgu apstākļu dēļ ir tiesības saņemt sociālu atbalstu natūrā (maltīšu vai uzkodu nodrošināšana skolā bez maksas vai par zemāku cenu) vai viņu vecākiem sniegtas finansiālas palīdzības veidā (piemēram, Vācijā un Francijā).</w:t>
      </w:r>
      <w:r w:rsidRPr="00B37A02">
        <w:rPr>
          <w:rStyle w:val="FootnoteReference"/>
          <w:rFonts w:ascii="Times New Roman" w:hAnsi="Times New Roman"/>
          <w:sz w:val="24"/>
          <w:szCs w:val="24"/>
        </w:rPr>
        <w:footnoteReference w:id="150"/>
      </w:r>
      <w:r w:rsidRPr="00B37A02">
        <w:rPr>
          <w:rFonts w:ascii="Times New Roman" w:hAnsi="Times New Roman"/>
          <w:sz w:val="24"/>
        </w:rPr>
        <w:t xml:space="preserve"> Lai nodrošinātu vidi ar patiesi veselīgu pārtiku, kurā bērni uzaug, socializējas, spēlējas un tiek izglītoti, pakāpeniski ir jāsamazina agresīvais (tiešsaistes) mārketings un reklamēšana attiecībā uz alkoholiskajiem dzērieniem un pārtiku ar augstu tauku, sāls un cukura saturu. Komisija 2022. gadā plāno sagatavot ziņojumu par Audiovizuālo mediju pakalpojumu direktīvas</w:t>
      </w:r>
      <w:r w:rsidRPr="00B37A02">
        <w:rPr>
          <w:rStyle w:val="FootnoteReference"/>
          <w:rFonts w:ascii="Times New Roman" w:hAnsi="Times New Roman"/>
          <w:sz w:val="24"/>
          <w:szCs w:val="24"/>
        </w:rPr>
        <w:footnoteReference w:id="151"/>
      </w:r>
      <w:r w:rsidRPr="00B37A02">
        <w:rPr>
          <w:rFonts w:ascii="Times New Roman" w:hAnsi="Times New Roman"/>
          <w:sz w:val="24"/>
        </w:rPr>
        <w:t xml:space="preserve"> īstenošanu, tostarp saistībā ar pakalpojumiem, kas vērsti uz komercpaziņojumiem par neveselīgu pārtiku un dzērieniem. Komisija arī atbalsta dalībvalstis un ieinteresētās puses viņu centienos mainīt pārtikas produktu sastāvu, kā arī samazināt mārketingu un pārtikas produktu publiskos iepirkumus, īstenojot Vienotu rīcību atzītas paraugprakses īstenošanai uztura jomā.</w:t>
      </w:r>
    </w:p>
    <w:p w14:paraId="112467C2" w14:textId="77777777" w:rsidR="00AE7AC4" w:rsidRPr="00B37A02" w:rsidRDefault="00AE7AC4" w:rsidP="00C97F66">
      <w:pPr>
        <w:widowControl w:val="0"/>
        <w:spacing w:after="0" w:line="240" w:lineRule="auto"/>
        <w:jc w:val="both"/>
        <w:rPr>
          <w:rFonts w:ascii="Times New Roman" w:hAnsi="Times New Roman" w:cs="Times New Roman"/>
          <w:sz w:val="24"/>
          <w:szCs w:val="24"/>
        </w:rPr>
      </w:pPr>
    </w:p>
    <w:p w14:paraId="5FECC75D" w14:textId="66100F36" w:rsidR="00BC5BDF" w:rsidRPr="00B37A02" w:rsidRDefault="00BC5BDF" w:rsidP="00C97F66">
      <w:pPr>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sz w:val="24"/>
        </w:rPr>
        <w:t>Ir plaši atzīts, ka ieguldījums skolas maltītēs sekmē bērna veselību un attīstību; dalībvalstis ir ieviesušas konkrētas pamatnostādnes par skolas maltītēm, kurā ietvertas brīvprātīgi īstenojamas vadlīnijas vai obligāti noteikumi par to, kādus pārtikas produktus un dzērienus skolā drīkst vai vajag nodrošināt.</w:t>
      </w:r>
      <w:r w:rsidRPr="00B37A02">
        <w:rPr>
          <w:rStyle w:val="FootnoteReference"/>
          <w:rFonts w:ascii="Times New Roman" w:hAnsi="Times New Roman" w:cs="Times New Roman"/>
          <w:sz w:val="24"/>
          <w:szCs w:val="24"/>
        </w:rPr>
        <w:footnoteReference w:id="152"/>
      </w:r>
      <w:r w:rsidRPr="00B37A02">
        <w:rPr>
          <w:rFonts w:ascii="Times New Roman" w:hAnsi="Times New Roman" w:cs="Times New Roman"/>
          <w:sz w:val="24"/>
        </w:rPr>
        <w:t xml:space="preserve"> 2014. gadā šādas pamatnostādnes bija obligātas 14 dalībvalstīs un </w:t>
      </w:r>
      <w:r w:rsidRPr="00B37A02">
        <w:rPr>
          <w:rFonts w:ascii="Times New Roman" w:hAnsi="Times New Roman" w:cs="Times New Roman"/>
          <w:sz w:val="24"/>
        </w:rPr>
        <w:lastRenderedPageBreak/>
        <w:t>brīvprātīgi īstenojamas pārējās 13 dalībvalstīs.</w:t>
      </w:r>
      <w:r w:rsidRPr="00B37A02">
        <w:rPr>
          <w:rFonts w:ascii="Times New Roman" w:hAnsi="Times New Roman" w:cs="Times New Roman"/>
          <w:sz w:val="24"/>
          <w:szCs w:val="24"/>
          <w:vertAlign w:val="superscript"/>
        </w:rPr>
        <w:footnoteReference w:id="153"/>
      </w:r>
      <w:r w:rsidRPr="00B37A02">
        <w:rPr>
          <w:rFonts w:ascii="Times New Roman" w:hAnsi="Times New Roman" w:cs="Times New Roman"/>
          <w:sz w:val="24"/>
        </w:rPr>
        <w:t xml:space="preserve"> Visā ES tiek izmantoti atšķirīgi uz pārtikas produktiem vai uzturvērtību balstīti standarti, saskaņā ar kuriem tiek nodrošinātas skolas maltītes, un tie tostarp paredz svaiga ūdens vai augļu un dārzeņu nodrošināšanu, kā arī ierobežojumus attiecībā uz bezalkoholiskajiem dzērieniem, ceptiem, vārītiem un pārstrādātiem pārtikas produktiem, sāli, čipsiem un pikantām uzkodām, kā arī saldumiem. Attiecībā uz uzturvielām vairumā pamatnostādņu ir uzsvērts atbilstošais tauku un kaloriju saturs skolas maltītēs atkarībā no bērnu vecuma. Kopumā pārmērīgs kaloriju patēriņš, jo īpaši pārmērīgā tauku un cukura satura dēļ, rada lielas bažas.</w:t>
      </w:r>
      <w:r w:rsidRPr="00B37A02">
        <w:rPr>
          <w:rStyle w:val="FootnoteReference"/>
          <w:rFonts w:ascii="Times New Roman" w:hAnsi="Times New Roman" w:cs="Times New Roman"/>
          <w:sz w:val="24"/>
          <w:szCs w:val="24"/>
        </w:rPr>
        <w:footnoteReference w:id="154"/>
      </w:r>
      <w:r w:rsidRPr="00B37A02">
        <w:rPr>
          <w:rFonts w:ascii="Times New Roman" w:hAnsi="Times New Roman" w:cs="Times New Roman"/>
          <w:sz w:val="24"/>
        </w:rPr>
        <w:t xml:space="preserve"> Pārskats par bezmaksas skolas maltīšu nodrošināšanu ES dalībvalstīs ir sniegts B pielikumā.</w:t>
      </w:r>
    </w:p>
    <w:p w14:paraId="59F700ED" w14:textId="77777777" w:rsidR="00AE7AC4" w:rsidRPr="00B37A02" w:rsidRDefault="00AE7AC4" w:rsidP="00C97F66">
      <w:pPr>
        <w:pStyle w:val="BodyText"/>
        <w:widowControl w:val="0"/>
        <w:spacing w:after="0"/>
        <w:rPr>
          <w:rFonts w:ascii="Times New Roman" w:hAnsi="Times New Roman"/>
          <w:sz w:val="24"/>
          <w:szCs w:val="24"/>
        </w:rPr>
      </w:pPr>
    </w:p>
    <w:p w14:paraId="5D5E4CBF" w14:textId="3CAD287C"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ES skolu augļu, dārzeņu un piena programma palīdz bērniem veidot veselīgus ēšanas paradumus. Tā arī sekmē pārtikas produktu sadali starp skolēniem, sākot no bērnudārza līdz vidusskolai. Šī sistēma arī atbalsta uz izglītību vērstus pasākumus, piemēram, lauku saimniecību apmeklēšanu, dārzu iekopšanu skolas teritorijā, ēdiena degustācijas un pagatavošanas nodarbības, tematiskās dienas, kā arī spēles. ES kopējais budžets šai sistēmai 2017.–2023. gada periodam ir 250 miljoni eiro vienā mācību gadā.</w:t>
      </w:r>
      <w:r w:rsidRPr="00B37A02">
        <w:rPr>
          <w:rStyle w:val="FootnoteReference"/>
          <w:rFonts w:ascii="Times New Roman" w:hAnsi="Times New Roman"/>
          <w:sz w:val="24"/>
          <w:szCs w:val="24"/>
        </w:rPr>
        <w:footnoteReference w:id="155"/>
      </w:r>
    </w:p>
    <w:p w14:paraId="0870B8D3" w14:textId="50771BD7" w:rsidR="00EC5DE2" w:rsidRPr="00B37A02" w:rsidRDefault="00BC5BDF" w:rsidP="00C97F66">
      <w:pPr>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sz w:val="24"/>
        </w:rPr>
        <w:t>Covid-19 pandēmijas pirmo mēnešu laikā gūtā pieredze parādīja, cik svarīgas ir skolu ēdināšanas programmas nabadzības riskam pakļautiem bērniem, kuriem pārvietošanās ierobežojumu laikā pēkšņi tika liegta piekļuve skolas ēdināšanai. Saskaņā ar “Eurochild”</w:t>
      </w:r>
      <w:r w:rsidRPr="00B37A02">
        <w:rPr>
          <w:rFonts w:ascii="Times New Roman" w:hAnsi="Times New Roman" w:cs="Times New Roman"/>
          <w:sz w:val="24"/>
          <w:szCs w:val="24"/>
          <w:vertAlign w:val="superscript"/>
        </w:rPr>
        <w:footnoteReference w:id="156"/>
      </w:r>
      <w:r w:rsidRPr="00B37A02">
        <w:rPr>
          <w:rFonts w:ascii="Times New Roman" w:hAnsi="Times New Roman" w:cs="Times New Roman"/>
          <w:sz w:val="24"/>
        </w:rPr>
        <w:t xml:space="preserve"> veikto pētījumu šī problēma bija novērojama Horvātijā, Polijā, Portugālē un Slovēnijā. Tas liecina par nepilnībām pandēmijas atbildes pasākumos, taču tajā pašā laikā tas pierāda, cik veiksmīgas ir bijušas maltīšu sistēmas, kas kļuva par svarīgu pārtikas avotu bērniem no nelabvēlīgas vides laikā, kad skolas bija atvērtas.</w:t>
      </w:r>
    </w:p>
    <w:p w14:paraId="0473E7D8" w14:textId="77777777" w:rsidR="00C97F66" w:rsidRPr="00B37A02" w:rsidRDefault="00C97F66" w:rsidP="00C97F66">
      <w:pPr>
        <w:widowControl w:val="0"/>
        <w:spacing w:after="0" w:line="240" w:lineRule="auto"/>
        <w:jc w:val="both"/>
        <w:rPr>
          <w:rFonts w:ascii="Times New Roman" w:hAnsi="Times New Roman" w:cs="Times New Roman"/>
          <w:sz w:val="24"/>
          <w:szCs w:val="24"/>
        </w:rPr>
      </w:pPr>
    </w:p>
    <w:p w14:paraId="7DC2268B" w14:textId="5CB3C4FF" w:rsidR="00BC5BDF" w:rsidRPr="00B37A02" w:rsidRDefault="00C97F66" w:rsidP="00C97F66">
      <w:pPr>
        <w:pStyle w:val="Heading2"/>
        <w:keepNext w:val="0"/>
        <w:keepLines w:val="0"/>
        <w:widowControl w:val="0"/>
        <w:spacing w:before="0" w:line="240" w:lineRule="auto"/>
        <w:jc w:val="both"/>
        <w:rPr>
          <w:rFonts w:cs="Times New Roman"/>
          <w:sz w:val="24"/>
          <w:szCs w:val="28"/>
        </w:rPr>
      </w:pPr>
      <w:bookmarkStart w:id="147" w:name="_Toc62823423"/>
      <w:bookmarkStart w:id="148" w:name="_Toc62823511"/>
      <w:bookmarkStart w:id="149" w:name="_Toc62833108"/>
      <w:bookmarkStart w:id="150" w:name="_Toc62841459"/>
      <w:bookmarkStart w:id="151" w:name="_Toc62942378"/>
      <w:bookmarkStart w:id="152" w:name="_Toc63178100"/>
      <w:bookmarkStart w:id="153" w:name="_Toc63258853"/>
      <w:bookmarkStart w:id="154" w:name="_Toc63269649"/>
      <w:bookmarkStart w:id="155" w:name="_Toc63692760"/>
      <w:bookmarkStart w:id="156" w:name="_Toc63712839"/>
      <w:bookmarkStart w:id="157" w:name="_Toc63850069"/>
      <w:bookmarkStart w:id="158" w:name="_Toc63850287"/>
      <w:bookmarkStart w:id="159" w:name="_Toc63862428"/>
      <w:bookmarkStart w:id="160" w:name="_Toc64476338"/>
      <w:r w:rsidRPr="00B37A02">
        <w:rPr>
          <w:rFonts w:cs="Times New Roman"/>
          <w:sz w:val="24"/>
        </w:rPr>
        <w:t>3.5. Pienācīgs mājoklis</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14:paraId="779955A2" w14:textId="77777777" w:rsidR="00C97F66" w:rsidRPr="00B37A02" w:rsidRDefault="00C97F66" w:rsidP="00C97F66">
      <w:pPr>
        <w:spacing w:after="0"/>
        <w:rPr>
          <w:rFonts w:ascii="Times New Roman" w:hAnsi="Times New Roman" w:cs="Times New Roman"/>
        </w:rPr>
      </w:pPr>
    </w:p>
    <w:p w14:paraId="2DC25DA3" w14:textId="77777777"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Pienācīga mājas vide ir būtiska vajadzība. Piekļuve pieņemamam un kvalitatīvam mājoklim ir viens no galvenajiem bērnu labklājības un sociālās līdzdalības faktoriem. 2019. gadā 9,3 % no 27 ES dalībvalstu iedzīvotājiem dzīvoja mājsaimniecībās, kuras mājokļa vajadzībām tērēja 40 % vai vairāk no to rīcībā esošajiem ienākumiem (t. i., tika uzskatīts, ka tās saskārās ar pārmērīgām ar mājokli saistītām izmaksām).</w:t>
      </w:r>
      <w:r w:rsidRPr="00B37A02">
        <w:rPr>
          <w:rStyle w:val="FootnoteReference"/>
          <w:rFonts w:ascii="Times New Roman" w:hAnsi="Times New Roman"/>
          <w:sz w:val="24"/>
          <w:szCs w:val="24"/>
        </w:rPr>
        <w:footnoteReference w:id="157"/>
      </w:r>
      <w:r w:rsidRPr="00B37A02">
        <w:rPr>
          <w:rFonts w:ascii="Times New Roman" w:hAnsi="Times New Roman"/>
          <w:sz w:val="24"/>
        </w:rPr>
        <w:t xml:space="preserve"> Nabadzības riskam pakļauto mājsaimniecību vidū šis īpatsvars visā ES bija 35 %, Grieķijā pat 88,2 %, bet Maltā (kur pēdējā laikā tas ievērojami palielinājās) tikai 9,2 %. Pārmērīgu ar mājokli saistītu izmaksu, kā arī pārapdzīvotības biežums attiecībā uz īrniekiem ir lielāks nekā attiecībā uz īpašniekiem.</w:t>
      </w:r>
    </w:p>
    <w:p w14:paraId="708ABD38" w14:textId="77777777" w:rsidR="00C97F66" w:rsidRPr="00B37A02" w:rsidRDefault="00C97F66" w:rsidP="00C97F66">
      <w:pPr>
        <w:pStyle w:val="BodyText"/>
        <w:widowControl w:val="0"/>
        <w:spacing w:after="0"/>
        <w:rPr>
          <w:rFonts w:ascii="Times New Roman" w:hAnsi="Times New Roman"/>
          <w:sz w:val="24"/>
          <w:szCs w:val="24"/>
        </w:rPr>
      </w:pPr>
    </w:p>
    <w:p w14:paraId="673CB7CF" w14:textId="729C4833" w:rsidR="00BC5BDF" w:rsidRPr="00B37A02" w:rsidRDefault="00BC5BDF" w:rsidP="00C97F66">
      <w:pPr>
        <w:pStyle w:val="BodyText"/>
        <w:widowControl w:val="0"/>
        <w:spacing w:after="0"/>
        <w:rPr>
          <w:rFonts w:ascii="Times New Roman" w:hAnsi="Times New Roman"/>
          <w:bCs/>
          <w:iCs/>
          <w:sz w:val="24"/>
          <w:szCs w:val="24"/>
        </w:rPr>
      </w:pPr>
      <w:r w:rsidRPr="00B37A02">
        <w:rPr>
          <w:rFonts w:ascii="Times New Roman" w:hAnsi="Times New Roman"/>
          <w:sz w:val="24"/>
        </w:rPr>
        <w:t xml:space="preserve">Vairumā dalībvalstu </w:t>
      </w:r>
      <w:r w:rsidRPr="00B37A02">
        <w:rPr>
          <w:rFonts w:ascii="Times New Roman" w:hAnsi="Times New Roman"/>
          <w:b/>
          <w:bCs/>
          <w:sz w:val="24"/>
        </w:rPr>
        <w:t>ļoti sliktu sadzīves apstākļu</w:t>
      </w:r>
      <w:r w:rsidRPr="00B37A02">
        <w:rPr>
          <w:rFonts w:ascii="Times New Roman" w:hAnsi="Times New Roman"/>
          <w:sz w:val="24"/>
        </w:rPr>
        <w:t xml:space="preserve"> risks būtiski palielinās, ja: i) persona ir pakļauta nepietiekamu ienākumu radītai nabadzībai; ii) persona dzīvo vientuļā vecāka mājsaimniecībā vai iii) personai ir migrantu izcelsme.</w:t>
      </w:r>
      <w:r w:rsidRPr="00B37A02">
        <w:rPr>
          <w:rStyle w:val="FootnoteReference"/>
          <w:rFonts w:ascii="Times New Roman" w:hAnsi="Times New Roman"/>
          <w:sz w:val="24"/>
          <w:szCs w:val="24"/>
        </w:rPr>
        <w:footnoteReference w:id="158"/>
      </w:r>
      <w:r w:rsidRPr="00B37A02">
        <w:rPr>
          <w:rFonts w:ascii="Times New Roman" w:hAnsi="Times New Roman"/>
          <w:sz w:val="24"/>
        </w:rPr>
        <w:t xml:space="preserve"> Vairāk nekā katrs piektais bērns ES (21 %), kurš dzīvo mājsaimniecībā ar zemiem ienākumiem, dzīvo mājoklī ar cauru jumtu, mitrām sienām, grīdām vai pamatiem vai arī logu rāmju vai grīdas puvi. Savukārt katrs trīspadsmitais bērns ES (7,7 %) dzīvo mājokļos, kas ir pārāk tumši.</w:t>
      </w:r>
    </w:p>
    <w:p w14:paraId="332DAFC1" w14:textId="77777777" w:rsidR="00AE7AC4" w:rsidRPr="00B37A02" w:rsidRDefault="00AE7AC4" w:rsidP="00C97F66">
      <w:pPr>
        <w:pStyle w:val="BodyText"/>
        <w:widowControl w:val="0"/>
        <w:spacing w:after="0"/>
        <w:rPr>
          <w:rFonts w:ascii="Times New Roman" w:hAnsi="Times New Roman"/>
          <w:sz w:val="24"/>
          <w:szCs w:val="24"/>
        </w:rPr>
      </w:pPr>
    </w:p>
    <w:p w14:paraId="2A71B14A" w14:textId="26D0CBF8"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lastRenderedPageBreak/>
        <w:t>Apsekojums par bērnu materiālo nenodrošinātību (2014. gads)</w:t>
      </w:r>
      <w:r w:rsidRPr="00B37A02">
        <w:rPr>
          <w:rStyle w:val="FootnoteReference"/>
          <w:rFonts w:ascii="Times New Roman" w:hAnsi="Times New Roman"/>
          <w:sz w:val="24"/>
          <w:szCs w:val="24"/>
        </w:rPr>
        <w:footnoteReference w:id="159"/>
      </w:r>
      <w:r w:rsidRPr="00B37A02">
        <w:rPr>
          <w:rFonts w:ascii="Times New Roman" w:hAnsi="Times New Roman"/>
          <w:sz w:val="24"/>
        </w:rPr>
        <w:t xml:space="preserve"> liecināja, ka 10,2 % visu 28 ES dalībvalstu bērnu (vecumā no 1 līdz 15 gadiem) dzīvoja nepietiekami apsildītos mājokļos.</w:t>
      </w:r>
      <w:r w:rsidRPr="00B37A02">
        <w:rPr>
          <w:rStyle w:val="FootnoteReference"/>
          <w:rFonts w:ascii="Times New Roman" w:hAnsi="Times New Roman"/>
          <w:sz w:val="24"/>
          <w:szCs w:val="24"/>
        </w:rPr>
        <w:footnoteReference w:id="160"/>
      </w:r>
      <w:r w:rsidRPr="00B37A02">
        <w:rPr>
          <w:rFonts w:ascii="Times New Roman" w:hAnsi="Times New Roman"/>
          <w:sz w:val="24"/>
        </w:rPr>
        <w:t xml:space="preserve"> Attiecīgais īpatsvars svārstījās no 0,8 % Somijā un Zviedrijā un 1,0 % Luksemburgā līdz 25,7 % Kiprā, 31,1 % Grieķijā un 40,6 % Bulgārijā. Spēja uzturēt pietiekami siltu mājokli ir saistīta ar</w:t>
      </w:r>
      <w:r w:rsidRPr="00B37A02">
        <w:rPr>
          <w:rFonts w:ascii="Times New Roman" w:hAnsi="Times New Roman"/>
          <w:b/>
          <w:bCs/>
          <w:sz w:val="24"/>
        </w:rPr>
        <w:t xml:space="preserve"> enerģētisko nabadzību</w:t>
      </w:r>
      <w:r w:rsidRPr="00B37A02">
        <w:rPr>
          <w:rFonts w:ascii="Times New Roman" w:hAnsi="Times New Roman"/>
          <w:sz w:val="24"/>
        </w:rPr>
        <w:t>, un tā bieži vien saistāma ar zemiem mājsaimniecības ienākumiem, augstām elektroenerģijas izmaksām un mājokļiem ar zemu energoefektivitāti.</w:t>
      </w:r>
    </w:p>
    <w:p w14:paraId="22942985" w14:textId="77777777" w:rsidR="00AE7AC4" w:rsidRPr="00B37A02" w:rsidRDefault="00AE7AC4" w:rsidP="00C97F66">
      <w:pPr>
        <w:pStyle w:val="BodyText"/>
        <w:widowControl w:val="0"/>
        <w:spacing w:after="0"/>
        <w:rPr>
          <w:rFonts w:ascii="Times New Roman" w:hAnsi="Times New Roman"/>
          <w:sz w:val="24"/>
          <w:szCs w:val="24"/>
        </w:rPr>
      </w:pPr>
    </w:p>
    <w:p w14:paraId="73DA39C8" w14:textId="7ABC3D9A"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 xml:space="preserve">Nabadzības riskam pakļautie bērni visbiežāk ir pakļauti arī </w:t>
      </w:r>
      <w:r w:rsidRPr="00B37A02">
        <w:rPr>
          <w:rFonts w:ascii="Times New Roman" w:hAnsi="Times New Roman"/>
          <w:b/>
          <w:bCs/>
          <w:sz w:val="24"/>
        </w:rPr>
        <w:t>pārapdzīvotībai.</w:t>
      </w:r>
      <w:r w:rsidRPr="00B37A02">
        <w:rPr>
          <w:rStyle w:val="FootnoteReference"/>
          <w:rFonts w:ascii="Times New Roman" w:hAnsi="Times New Roman"/>
          <w:sz w:val="24"/>
          <w:szCs w:val="24"/>
        </w:rPr>
        <w:footnoteReference w:id="161"/>
      </w:r>
      <w:r w:rsidRPr="00B37A02">
        <w:rPr>
          <w:rFonts w:ascii="Times New Roman" w:hAnsi="Times New Roman"/>
          <w:sz w:val="24"/>
        </w:rPr>
        <w:t xml:space="preserve"> Vairāk nekā 41 % no viņiem 27 ES dalībvalstīs dzīvo pārapdzīvotos mājokļos pretstatā 17 % bērnu no visa iedzīvotāju kopskaita. Dažu dalībvalstu lauku teritorijās sliktiem sadzīves apstākļiem par iemeslu ir galvenokārt slikta privātmāju kvalitāte. Pilsētu teritorijās nepietiekamā sociālo mājokļu piedāvājuma un lielo tirgus īres maksu dēļ ģimenēm nākas iekārtoties mājokļos, kas atrodas neatbilstošā tehniskā stāvoklī vai kas ir pārāk mazi to vajadzībām. Turklāt neatbilstoši mājokļi parasti ir sastopami nodalītās apkaimēs, kas jau pats par sevi palielina sociālās atstumtības risku. Tomēr vairākās dalībvalstīs sadzīves apstākļi pēdējo desmit gadu laikā ir būtiski uzlabojušies, proti, kopumā 27 ES dalībvalstīs to bērnu īpatsvars, kuri dzīvo mājokļos bez tualetes vai bez vannas vai dušas, ir samazinājies gandrīz uz pusi. Nabadzības riskam pakļauto bērnu vidū Bulgārijā, Beļģijā un Rumānijā to mājokļu skaits, kuros ir cauri jumti, mitras sienas, grīdas vai pamati vai logu rāmju vai grīdas puve, ir samazinājies attiecīgi par 12,9 procentpunktiem, 11,2 procentpunktiem un 9,1 procentpunktu. Savukārt Slovēnijā un Polijā šis kritums, proti, par 11,6 un 7,9 procentpunktiem, bija novērojams attiecībā uz mājokļiem, kas tiek uzskatīti par pārāk tumšiem. Rumānijā, Latvijā un Bulgārijā ir novērots būtisks progress saistībā ar sanitārajiem apstākļiem (ūdensklozeta tualete iekštelpās tikai attiecīgās mājsaimniecības vajadzībām un vanna vai duša mājoklī), proti, līdz 19,4 procentpunktiem desmit gadu laikā attiecībā uz visu iedzīvotāju kopskaitu.</w:t>
      </w:r>
      <w:r w:rsidRPr="00B37A02">
        <w:rPr>
          <w:rStyle w:val="FootnoteReference"/>
          <w:rFonts w:ascii="Times New Roman" w:hAnsi="Times New Roman"/>
          <w:sz w:val="24"/>
          <w:szCs w:val="24"/>
        </w:rPr>
        <w:footnoteReference w:id="162"/>
      </w:r>
    </w:p>
    <w:p w14:paraId="2717EACD" w14:textId="77777777" w:rsidR="00AE7AC4" w:rsidRPr="00B37A02" w:rsidRDefault="00AE7AC4" w:rsidP="00C97F66">
      <w:pPr>
        <w:pStyle w:val="BodyText"/>
        <w:widowControl w:val="0"/>
        <w:spacing w:after="0"/>
        <w:rPr>
          <w:rFonts w:ascii="Times New Roman" w:hAnsi="Times New Roman"/>
          <w:b/>
          <w:sz w:val="24"/>
          <w:szCs w:val="24"/>
        </w:rPr>
      </w:pPr>
    </w:p>
    <w:p w14:paraId="4F8D936A" w14:textId="6BBC04FA"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b/>
          <w:bCs/>
          <w:sz w:val="24"/>
        </w:rPr>
        <w:t>Pārmērīgas ar mājokli saistītas izmaksas</w:t>
      </w:r>
      <w:r w:rsidRPr="00B37A02">
        <w:rPr>
          <w:rFonts w:ascii="Times New Roman" w:hAnsi="Times New Roman"/>
          <w:sz w:val="24"/>
        </w:rPr>
        <w:t xml:space="preserve"> rada nopietnu problēmu. Pēdējo gadu laikā gandrīz visās dalībvalstīs mājokļa cena pieauga ātrāk nekā ienākumi.</w:t>
      </w:r>
      <w:r w:rsidRPr="00B37A02">
        <w:rPr>
          <w:rStyle w:val="FootnoteReference"/>
          <w:rFonts w:ascii="Times New Roman" w:hAnsi="Times New Roman"/>
          <w:sz w:val="24"/>
          <w:szCs w:val="24"/>
        </w:rPr>
        <w:footnoteReference w:id="163"/>
      </w:r>
      <w:r w:rsidRPr="00B37A02">
        <w:rPr>
          <w:rFonts w:ascii="Times New Roman" w:hAnsi="Times New Roman"/>
          <w:sz w:val="24"/>
        </w:rPr>
        <w:t xml:space="preserve"> 2019. gadā aptuveni 9 % 27 ES dalībvalstu iedzīvotāju mājokļa izmaksas veidoja vairāk nekā 40 % no mājsaimniecības rīcībā esošajiem ienākumiem, kas būtiski samazina spēju apmierināt visas pārējās vajadzības līdzās mājokļa izmaksām. Pārmērīgas ar mājokli saistītas izmaksas nesamērīgi ietekmē bērnus no mājsaimniecībām ar zemiem ienākumiem, proti, viņiem pārmērīgu ar mājokli saistītu izmaksu slogs ir trīs līdz piecas reizes lielāks nekā visam bērnu kopumam. To bērnu īpatsvars, kas dzīvo mājsaimniecībās, kuras saskārās ar pārmērīgām ar mājokli saistītām izmaksām, bija īpaši augsts Grieķijā, kur gandrīz puse (47 %) visu bērnu dzīvoja šādās mājsaimniecībās, kam sekoja Bulgārija (18 %).</w:t>
      </w:r>
      <w:r w:rsidRPr="00B37A02">
        <w:rPr>
          <w:rStyle w:val="FootnoteReference"/>
          <w:rFonts w:ascii="Times New Roman" w:hAnsi="Times New Roman"/>
          <w:sz w:val="24"/>
          <w:szCs w:val="24"/>
        </w:rPr>
        <w:footnoteReference w:id="164"/>
      </w:r>
    </w:p>
    <w:p w14:paraId="5CC644E9" w14:textId="77777777" w:rsidR="00AE7AC4" w:rsidRPr="00B37A02" w:rsidRDefault="00AE7AC4" w:rsidP="00C97F66">
      <w:pPr>
        <w:pStyle w:val="BodyText"/>
        <w:widowControl w:val="0"/>
        <w:spacing w:after="0"/>
        <w:rPr>
          <w:rFonts w:ascii="Times New Roman" w:hAnsi="Times New Roman"/>
          <w:sz w:val="24"/>
          <w:szCs w:val="24"/>
        </w:rPr>
      </w:pPr>
    </w:p>
    <w:p w14:paraId="158A4684" w14:textId="5B97773D" w:rsidR="00BC5BDF"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Publiski pārvaldīto mājokļu īpatsvars ES kopējā mājokļu fondā kopumā ir zems,</w:t>
      </w:r>
      <w:r w:rsidRPr="00B37A02">
        <w:rPr>
          <w:rStyle w:val="FootnoteReference"/>
          <w:rFonts w:ascii="Times New Roman" w:hAnsi="Times New Roman"/>
          <w:sz w:val="24"/>
          <w:szCs w:val="24"/>
        </w:rPr>
        <w:footnoteReference w:id="165"/>
      </w:r>
      <w:r w:rsidRPr="00B37A02">
        <w:rPr>
          <w:rFonts w:ascii="Times New Roman" w:hAnsi="Times New Roman"/>
          <w:sz w:val="24"/>
        </w:rPr>
        <w:t xml:space="preserve"> kas ierobežo rīcības iespējas politikas pasākumiem, kuru mērķis ir risināt sliktu sadzīves apstākļu problēmu. Mājokļu tirgus ietekmēšanai izmantotie politikas instrumenti ietver uz pieprasījumu orientētu atbalstu privātpersonām un mājsaimniecībām, lai: i) atvieglotu mājokļa iegādi; ii) sniegtu </w:t>
      </w:r>
      <w:r w:rsidRPr="00B37A02">
        <w:rPr>
          <w:rFonts w:ascii="Times New Roman" w:hAnsi="Times New Roman"/>
          <w:sz w:val="24"/>
        </w:rPr>
        <w:lastRenderedPageBreak/>
        <w:t>atbalstu mājsaimniecībām, kas nonākušas finansiālās grūtībās, vai iii) piekļūtu subsidētam mājoklim vai mājoklim privātajā īres tirgū (piemēram, izmantojot mājokļa pabalstus).</w:t>
      </w:r>
      <w:r w:rsidRPr="00B37A02">
        <w:rPr>
          <w:rStyle w:val="FootnoteReference"/>
          <w:rFonts w:ascii="Times New Roman" w:hAnsi="Times New Roman"/>
          <w:sz w:val="24"/>
          <w:szCs w:val="24"/>
        </w:rPr>
        <w:footnoteReference w:id="166"/>
      </w:r>
      <w:r w:rsidRPr="00B37A02">
        <w:rPr>
          <w:rFonts w:ascii="Times New Roman" w:hAnsi="Times New Roman"/>
          <w:sz w:val="24"/>
        </w:rPr>
        <w:t xml:space="preserve"> 2018. gadā veiktā ESAO apsekojumā 21 valstī valdības izdevumi mājokļa pabalstiem attiecībā pret IKP pārsniedza 0,5 % no IKP tikai piecās dalībvalstīs, bet augstākais rādītājs (0,89 % no IKP) bija novērojams Somijā. Citās 10 valstīs šis rādītājs bija līdzvērtīgs 0,10 % no IKP vai zemāks.</w:t>
      </w:r>
    </w:p>
    <w:p w14:paraId="0A48127E" w14:textId="77777777" w:rsidR="00AE7AC4" w:rsidRPr="00B37A02" w:rsidRDefault="00AE7AC4" w:rsidP="00C97F66">
      <w:pPr>
        <w:pStyle w:val="BodyText"/>
        <w:widowControl w:val="0"/>
        <w:spacing w:after="0"/>
        <w:rPr>
          <w:rFonts w:ascii="Times New Roman" w:hAnsi="Times New Roman"/>
          <w:sz w:val="24"/>
          <w:szCs w:val="24"/>
        </w:rPr>
      </w:pPr>
    </w:p>
    <w:p w14:paraId="74C003CD" w14:textId="09FA28D8" w:rsidR="00BC5BDF"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 xml:space="preserve">Attiecībā uz </w:t>
      </w:r>
      <w:r w:rsidRPr="00B37A02">
        <w:rPr>
          <w:rFonts w:ascii="Times New Roman" w:hAnsi="Times New Roman"/>
          <w:b/>
          <w:bCs/>
          <w:sz w:val="24"/>
        </w:rPr>
        <w:t>bezpajumtniecību</w:t>
      </w:r>
      <w:r w:rsidRPr="00B37A02">
        <w:rPr>
          <w:rFonts w:ascii="Times New Roman" w:hAnsi="Times New Roman"/>
          <w:sz w:val="24"/>
        </w:rPr>
        <w:t xml:space="preserve"> desmit dalībvalstīs ir ieviesti īpaši noteikumi vai prasības attiecībā uz ārkārtas pagaidu izmitināšanas vietu kvalitāti, ja ģimenē dzīvo bērni. Tomēr pastāv atšķirības pakalpojumu kvalitātē attiecībā uz bērniem un ģimenēm, kas palikušas bez pajumtes. Lielas atšķirības ir arī šo pakalpojumu regulējumā un uzraudzībā. Stabilas mājas nodrošināšana bērniem ir priekšnoteikums jebkuram papildu sociālajam vai veselības atbalstam, kas var novērst viņu situācijas pasliktināšanos. Pagaidu izmitināšana var būt noderīga, lai apmierinātu tūlītējas mājokļa vajadzības, ja vien tā nekļūst par ilgtermiņa risinājumu.</w:t>
      </w:r>
    </w:p>
    <w:p w14:paraId="5CFD9B5E" w14:textId="77777777" w:rsidR="00AE7AC4" w:rsidRPr="00B37A02" w:rsidRDefault="00AE7AC4" w:rsidP="00C97F66">
      <w:pPr>
        <w:pStyle w:val="BodyText"/>
        <w:widowControl w:val="0"/>
        <w:spacing w:after="0"/>
        <w:rPr>
          <w:rFonts w:ascii="Times New Roman" w:hAnsi="Times New Roman"/>
          <w:sz w:val="24"/>
          <w:szCs w:val="24"/>
        </w:rPr>
      </w:pPr>
    </w:p>
    <w:p w14:paraId="53D46844" w14:textId="0A6C31AC" w:rsidR="00EC5DE2" w:rsidRPr="00B37A02" w:rsidRDefault="00AE7AC4" w:rsidP="00C97F66">
      <w:pPr>
        <w:pStyle w:val="Heading2"/>
        <w:keepNext w:val="0"/>
        <w:keepLines w:val="0"/>
        <w:widowControl w:val="0"/>
        <w:spacing w:before="0" w:line="240" w:lineRule="auto"/>
        <w:jc w:val="both"/>
        <w:rPr>
          <w:rFonts w:cs="Times New Roman"/>
          <w:sz w:val="24"/>
          <w:szCs w:val="28"/>
        </w:rPr>
      </w:pPr>
      <w:bookmarkStart w:id="161" w:name="_Toc63269654"/>
      <w:bookmarkStart w:id="162" w:name="_Toc63692761"/>
      <w:bookmarkStart w:id="163" w:name="_Toc63712840"/>
      <w:bookmarkStart w:id="164" w:name="_Toc63850070"/>
      <w:bookmarkStart w:id="165" w:name="_Toc63850288"/>
      <w:bookmarkStart w:id="166" w:name="_Toc63862429"/>
      <w:bookmarkStart w:id="167" w:name="_Toc64476339"/>
      <w:bookmarkStart w:id="168" w:name="_Toc62823383"/>
      <w:bookmarkStart w:id="169" w:name="_Toc62823471"/>
      <w:bookmarkStart w:id="170" w:name="_Toc62833097"/>
      <w:bookmarkStart w:id="171" w:name="_Toc62841460"/>
      <w:bookmarkStart w:id="172" w:name="_Toc62942379"/>
      <w:r w:rsidRPr="00B37A02">
        <w:rPr>
          <w:rFonts w:cs="Times New Roman"/>
          <w:sz w:val="24"/>
        </w:rPr>
        <w:t>3.6. Teritoriālā dimensija</w:t>
      </w:r>
      <w:bookmarkEnd w:id="161"/>
      <w:bookmarkEnd w:id="162"/>
      <w:bookmarkEnd w:id="163"/>
      <w:bookmarkEnd w:id="164"/>
      <w:bookmarkEnd w:id="165"/>
      <w:bookmarkEnd w:id="166"/>
      <w:bookmarkEnd w:id="167"/>
      <w:bookmarkEnd w:id="168"/>
      <w:bookmarkEnd w:id="169"/>
      <w:bookmarkEnd w:id="170"/>
      <w:bookmarkEnd w:id="171"/>
      <w:bookmarkEnd w:id="172"/>
    </w:p>
    <w:p w14:paraId="5861F1CE" w14:textId="77777777" w:rsidR="00AE7AC4" w:rsidRPr="00B37A02" w:rsidRDefault="00AE7AC4" w:rsidP="00C97F66">
      <w:pPr>
        <w:spacing w:after="0" w:line="240" w:lineRule="auto"/>
        <w:rPr>
          <w:rFonts w:ascii="Times New Roman" w:hAnsi="Times New Roman" w:cs="Times New Roman"/>
        </w:rPr>
      </w:pPr>
    </w:p>
    <w:p w14:paraId="2F7FD3F3" w14:textId="77777777" w:rsidR="00EC5DE2" w:rsidRPr="00B37A02" w:rsidRDefault="00BC5BDF" w:rsidP="00C97F66">
      <w:pPr>
        <w:pStyle w:val="Considrant"/>
        <w:widowControl w:val="0"/>
        <w:tabs>
          <w:tab w:val="clear" w:pos="1702"/>
          <w:tab w:val="left" w:pos="720"/>
        </w:tabs>
        <w:spacing w:before="0" w:after="0"/>
        <w:ind w:left="0" w:firstLine="0"/>
      </w:pPr>
      <w:r w:rsidRPr="00B37A02">
        <w:t>Bērnu atstumtībai un nabadzībai, kā arī iespēju vienlīdzībai ir teritoriāls aspekts, kas jāņem vērā, izstrādājot un īstenojot pasākumus, lai nodrošinātu piekļuvi pamatpakalpojumiem bērniem, kam vajadzīga palīdzība.</w:t>
      </w:r>
    </w:p>
    <w:p w14:paraId="4ADCAD13" w14:textId="77777777" w:rsidR="00AE7AC4" w:rsidRPr="00B37A02" w:rsidRDefault="00AE7AC4" w:rsidP="00C97F66">
      <w:pPr>
        <w:pStyle w:val="Considrant"/>
        <w:widowControl w:val="0"/>
        <w:tabs>
          <w:tab w:val="clear" w:pos="1702"/>
          <w:tab w:val="left" w:pos="720"/>
        </w:tabs>
        <w:spacing w:before="0" w:after="0"/>
        <w:ind w:left="0" w:firstLine="0"/>
      </w:pPr>
    </w:p>
    <w:p w14:paraId="6D2E237F" w14:textId="73BA3DAB" w:rsidR="00EC5DE2" w:rsidRPr="00B37A02" w:rsidRDefault="00BC5BDF" w:rsidP="00C97F66">
      <w:pPr>
        <w:pStyle w:val="Considrant"/>
        <w:widowControl w:val="0"/>
        <w:tabs>
          <w:tab w:val="clear" w:pos="1702"/>
          <w:tab w:val="left" w:pos="720"/>
        </w:tabs>
        <w:spacing w:before="0" w:after="0"/>
        <w:ind w:left="0" w:firstLine="0"/>
      </w:pPr>
      <w:r w:rsidRPr="00B37A02">
        <w:t>Lielākajā daļā lielo pilsētu, kas apsekotas nesenajā “Eurocities”</w:t>
      </w:r>
      <w:r w:rsidRPr="00B37A02">
        <w:rPr>
          <w:rStyle w:val="FootnoteReference"/>
        </w:rPr>
        <w:footnoteReference w:id="167"/>
      </w:r>
      <w:r w:rsidRPr="00B37A02">
        <w:t xml:space="preserve"> ziņojumā, bērnu nabadzība pārsniedz attiecīgās valsts vidējo rādītāju. Bērni, kas dzīvo vistrūcīgākajās pilsētu teritorijās, bieži saskaras ar vairākiem riska faktoriem, piemēram, sliktu mājokli, diskriminācijas risku, vardarbību un nevienlīdzīgu piekļuvi pakalpojumiem. Vairākas dalībvalstis</w:t>
      </w:r>
      <w:r w:rsidRPr="00B37A02">
        <w:rPr>
          <w:vertAlign w:val="superscript"/>
        </w:rPr>
        <w:footnoteReference w:id="168"/>
      </w:r>
      <w:r w:rsidRPr="00B37A02">
        <w:t xml:space="preserve"> jau ir izstrādājušas rādītājus, lai apzinātu nodalītas teritorijas (kurās ir augsta nabadzības un atstumtības koncentrācija) un nodrošinātu mērķorientētus pasākumus. Tās ietver, piemēram, teritorijas Slovākijā ar augstu romu tautības iedzīvotāju blīvumu.</w:t>
      </w:r>
    </w:p>
    <w:p w14:paraId="0C11B502" w14:textId="77777777" w:rsidR="00AE7AC4" w:rsidRPr="00B37A02" w:rsidRDefault="00AE7AC4" w:rsidP="00C97F66">
      <w:pPr>
        <w:widowControl w:val="0"/>
        <w:spacing w:after="0" w:line="240" w:lineRule="auto"/>
        <w:jc w:val="both"/>
        <w:rPr>
          <w:rFonts w:ascii="Times New Roman" w:hAnsi="Times New Roman" w:cs="Times New Roman"/>
          <w:sz w:val="24"/>
          <w:szCs w:val="24"/>
        </w:rPr>
      </w:pPr>
    </w:p>
    <w:p w14:paraId="0832DBBC" w14:textId="55C6116C" w:rsidR="00EC5DE2" w:rsidRPr="00B37A02" w:rsidRDefault="00BC5BDF" w:rsidP="008B0989">
      <w:pPr>
        <w:spacing w:after="0" w:line="240" w:lineRule="auto"/>
        <w:jc w:val="both"/>
        <w:rPr>
          <w:rFonts w:ascii="Times New Roman" w:hAnsi="Times New Roman" w:cs="Times New Roman"/>
          <w:sz w:val="24"/>
          <w:szCs w:val="24"/>
        </w:rPr>
      </w:pPr>
      <w:r w:rsidRPr="00B37A02">
        <w:rPr>
          <w:rFonts w:ascii="Times New Roman" w:hAnsi="Times New Roman" w:cs="Times New Roman"/>
          <w:sz w:val="24"/>
        </w:rPr>
        <w:t>Rumānijā, Bulgārijā, Lietuvā, Latvijā un Grieķijā dzīvošana reģionā ar dominējošu laukos dzīvojošo īpatsvaru</w:t>
      </w:r>
      <w:r w:rsidRPr="00B37A02">
        <w:rPr>
          <w:rFonts w:ascii="Times New Roman" w:hAnsi="Times New Roman" w:cs="Times New Roman"/>
          <w:sz w:val="24"/>
          <w:szCs w:val="24"/>
          <w:vertAlign w:val="superscript"/>
        </w:rPr>
        <w:footnoteReference w:id="169"/>
      </w:r>
      <w:r w:rsidRPr="00B37A02">
        <w:rPr>
          <w:rFonts w:ascii="Times New Roman" w:hAnsi="Times New Roman" w:cs="Times New Roman"/>
          <w:sz w:val="24"/>
        </w:rPr>
        <w:t xml:space="preserve"> ir saistīta ar ievērojami lielāku nabadzības vai sociālās atstumtības risku nekā dzīvošana pilsētās. Dažu lauku kopienu attālums ierobežo skolu un klašu lielumu. Tas ietekmē infrastruktūru un izglītības piedāvājumu.</w:t>
      </w:r>
      <w:r w:rsidRPr="00B37A02">
        <w:rPr>
          <w:rFonts w:ascii="Times New Roman" w:hAnsi="Times New Roman" w:cs="Times New Roman"/>
          <w:sz w:val="24"/>
          <w:vertAlign w:val="superscript"/>
        </w:rPr>
        <w:footnoteReference w:id="170"/>
      </w:r>
      <w:r w:rsidRPr="00B37A02">
        <w:rPr>
          <w:rFonts w:ascii="Times New Roman" w:hAnsi="Times New Roman" w:cs="Times New Roman"/>
          <w:sz w:val="24"/>
          <w:vertAlign w:val="superscript"/>
        </w:rPr>
        <w:t xml:space="preserve"> </w:t>
      </w:r>
      <w:r w:rsidRPr="00B37A02">
        <w:rPr>
          <w:rFonts w:ascii="Times New Roman" w:hAnsi="Times New Roman" w:cs="Times New Roman"/>
          <w:i/>
          <w:iCs/>
          <w:sz w:val="24"/>
        </w:rPr>
        <w:t>PISA</w:t>
      </w:r>
      <w:r w:rsidRPr="00B37A02">
        <w:rPr>
          <w:rFonts w:ascii="Times New Roman" w:hAnsi="Times New Roman" w:cs="Times New Roman"/>
          <w:sz w:val="24"/>
        </w:rPr>
        <w:t xml:space="preserve"> 2018. gada dati liecina, ka lasītprasmes atšķirība starp skolēniem, kuri apmeklē skolas pilsētās ar vairāk nekā 100 000 iedzīvotāju, un skolēniem, kuri apmeklē skolas apgabalos ar mazāk nekā 3000 iedzīvotājiem,</w:t>
      </w:r>
      <w:r w:rsidRPr="00B37A02">
        <w:rPr>
          <w:rFonts w:ascii="Times New Roman" w:hAnsi="Times New Roman" w:cs="Times New Roman"/>
          <w:sz w:val="24"/>
          <w:szCs w:val="24"/>
          <w:vertAlign w:val="superscript"/>
        </w:rPr>
        <w:footnoteReference w:id="171"/>
      </w:r>
      <w:r w:rsidRPr="00B37A02">
        <w:rPr>
          <w:rFonts w:ascii="Times New Roman" w:hAnsi="Times New Roman" w:cs="Times New Roman"/>
          <w:sz w:val="24"/>
        </w:rPr>
        <w:t xml:space="preserve"> dažās dalībvalstīs pārsniedz 100 </w:t>
      </w:r>
      <w:r w:rsidRPr="00B37A02">
        <w:rPr>
          <w:rFonts w:ascii="Times New Roman" w:hAnsi="Times New Roman" w:cs="Times New Roman"/>
          <w:i/>
          <w:iCs/>
          <w:sz w:val="24"/>
        </w:rPr>
        <w:t>PISA</w:t>
      </w:r>
      <w:r w:rsidRPr="00B37A02">
        <w:rPr>
          <w:rFonts w:ascii="Times New Roman" w:hAnsi="Times New Roman" w:cs="Times New Roman"/>
          <w:sz w:val="24"/>
        </w:rPr>
        <w:t xml:space="preserve"> punktus. Tas atbilst vismaz 3 mācību gadu starpībai. Atšķirības lauku reģionos ir vēl redzamākas skolēnu pārejā uz augstāku izglītības līmeni un iecerētajos izglītības rezultātos, pirms viņi nolemj turpināt izglītību. Vidējā atšķirība starp lauku apvidiem un pilsētām augstākajā izglītībā (t. i., atšķirība starp to iedzīvotāju procentuālo daļu, kuriem ir augstākā izglītība, un tiem, kuriem tādas nav) ir vairāk nekā 20 procentpunkti. Šī </w:t>
      </w:r>
      <w:r w:rsidRPr="00B37A02">
        <w:rPr>
          <w:rFonts w:ascii="Times New Roman" w:hAnsi="Times New Roman" w:cs="Times New Roman"/>
          <w:sz w:val="24"/>
        </w:rPr>
        <w:lastRenderedPageBreak/>
        <w:t>atšķirība pēdējos gados ir pieaugusi, jo lielākajā daļā dalībvalstu augstākās izglītības līmenis pilsētās pieaug straujāk nekā lauku apvidos.</w:t>
      </w:r>
      <w:r w:rsidRPr="00B37A02">
        <w:rPr>
          <w:rStyle w:val="FootnoteReference"/>
          <w:rFonts w:ascii="Times New Roman" w:hAnsi="Times New Roman" w:cs="Times New Roman"/>
          <w:sz w:val="24"/>
          <w:szCs w:val="24"/>
        </w:rPr>
        <w:footnoteReference w:id="172"/>
      </w:r>
    </w:p>
    <w:p w14:paraId="2A973507" w14:textId="77777777" w:rsidR="00AE7AC4" w:rsidRPr="00B37A02" w:rsidRDefault="00AE7AC4" w:rsidP="00C97F66">
      <w:pPr>
        <w:widowControl w:val="0"/>
        <w:spacing w:after="0" w:line="240" w:lineRule="auto"/>
        <w:jc w:val="both"/>
        <w:rPr>
          <w:rFonts w:ascii="Times New Roman" w:hAnsi="Times New Roman" w:cs="Times New Roman"/>
          <w:sz w:val="24"/>
          <w:szCs w:val="24"/>
        </w:rPr>
      </w:pPr>
    </w:p>
    <w:p w14:paraId="09B1C387" w14:textId="75614FE7" w:rsidR="00EC5DE2" w:rsidRPr="00B37A02" w:rsidRDefault="00AE7AC4" w:rsidP="00C97F66">
      <w:pPr>
        <w:pStyle w:val="Heading1"/>
        <w:keepNext w:val="0"/>
        <w:keepLines w:val="0"/>
        <w:widowControl w:val="0"/>
        <w:spacing w:before="0" w:line="240" w:lineRule="auto"/>
        <w:jc w:val="both"/>
        <w:rPr>
          <w:rFonts w:ascii="Times New Roman" w:hAnsi="Times New Roman" w:cs="Times New Roman"/>
          <w:sz w:val="28"/>
          <w:szCs w:val="36"/>
        </w:rPr>
      </w:pPr>
      <w:bookmarkStart w:id="173" w:name="_Toc63269656"/>
      <w:bookmarkStart w:id="174" w:name="_Toc63692762"/>
      <w:bookmarkStart w:id="175" w:name="_Toc63712841"/>
      <w:bookmarkStart w:id="176" w:name="_Toc63850071"/>
      <w:bookmarkStart w:id="177" w:name="_Toc63850289"/>
      <w:bookmarkStart w:id="178" w:name="_Toc63862430"/>
      <w:bookmarkStart w:id="179" w:name="_Toc64476340"/>
      <w:bookmarkStart w:id="180" w:name="_Toc62823433"/>
      <w:bookmarkStart w:id="181" w:name="_Toc62823521"/>
      <w:bookmarkStart w:id="182" w:name="_Toc62833119"/>
      <w:bookmarkStart w:id="183" w:name="_Toc62841465"/>
      <w:bookmarkStart w:id="184" w:name="_Toc62942386"/>
      <w:bookmarkStart w:id="185" w:name="_Toc63178104"/>
      <w:bookmarkStart w:id="186" w:name="_Toc63258857"/>
      <w:r w:rsidRPr="00B37A02">
        <w:rPr>
          <w:rFonts w:ascii="Times New Roman" w:hAnsi="Times New Roman" w:cs="Times New Roman"/>
          <w:sz w:val="28"/>
        </w:rPr>
        <w:t>4. SAVIENĪBAS RĪCĪBAS TIESISKAIS PAMATS</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18CD3E53" w14:textId="77777777" w:rsidR="00AE7AC4" w:rsidRPr="00B37A02" w:rsidRDefault="00AE7AC4" w:rsidP="00C97F66">
      <w:pPr>
        <w:spacing w:after="0" w:line="240" w:lineRule="auto"/>
        <w:rPr>
          <w:rFonts w:ascii="Times New Roman" w:hAnsi="Times New Roman" w:cs="Times New Roman"/>
        </w:rPr>
      </w:pPr>
    </w:p>
    <w:p w14:paraId="4DBC37EF" w14:textId="77777777"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Līguma par Eiropas Savienību (turpmāk tekstā – LES) 3. panta 3. punktā ir noteikts, ka Savienības mērķis ir: i) apkarot sociālo atstumtību un diskrimināciju; ii) veicināt paaudžu solidaritāti un iii) aizsargāt bērnu tiesības. Saskaņā ar Līguma par Eiropas Savienības darbību (turpmāk tekstā – LESD) 9. pantu, nosakot un īstenojot savu politiku un darbības, Savienība ņem vērā: i) augsta līmeņa nodarbinātības veicināšanu; ii) sociālās aizsardzības nodrošināšanu; iii) sociālās atstumtības apkarošanu, kā arī iv) izglītības, mācību un cilvēku veselības aizsardzības līmeņa paaugstināšanu.</w:t>
      </w:r>
    </w:p>
    <w:p w14:paraId="24C2956B" w14:textId="77777777" w:rsidR="00AE7AC4" w:rsidRPr="00B37A02" w:rsidRDefault="00AE7AC4" w:rsidP="00C97F66">
      <w:pPr>
        <w:pStyle w:val="BodyText"/>
        <w:widowControl w:val="0"/>
        <w:spacing w:after="0"/>
        <w:rPr>
          <w:rFonts w:ascii="Times New Roman" w:hAnsi="Times New Roman"/>
          <w:sz w:val="24"/>
          <w:szCs w:val="24"/>
        </w:rPr>
      </w:pPr>
    </w:p>
    <w:p w14:paraId="4211902D" w14:textId="17D6C14E" w:rsidR="00BC5BDF"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Saskaņā ar LESD 151. pantu Savienības un dalībvalstu mērķi ir arī sekmēt: i) labākus dzīves apstākļus; ii) pienācīgu sociālo aizsardzību, kā arī iii) cilvēkresursu attīstību, kas vērsta uz pastāvīgi augstas nodarbinātības uzturēšanu un sociālās atstumtības izskaušanu. Vairojot vienlīdzīgas iespējas visiem ES dzīvojošajiem bērniem, iespējams sasniegt šos mērķus, jo īpaši pēdējo no minētajiem. Saskaņā ar LESD 153. panta 1. punkta j) apakšpunktu Savienība atbalsta un papildina dalībvalstu darbību sociālās atstumtības izskaušanā, lai sasniegtu 151. pantā noteiktos mērķus.</w:t>
      </w:r>
    </w:p>
    <w:p w14:paraId="6C79001E" w14:textId="77777777" w:rsidR="00AE7AC4" w:rsidRPr="00B37A02" w:rsidRDefault="00AE7AC4" w:rsidP="00C97F66">
      <w:pPr>
        <w:pStyle w:val="BodyText"/>
        <w:widowControl w:val="0"/>
        <w:spacing w:after="0"/>
        <w:rPr>
          <w:rFonts w:ascii="Times New Roman" w:hAnsi="Times New Roman"/>
          <w:sz w:val="24"/>
          <w:szCs w:val="24"/>
        </w:rPr>
      </w:pPr>
    </w:p>
    <w:p w14:paraId="728AD4EF" w14:textId="57EAF9AB"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Savienībai arī tika piešķirta kompetence diskriminācijas apkarošanā un saistībā ar valstu pamatnostādņu papildināšanu izglītības, mācību un cilvēka veselības aizsardzības jomā (LESD 19., 165., 166. un 168. pants). Turklāt Savienība ir aicināta veicināt sociālo kohēziju (LESD 174. pants).</w:t>
      </w:r>
    </w:p>
    <w:p w14:paraId="05BA8310" w14:textId="77777777" w:rsidR="00AE7AC4" w:rsidRPr="00B37A02" w:rsidRDefault="00AE7AC4" w:rsidP="00C97F66">
      <w:pPr>
        <w:pStyle w:val="BodyText"/>
        <w:widowControl w:val="0"/>
        <w:spacing w:after="0"/>
        <w:rPr>
          <w:rFonts w:ascii="Times New Roman" w:hAnsi="Times New Roman"/>
          <w:sz w:val="24"/>
          <w:szCs w:val="24"/>
        </w:rPr>
      </w:pPr>
    </w:p>
    <w:p w14:paraId="7F3D992B" w14:textId="7906676C" w:rsidR="00EC5DE2" w:rsidRPr="00B37A02" w:rsidRDefault="00BC5BDF" w:rsidP="00C97F66">
      <w:pPr>
        <w:pStyle w:val="BodyText"/>
        <w:widowControl w:val="0"/>
        <w:spacing w:after="0"/>
        <w:rPr>
          <w:rFonts w:ascii="Times New Roman" w:hAnsi="Times New Roman"/>
          <w:bCs/>
          <w:sz w:val="24"/>
          <w:szCs w:val="24"/>
        </w:rPr>
      </w:pPr>
      <w:r w:rsidRPr="00B37A02">
        <w:rPr>
          <w:rFonts w:ascii="Times New Roman" w:hAnsi="Times New Roman"/>
          <w:sz w:val="24"/>
        </w:rPr>
        <w:t>ES Pamattiesību hartas 24. pants paredz, ka bērni ir neatkarīgi un autonomi tiesību turētāji, ka bērniem ir tiesības uz viņu labklājībai nepieciešamo aizsardzību un gādību un ka valsts vai privātām iestādēm vispirms jāņem vērā bērna intereses. Harta tostarp paredz arī tiesības uz izglītību (14. pants), tiesības uz ģimenes dzīvi un darbu (33. pants), tiesības uz sociālo nodrošinājumu un sociālo palīdzību (34. pants), kā arī tiesības uz veselības aprūpi (35. pants).</w:t>
      </w:r>
      <w:r w:rsidRPr="00B37A02">
        <w:rPr>
          <w:rStyle w:val="FootnoteReference"/>
          <w:rFonts w:ascii="Times New Roman" w:hAnsi="Times New Roman"/>
          <w:bCs/>
          <w:sz w:val="24"/>
          <w:szCs w:val="24"/>
        </w:rPr>
        <w:footnoteReference w:id="173"/>
      </w:r>
    </w:p>
    <w:p w14:paraId="1D1E50CC" w14:textId="77777777" w:rsidR="00AE7AC4" w:rsidRPr="00B37A02" w:rsidRDefault="00AE7AC4" w:rsidP="00C97F66">
      <w:pPr>
        <w:pStyle w:val="BodyText"/>
        <w:widowControl w:val="0"/>
        <w:spacing w:after="0"/>
        <w:rPr>
          <w:rFonts w:ascii="Times New Roman" w:hAnsi="Times New Roman"/>
          <w:sz w:val="24"/>
          <w:szCs w:val="24"/>
        </w:rPr>
      </w:pPr>
    </w:p>
    <w:p w14:paraId="3C91A0B6" w14:textId="5F42B4C8" w:rsidR="00BC5BDF"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ES ievēro ANO Ilgtspējīgas attīstības programmu 2030. gadam un ANO Ilgtspējīgas attīstības mērķus. 1. mērķis ir saistīts ar nabadzības izskaušanu; 2. mērķis ir vērsts uz bada izskaušanu un to, lai panāktu pārtikas nodrošinājumu un uztura uzlabošanu; 3. mērķis paredz nodrošināt veselīgu dzīvi un sekmēt labklājību jebkura vecuma cilvēkiem; 4. mērķis attiecas uz iekļaujošu un kvalitatīvu izglītību; 5. mērķis paredz panākt dzimumu līdztiesību; 6. un 11. mērķis attiecas uz mājokli un attiecīgi paredz nodrošināt sanitārus un higiēniskus apstākļus, kā arī padarīt pilsētas un apdzīvotas vietas iekļaujošas, drošas, pielāgoties spējīgas un ilgtspējīgas; 10. mērķis ir vērsts uz nevienlīdzības samazināšanu; 16. mērķis konkrēti paredz izskaust ļaunprātīgu izmantošanu, ekspluatāciju, tirdzniecību un jebkāda veida vardarbību pret bērniem, kā arī bērnu spīdzināšanu.</w:t>
      </w:r>
    </w:p>
    <w:p w14:paraId="39CF42E1" w14:textId="276E73A8" w:rsidR="00BC5BDF" w:rsidRPr="00B37A02" w:rsidRDefault="00BC5BDF" w:rsidP="00C97F66">
      <w:pPr>
        <w:pStyle w:val="BodyText"/>
        <w:widowControl w:val="0"/>
        <w:spacing w:after="0"/>
        <w:rPr>
          <w:rFonts w:ascii="Times New Roman" w:hAnsi="Times New Roman"/>
          <w:bCs/>
          <w:sz w:val="24"/>
          <w:szCs w:val="24"/>
        </w:rPr>
      </w:pPr>
      <w:r w:rsidRPr="00B37A02">
        <w:rPr>
          <w:rFonts w:ascii="Times New Roman" w:hAnsi="Times New Roman"/>
          <w:sz w:val="24"/>
        </w:rPr>
        <w:t xml:space="preserve">Visas ES dalībvalstis ir ratificējušas ANO </w:t>
      </w:r>
      <w:r w:rsidR="002E6479">
        <w:rPr>
          <w:rFonts w:ascii="Times New Roman" w:hAnsi="Times New Roman"/>
          <w:sz w:val="24"/>
        </w:rPr>
        <w:t>Bērnu tiesību konvenciju</w:t>
      </w:r>
      <w:r w:rsidRPr="00B37A02">
        <w:rPr>
          <w:rFonts w:ascii="Times New Roman" w:hAnsi="Times New Roman"/>
          <w:sz w:val="24"/>
        </w:rPr>
        <w:t xml:space="preserve"> (turpmāk tekstā – </w:t>
      </w:r>
      <w:r w:rsidRPr="00B37A02">
        <w:rPr>
          <w:rFonts w:ascii="Times New Roman" w:hAnsi="Times New Roman"/>
          <w:i/>
          <w:iCs/>
          <w:sz w:val="24"/>
        </w:rPr>
        <w:t>UNCRC</w:t>
      </w:r>
      <w:r w:rsidRPr="00B37A02">
        <w:rPr>
          <w:rFonts w:ascii="Times New Roman" w:hAnsi="Times New Roman"/>
          <w:sz w:val="24"/>
        </w:rPr>
        <w:t xml:space="preserve">), uz kuru ir balstīts ES Pamattiesību hartas 24. pants. </w:t>
      </w:r>
      <w:r w:rsidRPr="00B37A02">
        <w:rPr>
          <w:rFonts w:ascii="Times New Roman" w:hAnsi="Times New Roman"/>
          <w:i/>
          <w:iCs/>
          <w:sz w:val="24"/>
        </w:rPr>
        <w:t>UNCRC</w:t>
      </w:r>
      <w:r w:rsidRPr="00B37A02">
        <w:rPr>
          <w:rFonts w:ascii="Times New Roman" w:hAnsi="Times New Roman"/>
          <w:sz w:val="24"/>
        </w:rPr>
        <w:t xml:space="preserve"> (3. pantā) ir noteikts, ka visās darbībās attiecībā uz bērniem neatkarīgi no tā, vai šīs darbības veic valsts iestādes vai privātas iestādes, kas nodarbojas ar sociālās labklājības jautājumiem, tiesas, administratīvās vai </w:t>
      </w:r>
      <w:r w:rsidRPr="00B37A02">
        <w:rPr>
          <w:rFonts w:ascii="Times New Roman" w:hAnsi="Times New Roman"/>
          <w:sz w:val="24"/>
        </w:rPr>
        <w:lastRenderedPageBreak/>
        <w:t>likumdevējas iestādes, pirmās tiek ņemtas vērā bērnu intereses.</w:t>
      </w:r>
      <w:r w:rsidRPr="00B37A02">
        <w:rPr>
          <w:rStyle w:val="FootnoteReference"/>
          <w:rFonts w:ascii="Times New Roman" w:hAnsi="Times New Roman"/>
          <w:bCs/>
          <w:sz w:val="24"/>
          <w:szCs w:val="24"/>
        </w:rPr>
        <w:footnoteReference w:id="174"/>
      </w:r>
      <w:r w:rsidRPr="00B37A02">
        <w:rPr>
          <w:rFonts w:ascii="Times New Roman" w:hAnsi="Times New Roman"/>
          <w:sz w:val="24"/>
        </w:rPr>
        <w:t xml:space="preserve"> </w:t>
      </w:r>
      <w:r w:rsidRPr="00B37A02">
        <w:rPr>
          <w:rFonts w:ascii="Times New Roman" w:hAnsi="Times New Roman"/>
          <w:i/>
          <w:iCs/>
          <w:sz w:val="24"/>
        </w:rPr>
        <w:t>UNCRC</w:t>
      </w:r>
      <w:r w:rsidRPr="00B37A02">
        <w:rPr>
          <w:rFonts w:ascii="Times New Roman" w:hAnsi="Times New Roman"/>
          <w:sz w:val="24"/>
        </w:rPr>
        <w:t xml:space="preserve"> arī paredz, ka bērniem ir tiesības uz valsts palīdzību (18. pants), atbilstošu dzīves līmeni (27. pants), izglītību (28. pants), visaugstvērtīgāko pieejamo veselības standartu (24. pants), atpūtu un izklaidi, kā arī brīvu dalību kultūras dzīvē un mākslas jomā (31. pants). Uz ANO Konvenciju par personu ar invaliditāti tiesībām (turpmāk tekstā – </w:t>
      </w:r>
      <w:r w:rsidRPr="00B37A02">
        <w:rPr>
          <w:rFonts w:ascii="Times New Roman" w:hAnsi="Times New Roman"/>
          <w:i/>
          <w:iCs/>
          <w:sz w:val="24"/>
        </w:rPr>
        <w:t>UNCRPD</w:t>
      </w:r>
      <w:r w:rsidRPr="00B37A02">
        <w:rPr>
          <w:rFonts w:ascii="Times New Roman" w:hAnsi="Times New Roman"/>
          <w:sz w:val="24"/>
        </w:rPr>
        <w:t>), kurai ir pievienojusies gan ES, gan dalībvalstis, ir balstītas pamatnostādnes par bērniem ar invaliditāti.</w:t>
      </w:r>
      <w:bookmarkStart w:id="187" w:name="_Toc63178105"/>
      <w:bookmarkStart w:id="188" w:name="_Toc63258858"/>
      <w:bookmarkStart w:id="189" w:name="_Toc63269657"/>
      <w:bookmarkStart w:id="190" w:name="_Toc63692763"/>
      <w:bookmarkStart w:id="191" w:name="_Toc63712842"/>
      <w:bookmarkStart w:id="192" w:name="_Toc63850072"/>
      <w:bookmarkStart w:id="193" w:name="_Toc63850290"/>
      <w:bookmarkStart w:id="194" w:name="_Toc63862431"/>
      <w:bookmarkStart w:id="195" w:name="_Toc64476341"/>
      <w:bookmarkStart w:id="196" w:name="_Toc62841466"/>
      <w:bookmarkStart w:id="197" w:name="_Toc62823434"/>
      <w:bookmarkStart w:id="198" w:name="_Toc62823522"/>
      <w:bookmarkStart w:id="199" w:name="_Toc62833120"/>
    </w:p>
    <w:p w14:paraId="1BD32FE7" w14:textId="77777777" w:rsidR="00AE7AC4" w:rsidRPr="00B37A02" w:rsidRDefault="00AE7AC4" w:rsidP="00C97F66">
      <w:pPr>
        <w:pStyle w:val="BodyText"/>
        <w:widowControl w:val="0"/>
        <w:spacing w:after="0"/>
        <w:rPr>
          <w:rFonts w:ascii="Times New Roman" w:hAnsi="Times New Roman"/>
          <w:bCs/>
          <w:sz w:val="24"/>
          <w:szCs w:val="24"/>
        </w:rPr>
      </w:pPr>
    </w:p>
    <w:p w14:paraId="017E4A2C" w14:textId="52029BE5" w:rsidR="00EC5DE2" w:rsidRPr="00B37A02" w:rsidRDefault="00AE7AC4" w:rsidP="00C97F66">
      <w:pPr>
        <w:pStyle w:val="Heading1"/>
        <w:keepNext w:val="0"/>
        <w:keepLines w:val="0"/>
        <w:widowControl w:val="0"/>
        <w:spacing w:before="0" w:line="240" w:lineRule="auto"/>
        <w:jc w:val="both"/>
        <w:rPr>
          <w:rFonts w:ascii="Times New Roman" w:hAnsi="Times New Roman" w:cs="Times New Roman"/>
          <w:sz w:val="28"/>
          <w:szCs w:val="36"/>
        </w:rPr>
      </w:pPr>
      <w:r w:rsidRPr="00B37A02">
        <w:rPr>
          <w:rFonts w:ascii="Times New Roman" w:hAnsi="Times New Roman" w:cs="Times New Roman"/>
          <w:sz w:val="28"/>
        </w:rPr>
        <w:t>5. PRIEKŠLIKUMA PAMATELEMENTI</w:t>
      </w:r>
      <w:bookmarkEnd w:id="187"/>
      <w:bookmarkEnd w:id="188"/>
      <w:bookmarkEnd w:id="189"/>
      <w:bookmarkEnd w:id="190"/>
      <w:bookmarkEnd w:id="191"/>
      <w:bookmarkEnd w:id="192"/>
      <w:bookmarkEnd w:id="193"/>
      <w:bookmarkEnd w:id="194"/>
      <w:bookmarkEnd w:id="195"/>
      <w:bookmarkEnd w:id="196"/>
      <w:bookmarkEnd w:id="197"/>
      <w:bookmarkEnd w:id="198"/>
      <w:bookmarkEnd w:id="199"/>
    </w:p>
    <w:p w14:paraId="49237469" w14:textId="77777777" w:rsidR="00AE7AC4" w:rsidRPr="00B37A02" w:rsidRDefault="00AE7AC4" w:rsidP="00C97F66">
      <w:pPr>
        <w:spacing w:after="0" w:line="240" w:lineRule="auto"/>
        <w:rPr>
          <w:rFonts w:ascii="Times New Roman" w:hAnsi="Times New Roman" w:cs="Times New Roman"/>
        </w:rPr>
      </w:pPr>
    </w:p>
    <w:p w14:paraId="094AC6FA" w14:textId="7035C046" w:rsidR="00BC5BDF" w:rsidRPr="00B37A02" w:rsidRDefault="00BC5BDF" w:rsidP="00C97F66">
      <w:pPr>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sz w:val="24"/>
        </w:rPr>
        <w:t>Šajā nodaļā ir sniegta sīkāka informācija par izcelsmi un kontekstu attiecībā uz Komisijas priekšlikumu Padomes Ieteikumam, ar ko izveido Eiropas Garantiju bērniem. Tajā arī ir raksturots: i) priekšlikuma mērķis un darbības joma, kā arī ii) stimulējošs politikas satvars, kas dalībvalstīm jāievieš, lai sekmīgi īstenotu ieteikumu. Visbeidzot, šajā nodaļā tiek aplūkota šā priekšlikuma saistība ar citām iniciatīvām, kas ir svarīgas sociālās atstumtības izskaušanai un bērnu labklājības nodrošināšanai.</w:t>
      </w:r>
    </w:p>
    <w:p w14:paraId="591E3F5B" w14:textId="77777777" w:rsidR="00AE7AC4" w:rsidRPr="00B37A02" w:rsidRDefault="00AE7AC4" w:rsidP="00C97F66">
      <w:pPr>
        <w:widowControl w:val="0"/>
        <w:spacing w:after="0" w:line="240" w:lineRule="auto"/>
        <w:jc w:val="both"/>
        <w:rPr>
          <w:rFonts w:ascii="Times New Roman" w:hAnsi="Times New Roman" w:cs="Times New Roman"/>
          <w:sz w:val="24"/>
          <w:szCs w:val="24"/>
        </w:rPr>
      </w:pPr>
    </w:p>
    <w:p w14:paraId="31EBF275" w14:textId="0343F1FA" w:rsidR="00EC5DE2" w:rsidRPr="00B37A02" w:rsidRDefault="00AE7AC4" w:rsidP="00C97F66">
      <w:pPr>
        <w:pStyle w:val="Heading2"/>
        <w:keepNext w:val="0"/>
        <w:keepLines w:val="0"/>
        <w:widowControl w:val="0"/>
        <w:spacing w:before="0" w:line="240" w:lineRule="auto"/>
        <w:jc w:val="both"/>
        <w:rPr>
          <w:rFonts w:cs="Times New Roman"/>
          <w:sz w:val="24"/>
          <w:szCs w:val="28"/>
        </w:rPr>
      </w:pPr>
      <w:bookmarkStart w:id="200" w:name="_Toc62942388"/>
      <w:bookmarkStart w:id="201" w:name="_Toc63178106"/>
      <w:bookmarkStart w:id="202" w:name="_Toc63258859"/>
      <w:bookmarkStart w:id="203" w:name="_Toc63692764"/>
      <w:bookmarkStart w:id="204" w:name="_Toc63712843"/>
      <w:bookmarkStart w:id="205" w:name="_Toc63850073"/>
      <w:bookmarkStart w:id="206" w:name="_Toc63850291"/>
      <w:bookmarkStart w:id="207" w:name="_Toc63862432"/>
      <w:bookmarkStart w:id="208" w:name="_Toc64476342"/>
      <w:bookmarkStart w:id="209" w:name="_Toc63269658"/>
      <w:bookmarkStart w:id="210" w:name="_Toc62823435"/>
      <w:bookmarkStart w:id="211" w:name="_Toc62823523"/>
      <w:bookmarkStart w:id="212" w:name="_Toc62833121"/>
      <w:bookmarkStart w:id="213" w:name="_Toc62841467"/>
      <w:r w:rsidRPr="00B37A02">
        <w:rPr>
          <w:rFonts w:cs="Times New Roman"/>
          <w:sz w:val="24"/>
        </w:rPr>
        <w:t>5.1. Eiropas Garantijas bērniem izcelsme un konteksts</w:t>
      </w:r>
      <w:bookmarkEnd w:id="200"/>
      <w:bookmarkEnd w:id="201"/>
      <w:bookmarkEnd w:id="202"/>
      <w:bookmarkEnd w:id="203"/>
      <w:bookmarkEnd w:id="204"/>
      <w:bookmarkEnd w:id="205"/>
      <w:bookmarkEnd w:id="206"/>
      <w:bookmarkEnd w:id="207"/>
      <w:bookmarkEnd w:id="208"/>
    </w:p>
    <w:p w14:paraId="304ACE4C" w14:textId="77777777" w:rsidR="00AE7AC4" w:rsidRPr="00B37A02" w:rsidRDefault="00AE7AC4" w:rsidP="00C97F66">
      <w:pPr>
        <w:spacing w:after="0" w:line="240" w:lineRule="auto"/>
        <w:rPr>
          <w:rFonts w:ascii="Times New Roman" w:hAnsi="Times New Roman" w:cs="Times New Roman"/>
        </w:rPr>
      </w:pPr>
    </w:p>
    <w:p w14:paraId="28E3E81C" w14:textId="6717D410" w:rsidR="00BC5BDF" w:rsidRPr="00B37A02" w:rsidRDefault="00BC5BDF" w:rsidP="00C97F66">
      <w:pPr>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sz w:val="24"/>
        </w:rPr>
        <w:t>Šis priekšlikums ir plaša sagatavošanās darba rezultāts. Tas ir balstīts uz sagatavošanās darbību, ko ir pieprasījis Eiropas Parlaments un ko īsteno Komisija, lai lemtu par turpmākās iniciatīvas galvenajiem aspektiem. Tajā ir ņemti vērā arī Komisijas novērtējuma secinājumi par Ieteikuma “Ieguldījums bērnos” īstenošanu. Priekšlikumā ir atspoguļoti ieinteresēto pušu, tostarp bērnu, viedokļi, kas tika pausti mērķorientētu apspriežu laikā 2020. gadā. Tajā ir ietverti arī citu iestāžu, tostarp Padomes un Eiropas Savienības Revīzijas palātas, aicinājumi.</w:t>
      </w:r>
    </w:p>
    <w:p w14:paraId="182F6226" w14:textId="77777777" w:rsidR="00AE7AC4" w:rsidRPr="00B37A02" w:rsidRDefault="00AE7AC4" w:rsidP="00C97F66">
      <w:pPr>
        <w:widowControl w:val="0"/>
        <w:spacing w:after="0" w:line="240" w:lineRule="auto"/>
        <w:jc w:val="both"/>
        <w:rPr>
          <w:rFonts w:ascii="Times New Roman" w:hAnsi="Times New Roman" w:cs="Times New Roman"/>
          <w:sz w:val="24"/>
          <w:szCs w:val="24"/>
        </w:rPr>
      </w:pPr>
    </w:p>
    <w:bookmarkEnd w:id="209"/>
    <w:p w14:paraId="52D21F6F" w14:textId="43206D8E" w:rsidR="00AE7AC4" w:rsidRPr="00B37A02" w:rsidRDefault="00CA35DB" w:rsidP="00C97F66">
      <w:pPr>
        <w:spacing w:after="0" w:line="240" w:lineRule="auto"/>
        <w:rPr>
          <w:rFonts w:ascii="Times New Roman" w:eastAsiaTheme="majorEastAsia" w:hAnsi="Times New Roman" w:cs="Times New Roman"/>
          <w:color w:val="2E74B5" w:themeColor="accent1" w:themeShade="BF"/>
          <w:sz w:val="24"/>
          <w:szCs w:val="24"/>
        </w:rPr>
      </w:pPr>
      <w:r w:rsidRPr="00B37A02">
        <w:rPr>
          <w:rFonts w:ascii="Times New Roman" w:hAnsi="Times New Roman" w:cs="Times New Roman"/>
          <w:color w:val="2E74B5" w:themeColor="accent1" w:themeShade="BF"/>
          <w:sz w:val="24"/>
        </w:rPr>
        <w:t>5.1.1. Ieteikuma “Ieguldījums bērnos” īstenošanas novērtējums</w:t>
      </w:r>
    </w:p>
    <w:p w14:paraId="4E17B7E0" w14:textId="77777777" w:rsidR="00CA35DB" w:rsidRPr="00B37A02" w:rsidRDefault="00CA35DB" w:rsidP="00C97F66">
      <w:pPr>
        <w:spacing w:after="0" w:line="240" w:lineRule="auto"/>
        <w:rPr>
          <w:rFonts w:ascii="Times New Roman" w:hAnsi="Times New Roman" w:cs="Times New Roman"/>
        </w:rPr>
      </w:pPr>
    </w:p>
    <w:p w14:paraId="6B799D31" w14:textId="620CC049" w:rsidR="00BC5BDF"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Komisijas Ieteikums “Ieguldījums bērnos” tika pieņemts 2013. gada februārī. Tas paredz vispārēju satvaru Komisijai un ES dalībvalstīm, lai izstrādātu pamatnostādnes un programmas bērnu sociālās iekļaušanas un labklājības sekmēšanai, jo īpaši attiecībā uz neaizsargātā situācijā nonākušiem bērniem. Tajā dalībvalstis tiek aicinātas palielināt ieguldījumu bērnos atbilstoši trīs pīlāru pieejai, kas paredz: i) nodrošināt atbilstīgu resursu pieejamību; ii) nodrošināt piekļuvi kvalitatīviem, cenas ziņā pieejamiem pakalpojumiem; iii) atbalstīt bērnu tiesības piedalīties spēlēšanās, atpūtas, sporta un kultūras darbībās, kā arī tādu lēmumu pieņemšanā, kas ietekmē viņu dzīvi.</w:t>
      </w:r>
    </w:p>
    <w:p w14:paraId="1E399DFE" w14:textId="77777777" w:rsidR="00AE7AC4" w:rsidRPr="00B37A02" w:rsidRDefault="00AE7AC4" w:rsidP="00C97F66">
      <w:pPr>
        <w:pStyle w:val="BodyText"/>
        <w:widowControl w:val="0"/>
        <w:spacing w:after="0"/>
        <w:rPr>
          <w:rFonts w:ascii="Times New Roman" w:hAnsi="Times New Roman"/>
          <w:sz w:val="24"/>
          <w:szCs w:val="24"/>
        </w:rPr>
      </w:pPr>
    </w:p>
    <w:p w14:paraId="0E46C700" w14:textId="77777777"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2017. gadā Komisija izvērtēja četrus gadus, kuru laikā tika īstenots Ieteikums “Ieguldījums bērnos”, un publicēja dienestu darba dokumentu.</w:t>
      </w:r>
      <w:r w:rsidRPr="00B37A02">
        <w:rPr>
          <w:rFonts w:ascii="Times New Roman" w:hAnsi="Times New Roman"/>
          <w:sz w:val="24"/>
          <w:szCs w:val="24"/>
          <w:vertAlign w:val="superscript"/>
        </w:rPr>
        <w:footnoteReference w:id="175"/>
      </w:r>
      <w:r w:rsidRPr="00B37A02">
        <w:rPr>
          <w:rFonts w:ascii="Times New Roman" w:hAnsi="Times New Roman"/>
          <w:sz w:val="24"/>
          <w:vertAlign w:val="superscript"/>
        </w:rPr>
        <w:t xml:space="preserve"> </w:t>
      </w:r>
      <w:r w:rsidRPr="00B37A02">
        <w:rPr>
          <w:rFonts w:ascii="Times New Roman" w:hAnsi="Times New Roman"/>
          <w:sz w:val="24"/>
        </w:rPr>
        <w:t xml:space="preserve">Novērtējumā tika secināts, ka Ieteikuma pilnīga īstenošana vēl joprojām turpinās. Tajā norādīts, ka, lai gan Ieteikums tika spēcīgi atbalstīts gan valsts, gan ES līmenī, tostarp no Eiropas Parlamenta un pilsoniskās sabiedrības puses, tas joprojām nav ne labi zināms, ne arī pienācīgi izmantots dalībvalstīs vietējā līmenī. Kā novērtējumā uzsvērts, lielākā daļa dalībvalstu piekrita, ka tikai visaptveroša integrēta pieeja būtu efektīva stratēģija, kas spētu pārraut neaizsargāto bērnu nabadzības apburto loku. Turklāt novērtējumā tika uzsvērts, ka lielākā daļa dalībvalstu piekrita, ka lielāks ieguldījums bērnos agrīnā vecumā ir sociāli taisnīgs un ekonomiski pamatots un ka agrīnā pirmsskolas izglītība un </w:t>
      </w:r>
      <w:r w:rsidRPr="00B37A02">
        <w:rPr>
          <w:rFonts w:ascii="Times New Roman" w:hAnsi="Times New Roman"/>
          <w:sz w:val="24"/>
        </w:rPr>
        <w:lastRenderedPageBreak/>
        <w:t>aprūpe ir labākais veids, kā to panākt. Novērtējumā tika secināts, ka ir jāpaveic daudz vairāk, lai nodrošinātu efektīvu Ieteikuma īstenošanu.</w:t>
      </w:r>
    </w:p>
    <w:p w14:paraId="44ACB7B2" w14:textId="236EDB36" w:rsidR="00BC5BDF"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Viens no papildu uzraudzības pasākumiem, proti, Eiropas pusgada ekonomikas un nodarbinātības koordinēšanas process, ko papildina sociālo rezultātu pārskats, ir izgaismojis bērnu nabadzības vai sociālās atstumtības problēmu, un vairākas dalībvalstis ir saņēmušas konkrētai valstij adresētus ieteikumus. Nodarbinātības pamatnostādnēs ir uzsvērts, cik svarīgi ir visiem iedzīvotājiem, tostarp bērniem, nodrošināt piekļuvi noteiktiem pakalpojumiem, piemēram, agrīnajai pirmsskolas izglītībai un aprūpei, izglītībai un veselības aprūpei, jo šāda piekļuve ir priekšnosacījums vienlīdzīgu iespēju nodrošināšanai.</w:t>
      </w:r>
    </w:p>
    <w:p w14:paraId="6EDC7A76" w14:textId="77777777" w:rsidR="00AE7AC4" w:rsidRPr="00B37A02" w:rsidRDefault="00AE7AC4" w:rsidP="00C97F66">
      <w:pPr>
        <w:pStyle w:val="BodyText"/>
        <w:widowControl w:val="0"/>
        <w:spacing w:after="0"/>
        <w:rPr>
          <w:rFonts w:ascii="Times New Roman" w:hAnsi="Times New Roman"/>
          <w:sz w:val="24"/>
          <w:szCs w:val="24"/>
        </w:rPr>
      </w:pPr>
    </w:p>
    <w:p w14:paraId="11114DF9" w14:textId="6C590E72" w:rsidR="00AE7AC4" w:rsidRPr="00B37A02" w:rsidRDefault="00CA35DB" w:rsidP="00C97F66">
      <w:pPr>
        <w:spacing w:after="0" w:line="240" w:lineRule="auto"/>
        <w:rPr>
          <w:rFonts w:ascii="Times New Roman" w:eastAsiaTheme="majorEastAsia" w:hAnsi="Times New Roman" w:cs="Times New Roman"/>
          <w:color w:val="2E74B5" w:themeColor="accent1" w:themeShade="BF"/>
          <w:sz w:val="24"/>
          <w:szCs w:val="24"/>
        </w:rPr>
      </w:pPr>
      <w:r w:rsidRPr="00B37A02">
        <w:rPr>
          <w:rFonts w:ascii="Times New Roman" w:hAnsi="Times New Roman" w:cs="Times New Roman"/>
          <w:color w:val="2E74B5" w:themeColor="accent1" w:themeShade="BF"/>
          <w:sz w:val="24"/>
        </w:rPr>
        <w:t>5.1.2. Eiropas Parlamenta uzsāktās sagatavošanās darbības</w:t>
      </w:r>
    </w:p>
    <w:p w14:paraId="2F8C2C71" w14:textId="77777777" w:rsidR="00CA35DB" w:rsidRPr="00B37A02" w:rsidRDefault="00CA35DB" w:rsidP="00C97F66">
      <w:pPr>
        <w:spacing w:after="0" w:line="240" w:lineRule="auto"/>
        <w:rPr>
          <w:rFonts w:ascii="Times New Roman" w:hAnsi="Times New Roman" w:cs="Times New Roman"/>
        </w:rPr>
      </w:pPr>
    </w:p>
    <w:p w14:paraId="69A77301" w14:textId="58FE8536" w:rsidR="00EC5DE2" w:rsidRPr="00B37A02" w:rsidRDefault="00BC5BDF" w:rsidP="00C97F66">
      <w:pPr>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sz w:val="24"/>
        </w:rPr>
        <w:t>2015. gada 24. novembrī Eiropas Parlaments balsoja par Rezolūciju par nevienlīdzības samazināšanu, īpašu uzmanību pievēršot bērnu nabadzības problēmai.</w:t>
      </w:r>
      <w:r w:rsidRPr="00B37A02">
        <w:rPr>
          <w:rStyle w:val="FootnoteReference"/>
          <w:rFonts w:ascii="Times New Roman" w:hAnsi="Times New Roman" w:cs="Times New Roman"/>
          <w:sz w:val="24"/>
          <w:szCs w:val="24"/>
        </w:rPr>
        <w:footnoteReference w:id="176"/>
      </w:r>
      <w:r w:rsidRPr="00B37A02">
        <w:rPr>
          <w:rFonts w:ascii="Times New Roman" w:hAnsi="Times New Roman" w:cs="Times New Roman"/>
          <w:sz w:val="24"/>
        </w:rPr>
        <w:t xml:space="preserve"> Eiropas Parlaments aicināja Komisiju un dalībvalstis ieviest garantiju bērniem, lai ikvienam nabadzībā nonākušam bērnam būtu pieejama bezmaksas veselības aprūpe, izglītība, bērnu aprūpe, pienācīgs mājoklis un atbilstošs uzturs.</w:t>
      </w:r>
    </w:p>
    <w:p w14:paraId="6FABCEA3" w14:textId="77777777" w:rsidR="00AE7AC4" w:rsidRPr="00B37A02" w:rsidRDefault="00AE7AC4" w:rsidP="00C97F66">
      <w:pPr>
        <w:widowControl w:val="0"/>
        <w:spacing w:after="0" w:line="240" w:lineRule="auto"/>
        <w:jc w:val="both"/>
        <w:rPr>
          <w:rFonts w:ascii="Times New Roman" w:eastAsia="Times New Roman" w:hAnsi="Times New Roman" w:cs="Times New Roman"/>
          <w:sz w:val="24"/>
          <w:szCs w:val="24"/>
        </w:rPr>
      </w:pPr>
    </w:p>
    <w:p w14:paraId="07966457" w14:textId="2BF4F6C6" w:rsidR="00BC5BDF" w:rsidRPr="00B37A02" w:rsidRDefault="00BC5BDF" w:rsidP="00C97F66">
      <w:pPr>
        <w:widowControl w:val="0"/>
        <w:spacing w:after="0" w:line="240" w:lineRule="auto"/>
        <w:jc w:val="both"/>
        <w:rPr>
          <w:rFonts w:ascii="Times New Roman" w:eastAsia="Times New Roman" w:hAnsi="Times New Roman" w:cs="Times New Roman"/>
          <w:sz w:val="24"/>
          <w:szCs w:val="24"/>
        </w:rPr>
      </w:pPr>
      <w:r w:rsidRPr="00B37A02">
        <w:rPr>
          <w:rFonts w:ascii="Times New Roman" w:hAnsi="Times New Roman" w:cs="Times New Roman"/>
          <w:sz w:val="24"/>
        </w:rPr>
        <w:t>Eiropas Parlaments lūdza Komisiju īstenot sagatavošanās darbību, lai noteiktu satvaru šīs garantijas bērniem īstenošanai saskaņā ar Ieteikumu “Ieguldījums bērnos”. Eiropas Parlaments ierosināja Komisijai arī ņemt vērā Eiropas sociālo tiesību pīlāru un plašākus ANO ilgtspējīgas attīstības mērķus.</w:t>
      </w:r>
    </w:p>
    <w:p w14:paraId="3A5D2E62" w14:textId="77777777" w:rsidR="00AE7AC4" w:rsidRPr="00B37A02" w:rsidRDefault="00AE7AC4" w:rsidP="00C97F66">
      <w:pPr>
        <w:widowControl w:val="0"/>
        <w:spacing w:after="0" w:line="240" w:lineRule="auto"/>
        <w:jc w:val="both"/>
        <w:rPr>
          <w:rFonts w:ascii="Times New Roman" w:eastAsia="Times New Roman" w:hAnsi="Times New Roman" w:cs="Times New Roman"/>
          <w:sz w:val="24"/>
          <w:szCs w:val="24"/>
        </w:rPr>
      </w:pPr>
    </w:p>
    <w:p w14:paraId="5D932436" w14:textId="2D2332B6" w:rsidR="00EC5DE2" w:rsidRPr="00B37A02" w:rsidRDefault="00BC5BDF" w:rsidP="00C97F66">
      <w:pPr>
        <w:widowControl w:val="0"/>
        <w:spacing w:after="0" w:line="240" w:lineRule="auto"/>
        <w:jc w:val="both"/>
        <w:rPr>
          <w:rFonts w:ascii="Times New Roman" w:eastAsia="Times New Roman" w:hAnsi="Times New Roman" w:cs="Times New Roman"/>
          <w:sz w:val="24"/>
          <w:szCs w:val="24"/>
        </w:rPr>
      </w:pPr>
      <w:r w:rsidRPr="00B37A02">
        <w:rPr>
          <w:rFonts w:ascii="Times New Roman" w:hAnsi="Times New Roman" w:cs="Times New Roman"/>
          <w:sz w:val="24"/>
        </w:rPr>
        <w:t>Atbildē Komisija apzināja garantijas bērniem iespējamo darbības jomu, izpētot šādas sistēmas (sauktas par sagatavošanās pasākuma I posmu) iespējamību un nosacījumus. Tika uzdots veikt priekšizpēti,</w:t>
      </w:r>
      <w:r w:rsidRPr="00B37A02">
        <w:rPr>
          <w:rStyle w:val="FootnoteReference"/>
          <w:rFonts w:ascii="Times New Roman" w:eastAsia="Times New Roman" w:hAnsi="Times New Roman" w:cs="Times New Roman"/>
          <w:sz w:val="24"/>
          <w:szCs w:val="24"/>
        </w:rPr>
        <w:footnoteReference w:id="177"/>
      </w:r>
      <w:r w:rsidRPr="00B37A02">
        <w:rPr>
          <w:rFonts w:ascii="Times New Roman" w:hAnsi="Times New Roman" w:cs="Times New Roman"/>
          <w:sz w:val="24"/>
        </w:rPr>
        <w:t xml:space="preserve"> kas vērsta uz četrām konkrētām sociāli neaizsargāto bērnu grupām, par kurām zināms, ka tās ir pakļautas īpašiem nabadzības apstākļiem un ka to labklājība ir apdraudēta, proti, iestādēs ievietotiem bērniem, bērniem ar invaliditāti, migrantu izcelsmes bērniem (tostarp bērniem bēgļiem) un bērniem, kas dzīvo nestabilos ģimenes apstākļos. Pētījumā ir aplūkots, cik lielā mērā šīm četrām bērnu kategorijām ir iespējams garantēt šādus pakalpojumus: bezmaksas veselības aprūpi, bezmaksas izglītību, bezmaksas agrīno pirmsskolas izglītību un aprūpi, pienācīgu mājokli un veselīgu uzturu.</w:t>
      </w:r>
    </w:p>
    <w:p w14:paraId="7A404778" w14:textId="77777777" w:rsidR="00AE7AC4" w:rsidRPr="00B37A02" w:rsidRDefault="00AE7AC4" w:rsidP="00C97F66">
      <w:pPr>
        <w:widowControl w:val="0"/>
        <w:spacing w:after="0" w:line="240" w:lineRule="auto"/>
        <w:jc w:val="both"/>
        <w:rPr>
          <w:rFonts w:ascii="Times New Roman" w:eastAsia="Times New Roman" w:hAnsi="Times New Roman" w:cs="Times New Roman"/>
          <w:sz w:val="24"/>
          <w:szCs w:val="24"/>
        </w:rPr>
      </w:pPr>
    </w:p>
    <w:p w14:paraId="60099129" w14:textId="23C93D45" w:rsidR="00BC5BDF" w:rsidRPr="00B37A02" w:rsidRDefault="00BC5BDF" w:rsidP="00C97F66">
      <w:pPr>
        <w:widowControl w:val="0"/>
        <w:spacing w:after="0" w:line="240" w:lineRule="auto"/>
        <w:jc w:val="both"/>
        <w:rPr>
          <w:rFonts w:ascii="Times New Roman" w:eastAsia="Times New Roman" w:hAnsi="Times New Roman" w:cs="Times New Roman"/>
          <w:sz w:val="24"/>
          <w:szCs w:val="24"/>
        </w:rPr>
      </w:pPr>
      <w:r w:rsidRPr="00B37A02">
        <w:rPr>
          <w:rFonts w:ascii="Times New Roman" w:hAnsi="Times New Roman" w:cs="Times New Roman"/>
          <w:sz w:val="24"/>
        </w:rPr>
        <w:t>2020. gada martā publicētajā pētījumā tika secināts, ka patiešām vajadzētu uzlabot šo piecu pakalpojumu pieejamību šīm četrām bērnu kategorijām. Nespēja tos nodrošināt īstermiņā un ilgtermiņā ietekmētu ne tikai pašus bērnus, bet arī sabiedrību. Turklāt pētījumā tika apgalvots, ka arī pamatpakalpojumiem ir jābūt iekļaujošiem, lai nodrošinātu, ka bērni, kam vajadzīga palīdzība, gūst pilnvērtīgu labumu, un lai novērstu aizspriedumus un šķirošanu. Lai gan pakalpojumu pieejamības nodrošināšana būtu svarīgs līdzeklis cīņā ar bērnu nabadzības problēmu, pētījumā tika norādīts, ka tas ir jāiekļauj plašākā un visaptverošākā pieejā, kā minēts Ieteikumā “Ieguldījums bērnos”. Visbeidzot, pētījumā tika norādīts, ka ES fondiem ir ievērojams potenciāls pildīt efektīvāku un stratēģiskāku funkciju, atbalstot piekļuvi šiem pieciem pakalpojumiem.</w:t>
      </w:r>
    </w:p>
    <w:p w14:paraId="7929AAEC" w14:textId="77777777" w:rsidR="00AE7AC4" w:rsidRPr="00B37A02" w:rsidRDefault="00AE7AC4" w:rsidP="00C97F66">
      <w:pPr>
        <w:widowControl w:val="0"/>
        <w:spacing w:after="0" w:line="240" w:lineRule="auto"/>
        <w:jc w:val="both"/>
        <w:rPr>
          <w:rFonts w:ascii="Times New Roman" w:eastAsia="Times New Roman" w:hAnsi="Times New Roman" w:cs="Times New Roman"/>
          <w:sz w:val="24"/>
          <w:szCs w:val="24"/>
        </w:rPr>
      </w:pPr>
    </w:p>
    <w:p w14:paraId="7E495AD2" w14:textId="0F02CAC5" w:rsidR="00EC5DE2" w:rsidRPr="00B37A02" w:rsidRDefault="00BC5BDF" w:rsidP="00C97F66">
      <w:pPr>
        <w:widowControl w:val="0"/>
        <w:spacing w:after="0" w:line="240" w:lineRule="auto"/>
        <w:jc w:val="both"/>
        <w:rPr>
          <w:rFonts w:ascii="Times New Roman" w:eastAsia="Times New Roman" w:hAnsi="Times New Roman" w:cs="Times New Roman"/>
          <w:sz w:val="24"/>
          <w:szCs w:val="24"/>
        </w:rPr>
      </w:pPr>
      <w:r w:rsidRPr="00B37A02">
        <w:rPr>
          <w:rFonts w:ascii="Times New Roman" w:hAnsi="Times New Roman" w:cs="Times New Roman"/>
          <w:sz w:val="24"/>
        </w:rPr>
        <w:t xml:space="preserve">Sagatavošanās darbības II posmā aplūkoja garantijas bērniem radīto ietekmi uz politiku un finansēm, veicot pētījumu “The economic implementing framework of a possible EU Child Guarantee scheme including its financial foundation” [Iespējamās ES Garantijas bērniem </w:t>
      </w:r>
      <w:r w:rsidRPr="00B37A02">
        <w:rPr>
          <w:rFonts w:ascii="Times New Roman" w:hAnsi="Times New Roman" w:cs="Times New Roman"/>
          <w:sz w:val="24"/>
        </w:rPr>
        <w:lastRenderedPageBreak/>
        <w:t>ekonomiskais īstenošanas satvars].</w:t>
      </w:r>
      <w:r w:rsidRPr="00B37A02">
        <w:rPr>
          <w:rStyle w:val="FootnoteReference"/>
          <w:rFonts w:ascii="Times New Roman" w:eastAsia="Times New Roman" w:hAnsi="Times New Roman" w:cs="Times New Roman"/>
          <w:sz w:val="24"/>
          <w:szCs w:val="24"/>
        </w:rPr>
        <w:footnoteReference w:id="178"/>
      </w:r>
      <w:r w:rsidRPr="00B37A02">
        <w:rPr>
          <w:rFonts w:ascii="Times New Roman" w:hAnsi="Times New Roman" w:cs="Times New Roman"/>
          <w:sz w:val="24"/>
        </w:rPr>
        <w:t xml:space="preserve"> Tajā tika aplūkots, kādas izmaksas un labumus paredzētu garantija nabadzības riskam pakļautiem bērniem saistībā ar piekļuvi pieciem iepriekš minētajiem pakalpojumiem. Galvenie šā pētījuma secinājumi ir izklāstīti šā dienestu darba dokumenta 8. nodaļā.</w:t>
      </w:r>
    </w:p>
    <w:p w14:paraId="657B187B" w14:textId="77777777" w:rsidR="00AE7AC4" w:rsidRPr="00B37A02" w:rsidRDefault="00AE7AC4" w:rsidP="00C97F66">
      <w:pPr>
        <w:widowControl w:val="0"/>
        <w:spacing w:after="0" w:line="240" w:lineRule="auto"/>
        <w:jc w:val="both"/>
        <w:rPr>
          <w:rFonts w:ascii="Times New Roman" w:eastAsia="Times New Roman" w:hAnsi="Times New Roman" w:cs="Times New Roman"/>
          <w:sz w:val="24"/>
          <w:szCs w:val="24"/>
        </w:rPr>
      </w:pPr>
    </w:p>
    <w:p w14:paraId="69D75704" w14:textId="4E8F2B40" w:rsidR="00BC5BDF" w:rsidRPr="00B37A02" w:rsidRDefault="00BC5BDF" w:rsidP="00C97F66">
      <w:pPr>
        <w:widowControl w:val="0"/>
        <w:spacing w:after="0" w:line="240" w:lineRule="auto"/>
        <w:jc w:val="both"/>
        <w:rPr>
          <w:rFonts w:ascii="Times New Roman" w:eastAsia="Times New Roman" w:hAnsi="Times New Roman" w:cs="Times New Roman"/>
          <w:sz w:val="24"/>
          <w:szCs w:val="24"/>
        </w:rPr>
      </w:pPr>
      <w:r w:rsidRPr="00B37A02">
        <w:rPr>
          <w:rFonts w:ascii="Times New Roman" w:hAnsi="Times New Roman" w:cs="Times New Roman"/>
          <w:sz w:val="24"/>
        </w:rPr>
        <w:t>Sagatavošanās darbības III posms ir vērsts uz izmēģinājuma projektu īstenošanu izvēlētās ES dalībvalstīs, lai pārbaudītu abu iepriekš minēto posmu rezultātus praksē. Komisija sadarbībā ar UNICEF īsteno praktiskus izmēģinājuma projektus Bulgārijā, Horvātijā, Grieķijā un Itālijā, kā arī pēta politikas satvaru Vācijā, Lietuvā un Spānijā. III posma rezultāti sniegs vērtīgu ieguldījumu šā priekšlikuma īstenošanas posmā.</w:t>
      </w:r>
    </w:p>
    <w:p w14:paraId="114C7DB1" w14:textId="77777777" w:rsidR="00AE7AC4" w:rsidRPr="00B37A02" w:rsidRDefault="00AE7AC4" w:rsidP="00C97F66">
      <w:pPr>
        <w:widowControl w:val="0"/>
        <w:spacing w:after="0" w:line="240" w:lineRule="auto"/>
        <w:jc w:val="both"/>
        <w:rPr>
          <w:rFonts w:ascii="Times New Roman" w:eastAsia="Times New Roman" w:hAnsi="Times New Roman" w:cs="Times New Roman"/>
          <w:sz w:val="24"/>
          <w:szCs w:val="24"/>
        </w:rPr>
      </w:pPr>
    </w:p>
    <w:p w14:paraId="05323675" w14:textId="237A03D2" w:rsidR="00BC5BDF" w:rsidRPr="00B37A02" w:rsidRDefault="00BC5BDF" w:rsidP="00C97F66">
      <w:pPr>
        <w:widowControl w:val="0"/>
        <w:spacing w:after="0" w:line="240" w:lineRule="auto"/>
        <w:jc w:val="both"/>
        <w:rPr>
          <w:rFonts w:ascii="Times New Roman" w:eastAsia="Times New Roman" w:hAnsi="Times New Roman" w:cs="Times New Roman"/>
          <w:sz w:val="24"/>
          <w:szCs w:val="24"/>
        </w:rPr>
      </w:pPr>
      <w:r w:rsidRPr="00B37A02">
        <w:rPr>
          <w:rFonts w:ascii="Times New Roman" w:hAnsi="Times New Roman" w:cs="Times New Roman"/>
          <w:sz w:val="24"/>
        </w:rPr>
        <w:t>2021. gada 11. martā Eiropas Parlaments pieņēma Rezolūciju par bērna tiesībām ES Bērna tiesību stratēģijas kontekstā.</w:t>
      </w:r>
      <w:r w:rsidRPr="00B37A02">
        <w:rPr>
          <w:rStyle w:val="FootnoteReference"/>
          <w:rFonts w:ascii="Times New Roman" w:eastAsia="Times New Roman" w:hAnsi="Times New Roman" w:cs="Times New Roman"/>
          <w:sz w:val="24"/>
          <w:szCs w:val="24"/>
        </w:rPr>
        <w:footnoteReference w:id="179"/>
      </w:r>
      <w:r w:rsidRPr="00B37A02">
        <w:rPr>
          <w:rFonts w:ascii="Times New Roman" w:hAnsi="Times New Roman" w:cs="Times New Roman"/>
          <w:sz w:val="24"/>
        </w:rPr>
        <w:t xml:space="preserve"> Minētajā dokumentā iekļauti konkrēti pasākumi ar mērķi ieguldīt bērnos, lai izskaustu bērnu nabadzību, tostarp, izveidojot Eiropas Garantiju bērniem ar pienācīgiem resursiem. Parlaments aicina dalībvalstis ieguldīt visus iespējamos resursus, tostarp ES līdzekļus, piemēram, no Eiropas Sociālā fonda Plus (ESF+), Atveseļošanas palīdzības kohēzijai un Eiropas teritorijām (</w:t>
      </w:r>
      <w:r w:rsidRPr="00B37A02">
        <w:rPr>
          <w:rFonts w:ascii="Times New Roman" w:hAnsi="Times New Roman" w:cs="Times New Roman"/>
          <w:i/>
          <w:iCs/>
          <w:sz w:val="24"/>
        </w:rPr>
        <w:t>ReactEU</w:t>
      </w:r>
      <w:r w:rsidRPr="00B37A02">
        <w:rPr>
          <w:rFonts w:ascii="Times New Roman" w:hAnsi="Times New Roman" w:cs="Times New Roman"/>
          <w:sz w:val="24"/>
        </w:rPr>
        <w:t>), Atveseļošanas un noturības mehānisma, Eiropas Reģionālās attīstības fonda (ERAF), “InvestEU”, “Erasmus+” un Patvēruma un migrācijas fonda (</w:t>
      </w:r>
      <w:r w:rsidRPr="00B37A02">
        <w:rPr>
          <w:rFonts w:ascii="Times New Roman" w:hAnsi="Times New Roman" w:cs="Times New Roman"/>
          <w:i/>
          <w:iCs/>
          <w:sz w:val="24"/>
        </w:rPr>
        <w:t>AMF</w:t>
      </w:r>
      <w:r w:rsidRPr="00B37A02">
        <w:rPr>
          <w:rFonts w:ascii="Times New Roman" w:hAnsi="Times New Roman" w:cs="Times New Roman"/>
          <w:sz w:val="24"/>
        </w:rPr>
        <w:t>), lai īstenotu Eiropas Garantiju bērniem.</w:t>
      </w:r>
    </w:p>
    <w:p w14:paraId="1AF15BCB" w14:textId="77777777" w:rsidR="00AE7AC4" w:rsidRPr="00B37A02" w:rsidRDefault="00AE7AC4" w:rsidP="00C97F66">
      <w:pPr>
        <w:widowControl w:val="0"/>
        <w:spacing w:after="0" w:line="240" w:lineRule="auto"/>
        <w:jc w:val="both"/>
        <w:rPr>
          <w:rFonts w:ascii="Times New Roman" w:eastAsia="Times New Roman" w:hAnsi="Times New Roman" w:cs="Times New Roman"/>
          <w:sz w:val="24"/>
          <w:szCs w:val="24"/>
        </w:rPr>
      </w:pPr>
    </w:p>
    <w:p w14:paraId="3CA0BC88" w14:textId="37C8BFCD" w:rsidR="00EC5DE2" w:rsidRPr="00B37A02" w:rsidRDefault="00AE7AC4" w:rsidP="00C97F66">
      <w:pPr>
        <w:pStyle w:val="Heading3"/>
        <w:keepNext w:val="0"/>
        <w:keepLines w:val="0"/>
        <w:widowControl w:val="0"/>
        <w:spacing w:before="0" w:line="240" w:lineRule="auto"/>
        <w:jc w:val="both"/>
        <w:rPr>
          <w:rFonts w:cs="Times New Roman"/>
        </w:rPr>
      </w:pPr>
      <w:bookmarkStart w:id="214" w:name="_Toc63610018"/>
      <w:bookmarkStart w:id="215" w:name="_Toc64476345"/>
      <w:bookmarkStart w:id="216" w:name="_Toc63862435"/>
      <w:bookmarkStart w:id="217" w:name="_Toc63692768"/>
      <w:bookmarkStart w:id="218" w:name="_Toc63712847"/>
      <w:r w:rsidRPr="00B37A02">
        <w:rPr>
          <w:rFonts w:cs="Times New Roman"/>
        </w:rPr>
        <w:t>5.1.3. ES institūciju aicinājumi</w:t>
      </w:r>
      <w:bookmarkEnd w:id="214"/>
      <w:bookmarkEnd w:id="215"/>
    </w:p>
    <w:p w14:paraId="1A03EBCE" w14:textId="77777777" w:rsidR="00AE7AC4" w:rsidRPr="00B37A02" w:rsidRDefault="00AE7AC4" w:rsidP="00C97F66">
      <w:pPr>
        <w:spacing w:after="0" w:line="240" w:lineRule="auto"/>
        <w:rPr>
          <w:rFonts w:ascii="Times New Roman" w:hAnsi="Times New Roman" w:cs="Times New Roman"/>
        </w:rPr>
      </w:pPr>
    </w:p>
    <w:p w14:paraId="2236DD12" w14:textId="77777777" w:rsidR="00EC5DE2" w:rsidRPr="00B37A02" w:rsidRDefault="00BC5BDF" w:rsidP="00C97F66">
      <w:pPr>
        <w:widowControl w:val="0"/>
        <w:spacing w:after="0" w:line="240" w:lineRule="auto"/>
        <w:jc w:val="both"/>
        <w:rPr>
          <w:rFonts w:ascii="Times New Roman" w:eastAsia="Times New Roman" w:hAnsi="Times New Roman" w:cs="Times New Roman"/>
          <w:sz w:val="24"/>
          <w:szCs w:val="24"/>
        </w:rPr>
      </w:pPr>
      <w:r w:rsidRPr="00B37A02">
        <w:rPr>
          <w:rFonts w:ascii="Times New Roman" w:hAnsi="Times New Roman" w:cs="Times New Roman"/>
          <w:sz w:val="24"/>
        </w:rPr>
        <w:t>Padome savos 2020. gada 8. jūnija secinājumos “Demogrāfiskās problēmas: skatījums uz nākotni”</w:t>
      </w:r>
      <w:r w:rsidRPr="00B37A02">
        <w:rPr>
          <w:rStyle w:val="FootnoteReference"/>
          <w:rFonts w:ascii="Times New Roman" w:eastAsia="Times New Roman" w:hAnsi="Times New Roman" w:cs="Times New Roman"/>
          <w:sz w:val="24"/>
          <w:szCs w:val="24"/>
        </w:rPr>
        <w:footnoteReference w:id="180"/>
      </w:r>
      <w:r w:rsidRPr="00B37A02">
        <w:rPr>
          <w:rFonts w:ascii="Times New Roman" w:hAnsi="Times New Roman" w:cs="Times New Roman"/>
          <w:sz w:val="24"/>
        </w:rPr>
        <w:t xml:space="preserve"> aicināja Komisiju savlaicīgi iesniegt priekšlikumu Eiropas Garantijai bērniem.</w:t>
      </w:r>
    </w:p>
    <w:p w14:paraId="77E91D14" w14:textId="77777777" w:rsidR="00AE7AC4" w:rsidRPr="00B37A02" w:rsidRDefault="00AE7AC4" w:rsidP="00C97F66">
      <w:pPr>
        <w:widowControl w:val="0"/>
        <w:spacing w:after="0" w:line="240" w:lineRule="auto"/>
        <w:jc w:val="both"/>
        <w:rPr>
          <w:rFonts w:ascii="Times New Roman" w:eastAsia="Times New Roman" w:hAnsi="Times New Roman" w:cs="Times New Roman"/>
          <w:sz w:val="24"/>
          <w:szCs w:val="24"/>
        </w:rPr>
      </w:pPr>
    </w:p>
    <w:p w14:paraId="3F9DBDC7" w14:textId="5B80D145" w:rsidR="00EC5DE2" w:rsidRPr="00B37A02" w:rsidRDefault="00BC5BDF" w:rsidP="00C97F66">
      <w:pPr>
        <w:widowControl w:val="0"/>
        <w:spacing w:after="0" w:line="240" w:lineRule="auto"/>
        <w:jc w:val="both"/>
        <w:rPr>
          <w:rFonts w:ascii="Times New Roman" w:eastAsia="Times New Roman" w:hAnsi="Times New Roman" w:cs="Times New Roman"/>
          <w:sz w:val="24"/>
          <w:szCs w:val="24"/>
        </w:rPr>
      </w:pPr>
      <w:r w:rsidRPr="00B37A02">
        <w:rPr>
          <w:rFonts w:ascii="Times New Roman" w:hAnsi="Times New Roman" w:cs="Times New Roman"/>
          <w:sz w:val="24"/>
        </w:rPr>
        <w:t>Eiropas Revīzijas palāta savā 2020. gada 29. septembra īpašajā ziņojumā Nr. 20/2020 par bērnu nabadzības problēmu</w:t>
      </w:r>
      <w:r w:rsidRPr="00B37A02">
        <w:rPr>
          <w:rStyle w:val="FootnoteReference"/>
          <w:rFonts w:ascii="Times New Roman" w:eastAsia="Times New Roman" w:hAnsi="Times New Roman" w:cs="Times New Roman"/>
          <w:sz w:val="24"/>
          <w:szCs w:val="24"/>
        </w:rPr>
        <w:footnoteReference w:id="181"/>
      </w:r>
      <w:r w:rsidRPr="00B37A02">
        <w:rPr>
          <w:rFonts w:ascii="Times New Roman" w:hAnsi="Times New Roman" w:cs="Times New Roman"/>
          <w:sz w:val="24"/>
        </w:rPr>
        <w:t xml:space="preserve"> ir uzsvērusi, ka dalībvalstīm ir nepieciešams mērķorientētāks Komisijas atbalsts, lai izskaustu bērnu nabadzību. Tajā Komisijai tika sniegts ieteikums: i) iekļaut bērnu nabadzības problēmu Eiropas sociālo tiesību pīlāra rīcības plānā un ii) nodrošināt, ka ir veikti pasākumi, lai sagatavotu Eiropas Garantiju bērniem.</w:t>
      </w:r>
    </w:p>
    <w:p w14:paraId="6351FDC1" w14:textId="77777777" w:rsidR="00AE7AC4" w:rsidRPr="00B37A02" w:rsidRDefault="00AE7AC4" w:rsidP="00C97F66">
      <w:pPr>
        <w:widowControl w:val="0"/>
        <w:spacing w:after="0" w:line="240" w:lineRule="auto"/>
        <w:jc w:val="both"/>
        <w:rPr>
          <w:rFonts w:ascii="Times New Roman" w:eastAsia="Times New Roman" w:hAnsi="Times New Roman" w:cs="Times New Roman"/>
          <w:sz w:val="24"/>
          <w:szCs w:val="24"/>
        </w:rPr>
      </w:pPr>
    </w:p>
    <w:p w14:paraId="5997F494" w14:textId="2ABB023F" w:rsidR="00BC5BDF" w:rsidRPr="00B37A02" w:rsidRDefault="00BC5BDF" w:rsidP="00C97F66">
      <w:pPr>
        <w:widowControl w:val="0"/>
        <w:spacing w:after="0" w:line="240" w:lineRule="auto"/>
        <w:jc w:val="both"/>
        <w:rPr>
          <w:rFonts w:ascii="Times New Roman" w:eastAsia="Times New Roman" w:hAnsi="Times New Roman" w:cs="Times New Roman"/>
          <w:sz w:val="24"/>
          <w:szCs w:val="24"/>
        </w:rPr>
      </w:pPr>
      <w:r w:rsidRPr="00B37A02">
        <w:rPr>
          <w:rFonts w:ascii="Times New Roman" w:hAnsi="Times New Roman" w:cs="Times New Roman"/>
          <w:sz w:val="24"/>
        </w:rPr>
        <w:t>Atbildē uz īpašo ziņojumu Padome aicināja Komisiju: i) iekļaut tās turpmākajās iniciatīvās darbības un mērķus bērnu nabadzības problēmas risināšanai, tostarp atbilstoši Eiropas pusgada koncepcijai, un ii) veikt nepieciešamos pasākumus un apkopot informāciju, lai sagatavotu Eiropas Garantiju bērniem.</w:t>
      </w:r>
    </w:p>
    <w:p w14:paraId="48958278" w14:textId="77777777" w:rsidR="00AE7AC4" w:rsidRPr="00B37A02" w:rsidRDefault="00AE7AC4" w:rsidP="00C97F66">
      <w:pPr>
        <w:widowControl w:val="0"/>
        <w:spacing w:after="0" w:line="240" w:lineRule="auto"/>
        <w:jc w:val="both"/>
        <w:rPr>
          <w:rFonts w:ascii="Times New Roman" w:eastAsia="Times New Roman" w:hAnsi="Times New Roman" w:cs="Times New Roman"/>
          <w:sz w:val="24"/>
          <w:szCs w:val="24"/>
        </w:rPr>
      </w:pPr>
    </w:p>
    <w:p w14:paraId="6C0BA3D4" w14:textId="77777777" w:rsidR="00B327F9" w:rsidRDefault="00BC5BDF" w:rsidP="00A96363">
      <w:pPr>
        <w:spacing w:after="0" w:line="240" w:lineRule="auto"/>
        <w:jc w:val="both"/>
        <w:rPr>
          <w:rFonts w:ascii="Times New Roman" w:hAnsi="Times New Roman" w:cs="Times New Roman"/>
          <w:sz w:val="24"/>
        </w:rPr>
      </w:pPr>
      <w:r w:rsidRPr="00B37A02">
        <w:rPr>
          <w:rFonts w:ascii="Times New Roman" w:hAnsi="Times New Roman" w:cs="Times New Roman"/>
          <w:sz w:val="24"/>
        </w:rPr>
        <w:t xml:space="preserve">2020. gada decembrī 24 Nodarbinātības, sociālās politikas, veselības un patērētāju aizsardzības padomes ministri parakstīja Vienoto deklarāciju “Overcoming poverty and social exclusion – mitigating the impact of COVID-19 on families working together to develop prospects for strong children” [Nabadzības un sociālās atstumtības pārvarēšana – uz ģimenēm radītās </w:t>
      </w:r>
    </w:p>
    <w:p w14:paraId="358EC42F" w14:textId="361F5BA5" w:rsidR="00BC5BDF" w:rsidRPr="00B37A02" w:rsidRDefault="00BC5BDF" w:rsidP="00A96363">
      <w:pPr>
        <w:spacing w:after="0" w:line="240" w:lineRule="auto"/>
        <w:jc w:val="both"/>
        <w:rPr>
          <w:rFonts w:ascii="Times New Roman" w:eastAsia="Times New Roman" w:hAnsi="Times New Roman" w:cs="Times New Roman"/>
          <w:sz w:val="24"/>
          <w:szCs w:val="24"/>
        </w:rPr>
      </w:pPr>
      <w:r w:rsidRPr="00B37A02">
        <w:rPr>
          <w:rFonts w:ascii="Times New Roman" w:hAnsi="Times New Roman" w:cs="Times New Roman"/>
          <w:sz w:val="24"/>
        </w:rPr>
        <w:t xml:space="preserve">Covid-19 ietekmes mazināšana, lai kopīgiem spēkiem radītu izredzes spēcīgiem bērniem]. Šajā deklarācijā tika atzinīgi novērtēta paredzētā Eiropas Garantija bērniem kā būtiska iespēja sniegt lielāku un efektīvāku ieguldījumu, lai novērstu un mazinātu bērnu nabadzību Eiropā, kas ir būtisks sociālo atstumtību veicinošs faktors. Ministru deklarācijā ir norādīts, ka Eiropas </w:t>
      </w:r>
      <w:r w:rsidRPr="00B37A02">
        <w:rPr>
          <w:rFonts w:ascii="Times New Roman" w:hAnsi="Times New Roman" w:cs="Times New Roman"/>
          <w:sz w:val="24"/>
        </w:rPr>
        <w:lastRenderedPageBreak/>
        <w:t>Garantijai bērniem ir jābūt balstītai uz Ieteikuma “Ieguldījums bērnos” un Eiropas sociālo tiesību pīlāra principiem un integrētu pieeju. Šajā deklarācijā par ļoti svarīgu ir atzīta nabadzības vai sociālās atstumtības riskam pakļautu bērnu pieejamība šiem pakalpojumiem: i) bezmaksas veselības aprūpei; ii) bezmaksas izglītībai; iii) cenas ziņā pieejamai agrīnajai pirmsskolas izglītībai un aprūpei; iv) pienācīgam mājoklim, kā arī v) atbilstošam uzturam.</w:t>
      </w:r>
    </w:p>
    <w:p w14:paraId="3202C34F" w14:textId="77777777" w:rsidR="00AE7AC4" w:rsidRPr="00B37A02" w:rsidRDefault="00AE7AC4" w:rsidP="00C97F66">
      <w:pPr>
        <w:widowControl w:val="0"/>
        <w:spacing w:after="0" w:line="240" w:lineRule="auto"/>
        <w:jc w:val="both"/>
        <w:rPr>
          <w:rFonts w:ascii="Times New Roman" w:eastAsia="Times New Roman" w:hAnsi="Times New Roman" w:cs="Times New Roman"/>
          <w:sz w:val="24"/>
          <w:szCs w:val="24"/>
        </w:rPr>
      </w:pPr>
    </w:p>
    <w:p w14:paraId="5FCC690A" w14:textId="2F0B7EC6" w:rsidR="00EC5DE2" w:rsidRPr="00B37A02" w:rsidRDefault="00BC5BDF" w:rsidP="00C97F66">
      <w:pPr>
        <w:widowControl w:val="0"/>
        <w:spacing w:after="0" w:line="240" w:lineRule="auto"/>
        <w:jc w:val="both"/>
        <w:rPr>
          <w:rFonts w:ascii="Times New Roman" w:eastAsia="Times New Roman" w:hAnsi="Times New Roman" w:cs="Times New Roman"/>
          <w:sz w:val="24"/>
          <w:szCs w:val="24"/>
        </w:rPr>
      </w:pPr>
      <w:r w:rsidRPr="00B37A02">
        <w:rPr>
          <w:rFonts w:ascii="Times New Roman" w:hAnsi="Times New Roman" w:cs="Times New Roman"/>
          <w:sz w:val="24"/>
        </w:rPr>
        <w:t>2020. gada maijā Padome savos secinājumos par iespēju vairošanu jauniešiem lauku un attālos apgabalos aicināja paredzēt vienlīdzīgas iespējas visiem jauniešiem, neraugoties uz šķēršļiem, tostarp ģeogrāfiskām problēmām.</w:t>
      </w:r>
      <w:r w:rsidRPr="00B37A02">
        <w:rPr>
          <w:rStyle w:val="FootnoteReference"/>
          <w:rFonts w:ascii="Times New Roman" w:eastAsia="Times New Roman" w:hAnsi="Times New Roman" w:cs="Times New Roman"/>
          <w:sz w:val="24"/>
          <w:szCs w:val="24"/>
        </w:rPr>
        <w:footnoteReference w:id="182"/>
      </w:r>
    </w:p>
    <w:p w14:paraId="670B39EF" w14:textId="77777777" w:rsidR="00AE7AC4" w:rsidRPr="00B37A02" w:rsidRDefault="00AE7AC4" w:rsidP="00C97F66">
      <w:pPr>
        <w:widowControl w:val="0"/>
        <w:spacing w:after="0" w:line="240" w:lineRule="auto"/>
        <w:jc w:val="both"/>
        <w:rPr>
          <w:rFonts w:ascii="Times New Roman" w:eastAsia="Times New Roman" w:hAnsi="Times New Roman" w:cs="Times New Roman"/>
          <w:sz w:val="24"/>
          <w:szCs w:val="24"/>
        </w:rPr>
      </w:pPr>
    </w:p>
    <w:p w14:paraId="116764B7" w14:textId="07F28FBA" w:rsidR="00BC5BDF" w:rsidRPr="00B37A02" w:rsidRDefault="00AE7AC4" w:rsidP="00C97F66">
      <w:pPr>
        <w:pStyle w:val="Heading3"/>
        <w:keepNext w:val="0"/>
        <w:keepLines w:val="0"/>
        <w:widowControl w:val="0"/>
        <w:spacing w:before="0" w:line="240" w:lineRule="auto"/>
        <w:jc w:val="both"/>
        <w:rPr>
          <w:rFonts w:cs="Times New Roman"/>
        </w:rPr>
      </w:pPr>
      <w:bookmarkStart w:id="219" w:name="_Toc64476346"/>
      <w:r w:rsidRPr="00B37A02">
        <w:rPr>
          <w:rFonts w:cs="Times New Roman"/>
        </w:rPr>
        <w:t>5.1.4. Apspriešanās process</w:t>
      </w:r>
      <w:bookmarkEnd w:id="216"/>
      <w:bookmarkEnd w:id="219"/>
    </w:p>
    <w:p w14:paraId="4DADF186" w14:textId="77777777" w:rsidR="00AE7AC4" w:rsidRPr="00B37A02" w:rsidRDefault="00AE7AC4" w:rsidP="00C97F66">
      <w:pPr>
        <w:spacing w:after="0" w:line="240" w:lineRule="auto"/>
        <w:rPr>
          <w:rFonts w:ascii="Times New Roman" w:hAnsi="Times New Roman" w:cs="Times New Roman"/>
        </w:rPr>
      </w:pPr>
    </w:p>
    <w:p w14:paraId="7C0B0908" w14:textId="7F807841" w:rsidR="00EC5DE2" w:rsidRPr="00B37A02" w:rsidRDefault="00BC5BDF" w:rsidP="00C97F66">
      <w:pPr>
        <w:widowControl w:val="0"/>
        <w:spacing w:after="0" w:line="240" w:lineRule="auto"/>
        <w:jc w:val="both"/>
        <w:rPr>
          <w:rFonts w:ascii="Times New Roman" w:eastAsia="Arial" w:hAnsi="Times New Roman" w:cs="Times New Roman"/>
          <w:sz w:val="24"/>
          <w:szCs w:val="24"/>
          <w:bdr w:val="none" w:sz="0" w:space="0" w:color="auto" w:frame="1"/>
        </w:rPr>
      </w:pPr>
      <w:r w:rsidRPr="00B37A02">
        <w:rPr>
          <w:rFonts w:ascii="Times New Roman" w:hAnsi="Times New Roman" w:cs="Times New Roman"/>
          <w:sz w:val="24"/>
          <w:bdr w:val="none" w:sz="0" w:space="0" w:color="auto" w:frame="1"/>
        </w:rPr>
        <w:t>Apspriešanās process no 2020. gada jūlija līdz novembrim ļāva apkopot informāciju par problēmām, ar kurām saskaras: i) valsts vai vietējās pārvaldes iestādes; ii) uz bērniem orientētu pakalpojumu sniedzēji, kā arī iii) pilsoniskā sabiedrība. Aptaujātās ieinteresētās puses apstiprināja, ka pašreizējā pakalpojumu sniegšanā valsts līmenī ir nepilnības, kuras varētu novērst, veicot darbības ES līmenī.</w:t>
      </w:r>
    </w:p>
    <w:p w14:paraId="7E9263D3" w14:textId="77777777" w:rsidR="00AE7AC4" w:rsidRPr="00B37A02" w:rsidRDefault="00AE7AC4" w:rsidP="00C97F66">
      <w:pPr>
        <w:widowControl w:val="0"/>
        <w:spacing w:after="0" w:line="240" w:lineRule="auto"/>
        <w:jc w:val="both"/>
        <w:rPr>
          <w:rFonts w:ascii="Times New Roman" w:eastAsia="Arial" w:hAnsi="Times New Roman" w:cs="Times New Roman"/>
          <w:sz w:val="24"/>
          <w:szCs w:val="24"/>
          <w:bdr w:val="none" w:sz="0" w:space="0" w:color="auto" w:frame="1"/>
        </w:rPr>
      </w:pPr>
    </w:p>
    <w:p w14:paraId="4807C3D1" w14:textId="6EA57A40" w:rsidR="00EC5DE2" w:rsidRPr="00B37A02" w:rsidRDefault="00BC5BDF" w:rsidP="00C97F66">
      <w:pPr>
        <w:widowControl w:val="0"/>
        <w:spacing w:after="0" w:line="240" w:lineRule="auto"/>
        <w:jc w:val="both"/>
        <w:rPr>
          <w:rFonts w:ascii="Times New Roman" w:eastAsia="Arial" w:hAnsi="Times New Roman" w:cs="Times New Roman"/>
          <w:sz w:val="24"/>
          <w:szCs w:val="24"/>
          <w:bdr w:val="none" w:sz="0" w:space="0" w:color="auto" w:frame="1"/>
        </w:rPr>
      </w:pPr>
      <w:r w:rsidRPr="00B37A02">
        <w:rPr>
          <w:rFonts w:ascii="Times New Roman" w:hAnsi="Times New Roman" w:cs="Times New Roman"/>
          <w:sz w:val="24"/>
          <w:bdr w:val="none" w:sz="0" w:space="0" w:color="auto" w:frame="1"/>
        </w:rPr>
        <w:t xml:space="preserve">Pēc Komisijas lūguma UNICEF, “Eurochild”, “Save the Children”, “World Vision” un “Child Fund Alliance” noturēja kopīgu apspriedi par ES Bērnu tiesību stratēģiju 2021.–2024. gadam un Eiropas Garantiju bērniem. Piecas organizācijas kopā izstrādāja aptaujas anketu, uz kuru atbildēja aptuveni 10 000 bērnu ES un ārpus tās. </w:t>
      </w:r>
      <w:r w:rsidRPr="00B37A02">
        <w:rPr>
          <w:rFonts w:ascii="Times New Roman" w:hAnsi="Times New Roman" w:cs="Times New Roman"/>
          <w:sz w:val="24"/>
        </w:rPr>
        <w:t xml:space="preserve">Šīs apspriedes galvenie secinājumi attiecās uz: i) diskrimināciju un atstumtību, ar ko saskaras bērni; ii) bērnu nepiepildītajām cerībām skolā; iii) vardarbīgām situācijām bērnu dzīvē, kā arī iv) bērnu viedokļu neievērošanu. Tā rezultātā tika aicināts vērst Eiropas Garantiju bērniem uz konkrētiem un efektīviem pasākumiem, lai nodrošinātu vienlīdzīgu attieksmi pret visiem bērniem, īpašu uzmanību pievēršot neaizsargātā situācijā nonākušiem bērniem, un vienlīdzīgu piekļuvi kvalitatīvai un cenas ziņā pieejamai izglītībai visiem bērniem, sākot no agrīnās pirmsskolas izglītības un aprūpes līdz vidējai izglītībai. </w:t>
      </w:r>
      <w:r w:rsidRPr="00B37A02">
        <w:rPr>
          <w:rFonts w:ascii="Times New Roman" w:hAnsi="Times New Roman" w:cs="Times New Roman"/>
          <w:sz w:val="24"/>
          <w:bdr w:val="none" w:sz="0" w:space="0" w:color="auto" w:frame="1"/>
        </w:rPr>
        <w:t>Rezultāti ir pieejami ziņojumā “Our Europe, Our Rights, Our Future” [Mūsu Eiropa, mūsu tiesības, mūsu nākotne].</w:t>
      </w:r>
      <w:r w:rsidRPr="00B37A02">
        <w:rPr>
          <w:rStyle w:val="FootnoteReference"/>
          <w:rFonts w:ascii="Times New Roman" w:eastAsia="Arial" w:hAnsi="Times New Roman" w:cs="Times New Roman"/>
          <w:sz w:val="24"/>
          <w:szCs w:val="24"/>
          <w:bdr w:val="none" w:sz="0" w:space="0" w:color="auto" w:frame="1"/>
        </w:rPr>
        <w:footnoteReference w:id="183"/>
      </w:r>
    </w:p>
    <w:p w14:paraId="5D4FD1A0" w14:textId="77777777" w:rsidR="00AE7AC4" w:rsidRPr="00B37A02" w:rsidRDefault="00AE7AC4" w:rsidP="00C97F66">
      <w:pPr>
        <w:widowControl w:val="0"/>
        <w:spacing w:after="0" w:line="240" w:lineRule="auto"/>
        <w:jc w:val="both"/>
        <w:rPr>
          <w:rFonts w:ascii="Times New Roman" w:eastAsia="Arial" w:hAnsi="Times New Roman" w:cs="Times New Roman"/>
          <w:sz w:val="24"/>
          <w:szCs w:val="24"/>
          <w:bdr w:val="none" w:sz="0" w:space="0" w:color="auto" w:frame="1"/>
        </w:rPr>
      </w:pPr>
    </w:p>
    <w:p w14:paraId="79D660CF" w14:textId="5A29C203" w:rsidR="00BC5BDF" w:rsidRPr="00B37A02" w:rsidRDefault="00BC5BDF" w:rsidP="00C97F66">
      <w:pPr>
        <w:widowControl w:val="0"/>
        <w:spacing w:after="0" w:line="240" w:lineRule="auto"/>
        <w:jc w:val="both"/>
        <w:rPr>
          <w:rFonts w:ascii="Times New Roman" w:eastAsia="Arial" w:hAnsi="Times New Roman" w:cs="Times New Roman"/>
          <w:sz w:val="24"/>
          <w:szCs w:val="24"/>
          <w:u w:color="000000"/>
          <w:bdr w:val="nil"/>
        </w:rPr>
      </w:pPr>
      <w:r w:rsidRPr="00B37A02">
        <w:rPr>
          <w:rFonts w:ascii="Times New Roman" w:hAnsi="Times New Roman" w:cs="Times New Roman"/>
          <w:sz w:val="24"/>
          <w:u w:color="000000"/>
          <w:bdr w:val="nil"/>
        </w:rPr>
        <w:t>Detalizēts pārskats par plašo apspriešanās procesu ar ieinteresētajām pusēm ietverts C pielikumā.</w:t>
      </w:r>
    </w:p>
    <w:p w14:paraId="0F04D398" w14:textId="77777777" w:rsidR="00AE7AC4" w:rsidRPr="00B37A02" w:rsidRDefault="00AE7AC4" w:rsidP="00C97F66">
      <w:pPr>
        <w:widowControl w:val="0"/>
        <w:spacing w:after="0" w:line="240" w:lineRule="auto"/>
        <w:jc w:val="both"/>
        <w:rPr>
          <w:rFonts w:ascii="Times New Roman" w:eastAsia="Arial" w:hAnsi="Times New Roman" w:cs="Times New Roman"/>
          <w:sz w:val="24"/>
          <w:szCs w:val="24"/>
          <w:u w:color="000000"/>
          <w:bdr w:val="nil"/>
        </w:rPr>
      </w:pPr>
    </w:p>
    <w:p w14:paraId="2B28DB92" w14:textId="489F4D93" w:rsidR="00EC5DE2" w:rsidRPr="00B37A02" w:rsidRDefault="00AE7AC4" w:rsidP="00C97F66">
      <w:pPr>
        <w:pStyle w:val="Heading2"/>
        <w:keepNext w:val="0"/>
        <w:keepLines w:val="0"/>
        <w:widowControl w:val="0"/>
        <w:spacing w:before="0" w:line="240" w:lineRule="auto"/>
        <w:jc w:val="both"/>
        <w:rPr>
          <w:rFonts w:cs="Times New Roman"/>
          <w:sz w:val="24"/>
          <w:szCs w:val="28"/>
        </w:rPr>
      </w:pPr>
      <w:bookmarkStart w:id="220" w:name="_Toc62942390"/>
      <w:bookmarkStart w:id="221" w:name="_Toc63178110"/>
      <w:bookmarkStart w:id="222" w:name="_Toc63258863"/>
      <w:bookmarkStart w:id="223" w:name="_Toc63269666"/>
      <w:bookmarkStart w:id="224" w:name="_Toc63692769"/>
      <w:bookmarkStart w:id="225" w:name="_Toc63712848"/>
      <w:bookmarkStart w:id="226" w:name="_Toc63850078"/>
      <w:bookmarkStart w:id="227" w:name="_Toc63850296"/>
      <w:bookmarkStart w:id="228" w:name="_Toc63862436"/>
      <w:bookmarkStart w:id="229" w:name="_Toc64476347"/>
      <w:bookmarkEnd w:id="217"/>
      <w:bookmarkEnd w:id="218"/>
      <w:r w:rsidRPr="00B37A02">
        <w:rPr>
          <w:rFonts w:cs="Times New Roman"/>
          <w:sz w:val="24"/>
        </w:rPr>
        <w:t>5.2. Eiropas Garantijas bērniem mērķis un darbības joma</w:t>
      </w:r>
      <w:bookmarkEnd w:id="220"/>
      <w:bookmarkEnd w:id="221"/>
      <w:bookmarkEnd w:id="222"/>
      <w:bookmarkEnd w:id="223"/>
      <w:bookmarkEnd w:id="224"/>
      <w:bookmarkEnd w:id="225"/>
      <w:bookmarkEnd w:id="226"/>
      <w:bookmarkEnd w:id="227"/>
      <w:bookmarkEnd w:id="228"/>
      <w:bookmarkEnd w:id="229"/>
    </w:p>
    <w:p w14:paraId="3FFB8159" w14:textId="77777777" w:rsidR="00AE7AC4" w:rsidRPr="00B37A02" w:rsidRDefault="00AE7AC4" w:rsidP="00C97F66">
      <w:pPr>
        <w:spacing w:after="0" w:line="240" w:lineRule="auto"/>
        <w:rPr>
          <w:rFonts w:ascii="Times New Roman" w:hAnsi="Times New Roman" w:cs="Times New Roman"/>
        </w:rPr>
      </w:pPr>
    </w:p>
    <w:p w14:paraId="77C4DF5E" w14:textId="259DA0A7" w:rsidR="00EC5DE2" w:rsidRPr="00B37A02" w:rsidRDefault="00BC5BDF" w:rsidP="00C97F66">
      <w:pPr>
        <w:widowControl w:val="0"/>
        <w:spacing w:after="0" w:line="240" w:lineRule="auto"/>
        <w:jc w:val="both"/>
        <w:rPr>
          <w:rFonts w:ascii="Times New Roman" w:eastAsia="Times New Roman" w:hAnsi="Times New Roman" w:cs="Times New Roman"/>
          <w:sz w:val="24"/>
          <w:szCs w:val="24"/>
        </w:rPr>
      </w:pPr>
      <w:r w:rsidRPr="00B37A02">
        <w:rPr>
          <w:rFonts w:ascii="Times New Roman" w:hAnsi="Times New Roman" w:cs="Times New Roman"/>
          <w:sz w:val="24"/>
        </w:rPr>
        <w:t>Šā ieteikuma mērķis ir novērst un apkarot sociālo atstumtību, garantējot, ka bērniem, kam vajadzīga palīdzība, ir pieejams pamatpakalpojumu kopums. Šādi ieteikums palīdzēs sekmēt vienlīdzīgas iespējas bērniem, kam vajadzīga palīdzība, un apkarot bērnu nabadzību.</w:t>
      </w:r>
    </w:p>
    <w:p w14:paraId="198345EB" w14:textId="77777777" w:rsidR="00EC5DE2" w:rsidRPr="00B37A02" w:rsidRDefault="00BC5BDF" w:rsidP="00C97F66">
      <w:pPr>
        <w:widowControl w:val="0"/>
        <w:spacing w:after="0" w:line="240" w:lineRule="auto"/>
        <w:jc w:val="both"/>
        <w:rPr>
          <w:rFonts w:ascii="Times New Roman" w:eastAsia="Times New Roman" w:hAnsi="Times New Roman" w:cs="Times New Roman"/>
          <w:sz w:val="24"/>
          <w:szCs w:val="24"/>
        </w:rPr>
      </w:pPr>
      <w:r w:rsidRPr="00B37A02">
        <w:rPr>
          <w:rFonts w:ascii="Times New Roman" w:hAnsi="Times New Roman" w:cs="Times New Roman"/>
          <w:sz w:val="24"/>
        </w:rPr>
        <w:t>Lai sasniegtu šo mērķi, priekšlikumā dalībvalstīm tiek sniegts ieteikums:</w:t>
      </w:r>
    </w:p>
    <w:p w14:paraId="2FF17AC5" w14:textId="77777777" w:rsidR="00040E0E" w:rsidRPr="00B37A02" w:rsidRDefault="00040E0E" w:rsidP="00C97F66">
      <w:pPr>
        <w:pStyle w:val="ListParagraph"/>
        <w:widowControl w:val="0"/>
        <w:spacing w:after="0" w:line="240" w:lineRule="auto"/>
        <w:ind w:left="0"/>
        <w:contextualSpacing w:val="0"/>
        <w:jc w:val="both"/>
        <w:rPr>
          <w:rFonts w:ascii="Times New Roman" w:eastAsia="Times New Roman" w:hAnsi="Times New Roman" w:cs="Times New Roman"/>
          <w:sz w:val="24"/>
          <w:szCs w:val="24"/>
        </w:rPr>
      </w:pPr>
    </w:p>
    <w:p w14:paraId="01798D30" w14:textId="273178BC" w:rsidR="00BC5BDF" w:rsidRPr="00B37A02" w:rsidRDefault="00040E0E" w:rsidP="00C97F66">
      <w:pPr>
        <w:pStyle w:val="ListParagraph"/>
        <w:widowControl w:val="0"/>
        <w:spacing w:after="0" w:line="240" w:lineRule="auto"/>
        <w:ind w:left="284"/>
        <w:contextualSpacing w:val="0"/>
        <w:jc w:val="both"/>
        <w:rPr>
          <w:rFonts w:ascii="Times New Roman" w:eastAsia="Times New Roman" w:hAnsi="Times New Roman" w:cs="Times New Roman"/>
          <w:sz w:val="24"/>
          <w:szCs w:val="24"/>
        </w:rPr>
      </w:pPr>
      <w:r w:rsidRPr="00B37A02">
        <w:rPr>
          <w:rFonts w:ascii="Times New Roman" w:hAnsi="Times New Roman" w:cs="Times New Roman"/>
          <w:sz w:val="24"/>
        </w:rPr>
        <w:t>1) garantēt bērniem, kam vajadzīga palīdzība, efektīvu un bezmaksas piekļuvi agrīnajai pirmsskolas izglītībai un aprūpei, izglītībai un skolas nodarbībām, vismaz vienai veselīgai maltītei katrā skolas dienā un veselības aprūpei;</w:t>
      </w:r>
    </w:p>
    <w:p w14:paraId="2F2A28A1" w14:textId="28A88111" w:rsidR="00BC5BDF" w:rsidRPr="00B37A02" w:rsidRDefault="00040E0E" w:rsidP="00C97F66">
      <w:pPr>
        <w:pStyle w:val="ListParagraph"/>
        <w:widowControl w:val="0"/>
        <w:spacing w:after="0" w:line="240" w:lineRule="auto"/>
        <w:ind w:left="284"/>
        <w:contextualSpacing w:val="0"/>
        <w:jc w:val="both"/>
        <w:rPr>
          <w:rFonts w:ascii="Times New Roman" w:eastAsia="Times New Roman" w:hAnsi="Times New Roman" w:cs="Times New Roman"/>
          <w:sz w:val="24"/>
          <w:szCs w:val="24"/>
        </w:rPr>
      </w:pPr>
      <w:r w:rsidRPr="00B37A02">
        <w:rPr>
          <w:rFonts w:ascii="Times New Roman" w:hAnsi="Times New Roman" w:cs="Times New Roman"/>
          <w:sz w:val="24"/>
        </w:rPr>
        <w:t>2) garantēt bērniem, kam vajadzīga palīdzība, efektīvu piekļuvi veselīgam uzturam un pienācīgam mājoklim.</w:t>
      </w:r>
    </w:p>
    <w:p w14:paraId="46041F4C" w14:textId="77777777" w:rsidR="00040E0E" w:rsidRPr="00B37A02" w:rsidRDefault="00040E0E" w:rsidP="00C97F66">
      <w:pPr>
        <w:widowControl w:val="0"/>
        <w:spacing w:after="0" w:line="240" w:lineRule="auto"/>
        <w:jc w:val="both"/>
        <w:rPr>
          <w:rFonts w:ascii="Times New Roman" w:eastAsia="Times New Roman" w:hAnsi="Times New Roman" w:cs="Times New Roman"/>
          <w:b/>
          <w:sz w:val="24"/>
          <w:szCs w:val="24"/>
        </w:rPr>
      </w:pPr>
    </w:p>
    <w:p w14:paraId="290F3220" w14:textId="636C1F92" w:rsidR="00EC5DE2" w:rsidRPr="00B37A02" w:rsidRDefault="00BC5BDF" w:rsidP="00C97F66">
      <w:pPr>
        <w:widowControl w:val="0"/>
        <w:spacing w:after="0" w:line="240" w:lineRule="auto"/>
        <w:jc w:val="both"/>
        <w:rPr>
          <w:rFonts w:ascii="Times New Roman" w:eastAsia="Times New Roman" w:hAnsi="Times New Roman" w:cs="Times New Roman"/>
          <w:sz w:val="24"/>
          <w:szCs w:val="24"/>
        </w:rPr>
      </w:pPr>
      <w:r w:rsidRPr="00B37A02">
        <w:rPr>
          <w:rFonts w:ascii="Times New Roman" w:hAnsi="Times New Roman" w:cs="Times New Roman"/>
          <w:b/>
          <w:sz w:val="24"/>
        </w:rPr>
        <w:t xml:space="preserve">Ir gūti daudzi pierādījumi, kas skaidri liecina, ka bērniem, kam vajadzīga palīdzība, visā ES bieži vien nav piekļuves šajā priekšlikumā minētajiem pakalpojumiem. </w:t>
      </w:r>
      <w:r w:rsidRPr="00B37A02">
        <w:rPr>
          <w:rFonts w:ascii="Times New Roman" w:hAnsi="Times New Roman" w:cs="Times New Roman"/>
          <w:sz w:val="24"/>
        </w:rPr>
        <w:t>Apmērs, kādā dažādiem nelabvēlīgiem apstākļiem pakļautajiem bērniem tiek nodrošināta piekļuve šiem pakalpojumiem, dažādās ES dalībvalstīs ir ļoti atšķirīgs.</w:t>
      </w:r>
    </w:p>
    <w:p w14:paraId="419C6010" w14:textId="77777777" w:rsidR="00040E0E" w:rsidRPr="00B37A02" w:rsidRDefault="00040E0E" w:rsidP="00C97F66">
      <w:pPr>
        <w:widowControl w:val="0"/>
        <w:spacing w:after="0" w:line="240" w:lineRule="auto"/>
        <w:jc w:val="both"/>
        <w:rPr>
          <w:rFonts w:ascii="Times New Roman" w:eastAsia="Times New Roman" w:hAnsi="Times New Roman" w:cs="Times New Roman"/>
          <w:b/>
          <w:sz w:val="24"/>
          <w:szCs w:val="24"/>
        </w:rPr>
      </w:pPr>
    </w:p>
    <w:p w14:paraId="743689BB" w14:textId="0E6E8977" w:rsidR="00EC5DE2" w:rsidRPr="00B37A02" w:rsidRDefault="00BC5BDF" w:rsidP="00C97F66">
      <w:pPr>
        <w:widowControl w:val="0"/>
        <w:spacing w:after="0" w:line="240" w:lineRule="auto"/>
        <w:jc w:val="both"/>
        <w:rPr>
          <w:rFonts w:ascii="Times New Roman" w:eastAsia="Times New Roman" w:hAnsi="Times New Roman" w:cs="Times New Roman"/>
          <w:sz w:val="24"/>
          <w:szCs w:val="24"/>
        </w:rPr>
      </w:pPr>
      <w:r w:rsidRPr="00B37A02">
        <w:rPr>
          <w:rFonts w:ascii="Times New Roman" w:hAnsi="Times New Roman" w:cs="Times New Roman"/>
          <w:b/>
          <w:sz w:val="24"/>
        </w:rPr>
        <w:t xml:space="preserve">Pievēršot galveno uzmanību bērniem, kam vajadzīga palīdzība, ar šo priekšlikumu paredzēts radīt lielāku ietekmi uz esošajām iniciatīvām un instrumentiem un sniegt tiem pievienoto vērtību. </w:t>
      </w:r>
      <w:r w:rsidRPr="00B37A02">
        <w:rPr>
          <w:rFonts w:ascii="Times New Roman" w:hAnsi="Times New Roman" w:cs="Times New Roman"/>
          <w:sz w:val="24"/>
        </w:rPr>
        <w:t>Iniciatīvas konkrētais mērķis arī atbilst ES solījumam “neaizmirst nevienu”. Priekšlikumā izklāstītā pieeja ļaus izstrādāt pielāgotus un individuālus risinājumus atbilstoši konkrētajām situācijām, ar kurām katrā dalībvalstī saskaras dažādas bērnu, kam vajadzīga palīdzība, grupas. Precīza apzināšana, mērķu noteikšana un darbības paliktu dalībvalstu ziņā, pamatojoties uz to valsts, reģionālajām un vietējām īpatnībām.</w:t>
      </w:r>
    </w:p>
    <w:p w14:paraId="4B5A8833" w14:textId="77777777" w:rsidR="00040E0E" w:rsidRPr="00B37A02" w:rsidRDefault="00040E0E" w:rsidP="00C97F66">
      <w:pPr>
        <w:widowControl w:val="0"/>
        <w:spacing w:after="0" w:line="240" w:lineRule="auto"/>
        <w:jc w:val="both"/>
        <w:rPr>
          <w:rFonts w:ascii="Times New Roman" w:eastAsia="Times New Roman" w:hAnsi="Times New Roman" w:cs="Times New Roman"/>
          <w:sz w:val="24"/>
          <w:szCs w:val="24"/>
        </w:rPr>
      </w:pPr>
    </w:p>
    <w:p w14:paraId="2FA5BFFF" w14:textId="271E2ABE" w:rsidR="00EC5DE2" w:rsidRPr="00B37A02" w:rsidRDefault="00BC5BDF" w:rsidP="00C97F66">
      <w:pPr>
        <w:widowControl w:val="0"/>
        <w:spacing w:after="0" w:line="240" w:lineRule="auto"/>
        <w:jc w:val="both"/>
        <w:rPr>
          <w:rFonts w:ascii="Times New Roman" w:eastAsia="Times New Roman" w:hAnsi="Times New Roman" w:cs="Times New Roman"/>
          <w:sz w:val="24"/>
          <w:szCs w:val="24"/>
        </w:rPr>
      </w:pPr>
      <w:r w:rsidRPr="00B37A02">
        <w:rPr>
          <w:rFonts w:ascii="Times New Roman" w:hAnsi="Times New Roman" w:cs="Times New Roman"/>
          <w:sz w:val="24"/>
        </w:rPr>
        <w:t>Šajā kontekstā ir svarīgi uzsvērt, ka dalībvalstīm ir jāturpina izstrādāt savu vispārējo politiku attiecībā uz visiem bērniem saskaņā ar Ieteikumu “Ieguldījums bērnos”.</w:t>
      </w:r>
    </w:p>
    <w:p w14:paraId="7541AFDE" w14:textId="77777777" w:rsidR="00040E0E" w:rsidRPr="00B37A02" w:rsidRDefault="00040E0E" w:rsidP="00C97F66">
      <w:pPr>
        <w:widowControl w:val="0"/>
        <w:spacing w:after="0" w:line="240" w:lineRule="auto"/>
        <w:jc w:val="both"/>
        <w:rPr>
          <w:rFonts w:ascii="Times New Roman" w:eastAsia="Times New Roman" w:hAnsi="Times New Roman" w:cs="Times New Roman"/>
          <w:sz w:val="24"/>
          <w:szCs w:val="24"/>
        </w:rPr>
      </w:pPr>
    </w:p>
    <w:p w14:paraId="3D602130" w14:textId="6B27E9D0" w:rsidR="00EC5DE2" w:rsidRPr="00B37A02" w:rsidRDefault="00BC5BDF" w:rsidP="00C97F66">
      <w:pPr>
        <w:widowControl w:val="0"/>
        <w:spacing w:after="0" w:line="240" w:lineRule="auto"/>
        <w:jc w:val="both"/>
        <w:rPr>
          <w:rFonts w:ascii="Times New Roman" w:eastAsia="Times New Roman" w:hAnsi="Times New Roman" w:cs="Times New Roman"/>
          <w:sz w:val="24"/>
          <w:szCs w:val="24"/>
        </w:rPr>
      </w:pPr>
      <w:r w:rsidRPr="00B37A02">
        <w:rPr>
          <w:rFonts w:ascii="Times New Roman" w:hAnsi="Times New Roman" w:cs="Times New Roman"/>
          <w:sz w:val="24"/>
        </w:rPr>
        <w:t xml:space="preserve">Ar pamatpakalpojumu pieejamības nodrošināšanu vien nepietiek, jo pakalpojumiem ir jābūt patiesi iekļaujošiem un kvalitatīviem, lai tie pilnībā sniegtu labumu visiem neaizsargātā situācijā nonākušajiem bērniem. Pierādījumi liecina, ka, lai gan šie pakalpojumi var būt bezmaksas, piekļuve tiem dažkārt var būt saistīta ar papildu izmaksām, kas var radīt šķēršļus bērniem, kam vajadzīga palīdzība. Tāpēc priekšlikumā ir uzsvērta </w:t>
      </w:r>
      <w:r w:rsidRPr="00B37A02">
        <w:rPr>
          <w:rFonts w:ascii="Times New Roman" w:hAnsi="Times New Roman" w:cs="Times New Roman"/>
          <w:b/>
          <w:bCs/>
          <w:sz w:val="24"/>
        </w:rPr>
        <w:t>piekļuves efektivitātes</w:t>
      </w:r>
      <w:r w:rsidRPr="00B37A02">
        <w:rPr>
          <w:rFonts w:ascii="Times New Roman" w:hAnsi="Times New Roman" w:cs="Times New Roman"/>
          <w:sz w:val="24"/>
        </w:rPr>
        <w:t xml:space="preserve"> nozīme. Ar piekļuves efektivitāti jāsaprot: i) pakalpojuma pieejamība, pieņemamība cenas ziņā un kvalitāte; ii) pakalpojuma savlaicīga sniegšana, kā arī tas, iii) vai pakalpojuma potenciālie lietotāji apzinās tā esību un ir tiesīgi to izmantot.</w:t>
      </w:r>
    </w:p>
    <w:p w14:paraId="791E94D6" w14:textId="77777777" w:rsidR="00040E0E" w:rsidRPr="00B37A02" w:rsidRDefault="00040E0E" w:rsidP="00C97F66">
      <w:pPr>
        <w:widowControl w:val="0"/>
        <w:spacing w:after="0" w:line="240" w:lineRule="auto"/>
        <w:jc w:val="both"/>
        <w:rPr>
          <w:rFonts w:ascii="Times New Roman" w:eastAsia="Times New Roman" w:hAnsi="Times New Roman" w:cs="Times New Roman"/>
          <w:sz w:val="24"/>
          <w:szCs w:val="24"/>
        </w:rPr>
      </w:pPr>
    </w:p>
    <w:p w14:paraId="16E50A34" w14:textId="2540C65D" w:rsidR="00BC5BDF" w:rsidRPr="00B37A02" w:rsidRDefault="00BC5BDF" w:rsidP="00C97F66">
      <w:pPr>
        <w:widowControl w:val="0"/>
        <w:spacing w:after="0" w:line="240" w:lineRule="auto"/>
        <w:jc w:val="both"/>
        <w:rPr>
          <w:rFonts w:ascii="Times New Roman" w:eastAsia="Times New Roman" w:hAnsi="Times New Roman" w:cs="Times New Roman"/>
          <w:sz w:val="24"/>
          <w:szCs w:val="24"/>
        </w:rPr>
      </w:pPr>
      <w:r w:rsidRPr="00B37A02">
        <w:rPr>
          <w:rFonts w:ascii="Times New Roman" w:hAnsi="Times New Roman" w:cs="Times New Roman"/>
          <w:sz w:val="24"/>
        </w:rPr>
        <w:t xml:space="preserve">Tomēr vairumam visneaizsargātāko personu var nepietikt tikai ar piekļuves efektivitātes garantēšanu. Pieņemamība cenas ziņā ir relatīvs jēdziens, un daudzām nabadzībā nonākušām ģimenēm grūtības sagādā pat nelielas maksas. Tādēļ priekšlikumā ir sniegts ieteikums nodrošināt </w:t>
      </w:r>
      <w:r w:rsidRPr="00B37A02">
        <w:rPr>
          <w:rFonts w:ascii="Times New Roman" w:hAnsi="Times New Roman" w:cs="Times New Roman"/>
          <w:b/>
          <w:bCs/>
          <w:sz w:val="24"/>
        </w:rPr>
        <w:t>efektīvu un bezmaksas</w:t>
      </w:r>
      <w:r w:rsidRPr="00B37A02">
        <w:rPr>
          <w:rFonts w:ascii="Times New Roman" w:hAnsi="Times New Roman" w:cs="Times New Roman"/>
          <w:sz w:val="24"/>
        </w:rPr>
        <w:t xml:space="preserve"> piekļuvi noteiktiem pakalpojumiem, proti, agrīnajai pirmsskolas izglītībai un aprūpei, skolas nodarbībām, veselīgai maltītei skolā un veselības aprūpei. Bez maksas sniedzamie pakalpojumi ir izvēlēti pēc Eiropas Parlamenta un citu ieinteresēto pušu aicinājuma.</w:t>
      </w:r>
    </w:p>
    <w:p w14:paraId="41069190" w14:textId="77777777" w:rsidR="00040E0E" w:rsidRPr="00B37A02" w:rsidRDefault="00040E0E" w:rsidP="00C97F66">
      <w:pPr>
        <w:widowControl w:val="0"/>
        <w:spacing w:after="0" w:line="240" w:lineRule="auto"/>
        <w:jc w:val="both"/>
        <w:rPr>
          <w:rFonts w:ascii="Times New Roman" w:eastAsia="Times New Roman" w:hAnsi="Times New Roman" w:cs="Times New Roman"/>
          <w:sz w:val="24"/>
          <w:szCs w:val="24"/>
        </w:rPr>
      </w:pPr>
    </w:p>
    <w:p w14:paraId="00616507" w14:textId="3F0C7898" w:rsidR="00EC5DE2" w:rsidRPr="00B37A02" w:rsidRDefault="00040E0E" w:rsidP="00C97F66">
      <w:pPr>
        <w:pStyle w:val="Heading2"/>
        <w:keepNext w:val="0"/>
        <w:keepLines w:val="0"/>
        <w:widowControl w:val="0"/>
        <w:spacing w:before="0" w:line="240" w:lineRule="auto"/>
        <w:jc w:val="both"/>
        <w:rPr>
          <w:rFonts w:cs="Times New Roman"/>
          <w:sz w:val="24"/>
          <w:szCs w:val="28"/>
        </w:rPr>
      </w:pPr>
      <w:bookmarkStart w:id="230" w:name="_Toc63862437"/>
      <w:bookmarkStart w:id="231" w:name="_Toc64476348"/>
      <w:bookmarkStart w:id="232" w:name="_Toc62942391"/>
      <w:bookmarkStart w:id="233" w:name="_Toc63178111"/>
      <w:bookmarkStart w:id="234" w:name="_Toc63258864"/>
      <w:bookmarkStart w:id="235" w:name="_Toc63269667"/>
      <w:bookmarkStart w:id="236" w:name="_Toc63692770"/>
      <w:bookmarkStart w:id="237" w:name="_Toc63712849"/>
      <w:bookmarkStart w:id="238" w:name="_Toc63850079"/>
      <w:bookmarkStart w:id="239" w:name="_Toc63850297"/>
      <w:r w:rsidRPr="00B37A02">
        <w:rPr>
          <w:rFonts w:cs="Times New Roman"/>
          <w:sz w:val="24"/>
        </w:rPr>
        <w:t>5.3. Stimulējošs politikas satvars</w:t>
      </w:r>
      <w:bookmarkEnd w:id="230"/>
      <w:bookmarkEnd w:id="231"/>
      <w:bookmarkEnd w:id="232"/>
      <w:bookmarkEnd w:id="233"/>
      <w:bookmarkEnd w:id="234"/>
      <w:bookmarkEnd w:id="235"/>
      <w:bookmarkEnd w:id="236"/>
      <w:bookmarkEnd w:id="237"/>
      <w:bookmarkEnd w:id="238"/>
      <w:bookmarkEnd w:id="239"/>
    </w:p>
    <w:p w14:paraId="2651B90B" w14:textId="77777777" w:rsidR="00040E0E" w:rsidRPr="00B37A02" w:rsidRDefault="00040E0E" w:rsidP="00C97F66">
      <w:pPr>
        <w:spacing w:after="0" w:line="240" w:lineRule="auto"/>
        <w:rPr>
          <w:rFonts w:ascii="Times New Roman" w:hAnsi="Times New Roman" w:cs="Times New Roman"/>
        </w:rPr>
      </w:pPr>
    </w:p>
    <w:p w14:paraId="2B8D3BDB" w14:textId="77777777" w:rsidR="00EC5DE2" w:rsidRPr="00B37A02" w:rsidRDefault="00BC5BDF" w:rsidP="00C97F66">
      <w:pPr>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sz w:val="24"/>
        </w:rPr>
        <w:t>Balstoties uz Ieteikuma “Ieguldījums bērnos” īstenošanas laikā gūto pieredzi, ir skaidrs, ka ar Eiropas Garantiju bērniem vien nepietiks, lai risinātu bērnu sociālās atstumtības problēmu.</w:t>
      </w:r>
    </w:p>
    <w:p w14:paraId="7F233C4A" w14:textId="77777777" w:rsidR="00040E0E" w:rsidRPr="00B37A02" w:rsidRDefault="00040E0E" w:rsidP="00C97F66">
      <w:pPr>
        <w:widowControl w:val="0"/>
        <w:spacing w:after="0" w:line="240" w:lineRule="auto"/>
        <w:jc w:val="both"/>
        <w:rPr>
          <w:rFonts w:ascii="Times New Roman" w:hAnsi="Times New Roman" w:cs="Times New Roman"/>
          <w:sz w:val="24"/>
          <w:szCs w:val="24"/>
        </w:rPr>
      </w:pPr>
    </w:p>
    <w:p w14:paraId="70C89235" w14:textId="5C7B3EC0" w:rsidR="00BC5BDF" w:rsidRPr="00B37A02" w:rsidRDefault="00BC5BDF" w:rsidP="00C97F66">
      <w:pPr>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sz w:val="24"/>
        </w:rPr>
        <w:t>Konkrētās darbības, kas jāveic saskaņā ar Eiropas Garantiju bērniem, būs svarīgas pašas par sevi. Tomēr, lai šīs darbības būtu pilnībā efektīvas, tās jāiekļauj plašākā stimulējošā politikas satvarā, kas vērsts uz sociālās atstumtības daudzdimensionālo būtību. Pierādījumi liecina, ka dalībvalstīs, kuras visveiksmīgāk nodrošina pamatpakalpojumu pieejamību bērniem, kam vajadzīga palīdzība, ir ieviests visaptverošs pamatnostādņu klāsts. Šis visaptverošais pamatnostādņu klāsts papildina stratēģisku un labi koordinētu pieeju, kas veicina integrētus iejaukšanās pasākumus valsts, reģionālā un vietējā līmenī. ES līmenī šo visaptverošo satvaru nodrošina Eiropas sociālo tiesību pīlārs un tā rīcības plāns.</w:t>
      </w:r>
    </w:p>
    <w:p w14:paraId="1F2DE061" w14:textId="77777777" w:rsidR="00040E0E" w:rsidRPr="00B37A02" w:rsidRDefault="00040E0E" w:rsidP="00C97F66">
      <w:pPr>
        <w:pStyle w:val="BodyText"/>
        <w:widowControl w:val="0"/>
        <w:spacing w:after="0"/>
        <w:rPr>
          <w:rFonts w:ascii="Times New Roman" w:eastAsiaTheme="minorEastAsia" w:hAnsi="Times New Roman"/>
          <w:sz w:val="24"/>
          <w:szCs w:val="24"/>
        </w:rPr>
      </w:pPr>
    </w:p>
    <w:p w14:paraId="43025D15" w14:textId="05CCDC58"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 xml:space="preserve">Ienākumu un pietiekamu resursu trūkums cienīgai dzīvei, nepietiekama piekļuve pamatpakalpojumiem, atstumtība no darba tirgus un sliktas kvalitātes darbs ir galvenie sociālās atstumtības cēloņi. Lai sniegtu risinājumus šīm problēmām, ir jāizstrādā integrētas pieejas, kas </w:t>
      </w:r>
      <w:r w:rsidRPr="00B37A02">
        <w:rPr>
          <w:rFonts w:ascii="Times New Roman" w:hAnsi="Times New Roman"/>
          <w:sz w:val="24"/>
        </w:rPr>
        <w:lastRenderedPageBreak/>
        <w:t>aptver visas attiecīgās politikas jomas. Tāpat nepieciešama aktīvāka koordinācija starp makroekonomikas un mikroekonomikas pamatnostādnēm un jāuzsver to politikas jomu izšķirošā loma, kuras neietilpst tradicionālās sociālās integrācijas pamatnostādnēs. Ar priekšlikumu: i) tiek atzīta nepieciešamība apkarot atstumtību visā politikas jomā; ii) dalībvalstis tiek aicinātas nodrošināt sociālās, izglītības, veselības, uztura un mājokļu politikas konsekvenci valsts, reģionālā un vietējā līmenī, kā arī iii) dalībvalstis tiek aicinātas padarīt šīs pamatnostādnes aktuālākas, lai atbalstītu visus bērnus, jo īpaši bērnus, kam vajadzīga palīdzība.</w:t>
      </w:r>
    </w:p>
    <w:p w14:paraId="7D2B12AB" w14:textId="77777777" w:rsidR="00040E0E" w:rsidRPr="00B37A02" w:rsidRDefault="00040E0E" w:rsidP="00C97F66">
      <w:pPr>
        <w:pStyle w:val="BodyText"/>
        <w:widowControl w:val="0"/>
        <w:spacing w:after="0"/>
        <w:rPr>
          <w:rFonts w:ascii="Times New Roman" w:hAnsi="Times New Roman"/>
          <w:sz w:val="24"/>
          <w:szCs w:val="24"/>
        </w:rPr>
      </w:pPr>
    </w:p>
    <w:p w14:paraId="6E35C222" w14:textId="3E05BCDC"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Kā minēts 3.6. punktā, nabadzība vai sociālā atstumtība mēdz būt izteiktāka attālās, lauku, mazāk labvēlīgās, pilsētu vai nodalītās teritorijās. Šajās teritorijās ir novērojamas specifiskas ekonomiskas un strukturālas problēmas, piemēram: i) mazāk nodarbinātības iespēju; ii) zems ienākumu līmenis; iii) zems izglītības līmenis; iv) zemas kvalitātes infrastruktūra, kā arī v) ierobežota piekļuve pakalpojumiem. Priekšlikumā dalībvalstis tiek aicinātas pievērsties sociālās atstumtības teritoriālajai dimensijai, ņemot vērā bērnu konkrētās vajadzības atbilstīgi īpašiem apstākļiem pilsētu, lauku, attālās un nodalītās teritorijās un pamatojoties uz integrētu un daudzdisciplīnu pieeju.</w:t>
      </w:r>
    </w:p>
    <w:p w14:paraId="3B862FF7" w14:textId="77777777" w:rsidR="00040E0E" w:rsidRPr="00B37A02" w:rsidRDefault="00040E0E" w:rsidP="00C97F66">
      <w:pPr>
        <w:pStyle w:val="BodyText"/>
        <w:widowControl w:val="0"/>
        <w:spacing w:after="0"/>
        <w:rPr>
          <w:rFonts w:ascii="Times New Roman" w:eastAsiaTheme="minorEastAsia" w:hAnsi="Times New Roman"/>
          <w:sz w:val="24"/>
          <w:szCs w:val="24"/>
        </w:rPr>
      </w:pPr>
    </w:p>
    <w:p w14:paraId="1D63B619" w14:textId="3015485F" w:rsidR="00EC5DE2" w:rsidRPr="00B37A02" w:rsidRDefault="00BC5BDF" w:rsidP="00C97F66">
      <w:pPr>
        <w:pStyle w:val="BodyText"/>
        <w:widowControl w:val="0"/>
        <w:spacing w:after="0"/>
        <w:rPr>
          <w:rFonts w:ascii="Times New Roman" w:eastAsiaTheme="minorEastAsia" w:hAnsi="Times New Roman"/>
          <w:sz w:val="24"/>
          <w:szCs w:val="24"/>
        </w:rPr>
      </w:pPr>
      <w:r w:rsidRPr="00B37A02">
        <w:rPr>
          <w:rFonts w:ascii="Times New Roman" w:hAnsi="Times New Roman"/>
          <w:sz w:val="24"/>
        </w:rPr>
        <w:t>Šo problēmu, ar kurām saskaras bērni, kam vajadzīga palīdzība, un viņu ģimenes, bieži vien ir daudz, un tās ir sarežģītas. Tomēr pakalpojumu sniegšana šiem bērniem un ģimenēm bieži vien ir sadrumstalota, un starp pakalpojumu sniedzējiem trūkst koordinācijas un sadarbības. Tādēļ priekšlikumā dalībvalstis tiek aicinātas ieviest efektīvus pasākumus, lai nodrošinātu koordinētu un integrētu pakalpojumu sniegšanu visos pārvaldes līmeņos. Ir ļoti svarīgi nodrošināt, lai pakalpojumi būtu izstrādāti un sniegti vienlīdzīgi un iekļaujoši, tādējādi izvairoties no stigmatizācijas un šķirošanas. Svarīgi ir arī tas, lai ar šiem pakalpojumiem īpaši tiktu sasniegti bērni un ģimenes, kurām palīdzība ir nepieciešama visvairāk.</w:t>
      </w:r>
    </w:p>
    <w:p w14:paraId="409A8888" w14:textId="77777777" w:rsidR="00040E0E" w:rsidRPr="00B37A02" w:rsidRDefault="00040E0E" w:rsidP="00C97F66">
      <w:pPr>
        <w:pStyle w:val="BodyText"/>
        <w:widowControl w:val="0"/>
        <w:spacing w:after="0"/>
        <w:rPr>
          <w:rFonts w:ascii="Times New Roman" w:hAnsi="Times New Roman"/>
          <w:sz w:val="24"/>
          <w:szCs w:val="24"/>
        </w:rPr>
      </w:pPr>
    </w:p>
    <w:p w14:paraId="3310330A" w14:textId="03749C6E"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Priekšlikumā ir atzīts, ka vecāku darba tirgus situācija ir vissvarīgākais aspekts, kas nosaka materiālo situāciju vidē, kurā bērns uzaug. Līdz ar to ir apstiprināts, ka pamatnostādnēm, kas sekmē to, ka vecāki vai aizbildņi saņem pienācīgus ienākumus, vai nu integrējoties darba tirgū, vai arī saņemot ienākumu atbalstu, ir izšķiroša nozīme.</w:t>
      </w:r>
    </w:p>
    <w:p w14:paraId="2BA1E554" w14:textId="77777777" w:rsidR="00040E0E" w:rsidRPr="00B37A02" w:rsidRDefault="00040E0E" w:rsidP="00C97F66">
      <w:pPr>
        <w:pStyle w:val="BodyText"/>
        <w:widowControl w:val="0"/>
        <w:spacing w:after="0"/>
        <w:rPr>
          <w:rFonts w:ascii="Times New Roman" w:hAnsi="Times New Roman"/>
          <w:sz w:val="24"/>
          <w:szCs w:val="24"/>
        </w:rPr>
      </w:pPr>
    </w:p>
    <w:p w14:paraId="4FB32361" w14:textId="4B485514" w:rsidR="00EC5DE2" w:rsidRPr="00B37A02" w:rsidRDefault="00040E0E" w:rsidP="00C97F66">
      <w:pPr>
        <w:pStyle w:val="Heading2"/>
        <w:keepNext w:val="0"/>
        <w:keepLines w:val="0"/>
        <w:widowControl w:val="0"/>
        <w:spacing w:before="0" w:line="240" w:lineRule="auto"/>
        <w:jc w:val="both"/>
        <w:rPr>
          <w:rFonts w:cs="Times New Roman"/>
          <w:sz w:val="24"/>
          <w:szCs w:val="28"/>
        </w:rPr>
      </w:pPr>
      <w:bookmarkStart w:id="240" w:name="_Toc62942392"/>
      <w:bookmarkStart w:id="241" w:name="_Toc63178112"/>
      <w:bookmarkStart w:id="242" w:name="_Toc63258865"/>
      <w:bookmarkStart w:id="243" w:name="_Toc63269668"/>
      <w:bookmarkStart w:id="244" w:name="_Toc63692771"/>
      <w:bookmarkStart w:id="245" w:name="_Toc63712850"/>
      <w:bookmarkStart w:id="246" w:name="_Toc63850080"/>
      <w:bookmarkStart w:id="247" w:name="_Toc63850298"/>
      <w:bookmarkStart w:id="248" w:name="_Toc63862438"/>
      <w:bookmarkStart w:id="249" w:name="_Toc64476349"/>
      <w:r w:rsidRPr="00B37A02">
        <w:rPr>
          <w:rFonts w:cs="Times New Roman"/>
          <w:sz w:val="24"/>
        </w:rPr>
        <w:t>5.4. Saistība ar citām Komisijas iniciatīvām</w:t>
      </w:r>
      <w:bookmarkEnd w:id="240"/>
      <w:bookmarkEnd w:id="241"/>
      <w:bookmarkEnd w:id="242"/>
      <w:bookmarkEnd w:id="243"/>
      <w:bookmarkEnd w:id="244"/>
      <w:bookmarkEnd w:id="245"/>
      <w:bookmarkEnd w:id="246"/>
      <w:bookmarkEnd w:id="247"/>
      <w:bookmarkEnd w:id="248"/>
      <w:bookmarkEnd w:id="249"/>
    </w:p>
    <w:p w14:paraId="5BCA2161" w14:textId="77777777" w:rsidR="00040E0E" w:rsidRPr="00B37A02" w:rsidRDefault="00040E0E" w:rsidP="00C97F66">
      <w:pPr>
        <w:spacing w:after="0" w:line="240" w:lineRule="auto"/>
        <w:rPr>
          <w:rFonts w:ascii="Times New Roman" w:hAnsi="Times New Roman" w:cs="Times New Roman"/>
        </w:rPr>
      </w:pPr>
    </w:p>
    <w:p w14:paraId="4B43D533" w14:textId="77777777" w:rsidR="00EC5DE2" w:rsidRPr="00B37A02" w:rsidRDefault="00BC5BDF" w:rsidP="00C97F66">
      <w:pPr>
        <w:widowControl w:val="0"/>
        <w:spacing w:after="0" w:line="240" w:lineRule="auto"/>
        <w:jc w:val="both"/>
        <w:textAlignment w:val="baseline"/>
        <w:rPr>
          <w:rFonts w:ascii="Times New Roman" w:eastAsia="Times New Roman" w:hAnsi="Times New Roman" w:cs="Times New Roman"/>
          <w:sz w:val="24"/>
          <w:szCs w:val="24"/>
          <w:shd w:val="clear" w:color="auto" w:fill="FFFFFF"/>
        </w:rPr>
      </w:pPr>
      <w:r w:rsidRPr="00B37A02">
        <w:rPr>
          <w:rFonts w:ascii="Times New Roman" w:hAnsi="Times New Roman" w:cs="Times New Roman"/>
          <w:sz w:val="24"/>
          <w:shd w:val="clear" w:color="auto" w:fill="FFFFFF"/>
        </w:rPr>
        <w:t xml:space="preserve">Priekšlikums izriet no </w:t>
      </w:r>
      <w:r w:rsidRPr="00B37A02">
        <w:rPr>
          <w:rFonts w:ascii="Times New Roman" w:hAnsi="Times New Roman" w:cs="Times New Roman"/>
          <w:b/>
          <w:bCs/>
          <w:sz w:val="24"/>
          <w:shd w:val="clear" w:color="auto" w:fill="FFFFFF"/>
        </w:rPr>
        <w:t>Eiropas sociālo tiesību pīlāra</w:t>
      </w:r>
      <w:r w:rsidRPr="00B37A02">
        <w:rPr>
          <w:rFonts w:ascii="Times New Roman" w:hAnsi="Times New Roman" w:cs="Times New Roman"/>
          <w:sz w:val="24"/>
          <w:shd w:val="clear" w:color="auto" w:fill="FFFFFF"/>
        </w:rPr>
        <w:t xml:space="preserve"> un tā rīcības plāna, un tas veido daļu no plašāka satvara nabadzības vai sociālās atstumtības apkarošanai. Tas ļaus sasniegt Eiropas sociālo tiesību pīlāra rīcības plānā noteikto mērķi, proti, līdz 2030. gadam paglābt no nabadzības vai sociālās atstumtības 15 miljonus cilvēku, tostarp 5 miljonus bērnu.</w:t>
      </w:r>
    </w:p>
    <w:p w14:paraId="39BC56A7" w14:textId="77777777" w:rsidR="00040E0E" w:rsidRPr="00B37A02" w:rsidRDefault="00040E0E" w:rsidP="00C97F66">
      <w:pPr>
        <w:widowControl w:val="0"/>
        <w:spacing w:after="0" w:line="240" w:lineRule="auto"/>
        <w:jc w:val="both"/>
        <w:rPr>
          <w:rFonts w:ascii="Times New Roman" w:eastAsia="Times New Roman" w:hAnsi="Times New Roman" w:cs="Times New Roman"/>
          <w:sz w:val="24"/>
          <w:szCs w:val="24"/>
          <w:shd w:val="clear" w:color="auto" w:fill="FFFFFF"/>
          <w:lang w:eastAsia="en-GB"/>
        </w:rPr>
      </w:pPr>
    </w:p>
    <w:p w14:paraId="0BE849BC" w14:textId="3AB5A565" w:rsidR="00BC5BDF" w:rsidRPr="00B37A02" w:rsidRDefault="00BC5BDF" w:rsidP="00C97F66">
      <w:pPr>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sz w:val="24"/>
          <w:shd w:val="clear" w:color="auto" w:fill="FFFFFF"/>
        </w:rPr>
        <w:t xml:space="preserve">Priekšlikums papildina </w:t>
      </w:r>
      <w:r w:rsidRPr="00B37A02">
        <w:rPr>
          <w:rFonts w:ascii="Times New Roman" w:hAnsi="Times New Roman" w:cs="Times New Roman"/>
          <w:b/>
          <w:bCs/>
          <w:sz w:val="24"/>
          <w:shd w:val="clear" w:color="auto" w:fill="FFFFFF"/>
        </w:rPr>
        <w:t>ES Bērnu tiesību stratēģiju</w:t>
      </w:r>
      <w:r w:rsidRPr="00B37A02">
        <w:rPr>
          <w:rFonts w:ascii="Times New Roman" w:hAnsi="Times New Roman" w:cs="Times New Roman"/>
          <w:sz w:val="24"/>
          <w:shd w:val="clear" w:color="auto" w:fill="FFFFFF"/>
        </w:rPr>
        <w:t>,</w:t>
      </w:r>
      <w:r w:rsidRPr="00B37A02">
        <w:rPr>
          <w:rFonts w:ascii="Times New Roman" w:hAnsi="Times New Roman" w:cs="Times New Roman"/>
          <w:sz w:val="24"/>
        </w:rPr>
        <w:t xml:space="preserve"> ar kuru Komisijas pašreizējās un turpmākās iniciatīvas saistībā ar bērnu tiesībām tiek apvienotas vienā saskaņotā politikas satvarā gan iekšējās, gan ārējās darbībās. Stratēģija nodrošinās bērnu tiesību turpmāku integrēšanu visās Komisijas atbildības jomās. Tā arī stiprinās Komisijas darbu šādās jomās: i) bērnu līdzdalība ES politiskajā un demokrātiskajā dzīvē; ii) sociālekonomiskā iekļaušana, izglītība un veselība; iii) pret bērniem vērstas vardarbības apkarošana un bērnu aizsardzības nodrošināšana; iv) bērniem draudzīga tiesu sistēma; v) digitāla un informācijas sabiedrība, kā arī vi) globālā dimensija. Sociālekonomiskā iekļaušana ir tieši saistīta ar Eiropas Garantiju bērniem. Viens no stratēģijas mērķiem ir apkarot bērnu diskrimināciju, tostarp viņu vai viņu vecāku dzimuma vai seksuālās orientācijas dēļ. Stratēģija ir vērsta uz visu jauno un pašreizējo ES tiesību aktu, politikas un finanšu instrumentu apvienošanu vienā visaptverošā satvarā.</w:t>
      </w:r>
    </w:p>
    <w:p w14:paraId="1DD71D10" w14:textId="77777777" w:rsidR="00040E0E" w:rsidRPr="00B37A02" w:rsidRDefault="00040E0E" w:rsidP="00C97F66">
      <w:pPr>
        <w:widowControl w:val="0"/>
        <w:spacing w:after="0" w:line="240" w:lineRule="auto"/>
        <w:jc w:val="both"/>
        <w:textAlignment w:val="baseline"/>
        <w:rPr>
          <w:rFonts w:ascii="Times New Roman" w:eastAsia="Times New Roman" w:hAnsi="Times New Roman" w:cs="Times New Roman"/>
          <w:sz w:val="24"/>
          <w:szCs w:val="24"/>
          <w:shd w:val="clear" w:color="auto" w:fill="FFFFFF"/>
          <w:lang w:eastAsia="en-GB"/>
        </w:rPr>
      </w:pPr>
    </w:p>
    <w:p w14:paraId="1BDF745F" w14:textId="06C2465D" w:rsidR="002E6D8F" w:rsidRDefault="00BC5BDF" w:rsidP="008B0989">
      <w:pPr>
        <w:keepNext/>
        <w:keepLines/>
        <w:widowControl w:val="0"/>
        <w:spacing w:after="0" w:line="240" w:lineRule="auto"/>
        <w:jc w:val="both"/>
        <w:textAlignment w:val="baseline"/>
        <w:rPr>
          <w:rFonts w:ascii="Times New Roman" w:hAnsi="Times New Roman" w:cs="Times New Roman"/>
          <w:b/>
          <w:bCs/>
          <w:sz w:val="24"/>
          <w:shd w:val="clear" w:color="auto" w:fill="FFFFFF"/>
        </w:rPr>
      </w:pPr>
      <w:r w:rsidRPr="00B37A02">
        <w:rPr>
          <w:rFonts w:ascii="Times New Roman" w:hAnsi="Times New Roman" w:cs="Times New Roman"/>
          <w:sz w:val="24"/>
          <w:shd w:val="clear" w:color="auto" w:fill="FFFFFF"/>
        </w:rPr>
        <w:lastRenderedPageBreak/>
        <w:t xml:space="preserve">Eiropas Garantija bērniem arī papildina </w:t>
      </w:r>
      <w:r w:rsidRPr="00B37A02">
        <w:rPr>
          <w:rFonts w:ascii="Times New Roman" w:hAnsi="Times New Roman" w:cs="Times New Roman"/>
          <w:b/>
          <w:bCs/>
          <w:sz w:val="24"/>
          <w:shd w:val="clear" w:color="auto" w:fill="FFFFFF"/>
        </w:rPr>
        <w:t>Personu ar invaliditāti tiesību stratēģiju</w:t>
      </w:r>
    </w:p>
    <w:p w14:paraId="69616D9D" w14:textId="720A9ABF" w:rsidR="00BC5BDF" w:rsidRPr="00B37A02" w:rsidRDefault="00BC5BDF" w:rsidP="008B0989">
      <w:pPr>
        <w:keepNext/>
        <w:keepLines/>
        <w:widowControl w:val="0"/>
        <w:spacing w:after="0" w:line="240" w:lineRule="auto"/>
        <w:jc w:val="both"/>
        <w:textAlignment w:val="baseline"/>
        <w:rPr>
          <w:rFonts w:ascii="Times New Roman" w:eastAsia="Times New Roman" w:hAnsi="Times New Roman" w:cs="Times New Roman"/>
          <w:sz w:val="24"/>
          <w:szCs w:val="24"/>
          <w:shd w:val="clear" w:color="auto" w:fill="FFFFFF"/>
        </w:rPr>
      </w:pPr>
      <w:r w:rsidRPr="00B37A02">
        <w:rPr>
          <w:rFonts w:ascii="Times New Roman" w:hAnsi="Times New Roman" w:cs="Times New Roman"/>
          <w:b/>
          <w:bCs/>
          <w:sz w:val="24"/>
          <w:shd w:val="clear" w:color="auto" w:fill="FFFFFF"/>
        </w:rPr>
        <w:t>2021.–2030. gadam</w:t>
      </w:r>
      <w:r w:rsidRPr="00B37A02">
        <w:rPr>
          <w:rFonts w:ascii="Times New Roman" w:hAnsi="Times New Roman" w:cs="Times New Roman"/>
          <w:sz w:val="24"/>
          <w:shd w:val="clear" w:color="auto" w:fill="FFFFFF"/>
        </w:rPr>
        <w:t>.</w:t>
      </w:r>
      <w:r w:rsidRPr="00B37A02">
        <w:rPr>
          <w:rStyle w:val="FootnoteReference"/>
          <w:rFonts w:ascii="Times New Roman" w:eastAsia="Times New Roman" w:hAnsi="Times New Roman" w:cs="Times New Roman"/>
          <w:bCs/>
          <w:sz w:val="24"/>
          <w:szCs w:val="24"/>
          <w:shd w:val="clear" w:color="auto" w:fill="FFFFFF"/>
          <w:lang w:eastAsia="en-GB"/>
        </w:rPr>
        <w:footnoteReference w:id="184"/>
      </w:r>
      <w:r w:rsidRPr="00B37A02">
        <w:rPr>
          <w:rFonts w:ascii="Times New Roman" w:hAnsi="Times New Roman" w:cs="Times New Roman"/>
          <w:b/>
          <w:sz w:val="24"/>
          <w:shd w:val="clear" w:color="auto" w:fill="FFFFFF"/>
        </w:rPr>
        <w:t xml:space="preserve"> </w:t>
      </w:r>
      <w:r w:rsidRPr="00B37A02">
        <w:rPr>
          <w:rFonts w:ascii="Times New Roman" w:hAnsi="Times New Roman" w:cs="Times New Roman"/>
          <w:sz w:val="24"/>
          <w:shd w:val="clear" w:color="auto" w:fill="FFFFFF"/>
        </w:rPr>
        <w:t>Šīs stratēģijas mērķis ir sekmēt personu ar invaliditāti sociālo un ekonomisko iekļaušanu sabiedrībā un pilnīgu viņu tiesību ievērošanu, vienlaicīgi apmierinot arī bērnu ar invaliditāti vajadzības.</w:t>
      </w:r>
    </w:p>
    <w:p w14:paraId="0EA4420A" w14:textId="77777777" w:rsidR="00040E0E" w:rsidRPr="00B37A02" w:rsidRDefault="00040E0E" w:rsidP="00C97F66">
      <w:pPr>
        <w:widowControl w:val="0"/>
        <w:spacing w:after="0" w:line="240" w:lineRule="auto"/>
        <w:jc w:val="both"/>
        <w:rPr>
          <w:rFonts w:ascii="Times New Roman" w:hAnsi="Times New Roman" w:cs="Times New Roman"/>
          <w:sz w:val="24"/>
          <w:szCs w:val="24"/>
          <w:shd w:val="clear" w:color="auto" w:fill="FFFFFF"/>
        </w:rPr>
      </w:pPr>
    </w:p>
    <w:p w14:paraId="42980C58" w14:textId="77777777" w:rsidR="00B327F9" w:rsidRDefault="00BC5BDF" w:rsidP="00C97F66">
      <w:pPr>
        <w:widowControl w:val="0"/>
        <w:spacing w:after="0" w:line="240" w:lineRule="auto"/>
        <w:jc w:val="both"/>
        <w:rPr>
          <w:rFonts w:ascii="Times New Roman" w:hAnsi="Times New Roman" w:cs="Times New Roman"/>
          <w:b/>
          <w:bCs/>
          <w:sz w:val="24"/>
        </w:rPr>
      </w:pPr>
      <w:r w:rsidRPr="00B37A02">
        <w:rPr>
          <w:rFonts w:ascii="Times New Roman" w:hAnsi="Times New Roman" w:cs="Times New Roman"/>
          <w:sz w:val="24"/>
          <w:shd w:val="clear" w:color="auto" w:fill="FFFFFF"/>
        </w:rPr>
        <w:t>Priekšlikums atbilst</w:t>
      </w:r>
      <w:r w:rsidRPr="00B37A02">
        <w:rPr>
          <w:rFonts w:ascii="Times New Roman" w:hAnsi="Times New Roman" w:cs="Times New Roman"/>
          <w:sz w:val="24"/>
        </w:rPr>
        <w:t xml:space="preserve"> Padomes </w:t>
      </w:r>
      <w:r w:rsidRPr="00B37A02">
        <w:rPr>
          <w:rFonts w:ascii="Times New Roman" w:hAnsi="Times New Roman" w:cs="Times New Roman"/>
          <w:b/>
          <w:bCs/>
          <w:sz w:val="24"/>
        </w:rPr>
        <w:t>Ieteikumam par kvalitatīvām agrīnās pirmsskolas izglītības un aprūpes sistēmām</w:t>
      </w:r>
      <w:r w:rsidRPr="00B37A02">
        <w:rPr>
          <w:rFonts w:ascii="Times New Roman" w:hAnsi="Times New Roman" w:cs="Times New Roman"/>
          <w:sz w:val="24"/>
        </w:rPr>
        <w:t>, kas pieņemts 2019. gada 22. maijā.</w:t>
      </w:r>
      <w:r w:rsidRPr="00B37A02">
        <w:rPr>
          <w:rFonts w:ascii="Times New Roman" w:hAnsi="Times New Roman" w:cs="Times New Roman"/>
          <w:sz w:val="24"/>
          <w:szCs w:val="24"/>
          <w:vertAlign w:val="superscript"/>
        </w:rPr>
        <w:footnoteReference w:id="185"/>
      </w:r>
      <w:r w:rsidRPr="00B37A02">
        <w:rPr>
          <w:rFonts w:ascii="Times New Roman" w:hAnsi="Times New Roman" w:cs="Times New Roman"/>
          <w:sz w:val="24"/>
        </w:rPr>
        <w:t xml:space="preserve"> Turklāt tas atbilst arī Komisijas paziņojumam “Eiropas Izglītības telpas izveide līdz 2025. gadam”, kas pieņemts 2020. gada 30. septembrī,</w:t>
      </w:r>
      <w:r w:rsidRPr="00B37A02">
        <w:rPr>
          <w:rStyle w:val="FootnoteReference"/>
          <w:rFonts w:ascii="Times New Roman" w:hAnsi="Times New Roman" w:cs="Times New Roman"/>
          <w:sz w:val="24"/>
          <w:szCs w:val="24"/>
        </w:rPr>
        <w:footnoteReference w:id="186"/>
      </w:r>
      <w:r w:rsidRPr="00B37A02">
        <w:rPr>
          <w:rFonts w:ascii="Times New Roman" w:hAnsi="Times New Roman" w:cs="Times New Roman"/>
          <w:sz w:val="24"/>
        </w:rPr>
        <w:t xml:space="preserve"> un sniedza informāciju par Padomes Rezolūciju par </w:t>
      </w:r>
      <w:r w:rsidRPr="00B37A02">
        <w:rPr>
          <w:rFonts w:ascii="Times New Roman" w:hAnsi="Times New Roman" w:cs="Times New Roman"/>
          <w:b/>
          <w:bCs/>
          <w:sz w:val="24"/>
        </w:rPr>
        <w:t>stratēģisku satvaru Eiropas sadarbībai izglītības un mācību jomā ceļā uz Eiropas izglītības telpu un turpmāk</w:t>
      </w:r>
    </w:p>
    <w:p w14:paraId="31AD163E" w14:textId="145CA060" w:rsidR="00EC5DE2" w:rsidRPr="00B37A02" w:rsidRDefault="00BC5BDF" w:rsidP="00C97F66">
      <w:pPr>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b/>
          <w:bCs/>
          <w:sz w:val="24"/>
        </w:rPr>
        <w:t>(2021–2030)</w:t>
      </w:r>
      <w:r w:rsidRPr="00B37A02">
        <w:rPr>
          <w:rFonts w:ascii="Times New Roman" w:hAnsi="Times New Roman" w:cs="Times New Roman"/>
          <w:sz w:val="24"/>
        </w:rPr>
        <w:t>.</w:t>
      </w:r>
      <w:r w:rsidRPr="00B37A02">
        <w:rPr>
          <w:rStyle w:val="FootnoteReference"/>
          <w:rFonts w:ascii="Times New Roman" w:hAnsi="Times New Roman" w:cs="Times New Roman"/>
          <w:b/>
          <w:sz w:val="24"/>
          <w:szCs w:val="24"/>
        </w:rPr>
        <w:footnoteReference w:id="187"/>
      </w:r>
      <w:r w:rsidRPr="00B37A02">
        <w:rPr>
          <w:rFonts w:ascii="Times New Roman" w:hAnsi="Times New Roman" w:cs="Times New Roman"/>
          <w:sz w:val="24"/>
        </w:rPr>
        <w:t xml:space="preserve"> Rezolūcijā viena no stratēģiskajām prioritātēm ir uzlabot kvalitāti, taisnīgumu, iekļautību un panākumus izglītībā un mācībās, un tajā ir izvirzīti šādi ES mērķi: i) panākt, ka agrīnajā pirmsskolas izglītībā un aprūpē ir iesaistīti 96 %</w:t>
      </w:r>
      <w:r w:rsidRPr="00B37A02">
        <w:rPr>
          <w:rStyle w:val="FootnoteReference"/>
          <w:rFonts w:ascii="Times New Roman" w:hAnsi="Times New Roman" w:cs="Times New Roman"/>
          <w:sz w:val="24"/>
          <w:szCs w:val="24"/>
        </w:rPr>
        <w:footnoteReference w:id="188"/>
      </w:r>
      <w:r w:rsidRPr="00B37A02">
        <w:rPr>
          <w:rFonts w:ascii="Times New Roman" w:hAnsi="Times New Roman" w:cs="Times New Roman"/>
          <w:sz w:val="24"/>
        </w:rPr>
        <w:t xml:space="preserve"> bērnu vecumā no 3 gadiem līdz vecumam, kad jāsāk obligātā pamatskolas izglītība, kā arī ii) panākt, ka izglītību un mācības priekšlaicīgi p</w:t>
      </w:r>
      <w:r w:rsidR="00B84450">
        <w:rPr>
          <w:rFonts w:ascii="Times New Roman" w:hAnsi="Times New Roman" w:cs="Times New Roman"/>
          <w:sz w:val="24"/>
        </w:rPr>
        <w:t>ārtraukušo</w:t>
      </w:r>
      <w:r w:rsidRPr="00B37A02">
        <w:rPr>
          <w:rFonts w:ascii="Times New Roman" w:hAnsi="Times New Roman" w:cs="Times New Roman"/>
          <w:sz w:val="24"/>
        </w:rPr>
        <w:t xml:space="preserve"> īpatsvars ir mazāks par 9 %.</w:t>
      </w:r>
    </w:p>
    <w:p w14:paraId="0FB377DC" w14:textId="77777777" w:rsidR="00040E0E" w:rsidRPr="00B37A02" w:rsidRDefault="00040E0E" w:rsidP="00C97F66">
      <w:pPr>
        <w:widowControl w:val="0"/>
        <w:spacing w:after="0" w:line="240" w:lineRule="auto"/>
        <w:jc w:val="both"/>
        <w:rPr>
          <w:rFonts w:ascii="Times New Roman" w:hAnsi="Times New Roman" w:cs="Times New Roman"/>
          <w:sz w:val="24"/>
          <w:szCs w:val="24"/>
        </w:rPr>
      </w:pPr>
    </w:p>
    <w:p w14:paraId="513430DA" w14:textId="5A42EFF0" w:rsidR="00B327F9" w:rsidRDefault="00BC5BDF" w:rsidP="00C97F66">
      <w:pPr>
        <w:widowControl w:val="0"/>
        <w:spacing w:after="0" w:line="240" w:lineRule="auto"/>
        <w:jc w:val="both"/>
        <w:rPr>
          <w:rFonts w:ascii="Times New Roman" w:hAnsi="Times New Roman" w:cs="Times New Roman"/>
          <w:sz w:val="24"/>
        </w:rPr>
      </w:pPr>
      <w:r w:rsidRPr="00B37A02">
        <w:rPr>
          <w:rFonts w:ascii="Times New Roman" w:hAnsi="Times New Roman" w:cs="Times New Roman"/>
          <w:sz w:val="24"/>
        </w:rPr>
        <w:t xml:space="preserve">2020. gada 5. martā Komisija pieņēma </w:t>
      </w:r>
      <w:r w:rsidRPr="00B37A02">
        <w:rPr>
          <w:rFonts w:ascii="Times New Roman" w:hAnsi="Times New Roman" w:cs="Times New Roman"/>
          <w:b/>
          <w:bCs/>
          <w:sz w:val="24"/>
        </w:rPr>
        <w:t>Dzimumu līdztiesības stratēģiju</w:t>
      </w:r>
    </w:p>
    <w:p w14:paraId="5AFECDD0" w14:textId="5E1E7325" w:rsidR="00EC5DE2" w:rsidRPr="00B37A02" w:rsidRDefault="00BC5BDF" w:rsidP="00C97F66">
      <w:pPr>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b/>
          <w:bCs/>
          <w:sz w:val="24"/>
        </w:rPr>
        <w:t>2020.–2025. gadam</w:t>
      </w:r>
      <w:r w:rsidRPr="00B37A02">
        <w:rPr>
          <w:rFonts w:ascii="Times New Roman" w:hAnsi="Times New Roman" w:cs="Times New Roman"/>
          <w:sz w:val="24"/>
        </w:rPr>
        <w:t>.</w:t>
      </w:r>
      <w:r w:rsidRPr="00B37A02">
        <w:rPr>
          <w:rStyle w:val="FootnoteReference"/>
          <w:rFonts w:ascii="Times New Roman" w:hAnsi="Times New Roman" w:cs="Times New Roman"/>
          <w:sz w:val="24"/>
          <w:szCs w:val="24"/>
        </w:rPr>
        <w:footnoteReference w:id="189"/>
      </w:r>
      <w:r w:rsidRPr="00B37A02">
        <w:rPr>
          <w:rFonts w:ascii="Times New Roman" w:hAnsi="Times New Roman" w:cs="Times New Roman"/>
          <w:sz w:val="24"/>
        </w:rPr>
        <w:t xml:space="preserve"> Stratēģijas mērķis tostarp ir cīnīties pret dzimumu stereotipiem, kas ietekmē meiteņu un zēnu labklājību un iespējas visā to daudzveidībā jau agrīnā vecumā. Komisija tajā arī rosina pārskatīt Barselonas mērķus, lai nodrošinātu līdzdalību agrīnās pirmsskolas izglītības un aprūpes jomā. Stratēģija arī sekmē pilnvērtīgu ekonomisko iespēju nodrošināšanu sievietēm un vienlīdzīgu neapmaksāta aprūpes darba, tostarp bērnu aprūpes, sadali starp sievietēm un vīriešiem. Kamēr vien sievietēm būs nesamērīgs slogs saistībā ar bērnu audzināšanu, dzimumu līdztiesības un bērnu sociālās iekļaušanas mērķi joprojām būs cieši savstarpēji saistīti.</w:t>
      </w:r>
    </w:p>
    <w:p w14:paraId="21DD5011" w14:textId="77777777" w:rsidR="00040E0E" w:rsidRPr="00B37A02" w:rsidRDefault="00040E0E" w:rsidP="00C97F66">
      <w:pPr>
        <w:widowControl w:val="0"/>
        <w:spacing w:after="0" w:line="240" w:lineRule="auto"/>
        <w:jc w:val="both"/>
        <w:rPr>
          <w:rFonts w:ascii="Times New Roman" w:hAnsi="Times New Roman" w:cs="Times New Roman"/>
          <w:sz w:val="24"/>
          <w:szCs w:val="24"/>
        </w:rPr>
      </w:pPr>
    </w:p>
    <w:p w14:paraId="3B408772" w14:textId="0C7C9142" w:rsidR="00EC5DE2" w:rsidRPr="00B37A02" w:rsidRDefault="00BC5BDF" w:rsidP="00C97F66">
      <w:pPr>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sz w:val="24"/>
        </w:rPr>
        <w:t>2020. gada 1. jūlijā Komisija izdeva paziņojumu “Jauniešu nodarbinātības atbalsts – tilts uz darbvietām nākamajai paaudzei”</w:t>
      </w:r>
      <w:r w:rsidRPr="00B37A02">
        <w:rPr>
          <w:rFonts w:ascii="Times New Roman" w:hAnsi="Times New Roman" w:cs="Times New Roman"/>
          <w:sz w:val="24"/>
          <w:szCs w:val="24"/>
          <w:vertAlign w:val="superscript"/>
        </w:rPr>
        <w:footnoteReference w:id="190"/>
      </w:r>
      <w:r w:rsidRPr="00B37A02">
        <w:rPr>
          <w:rFonts w:ascii="Times New Roman" w:hAnsi="Times New Roman" w:cs="Times New Roman"/>
          <w:sz w:val="24"/>
        </w:rPr>
        <w:t xml:space="preserve"> un priekšlikumu Padomes </w:t>
      </w:r>
      <w:r w:rsidRPr="00B37A02">
        <w:rPr>
          <w:rFonts w:ascii="Times New Roman" w:hAnsi="Times New Roman" w:cs="Times New Roman"/>
          <w:b/>
          <w:bCs/>
          <w:sz w:val="24"/>
        </w:rPr>
        <w:t>Ieteikumam “Tilts uz nodarbinātību – Garantijas jauniešiem pastiprināšana”</w:t>
      </w:r>
      <w:r w:rsidRPr="00B37A02">
        <w:rPr>
          <w:rFonts w:ascii="Times New Roman" w:hAnsi="Times New Roman" w:cs="Times New Roman"/>
          <w:sz w:val="24"/>
        </w:rPr>
        <w:t>, ko Padome pieņēma 2020. gada 30. oktobrī.</w:t>
      </w:r>
      <w:r w:rsidRPr="00B37A02">
        <w:rPr>
          <w:rStyle w:val="FootnoteReference"/>
          <w:rFonts w:ascii="Times New Roman" w:hAnsi="Times New Roman" w:cs="Times New Roman"/>
          <w:sz w:val="24"/>
          <w:szCs w:val="24"/>
        </w:rPr>
        <w:footnoteReference w:id="191"/>
      </w:r>
      <w:r w:rsidRPr="00B37A02">
        <w:rPr>
          <w:rFonts w:ascii="Times New Roman" w:hAnsi="Times New Roman" w:cs="Times New Roman"/>
          <w:sz w:val="24"/>
        </w:rPr>
        <w:t xml:space="preserve"> Ieteikuma mērķis ir nodrošināt, ka visi jaunieši, kas jaunāki par 30 gadiem, četru mēnešu laikā pēc kļūšanas par bezdarbniekiem vai formālās izglītības beigšanas saņem kvalitatīvu darba, tālākizglītības, māceklības vai stažēšanās piedāvājumu.</w:t>
      </w:r>
    </w:p>
    <w:p w14:paraId="63470D01" w14:textId="77777777" w:rsidR="00040E0E" w:rsidRPr="00B37A02" w:rsidRDefault="00040E0E" w:rsidP="00C97F66">
      <w:pPr>
        <w:widowControl w:val="0"/>
        <w:spacing w:after="0" w:line="240" w:lineRule="auto"/>
        <w:jc w:val="both"/>
        <w:textAlignment w:val="baseline"/>
        <w:rPr>
          <w:rFonts w:ascii="Times New Roman" w:eastAsia="Times New Roman" w:hAnsi="Times New Roman" w:cs="Times New Roman"/>
          <w:sz w:val="24"/>
          <w:szCs w:val="24"/>
          <w:shd w:val="clear" w:color="auto" w:fill="FFFFFF"/>
          <w:lang w:eastAsia="en-GB"/>
        </w:rPr>
      </w:pPr>
    </w:p>
    <w:p w14:paraId="492F76A9" w14:textId="77777777" w:rsidR="002E6D8F" w:rsidRDefault="00BC5BDF" w:rsidP="008B0989">
      <w:pPr>
        <w:keepNext/>
        <w:keepLines/>
        <w:widowControl w:val="0"/>
        <w:spacing w:after="0" w:line="240" w:lineRule="auto"/>
        <w:jc w:val="both"/>
        <w:textAlignment w:val="baseline"/>
        <w:rPr>
          <w:rFonts w:ascii="Times New Roman" w:hAnsi="Times New Roman" w:cs="Times New Roman"/>
          <w:b/>
          <w:bCs/>
          <w:sz w:val="24"/>
          <w:shd w:val="clear" w:color="auto" w:fill="FFFFFF"/>
        </w:rPr>
      </w:pPr>
      <w:r w:rsidRPr="00B37A02">
        <w:rPr>
          <w:rFonts w:ascii="Times New Roman" w:hAnsi="Times New Roman" w:cs="Times New Roman"/>
          <w:sz w:val="24"/>
          <w:shd w:val="clear" w:color="auto" w:fill="FFFFFF"/>
        </w:rPr>
        <w:lastRenderedPageBreak/>
        <w:t xml:space="preserve">2020. gada 19. septembrī Komisija pieņēma </w:t>
      </w:r>
      <w:r w:rsidRPr="00B37A02">
        <w:rPr>
          <w:rFonts w:ascii="Times New Roman" w:hAnsi="Times New Roman" w:cs="Times New Roman"/>
          <w:b/>
          <w:bCs/>
          <w:sz w:val="24"/>
          <w:shd w:val="clear" w:color="auto" w:fill="FFFFFF"/>
        </w:rPr>
        <w:t>ES rasisma apkarošanas rīcības plānu</w:t>
      </w:r>
    </w:p>
    <w:p w14:paraId="6DF17239" w14:textId="60B98BA7" w:rsidR="00EC5DE2" w:rsidRPr="00B37A02" w:rsidRDefault="00BC5BDF" w:rsidP="008B0989">
      <w:pPr>
        <w:keepNext/>
        <w:keepLines/>
        <w:widowControl w:val="0"/>
        <w:spacing w:after="0" w:line="240" w:lineRule="auto"/>
        <w:jc w:val="both"/>
        <w:textAlignment w:val="baseline"/>
        <w:rPr>
          <w:rFonts w:ascii="Times New Roman" w:eastAsia="Times New Roman" w:hAnsi="Times New Roman" w:cs="Times New Roman"/>
          <w:sz w:val="24"/>
          <w:szCs w:val="24"/>
          <w:shd w:val="clear" w:color="auto" w:fill="FFFFFF"/>
        </w:rPr>
      </w:pPr>
      <w:r w:rsidRPr="00B37A02">
        <w:rPr>
          <w:rFonts w:ascii="Times New Roman" w:hAnsi="Times New Roman" w:cs="Times New Roman"/>
          <w:b/>
          <w:bCs/>
          <w:sz w:val="24"/>
          <w:shd w:val="clear" w:color="auto" w:fill="FFFFFF"/>
        </w:rPr>
        <w:t>2020.–2025. gadam</w:t>
      </w:r>
      <w:r w:rsidRPr="00B37A02">
        <w:rPr>
          <w:rFonts w:ascii="Times New Roman" w:hAnsi="Times New Roman" w:cs="Times New Roman"/>
          <w:sz w:val="24"/>
          <w:shd w:val="clear" w:color="auto" w:fill="FFFFFF"/>
        </w:rPr>
        <w:t>.</w:t>
      </w:r>
      <w:r w:rsidRPr="00B37A02">
        <w:rPr>
          <w:rStyle w:val="FootnoteReference"/>
          <w:rFonts w:ascii="Times New Roman" w:eastAsia="Times New Roman" w:hAnsi="Times New Roman" w:cs="Times New Roman"/>
          <w:sz w:val="24"/>
          <w:szCs w:val="24"/>
          <w:shd w:val="clear" w:color="auto" w:fill="FFFFFF"/>
          <w:lang w:eastAsia="en-GB"/>
        </w:rPr>
        <w:footnoteReference w:id="192"/>
      </w:r>
      <w:r w:rsidRPr="00B37A02">
        <w:rPr>
          <w:rFonts w:ascii="Times New Roman" w:hAnsi="Times New Roman" w:cs="Times New Roman"/>
          <w:sz w:val="24"/>
          <w:shd w:val="clear" w:color="auto" w:fill="FFFFFF"/>
        </w:rPr>
        <w:t xml:space="preserve"> Šis rīcības plāns paredz apkarot rasismu, izmantojot politiku un finansēšanas programmas tādās jomās kā nodarbinātība, mājoklis un piekļuve veselības aprūpei un izglītībai. Ar to tiek sekmēti pasākumi, lai nodrošinātu, ka: i) bērniem ar minoritāšu rasi vai etnisko piederību jābūt vienlīdzīgai piekļuvei izglītībai un ka ii) skolotājiem ir jāapgūst prasme strādāt ar visiem bērniem un ņemt vērā dažādas izcelsmes skolēnu vajadzības. Tas arī paredz sagatavot Komisijas ziņojumu par ES Rasu vienlīdzības direktīvas piemērošanu, ņemot vērā, ka šī direktīva aizliedz diskrimināciju etniskās piederības vai rases dēļ, tostarp romu bērnu diskrimināciju, dažādās jomās, piemēram, izglītībā un sociālajā aizsardzībā.</w:t>
      </w:r>
    </w:p>
    <w:p w14:paraId="78664398" w14:textId="77777777" w:rsidR="00040E0E" w:rsidRPr="00B37A02" w:rsidRDefault="00040E0E" w:rsidP="00C97F66">
      <w:pPr>
        <w:widowControl w:val="0"/>
        <w:spacing w:after="0" w:line="240" w:lineRule="auto"/>
        <w:jc w:val="both"/>
        <w:rPr>
          <w:rFonts w:ascii="Times New Roman" w:hAnsi="Times New Roman" w:cs="Times New Roman"/>
          <w:sz w:val="24"/>
          <w:szCs w:val="24"/>
        </w:rPr>
      </w:pPr>
    </w:p>
    <w:p w14:paraId="163E7F46" w14:textId="37CAC14C" w:rsidR="00BC5BDF" w:rsidRPr="00B37A02" w:rsidRDefault="00BC5BDF" w:rsidP="00C97F66">
      <w:pPr>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sz w:val="24"/>
        </w:rPr>
        <w:t xml:space="preserve">2020. gada 30. septembrī Komisija pieņēma rīcības plānu </w:t>
      </w:r>
      <w:r w:rsidRPr="00B37A02">
        <w:rPr>
          <w:rFonts w:ascii="Times New Roman" w:hAnsi="Times New Roman" w:cs="Times New Roman"/>
          <w:b/>
          <w:bCs/>
          <w:sz w:val="24"/>
        </w:rPr>
        <w:t>“Digitālās izglītības rīcības plāns 2021.–2027. gadam:</w:t>
      </w:r>
      <w:r w:rsidRPr="00B37A02">
        <w:rPr>
          <w:rFonts w:ascii="Times New Roman" w:hAnsi="Times New Roman" w:cs="Times New Roman"/>
          <w:b/>
          <w:sz w:val="24"/>
        </w:rPr>
        <w:t xml:space="preserve"> </w:t>
      </w:r>
      <w:r w:rsidRPr="00B37A02">
        <w:rPr>
          <w:rFonts w:ascii="Times New Roman" w:hAnsi="Times New Roman" w:cs="Times New Roman"/>
          <w:b/>
          <w:bCs/>
          <w:sz w:val="24"/>
        </w:rPr>
        <w:t>Izglītības un mācību pārveide digitālajam laikmetam”</w:t>
      </w:r>
      <w:r w:rsidRPr="00B37A02">
        <w:rPr>
          <w:rFonts w:ascii="Times New Roman" w:hAnsi="Times New Roman" w:cs="Times New Roman"/>
          <w:sz w:val="24"/>
        </w:rPr>
        <w:t>,</w:t>
      </w:r>
      <w:r w:rsidRPr="00B37A02">
        <w:rPr>
          <w:rStyle w:val="FootnoteReference"/>
          <w:rFonts w:ascii="Times New Roman" w:hAnsi="Times New Roman" w:cs="Times New Roman"/>
          <w:sz w:val="24"/>
          <w:szCs w:val="24"/>
        </w:rPr>
        <w:footnoteReference w:id="193"/>
      </w:r>
      <w:r w:rsidRPr="00B37A02">
        <w:rPr>
          <w:rFonts w:ascii="Times New Roman" w:hAnsi="Times New Roman" w:cs="Times New Roman"/>
          <w:sz w:val="24"/>
        </w:rPr>
        <w:t xml:space="preserve"> kurā pausts vērienīgs redzējums par digitālu izglītību mūžizglītības perspektīvā, iekļaujot visu vecuma grupu izglītojamos.</w:t>
      </w:r>
    </w:p>
    <w:p w14:paraId="47E14F97" w14:textId="77777777" w:rsidR="00040E0E" w:rsidRPr="00B37A02" w:rsidRDefault="00040E0E" w:rsidP="00C97F66">
      <w:pPr>
        <w:widowControl w:val="0"/>
        <w:spacing w:after="0" w:line="240" w:lineRule="auto"/>
        <w:jc w:val="both"/>
        <w:rPr>
          <w:rFonts w:ascii="Times New Roman" w:eastAsia="Times New Roman" w:hAnsi="Times New Roman" w:cs="Times New Roman"/>
          <w:sz w:val="24"/>
          <w:szCs w:val="24"/>
          <w:shd w:val="clear" w:color="auto" w:fill="FFFFFF"/>
          <w:lang w:eastAsia="en-GB"/>
        </w:rPr>
      </w:pPr>
    </w:p>
    <w:p w14:paraId="57EB0152" w14:textId="063C06E6" w:rsidR="00EC5DE2" w:rsidRPr="00B37A02" w:rsidRDefault="00BC5BDF" w:rsidP="00C97F66">
      <w:pPr>
        <w:widowControl w:val="0"/>
        <w:spacing w:after="0" w:line="240" w:lineRule="auto"/>
        <w:jc w:val="both"/>
        <w:rPr>
          <w:rFonts w:ascii="Times New Roman" w:eastAsia="Times New Roman" w:hAnsi="Times New Roman" w:cs="Times New Roman"/>
          <w:sz w:val="24"/>
          <w:szCs w:val="24"/>
          <w:shd w:val="clear" w:color="auto" w:fill="FFFFFF"/>
        </w:rPr>
      </w:pPr>
      <w:r w:rsidRPr="00B37A02">
        <w:rPr>
          <w:rFonts w:ascii="Times New Roman" w:hAnsi="Times New Roman" w:cs="Times New Roman"/>
          <w:sz w:val="24"/>
          <w:shd w:val="clear" w:color="auto" w:fill="FFFFFF"/>
        </w:rPr>
        <w:t xml:space="preserve">2020. gada 7. oktobrī Komisija pieņēma </w:t>
      </w:r>
      <w:r w:rsidRPr="00B37A02">
        <w:rPr>
          <w:rFonts w:ascii="Times New Roman" w:hAnsi="Times New Roman" w:cs="Times New Roman"/>
          <w:b/>
          <w:bCs/>
          <w:sz w:val="24"/>
          <w:shd w:val="clear" w:color="auto" w:fill="FFFFFF"/>
        </w:rPr>
        <w:t>ES romu stratēģisko satvaru līdztiesības, iekļaušanas un līdzdalības jomā</w:t>
      </w:r>
      <w:r w:rsidRPr="00B37A02">
        <w:rPr>
          <w:rFonts w:ascii="Times New Roman" w:hAnsi="Times New Roman" w:cs="Times New Roman"/>
          <w:sz w:val="24"/>
          <w:shd w:val="clear" w:color="auto" w:fill="FFFFFF"/>
        </w:rPr>
        <w:t>.</w:t>
      </w:r>
      <w:r w:rsidRPr="00B37A02">
        <w:rPr>
          <w:rFonts w:ascii="Times New Roman" w:eastAsia="Times New Roman" w:hAnsi="Times New Roman" w:cs="Times New Roman"/>
          <w:sz w:val="24"/>
          <w:szCs w:val="24"/>
          <w:vertAlign w:val="superscript"/>
          <w:lang w:eastAsia="en-GB"/>
        </w:rPr>
        <w:footnoteReference w:id="194"/>
      </w:r>
      <w:r w:rsidRPr="00B37A02">
        <w:rPr>
          <w:rFonts w:ascii="Times New Roman" w:hAnsi="Times New Roman" w:cs="Times New Roman"/>
          <w:sz w:val="24"/>
        </w:rPr>
        <w:t xml:space="preserve"> To veido paziņojums un </w:t>
      </w:r>
      <w:r w:rsidRPr="00B37A02">
        <w:rPr>
          <w:rFonts w:ascii="Times New Roman" w:hAnsi="Times New Roman" w:cs="Times New Roman"/>
          <w:sz w:val="24"/>
          <w:shd w:val="clear" w:color="auto" w:fill="FFFFFF"/>
        </w:rPr>
        <w:t xml:space="preserve">priekšlikums </w:t>
      </w:r>
      <w:r w:rsidRPr="00B37A02">
        <w:rPr>
          <w:rFonts w:ascii="Times New Roman" w:hAnsi="Times New Roman" w:cs="Times New Roman"/>
          <w:b/>
          <w:bCs/>
          <w:sz w:val="24"/>
          <w:shd w:val="clear" w:color="auto" w:fill="FFFFFF"/>
        </w:rPr>
        <w:t>Padomes Ieteikumam par romu līdztiesību, iekļaušanu un līdzdalību</w:t>
      </w:r>
      <w:r w:rsidRPr="00B37A02">
        <w:rPr>
          <w:rFonts w:ascii="Times New Roman" w:hAnsi="Times New Roman" w:cs="Times New Roman"/>
          <w:sz w:val="24"/>
          <w:shd w:val="clear" w:color="auto" w:fill="FFFFFF"/>
        </w:rPr>
        <w:t>, ko Padome pieņēma 2021. gada 12. martā</w:t>
      </w:r>
      <w:r w:rsidRPr="00B37A02">
        <w:rPr>
          <w:rFonts w:ascii="Times New Roman" w:eastAsia="Calibri" w:hAnsi="Times New Roman" w:cs="Times New Roman"/>
          <w:sz w:val="24"/>
          <w:vertAlign w:val="superscript"/>
        </w:rPr>
        <w:footnoteReference w:id="195"/>
      </w:r>
      <w:r w:rsidRPr="00B37A02">
        <w:rPr>
          <w:rFonts w:ascii="Times New Roman" w:hAnsi="Times New Roman" w:cs="Times New Roman"/>
          <w:sz w:val="24"/>
          <w:shd w:val="clear" w:color="auto" w:fill="FFFFFF"/>
        </w:rPr>
        <w:t>. Ieteikumā dalībvalstis tiek aicinātas apkarot daudzkārtējo un strukturālo diskrimināciju pret romu tautības iedzīvotājiem, jo īpaši romu bērniem, un ieviest spēcīgus pasākumus romu bērnu un viņu ģimeņu atbalstīšanai tādās savstarpēji saistītās jomās kā nodarbinātība, sociālie pakalpojumi, kvalitāte, iekļaujoša vispārēja izglītība, agrīnā pirmsskolas izglītība un aprūpe, veselība, mājoklis un piekļuve pamatpakalpojumiem, uzturs un piekļuve atpūtas pasākumiem.</w:t>
      </w:r>
    </w:p>
    <w:p w14:paraId="72CE3DEE" w14:textId="77777777" w:rsidR="00040E0E" w:rsidRPr="00B37A02" w:rsidRDefault="00040E0E" w:rsidP="00C97F66">
      <w:pPr>
        <w:widowControl w:val="0"/>
        <w:spacing w:after="0" w:line="240" w:lineRule="auto"/>
        <w:jc w:val="both"/>
        <w:rPr>
          <w:rFonts w:ascii="Times New Roman" w:hAnsi="Times New Roman" w:cs="Times New Roman"/>
          <w:sz w:val="24"/>
          <w:szCs w:val="24"/>
          <w:shd w:val="clear" w:color="auto" w:fill="FFFFFF"/>
        </w:rPr>
      </w:pPr>
    </w:p>
    <w:p w14:paraId="3F404093" w14:textId="29B729E0" w:rsidR="00BC5BDF" w:rsidRPr="00B37A02" w:rsidRDefault="00BC5BDF" w:rsidP="00C97F66">
      <w:pPr>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sz w:val="24"/>
          <w:shd w:val="clear" w:color="auto" w:fill="FFFFFF"/>
        </w:rPr>
        <w:t xml:space="preserve">2020. gada 14. oktobrī Komisija pieņēma paziņojumu </w:t>
      </w:r>
      <w:r w:rsidRPr="00B37A02">
        <w:rPr>
          <w:rFonts w:ascii="Times New Roman" w:hAnsi="Times New Roman" w:cs="Times New Roman"/>
          <w:b/>
          <w:bCs/>
          <w:sz w:val="24"/>
          <w:shd w:val="clear" w:color="auto" w:fill="FFFFFF"/>
        </w:rPr>
        <w:t>“Eiropas Renovācijas vilnis – par zaļākām ēkām, jaunām darbvietām un labāku dzīvi”</w:t>
      </w:r>
      <w:r w:rsidRPr="00B37A02">
        <w:rPr>
          <w:rFonts w:ascii="Times New Roman" w:hAnsi="Times New Roman" w:cs="Times New Roman"/>
          <w:sz w:val="24"/>
          <w:shd w:val="clear" w:color="auto" w:fill="FFFFFF"/>
        </w:rPr>
        <w:t>,</w:t>
      </w:r>
      <w:r w:rsidRPr="00B37A02">
        <w:rPr>
          <w:rFonts w:ascii="Times New Roman" w:hAnsi="Times New Roman" w:cs="Times New Roman"/>
          <w:sz w:val="24"/>
          <w:szCs w:val="24"/>
          <w:vertAlign w:val="superscript"/>
        </w:rPr>
        <w:footnoteReference w:id="196"/>
      </w:r>
      <w:r w:rsidRPr="00B37A02">
        <w:rPr>
          <w:rFonts w:ascii="Times New Roman" w:hAnsi="Times New Roman" w:cs="Times New Roman"/>
          <w:sz w:val="24"/>
        </w:rPr>
        <w:t xml:space="preserve"> kas balstīts uz principu, kurš paredz cenas ziņā pieejamus renovētus mājokļus un to pieejamību, līdz ar to sekmējot attiecīgā mērķa sasniegšanu, proti, garantēt pienācīgu mājokli bērniem, kam vajadzīga palīdzība, jo īpaši saskaņā ar Komisijas Ieteikumu par enerģētisko nabadzību.</w:t>
      </w:r>
      <w:r w:rsidRPr="00B37A02">
        <w:rPr>
          <w:rStyle w:val="FootnoteReference"/>
          <w:rFonts w:ascii="Times New Roman" w:hAnsi="Times New Roman" w:cs="Times New Roman"/>
          <w:sz w:val="24"/>
          <w:szCs w:val="24"/>
        </w:rPr>
        <w:footnoteReference w:id="197"/>
      </w:r>
    </w:p>
    <w:p w14:paraId="3F57283F" w14:textId="77777777" w:rsidR="00040E0E" w:rsidRPr="00B37A02" w:rsidRDefault="00040E0E" w:rsidP="00C97F66">
      <w:pPr>
        <w:widowControl w:val="0"/>
        <w:spacing w:after="0" w:line="240" w:lineRule="auto"/>
        <w:jc w:val="both"/>
        <w:rPr>
          <w:rFonts w:ascii="Times New Roman" w:eastAsia="Calibri" w:hAnsi="Times New Roman" w:cs="Times New Roman"/>
          <w:sz w:val="24"/>
          <w:szCs w:val="24"/>
        </w:rPr>
      </w:pPr>
    </w:p>
    <w:p w14:paraId="15A2EBAC" w14:textId="77777777" w:rsidR="002E6D8F" w:rsidRDefault="00BC5BDF" w:rsidP="00C97F66">
      <w:pPr>
        <w:widowControl w:val="0"/>
        <w:spacing w:after="0" w:line="240" w:lineRule="auto"/>
        <w:jc w:val="both"/>
        <w:rPr>
          <w:rFonts w:ascii="Times New Roman" w:hAnsi="Times New Roman" w:cs="Times New Roman"/>
          <w:b/>
          <w:bCs/>
          <w:sz w:val="24"/>
        </w:rPr>
      </w:pPr>
      <w:r w:rsidRPr="00B37A02">
        <w:rPr>
          <w:rFonts w:ascii="Times New Roman" w:hAnsi="Times New Roman" w:cs="Times New Roman"/>
          <w:sz w:val="24"/>
        </w:rPr>
        <w:t xml:space="preserve">2020. gada 12. novembrī Komisija pieņēma </w:t>
      </w:r>
      <w:r w:rsidRPr="00B37A02">
        <w:rPr>
          <w:rFonts w:ascii="Times New Roman" w:hAnsi="Times New Roman" w:cs="Times New Roman"/>
          <w:b/>
          <w:bCs/>
          <w:i/>
          <w:iCs/>
          <w:sz w:val="24"/>
        </w:rPr>
        <w:t>LGBTIQ</w:t>
      </w:r>
      <w:r w:rsidRPr="00B37A02">
        <w:rPr>
          <w:rFonts w:ascii="Times New Roman" w:hAnsi="Times New Roman" w:cs="Times New Roman"/>
          <w:b/>
          <w:bCs/>
          <w:sz w:val="24"/>
        </w:rPr>
        <w:t xml:space="preserve"> līdztiesības stratēģiju</w:t>
      </w:r>
    </w:p>
    <w:p w14:paraId="1EFA213E" w14:textId="38259A72" w:rsidR="00BC5BDF" w:rsidRPr="00B37A02" w:rsidRDefault="00BC5BDF" w:rsidP="00C97F66">
      <w:pPr>
        <w:widowControl w:val="0"/>
        <w:spacing w:after="0" w:line="240" w:lineRule="auto"/>
        <w:jc w:val="both"/>
        <w:rPr>
          <w:rFonts w:ascii="Times New Roman" w:eastAsia="Calibri" w:hAnsi="Times New Roman" w:cs="Times New Roman"/>
          <w:sz w:val="24"/>
          <w:szCs w:val="24"/>
        </w:rPr>
      </w:pPr>
      <w:r w:rsidRPr="00B37A02">
        <w:rPr>
          <w:rFonts w:ascii="Times New Roman" w:hAnsi="Times New Roman" w:cs="Times New Roman"/>
          <w:b/>
          <w:bCs/>
          <w:sz w:val="24"/>
        </w:rPr>
        <w:t>2020.–2025. gadam</w:t>
      </w:r>
      <w:r w:rsidRPr="00B37A02">
        <w:rPr>
          <w:rFonts w:ascii="Times New Roman" w:hAnsi="Times New Roman" w:cs="Times New Roman"/>
          <w:sz w:val="24"/>
        </w:rPr>
        <w:t>,</w:t>
      </w:r>
      <w:r w:rsidRPr="00B37A02">
        <w:rPr>
          <w:rStyle w:val="FootnoteReference"/>
          <w:rFonts w:ascii="Times New Roman" w:eastAsia="Calibri" w:hAnsi="Times New Roman" w:cs="Times New Roman"/>
          <w:sz w:val="24"/>
          <w:szCs w:val="24"/>
        </w:rPr>
        <w:footnoteReference w:id="198"/>
      </w:r>
      <w:r w:rsidRPr="00B37A02">
        <w:rPr>
          <w:rFonts w:ascii="Times New Roman" w:hAnsi="Times New Roman" w:cs="Times New Roman"/>
          <w:sz w:val="24"/>
        </w:rPr>
        <w:t xml:space="preserve"> kas paredz pasākumus, lai sekmētu iekļaušanu un apkarotu diskrimināciju pret </w:t>
      </w:r>
      <w:r w:rsidRPr="00B37A02">
        <w:rPr>
          <w:rFonts w:ascii="Times New Roman" w:hAnsi="Times New Roman" w:cs="Times New Roman"/>
          <w:i/>
          <w:iCs/>
          <w:sz w:val="24"/>
        </w:rPr>
        <w:t>LGBTIQ</w:t>
      </w:r>
      <w:r w:rsidRPr="00B37A02">
        <w:rPr>
          <w:rFonts w:ascii="Times New Roman" w:hAnsi="Times New Roman" w:cs="Times New Roman"/>
          <w:sz w:val="24"/>
        </w:rPr>
        <w:t xml:space="preserve"> un viņu ģimenēm, tostarp bērniem.</w:t>
      </w:r>
    </w:p>
    <w:p w14:paraId="24AAD31A" w14:textId="77777777" w:rsidR="00040E0E" w:rsidRPr="00B37A02" w:rsidRDefault="00040E0E" w:rsidP="00C97F66">
      <w:pPr>
        <w:widowControl w:val="0"/>
        <w:spacing w:after="0" w:line="240" w:lineRule="auto"/>
        <w:jc w:val="both"/>
        <w:textAlignment w:val="baseline"/>
        <w:rPr>
          <w:rFonts w:ascii="Times New Roman" w:eastAsia="Times New Roman" w:hAnsi="Times New Roman" w:cs="Times New Roman"/>
          <w:sz w:val="24"/>
          <w:szCs w:val="24"/>
          <w:shd w:val="clear" w:color="auto" w:fill="FFFFFF"/>
          <w:lang w:eastAsia="en-GB"/>
        </w:rPr>
      </w:pPr>
    </w:p>
    <w:p w14:paraId="7CDA1931" w14:textId="4DA3EC3E" w:rsidR="00BC5BDF" w:rsidRPr="00B37A02" w:rsidRDefault="00BC5BDF" w:rsidP="00E44BA6">
      <w:pPr>
        <w:keepNext/>
        <w:keepLines/>
        <w:widowControl w:val="0"/>
        <w:spacing w:after="0" w:line="240" w:lineRule="auto"/>
        <w:jc w:val="both"/>
        <w:textAlignment w:val="baseline"/>
        <w:rPr>
          <w:rFonts w:ascii="Times New Roman" w:eastAsia="Times New Roman" w:hAnsi="Times New Roman" w:cs="Times New Roman"/>
          <w:sz w:val="24"/>
          <w:szCs w:val="24"/>
          <w:shd w:val="clear" w:color="auto" w:fill="FFFFFF"/>
        </w:rPr>
      </w:pPr>
      <w:r w:rsidRPr="00B37A02">
        <w:rPr>
          <w:rFonts w:ascii="Times New Roman" w:hAnsi="Times New Roman" w:cs="Times New Roman"/>
          <w:sz w:val="24"/>
          <w:shd w:val="clear" w:color="auto" w:fill="FFFFFF"/>
        </w:rPr>
        <w:lastRenderedPageBreak/>
        <w:t xml:space="preserve">Komisija 2020. gada 24. novembrī pieņēma </w:t>
      </w:r>
      <w:r w:rsidRPr="00B37A02">
        <w:rPr>
          <w:rFonts w:ascii="Times New Roman" w:hAnsi="Times New Roman" w:cs="Times New Roman"/>
          <w:b/>
          <w:bCs/>
          <w:sz w:val="24"/>
          <w:shd w:val="clear" w:color="auto" w:fill="FFFFFF"/>
        </w:rPr>
        <w:t>Rīcības plānu par integrāciju un iekļaušanu 2021.–2027. gadam</w:t>
      </w:r>
      <w:r w:rsidRPr="00B37A02">
        <w:rPr>
          <w:rFonts w:ascii="Times New Roman" w:hAnsi="Times New Roman" w:cs="Times New Roman"/>
          <w:sz w:val="24"/>
          <w:shd w:val="clear" w:color="auto" w:fill="FFFFFF"/>
        </w:rPr>
        <w:t>,</w:t>
      </w:r>
      <w:r w:rsidRPr="00B37A02">
        <w:rPr>
          <w:rFonts w:ascii="Times New Roman" w:eastAsia="Times New Roman" w:hAnsi="Times New Roman" w:cs="Times New Roman"/>
          <w:sz w:val="24"/>
          <w:szCs w:val="24"/>
          <w:vertAlign w:val="superscript"/>
          <w:lang w:eastAsia="en-GB"/>
        </w:rPr>
        <w:footnoteReference w:id="199"/>
      </w:r>
      <w:r w:rsidRPr="00B37A02">
        <w:rPr>
          <w:rFonts w:ascii="Times New Roman" w:hAnsi="Times New Roman" w:cs="Times New Roman"/>
          <w:sz w:val="24"/>
          <w:shd w:val="clear" w:color="auto" w:fill="FFFFFF"/>
        </w:rPr>
        <w:t xml:space="preserve"> kas attiecas uz migrantiem un migrantu izcelsmes ES pilsoņiem. Rīcības plāns ir vērsts uz stimulējošiem faktoriem, kas nepieciešami veiksmīgai integrācijai un iekļaušanai: i) izglītība un mācības; ii) nodarbinātība un prasmes, kā arī iii) veselība un mājoklis. Rīcības plānā īpaša uzmanība pievērsta arī migrantu bērniem un migrantu izcelsmes ES pilsoņiem.</w:t>
      </w:r>
    </w:p>
    <w:p w14:paraId="2D05FD50" w14:textId="77777777" w:rsidR="00040E0E" w:rsidRPr="00B37A02" w:rsidRDefault="00040E0E" w:rsidP="00C97F66">
      <w:pPr>
        <w:widowControl w:val="0"/>
        <w:spacing w:after="0" w:line="240" w:lineRule="auto"/>
        <w:jc w:val="both"/>
        <w:textAlignment w:val="baseline"/>
        <w:rPr>
          <w:rFonts w:ascii="Times New Roman" w:eastAsia="Times New Roman" w:hAnsi="Times New Roman" w:cs="Times New Roman"/>
          <w:sz w:val="24"/>
          <w:szCs w:val="24"/>
          <w:shd w:val="clear" w:color="auto" w:fill="FFFFFF"/>
          <w:lang w:eastAsia="en-GB"/>
        </w:rPr>
      </w:pPr>
    </w:p>
    <w:p w14:paraId="3F909BF2" w14:textId="0DAFD188" w:rsidR="00EC5DE2" w:rsidRPr="00B37A02" w:rsidRDefault="00BC5BDF" w:rsidP="00C97F66">
      <w:pPr>
        <w:widowControl w:val="0"/>
        <w:spacing w:after="0" w:line="240" w:lineRule="auto"/>
        <w:jc w:val="both"/>
        <w:textAlignment w:val="baseline"/>
        <w:rPr>
          <w:rFonts w:ascii="Times New Roman" w:eastAsia="Times New Roman" w:hAnsi="Times New Roman" w:cs="Times New Roman"/>
          <w:sz w:val="24"/>
          <w:szCs w:val="24"/>
          <w:shd w:val="clear" w:color="auto" w:fill="FFFFFF"/>
        </w:rPr>
      </w:pPr>
      <w:r w:rsidRPr="00B37A02">
        <w:rPr>
          <w:rFonts w:ascii="Times New Roman" w:hAnsi="Times New Roman" w:cs="Times New Roman"/>
          <w:sz w:val="24"/>
          <w:shd w:val="clear" w:color="auto" w:fill="FFFFFF"/>
        </w:rPr>
        <w:t xml:space="preserve">2020. gada 16. decembrī Eiropas Parlaments formāli pieņēma pārskatīto </w:t>
      </w:r>
      <w:r w:rsidRPr="00B37A02">
        <w:rPr>
          <w:rFonts w:ascii="Times New Roman" w:hAnsi="Times New Roman" w:cs="Times New Roman"/>
          <w:b/>
          <w:bCs/>
          <w:sz w:val="24"/>
          <w:shd w:val="clear" w:color="auto" w:fill="FFFFFF"/>
        </w:rPr>
        <w:t>Dzeramā ūdens direktīvu</w:t>
      </w:r>
      <w:r w:rsidRPr="00B37A02">
        <w:rPr>
          <w:rFonts w:ascii="Times New Roman" w:hAnsi="Times New Roman" w:cs="Times New Roman"/>
          <w:sz w:val="24"/>
          <w:shd w:val="clear" w:color="auto" w:fill="FFFFFF"/>
        </w:rPr>
        <w:t>.</w:t>
      </w:r>
      <w:r w:rsidRPr="00B37A02">
        <w:rPr>
          <w:rStyle w:val="FootnoteReference"/>
          <w:rFonts w:ascii="Times New Roman" w:eastAsia="Times New Roman" w:hAnsi="Times New Roman" w:cs="Times New Roman"/>
          <w:sz w:val="24"/>
          <w:szCs w:val="24"/>
          <w:shd w:val="clear" w:color="auto" w:fill="FFFFFF"/>
          <w:lang w:eastAsia="en-GB"/>
        </w:rPr>
        <w:footnoteReference w:id="200"/>
      </w:r>
      <w:r w:rsidRPr="00B37A02">
        <w:rPr>
          <w:rFonts w:ascii="Times New Roman" w:hAnsi="Times New Roman" w:cs="Times New Roman"/>
          <w:sz w:val="24"/>
          <w:shd w:val="clear" w:color="auto" w:fill="FFFFFF"/>
        </w:rPr>
        <w:t xml:space="preserve"> Tās mērķis ir aizsargāt cilvēku veselību pret dzeramā ūdens piesārņojuma jebkādu nelabvēlīgu ietekmi, nodrošinot, ka tas ir pilnvērtīgs un tīrs. Eiropas Garantijas bērniem kontekstā direktīva attiecas uz pienācīgu mājokli un veselīgu uzturu.</w:t>
      </w:r>
    </w:p>
    <w:p w14:paraId="29C6A5FE" w14:textId="77777777" w:rsidR="00040E0E" w:rsidRPr="00B37A02" w:rsidRDefault="00040E0E" w:rsidP="00C97F66">
      <w:pPr>
        <w:widowControl w:val="0"/>
        <w:spacing w:after="0" w:line="240" w:lineRule="auto"/>
        <w:jc w:val="both"/>
        <w:textAlignment w:val="baseline"/>
        <w:rPr>
          <w:rFonts w:ascii="Times New Roman" w:eastAsia="Times New Roman" w:hAnsi="Times New Roman" w:cs="Times New Roman"/>
          <w:sz w:val="24"/>
          <w:szCs w:val="24"/>
          <w:shd w:val="clear" w:color="auto" w:fill="FFFFFF"/>
          <w:lang w:eastAsia="en-GB"/>
        </w:rPr>
      </w:pPr>
    </w:p>
    <w:p w14:paraId="292251E3" w14:textId="59D3B4A9" w:rsidR="00BC5BDF" w:rsidRPr="00B37A02" w:rsidRDefault="00BC5BDF" w:rsidP="00C97F66">
      <w:pPr>
        <w:widowControl w:val="0"/>
        <w:spacing w:after="0" w:line="240" w:lineRule="auto"/>
        <w:jc w:val="both"/>
        <w:textAlignment w:val="baseline"/>
        <w:rPr>
          <w:rFonts w:ascii="Times New Roman" w:hAnsi="Times New Roman" w:cs="Times New Roman"/>
          <w:sz w:val="24"/>
          <w:szCs w:val="24"/>
        </w:rPr>
      </w:pPr>
      <w:r w:rsidRPr="00B37A02">
        <w:rPr>
          <w:rFonts w:ascii="Times New Roman" w:hAnsi="Times New Roman" w:cs="Times New Roman"/>
          <w:sz w:val="24"/>
          <w:shd w:val="clear" w:color="auto" w:fill="FFFFFF"/>
        </w:rPr>
        <w:t xml:space="preserve">2021. gada 3. februārī Komisija pieņēma </w:t>
      </w:r>
      <w:r w:rsidRPr="00B37A02">
        <w:rPr>
          <w:rFonts w:ascii="Times New Roman" w:hAnsi="Times New Roman" w:cs="Times New Roman"/>
          <w:b/>
          <w:bCs/>
          <w:sz w:val="24"/>
          <w:shd w:val="clear" w:color="auto" w:fill="FFFFFF"/>
        </w:rPr>
        <w:t>Eiropas Vēža uzveikšanas plānu</w:t>
      </w:r>
      <w:r w:rsidRPr="00B37A02">
        <w:rPr>
          <w:rFonts w:ascii="Times New Roman" w:hAnsi="Times New Roman" w:cs="Times New Roman"/>
          <w:sz w:val="24"/>
          <w:shd w:val="clear" w:color="auto" w:fill="FFFFFF"/>
        </w:rPr>
        <w:t>,</w:t>
      </w:r>
      <w:r w:rsidRPr="00B37A02">
        <w:rPr>
          <w:rStyle w:val="FootnoteReference"/>
          <w:rFonts w:ascii="Times New Roman" w:eastAsia="Times New Roman" w:hAnsi="Times New Roman" w:cs="Times New Roman"/>
          <w:sz w:val="24"/>
          <w:szCs w:val="24"/>
          <w:shd w:val="clear" w:color="auto" w:fill="FFFFFF"/>
          <w:lang w:eastAsia="en-GB"/>
        </w:rPr>
        <w:footnoteReference w:id="201"/>
      </w:r>
      <w:r w:rsidRPr="00B37A02">
        <w:rPr>
          <w:rFonts w:ascii="Times New Roman" w:hAnsi="Times New Roman" w:cs="Times New Roman"/>
          <w:sz w:val="24"/>
          <w:shd w:val="clear" w:color="auto" w:fill="FFFFFF"/>
        </w:rPr>
        <w:t xml:space="preserve"> kurā pastiprināta uzmanība pievērsta bērnu vēzim. Viena no šā plāna pamatiniciatīvām ir uzsākt iniciatīvu “Palīdzība ar vēzi slimiem bērniem”, lai nodrošinātu, ka bērniem nodrošinās piekļuvi ātrai un optimālai slimības atklāšanai, diagnosticēšanai, ārstēšanai un aprūpei. </w:t>
      </w:r>
      <w:r w:rsidRPr="00B37A02">
        <w:rPr>
          <w:rFonts w:ascii="Times New Roman" w:hAnsi="Times New Roman" w:cs="Times New Roman"/>
          <w:sz w:val="24"/>
        </w:rPr>
        <w:t>Eiropas Vēža uzveikšanas plāns arī paredz stiprināt un izstrādāt jaunas pamatnostādnes un tiesību aktus, lai palīdzētu radīt “paaudzi bez tabakas”, kurā līdz 2040. gadam tabaku patērēs mazāk nekā 5 % iedzīvotāju, salīdzinot ar aptuveni 25 % pašlaik.</w:t>
      </w:r>
    </w:p>
    <w:p w14:paraId="24AC4430" w14:textId="77777777" w:rsidR="00BC5BDF" w:rsidRPr="00B37A02" w:rsidRDefault="00BC5BDF" w:rsidP="00C97F66">
      <w:pPr>
        <w:widowControl w:val="0"/>
        <w:spacing w:after="0" w:line="240" w:lineRule="auto"/>
        <w:jc w:val="both"/>
        <w:textAlignment w:val="baseline"/>
        <w:rPr>
          <w:rFonts w:ascii="Times New Roman" w:hAnsi="Times New Roman" w:cs="Times New Roman"/>
          <w:color w:val="000000"/>
          <w:sz w:val="24"/>
          <w:szCs w:val="24"/>
        </w:rPr>
      </w:pPr>
      <w:r w:rsidRPr="00B37A02">
        <w:rPr>
          <w:rFonts w:ascii="Times New Roman" w:hAnsi="Times New Roman" w:cs="Times New Roman"/>
          <w:sz w:val="24"/>
        </w:rPr>
        <w:t>Lai palielinātu vakcinācijas aptveri, Komisija veiks aktīvākus pasākumus, lai īstenotu Padomes Ieteikumu par pastiprinātu ES sadarbību, kas vērsta pret vakcīnnovēršamām slimībām.</w:t>
      </w:r>
      <w:r w:rsidRPr="00B37A02">
        <w:rPr>
          <w:rStyle w:val="FootnoteReference"/>
          <w:rFonts w:ascii="Times New Roman" w:hAnsi="Times New Roman" w:cs="Times New Roman"/>
          <w:color w:val="000000"/>
          <w:sz w:val="24"/>
          <w:szCs w:val="24"/>
        </w:rPr>
        <w:footnoteReference w:id="202"/>
      </w:r>
      <w:r w:rsidRPr="00B37A02">
        <w:rPr>
          <w:rFonts w:ascii="Times New Roman" w:hAnsi="Times New Roman" w:cs="Times New Roman"/>
          <w:color w:val="000000"/>
          <w:sz w:val="24"/>
        </w:rPr>
        <w:t xml:space="preserve"> Turklāt Komisija palielinās atbalstu trim lielām pētnieciskām un novatoriskām darbībām, lai risinātu problēmu saistībā ar nelielo līdzdalību vakcinācijā, kliedētu vecāku un veselības aprūpes speciālistu bažas un kopumā uzlabotu vakcinācijas aptveri, jo īpaši bērnu un jauniešu vidū.</w:t>
      </w:r>
    </w:p>
    <w:p w14:paraId="79641B2E" w14:textId="77777777" w:rsidR="00040E0E" w:rsidRPr="00B37A02" w:rsidRDefault="00040E0E" w:rsidP="00C97F66">
      <w:pPr>
        <w:widowControl w:val="0"/>
        <w:spacing w:after="0" w:line="240" w:lineRule="auto"/>
        <w:jc w:val="both"/>
        <w:rPr>
          <w:rFonts w:ascii="Times New Roman" w:hAnsi="Times New Roman" w:cs="Times New Roman"/>
          <w:sz w:val="24"/>
          <w:szCs w:val="24"/>
        </w:rPr>
      </w:pPr>
    </w:p>
    <w:p w14:paraId="7FC0AD4A" w14:textId="2F666A5B" w:rsidR="00BC5BDF" w:rsidRPr="00B37A02" w:rsidRDefault="00BC5BDF" w:rsidP="00C97F66">
      <w:pPr>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sz w:val="24"/>
        </w:rPr>
        <w:t>ES politikas programmā cīņa pret priekšlaicīgu izglītības un mācību p</w:t>
      </w:r>
      <w:r w:rsidR="00F80301">
        <w:rPr>
          <w:rFonts w:ascii="Times New Roman" w:hAnsi="Times New Roman" w:cs="Times New Roman"/>
          <w:sz w:val="24"/>
        </w:rPr>
        <w:t>ārtraukšanu</w:t>
      </w:r>
      <w:r w:rsidRPr="00B37A02">
        <w:rPr>
          <w:rFonts w:ascii="Times New Roman" w:hAnsi="Times New Roman" w:cs="Times New Roman"/>
          <w:sz w:val="24"/>
        </w:rPr>
        <w:t xml:space="preserve"> pēdējo desmit gadu laikā ir bijusi ļoti aktuāla. Pamatmērķis, proti, līdz mazāk par 10 % samazināt to iedzīvotāju īpatsvaru, kas Eiropā p</w:t>
      </w:r>
      <w:r w:rsidR="00F80301">
        <w:rPr>
          <w:rFonts w:ascii="Times New Roman" w:hAnsi="Times New Roman" w:cs="Times New Roman"/>
          <w:sz w:val="24"/>
        </w:rPr>
        <w:t>ārtrauc</w:t>
      </w:r>
      <w:r w:rsidRPr="00B37A02">
        <w:rPr>
          <w:rFonts w:ascii="Times New Roman" w:hAnsi="Times New Roman" w:cs="Times New Roman"/>
          <w:sz w:val="24"/>
        </w:rPr>
        <w:t xml:space="preserve"> izglītību un mācības priekšlaicīgi, tika izvirzīts 2010. gadā stratēģijas “Eiropa 2020” ietvaros.</w:t>
      </w:r>
      <w:r w:rsidRPr="00B37A02">
        <w:rPr>
          <w:rStyle w:val="FootnoteReference"/>
          <w:rFonts w:ascii="Times New Roman" w:hAnsi="Times New Roman" w:cs="Times New Roman"/>
          <w:sz w:val="24"/>
          <w:szCs w:val="24"/>
        </w:rPr>
        <w:footnoteReference w:id="203"/>
      </w:r>
      <w:r w:rsidRPr="00B37A02">
        <w:rPr>
          <w:rFonts w:ascii="Times New Roman" w:hAnsi="Times New Roman" w:cs="Times New Roman"/>
          <w:sz w:val="24"/>
        </w:rPr>
        <w:t xml:space="preserve"> Pēc stratēģijas pieņemšanas Komisija izstrādāja politikas dokumentu kopumu,</w:t>
      </w:r>
      <w:r w:rsidRPr="00B37A02">
        <w:rPr>
          <w:rStyle w:val="FootnoteReference"/>
          <w:rFonts w:ascii="Times New Roman" w:hAnsi="Times New Roman" w:cs="Times New Roman"/>
          <w:sz w:val="24"/>
          <w:szCs w:val="24"/>
        </w:rPr>
        <w:footnoteReference w:id="204"/>
      </w:r>
      <w:r w:rsidRPr="00B37A02">
        <w:rPr>
          <w:rFonts w:ascii="Times New Roman" w:hAnsi="Times New Roman" w:cs="Times New Roman"/>
          <w:sz w:val="24"/>
        </w:rPr>
        <w:t xml:space="preserve"> kā rezultātā 2011. gadā tika pieņemts Padomes Ieteikums par politiku, lai mazinātu mācību priekšlaicīgu pārtraukšanu,</w:t>
      </w:r>
      <w:r w:rsidRPr="00B37A02">
        <w:rPr>
          <w:rStyle w:val="FootnoteReference"/>
          <w:rFonts w:ascii="Times New Roman" w:hAnsi="Times New Roman" w:cs="Times New Roman"/>
          <w:sz w:val="24"/>
          <w:szCs w:val="24"/>
        </w:rPr>
        <w:footnoteReference w:id="205"/>
      </w:r>
      <w:r w:rsidRPr="00B37A02">
        <w:rPr>
          <w:rFonts w:ascii="Times New Roman" w:hAnsi="Times New Roman" w:cs="Times New Roman"/>
          <w:sz w:val="24"/>
        </w:rPr>
        <w:t xml:space="preserve"> kurā noteikts satvars saskaņotām, visaptverošām un uz pierādījumiem balstītām pamatnostādnēm. Politikas sadarbība atbilstoši atvērtajai koordinācijas metodei ir ļāvusi sekmēt prakses apmaiņu un </w:t>
      </w:r>
      <w:r w:rsidRPr="00B37A02">
        <w:rPr>
          <w:rFonts w:ascii="Times New Roman" w:hAnsi="Times New Roman" w:cs="Times New Roman"/>
          <w:sz w:val="24"/>
        </w:rPr>
        <w:lastRenderedPageBreak/>
        <w:t>politisko pamatnostādņu</w:t>
      </w:r>
      <w:r w:rsidRPr="00B37A02">
        <w:rPr>
          <w:rStyle w:val="FootnoteReference"/>
          <w:rFonts w:ascii="Times New Roman" w:hAnsi="Times New Roman" w:cs="Times New Roman"/>
          <w:sz w:val="24"/>
          <w:szCs w:val="24"/>
        </w:rPr>
        <w:footnoteReference w:id="206"/>
      </w:r>
      <w:r w:rsidRPr="00B37A02">
        <w:rPr>
          <w:rFonts w:ascii="Times New Roman" w:hAnsi="Times New Roman" w:cs="Times New Roman"/>
          <w:sz w:val="24"/>
        </w:rPr>
        <w:t xml:space="preserve"> izstrādi, ieguldījumus pētniecībā un attīstībā, kā arī pievērst īpašu uzmanību izglītības un mācību priekšlaicīgai pārtraukšanai ES programmās, jo īpaši Eiropas strukturālajos un investīciju fondos un “Erasmus+”. Ir izstrādāta arī Eiropas rīkkopa tiešsaistē.</w:t>
      </w:r>
      <w:r w:rsidRPr="00B37A02">
        <w:rPr>
          <w:rStyle w:val="FootnoteReference"/>
          <w:rFonts w:ascii="Times New Roman" w:hAnsi="Times New Roman" w:cs="Times New Roman"/>
          <w:sz w:val="24"/>
          <w:szCs w:val="24"/>
        </w:rPr>
        <w:footnoteReference w:id="207"/>
      </w:r>
    </w:p>
    <w:p w14:paraId="772078F9" w14:textId="77777777" w:rsidR="00040E0E" w:rsidRPr="00B37A02" w:rsidRDefault="00040E0E" w:rsidP="00C97F66">
      <w:pPr>
        <w:widowControl w:val="0"/>
        <w:spacing w:after="0" w:line="240" w:lineRule="auto"/>
        <w:jc w:val="both"/>
        <w:rPr>
          <w:rFonts w:ascii="Times New Roman" w:hAnsi="Times New Roman" w:cs="Times New Roman"/>
          <w:sz w:val="24"/>
          <w:szCs w:val="24"/>
        </w:rPr>
      </w:pPr>
    </w:p>
    <w:p w14:paraId="1DC4F781" w14:textId="10739D5D" w:rsidR="00BC5BDF" w:rsidRPr="00B37A02" w:rsidRDefault="00BC5BDF" w:rsidP="00C97F66">
      <w:pPr>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sz w:val="24"/>
        </w:rPr>
        <w:t>Plašākā politikas kontekstā ES ir arī ierosinājusi vairākas iniciatīvas, lai risinātu galveno bērnu nabadzības cēloni, proti, vecāku nodarbinātības statusu. Piemēram, ES ir ierosinājusi vairākas iniciatīvas, tostarp: i) Komisijas Ieteikumu par tādu cilvēku aktīvu integrāciju, kuri ir atstumti no darba tirgus;</w:t>
      </w:r>
      <w:r w:rsidRPr="00B37A02">
        <w:rPr>
          <w:rFonts w:ascii="Times New Roman" w:hAnsi="Times New Roman" w:cs="Times New Roman"/>
          <w:sz w:val="24"/>
          <w:szCs w:val="24"/>
          <w:vertAlign w:val="superscript"/>
        </w:rPr>
        <w:footnoteReference w:id="208"/>
      </w:r>
      <w:r w:rsidRPr="00B37A02">
        <w:rPr>
          <w:rFonts w:ascii="Times New Roman" w:hAnsi="Times New Roman" w:cs="Times New Roman"/>
          <w:sz w:val="24"/>
        </w:rPr>
        <w:t xml:space="preserve"> ii) Padomes Ieteikumu par ilgstošo bezdarbnieku integrāciju darba tirgū;</w:t>
      </w:r>
      <w:r w:rsidRPr="00B37A02">
        <w:rPr>
          <w:rFonts w:ascii="Times New Roman" w:hAnsi="Times New Roman" w:cs="Times New Roman"/>
          <w:sz w:val="24"/>
          <w:szCs w:val="24"/>
          <w:vertAlign w:val="superscript"/>
        </w:rPr>
        <w:footnoteReference w:id="209"/>
      </w:r>
      <w:r w:rsidRPr="00B37A02">
        <w:rPr>
          <w:rFonts w:ascii="Times New Roman" w:hAnsi="Times New Roman" w:cs="Times New Roman"/>
          <w:sz w:val="24"/>
        </w:rPr>
        <w:t xml:space="preserve"> iii) Direktīvu par darba un privātās dzīves līdzsvaru vecākiem un aprūpētājiem;</w:t>
      </w:r>
      <w:r w:rsidRPr="00B37A02">
        <w:rPr>
          <w:rFonts w:ascii="Times New Roman" w:hAnsi="Times New Roman" w:cs="Times New Roman"/>
          <w:sz w:val="24"/>
          <w:szCs w:val="24"/>
          <w:vertAlign w:val="superscript"/>
        </w:rPr>
        <w:footnoteReference w:id="210"/>
      </w:r>
      <w:r w:rsidRPr="00B37A02">
        <w:rPr>
          <w:rFonts w:ascii="Times New Roman" w:hAnsi="Times New Roman" w:cs="Times New Roman"/>
          <w:sz w:val="24"/>
        </w:rPr>
        <w:t xml:space="preserve"> iv) Padomes Ieteikumu par piekļuvi sociālajai aizsardzībai;</w:t>
      </w:r>
      <w:r w:rsidRPr="00B37A02">
        <w:rPr>
          <w:rFonts w:ascii="Times New Roman" w:hAnsi="Times New Roman" w:cs="Times New Roman"/>
          <w:sz w:val="24"/>
          <w:szCs w:val="24"/>
          <w:vertAlign w:val="superscript"/>
        </w:rPr>
        <w:footnoteReference w:id="211"/>
      </w:r>
      <w:r w:rsidRPr="00B37A02">
        <w:rPr>
          <w:rFonts w:ascii="Times New Roman" w:hAnsi="Times New Roman" w:cs="Times New Roman"/>
          <w:sz w:val="24"/>
        </w:rPr>
        <w:t xml:space="preserve"> v) jauno Prasmju programmu;</w:t>
      </w:r>
      <w:r w:rsidRPr="00B37A02">
        <w:rPr>
          <w:rFonts w:ascii="Times New Roman" w:hAnsi="Times New Roman" w:cs="Times New Roman"/>
          <w:sz w:val="24"/>
          <w:szCs w:val="24"/>
          <w:vertAlign w:val="superscript"/>
        </w:rPr>
        <w:footnoteReference w:id="212"/>
      </w:r>
      <w:r w:rsidRPr="00B37A02">
        <w:rPr>
          <w:rFonts w:ascii="Times New Roman" w:hAnsi="Times New Roman" w:cs="Times New Roman"/>
          <w:sz w:val="24"/>
        </w:rPr>
        <w:t xml:space="preserve"> vi) Eiropas pagaidu atbalsta instrumentu bezdarba risku mazināšanai ārkārtas situācijā (</w:t>
      </w:r>
      <w:r w:rsidRPr="00B37A02">
        <w:rPr>
          <w:rFonts w:ascii="Times New Roman" w:hAnsi="Times New Roman" w:cs="Times New Roman"/>
          <w:i/>
          <w:iCs/>
          <w:sz w:val="24"/>
        </w:rPr>
        <w:t>SURE</w:t>
      </w:r>
      <w:r w:rsidRPr="00B37A02">
        <w:rPr>
          <w:rFonts w:ascii="Times New Roman" w:hAnsi="Times New Roman" w:cs="Times New Roman"/>
          <w:sz w:val="24"/>
        </w:rPr>
        <w:t>),</w:t>
      </w:r>
      <w:r w:rsidRPr="00B37A02">
        <w:rPr>
          <w:rStyle w:val="FootnoteReference"/>
          <w:rFonts w:ascii="Times New Roman" w:hAnsi="Times New Roman" w:cs="Times New Roman"/>
          <w:sz w:val="24"/>
          <w:szCs w:val="24"/>
        </w:rPr>
        <w:footnoteReference w:id="213"/>
      </w:r>
      <w:r w:rsidRPr="00B37A02">
        <w:rPr>
          <w:rFonts w:ascii="Times New Roman" w:hAnsi="Times New Roman" w:cs="Times New Roman"/>
          <w:sz w:val="24"/>
        </w:rPr>
        <w:t xml:space="preserve"> kā arī vii) Komisijas priekšlikumu direktīvai par adekvātu minimālo algu.</w:t>
      </w:r>
      <w:r w:rsidRPr="00B37A02">
        <w:rPr>
          <w:rFonts w:ascii="Times New Roman" w:hAnsi="Times New Roman" w:cs="Times New Roman"/>
          <w:sz w:val="24"/>
          <w:szCs w:val="24"/>
          <w:vertAlign w:val="superscript"/>
        </w:rPr>
        <w:footnoteReference w:id="214"/>
      </w:r>
    </w:p>
    <w:p w14:paraId="3E68B0C2" w14:textId="77777777" w:rsidR="00040E0E" w:rsidRPr="00B37A02" w:rsidRDefault="00040E0E" w:rsidP="00C97F66">
      <w:pPr>
        <w:widowControl w:val="0"/>
        <w:spacing w:after="0" w:line="240" w:lineRule="auto"/>
        <w:jc w:val="both"/>
        <w:rPr>
          <w:rFonts w:ascii="Times New Roman" w:eastAsia="Times New Roman" w:hAnsi="Times New Roman" w:cs="Times New Roman"/>
          <w:sz w:val="24"/>
          <w:szCs w:val="24"/>
          <w:shd w:val="clear" w:color="auto" w:fill="FFFFFF"/>
          <w:lang w:eastAsia="en-GB"/>
        </w:rPr>
      </w:pPr>
    </w:p>
    <w:bookmarkEnd w:id="210"/>
    <w:bookmarkEnd w:id="211"/>
    <w:bookmarkEnd w:id="212"/>
    <w:bookmarkEnd w:id="213"/>
    <w:p w14:paraId="5D842221" w14:textId="38807F05" w:rsidR="00040E0E" w:rsidRPr="00B37A02" w:rsidRDefault="00321FBA" w:rsidP="00C97F66">
      <w:pPr>
        <w:spacing w:after="0" w:line="240" w:lineRule="auto"/>
        <w:rPr>
          <w:rFonts w:ascii="Times New Roman" w:eastAsiaTheme="majorEastAsia" w:hAnsi="Times New Roman" w:cs="Times New Roman"/>
          <w:color w:val="2E74B5" w:themeColor="accent1" w:themeShade="BF"/>
          <w:sz w:val="28"/>
          <w:szCs w:val="36"/>
        </w:rPr>
      </w:pPr>
      <w:r w:rsidRPr="00B37A02">
        <w:rPr>
          <w:rFonts w:ascii="Times New Roman" w:hAnsi="Times New Roman" w:cs="Times New Roman"/>
          <w:color w:val="2E74B5" w:themeColor="accent1" w:themeShade="BF"/>
          <w:sz w:val="28"/>
        </w:rPr>
        <w:t>6. ES FONDU IZMANTOŠANA BĒRNU NABADZĪBAS UN SOCIĀLĀS ATSTUMTĪBAS IZSKAUŠANAI</w:t>
      </w:r>
    </w:p>
    <w:p w14:paraId="3495AE45" w14:textId="77777777" w:rsidR="00321FBA" w:rsidRPr="00B37A02" w:rsidRDefault="00321FBA" w:rsidP="00C97F66">
      <w:pPr>
        <w:spacing w:after="0" w:line="240" w:lineRule="auto"/>
        <w:rPr>
          <w:rFonts w:ascii="Times New Roman" w:hAnsi="Times New Roman" w:cs="Times New Roman"/>
        </w:rPr>
      </w:pPr>
    </w:p>
    <w:p w14:paraId="4E5FFF10" w14:textId="1D1A2EDD" w:rsidR="00BC5BDF"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Ar ES finansēšanas instrumentiem ir atbalstītas dažādas darbības, kas veicina bērnu nabadzības un sociālās atstumtības apkarošanu un novēršanu. Tie ietver: i) ieguldījumu agrīnajā pirmsskolas izglītībā un aprūpē; ii) kopienas atbalstu un aktīvas iekļaušanas pasākumus vecākiem; iii) mājokļa atbalstu īpaši nelabvēlīgā situācijā nonākušām kopienām un bērniem; iv) izglītības atbalstu; v) ārpusskolas nodarbības, kā arī vi) pāreju no institucionālās aprūpes uz aprūpi ģimenē un kopienā.</w:t>
      </w:r>
    </w:p>
    <w:p w14:paraId="1084A822" w14:textId="77777777" w:rsidR="00040E0E" w:rsidRPr="00B37A02" w:rsidRDefault="00040E0E" w:rsidP="00C97F66">
      <w:pPr>
        <w:pStyle w:val="BodyText"/>
        <w:widowControl w:val="0"/>
        <w:spacing w:after="0"/>
        <w:rPr>
          <w:rFonts w:ascii="Times New Roman" w:hAnsi="Times New Roman"/>
          <w:sz w:val="24"/>
          <w:szCs w:val="24"/>
        </w:rPr>
      </w:pPr>
    </w:p>
    <w:p w14:paraId="53C8F3E2" w14:textId="4C32DDA4" w:rsidR="00BC5BDF"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Šajā nodaļā ir aprakstīts, kā ES fondi iepriekšējā plānošanas periodā veicināja cīņu pret bērnu nabadzību vai atstumtību. Tajā arī tiek analizēts, kā šie fondi var atbalstīt turpmāko Eiropas Garantijas bērniem īstenošanu.</w:t>
      </w:r>
    </w:p>
    <w:p w14:paraId="566DCCBF" w14:textId="77777777" w:rsidR="00040E0E" w:rsidRPr="00B37A02" w:rsidRDefault="00040E0E" w:rsidP="00C97F66">
      <w:pPr>
        <w:pStyle w:val="BodyText"/>
        <w:widowControl w:val="0"/>
        <w:spacing w:after="0"/>
        <w:rPr>
          <w:rFonts w:ascii="Times New Roman" w:hAnsi="Times New Roman"/>
          <w:sz w:val="24"/>
          <w:szCs w:val="24"/>
        </w:rPr>
      </w:pPr>
    </w:p>
    <w:p w14:paraId="5F411498" w14:textId="7340DE28" w:rsidR="00BC5BDF" w:rsidRPr="00B37A02" w:rsidRDefault="00040E0E" w:rsidP="00E44BA6">
      <w:pPr>
        <w:pStyle w:val="Heading2"/>
        <w:widowControl w:val="0"/>
        <w:spacing w:before="0" w:line="240" w:lineRule="auto"/>
        <w:jc w:val="both"/>
        <w:rPr>
          <w:rFonts w:cs="Times New Roman"/>
          <w:sz w:val="24"/>
          <w:szCs w:val="28"/>
        </w:rPr>
      </w:pPr>
      <w:bookmarkStart w:id="250" w:name="_Toc63692773"/>
      <w:bookmarkStart w:id="251" w:name="_Toc63712852"/>
      <w:bookmarkStart w:id="252" w:name="_Toc63850082"/>
      <w:bookmarkStart w:id="253" w:name="_Toc63850300"/>
      <w:bookmarkStart w:id="254" w:name="_Toc64476351"/>
      <w:r w:rsidRPr="00B37A02">
        <w:rPr>
          <w:rFonts w:cs="Times New Roman"/>
          <w:sz w:val="24"/>
        </w:rPr>
        <w:lastRenderedPageBreak/>
        <w:t>6.1. 2014.–2020. gada plānošanas periods</w:t>
      </w:r>
      <w:bookmarkEnd w:id="250"/>
      <w:bookmarkEnd w:id="251"/>
      <w:bookmarkEnd w:id="252"/>
      <w:bookmarkEnd w:id="253"/>
      <w:bookmarkEnd w:id="254"/>
    </w:p>
    <w:p w14:paraId="4072094E" w14:textId="77777777" w:rsidR="00040E0E" w:rsidRPr="00B37A02" w:rsidRDefault="00040E0E" w:rsidP="00E44BA6">
      <w:pPr>
        <w:keepNext/>
        <w:keepLines/>
        <w:spacing w:after="0" w:line="240" w:lineRule="auto"/>
        <w:rPr>
          <w:rFonts w:ascii="Times New Roman" w:hAnsi="Times New Roman" w:cs="Times New Roman"/>
        </w:rPr>
      </w:pPr>
    </w:p>
    <w:p w14:paraId="5EBFEFD9" w14:textId="77777777" w:rsidR="00BC5BDF" w:rsidRPr="00B37A02" w:rsidRDefault="00BC5BDF" w:rsidP="00E44BA6">
      <w:pPr>
        <w:pStyle w:val="BodyText"/>
        <w:keepNext/>
        <w:keepLines/>
        <w:widowControl w:val="0"/>
        <w:spacing w:after="0"/>
        <w:rPr>
          <w:rFonts w:ascii="Times New Roman" w:hAnsi="Times New Roman"/>
          <w:sz w:val="24"/>
          <w:szCs w:val="24"/>
        </w:rPr>
      </w:pPr>
      <w:r w:rsidRPr="00B37A02">
        <w:rPr>
          <w:rFonts w:ascii="Times New Roman" w:hAnsi="Times New Roman"/>
          <w:sz w:val="24"/>
        </w:rPr>
        <w:t>2014.–2020. gada plānošanas periodā Eiropas strukturālie un investīciju fondi</w:t>
      </w:r>
      <w:r w:rsidRPr="00B37A02">
        <w:rPr>
          <w:rFonts w:ascii="Times New Roman" w:hAnsi="Times New Roman"/>
          <w:bCs/>
          <w:sz w:val="24"/>
          <w:szCs w:val="24"/>
          <w:vertAlign w:val="superscript"/>
        </w:rPr>
        <w:footnoteReference w:id="215"/>
      </w:r>
      <w:r w:rsidRPr="00B37A02">
        <w:rPr>
          <w:rFonts w:ascii="Times New Roman" w:hAnsi="Times New Roman"/>
          <w:sz w:val="24"/>
        </w:rPr>
        <w:t xml:space="preserve"> atbalstīja vairākus politikas pasākumus, tostarp: i) bērnu nabadzības un atstumtības problēmas risināšanu; ii) darba un privātās dzīves līdzsvarošanu; iii) pāreju no institucionālās aprūpes uz aprūpi ģimenē un kopienā; iv) kvalitatīvu vispārēju izglītību, kā arī v) aprūpes pakalpojumus. Ar Ieteikumu “Ieguldījums bērnos” bija paredzēts sniegt informāciju par finansēšanas prioritātēm kohēzijas politikas īstenošanai un vairot iespējas finansēt pasākumus no ES finansējuma bērniem un viņu ģimenēm.</w:t>
      </w:r>
    </w:p>
    <w:p w14:paraId="04612F81" w14:textId="1A9795AD" w:rsidR="00BC5BDF"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Eiropas Sociālais fonds</w:t>
      </w:r>
      <w:r w:rsidRPr="00B37A02">
        <w:rPr>
          <w:rFonts w:ascii="Times New Roman" w:hAnsi="Times New Roman"/>
          <w:sz w:val="24"/>
          <w:szCs w:val="24"/>
          <w:vertAlign w:val="superscript"/>
        </w:rPr>
        <w:footnoteReference w:id="216"/>
      </w:r>
      <w:r w:rsidRPr="00B37A02">
        <w:rPr>
          <w:rFonts w:ascii="Times New Roman" w:hAnsi="Times New Roman"/>
          <w:sz w:val="24"/>
        </w:rPr>
        <w:t xml:space="preserve"> (turpmāk tekstā – ESF) tika izmantots daudzām darbībām, kuru mērķis ir atbalstīt bērnus, tostarp bērnus,</w:t>
      </w:r>
      <w:r w:rsidRPr="00B37A02">
        <w:rPr>
          <w:rStyle w:val="FootnoteReference"/>
          <w:rFonts w:ascii="Times New Roman" w:hAnsi="Times New Roman"/>
          <w:sz w:val="24"/>
          <w:szCs w:val="24"/>
        </w:rPr>
        <w:footnoteReference w:id="217"/>
      </w:r>
      <w:r w:rsidRPr="00B37A02">
        <w:rPr>
          <w:rFonts w:ascii="Times New Roman" w:hAnsi="Times New Roman"/>
          <w:sz w:val="24"/>
        </w:rPr>
        <w:t xml:space="preserve"> kuriem palīdzība ir nepieciešama visvairāk. Cilvēkkapitāla attīstība un iekļaujošāka sabiedrība bija galvenie faktori, kas veicināja ESF ieguldījumu bērnos un iejaukšanās pasākumus nabadzības apburtā loka pārraušanai. Galvenās darbības var iedalīt trīs plašās kategorijās: i) iekļaujoši izglītības un mācību pasākumi; ii) darba un privātās dzīves līdzsvarošana un bērnu aprūpes pasākumi un iii) citi iekļaujoši pakalpojumi, tostarp dažādi sociālie pakalpojumi, deinstitucionalizācija un pāreja no institucionālās aprūpes uz aprūpi kopienā, kā arī materiāls atbalsts neaizsargātiem bērniem.</w:t>
      </w:r>
    </w:p>
    <w:p w14:paraId="4455CC1D" w14:textId="77777777" w:rsidR="00040E0E" w:rsidRPr="00B37A02" w:rsidRDefault="00040E0E" w:rsidP="00C97F66">
      <w:pPr>
        <w:pStyle w:val="BodyText"/>
        <w:widowControl w:val="0"/>
        <w:spacing w:after="0"/>
        <w:rPr>
          <w:rFonts w:ascii="Times New Roman" w:hAnsi="Times New Roman"/>
          <w:sz w:val="24"/>
          <w:szCs w:val="24"/>
        </w:rPr>
      </w:pPr>
    </w:p>
    <w:p w14:paraId="1F6808E9" w14:textId="77777777" w:rsidR="00BC5BDF" w:rsidRPr="00B37A02" w:rsidRDefault="00BC5BDF" w:rsidP="00C97F66">
      <w:pPr>
        <w:pStyle w:val="BodyText"/>
        <w:widowControl w:val="0"/>
        <w:spacing w:after="0"/>
        <w:rPr>
          <w:rFonts w:ascii="Times New Roman" w:hAnsi="Times New Roman"/>
          <w:bCs/>
          <w:sz w:val="24"/>
          <w:szCs w:val="24"/>
        </w:rPr>
      </w:pPr>
      <w:r w:rsidRPr="00B37A02">
        <w:rPr>
          <w:rFonts w:ascii="Times New Roman" w:hAnsi="Times New Roman"/>
          <w:sz w:val="24"/>
        </w:rPr>
        <w:t>Eiropas Reģionālās attīstības fonda</w:t>
      </w:r>
      <w:r w:rsidRPr="00B37A02">
        <w:rPr>
          <w:rFonts w:ascii="Times New Roman" w:hAnsi="Times New Roman"/>
          <w:sz w:val="24"/>
          <w:szCs w:val="24"/>
          <w:vertAlign w:val="superscript"/>
        </w:rPr>
        <w:footnoteReference w:id="218"/>
      </w:r>
      <w:r w:rsidRPr="00B37A02">
        <w:rPr>
          <w:rFonts w:ascii="Times New Roman" w:hAnsi="Times New Roman"/>
          <w:sz w:val="24"/>
        </w:rPr>
        <w:t xml:space="preserve"> (turpmāk tekstā – ERAF) finansējums tika izmantots, lai atbalstītu ieguldījumus iekārtās un sociālajā infrastruktūrā, piemēram, attiecībā uz: i) agrīno pirmsskolas izglītību un aprūpi; ii) ārpusskolas aprūpi; iii) iekļaujošu izglītību; iv) veselības aprūpi; v) mājokļiem un patversmēm vardarbības ģimenē upuriem, kā arī vi) nabadzīgo apkaimju atjaunošanu. Līdzās ESF ERAF finansēja arī deinstitucionalizāciju un pāreju no bērnu institucionālās aprūpes uz aprūpi kopienā. ERAF atbalstīja arī </w:t>
      </w:r>
      <w:r w:rsidRPr="00B37A02">
        <w:rPr>
          <w:rFonts w:ascii="Times New Roman" w:hAnsi="Times New Roman"/>
          <w:i/>
          <w:iCs/>
          <w:sz w:val="24"/>
        </w:rPr>
        <w:t>Interreg</w:t>
      </w:r>
      <w:r w:rsidRPr="00B37A02">
        <w:rPr>
          <w:rFonts w:ascii="Times New Roman" w:hAnsi="Times New Roman"/>
          <w:sz w:val="24"/>
        </w:rPr>
        <w:t xml:space="preserve"> pārrobežu sadarbības projektus, piemēram, par bērnu, kam vajadzīga palīdzība, vai vardarbībai pakļautu bērnu pārrobežu aizsardzību. Turklāt ERAF pārbaudīja jaunus veidus, kā novērst juridiskos šķēršļus pierobežas reģionos, lai atbalstītu pārrobežu pakalpojumu pieejamību bērniem.</w:t>
      </w:r>
    </w:p>
    <w:p w14:paraId="306C2E4C" w14:textId="77777777" w:rsidR="00040E0E" w:rsidRPr="00B37A02" w:rsidRDefault="00040E0E" w:rsidP="00C97F66">
      <w:pPr>
        <w:pStyle w:val="BodyText"/>
        <w:widowControl w:val="0"/>
        <w:spacing w:after="0"/>
        <w:rPr>
          <w:rFonts w:ascii="Times New Roman" w:hAnsi="Times New Roman"/>
          <w:sz w:val="24"/>
          <w:szCs w:val="24"/>
        </w:rPr>
      </w:pPr>
    </w:p>
    <w:p w14:paraId="5572FBAF" w14:textId="2A844C34"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Eiropas Lauksaimniecības fonds lauku attīstībai</w:t>
      </w:r>
      <w:r w:rsidRPr="00B37A02">
        <w:rPr>
          <w:rFonts w:ascii="Times New Roman" w:hAnsi="Times New Roman"/>
          <w:sz w:val="24"/>
          <w:szCs w:val="24"/>
          <w:vertAlign w:val="superscript"/>
        </w:rPr>
        <w:footnoteReference w:id="219"/>
      </w:r>
      <w:r w:rsidRPr="00B37A02">
        <w:rPr>
          <w:rFonts w:ascii="Times New Roman" w:hAnsi="Times New Roman"/>
          <w:sz w:val="24"/>
        </w:rPr>
        <w:t xml:space="preserve"> (turpmāk tekstā – ELFLA) atbalstīja ieguldījumus lauku iedzīvotājiem paredzētu vietējo pamatpakalpojumu, piemēram, agrīnās pirmsskolas izglītības un aprūpes, izglītības pasākumu un veselības aprūpes pakalpojumu, izveidē, uzlabošanā un paplašināšanā.</w:t>
      </w:r>
    </w:p>
    <w:p w14:paraId="4178AD98" w14:textId="77777777" w:rsidR="00040E0E" w:rsidRPr="00B37A02" w:rsidRDefault="00040E0E" w:rsidP="00C97F66">
      <w:pPr>
        <w:pStyle w:val="BodyText"/>
        <w:widowControl w:val="0"/>
        <w:spacing w:after="0"/>
        <w:rPr>
          <w:rFonts w:ascii="Times New Roman" w:hAnsi="Times New Roman"/>
          <w:sz w:val="24"/>
          <w:szCs w:val="24"/>
        </w:rPr>
      </w:pPr>
    </w:p>
    <w:p w14:paraId="7C007E13" w14:textId="4138F76B" w:rsidR="00BC5BDF"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Dalībvalstu rīcībā bija arī Eiropas atbalsta fonds vistrūcīgākajām personām</w:t>
      </w:r>
      <w:r w:rsidRPr="00B37A02">
        <w:rPr>
          <w:rFonts w:ascii="Times New Roman" w:hAnsi="Times New Roman"/>
          <w:sz w:val="24"/>
          <w:szCs w:val="24"/>
          <w:vertAlign w:val="superscript"/>
        </w:rPr>
        <w:footnoteReference w:id="220"/>
      </w:r>
      <w:r w:rsidRPr="00B37A02">
        <w:rPr>
          <w:rFonts w:ascii="Times New Roman" w:hAnsi="Times New Roman"/>
          <w:sz w:val="24"/>
        </w:rPr>
        <w:t xml:space="preserve"> (turpmāk tekstā – </w:t>
      </w:r>
      <w:r w:rsidRPr="00B37A02">
        <w:rPr>
          <w:rFonts w:ascii="Times New Roman" w:hAnsi="Times New Roman"/>
          <w:i/>
          <w:iCs/>
          <w:sz w:val="24"/>
        </w:rPr>
        <w:t>FEAD</w:t>
      </w:r>
      <w:r w:rsidRPr="00B37A02">
        <w:rPr>
          <w:rFonts w:ascii="Times New Roman" w:hAnsi="Times New Roman"/>
          <w:sz w:val="24"/>
        </w:rPr>
        <w:t xml:space="preserve">) 2014.–2020. gadam, lai nodrošinātu pārtiku, materiālo palīdzību un ar sociālo iekļaušanu saistītas darbības trūkumā nonākušiem bērniem. </w:t>
      </w:r>
      <w:r w:rsidRPr="00B37A02">
        <w:rPr>
          <w:rFonts w:ascii="Times New Roman" w:hAnsi="Times New Roman"/>
          <w:i/>
          <w:iCs/>
          <w:sz w:val="24"/>
        </w:rPr>
        <w:t>FEAD</w:t>
      </w:r>
      <w:r w:rsidRPr="00B37A02">
        <w:rPr>
          <w:rFonts w:ascii="Times New Roman" w:hAnsi="Times New Roman"/>
          <w:sz w:val="24"/>
        </w:rPr>
        <w:t xml:space="preserve"> nodrošināja bērniem un viņu ģimenēm atbalstu natūrā, ko bieži vien papildināja ar sociālo iekļaušanu saistīti pasākumi, lai integrēti aplūkotu dažādus nabadzības problēmas aspektus.</w:t>
      </w:r>
    </w:p>
    <w:p w14:paraId="39F1AA7F" w14:textId="77777777" w:rsidR="00BC5BDF" w:rsidRPr="00B37A02" w:rsidRDefault="00BC5BDF" w:rsidP="00C97F66">
      <w:pPr>
        <w:pStyle w:val="BodyText"/>
        <w:widowControl w:val="0"/>
        <w:spacing w:after="0"/>
        <w:rPr>
          <w:rFonts w:ascii="Times New Roman" w:hAnsi="Times New Roman"/>
          <w:sz w:val="24"/>
        </w:rPr>
      </w:pPr>
      <w:r w:rsidRPr="00B37A02">
        <w:rPr>
          <w:rFonts w:ascii="Times New Roman" w:hAnsi="Times New Roman"/>
          <w:sz w:val="24"/>
        </w:rPr>
        <w:lastRenderedPageBreak/>
        <w:t>Vairākas ES finansētās programmas bija vērstas uz darbībām, kuru mērķis ir aizsargāt un veicināt bērnu tiesības, piemēram, darbības saskaņā ar programmu “Tiesības, vienlīdzība, pilsonība un vērtības”,</w:t>
      </w:r>
      <w:r w:rsidRPr="00B37A02">
        <w:rPr>
          <w:rStyle w:val="FootnoteReference"/>
          <w:rFonts w:ascii="Times New Roman" w:hAnsi="Times New Roman"/>
          <w:bCs/>
          <w:sz w:val="24"/>
          <w:szCs w:val="24"/>
        </w:rPr>
        <w:footnoteReference w:id="221"/>
      </w:r>
      <w:r w:rsidRPr="00B37A02">
        <w:rPr>
          <w:rFonts w:ascii="Times New Roman" w:hAnsi="Times New Roman"/>
          <w:sz w:val="24"/>
        </w:rPr>
        <w:t xml:space="preserve"> kas finansē tiešās pārvaldības projektus, lai veicinātu un aizsargātu bērnu tiesības, tostarp bērniem no nelabvēlīgas vides. Agrāk aicinājumi iesniegt priekšlikumus aptvēra tādas jomas kā integrētas bērnu aizsardzības sistēmas un alternatīvā aprūpe vai bērnu aizsardzība migrācijā. Patvēruma, migrācijas un integrācijas fonda un Iekšējās drošības fonda ietvaros bija pieejami ES fondi, lai aizsargātu bērnus migrācijā, tostarp aizsargājot viņus no cilvēku tirdzniecības. Patvēruma, migrācijas un integrācijas fonds tika izmantots arī tamdēļ, lai uzlabotu pakalpojumu pielāgošanu migrantu bērniem un migrantu izcelsmes bērniem.</w:t>
      </w:r>
    </w:p>
    <w:p w14:paraId="43A040B2" w14:textId="77777777" w:rsidR="00040E0E" w:rsidRPr="00B37A02" w:rsidRDefault="00040E0E" w:rsidP="00C97F66">
      <w:pPr>
        <w:pStyle w:val="BodyText"/>
        <w:widowControl w:val="0"/>
        <w:spacing w:after="0"/>
        <w:rPr>
          <w:rFonts w:ascii="Times New Roman" w:hAnsi="Times New Roman"/>
          <w:sz w:val="24"/>
          <w:szCs w:val="24"/>
        </w:rPr>
      </w:pPr>
      <w:bookmarkStart w:id="255" w:name="_Toc62833128"/>
    </w:p>
    <w:p w14:paraId="07268CE7" w14:textId="2C408E4F" w:rsidR="00BC5BDF"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Ar “Erasmus+” programmu</w:t>
      </w:r>
      <w:r w:rsidRPr="00B37A02">
        <w:rPr>
          <w:rFonts w:ascii="Times New Roman" w:hAnsi="Times New Roman"/>
          <w:sz w:val="24"/>
          <w:szCs w:val="24"/>
          <w:vertAlign w:val="superscript"/>
        </w:rPr>
        <w:footnoteReference w:id="222"/>
      </w:r>
      <w:r w:rsidRPr="00B37A02">
        <w:rPr>
          <w:rFonts w:ascii="Times New Roman" w:hAnsi="Times New Roman"/>
          <w:sz w:val="24"/>
        </w:rPr>
        <w:t xml:space="preserve"> tika atbalstītas agrīnajā pirmsskolas izglītībā un aprūpē, kā arī izglītībā iesaistītā personāla mācības un turpmāka profesionalizācija. Tās ietvaros arī tiek finansēti projekti, kuru mērķis ir uzlabot kvalitāti šajos sektoros.</w:t>
      </w:r>
      <w:bookmarkEnd w:id="255"/>
    </w:p>
    <w:p w14:paraId="60D37BC8" w14:textId="77777777" w:rsidR="00040E0E" w:rsidRPr="00B37A02" w:rsidRDefault="00040E0E" w:rsidP="00C97F66">
      <w:pPr>
        <w:pStyle w:val="BodyText"/>
        <w:widowControl w:val="0"/>
        <w:spacing w:after="0"/>
        <w:rPr>
          <w:rFonts w:ascii="Times New Roman" w:hAnsi="Times New Roman"/>
          <w:sz w:val="24"/>
          <w:szCs w:val="24"/>
        </w:rPr>
      </w:pPr>
    </w:p>
    <w:p w14:paraId="6CF82752" w14:textId="2E968E07" w:rsidR="00BC5BDF"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Ar Nodarbinātības un sociālās inovācijas programmu</w:t>
      </w:r>
      <w:r w:rsidRPr="00B37A02">
        <w:rPr>
          <w:rFonts w:ascii="Times New Roman" w:hAnsi="Times New Roman"/>
          <w:sz w:val="24"/>
          <w:szCs w:val="24"/>
          <w:vertAlign w:val="superscript"/>
          <w:lang w:eastAsia="de-DE"/>
        </w:rPr>
        <w:footnoteReference w:id="223"/>
      </w:r>
      <w:r w:rsidRPr="00B37A02">
        <w:rPr>
          <w:rFonts w:ascii="Times New Roman" w:hAnsi="Times New Roman"/>
          <w:sz w:val="24"/>
        </w:rPr>
        <w:t xml:space="preserve"> (turpmāk tekstā – </w:t>
      </w:r>
      <w:r w:rsidRPr="00B37A02">
        <w:rPr>
          <w:rFonts w:ascii="Times New Roman" w:hAnsi="Times New Roman"/>
          <w:i/>
          <w:iCs/>
          <w:sz w:val="24"/>
        </w:rPr>
        <w:t>EaSI</w:t>
      </w:r>
      <w:r w:rsidRPr="00B37A02">
        <w:rPr>
          <w:rFonts w:ascii="Times New Roman" w:hAnsi="Times New Roman"/>
          <w:sz w:val="24"/>
        </w:rPr>
        <w:t xml:space="preserve">) tika sekmētas sociālās inovācijas: i) pievērst īpašu uzmanību neaizsargātām grupām; ii) cīnīties ar diskrimināciju; iii) sekmēt atbilstīgu sociālo aizsardzību, kā arī iv) apkarot nabadzību. Ar </w:t>
      </w:r>
      <w:r w:rsidRPr="00B37A02">
        <w:rPr>
          <w:rFonts w:ascii="Times New Roman" w:hAnsi="Times New Roman"/>
          <w:i/>
          <w:iCs/>
          <w:sz w:val="24"/>
        </w:rPr>
        <w:t>EaSI</w:t>
      </w:r>
      <w:r w:rsidRPr="00B37A02">
        <w:rPr>
          <w:rFonts w:ascii="Times New Roman" w:hAnsi="Times New Roman"/>
          <w:sz w:val="24"/>
        </w:rPr>
        <w:t xml:space="preserve"> šis darbs tika veikts, iesaistot organizācijas no visas Eiropas. Tāpat paredzēts atbalstīt </w:t>
      </w:r>
      <w:r w:rsidRPr="00B37A02">
        <w:rPr>
          <w:rFonts w:ascii="Times New Roman" w:hAnsi="Times New Roman"/>
          <w:i/>
          <w:iCs/>
          <w:sz w:val="24"/>
        </w:rPr>
        <w:t>EaSI</w:t>
      </w:r>
      <w:r w:rsidRPr="00B37A02">
        <w:rPr>
          <w:rFonts w:ascii="Times New Roman" w:hAnsi="Times New Roman"/>
          <w:sz w:val="24"/>
        </w:rPr>
        <w:t xml:space="preserve"> inovāciju projektus, paredzot papildu ES finansējumu, piemēram, ESF, vai valsts programmas.</w:t>
      </w:r>
    </w:p>
    <w:p w14:paraId="7C418DC0" w14:textId="77777777" w:rsidR="00040E0E" w:rsidRPr="00B37A02" w:rsidRDefault="00040E0E" w:rsidP="00C97F66">
      <w:pPr>
        <w:pStyle w:val="BodyText"/>
        <w:widowControl w:val="0"/>
        <w:spacing w:after="0"/>
        <w:rPr>
          <w:rFonts w:ascii="Times New Roman" w:hAnsi="Times New Roman"/>
          <w:bCs/>
          <w:sz w:val="24"/>
          <w:szCs w:val="24"/>
        </w:rPr>
      </w:pPr>
    </w:p>
    <w:p w14:paraId="070977D8" w14:textId="75DEB7E4" w:rsidR="00BC5BDF" w:rsidRPr="00B37A02" w:rsidRDefault="00BC5BDF" w:rsidP="00C97F66">
      <w:pPr>
        <w:pStyle w:val="BodyText"/>
        <w:widowControl w:val="0"/>
        <w:spacing w:after="0"/>
        <w:rPr>
          <w:rFonts w:ascii="Times New Roman" w:hAnsi="Times New Roman"/>
          <w:bCs/>
          <w:sz w:val="24"/>
          <w:szCs w:val="24"/>
        </w:rPr>
      </w:pPr>
      <w:r w:rsidRPr="00B37A02">
        <w:rPr>
          <w:rFonts w:ascii="Times New Roman" w:hAnsi="Times New Roman"/>
          <w:sz w:val="24"/>
        </w:rPr>
        <w:t>Pētniecības un inovācijas pamatprogramma “Apvārsnis 2020” ir finansējusi un līdz 2024. gadam turpinās finansēt daudzus pētniecības projektus par bērniem tādās jomās kā: i) sociālā iekļaušana; ii) izglītība; iii) nevienlīdzība; iv) migrantu bērnu integrācija, kā arī v) bērnu un pusaudžu garīgā veselība un labklājība.</w:t>
      </w:r>
    </w:p>
    <w:p w14:paraId="53D0AC86" w14:textId="77777777" w:rsidR="00040E0E" w:rsidRPr="00B37A02" w:rsidRDefault="00040E0E" w:rsidP="00C97F66">
      <w:pPr>
        <w:pStyle w:val="BodyText"/>
        <w:widowControl w:val="0"/>
        <w:spacing w:after="0"/>
        <w:rPr>
          <w:rFonts w:ascii="Times New Roman" w:eastAsia="Calibri" w:hAnsi="Times New Roman"/>
          <w:sz w:val="24"/>
          <w:shd w:val="clear" w:color="auto" w:fill="FFFFFF"/>
        </w:rPr>
      </w:pPr>
    </w:p>
    <w:p w14:paraId="1147411C" w14:textId="077781E6" w:rsidR="00BC5BDF" w:rsidRPr="00B37A02" w:rsidRDefault="00BC5BDF" w:rsidP="00C97F66">
      <w:pPr>
        <w:pStyle w:val="BodyText"/>
        <w:widowControl w:val="0"/>
        <w:spacing w:after="0"/>
        <w:rPr>
          <w:rFonts w:ascii="Times New Roman" w:eastAsia="Calibri" w:hAnsi="Times New Roman"/>
          <w:sz w:val="24"/>
          <w:shd w:val="clear" w:color="auto" w:fill="FFFFFF"/>
        </w:rPr>
      </w:pPr>
      <w:r w:rsidRPr="00B37A02">
        <w:rPr>
          <w:rFonts w:ascii="Times New Roman" w:hAnsi="Times New Roman"/>
          <w:sz w:val="24"/>
          <w:shd w:val="clear" w:color="auto" w:fill="FFFFFF"/>
        </w:rPr>
        <w:t>No 2017. līdz 2020. gadam Strukturālo reformu atbalsta programma paredzēja tehnisko atbalstu, lai īstenotu dalībvalstu reformas, kuru mērķis ir: i) uzlabot agrīnās pirmsskolas izglītības un aprūpes kvalitāti un novērst mācību priekšlaicīgu pārtraukšanu; ii) padarīt izglītības sistēmas iekļaujošākas; iii) atbalstīt bērnu deinstitucionalizāciju; iv) uzlabot pakalpojumu pieejamību bērniem ar invaliditāti; v) veicināt migrantu un etnisko minoritāšu bērnu sociālo integrāciju; vi) palielināt valstu tiesu sistēmu draudzīgumu bērniem, kā arī vii) pārskatīt ģimenes aizsardzības tiesību aktus, lai apmierinātu visu veidu ģimeņu mainīgās vajadzības.</w:t>
      </w:r>
    </w:p>
    <w:p w14:paraId="0EBF19A4" w14:textId="77777777" w:rsidR="00040E0E" w:rsidRPr="00B37A02" w:rsidRDefault="00040E0E" w:rsidP="00C97F66">
      <w:pPr>
        <w:pStyle w:val="BodyText"/>
        <w:widowControl w:val="0"/>
        <w:spacing w:after="0"/>
        <w:rPr>
          <w:rFonts w:ascii="Times New Roman" w:hAnsi="Times New Roman"/>
          <w:sz w:val="24"/>
          <w:shd w:val="clear" w:color="auto" w:fill="FFFFFF"/>
        </w:rPr>
      </w:pPr>
    </w:p>
    <w:p w14:paraId="75998604" w14:textId="367A0AFE" w:rsidR="00BC5BDF" w:rsidRPr="00B37A02" w:rsidRDefault="00040E0E" w:rsidP="00C97F66">
      <w:pPr>
        <w:pStyle w:val="Heading2"/>
        <w:keepNext w:val="0"/>
        <w:keepLines w:val="0"/>
        <w:widowControl w:val="0"/>
        <w:spacing w:before="0" w:line="240" w:lineRule="auto"/>
        <w:jc w:val="both"/>
        <w:rPr>
          <w:rFonts w:cs="Times New Roman"/>
          <w:sz w:val="24"/>
          <w:szCs w:val="28"/>
        </w:rPr>
      </w:pPr>
      <w:bookmarkStart w:id="256" w:name="_Toc63692774"/>
      <w:bookmarkStart w:id="257" w:name="_Toc63712853"/>
      <w:bookmarkStart w:id="258" w:name="_Toc63850083"/>
      <w:bookmarkStart w:id="259" w:name="_Toc63850301"/>
      <w:bookmarkStart w:id="260" w:name="_Toc64476352"/>
      <w:r w:rsidRPr="00B37A02">
        <w:rPr>
          <w:rFonts w:cs="Times New Roman"/>
          <w:sz w:val="24"/>
        </w:rPr>
        <w:t>6.2. 2021.–2027. gada plānošanas periods</w:t>
      </w:r>
      <w:bookmarkStart w:id="261" w:name="_Toc63752644"/>
      <w:bookmarkStart w:id="262" w:name="_Toc63752127"/>
      <w:bookmarkStart w:id="263" w:name="_Toc63712305"/>
      <w:bookmarkStart w:id="264" w:name="_Toc63697554"/>
      <w:bookmarkEnd w:id="256"/>
      <w:bookmarkEnd w:id="257"/>
      <w:bookmarkEnd w:id="258"/>
      <w:bookmarkEnd w:id="259"/>
      <w:bookmarkEnd w:id="260"/>
      <w:bookmarkEnd w:id="261"/>
      <w:bookmarkEnd w:id="262"/>
      <w:bookmarkEnd w:id="263"/>
      <w:bookmarkEnd w:id="264"/>
    </w:p>
    <w:p w14:paraId="535AF776" w14:textId="77777777" w:rsidR="00040E0E" w:rsidRPr="00B37A02" w:rsidRDefault="00040E0E" w:rsidP="00C97F66">
      <w:pPr>
        <w:spacing w:after="0" w:line="240" w:lineRule="auto"/>
        <w:rPr>
          <w:rFonts w:ascii="Times New Roman" w:hAnsi="Times New Roman" w:cs="Times New Roman"/>
        </w:rPr>
      </w:pPr>
    </w:p>
    <w:p w14:paraId="59A01884" w14:textId="77777777"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 xml:space="preserve">Pamatojoties uz visu šo pieredzi, kohēzijas politikas fondi, jo īpaši Eiropas Sociālais fonds Plus (ESF+) un ERAF, turpinās atbalstīt nodarbinātības, izglītības un sociālo politiku nākamajā daudzgadu finanšu shēmā 2021.–2027. gadam. Saskaņā ar šo shēmu visas dalībvalstis vismaz 25 % no saviem ESF+ līdzekļiem atvēlēs sociālajai iekļaušanai. Dalībvalstis, kurās bērnu nabadzības vai sociālās atstumtības risks no 2017. līdz 2019. gadam pārsniedza ES vidējo rādītāju (t. i., virs 23,4 %), vismaz 5 % no savas ESF+ daļas atvēlēs pasākumiem bērnu nabadzības apkarošanai, savukārt visām pārējām dalībvalstīm ir pienākums ieplānot atbilstošu </w:t>
      </w:r>
      <w:r w:rsidRPr="00B37A02">
        <w:rPr>
          <w:rFonts w:ascii="Times New Roman" w:hAnsi="Times New Roman"/>
          <w:sz w:val="24"/>
        </w:rPr>
        <w:lastRenderedPageBreak/>
        <w:t>summu. Ieguldījumi attiecīgajās darbībās saskaņā ar īpašajiem iekļaušanas mērķiem tiks atskaitīti no 25 % novirzījuma, izņemot tad, ja tie ir plānoti saskaņā ar īpašo mērķi par izglītību. Turklāt dalībvalstis var ieguldīt: i) darbībās pārtikas vai materiālās nenodrošinātības novēršanai un ii) papildu pasākumos bērniem saskaņā ar attiecīgo ESF+ īpašo mērķi. Ja tās iegulda šajās divās jomās, tas tiks atskaitīts no 3 %, kas tām ir jāiztērē, lai risinātu materiālās nenodrošinātības problēmas.</w:t>
      </w:r>
    </w:p>
    <w:p w14:paraId="5F46B44D" w14:textId="77777777" w:rsidR="00040E0E" w:rsidRPr="00B37A02" w:rsidRDefault="00040E0E" w:rsidP="00C97F66">
      <w:pPr>
        <w:pStyle w:val="BodyText"/>
        <w:widowControl w:val="0"/>
        <w:spacing w:after="0"/>
        <w:rPr>
          <w:rFonts w:ascii="Times New Roman" w:hAnsi="Times New Roman"/>
          <w:sz w:val="24"/>
          <w:szCs w:val="24"/>
        </w:rPr>
      </w:pPr>
    </w:p>
    <w:p w14:paraId="1B0B4C5E" w14:textId="030483F3" w:rsidR="00BC5BDF"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 xml:space="preserve">Finansējot Garantiju jauniešiem (kas paredzēta personām, kuras vecākas par 15 gadiem), dalībvalstīm ir jānovirza vismaz 12,5 % no saviem ESF+ līdzekļiem, lai atbalstītu tos jauniešus, kuri nepiedalās ne izglītībā, ne nodarbinātībā vai mācībās, ja to iedzīvotāju īpatsvars šajā grupā no 2017. līdz 2019. gadam pārsniedza ES vidējo rādītāju, kā arī attālākajos reģionos. Visām pārējām dalībvalstīm ir jānovirza atbilstoša summa cilvēkiem, kuri nepiedalās ne izglītībā, ne nodarbinātībā vai mācībās. Atbalsts sociālajām inovācijām, kas vērstas uz neaizsargātām grupām, turpināsies arī no 2021. līdz 2027. gadam, izmantojot gan </w:t>
      </w:r>
      <w:r w:rsidRPr="00B37A02">
        <w:rPr>
          <w:rFonts w:ascii="Times New Roman" w:hAnsi="Times New Roman"/>
          <w:i/>
          <w:iCs/>
          <w:sz w:val="24"/>
        </w:rPr>
        <w:t>EaSI</w:t>
      </w:r>
      <w:r w:rsidRPr="00B37A02">
        <w:rPr>
          <w:rFonts w:ascii="Times New Roman" w:hAnsi="Times New Roman"/>
          <w:sz w:val="24"/>
        </w:rPr>
        <w:t>, gan ESF+ dalītās pārvaldības daļu.</w:t>
      </w:r>
    </w:p>
    <w:p w14:paraId="63239111" w14:textId="77777777" w:rsidR="00040E0E" w:rsidRPr="00B37A02" w:rsidRDefault="00040E0E" w:rsidP="00C97F66">
      <w:pPr>
        <w:pStyle w:val="BodyText"/>
        <w:widowControl w:val="0"/>
        <w:spacing w:after="0"/>
        <w:rPr>
          <w:rFonts w:ascii="Times New Roman" w:hAnsi="Times New Roman"/>
          <w:sz w:val="24"/>
          <w:szCs w:val="24"/>
        </w:rPr>
      </w:pPr>
    </w:p>
    <w:p w14:paraId="1B7D71D7" w14:textId="14988874" w:rsidR="00BC5BDF"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Plānojot Savienības fondus 2021.–2027. gadam, jāturpina novērst dažas nepilnības, kas Eiropas pusgada procesā konstatētas konkrētai valstij adresētajos ieteikumos. To ņemot vērā, 2019. gada Eiropas pusgada</w:t>
      </w:r>
      <w:r w:rsidRPr="00B37A02">
        <w:rPr>
          <w:rFonts w:ascii="Times New Roman" w:hAnsi="Times New Roman"/>
          <w:sz w:val="24"/>
          <w:szCs w:val="24"/>
          <w:vertAlign w:val="superscript"/>
        </w:rPr>
        <w:footnoteReference w:id="224"/>
      </w:r>
      <w:r w:rsidRPr="00B37A02">
        <w:rPr>
          <w:rFonts w:ascii="Times New Roman" w:hAnsi="Times New Roman"/>
          <w:sz w:val="24"/>
        </w:rPr>
        <w:t xml:space="preserve"> valstu ziņojumos (skat. D pielikumu) ir noteiktas dažas prioritārās jomas, lai pēc iespējas labāk izmantotu šos fondus, ņemot vērā arī reģionālās atšķirības. Vairākas prioritātes ir cieši saistītas ar pakalpojumiem, uz kuriem attiecas Eiropas Garantija bērniem, piemēram: i) piekļuve agrīnajai pirmsskolas izglītībai un aprūpei un iekļaujošai izglītībai; ii) pāreja no institucionālās aprūpes uz aprūpi ģimenē un kopienā, kā arī iii) piekļuve kvalitatīviem un cenas ziņā pieejamiem sociālajiem un veselības aprūpes pakalpojumiem. Turklāt Eiropas Garantijas bērniem vajadzībām no 2021. līdz 2027. gadam joprojām būs spēkā šādi politikas virzieni no 2014.–2020. gada perioda:</w:t>
      </w:r>
    </w:p>
    <w:p w14:paraId="3AB77FF1" w14:textId="77777777" w:rsidR="00040E0E" w:rsidRPr="00B37A02" w:rsidRDefault="00040E0E" w:rsidP="00C97F66">
      <w:pPr>
        <w:pStyle w:val="BodyText"/>
        <w:widowControl w:val="0"/>
        <w:spacing w:after="0"/>
        <w:rPr>
          <w:rFonts w:ascii="Times New Roman" w:hAnsi="Times New Roman"/>
          <w:sz w:val="24"/>
          <w:szCs w:val="24"/>
        </w:rPr>
      </w:pPr>
    </w:p>
    <w:p w14:paraId="368507B8" w14:textId="77777777" w:rsidR="00BC5BDF" w:rsidRPr="00B37A02" w:rsidRDefault="00BC5BDF" w:rsidP="00C97F66">
      <w:pPr>
        <w:pStyle w:val="BodyText"/>
        <w:widowControl w:val="0"/>
        <w:numPr>
          <w:ilvl w:val="0"/>
          <w:numId w:val="5"/>
        </w:numPr>
        <w:spacing w:after="0"/>
        <w:ind w:left="567" w:hanging="284"/>
        <w:rPr>
          <w:rFonts w:ascii="Times New Roman" w:hAnsi="Times New Roman"/>
          <w:sz w:val="24"/>
          <w:szCs w:val="24"/>
        </w:rPr>
      </w:pPr>
      <w:r w:rsidRPr="00B37A02">
        <w:rPr>
          <w:rFonts w:ascii="Times New Roman" w:hAnsi="Times New Roman"/>
          <w:sz w:val="24"/>
        </w:rPr>
        <w:t>visaptverošas darbības, lai veicinātu atstumtu bērnu iekļaušanu, īpašu uzmanību pievēršot bērniem ar invaliditāti, migrantu izcelsmes bērniem vai atstumtām romu kopienām;</w:t>
      </w:r>
    </w:p>
    <w:p w14:paraId="2885E3AE" w14:textId="77777777" w:rsidR="00BC5BDF" w:rsidRPr="00B37A02" w:rsidRDefault="00BC5BDF" w:rsidP="00C97F66">
      <w:pPr>
        <w:pStyle w:val="BodyText"/>
        <w:widowControl w:val="0"/>
        <w:numPr>
          <w:ilvl w:val="0"/>
          <w:numId w:val="5"/>
        </w:numPr>
        <w:spacing w:after="0"/>
        <w:ind w:left="567" w:hanging="284"/>
        <w:rPr>
          <w:rFonts w:ascii="Times New Roman" w:hAnsi="Times New Roman"/>
          <w:sz w:val="24"/>
          <w:szCs w:val="24"/>
        </w:rPr>
      </w:pPr>
      <w:r w:rsidRPr="00B37A02">
        <w:rPr>
          <w:rFonts w:ascii="Times New Roman" w:hAnsi="Times New Roman"/>
          <w:sz w:val="24"/>
        </w:rPr>
        <w:t>pāreja no institucionālas aprūpes uz aprūpi kopienā/ģimenē, tostarp institucionalizācijas novēršana;</w:t>
      </w:r>
    </w:p>
    <w:p w14:paraId="337C48C7" w14:textId="77777777" w:rsidR="00BC5BDF" w:rsidRPr="00B37A02" w:rsidRDefault="00BC5BDF" w:rsidP="00C97F66">
      <w:pPr>
        <w:pStyle w:val="BodyText"/>
        <w:widowControl w:val="0"/>
        <w:numPr>
          <w:ilvl w:val="0"/>
          <w:numId w:val="5"/>
        </w:numPr>
        <w:spacing w:after="0"/>
        <w:ind w:left="567" w:hanging="284"/>
        <w:rPr>
          <w:rFonts w:ascii="Times New Roman" w:hAnsi="Times New Roman"/>
          <w:sz w:val="24"/>
          <w:szCs w:val="24"/>
        </w:rPr>
      </w:pPr>
      <w:r w:rsidRPr="00B37A02">
        <w:rPr>
          <w:rFonts w:ascii="Times New Roman" w:hAnsi="Times New Roman"/>
          <w:sz w:val="24"/>
        </w:rPr>
        <w:t>kvalitatīvas, nenošķirtas un iekļaujošas izglītības pieejamība atstumtiem bērniem, tostarp romu etniskās piederības bērniem, bērniem ar invaliditāti un migrantu izcelsmes bērniem;</w:t>
      </w:r>
    </w:p>
    <w:p w14:paraId="4200C778" w14:textId="2D5DD5F9" w:rsidR="00BC5BDF" w:rsidRPr="00B37A02" w:rsidRDefault="00BC5BDF" w:rsidP="00C97F66">
      <w:pPr>
        <w:pStyle w:val="BodyText"/>
        <w:widowControl w:val="0"/>
        <w:numPr>
          <w:ilvl w:val="0"/>
          <w:numId w:val="5"/>
        </w:numPr>
        <w:spacing w:after="0"/>
        <w:ind w:left="567" w:hanging="284"/>
        <w:rPr>
          <w:rFonts w:ascii="Times New Roman" w:hAnsi="Times New Roman"/>
          <w:sz w:val="24"/>
          <w:szCs w:val="24"/>
        </w:rPr>
      </w:pPr>
      <w:r w:rsidRPr="00B37A02">
        <w:rPr>
          <w:rFonts w:ascii="Times New Roman" w:hAnsi="Times New Roman"/>
          <w:sz w:val="24"/>
        </w:rPr>
        <w:t>kvalitatīvas un nenošķirtas bērnu aprūpes, kā arī izglītības un sociālās un veselības aprūpes pakalpojumu pieejamības uzlabošana.</w:t>
      </w:r>
    </w:p>
    <w:p w14:paraId="03E68322" w14:textId="77777777" w:rsidR="00040E0E" w:rsidRPr="00B37A02" w:rsidRDefault="00040E0E" w:rsidP="00C97F66">
      <w:pPr>
        <w:pStyle w:val="BodyText"/>
        <w:widowControl w:val="0"/>
        <w:spacing w:after="0"/>
        <w:ind w:left="567"/>
        <w:rPr>
          <w:rFonts w:ascii="Times New Roman" w:hAnsi="Times New Roman"/>
          <w:sz w:val="24"/>
          <w:szCs w:val="24"/>
        </w:rPr>
      </w:pPr>
    </w:p>
    <w:p w14:paraId="5625C3A5" w14:textId="77777777"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Darbības, kas atbalsta Eiropas Garantiju bērniem, var iekļaut arī programmas “InvestEU” “sociālajā logā”, kuras mērķis ir nodrošināt ES ilgtermiņa finansējumu, piesaistot privātos ieguldījumus ilgtspējīgas atveseļošanās atbalstam un palīdzot veidot zaļāku, digitālāku un noturīgāku Eiropas ekonomiku.</w:t>
      </w:r>
      <w:r w:rsidRPr="00B37A02">
        <w:rPr>
          <w:rStyle w:val="FootnoteReference"/>
          <w:rFonts w:ascii="Times New Roman" w:hAnsi="Times New Roman"/>
          <w:sz w:val="24"/>
          <w:szCs w:val="24"/>
        </w:rPr>
        <w:footnoteReference w:id="225"/>
      </w:r>
      <w:r w:rsidRPr="00B37A02">
        <w:rPr>
          <w:rFonts w:ascii="Times New Roman" w:hAnsi="Times New Roman"/>
          <w:sz w:val="24"/>
        </w:rPr>
        <w:t xml:space="preserve"> Šis instruments ir balstīts uz pieprasījumu, tādējādi tā resursi būtu novirzīti tālāk atbilstīgu pieprasījumu iesniegšanai.</w:t>
      </w:r>
    </w:p>
    <w:p w14:paraId="1067F177" w14:textId="77777777" w:rsidR="00040E0E" w:rsidRPr="00B37A02" w:rsidRDefault="00040E0E" w:rsidP="00C97F66">
      <w:pPr>
        <w:pStyle w:val="BodyText"/>
        <w:widowControl w:val="0"/>
        <w:spacing w:after="0"/>
        <w:rPr>
          <w:rFonts w:ascii="Times New Roman" w:hAnsi="Times New Roman"/>
          <w:sz w:val="24"/>
          <w:szCs w:val="24"/>
        </w:rPr>
      </w:pPr>
    </w:p>
    <w:p w14:paraId="67FA4E0C" w14:textId="3D416261" w:rsidR="00BC5BDF"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 xml:space="preserve">2021.–2027. gada plānošanas periodā ERAF investīcijas būs vērstas uz bērnu vajadzību apmierināšanu, lai nodrošinātu: i) vienlīdzīgu piekļuvi iekļaujošai un kvalitatīvai izglītībai; ii) atstumto kopienu, tostarp romu, un migrantu izcelsmes bērnu, sociālekonomisko integrāciju; iii) vienlīdzīgu piekļuvi veselības aprūpei, jo īpaši primārās aprūpes pakalpojumiem; iv) pāreju no institucionālās aprūpes uz aprūpi ģimenē un kopienā, kā arī v) ieguldījumu attiecībā uz </w:t>
      </w:r>
      <w:r w:rsidRPr="00B37A02">
        <w:rPr>
          <w:rFonts w:ascii="Times New Roman" w:hAnsi="Times New Roman"/>
          <w:sz w:val="24"/>
        </w:rPr>
        <w:lastRenderedPageBreak/>
        <w:t xml:space="preserve">mājsaimniecībām ar zemiem ienākumiem, cilvēkiem ar īpašām vajadzībām un iepriekš minētajām neaizsargātajām grupām. Ieguldot sociālajā infrastruktūrā, ERAF finansējumu nedrīkst izmantot, lai izveidotu institucionālās aprūpes iestādes un infrastruktūru nodalītiem/paralēliem pakalpojumiem. Turklāt ERAF turpinās atbalstīt sadarbības projektus šajās jomās, jo īpaši saskaņā ar </w:t>
      </w:r>
      <w:r w:rsidRPr="00B37A02">
        <w:rPr>
          <w:rFonts w:ascii="Times New Roman" w:hAnsi="Times New Roman"/>
          <w:i/>
          <w:iCs/>
          <w:sz w:val="24"/>
        </w:rPr>
        <w:t>Interreg</w:t>
      </w:r>
      <w:r w:rsidRPr="00B37A02">
        <w:rPr>
          <w:rFonts w:ascii="Times New Roman" w:hAnsi="Times New Roman"/>
          <w:sz w:val="24"/>
        </w:rPr>
        <w:t xml:space="preserve"> specifisko mērķi par labāku sadarbības pārvaldību. Projekti var ietvert juridiskās un administratīvās sadarbības veicināšanu, kā arī sadarbību starp pilsoņiem, pilsoniskās sabiedrības dalībniekiem un iestādēm, jo īpaši tamdēļ, lai risinātu juridiskos un citus jautājumus pierobežas reģionos un veidotu savstarpēju uzticēšanos pārrobežu līmenī.</w:t>
      </w:r>
    </w:p>
    <w:p w14:paraId="6E9BE886" w14:textId="77777777" w:rsidR="00040E0E" w:rsidRPr="00B37A02" w:rsidRDefault="00040E0E" w:rsidP="00C97F66">
      <w:pPr>
        <w:pStyle w:val="BodyText"/>
        <w:widowControl w:val="0"/>
        <w:spacing w:after="0"/>
        <w:rPr>
          <w:rFonts w:ascii="Times New Roman" w:hAnsi="Times New Roman"/>
          <w:sz w:val="24"/>
          <w:szCs w:val="24"/>
        </w:rPr>
      </w:pPr>
    </w:p>
    <w:p w14:paraId="19F10056" w14:textId="6E343DB6"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Patvēruma un migrācijas fonda regulā ir uzsvērts, ka ir jāatbalsta “pasākumi, kas vērsti uz neaizsargātām personām un starptautiskās aizsardzības pieteikuma iesniedzējiem ar īpašām uzņemšanas vai procesuālām vajadzībām, tostarp pasākumi, kuru mērķis ir nodrošināt bērnu migrantu, jo īpaši nepavadītu bērnu, efektīvu aizsardzību”, kā arī “integrācijas pasākumi, kurus īsteno vietējās un reģionālās iestādes un pilsoniskās sabiedrības organizācijas”. Šie pasākumi var gūt labumu no 90 % ES līdzfinansējuma likmes. Patvēruma un migrācijas fonda iejaukšanās pasākumus var izmantot, lai:</w:t>
      </w:r>
    </w:p>
    <w:p w14:paraId="653051A5" w14:textId="77777777" w:rsidR="00040E0E" w:rsidRPr="00B37A02" w:rsidRDefault="00040E0E" w:rsidP="00C97F66">
      <w:pPr>
        <w:pStyle w:val="BodyText"/>
        <w:widowControl w:val="0"/>
        <w:spacing w:after="0"/>
        <w:rPr>
          <w:rFonts w:ascii="Times New Roman" w:hAnsi="Times New Roman"/>
          <w:sz w:val="24"/>
          <w:szCs w:val="24"/>
        </w:rPr>
      </w:pPr>
    </w:p>
    <w:p w14:paraId="3D6CFF19" w14:textId="6CCD4585" w:rsidR="00BC5BDF" w:rsidRPr="00B37A02" w:rsidRDefault="00BC5BDF" w:rsidP="00C97F66">
      <w:pPr>
        <w:pStyle w:val="BodyText"/>
        <w:widowControl w:val="0"/>
        <w:numPr>
          <w:ilvl w:val="0"/>
          <w:numId w:val="5"/>
        </w:numPr>
        <w:spacing w:after="0"/>
        <w:ind w:left="567" w:hanging="283"/>
        <w:rPr>
          <w:rFonts w:ascii="Times New Roman" w:hAnsi="Times New Roman"/>
          <w:sz w:val="24"/>
          <w:szCs w:val="24"/>
        </w:rPr>
      </w:pPr>
      <w:r w:rsidRPr="00B37A02">
        <w:rPr>
          <w:rFonts w:ascii="Times New Roman" w:hAnsi="Times New Roman"/>
          <w:sz w:val="24"/>
        </w:rPr>
        <w:t>pievērstu galveno uzmanību neaizsargātām personām un starptautiskās aizsardzības pieteikuma iesniedzējiem ar īpašām uzņemšanas vai procesuālām vajadzībām;</w:t>
      </w:r>
    </w:p>
    <w:p w14:paraId="1983254C" w14:textId="77777777" w:rsidR="00BC5BDF" w:rsidRPr="00B37A02" w:rsidRDefault="00BC5BDF" w:rsidP="00C97F66">
      <w:pPr>
        <w:pStyle w:val="BodyText"/>
        <w:widowControl w:val="0"/>
        <w:numPr>
          <w:ilvl w:val="0"/>
          <w:numId w:val="5"/>
        </w:numPr>
        <w:spacing w:after="0"/>
        <w:ind w:left="567" w:hanging="283"/>
        <w:rPr>
          <w:rFonts w:ascii="Times New Roman" w:hAnsi="Times New Roman"/>
          <w:sz w:val="24"/>
          <w:szCs w:val="24"/>
        </w:rPr>
      </w:pPr>
      <w:r w:rsidRPr="00B37A02">
        <w:rPr>
          <w:rFonts w:ascii="Times New Roman" w:hAnsi="Times New Roman"/>
          <w:sz w:val="24"/>
        </w:rPr>
        <w:t>izstrādātu īpašus pasākumus, lai nodrošinātu bērnu migrantu, jo īpaši nepavadītu nepilngadīgo, efektīvu aizsardzību;</w:t>
      </w:r>
    </w:p>
    <w:p w14:paraId="573A8576" w14:textId="77777777" w:rsidR="00BC5BDF" w:rsidRPr="00B37A02" w:rsidRDefault="00BC5BDF" w:rsidP="00C97F66">
      <w:pPr>
        <w:pStyle w:val="BodyText"/>
        <w:widowControl w:val="0"/>
        <w:numPr>
          <w:ilvl w:val="0"/>
          <w:numId w:val="5"/>
        </w:numPr>
        <w:spacing w:after="0"/>
        <w:ind w:left="567" w:hanging="283"/>
        <w:rPr>
          <w:rFonts w:ascii="Times New Roman" w:hAnsi="Times New Roman"/>
          <w:sz w:val="24"/>
          <w:szCs w:val="24"/>
        </w:rPr>
      </w:pPr>
      <w:r w:rsidRPr="00B37A02">
        <w:rPr>
          <w:rFonts w:ascii="Times New Roman" w:hAnsi="Times New Roman"/>
          <w:sz w:val="24"/>
        </w:rPr>
        <w:t>ieguldītu integrācijas programmās, kas vērstas uz iekļaujošu izglītību un aprūpi;</w:t>
      </w:r>
    </w:p>
    <w:p w14:paraId="7B1EEA30" w14:textId="77777777" w:rsidR="00BC5BDF" w:rsidRPr="00B37A02" w:rsidRDefault="00BC5BDF" w:rsidP="00C97F66">
      <w:pPr>
        <w:pStyle w:val="BodyText"/>
        <w:widowControl w:val="0"/>
        <w:numPr>
          <w:ilvl w:val="0"/>
          <w:numId w:val="5"/>
        </w:numPr>
        <w:spacing w:after="0"/>
        <w:ind w:left="567" w:hanging="283"/>
        <w:rPr>
          <w:rFonts w:ascii="Times New Roman" w:hAnsi="Times New Roman"/>
          <w:sz w:val="24"/>
          <w:szCs w:val="24"/>
        </w:rPr>
      </w:pPr>
      <w:r w:rsidRPr="00B37A02">
        <w:rPr>
          <w:rFonts w:ascii="Times New Roman" w:hAnsi="Times New Roman"/>
          <w:sz w:val="24"/>
        </w:rPr>
        <w:t>nodrošinātu alternatīvus aprūpes veidus, kas integrēti pašreizējās bērnu aizsardzības sistēmās, un</w:t>
      </w:r>
    </w:p>
    <w:p w14:paraId="6C0B29F9" w14:textId="19BBA210" w:rsidR="00BC5BDF" w:rsidRPr="00B37A02" w:rsidRDefault="00BC5BDF" w:rsidP="00C97F66">
      <w:pPr>
        <w:pStyle w:val="BodyText"/>
        <w:widowControl w:val="0"/>
        <w:numPr>
          <w:ilvl w:val="0"/>
          <w:numId w:val="5"/>
        </w:numPr>
        <w:spacing w:after="0"/>
        <w:ind w:left="567" w:hanging="283"/>
        <w:rPr>
          <w:rFonts w:ascii="Times New Roman" w:hAnsi="Times New Roman"/>
          <w:sz w:val="24"/>
          <w:szCs w:val="24"/>
        </w:rPr>
      </w:pPr>
      <w:r w:rsidRPr="00B37A02">
        <w:rPr>
          <w:rFonts w:ascii="Times New Roman" w:hAnsi="Times New Roman"/>
          <w:sz w:val="24"/>
        </w:rPr>
        <w:t>veicinātu bērnu migrantu efektīvu aizsardzību, piemēram, nodrošinot pienācīgu mājokli un savlaicīgu aizbildņu iecelšanu visiem nepavadītajiem nepilngadīgajiem.</w:t>
      </w:r>
    </w:p>
    <w:p w14:paraId="4E44F60F" w14:textId="77777777" w:rsidR="00040E0E" w:rsidRPr="00B37A02" w:rsidRDefault="00040E0E" w:rsidP="00C97F66">
      <w:pPr>
        <w:pStyle w:val="BodyText"/>
        <w:widowControl w:val="0"/>
        <w:spacing w:after="0"/>
        <w:ind w:left="567"/>
        <w:rPr>
          <w:rFonts w:ascii="Times New Roman" w:hAnsi="Times New Roman"/>
          <w:sz w:val="24"/>
          <w:szCs w:val="24"/>
        </w:rPr>
      </w:pPr>
    </w:p>
    <w:p w14:paraId="03561D16" w14:textId="77777777" w:rsidR="00BC5BDF"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Turklāt, izmantojot “tematisko mehānismu”, 36,5 % (3,6 miljardi eiro) no fonda finansējuma tiks sadalīti visā īstenošanas periodā, lai apmierinātu īpašas vajadzības. Tas nodrošina lielāku elastību, lai novērstu papildu nepilnības, ja tās ietilpst Patvēruma un migrācijas fonda darbības jomā.</w:t>
      </w:r>
    </w:p>
    <w:p w14:paraId="3800D4C4" w14:textId="77777777" w:rsidR="00040E0E" w:rsidRPr="00B37A02" w:rsidRDefault="00040E0E" w:rsidP="00C97F66">
      <w:pPr>
        <w:pStyle w:val="BodyText"/>
        <w:widowControl w:val="0"/>
        <w:spacing w:after="0"/>
        <w:rPr>
          <w:rFonts w:ascii="Times New Roman" w:hAnsi="Times New Roman"/>
          <w:sz w:val="24"/>
          <w:szCs w:val="24"/>
        </w:rPr>
      </w:pPr>
    </w:p>
    <w:p w14:paraId="19A69090" w14:textId="339D638D" w:rsidR="00BC5BDF"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“Erasmus+” regula paredz palielināt budžetu par 30 miljardiem eiro. Tās vispārējais mērķis ir atbalstīt cilvēku izglītības, profesionālo un personīgo attīstību izglītībā, mācībās, jaunatnes aktivitātēs un sportā, nodrošinot mūžizglītību. Turpmākajā programmā īpaša uzmanība tiks pievērsta tam, lai padarītu “Erasmus+” iekļaujošāku, to vēršot uz cilvēkiem ar mazāk iespējām. Ar 3. pamatdarbību “Atbalsts politikas izstrādei un sadarbībai” varētu ieviest pasākumus, lai uzlabotu sadarbību starp skolām un izglītības iestādēm nolūkā stiprināt iekļaujošo izglītību.</w:t>
      </w:r>
    </w:p>
    <w:p w14:paraId="7DACB02F" w14:textId="77777777" w:rsidR="00040E0E" w:rsidRPr="00B37A02" w:rsidRDefault="00040E0E" w:rsidP="00C97F66">
      <w:pPr>
        <w:pStyle w:val="BodyText"/>
        <w:widowControl w:val="0"/>
        <w:spacing w:after="0"/>
        <w:rPr>
          <w:rFonts w:ascii="Times New Roman" w:hAnsi="Times New Roman"/>
          <w:sz w:val="24"/>
          <w:szCs w:val="24"/>
        </w:rPr>
      </w:pPr>
    </w:p>
    <w:p w14:paraId="6D7495BF" w14:textId="12EF340E"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Laikposmā no 2021. līdz 2017. gadam Tehniskā atbalsta instruments, kas ir Strukturālo reformu atbalsta programmas pēctecis, pēc dalībvalstu pieprasījuma tās atbalstīs strukturālo reformu izstrādē, sagatavošanā un īstenošanā tādās jomās kā izglītība, sociālie pakalpojumi, tieslietas un veselība, tostarp starpnozaru reformas bērnu nabadzības un atstumtības apkarošanai.</w:t>
      </w:r>
      <w:r w:rsidRPr="00B37A02">
        <w:rPr>
          <w:rFonts w:ascii="Times New Roman" w:hAnsi="Times New Roman"/>
          <w:sz w:val="24"/>
          <w:szCs w:val="24"/>
          <w:vertAlign w:val="superscript"/>
        </w:rPr>
        <w:footnoteReference w:id="226"/>
      </w:r>
      <w:r w:rsidRPr="00B37A02">
        <w:rPr>
          <w:rFonts w:ascii="Times New Roman" w:hAnsi="Times New Roman"/>
          <w:sz w:val="24"/>
          <w:vertAlign w:val="superscript"/>
        </w:rPr>
        <w:t xml:space="preserve"> </w:t>
      </w:r>
      <w:r w:rsidRPr="00B37A02">
        <w:rPr>
          <w:rFonts w:ascii="Times New Roman" w:hAnsi="Times New Roman"/>
          <w:sz w:val="24"/>
        </w:rPr>
        <w:t>Komisija ir gatava sniegt uz pieprasījumu balstītu tehnisko atbalstu reformu veicināšanai, palielinot spēju, apspriežoties ar ieinteresētajām pusēm, pārskatot un analizējot tiesību aktus, politikas satvarus un institucionālo struktūru, sniedzot konkrētus priekšlikumus jauniem modeļiem vai veicot izmēģinājumus un plānojot darbības.</w:t>
      </w:r>
    </w:p>
    <w:p w14:paraId="64D56C8E" w14:textId="77777777" w:rsidR="00040E0E" w:rsidRPr="00B37A02" w:rsidRDefault="00040E0E" w:rsidP="00C97F66">
      <w:pPr>
        <w:pStyle w:val="BodyText"/>
        <w:widowControl w:val="0"/>
        <w:spacing w:after="0"/>
        <w:rPr>
          <w:rFonts w:ascii="Times New Roman" w:hAnsi="Times New Roman"/>
          <w:sz w:val="24"/>
          <w:szCs w:val="24"/>
        </w:rPr>
      </w:pPr>
    </w:p>
    <w:p w14:paraId="07A2D504" w14:textId="64EFF6A1"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Atveseļošanās un noturības mehānisms (turpmāk tekstā – ANM) var arī atbalstīt dažas darbības, uz kurām attiecas Eiropas Garantija bērniem. Proti, mehānisma 6. pīlārs attiecas uz “Nākamo paaudžu, bērnu un jaunatnes, tostarp izglītības un prasmju, pamatnostādnēm”. Paredzams, ka ar reformām un investīcijām, ko finansē saskaņā ar ANM, tiks risinātas problēmas, kas norādītas 2020. un 2019. gada konkrētai valstij adresētajos ieteikumos, no kuriem daudzi tieši vai netieši skāra bērnus. Turklāt Komisijas pamatnostādnēs par ANM</w:t>
      </w:r>
      <w:r w:rsidRPr="00B37A02">
        <w:rPr>
          <w:rFonts w:ascii="Times New Roman" w:hAnsi="Times New Roman"/>
          <w:sz w:val="24"/>
          <w:szCs w:val="24"/>
          <w:vertAlign w:val="superscript"/>
        </w:rPr>
        <w:footnoteReference w:id="227"/>
      </w:r>
      <w:r w:rsidRPr="00B37A02">
        <w:rPr>
          <w:rFonts w:ascii="Times New Roman" w:hAnsi="Times New Roman"/>
          <w:sz w:val="24"/>
        </w:rPr>
        <w:t xml:space="preserve"> dalībvalstis tiek aicinātas analizēt pašreizējās problēmas un ierosināt reformas un investīcijas, kas saistītas ar izglītības sistēmu pielāgošanu 21. gadsimta izaicinājumiem. Pamatojoties uz šīm prioritātēm, ar ANM var finansiāli atbalstīt dalībvalstu reformas un investīcijas jomās, kas ietver arī iekļaujošu izglītību, piekļuvi digitālajiem rīkiem un infrastruktūrai, bērnu nabadzību un paaudžu atšķirību mazināšanu.</w:t>
      </w:r>
    </w:p>
    <w:p w14:paraId="5C7C994E" w14:textId="77777777" w:rsidR="00040E0E" w:rsidRPr="00B37A02" w:rsidRDefault="00040E0E" w:rsidP="00C97F66">
      <w:pPr>
        <w:pStyle w:val="BodyText"/>
        <w:widowControl w:val="0"/>
        <w:spacing w:after="0"/>
        <w:rPr>
          <w:rFonts w:ascii="Times New Roman" w:hAnsi="Times New Roman"/>
          <w:sz w:val="24"/>
          <w:szCs w:val="24"/>
        </w:rPr>
      </w:pPr>
    </w:p>
    <w:p w14:paraId="70257BD7" w14:textId="65734BC3" w:rsidR="00BC5BDF"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Pētniecības un inovāciju pamatprogramma “Apvārsnis Eiropa”</w:t>
      </w:r>
      <w:r w:rsidRPr="00B37A02">
        <w:rPr>
          <w:rFonts w:ascii="Times New Roman" w:hAnsi="Times New Roman"/>
          <w:sz w:val="24"/>
          <w:szCs w:val="24"/>
          <w:vertAlign w:val="superscript"/>
        </w:rPr>
        <w:footnoteReference w:id="228"/>
      </w:r>
      <w:r w:rsidRPr="00B37A02">
        <w:rPr>
          <w:rFonts w:ascii="Times New Roman" w:hAnsi="Times New Roman"/>
          <w:sz w:val="24"/>
        </w:rPr>
        <w:t xml:space="preserve"> (2021–2027) turpinās finansēt pētniecību, lai atbalstītu uz bērniem un jaunatni vērstas pamatnostādnes dažādās jomās, tostarp saistībā ar izglītības iespējām un nabadzību, migrāciju un integrāciju, politisko līdzdalību, ilgtspējību, digitālo ekonomiku, veselību u. c.</w:t>
      </w:r>
    </w:p>
    <w:p w14:paraId="132E7559" w14:textId="77777777" w:rsidR="00040E0E" w:rsidRPr="00B37A02" w:rsidRDefault="00040E0E" w:rsidP="00C97F66">
      <w:pPr>
        <w:pStyle w:val="BodyText"/>
        <w:widowControl w:val="0"/>
        <w:spacing w:after="0"/>
        <w:rPr>
          <w:rFonts w:ascii="Times New Roman" w:hAnsi="Times New Roman"/>
          <w:sz w:val="24"/>
          <w:szCs w:val="24"/>
        </w:rPr>
      </w:pPr>
    </w:p>
    <w:p w14:paraId="50710B8D" w14:textId="61EB0C51" w:rsidR="00EC5DE2" w:rsidRPr="00B37A02" w:rsidRDefault="00040E0E" w:rsidP="00C97F66">
      <w:pPr>
        <w:pStyle w:val="Heading1"/>
        <w:keepNext w:val="0"/>
        <w:keepLines w:val="0"/>
        <w:widowControl w:val="0"/>
        <w:spacing w:before="0" w:line="240" w:lineRule="auto"/>
        <w:jc w:val="both"/>
        <w:rPr>
          <w:rFonts w:ascii="Times New Roman" w:hAnsi="Times New Roman" w:cs="Times New Roman"/>
          <w:sz w:val="28"/>
          <w:szCs w:val="36"/>
        </w:rPr>
      </w:pPr>
      <w:bookmarkStart w:id="265" w:name="_Toc62942397"/>
      <w:bookmarkStart w:id="266" w:name="_Toc63178114"/>
      <w:bookmarkStart w:id="267" w:name="_Toc63258867"/>
      <w:bookmarkStart w:id="268" w:name="_Toc63269670"/>
      <w:bookmarkStart w:id="269" w:name="_Toc63850084"/>
      <w:bookmarkStart w:id="270" w:name="_Toc63850302"/>
      <w:bookmarkStart w:id="271" w:name="_Toc63862440"/>
      <w:bookmarkStart w:id="272" w:name="_Toc64476353"/>
      <w:bookmarkStart w:id="273" w:name="_Toc62823444"/>
      <w:bookmarkStart w:id="274" w:name="_Toc62823532"/>
      <w:bookmarkStart w:id="275" w:name="_Toc62833130"/>
      <w:bookmarkStart w:id="276" w:name="_Toc62841473"/>
      <w:bookmarkStart w:id="277" w:name="_Toc63692775"/>
      <w:bookmarkStart w:id="278" w:name="_Toc63712854"/>
      <w:r w:rsidRPr="00B37A02">
        <w:rPr>
          <w:rFonts w:ascii="Times New Roman" w:hAnsi="Times New Roman" w:cs="Times New Roman"/>
          <w:sz w:val="28"/>
        </w:rPr>
        <w:t>7. EIROPAS GARANTIJAS BĒRNIEM ĪSTENOŠANA UN UZRAUDZĪBA</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14:paraId="793F0872" w14:textId="77777777" w:rsidR="00040E0E" w:rsidRPr="00B37A02" w:rsidRDefault="00040E0E" w:rsidP="00C97F66">
      <w:pPr>
        <w:spacing w:after="0" w:line="240" w:lineRule="auto"/>
        <w:rPr>
          <w:rFonts w:ascii="Times New Roman" w:hAnsi="Times New Roman" w:cs="Times New Roman"/>
        </w:rPr>
      </w:pPr>
    </w:p>
    <w:p w14:paraId="2D74A612" w14:textId="74F34A90" w:rsidR="00BC5BDF" w:rsidRPr="00B37A02" w:rsidRDefault="00BC5BDF" w:rsidP="00C97F66">
      <w:pPr>
        <w:pStyle w:val="CommentText"/>
        <w:widowControl w:val="0"/>
        <w:spacing w:after="0"/>
        <w:jc w:val="both"/>
        <w:rPr>
          <w:rFonts w:ascii="Times New Roman" w:hAnsi="Times New Roman" w:cs="Times New Roman"/>
          <w:sz w:val="24"/>
          <w:szCs w:val="24"/>
          <w:shd w:val="clear" w:color="auto" w:fill="FFFFFF"/>
        </w:rPr>
      </w:pPr>
      <w:r w:rsidRPr="00B37A02">
        <w:rPr>
          <w:rFonts w:ascii="Times New Roman" w:hAnsi="Times New Roman" w:cs="Times New Roman"/>
          <w:sz w:val="24"/>
          <w:shd w:val="clear" w:color="auto" w:fill="FFFFFF"/>
        </w:rPr>
        <w:t>Uz bērniem vērstas pamatnostādnes skar dažādas nozares, un tās piemēro dažādos administratīvos līmeņos (valsts, reģionālā un vietējā). Tāpēc ir nepieciešama efektīva attiecīgo darbību koordinācija. Saskaņā ar sagatavošanās darbību attiecībā uz garantiju bērniem</w:t>
      </w:r>
      <w:r w:rsidRPr="00B37A02">
        <w:rPr>
          <w:rStyle w:val="FootnoteReference"/>
          <w:rFonts w:ascii="Times New Roman" w:hAnsi="Times New Roman" w:cs="Times New Roman"/>
          <w:sz w:val="24"/>
          <w:szCs w:val="24"/>
          <w:shd w:val="clear" w:color="auto" w:fill="FFFFFF"/>
        </w:rPr>
        <w:footnoteReference w:id="229"/>
      </w:r>
      <w:r w:rsidRPr="00B37A02">
        <w:rPr>
          <w:rFonts w:ascii="Times New Roman" w:hAnsi="Times New Roman" w:cs="Times New Roman"/>
          <w:sz w:val="24"/>
          <w:shd w:val="clear" w:color="auto" w:fill="FFFFFF"/>
        </w:rPr>
        <w:t xml:space="preserve"> viens no galvenajiem šķēršļiem efektīvu pamatnostādņu izstrādei ir vispārējas sociālās un politiskās izpratnes trūkums par bērnu nabadzības vai sociālās atstumtības apmēru. Ja netiek izstrādāta stratēģiska un koordinēta pieeja, nodrošinājums būs neatbilstošs un nepietiekams, turklāt programmas un projekti būs sadrumstaloti. Lai nodrošinātu, ka Eiropas Garantija bērniem sāk pilnībā darboties, ir jānosaka īpašas prasības tās īstenošanai, uzraudzībai un ziņošanai. Šajā nodaļā šīs īpašās prasības ir aplūkotas detalizēti.</w:t>
      </w:r>
    </w:p>
    <w:p w14:paraId="34805F70" w14:textId="77777777" w:rsidR="00040E0E" w:rsidRPr="00B37A02" w:rsidRDefault="00040E0E" w:rsidP="00C97F66">
      <w:pPr>
        <w:pStyle w:val="CommentText"/>
        <w:widowControl w:val="0"/>
        <w:spacing w:after="0"/>
        <w:jc w:val="both"/>
        <w:rPr>
          <w:rFonts w:ascii="Times New Roman" w:hAnsi="Times New Roman" w:cs="Times New Roman"/>
          <w:sz w:val="24"/>
          <w:szCs w:val="24"/>
          <w:shd w:val="clear" w:color="auto" w:fill="FFFFFF"/>
        </w:rPr>
      </w:pPr>
    </w:p>
    <w:p w14:paraId="6F13CC84" w14:textId="5F455612" w:rsidR="00BC5BDF" w:rsidRPr="00B37A02" w:rsidRDefault="00040E0E" w:rsidP="00C97F66">
      <w:pPr>
        <w:pStyle w:val="Heading2"/>
        <w:keepNext w:val="0"/>
        <w:keepLines w:val="0"/>
        <w:widowControl w:val="0"/>
        <w:spacing w:before="0" w:line="240" w:lineRule="auto"/>
        <w:jc w:val="both"/>
        <w:rPr>
          <w:rFonts w:cs="Times New Roman"/>
          <w:sz w:val="24"/>
          <w:szCs w:val="28"/>
        </w:rPr>
      </w:pPr>
      <w:bookmarkStart w:id="279" w:name="_Toc64476354"/>
      <w:r w:rsidRPr="00B37A02">
        <w:rPr>
          <w:rFonts w:cs="Times New Roman"/>
          <w:sz w:val="24"/>
        </w:rPr>
        <w:t>7.1. Pārvaldība un ziņošana</w:t>
      </w:r>
      <w:bookmarkStart w:id="280" w:name="_Toc63752648"/>
      <w:bookmarkStart w:id="281" w:name="_Toc63752647"/>
      <w:bookmarkStart w:id="282" w:name="_Toc63752131"/>
      <w:bookmarkStart w:id="283" w:name="_Toc63752130"/>
      <w:bookmarkStart w:id="284" w:name="_Toc63712309"/>
      <w:bookmarkStart w:id="285" w:name="_Toc63712308"/>
      <w:bookmarkStart w:id="286" w:name="_Toc63697558"/>
      <w:bookmarkStart w:id="287" w:name="_Toc63697557"/>
      <w:bookmarkEnd w:id="279"/>
      <w:bookmarkEnd w:id="280"/>
      <w:bookmarkEnd w:id="281"/>
      <w:bookmarkEnd w:id="282"/>
      <w:bookmarkEnd w:id="283"/>
      <w:bookmarkEnd w:id="284"/>
      <w:bookmarkEnd w:id="285"/>
      <w:bookmarkEnd w:id="286"/>
      <w:bookmarkEnd w:id="287"/>
    </w:p>
    <w:p w14:paraId="39F88810" w14:textId="77777777" w:rsidR="00040E0E" w:rsidRPr="00B37A02" w:rsidRDefault="00040E0E" w:rsidP="00C97F66">
      <w:pPr>
        <w:spacing w:after="0" w:line="240" w:lineRule="auto"/>
        <w:rPr>
          <w:rFonts w:ascii="Times New Roman" w:hAnsi="Times New Roman" w:cs="Times New Roman"/>
        </w:rPr>
      </w:pPr>
    </w:p>
    <w:p w14:paraId="20579D29" w14:textId="77777777" w:rsidR="00EC5DE2" w:rsidRPr="00B37A02" w:rsidRDefault="00BC5BDF" w:rsidP="00C97F66">
      <w:pPr>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sz w:val="24"/>
        </w:rPr>
        <w:t xml:space="preserve">Sagatavošanās darbību ietvaros gūtie pierādījumi skaidri liecina, ka dalībvalstīs, kuras visveiksmīgāk nodrošina pamatpakalpojumu pieejamību grūtībās nonākušiem bērniem, ir ieviests visaptverošs pamatnostādņu klāsts. Šīs veiksmīgās dalībvalstis arī ir izstrādājušas stratēģisku un labi koordinētu pieeju. Ir jānovērtē un jāuzlabo sociālās, izglītības, veselības, uztura un mājokļu politikas saskaņotība dažādos pārvaldības līmeņos, īpašu uzmanību pievēršot to nozīmei, atbalstot bērnus, kam vajadzīga palīdzība. Tāpēc būtu lietderīgi, ja dalībvalstīm būtu </w:t>
      </w:r>
      <w:r w:rsidRPr="00B37A02">
        <w:rPr>
          <w:rFonts w:ascii="Times New Roman" w:hAnsi="Times New Roman" w:cs="Times New Roman"/>
          <w:b/>
          <w:bCs/>
          <w:sz w:val="24"/>
        </w:rPr>
        <w:t>Garantijas bērniem valstu koordinatori</w:t>
      </w:r>
      <w:r w:rsidRPr="00B37A02">
        <w:rPr>
          <w:rFonts w:ascii="Times New Roman" w:hAnsi="Times New Roman" w:cs="Times New Roman"/>
          <w:sz w:val="24"/>
        </w:rPr>
        <w:t>, kuru rīcībā būtu pilnvaras un resursi, lai efektīvi koordinētu un uzraudzītu Eiropas Garantijas bērniem īstenošanu. Galvenais koordinācijas elements valsts līmenī būtu bērnu, kam vajadzīga palīdzība, un to šķēršļu apzināšana, ar kuriem viņi saskaras saistībā ar to pakalpojumu pieejamību un izmantošanu, uz ko attiecas Eiropas Garantija bērniem.</w:t>
      </w:r>
    </w:p>
    <w:p w14:paraId="69CD7680" w14:textId="77777777" w:rsidR="00040E0E" w:rsidRPr="00B37A02" w:rsidRDefault="00040E0E" w:rsidP="00C97F66">
      <w:pPr>
        <w:widowControl w:val="0"/>
        <w:spacing w:after="0" w:line="240" w:lineRule="auto"/>
        <w:jc w:val="both"/>
        <w:rPr>
          <w:rFonts w:ascii="Times New Roman" w:hAnsi="Times New Roman" w:cs="Times New Roman"/>
          <w:sz w:val="24"/>
          <w:szCs w:val="24"/>
          <w:lang w:eastAsia="en-GB"/>
        </w:rPr>
      </w:pPr>
    </w:p>
    <w:p w14:paraId="44D803F4" w14:textId="0203E0A3" w:rsidR="00EC5DE2" w:rsidRPr="00B37A02" w:rsidRDefault="00BC5BDF" w:rsidP="00C97F66">
      <w:pPr>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sz w:val="24"/>
        </w:rPr>
        <w:t xml:space="preserve">Lai īstenotu Eiropas Garantiju bērniem, ir arī jāsagatavo valstu </w:t>
      </w:r>
      <w:r w:rsidRPr="00B37A02">
        <w:rPr>
          <w:rFonts w:ascii="Times New Roman" w:hAnsi="Times New Roman" w:cs="Times New Roman"/>
          <w:b/>
          <w:bCs/>
          <w:sz w:val="24"/>
        </w:rPr>
        <w:t>rīcības plāni</w:t>
      </w:r>
      <w:r w:rsidRPr="00B37A02">
        <w:rPr>
          <w:rFonts w:ascii="Times New Roman" w:hAnsi="Times New Roman" w:cs="Times New Roman"/>
          <w:sz w:val="24"/>
        </w:rPr>
        <w:t xml:space="preserve"> par to, kā īstenot ierosinātajā ieteikumā uzskaitītos politikas pasākumus, kas aptver laika posmu līdz 2030. gadam. Šiem rīcības plāniem ir jābūt visaptveroši vērstiem uz visiem aspektiem, no </w:t>
      </w:r>
      <w:r w:rsidRPr="00B37A02">
        <w:rPr>
          <w:rFonts w:ascii="Times New Roman" w:hAnsi="Times New Roman" w:cs="Times New Roman"/>
          <w:sz w:val="24"/>
        </w:rPr>
        <w:lastRenderedPageBreak/>
        <w:t>kuriem ir atkarīga veiksmīga garantijas īstenošana, jo īpaši uz: i) bērnu, kam vajadzīga palīdzība, mērķkategorijām, kuras ir nepieciešams sasniegt ar atbilstošiem pasākumiem; ii) kvantitatīviem un kvalitatīviem mērķiem, kas jāsasniedz attiecībā uz bērniem, kuriem vajadzīga palīdzība, ar atbilstošiem pasākumiem; iii) šā ieteikuma īstenošanai veiktajiem pasākumiem, norādot atbilstošos finanšu resursus un termiņus; iv) citiem pasākumiem, lai risinātu bērnu sociālās atstumtības problēmu un pārrautu nabadzības apburto loku, kas turpinās no paaudzes paaudzē, kā arī v) valsts satvaru datu apkopošanu un šā ieteikuma uzraudzību un novērtēšanu.</w:t>
      </w:r>
    </w:p>
    <w:p w14:paraId="03D81AB9" w14:textId="77777777" w:rsidR="00040E0E" w:rsidRPr="00B37A02" w:rsidRDefault="00040E0E" w:rsidP="00C97F66">
      <w:pPr>
        <w:widowControl w:val="0"/>
        <w:spacing w:after="0" w:line="240" w:lineRule="auto"/>
        <w:jc w:val="both"/>
        <w:rPr>
          <w:rFonts w:ascii="Times New Roman" w:hAnsi="Times New Roman" w:cs="Times New Roman"/>
          <w:sz w:val="24"/>
          <w:szCs w:val="24"/>
        </w:rPr>
      </w:pPr>
    </w:p>
    <w:p w14:paraId="563C1953" w14:textId="0A47E991" w:rsidR="00EC5DE2" w:rsidRPr="00B37A02" w:rsidRDefault="00BC5BDF" w:rsidP="00C97F66">
      <w:pPr>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sz w:val="24"/>
        </w:rPr>
        <w:t>Saskaņā ar augstiem iekļaujošas politikas veidošanas standartiem un tamdēļ, lai nodrošinātu, ka tiek pienācīgi ņemts vērā to ieinteresēto pušu viedoklis, kuras galu galā būs atbildīgas par pakalpojumu sniegšanu bērniem, par valstu rīcības plānu sagatavošanu, īstenošanu, uzraudzību un novērtēšanu ir jāapspriežas ar reģionālajām un vietējām iestādēm, bērniem un attiecīgajām ieinteresētajām personām, kas pārstāv pilsonisko sabiedrību, nevalstiskās organizācijas (jo īpaši tās, kas veicina bērnu tiesību aizsardzību) un iestādes, kas ir atbildīgas par sociālās iekļaušanas sekmēšanu.</w:t>
      </w:r>
    </w:p>
    <w:p w14:paraId="6F802873" w14:textId="77777777" w:rsidR="00040E0E" w:rsidRPr="00B37A02" w:rsidRDefault="00040E0E" w:rsidP="00C97F66">
      <w:pPr>
        <w:widowControl w:val="0"/>
        <w:spacing w:after="0" w:line="240" w:lineRule="auto"/>
        <w:jc w:val="both"/>
        <w:rPr>
          <w:rFonts w:ascii="Times New Roman" w:hAnsi="Times New Roman" w:cs="Times New Roman"/>
          <w:sz w:val="24"/>
          <w:szCs w:val="24"/>
        </w:rPr>
      </w:pPr>
    </w:p>
    <w:p w14:paraId="05116585" w14:textId="1485E3C8" w:rsidR="00BC5BDF" w:rsidRPr="00B37A02" w:rsidRDefault="00BC5BDF" w:rsidP="00C97F66">
      <w:pPr>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sz w:val="24"/>
        </w:rPr>
        <w:t>Priekšlikumā arī paredzēts, ka dalībvalstīm ir jāizstrādā efektīvas informēšanas stratēģijas, kas vērstas uz bērniem, kam vajadzīga palīdzība, un viņu ģimenēm, jo īpaši vietējā līmenī un ar izglītības iestāžu, pilsoniskās sabiedrības un sociālās ekonomikas organizāciju, mācītu starpnieku vai ģimenes atbalsta dienestu starpniecību, lai palielinātu informētību un veicinātu pakalpojumu izmantošanu.</w:t>
      </w:r>
    </w:p>
    <w:p w14:paraId="71459AE1" w14:textId="77777777" w:rsidR="00040E0E" w:rsidRPr="00B37A02" w:rsidRDefault="00040E0E" w:rsidP="00C97F66">
      <w:pPr>
        <w:widowControl w:val="0"/>
        <w:spacing w:after="0" w:line="240" w:lineRule="auto"/>
        <w:jc w:val="both"/>
        <w:rPr>
          <w:rFonts w:ascii="Times New Roman" w:hAnsi="Times New Roman" w:cs="Times New Roman"/>
          <w:sz w:val="24"/>
          <w:szCs w:val="24"/>
        </w:rPr>
      </w:pPr>
    </w:p>
    <w:p w14:paraId="07705352" w14:textId="16539989" w:rsidR="00BC5BDF" w:rsidRPr="00B37A02" w:rsidRDefault="00BC5BDF" w:rsidP="00C97F66">
      <w:pPr>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sz w:val="24"/>
        </w:rPr>
        <w:t>Visbeidzot, priekšlikumā ir noteikta prasība, ka dalībvalstīm reizi divos gados regulāri jāziņo Komisijai par Eiropas Garantijas bērniem īstenošanas gaitu.</w:t>
      </w:r>
    </w:p>
    <w:p w14:paraId="2035D08C" w14:textId="77777777" w:rsidR="00040E0E" w:rsidRPr="00B37A02" w:rsidRDefault="00040E0E" w:rsidP="00C97F66">
      <w:pPr>
        <w:widowControl w:val="0"/>
        <w:spacing w:after="0" w:line="240" w:lineRule="auto"/>
        <w:jc w:val="both"/>
        <w:rPr>
          <w:rFonts w:ascii="Times New Roman" w:hAnsi="Times New Roman" w:cs="Times New Roman"/>
          <w:sz w:val="24"/>
          <w:szCs w:val="24"/>
        </w:rPr>
      </w:pPr>
    </w:p>
    <w:p w14:paraId="2DEE38E7" w14:textId="42A51D79" w:rsidR="00040E0E" w:rsidRPr="00B37A02" w:rsidRDefault="00321FBA" w:rsidP="00C97F66">
      <w:pPr>
        <w:spacing w:after="0" w:line="240" w:lineRule="auto"/>
        <w:rPr>
          <w:rFonts w:ascii="Times New Roman" w:eastAsiaTheme="majorEastAsia" w:hAnsi="Times New Roman" w:cs="Times New Roman"/>
          <w:color w:val="2E74B5" w:themeColor="accent1" w:themeShade="BF"/>
          <w:sz w:val="24"/>
          <w:szCs w:val="28"/>
        </w:rPr>
      </w:pPr>
      <w:r w:rsidRPr="00B37A02">
        <w:rPr>
          <w:rFonts w:ascii="Times New Roman" w:hAnsi="Times New Roman" w:cs="Times New Roman"/>
          <w:color w:val="2E74B5" w:themeColor="accent1" w:themeShade="BF"/>
          <w:sz w:val="24"/>
        </w:rPr>
        <w:t>7.2. Īstenošana, uzraudzība un izvērtēšana</w:t>
      </w:r>
    </w:p>
    <w:p w14:paraId="53687031" w14:textId="77777777" w:rsidR="00321FBA" w:rsidRPr="00B37A02" w:rsidRDefault="00321FBA" w:rsidP="00C97F66">
      <w:pPr>
        <w:spacing w:after="0" w:line="240" w:lineRule="auto"/>
        <w:rPr>
          <w:rFonts w:ascii="Times New Roman" w:hAnsi="Times New Roman" w:cs="Times New Roman"/>
        </w:rPr>
      </w:pPr>
    </w:p>
    <w:p w14:paraId="08BB4357" w14:textId="77777777" w:rsidR="00EC5DE2" w:rsidRPr="00B37A02" w:rsidRDefault="00BC5BDF" w:rsidP="00C97F66">
      <w:pPr>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sz w:val="24"/>
        </w:rPr>
        <w:t xml:space="preserve">Pārvaldības procesi ES līmenī palīdz: i) apzināt nepilnības un problēmas, kā arī ii) izstrādāt atbildes pasākumus attiecīgajai politikai. </w:t>
      </w:r>
      <w:r w:rsidRPr="00B37A02">
        <w:rPr>
          <w:rFonts w:ascii="Times New Roman" w:hAnsi="Times New Roman" w:cs="Times New Roman"/>
          <w:b/>
          <w:bCs/>
          <w:sz w:val="24"/>
        </w:rPr>
        <w:t>Eiropas pusgadam</w:t>
      </w:r>
      <w:r w:rsidRPr="00B37A02">
        <w:rPr>
          <w:rFonts w:ascii="Times New Roman" w:hAnsi="Times New Roman" w:cs="Times New Roman"/>
          <w:sz w:val="24"/>
          <w:szCs w:val="24"/>
          <w:vertAlign w:val="superscript"/>
        </w:rPr>
        <w:footnoteReference w:id="230"/>
      </w:r>
      <w:r w:rsidRPr="00B37A02">
        <w:rPr>
          <w:rFonts w:ascii="Times New Roman" w:hAnsi="Times New Roman" w:cs="Times New Roman"/>
          <w:sz w:val="24"/>
        </w:rPr>
        <w:t xml:space="preserve"> un sociālajai atvērtajai koordinācijas metodei ir īpaši būtiska nozīme Eiropas Garantijas bērniem īstenošanas uzraudzībā.</w:t>
      </w:r>
      <w:r w:rsidRPr="00B37A02">
        <w:rPr>
          <w:rStyle w:val="FootnoteReference"/>
          <w:rFonts w:ascii="Times New Roman" w:hAnsi="Times New Roman" w:cs="Times New Roman"/>
          <w:sz w:val="24"/>
          <w:szCs w:val="24"/>
        </w:rPr>
        <w:footnoteReference w:id="231"/>
      </w:r>
    </w:p>
    <w:p w14:paraId="146E9D6B" w14:textId="77777777" w:rsidR="00040E0E" w:rsidRPr="00B37A02" w:rsidRDefault="00040E0E" w:rsidP="00C97F66">
      <w:pPr>
        <w:pStyle w:val="Bodytext0"/>
        <w:widowControl w:val="0"/>
        <w:spacing w:before="0" w:after="0" w:line="240" w:lineRule="auto"/>
        <w:rPr>
          <w:rFonts w:ascii="Times New Roman" w:hAnsi="Times New Roman"/>
          <w:sz w:val="24"/>
        </w:rPr>
      </w:pPr>
    </w:p>
    <w:p w14:paraId="1474A2FD" w14:textId="7FF27B3C" w:rsidR="00BC5BDF" w:rsidRPr="00B37A02" w:rsidRDefault="00BC5BDF" w:rsidP="00C97F66">
      <w:pPr>
        <w:pStyle w:val="Bodytext0"/>
        <w:widowControl w:val="0"/>
        <w:spacing w:before="0" w:after="0" w:line="240" w:lineRule="auto"/>
        <w:rPr>
          <w:rFonts w:ascii="Times New Roman" w:hAnsi="Times New Roman"/>
          <w:sz w:val="24"/>
        </w:rPr>
      </w:pPr>
      <w:r w:rsidRPr="00B37A02">
        <w:rPr>
          <w:rFonts w:ascii="Times New Roman" w:hAnsi="Times New Roman"/>
          <w:sz w:val="24"/>
        </w:rPr>
        <w:t>Ieteikumā Komisija, dalībvalstis, Sociālās aizsardzības komiteja un Garantijas bērniem valstu koordinatori tiek aicināti sadarboties, lai veicinātu savstarpēju mācīšanos, dalītos pieredzē, apmainītos ar labu praksi un sekotu līdzi darbībām, kas veiktas, reaģējot uz šo ieteikumu.</w:t>
      </w:r>
    </w:p>
    <w:p w14:paraId="1040387D" w14:textId="77777777" w:rsidR="00040E0E" w:rsidRPr="00B37A02" w:rsidRDefault="00040E0E" w:rsidP="00C97F66">
      <w:pPr>
        <w:pStyle w:val="Bodytext0"/>
        <w:widowControl w:val="0"/>
        <w:spacing w:before="0" w:after="0" w:line="240" w:lineRule="auto"/>
        <w:rPr>
          <w:rFonts w:ascii="Times New Roman" w:hAnsi="Times New Roman"/>
          <w:sz w:val="24"/>
        </w:rPr>
      </w:pPr>
    </w:p>
    <w:p w14:paraId="2897E866" w14:textId="7299C5A5" w:rsidR="00EC5DE2" w:rsidRPr="00B37A02" w:rsidRDefault="00BC5BDF" w:rsidP="00C97F66">
      <w:pPr>
        <w:pStyle w:val="Bodytext0"/>
        <w:widowControl w:val="0"/>
        <w:spacing w:before="0" w:after="0" w:line="240" w:lineRule="auto"/>
        <w:rPr>
          <w:rFonts w:ascii="Times New Roman" w:hAnsi="Times New Roman"/>
          <w:sz w:val="24"/>
        </w:rPr>
      </w:pPr>
      <w:r w:rsidRPr="00B37A02">
        <w:rPr>
          <w:rFonts w:ascii="Times New Roman" w:hAnsi="Times New Roman"/>
          <w:sz w:val="24"/>
        </w:rPr>
        <w:t xml:space="preserve">Ierosinātie divu gadu </w:t>
      </w:r>
      <w:r w:rsidRPr="00B37A02">
        <w:rPr>
          <w:rFonts w:ascii="Times New Roman" w:hAnsi="Times New Roman"/>
          <w:b/>
          <w:sz w:val="24"/>
        </w:rPr>
        <w:t>īstenošanas ziņojumi</w:t>
      </w:r>
      <w:r w:rsidRPr="00B37A02">
        <w:rPr>
          <w:rFonts w:ascii="Times New Roman" w:hAnsi="Times New Roman"/>
          <w:sz w:val="24"/>
        </w:rPr>
        <w:t>, ko dalībvalstis iesniegs Komisijai, būs pamats Komisijas īstenotajai uzraudzībai un apspriedēm Sociālās aizsardzības komitejā.</w:t>
      </w:r>
    </w:p>
    <w:p w14:paraId="16ED9EE5" w14:textId="77777777" w:rsidR="00040E0E" w:rsidRPr="00B37A02" w:rsidRDefault="00040E0E" w:rsidP="00C97F66">
      <w:pPr>
        <w:pStyle w:val="Bodytext0"/>
        <w:widowControl w:val="0"/>
        <w:spacing w:before="0" w:after="0" w:line="240" w:lineRule="auto"/>
        <w:rPr>
          <w:rFonts w:ascii="Times New Roman" w:hAnsi="Times New Roman"/>
          <w:sz w:val="24"/>
        </w:rPr>
      </w:pPr>
    </w:p>
    <w:p w14:paraId="08EB8349" w14:textId="0AC3DC78" w:rsidR="00BC5BDF" w:rsidRPr="00B37A02" w:rsidRDefault="00BC5BDF" w:rsidP="00C97F66">
      <w:pPr>
        <w:pStyle w:val="Bodytext0"/>
        <w:widowControl w:val="0"/>
        <w:spacing w:before="0" w:after="0" w:line="240" w:lineRule="auto"/>
        <w:rPr>
          <w:rFonts w:ascii="Times New Roman" w:hAnsi="Times New Roman"/>
          <w:sz w:val="24"/>
        </w:rPr>
      </w:pPr>
      <w:r w:rsidRPr="00B37A02">
        <w:rPr>
          <w:rFonts w:ascii="Times New Roman" w:hAnsi="Times New Roman"/>
          <w:sz w:val="24"/>
        </w:rPr>
        <w:lastRenderedPageBreak/>
        <w:t xml:space="preserve">Priekšlikumā ir uzsvērta Komisijas un Sociālās aizsardzības komitejas galvenā loma </w:t>
      </w:r>
      <w:r w:rsidRPr="00B37A02">
        <w:rPr>
          <w:rFonts w:ascii="Times New Roman" w:hAnsi="Times New Roman"/>
          <w:b/>
          <w:sz w:val="24"/>
        </w:rPr>
        <w:t>vienotas uzraudzības sistēmas</w:t>
      </w:r>
      <w:r w:rsidRPr="00B37A02">
        <w:rPr>
          <w:rFonts w:ascii="Times New Roman" w:hAnsi="Times New Roman"/>
          <w:sz w:val="24"/>
        </w:rPr>
        <w:t xml:space="preserve"> izveidē un kopēju kvantitatīvu un kvalitatīvu rādītāju izstrādē, lai novērtētu ieteikuma īstenošanu. Turklāt, ņemot vērā pārdomātas politikas veidošanu, priekšlikums paredz Komisijas un Sociālās aizsardzības komitejas sadarbību, lai uzlabotu ar bērniem, kam vajadzīga palīdzība, saistīto datu pieejamību, apjomu, atbilstību un kvalitāti, viņu piekļuvi pakalpojumiem, kā arī bērniem paredzēto pabalstu atbilstību un aptveri.</w:t>
      </w:r>
    </w:p>
    <w:p w14:paraId="4654B06E" w14:textId="77777777" w:rsidR="00040E0E" w:rsidRPr="00B37A02" w:rsidRDefault="00040E0E" w:rsidP="00C97F66">
      <w:pPr>
        <w:pStyle w:val="Bodytext0"/>
        <w:widowControl w:val="0"/>
        <w:spacing w:before="0" w:after="0" w:line="240" w:lineRule="auto"/>
        <w:rPr>
          <w:rFonts w:ascii="Times New Roman" w:hAnsi="Times New Roman"/>
          <w:sz w:val="24"/>
          <w:szCs w:val="24"/>
        </w:rPr>
      </w:pPr>
    </w:p>
    <w:p w14:paraId="4E184F27" w14:textId="34F56C9E" w:rsidR="00BC5BDF" w:rsidRPr="00B37A02" w:rsidRDefault="00BC5BDF" w:rsidP="00C97F66">
      <w:pPr>
        <w:pStyle w:val="Bodytext0"/>
        <w:widowControl w:val="0"/>
        <w:spacing w:before="0" w:after="0" w:line="240" w:lineRule="auto"/>
        <w:rPr>
          <w:rFonts w:ascii="Times New Roman" w:hAnsi="Times New Roman"/>
          <w:sz w:val="24"/>
          <w:szCs w:val="24"/>
        </w:rPr>
      </w:pPr>
      <w:r w:rsidRPr="00B37A02">
        <w:rPr>
          <w:rFonts w:ascii="Times New Roman" w:hAnsi="Times New Roman"/>
          <w:sz w:val="24"/>
        </w:rPr>
        <w:t>Priekšlikumā Komisija tiek aicināta izvērtēt Eiropas Garantijas bērniem īstenošanu un piecus gadus pēc ieteikuma pieņemšanas ziņot Padomei.</w:t>
      </w:r>
    </w:p>
    <w:p w14:paraId="185DF405" w14:textId="3A014D4B" w:rsidR="00EC5DE2" w:rsidRPr="00B37A02" w:rsidRDefault="00BC5BDF" w:rsidP="00C97F66">
      <w:pPr>
        <w:pStyle w:val="Body"/>
        <w:widowControl w:val="0"/>
        <w:spacing w:after="0" w:line="240" w:lineRule="auto"/>
        <w:rPr>
          <w:rFonts w:ascii="Times New Roman" w:hAnsi="Times New Roman" w:cs="Times New Roman"/>
          <w:sz w:val="24"/>
          <w:szCs w:val="24"/>
        </w:rPr>
      </w:pPr>
      <w:bookmarkStart w:id="288" w:name="_Toc63850087"/>
      <w:bookmarkStart w:id="289" w:name="_Toc63850305"/>
      <w:r w:rsidRPr="00B37A02">
        <w:rPr>
          <w:rFonts w:ascii="Times New Roman" w:hAnsi="Times New Roman" w:cs="Times New Roman"/>
          <w:sz w:val="24"/>
        </w:rPr>
        <w:t>Visbeidzot, priekšlikumā Komisija tiek aicināta stiprināt informētības veicināšanas un komunikācijas centienus un palielināt rezultātu un labas prakses piemēru izplatīšanu Savienības līmenī, kā arī starp dalībvalstīm un attiecīgajām ieinteresētajām pusēm.</w:t>
      </w:r>
      <w:bookmarkEnd w:id="288"/>
      <w:bookmarkEnd w:id="289"/>
    </w:p>
    <w:p w14:paraId="5EFF0E36" w14:textId="77777777" w:rsidR="00040E0E" w:rsidRPr="00B37A02" w:rsidRDefault="00040E0E" w:rsidP="00C97F66">
      <w:pPr>
        <w:pStyle w:val="Body"/>
        <w:widowControl w:val="0"/>
        <w:spacing w:after="0" w:line="240" w:lineRule="auto"/>
        <w:rPr>
          <w:rFonts w:ascii="Times New Roman" w:hAnsi="Times New Roman" w:cs="Times New Roman"/>
          <w:sz w:val="24"/>
          <w:szCs w:val="24"/>
        </w:rPr>
      </w:pPr>
    </w:p>
    <w:p w14:paraId="254A7A7E" w14:textId="7C8FFE63" w:rsidR="00EC5DE2" w:rsidRPr="00B37A02" w:rsidRDefault="00040E0E" w:rsidP="00C97F66">
      <w:pPr>
        <w:pStyle w:val="Heading1"/>
        <w:keepNext w:val="0"/>
        <w:keepLines w:val="0"/>
        <w:widowControl w:val="0"/>
        <w:spacing w:before="0" w:line="240" w:lineRule="auto"/>
        <w:jc w:val="both"/>
        <w:rPr>
          <w:rFonts w:ascii="Times New Roman" w:hAnsi="Times New Roman" w:cs="Times New Roman"/>
          <w:sz w:val="28"/>
          <w:szCs w:val="36"/>
        </w:rPr>
      </w:pPr>
      <w:bookmarkStart w:id="290" w:name="_Toc63692778"/>
      <w:bookmarkStart w:id="291" w:name="_Toc63712857"/>
      <w:bookmarkStart w:id="292" w:name="_Toc63850088"/>
      <w:bookmarkStart w:id="293" w:name="_Toc63850307"/>
      <w:bookmarkStart w:id="294" w:name="_Toc63862441"/>
      <w:bookmarkStart w:id="295" w:name="_Toc64476356"/>
      <w:r w:rsidRPr="00B37A02">
        <w:rPr>
          <w:rFonts w:ascii="Times New Roman" w:hAnsi="Times New Roman" w:cs="Times New Roman"/>
          <w:sz w:val="28"/>
        </w:rPr>
        <w:t>8. EIROPAS GARANTIJAS BĒRNIEM PAREDZAMĀ IETEKME</w:t>
      </w:r>
      <w:bookmarkEnd w:id="290"/>
      <w:bookmarkEnd w:id="291"/>
      <w:bookmarkEnd w:id="292"/>
      <w:bookmarkEnd w:id="293"/>
      <w:bookmarkEnd w:id="294"/>
      <w:bookmarkEnd w:id="295"/>
    </w:p>
    <w:p w14:paraId="67D8A3D5" w14:textId="77777777" w:rsidR="00040E0E" w:rsidRPr="00B37A02" w:rsidRDefault="00040E0E" w:rsidP="00C97F66">
      <w:pPr>
        <w:spacing w:after="0" w:line="240" w:lineRule="auto"/>
        <w:rPr>
          <w:rFonts w:ascii="Times New Roman" w:hAnsi="Times New Roman" w:cs="Times New Roman"/>
        </w:rPr>
      </w:pPr>
    </w:p>
    <w:p w14:paraId="6FBCA56E" w14:textId="420718AD" w:rsidR="00EC5DE2" w:rsidRPr="00B37A02" w:rsidRDefault="00BC5BDF" w:rsidP="00C97F66">
      <w:pPr>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sz w:val="24"/>
        </w:rPr>
        <w:t>Ievērojot Komisijas labāka regulējuma vadlīnijas, netika veikts priekšlikuma ekonomiskās, sociālās, pamattiesību un vides ietekmes novērtējums. Iniciatīvai izvēlētajā instrumentā, proti, priekšlikumā Padomes ieteikumam, ir sniegti norādījumi par Eiropas Garantijas bērniem īstenošanu. Šis instruments arī ļauj dalībvalstīm būt elastīgām pasākumu izstrādē un īstenošanā saskaņā ar valsts praksi. Līdz ar to ieteikuma paredzamā ietekme būs ļoti atkarīga no: i) dalībvalstu saistībām un ii) pēc tam pieņemto valstu rīcības plānu vērienīguma to īstenošanai.</w:t>
      </w:r>
    </w:p>
    <w:p w14:paraId="547C0E8D" w14:textId="77777777" w:rsidR="00040E0E" w:rsidRPr="00B37A02" w:rsidRDefault="00040E0E" w:rsidP="00C97F66">
      <w:pPr>
        <w:widowControl w:val="0"/>
        <w:spacing w:after="0" w:line="240" w:lineRule="auto"/>
        <w:jc w:val="both"/>
        <w:rPr>
          <w:rFonts w:ascii="Times New Roman" w:hAnsi="Times New Roman" w:cs="Times New Roman"/>
          <w:sz w:val="24"/>
          <w:szCs w:val="24"/>
        </w:rPr>
      </w:pPr>
    </w:p>
    <w:p w14:paraId="69CF7087" w14:textId="36472A8A" w:rsidR="00EC5DE2" w:rsidRPr="00B37A02" w:rsidRDefault="00BC5BDF" w:rsidP="00C97F66">
      <w:pPr>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sz w:val="24"/>
        </w:rPr>
        <w:t>To ņemot vērā, šī nodaļa ir balstīta uz sagatavošanās darbības II posmu (“Study on the economic implementing framework of a possible EU Child Guarantee Scheme including its financial foundation” [Pētījums par iespējamās ES Garantijas bērniem programmas ekonomisko īstenošanas satvaru, tostarp tās finansiālo pamatu]). Šajā nodaļā ir arī mēģināts novērtēt priekšlikuma iespējamo ietekmi uz piecu pamatpakalpojumu pieejamību bērniem, kam vajadzīga palīdzība. Visbeidzot, šajā nodaļā ir iekļauta vienkāršota analīze par iespējamām izmaksām, lai nodrošinātu šādu piekļuvi. Tomēr aprēķini ir tikai ļoti aptuveni datu trūkuma un nesalīdzināmības dēļ.</w:t>
      </w:r>
    </w:p>
    <w:p w14:paraId="6337B883" w14:textId="77777777" w:rsidR="00040E0E" w:rsidRPr="00B37A02" w:rsidRDefault="00040E0E" w:rsidP="00C97F66">
      <w:pPr>
        <w:widowControl w:val="0"/>
        <w:spacing w:after="0" w:line="240" w:lineRule="auto"/>
        <w:jc w:val="both"/>
        <w:rPr>
          <w:rFonts w:ascii="Times New Roman" w:hAnsi="Times New Roman" w:cs="Times New Roman"/>
          <w:sz w:val="24"/>
          <w:szCs w:val="24"/>
        </w:rPr>
      </w:pPr>
    </w:p>
    <w:p w14:paraId="60E424E9" w14:textId="1DA00688" w:rsidR="00BC5BDF" w:rsidRPr="00B37A02" w:rsidRDefault="00040E0E" w:rsidP="00C97F66">
      <w:pPr>
        <w:pStyle w:val="Heading2"/>
        <w:keepNext w:val="0"/>
        <w:keepLines w:val="0"/>
        <w:widowControl w:val="0"/>
        <w:spacing w:before="0" w:line="240" w:lineRule="auto"/>
        <w:jc w:val="both"/>
        <w:rPr>
          <w:rFonts w:cs="Times New Roman"/>
          <w:sz w:val="24"/>
          <w:szCs w:val="28"/>
        </w:rPr>
      </w:pPr>
      <w:bookmarkStart w:id="296" w:name="_Toc63692779"/>
      <w:bookmarkStart w:id="297" w:name="_Toc63712858"/>
      <w:bookmarkStart w:id="298" w:name="_Toc63850089"/>
      <w:bookmarkStart w:id="299" w:name="_Toc63850308"/>
      <w:bookmarkStart w:id="300" w:name="_Toc64476357"/>
      <w:r w:rsidRPr="00B37A02">
        <w:rPr>
          <w:rFonts w:cs="Times New Roman"/>
          <w:sz w:val="24"/>
        </w:rPr>
        <w:t>8,1. Priekšlikuma paredzamā ietekme</w:t>
      </w:r>
      <w:bookmarkEnd w:id="296"/>
      <w:bookmarkEnd w:id="297"/>
      <w:bookmarkEnd w:id="298"/>
      <w:bookmarkEnd w:id="299"/>
      <w:bookmarkEnd w:id="300"/>
    </w:p>
    <w:p w14:paraId="1C6F95DB" w14:textId="77777777" w:rsidR="00040E0E" w:rsidRPr="00B37A02" w:rsidRDefault="00040E0E" w:rsidP="00C97F66">
      <w:pPr>
        <w:spacing w:after="0" w:line="240" w:lineRule="auto"/>
        <w:rPr>
          <w:rFonts w:ascii="Times New Roman" w:hAnsi="Times New Roman" w:cs="Times New Roman"/>
        </w:rPr>
      </w:pPr>
    </w:p>
    <w:p w14:paraId="4BFD25C3" w14:textId="77777777" w:rsidR="00EC5DE2" w:rsidRPr="00B37A02" w:rsidRDefault="00BC5BDF" w:rsidP="00C97F66">
      <w:pPr>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sz w:val="24"/>
        </w:rPr>
        <w:t>Ir daudz pierādījumu tam, ka ieguldījumi ar salīdzinoši zemām finansiālām izmaksām bērnībā var dot ieguvumus mūža garumā ne tikai indivīdiem, bet arī sabiedrībai un ekonomikai.</w:t>
      </w:r>
      <w:r w:rsidRPr="00B37A02">
        <w:rPr>
          <w:rStyle w:val="FootnoteReference"/>
          <w:rFonts w:ascii="Times New Roman" w:hAnsi="Times New Roman" w:cs="Times New Roman"/>
          <w:sz w:val="24"/>
          <w:szCs w:val="24"/>
        </w:rPr>
        <w:footnoteReference w:id="232"/>
      </w:r>
      <w:r w:rsidRPr="00B37A02">
        <w:rPr>
          <w:rFonts w:ascii="Times New Roman" w:hAnsi="Times New Roman" w:cs="Times New Roman"/>
          <w:sz w:val="24"/>
        </w:rPr>
        <w:t xml:space="preserve"> Šķiet, ka starppaaudžu mobilitāti ļoti ietekmē ne tikai ieguldījuma bērnos apjoms, bet arī šā ieguldījuma atdeves līmenis, kas ir visaugstākais bērna agrīnajā vecumā. Pieejamajos pētījumos</w:t>
      </w:r>
      <w:r w:rsidRPr="00B37A02">
        <w:rPr>
          <w:rFonts w:ascii="Times New Roman" w:hAnsi="Times New Roman" w:cs="Times New Roman"/>
          <w:sz w:val="24"/>
          <w:szCs w:val="24"/>
          <w:vertAlign w:val="superscript"/>
        </w:rPr>
        <w:footnoteReference w:id="233"/>
      </w:r>
      <w:r w:rsidRPr="00B37A02">
        <w:rPr>
          <w:rFonts w:ascii="Times New Roman" w:hAnsi="Times New Roman" w:cs="Times New Roman"/>
          <w:sz w:val="24"/>
        </w:rPr>
        <w:t xml:space="preserve"> ir uzsvērta ieguldījuma kritiskā ietekme pirmsskolas vecumā (īpaši līdz 3 gadu vecumam), kad tiek attīstīta lielākā daļa būtisku kognitīvo un sociālo prasmju. Šķiet, ka tas ir laikaposms ar visaugstāko atdevi no izglītības sasniegumiem un vispārējā cilvēkkapitāla ieguldījuma bērnos. Šis atdeves līmenis ir īpaši augsts, ja to apvieno ar iejaukšanās pasākumiem veselības un izglītības jomā. Bērni no nelabvēlīgas vides gūst vēl lielāku labumu no šā ieguldījuma, jo kvalitatīva agrīnā pirmsskolas izglītība un aprūpe palīdz mazināt nevienlīdzību, kas izriet no tādiem ar skolu nesaistītiem faktoriem kā ģimene un apkaime.</w:t>
      </w:r>
    </w:p>
    <w:p w14:paraId="43EF5F3A" w14:textId="77777777" w:rsidR="00040E0E" w:rsidRPr="00B37A02" w:rsidRDefault="00040E0E" w:rsidP="00C97F66">
      <w:pPr>
        <w:widowControl w:val="0"/>
        <w:spacing w:after="0" w:line="240" w:lineRule="auto"/>
        <w:jc w:val="both"/>
        <w:rPr>
          <w:rFonts w:ascii="Times New Roman" w:hAnsi="Times New Roman" w:cs="Times New Roman"/>
          <w:b/>
          <w:sz w:val="24"/>
          <w:szCs w:val="24"/>
        </w:rPr>
      </w:pPr>
    </w:p>
    <w:p w14:paraId="721A69A3" w14:textId="1F275B89" w:rsidR="00BC5BDF" w:rsidRPr="00B37A02" w:rsidRDefault="00BC5BDF" w:rsidP="00113790">
      <w:pPr>
        <w:keepNext/>
        <w:keepLines/>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b/>
          <w:bCs/>
          <w:sz w:val="24"/>
        </w:rPr>
        <w:lastRenderedPageBreak/>
        <w:t>Risku novēršana mēdz radīt mazākas izmaksas nekā risku koriģēšana.</w:t>
      </w:r>
      <w:r w:rsidRPr="00B37A02">
        <w:rPr>
          <w:rFonts w:ascii="Times New Roman" w:hAnsi="Times New Roman" w:cs="Times New Roman"/>
          <w:sz w:val="24"/>
        </w:rPr>
        <w:t xml:space="preserve"> Bērnu sociālā atstumtība un nelabvēlīgo situāciju pārmantošana no paaudzes paaudzē rada ievērojamas izmaksas ne tikai tieši skartajām personām, bet arī visai sabiedrībai. Ir plaši atzīts, ka valsts izdevumi, lai mazinātu negatīvās sekas no agrīnā bērnībā piedzīvotas sociālās atstumtības, būtu mazāki nekā valsts izdevumi, lai bērnībā piedzīvotas sociālās atstumtības sekas visā personas dzīves laikā, piemēram, bezdarbu vai veselības problēmas. Ar agrīnu iejaukšanos iespējams mazināt nepieciešamību pēc valdības izdevumiem sociālajai aizsardzībai nākotnē. Piemēram, aptuvenās kopējās ikgadējās izmaksas ES dalībvalstīm, atstājot cilvēkus nepiemērotos mājokļos, ir gandrīz 194 miljardi EUR. Tas ietver gan tiešās izmaksas, piemēram, veselības aprūpi vai sociālos pakalpojumus, gan netiešās izmaksas, piemēram, produktivitātes zudumu.</w:t>
      </w:r>
      <w:r w:rsidRPr="00B37A02">
        <w:rPr>
          <w:rStyle w:val="FootnoteReference"/>
          <w:rFonts w:ascii="Times New Roman" w:hAnsi="Times New Roman" w:cs="Times New Roman"/>
          <w:sz w:val="24"/>
          <w:szCs w:val="24"/>
        </w:rPr>
        <w:footnoteReference w:id="234"/>
      </w:r>
      <w:r w:rsidRPr="00B37A02">
        <w:rPr>
          <w:rFonts w:ascii="Times New Roman" w:hAnsi="Times New Roman" w:cs="Times New Roman"/>
          <w:sz w:val="24"/>
        </w:rPr>
        <w:t xml:space="preserve"> Būtiskas ir arī veselības nevienlīdzības radītās ekonomiskās izmaksas. Tiek lēsts, ka ar veselības nevienlīdzību saistīto labklājības zaudējumu monetārā vērtība ir 980 miljardi eiro gadā jeb 9,4 % no ES IKP.</w:t>
      </w:r>
      <w:r w:rsidRPr="00B37A02">
        <w:rPr>
          <w:rStyle w:val="FootnoteReference"/>
          <w:rFonts w:ascii="Times New Roman" w:hAnsi="Times New Roman" w:cs="Times New Roman"/>
          <w:sz w:val="24"/>
          <w:szCs w:val="24"/>
        </w:rPr>
        <w:footnoteReference w:id="235"/>
      </w:r>
    </w:p>
    <w:p w14:paraId="469EDC1F" w14:textId="77777777" w:rsidR="00040E0E" w:rsidRPr="00B37A02" w:rsidRDefault="00040E0E" w:rsidP="00C97F66">
      <w:pPr>
        <w:widowControl w:val="0"/>
        <w:spacing w:after="0" w:line="240" w:lineRule="auto"/>
        <w:jc w:val="both"/>
        <w:rPr>
          <w:rFonts w:ascii="Times New Roman" w:hAnsi="Times New Roman" w:cs="Times New Roman"/>
          <w:sz w:val="24"/>
          <w:szCs w:val="24"/>
        </w:rPr>
      </w:pPr>
    </w:p>
    <w:p w14:paraId="4C4F4E2F" w14:textId="24A41AA4" w:rsidR="00EC5DE2" w:rsidRPr="00B37A02" w:rsidRDefault="00BC5BDF" w:rsidP="00C97F66">
      <w:pPr>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sz w:val="24"/>
        </w:rPr>
        <w:t xml:space="preserve">Kvalitatīvas </w:t>
      </w:r>
      <w:r w:rsidRPr="00B37A02">
        <w:rPr>
          <w:rFonts w:ascii="Times New Roman" w:hAnsi="Times New Roman" w:cs="Times New Roman"/>
          <w:b/>
          <w:bCs/>
          <w:sz w:val="24"/>
        </w:rPr>
        <w:t>agrīnās pirmsskolas izglītības un aprūpes (</w:t>
      </w:r>
      <w:r w:rsidRPr="00B37A02">
        <w:rPr>
          <w:rFonts w:ascii="Times New Roman" w:hAnsi="Times New Roman" w:cs="Times New Roman"/>
          <w:b/>
          <w:bCs/>
          <w:i/>
          <w:iCs/>
          <w:sz w:val="24"/>
        </w:rPr>
        <w:t>ECEC</w:t>
      </w:r>
      <w:r w:rsidRPr="00B37A02">
        <w:rPr>
          <w:rFonts w:ascii="Times New Roman" w:hAnsi="Times New Roman" w:cs="Times New Roman"/>
          <w:b/>
          <w:bCs/>
          <w:sz w:val="24"/>
        </w:rPr>
        <w:t>)</w:t>
      </w:r>
      <w:r w:rsidRPr="00B37A02">
        <w:rPr>
          <w:rFonts w:ascii="Times New Roman" w:hAnsi="Times New Roman" w:cs="Times New Roman"/>
          <w:sz w:val="24"/>
        </w:rPr>
        <w:t xml:space="preserve"> pieejamības uzlabošana ir būtiska bērniem no ģimenēm ar zemiem ienākumiem, jo izglītība ir galvenais paaudžu ienākumu mobilitātes veicinātājs. Līdzdalība </w:t>
      </w:r>
      <w:r w:rsidRPr="00B37A02">
        <w:rPr>
          <w:rFonts w:ascii="Times New Roman" w:hAnsi="Times New Roman" w:cs="Times New Roman"/>
          <w:i/>
          <w:iCs/>
          <w:sz w:val="24"/>
        </w:rPr>
        <w:t>ECEC</w:t>
      </w:r>
      <w:r w:rsidRPr="00B37A02">
        <w:rPr>
          <w:rFonts w:ascii="Times New Roman" w:hAnsi="Times New Roman" w:cs="Times New Roman"/>
          <w:sz w:val="24"/>
        </w:rPr>
        <w:t xml:space="preserve"> var īpaši palielināt iespēju bērniem no mājsaimniecībām ar zemiem ienākumiem sasniegt vai pat pārspēt ES vidējos rezultātus </w:t>
      </w:r>
      <w:r w:rsidRPr="00B37A02">
        <w:rPr>
          <w:rFonts w:ascii="Times New Roman" w:hAnsi="Times New Roman" w:cs="Times New Roman"/>
          <w:i/>
          <w:iCs/>
          <w:sz w:val="24"/>
        </w:rPr>
        <w:t>PISA</w:t>
      </w:r>
      <w:r w:rsidRPr="00B37A02">
        <w:rPr>
          <w:rFonts w:ascii="Times New Roman" w:hAnsi="Times New Roman" w:cs="Times New Roman"/>
          <w:sz w:val="24"/>
        </w:rPr>
        <w:t xml:space="preserve"> matemātikas un lasīšanas testos. Šī ietekme ir īpaši spēcīga, ja bērni nonāk izglītības iestādēs jau agrā vecumā. Pastāv plaša vienprātība,</w:t>
      </w:r>
      <w:r w:rsidRPr="00B37A02">
        <w:rPr>
          <w:rFonts w:ascii="Times New Roman" w:hAnsi="Times New Roman" w:cs="Times New Roman"/>
          <w:sz w:val="24"/>
          <w:szCs w:val="24"/>
          <w:vertAlign w:val="superscript"/>
        </w:rPr>
        <w:footnoteReference w:id="236"/>
      </w:r>
      <w:r w:rsidRPr="00B37A02">
        <w:rPr>
          <w:rFonts w:ascii="Times New Roman" w:hAnsi="Times New Roman" w:cs="Times New Roman"/>
          <w:sz w:val="24"/>
        </w:rPr>
        <w:t xml:space="preserve"> ka kvalitatīva </w:t>
      </w:r>
      <w:r w:rsidRPr="00B37A02">
        <w:rPr>
          <w:rFonts w:ascii="Times New Roman" w:hAnsi="Times New Roman" w:cs="Times New Roman"/>
          <w:i/>
          <w:iCs/>
          <w:sz w:val="24"/>
        </w:rPr>
        <w:t>ECEC</w:t>
      </w:r>
      <w:r w:rsidRPr="00B37A02">
        <w:rPr>
          <w:rFonts w:ascii="Times New Roman" w:hAnsi="Times New Roman" w:cs="Times New Roman"/>
          <w:sz w:val="24"/>
        </w:rPr>
        <w:t xml:space="preserve"> ir efektīvs līdzeklis, lai novērstu priekšlaicīgu izglītības un mācību pārtraukšanu un turpmāk uzlabotu: i) akadēmisko sniegumu; ii) veselību; iii) nodarbinātības rezultātus, kā arī iv) sociālo mobilitāti. Pierādījumi liecina, ka nelabvēlīgā situācijā nonākušiem bērniem ir pat trīs reizes lielāka iespēja absolvēt vidusskolu, ja viņi piedalās agrīnajā pirmsskolas izglītībā un aprūpē.</w:t>
      </w:r>
      <w:r w:rsidRPr="00B37A02">
        <w:rPr>
          <w:rStyle w:val="FootnoteReference"/>
          <w:rFonts w:ascii="Times New Roman" w:hAnsi="Times New Roman" w:cs="Times New Roman"/>
          <w:sz w:val="24"/>
          <w:szCs w:val="24"/>
        </w:rPr>
        <w:footnoteReference w:id="237"/>
      </w:r>
      <w:r w:rsidRPr="00B37A02">
        <w:rPr>
          <w:rFonts w:ascii="Times New Roman" w:hAnsi="Times New Roman" w:cs="Times New Roman"/>
          <w:sz w:val="24"/>
        </w:rPr>
        <w:t xml:space="preserve"> Ir arī daudz pārliecinošu pierādījumu,</w:t>
      </w:r>
      <w:r w:rsidRPr="00B37A02">
        <w:rPr>
          <w:rFonts w:ascii="Times New Roman" w:hAnsi="Times New Roman" w:cs="Times New Roman"/>
          <w:sz w:val="24"/>
          <w:szCs w:val="24"/>
          <w:vertAlign w:val="superscript"/>
        </w:rPr>
        <w:footnoteReference w:id="238"/>
      </w:r>
      <w:r w:rsidRPr="00B37A02">
        <w:rPr>
          <w:rFonts w:ascii="Times New Roman" w:hAnsi="Times New Roman" w:cs="Times New Roman"/>
          <w:sz w:val="24"/>
        </w:rPr>
        <w:t xml:space="preserve"> kas liecina, ka šie pakalpojumi var radīt tiešu labvēlīgu ietekmi uz: i) bērnu attīstību (gan kognitīvo prasmju attīstības, gan citās attīstības jomās) un ii) vecākiem (viņu darba izredžu un ienākumu uzlabošanu). </w:t>
      </w:r>
      <w:r w:rsidRPr="00B37A02">
        <w:rPr>
          <w:rFonts w:ascii="Times New Roman" w:hAnsi="Times New Roman" w:cs="Times New Roman"/>
          <w:i/>
          <w:iCs/>
          <w:sz w:val="24"/>
        </w:rPr>
        <w:t>ECEC</w:t>
      </w:r>
      <w:r w:rsidRPr="00B37A02">
        <w:rPr>
          <w:rFonts w:ascii="Times New Roman" w:hAnsi="Times New Roman" w:cs="Times New Roman"/>
          <w:sz w:val="24"/>
        </w:rPr>
        <w:t xml:space="preserve"> vidēja termiņa un ilgtermiņa ietekme ietver ilgstošu ietekmi uz izglītības veidiem. Tomēr šī ietekme var būt pilnībā efektīva vienīgi tad, ja tiek nodrošināta kvalitatīva </w:t>
      </w:r>
      <w:r w:rsidRPr="00B37A02">
        <w:rPr>
          <w:rFonts w:ascii="Times New Roman" w:hAnsi="Times New Roman" w:cs="Times New Roman"/>
          <w:i/>
          <w:iCs/>
          <w:sz w:val="24"/>
        </w:rPr>
        <w:t>ECEC</w:t>
      </w:r>
      <w:r w:rsidRPr="00B37A02">
        <w:rPr>
          <w:rFonts w:ascii="Times New Roman" w:hAnsi="Times New Roman" w:cs="Times New Roman"/>
          <w:sz w:val="24"/>
        </w:rPr>
        <w:t>, proti: i) tā ir pieejama; ii) tās nodrošināšanā ir iesaistīti prasmīgi un augsti kvalificēti darbinieki; iii) tā paredz visaptverošu mācību programmu; iv) tā tiek labi uzraudzīta, un v) tā tiek atbilstoši pārvaldīta un pienācīgi finansēta.</w:t>
      </w:r>
    </w:p>
    <w:p w14:paraId="673EC3B2" w14:textId="77777777" w:rsidR="00040E0E" w:rsidRPr="00B37A02" w:rsidRDefault="00040E0E" w:rsidP="00C97F66">
      <w:pPr>
        <w:widowControl w:val="0"/>
        <w:spacing w:after="0" w:line="240" w:lineRule="auto"/>
        <w:jc w:val="both"/>
        <w:rPr>
          <w:rFonts w:ascii="Times New Roman" w:eastAsia="Times New Roman" w:hAnsi="Times New Roman" w:cs="Times New Roman"/>
          <w:bCs/>
          <w:sz w:val="24"/>
          <w:szCs w:val="24"/>
        </w:rPr>
      </w:pPr>
    </w:p>
    <w:p w14:paraId="24CCFCAE" w14:textId="576F633B" w:rsidR="00EC5DE2" w:rsidRPr="00B37A02" w:rsidRDefault="00BC5BDF" w:rsidP="00C97F66">
      <w:pPr>
        <w:widowControl w:val="0"/>
        <w:spacing w:after="0" w:line="240" w:lineRule="auto"/>
        <w:jc w:val="both"/>
        <w:rPr>
          <w:rFonts w:ascii="Times New Roman" w:eastAsia="Times New Roman" w:hAnsi="Times New Roman" w:cs="Times New Roman"/>
          <w:bCs/>
          <w:sz w:val="24"/>
          <w:szCs w:val="24"/>
        </w:rPr>
      </w:pPr>
      <w:r w:rsidRPr="00B37A02">
        <w:rPr>
          <w:rFonts w:ascii="Times New Roman" w:hAnsi="Times New Roman" w:cs="Times New Roman"/>
          <w:sz w:val="24"/>
        </w:rPr>
        <w:t xml:space="preserve">Ir pierādīts, ka labāka </w:t>
      </w:r>
      <w:r w:rsidRPr="00B37A02">
        <w:rPr>
          <w:rFonts w:ascii="Times New Roman" w:hAnsi="Times New Roman" w:cs="Times New Roman"/>
          <w:b/>
          <w:bCs/>
          <w:sz w:val="24"/>
        </w:rPr>
        <w:t>izglītība</w:t>
      </w:r>
      <w:r w:rsidRPr="00B37A02">
        <w:rPr>
          <w:rFonts w:ascii="Times New Roman" w:hAnsi="Times New Roman" w:cs="Times New Roman"/>
          <w:sz w:val="24"/>
        </w:rPr>
        <w:t xml:space="preserve"> ir saistīta ar: i) mazāku slimību slogu; ii) uzlabotu produktivitāti un prasmju kopumu individuālā līmenī; iii) piekļuvi augstākām algām, kā arī iv) vispārīgiem ieguvumiem indivīdam un plašākai sabiedrībai un ekonomikai. Tiek lēsts, ka vidējā atdeve no papildu mācību gada ir aptuveni 10 %.</w:t>
      </w:r>
      <w:r w:rsidRPr="00B37A02">
        <w:rPr>
          <w:rStyle w:val="FootnoteReference"/>
          <w:rFonts w:ascii="Times New Roman" w:eastAsia="Times New Roman" w:hAnsi="Times New Roman" w:cs="Times New Roman"/>
          <w:bCs/>
          <w:sz w:val="24"/>
          <w:szCs w:val="24"/>
        </w:rPr>
        <w:footnoteReference w:id="239"/>
      </w:r>
      <w:r w:rsidRPr="00B37A02">
        <w:rPr>
          <w:rFonts w:ascii="Times New Roman" w:hAnsi="Times New Roman" w:cs="Times New Roman"/>
          <w:sz w:val="24"/>
        </w:rPr>
        <w:t xml:space="preserve"> Kvalitatīva un iekļaujoša izglītība un mācības palīdz veidot sociālo un personīgo noturību. Šie faktori sniedz arī citus ar ekonomiku nesaistītus ieguvumus. Kvalitatīvas un iekļaujošas izglītības un mācību ietekme uz bērniem no nelabvēlīgas vides ir vēl spēcīgāka, jo tā palīdz mazināt sociālekonomiskās atšķirības ar bērniem no pārtikušākām ģimenēm.</w:t>
      </w:r>
    </w:p>
    <w:p w14:paraId="3B27BDD1" w14:textId="77777777" w:rsidR="00040E0E" w:rsidRPr="00B37A02" w:rsidRDefault="00040E0E" w:rsidP="00C97F66">
      <w:pPr>
        <w:widowControl w:val="0"/>
        <w:spacing w:after="0" w:line="240" w:lineRule="auto"/>
        <w:jc w:val="both"/>
        <w:rPr>
          <w:rFonts w:ascii="Times New Roman" w:hAnsi="Times New Roman" w:cs="Times New Roman"/>
          <w:b/>
          <w:sz w:val="24"/>
          <w:szCs w:val="24"/>
        </w:rPr>
      </w:pPr>
    </w:p>
    <w:p w14:paraId="16689ED4" w14:textId="6DE667C4" w:rsidR="00EC5DE2" w:rsidRPr="00B37A02" w:rsidRDefault="00BC5BDF" w:rsidP="00C97F66">
      <w:pPr>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b/>
          <w:bCs/>
          <w:sz w:val="24"/>
        </w:rPr>
        <w:lastRenderedPageBreak/>
        <w:t>Veselība</w:t>
      </w:r>
      <w:r w:rsidRPr="00B37A02">
        <w:rPr>
          <w:rFonts w:ascii="Times New Roman" w:hAnsi="Times New Roman" w:cs="Times New Roman"/>
          <w:sz w:val="24"/>
        </w:rPr>
        <w:t xml:space="preserve"> pati par sevi ir vērtība. Tas ir arī ekonomiskās labklājības priekšnoteikums. Cilvēku veselība ietekmē ekonomiskos rezultātus attiecībā uz viņu produktivitāti, darba izredzēm un izglītības līmeni. Veseli pilsoņi arī rada mazākus valsts izdevumus par medicīnisko aprūpi. Ieguldījums veselībā jau no agrīna vecuma: i) ļauj cilvēkiem ilgāk palikt aktīviem un veseliem; ii) paaugstina darbaspēka produktivitāti, kā arī iii) samazina finansiālo spiedienu uz veselības sistēmām. Laba veselība var uzlabot izglītības rezultātus, ko mēra gan pēc skolas apmeklējuma, gan pēc sekmēm. Visos dzīves posmos īpaši svarīgas ir sabiedrības slimību profilakses un veselības veicināšanas programmas. Agrīnās iejaukšanās un profilakses programmas bērniem no nelabvēlīgas vides var palīdzēt pārraut veselības problēmu apburto loku, kas tiek pārmantots no paaudzes paaudzē.</w:t>
      </w:r>
      <w:r w:rsidRPr="00B37A02">
        <w:rPr>
          <w:rStyle w:val="FootnoteReference"/>
          <w:rFonts w:ascii="Times New Roman" w:hAnsi="Times New Roman" w:cs="Times New Roman"/>
          <w:sz w:val="24"/>
          <w:szCs w:val="24"/>
        </w:rPr>
        <w:footnoteReference w:id="240"/>
      </w:r>
    </w:p>
    <w:p w14:paraId="3F311F53" w14:textId="77777777" w:rsidR="00040E0E" w:rsidRPr="00B37A02" w:rsidRDefault="00040E0E" w:rsidP="00C97F66">
      <w:pPr>
        <w:widowControl w:val="0"/>
        <w:spacing w:after="0" w:line="240" w:lineRule="auto"/>
        <w:jc w:val="both"/>
        <w:rPr>
          <w:rFonts w:ascii="Times New Roman" w:hAnsi="Times New Roman" w:cs="Times New Roman"/>
          <w:b/>
          <w:sz w:val="24"/>
          <w:szCs w:val="24"/>
        </w:rPr>
      </w:pPr>
    </w:p>
    <w:p w14:paraId="45CEE97F" w14:textId="20357E0B" w:rsidR="00BC5BDF" w:rsidRPr="00B37A02" w:rsidRDefault="00BC5BDF" w:rsidP="00C97F66">
      <w:pPr>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b/>
          <w:bCs/>
          <w:sz w:val="24"/>
        </w:rPr>
        <w:t>Pārtikas un uztura</w:t>
      </w:r>
      <w:r w:rsidRPr="00B37A02">
        <w:rPr>
          <w:rFonts w:ascii="Times New Roman" w:hAnsi="Times New Roman" w:cs="Times New Roman"/>
          <w:sz w:val="24"/>
        </w:rPr>
        <w:t xml:space="preserve"> programmas var palīdzēt izglītot pilsoņus par veselīgu un aktīvu dzīvesveidu un tādējādi mazināt nepietiekama un slikta uztura problēmu. Tas ir īpaši svarīgi bērniem, kuri cieš no pārtikas nenodrošinātības. Veselīgas, ilgtspējīgas un kvalitatīvas skolas maltītes nodrošina tiešu ieguvumu bērniem no uzturvērtībām, kā arī noņem finansiālo slogu no ģimenēm un atbalsta vietējos uzņēmumus. Turklāt tās var palīdzēt iesaistīt bērnus mācībās par pārtiku un tās ietekmi uz veselību un vidi.</w:t>
      </w:r>
      <w:r w:rsidRPr="00B37A02">
        <w:rPr>
          <w:rStyle w:val="FootnoteReference"/>
          <w:rFonts w:ascii="Times New Roman" w:hAnsi="Times New Roman" w:cs="Times New Roman"/>
          <w:sz w:val="24"/>
          <w:szCs w:val="24"/>
        </w:rPr>
        <w:footnoteReference w:id="241"/>
      </w:r>
      <w:r w:rsidRPr="00B37A02">
        <w:rPr>
          <w:rFonts w:ascii="Times New Roman" w:hAnsi="Times New Roman" w:cs="Times New Roman"/>
          <w:sz w:val="24"/>
        </w:rPr>
        <w:t xml:space="preserve"> Ir svarīgi risināt problēmas saistībā ar kaitīgiem paradumiem (tostarp problēmas saistībā ar nepareizu uzturu, fizisko aktivitāšu trūkumu, aptaukošanos un alkohola un tabakas lietošanu) un vienlaikus nodrošināt bērniem veselīgu un aktīvu vidi (samazinot neveselīgas pārtikas tiešsaistes mārketingu), lai mazinātu nevienlīdzību veselības jomā, kas kavē sociālo mobilitāti.</w:t>
      </w:r>
      <w:r w:rsidRPr="00B37A02">
        <w:rPr>
          <w:rStyle w:val="FootnoteReference"/>
          <w:rFonts w:ascii="Times New Roman" w:hAnsi="Times New Roman" w:cs="Times New Roman"/>
          <w:sz w:val="24"/>
          <w:szCs w:val="24"/>
        </w:rPr>
        <w:footnoteReference w:id="242"/>
      </w:r>
      <w:r w:rsidRPr="00B37A02">
        <w:rPr>
          <w:rFonts w:ascii="Times New Roman" w:hAnsi="Times New Roman" w:cs="Times New Roman"/>
          <w:sz w:val="24"/>
        </w:rPr>
        <w:t xml:space="preserve"> Tā rezultātā, visticamāk, ilgtermiņā palielināsies bērnu fiziskā un psiholoģiskā labklājība. Ir arī daži pierādījumi tam, ka skolas maltīšu nodrošināšana var veicināt skolas apmeklētību un līdz ar to samazināt mācību pārtraukšanas iespējamību.</w:t>
      </w:r>
      <w:r w:rsidRPr="00B37A02">
        <w:rPr>
          <w:rStyle w:val="FootnoteReference"/>
          <w:rFonts w:ascii="Times New Roman" w:hAnsi="Times New Roman" w:cs="Times New Roman"/>
          <w:sz w:val="24"/>
          <w:szCs w:val="24"/>
        </w:rPr>
        <w:footnoteReference w:id="243"/>
      </w:r>
      <w:r w:rsidRPr="00B37A02">
        <w:rPr>
          <w:rFonts w:ascii="Times New Roman" w:hAnsi="Times New Roman" w:cs="Times New Roman"/>
          <w:sz w:val="24"/>
        </w:rPr>
        <w:t xml:space="preserve"> Universāls nodrošinājums skolas līmenī mazina stigmatizāciju un palielina pakalpojumu izmantošanu.</w:t>
      </w:r>
    </w:p>
    <w:p w14:paraId="335CC419" w14:textId="77777777" w:rsidR="00040E0E" w:rsidRPr="00B37A02" w:rsidRDefault="00040E0E" w:rsidP="00C97F66">
      <w:pPr>
        <w:widowControl w:val="0"/>
        <w:spacing w:after="0" w:line="240" w:lineRule="auto"/>
        <w:jc w:val="both"/>
        <w:rPr>
          <w:rFonts w:ascii="Times New Roman" w:hAnsi="Times New Roman" w:cs="Times New Roman"/>
          <w:sz w:val="24"/>
          <w:szCs w:val="24"/>
        </w:rPr>
      </w:pPr>
    </w:p>
    <w:p w14:paraId="58FDC0E9" w14:textId="5A8B76E3" w:rsidR="00EC5DE2" w:rsidRPr="00B37A02" w:rsidRDefault="00BC5BDF" w:rsidP="00C97F66">
      <w:pPr>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sz w:val="24"/>
        </w:rPr>
        <w:t xml:space="preserve">Piekļuve pienācīgam </w:t>
      </w:r>
      <w:r w:rsidRPr="00B37A02">
        <w:rPr>
          <w:rFonts w:ascii="Times New Roman" w:hAnsi="Times New Roman" w:cs="Times New Roman"/>
          <w:b/>
          <w:bCs/>
          <w:sz w:val="24"/>
        </w:rPr>
        <w:t>mājoklim</w:t>
      </w:r>
      <w:r w:rsidRPr="00B37A02">
        <w:rPr>
          <w:rFonts w:ascii="Times New Roman" w:hAnsi="Times New Roman" w:cs="Times New Roman"/>
          <w:sz w:val="24"/>
        </w:rPr>
        <w:t xml:space="preserve"> ir ļoti svarīga, lai cilvēki varētu pilnībā izmantot savu ekonomisko potenciālu un sniegt produktīvu ieguldījumu sabiedrībā. Tas arī ir svarīgs priekšnoteikums, lai nodrošinātu bērniem: i) veselību un labklājību; ii) emocionālo, sociālo, kognitīvo un fizisko attīstību, kā arī iii) pašreizējās un nākotnes perspektīvas. Mājokļa zaudēšana vai iespēja zaudēt mājokli ļoti negatīvi ietekmē bērnus un ģimenes vispārējo dzīves situāciju. Mērķorientētas, integrētas pamatnostādnes, kas mazina bezpajumtniecības vispārējo ietekmi, ir labs piemērs ieguldījumiem ar augstu atdeves līmeni.</w:t>
      </w:r>
      <w:r w:rsidRPr="00B37A02">
        <w:rPr>
          <w:rStyle w:val="FootnoteReference"/>
          <w:rFonts w:ascii="Times New Roman" w:hAnsi="Times New Roman" w:cs="Times New Roman"/>
          <w:sz w:val="24"/>
          <w:szCs w:val="24"/>
        </w:rPr>
        <w:footnoteReference w:id="244"/>
      </w:r>
      <w:r w:rsidRPr="00B37A02">
        <w:rPr>
          <w:rFonts w:ascii="Times New Roman" w:hAnsi="Times New Roman" w:cs="Times New Roman"/>
          <w:sz w:val="24"/>
        </w:rPr>
        <w:t xml:space="preserve"> Pastāvīga mājokļa nodrošināšana un atbalsta pasākumi bez pajumtes palikušām ģimenēm, kā arī tādu apstākļu novēršana, kas var izraisīt bezpajumtniecību, sniedz sociālus un ekonomiskus ieguvumus ilgtermiņā.</w:t>
      </w:r>
      <w:r w:rsidRPr="00B37A02">
        <w:rPr>
          <w:rStyle w:val="FootnoteReference"/>
          <w:rFonts w:ascii="Times New Roman" w:hAnsi="Times New Roman" w:cs="Times New Roman"/>
          <w:sz w:val="24"/>
          <w:szCs w:val="24"/>
        </w:rPr>
        <w:footnoteReference w:id="245"/>
      </w:r>
      <w:r w:rsidRPr="00B37A02">
        <w:rPr>
          <w:rFonts w:ascii="Times New Roman" w:hAnsi="Times New Roman" w:cs="Times New Roman"/>
          <w:sz w:val="24"/>
        </w:rPr>
        <w:t xml:space="preserve"> Šie ieguvumi ietver: i) mazākus valsts izdevumus par patversmēm un krīzes atbalsta pakalpojumiem; ii) mazākus valsts izdevumus par veselības aprūpi; iii) palielinātu nodarbinātību; iv) lielākus nodokļu ieņēmumus; v) zemākas tiesu sistēmas izmaksas, kā arī vi) lielāku sociālo kohēziju.</w:t>
      </w:r>
    </w:p>
    <w:p w14:paraId="717700BE" w14:textId="77777777" w:rsidR="00040E0E" w:rsidRPr="00B37A02" w:rsidRDefault="00040E0E" w:rsidP="00C97F66">
      <w:pPr>
        <w:pStyle w:val="BodyText"/>
        <w:widowControl w:val="0"/>
        <w:spacing w:after="0"/>
        <w:rPr>
          <w:rFonts w:ascii="Times New Roman" w:hAnsi="Times New Roman"/>
          <w:sz w:val="24"/>
          <w:szCs w:val="24"/>
        </w:rPr>
      </w:pPr>
    </w:p>
    <w:p w14:paraId="1AE60824" w14:textId="08DBC090" w:rsidR="00BC5BDF" w:rsidRPr="00B37A02" w:rsidRDefault="00BC5BDF" w:rsidP="00113790">
      <w:pPr>
        <w:pStyle w:val="BodyText"/>
        <w:keepNext/>
        <w:keepLines/>
        <w:widowControl w:val="0"/>
        <w:spacing w:after="0"/>
        <w:rPr>
          <w:rFonts w:ascii="Times New Roman" w:hAnsi="Times New Roman"/>
          <w:sz w:val="24"/>
          <w:szCs w:val="24"/>
        </w:rPr>
      </w:pPr>
      <w:r w:rsidRPr="00B37A02">
        <w:rPr>
          <w:rFonts w:ascii="Times New Roman" w:hAnsi="Times New Roman"/>
          <w:sz w:val="24"/>
        </w:rPr>
        <w:lastRenderedPageBreak/>
        <w:t>4. attēlā ir norādīta priekšlikuma iespējamā ietekme uz bērnu labklājību un centieni atainot sarežģītas savstarpējas saiknes starp priekšlikuma dažādajiem aspektiem. Lielāka mājokļa drošība, aptverošāka preventīvā veselības aprūpe un lielāks pārtikas nodrošinājums (Eiropas Garantijas bērniem tiešās sekas ir norādītas vidējā kolonnā) palīdz mazināt ekonomisko spriedzi, kurai ir pakļauti vecāki. Šīs un pārējās tiešās sekas vairo bērnu labklājību, kas uzlabo viņu turpmākos sasniegumus pieaugušā vecumā un veicina lielāku sociālo kohēziju ilgtermiņā. Ar to, tāpat kā jebkuru citu ieguldījumu bērnos, paredzēts samazināt valsts izdevumus nākotnē. Lai noteiktu precīzu ieguvumu apmēru, kas īstenosies nākamajos gados, pētījumi ir jāveic ilgtermiņā, turklāt jāizmanto sarežģītas aplēses metodes, kas pārsniedz sagatavošanās darbības II posma darbības jomu.</w:t>
      </w:r>
    </w:p>
    <w:p w14:paraId="05D30308" w14:textId="77777777" w:rsidR="00BC5BDF" w:rsidRPr="00B37A02" w:rsidRDefault="00BC5BDF" w:rsidP="00C97F66">
      <w:pPr>
        <w:pStyle w:val="Caption"/>
        <w:widowControl w:val="0"/>
        <w:spacing w:after="0"/>
        <w:jc w:val="both"/>
        <w:rPr>
          <w:rFonts w:ascii="Times New Roman" w:hAnsi="Times New Roman" w:cs="Times New Roman"/>
          <w:sz w:val="24"/>
          <w:szCs w:val="24"/>
        </w:rPr>
      </w:pPr>
    </w:p>
    <w:p w14:paraId="2615519A" w14:textId="77777777" w:rsidR="00EC5DE2" w:rsidRPr="00B37A02" w:rsidRDefault="00BC5BDF" w:rsidP="00C97F66">
      <w:pPr>
        <w:pStyle w:val="Caption"/>
        <w:widowControl w:val="0"/>
        <w:spacing w:after="0"/>
        <w:jc w:val="both"/>
        <w:rPr>
          <w:rFonts w:ascii="Times New Roman" w:hAnsi="Times New Roman" w:cs="Times New Roman"/>
          <w:sz w:val="24"/>
          <w:szCs w:val="24"/>
        </w:rPr>
      </w:pPr>
      <w:r w:rsidRPr="00B37A02">
        <w:rPr>
          <w:rFonts w:ascii="Times New Roman" w:hAnsi="Times New Roman" w:cs="Times New Roman"/>
          <w:sz w:val="24"/>
        </w:rPr>
        <w:t>4. attēls. Eiropas Garantijas bērniem paredzamā ietekme</w:t>
      </w:r>
    </w:p>
    <w:p w14:paraId="303BDB86" w14:textId="7767BF67" w:rsidR="00040E0E" w:rsidRPr="00B37A02" w:rsidRDefault="00F46B49" w:rsidP="00113790">
      <w:pPr>
        <w:pStyle w:val="BodyText"/>
        <w:widowControl w:val="0"/>
        <w:spacing w:after="0"/>
        <w:jc w:val="center"/>
        <w:rPr>
          <w:rFonts w:ascii="Times New Roman" w:hAnsi="Times New Roman"/>
          <w:sz w:val="24"/>
          <w:szCs w:val="24"/>
        </w:rPr>
      </w:pPr>
      <w:r>
        <w:rPr>
          <w:rFonts w:ascii="Times New Roman" w:hAnsi="Times New Roman"/>
          <w:noProof/>
          <w:sz w:val="24"/>
          <w:szCs w:val="24"/>
        </w:rPr>
        <w:drawing>
          <wp:inline distT="0" distB="0" distL="0" distR="0" wp14:anchorId="2C04254A" wp14:editId="0CF76C80">
            <wp:extent cx="5406620" cy="3208020"/>
            <wp:effectExtent l="0" t="0" r="3810" b="0"/>
            <wp:docPr id="349122007"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122007" name="Picture 2" descr="A screenshot of a cell phone&#10;&#10;Description automatically generated"/>
                    <pic:cNvPicPr/>
                  </pic:nvPicPr>
                  <pic:blipFill rotWithShape="1">
                    <a:blip r:embed="rId15">
                      <a:extLst>
                        <a:ext uri="{28A0092B-C50C-407E-A947-70E740481C1C}">
                          <a14:useLocalDpi xmlns:a14="http://schemas.microsoft.com/office/drawing/2010/main" val="0"/>
                        </a:ext>
                      </a:extLst>
                    </a:blip>
                    <a:srcRect r="43983" b="68815"/>
                    <a:stretch/>
                  </pic:blipFill>
                  <pic:spPr bwMode="auto">
                    <a:xfrm>
                      <a:off x="0" y="0"/>
                      <a:ext cx="5410803" cy="3210502"/>
                    </a:xfrm>
                    <a:prstGeom prst="rect">
                      <a:avLst/>
                    </a:prstGeom>
                    <a:ln>
                      <a:noFill/>
                    </a:ln>
                    <a:extLst>
                      <a:ext uri="{53640926-AAD7-44D8-BBD7-CCE9431645EC}">
                        <a14:shadowObscured xmlns:a14="http://schemas.microsoft.com/office/drawing/2010/main"/>
                      </a:ext>
                    </a:extLst>
                  </pic:spPr>
                </pic:pic>
              </a:graphicData>
            </a:graphic>
          </wp:inline>
        </w:drawing>
      </w:r>
    </w:p>
    <w:p w14:paraId="16EE78C3" w14:textId="4EFF3909" w:rsidR="00BC5BDF" w:rsidRPr="00B37A02" w:rsidRDefault="00BC5BDF" w:rsidP="00C97F66">
      <w:pPr>
        <w:pStyle w:val="BodyText"/>
        <w:widowControl w:val="0"/>
        <w:spacing w:after="0"/>
        <w:rPr>
          <w:rFonts w:ascii="Times New Roman" w:hAnsi="Times New Roman"/>
        </w:rPr>
      </w:pPr>
      <w:r w:rsidRPr="00B37A02">
        <w:rPr>
          <w:rFonts w:ascii="Times New Roman" w:hAnsi="Times New Roman"/>
        </w:rPr>
        <w:t>Avots: Study on the economic implementing framework of a possible EU Child Guarantee Scheme including its financial foundation.</w:t>
      </w:r>
    </w:p>
    <w:p w14:paraId="10E4EAC2" w14:textId="77777777" w:rsidR="00040E0E" w:rsidRPr="00B37A02" w:rsidRDefault="00040E0E" w:rsidP="00C97F66">
      <w:pPr>
        <w:pStyle w:val="BodyText"/>
        <w:widowControl w:val="0"/>
        <w:spacing w:after="0"/>
        <w:rPr>
          <w:rFonts w:ascii="Times New Roman" w:hAnsi="Times New Roman"/>
          <w:sz w:val="24"/>
          <w:szCs w:val="24"/>
        </w:rPr>
      </w:pPr>
    </w:p>
    <w:p w14:paraId="559B8510" w14:textId="396ABDC6" w:rsidR="00BC5BDF" w:rsidRPr="00B37A02" w:rsidRDefault="00040E0E" w:rsidP="00C97F66">
      <w:pPr>
        <w:pStyle w:val="Heading2"/>
        <w:keepNext w:val="0"/>
        <w:keepLines w:val="0"/>
        <w:widowControl w:val="0"/>
        <w:spacing w:before="0" w:line="240" w:lineRule="auto"/>
        <w:jc w:val="both"/>
        <w:rPr>
          <w:rFonts w:cs="Times New Roman"/>
          <w:sz w:val="24"/>
          <w:szCs w:val="28"/>
        </w:rPr>
      </w:pPr>
      <w:bookmarkStart w:id="301" w:name="_Toc63610030"/>
      <w:bookmarkStart w:id="302" w:name="_Toc63692780"/>
      <w:bookmarkStart w:id="303" w:name="_Toc63712859"/>
      <w:bookmarkStart w:id="304" w:name="_Toc63850090"/>
      <w:bookmarkStart w:id="305" w:name="_Toc63850309"/>
      <w:bookmarkStart w:id="306" w:name="_Toc64476358"/>
      <w:r w:rsidRPr="00B37A02">
        <w:rPr>
          <w:rFonts w:cs="Times New Roman"/>
          <w:sz w:val="24"/>
        </w:rPr>
        <w:t>8.2. Vienkāršotā izmaksu analīze</w:t>
      </w:r>
      <w:bookmarkStart w:id="307" w:name="_Toc63712316"/>
      <w:bookmarkEnd w:id="301"/>
      <w:bookmarkEnd w:id="302"/>
      <w:bookmarkEnd w:id="303"/>
      <w:bookmarkEnd w:id="304"/>
      <w:bookmarkEnd w:id="305"/>
      <w:bookmarkEnd w:id="306"/>
      <w:bookmarkEnd w:id="307"/>
    </w:p>
    <w:p w14:paraId="05D7BBCD" w14:textId="77777777" w:rsidR="00040E0E" w:rsidRPr="00B37A02" w:rsidRDefault="00040E0E" w:rsidP="00C97F66">
      <w:pPr>
        <w:spacing w:after="0" w:line="240" w:lineRule="auto"/>
        <w:rPr>
          <w:rFonts w:ascii="Times New Roman" w:hAnsi="Times New Roman" w:cs="Times New Roman"/>
        </w:rPr>
      </w:pPr>
    </w:p>
    <w:p w14:paraId="7E1D98CE" w14:textId="77777777"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Sagatavošanās darbības II posmā tika aplūkotas iespējamās izmaksas, ar kurām kompetentās iestādes varētu saskarties, lai garantētu, ka visiem nabadzības riskam pakļautajiem bērniem ES ir piekļuve minētajiem pieciem pakalpojumiem. Rezultāti tika publicēti pētījumā “The economic implementing framework of a possible European Child Guarantee scheme including its financial foundation” [Iespējamās Eiropas Garantijas bērniem, tostarp tās finansiālā pamata, ekonomiska īstenošana].</w:t>
      </w:r>
      <w:r w:rsidRPr="00B37A02">
        <w:rPr>
          <w:rStyle w:val="FootnoteReference"/>
          <w:rFonts w:ascii="Times New Roman" w:hAnsi="Times New Roman"/>
          <w:sz w:val="24"/>
          <w:szCs w:val="24"/>
        </w:rPr>
        <w:footnoteReference w:id="246"/>
      </w:r>
      <w:r w:rsidRPr="00B37A02">
        <w:rPr>
          <w:rFonts w:ascii="Times New Roman" w:hAnsi="Times New Roman"/>
          <w:sz w:val="24"/>
        </w:rPr>
        <w:t xml:space="preserve"> Pētījums ir vērsts vienīgi uz nabadzības riskam pakļautiem bērniem. Izmaksu novērtēšana bija ārkārtīgi sarežģīta, ņemot vērā: i) ierobežotos pieejamos datus par pakalpojumu izmaksām un ii) šo datu bieži vien vājo starptautisko salīdzināmību.</w:t>
      </w:r>
    </w:p>
    <w:p w14:paraId="2D591230" w14:textId="77777777" w:rsidR="002E1382" w:rsidRPr="00B37A02" w:rsidRDefault="002E1382" w:rsidP="00C97F66">
      <w:pPr>
        <w:pStyle w:val="Bodytext0"/>
        <w:widowControl w:val="0"/>
        <w:spacing w:before="0" w:after="0" w:line="240" w:lineRule="auto"/>
        <w:rPr>
          <w:rFonts w:ascii="Times New Roman" w:hAnsi="Times New Roman"/>
          <w:sz w:val="24"/>
          <w:szCs w:val="24"/>
        </w:rPr>
      </w:pPr>
    </w:p>
    <w:p w14:paraId="45EF6FB9" w14:textId="4D1B9247" w:rsidR="00EC5DE2" w:rsidRPr="00B37A02" w:rsidRDefault="00BC5BDF" w:rsidP="00C97F66">
      <w:pPr>
        <w:pStyle w:val="Bodytext0"/>
        <w:widowControl w:val="0"/>
        <w:spacing w:before="0" w:after="0" w:line="240" w:lineRule="auto"/>
        <w:rPr>
          <w:rFonts w:ascii="Times New Roman" w:hAnsi="Times New Roman"/>
          <w:sz w:val="24"/>
          <w:szCs w:val="24"/>
        </w:rPr>
      </w:pPr>
      <w:r w:rsidRPr="00B37A02">
        <w:rPr>
          <w:rFonts w:ascii="Times New Roman" w:hAnsi="Times New Roman"/>
          <w:sz w:val="24"/>
        </w:rPr>
        <w:t>Šīs izmaksas tika aprēķinātas divu veidu izvēlētajām darbībām attiecībā uz nabadzības riskam pakļautiem bērniem, kā norādīts abos turpmākajos punktos.</w:t>
      </w:r>
    </w:p>
    <w:p w14:paraId="35C79BA4" w14:textId="77777777" w:rsidR="002E1382" w:rsidRPr="00B37A02" w:rsidRDefault="002E1382" w:rsidP="00C97F66">
      <w:pPr>
        <w:pStyle w:val="Bodytext0"/>
        <w:widowControl w:val="0"/>
        <w:spacing w:before="0" w:after="0" w:line="240" w:lineRule="auto"/>
        <w:rPr>
          <w:rFonts w:ascii="Times New Roman" w:hAnsi="Times New Roman"/>
          <w:sz w:val="24"/>
          <w:szCs w:val="24"/>
        </w:rPr>
      </w:pPr>
    </w:p>
    <w:p w14:paraId="7D543B35" w14:textId="35F9A9AF" w:rsidR="00BC5BDF" w:rsidRPr="00B37A02" w:rsidRDefault="00BC5BDF" w:rsidP="00C97F66">
      <w:pPr>
        <w:pStyle w:val="Bodytext0"/>
        <w:widowControl w:val="0"/>
        <w:numPr>
          <w:ilvl w:val="0"/>
          <w:numId w:val="15"/>
        </w:numPr>
        <w:spacing w:before="0" w:after="0" w:line="240" w:lineRule="auto"/>
        <w:ind w:left="567" w:hanging="283"/>
        <w:rPr>
          <w:rFonts w:ascii="Times New Roman" w:hAnsi="Times New Roman"/>
          <w:sz w:val="24"/>
          <w:szCs w:val="24"/>
        </w:rPr>
      </w:pPr>
      <w:r w:rsidRPr="00B37A02">
        <w:rPr>
          <w:rFonts w:ascii="Times New Roman" w:hAnsi="Times New Roman"/>
          <w:sz w:val="24"/>
        </w:rPr>
        <w:t xml:space="preserve">Nodrošināt bezmaksas skolas maltītes, nodrošināt bezmaksas agrīno pirmsskolas izglītību un aprūpi un novērst netiešās mācību izmaksas. Pētījumā tika aprēķinātas </w:t>
      </w:r>
      <w:r w:rsidRPr="00B37A02">
        <w:rPr>
          <w:rFonts w:ascii="Times New Roman" w:hAnsi="Times New Roman"/>
          <w:sz w:val="24"/>
        </w:rPr>
        <w:lastRenderedPageBreak/>
        <w:t>darbību/pakalpojumu īstenošanas izmaksas visās dalībvalstīs, kurās minētās darbības pašlaik vēl nav ieviestas vai nav pilnībā ieviestas.</w:t>
      </w:r>
    </w:p>
    <w:p w14:paraId="237055AB" w14:textId="45AAA0FE" w:rsidR="00BC5BDF" w:rsidRPr="00B37A02" w:rsidRDefault="00BC5BDF" w:rsidP="00C97F66">
      <w:pPr>
        <w:pStyle w:val="Bodytext0"/>
        <w:widowControl w:val="0"/>
        <w:numPr>
          <w:ilvl w:val="0"/>
          <w:numId w:val="15"/>
        </w:numPr>
        <w:spacing w:before="0" w:after="0" w:line="240" w:lineRule="auto"/>
        <w:ind w:left="567" w:hanging="283"/>
        <w:rPr>
          <w:rFonts w:ascii="Times New Roman" w:hAnsi="Times New Roman"/>
          <w:sz w:val="24"/>
          <w:szCs w:val="24"/>
        </w:rPr>
      </w:pPr>
      <w:r w:rsidRPr="00B37A02">
        <w:rPr>
          <w:rFonts w:ascii="Times New Roman" w:hAnsi="Times New Roman"/>
          <w:sz w:val="24"/>
        </w:rPr>
        <w:t>Veselības pārbaudes, uz bērnu bezpajumtniecības novēršanu un apkarošanu vērstu pakalpojumu nodrošināšana un integrēta pakalpojumu sniegšana. Lai novērtētu šīs izmaksas, pētījumā tika izmantota darbību padziļinātajā novērtējumā un saistītajās valsts un reģionālajās pamatnostādnēs/programmās pieejamā informācija par izmaksām. Pētījumā tika novērtētas darbības īstenošanas izmaksas valstīs, kurās pieejamie dati ļauj veikt šādu novērtēšanu.</w:t>
      </w:r>
    </w:p>
    <w:p w14:paraId="3DEF15E0" w14:textId="77777777" w:rsidR="002E1382" w:rsidRPr="00B37A02" w:rsidRDefault="002E1382" w:rsidP="00C97F66">
      <w:pPr>
        <w:pStyle w:val="Bodytext0"/>
        <w:widowControl w:val="0"/>
        <w:spacing w:before="0" w:after="0" w:line="240" w:lineRule="auto"/>
        <w:rPr>
          <w:rFonts w:ascii="Times New Roman" w:hAnsi="Times New Roman"/>
          <w:sz w:val="24"/>
          <w:szCs w:val="24"/>
        </w:rPr>
      </w:pPr>
    </w:p>
    <w:p w14:paraId="27934CE0" w14:textId="77777777" w:rsidR="00BC5BDF" w:rsidRPr="00B37A02" w:rsidRDefault="00BC5BDF" w:rsidP="00C97F66">
      <w:pPr>
        <w:pStyle w:val="BulletPoint1"/>
        <w:widowControl w:val="0"/>
        <w:numPr>
          <w:ilvl w:val="0"/>
          <w:numId w:val="0"/>
        </w:numPr>
        <w:spacing w:before="0" w:after="0" w:line="240" w:lineRule="auto"/>
        <w:rPr>
          <w:rFonts w:ascii="Times New Roman" w:hAnsi="Times New Roman" w:cs="Times New Roman"/>
          <w:sz w:val="24"/>
          <w:szCs w:val="24"/>
        </w:rPr>
      </w:pPr>
      <w:r w:rsidRPr="00B37A02">
        <w:rPr>
          <w:rFonts w:ascii="Times New Roman" w:hAnsi="Times New Roman" w:cs="Times New Roman"/>
          <w:sz w:val="24"/>
        </w:rPr>
        <w:t>Sagatavošanās darbības II posmā tika apzinātas un uzskaitītas konkrētas ES dalībvalstu pamatnostādnes un darbības. Līdz ar to bija iespējams apzināt interesantu praksi valsts, reģionālā un vietējā līmenī (tostarp ES finansētu praksi), kas jāņem vērā, īstenojot šīs darbības citos apstākļos. Nepieciešamo resursu aprēķins ir balstīts uz prioritāro darbību aptuvenajām izmaksām tajās valstīs, kurās šīs darbības tiek īstenotas, salīdzinot ar izmaksām dalībvalstīs, kurās tās vēl nav vai nav pilnībā ieviestas. Paredzamo īstermiņa un ilgtermiņa ieguvumu pārskats ir balstīts uz: i) to valstu pieredzi, kuras īsteno darbības, un ii) novērtējumiem citās valstīs, tostarp valstīs ārpus ES. Šis pārskats sniedz priekšstatu par nepieciešamā ieguldījuma izmaksu ietaupīšanas aspektiem. Visbeidzot, pētījums sniedz pierādījumus tam, ka Covid-19 pandēmija ir īpaši smagi ietekmējusi nabadzības riskam pakļautos bērnus un viņu ģimenes.</w:t>
      </w:r>
    </w:p>
    <w:p w14:paraId="6AE12C40" w14:textId="77777777" w:rsidR="002E1382" w:rsidRPr="00B37A02" w:rsidRDefault="002E1382" w:rsidP="00C97F66">
      <w:pPr>
        <w:pStyle w:val="BulletPoint1"/>
        <w:widowControl w:val="0"/>
        <w:numPr>
          <w:ilvl w:val="0"/>
          <w:numId w:val="0"/>
        </w:numPr>
        <w:spacing w:before="0" w:after="0" w:line="240" w:lineRule="auto"/>
        <w:rPr>
          <w:rFonts w:ascii="Times New Roman" w:hAnsi="Times New Roman" w:cs="Times New Roman"/>
          <w:sz w:val="24"/>
          <w:szCs w:val="24"/>
        </w:rPr>
      </w:pPr>
    </w:p>
    <w:p w14:paraId="3F36E93F" w14:textId="2FF526E0" w:rsidR="00EC5DE2" w:rsidRPr="00B37A02" w:rsidRDefault="00BC5BDF" w:rsidP="00C97F66">
      <w:pPr>
        <w:pStyle w:val="BulletPoint1"/>
        <w:widowControl w:val="0"/>
        <w:numPr>
          <w:ilvl w:val="0"/>
          <w:numId w:val="0"/>
        </w:numPr>
        <w:spacing w:before="0" w:after="0" w:line="240" w:lineRule="auto"/>
        <w:rPr>
          <w:rFonts w:ascii="Times New Roman" w:hAnsi="Times New Roman" w:cs="Times New Roman"/>
          <w:sz w:val="24"/>
          <w:szCs w:val="24"/>
        </w:rPr>
      </w:pPr>
      <w:r w:rsidRPr="00B37A02">
        <w:rPr>
          <w:rFonts w:ascii="Times New Roman" w:hAnsi="Times New Roman" w:cs="Times New Roman"/>
          <w:sz w:val="24"/>
        </w:rPr>
        <w:t>Datu nopietno ierobežojumu dēļ aprēķini ir jāinterpretē kā mēģinājums sniegt aptuvenus finanšu resursu aprēķinus, kas būtu nepieciešami, lai garantētu nabadzības riskam pakļauto bērnu piekļuvi iepriekš minētajām darbībām/pakalpojumiem.</w:t>
      </w:r>
    </w:p>
    <w:p w14:paraId="455B850C" w14:textId="77777777" w:rsidR="002E1382" w:rsidRPr="00B37A02" w:rsidRDefault="002E1382" w:rsidP="00C97F66">
      <w:pPr>
        <w:widowControl w:val="0"/>
        <w:spacing w:after="0" w:line="240" w:lineRule="auto"/>
        <w:jc w:val="both"/>
        <w:rPr>
          <w:rFonts w:ascii="Times New Roman" w:hAnsi="Times New Roman" w:cs="Times New Roman"/>
          <w:sz w:val="24"/>
          <w:szCs w:val="24"/>
        </w:rPr>
      </w:pPr>
    </w:p>
    <w:p w14:paraId="6282D293" w14:textId="5B6B7B06" w:rsidR="00BC5BDF" w:rsidRPr="00B37A02" w:rsidRDefault="00BC5BDF" w:rsidP="00C97F66">
      <w:pPr>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sz w:val="24"/>
        </w:rPr>
        <w:t>Pētījuma rezultāti liecināja, ka salīdzinoši lēti būtu: i) nodrošināt skolas bezmaksas maltītes nabadzības riskam pakļautajiem bērniem; ii) nodrošināt kvalitatīvu bezmaksas agrīno pirmsskolas izglītību un aprūpi nabadzības riskam pakļautiem bērniem, kā arī (iii) atcelt visas skolas izmaksas. Šo trīs darbību izmaksas ir zemas salīdzinājumā ar to lielajiem potenciālajiem ieguvumiem. Papildu izmaksas, kas rodas, atceļot visas skolas izmaksas un nodrošinot skolas bezmaksas maltītes katru dienu, kas nav sestdiena vai svētdiena (ieskaitot brīvdienas), visiem nabadzības riskam pakļautajiem bērniem vecumā no 6 līdz 17 gadiem, lielākajā daļā valstu nepārsniedz 3 % no pašreizējā budžeta pamatizglītībai un vidējai izglītībai.</w:t>
      </w:r>
    </w:p>
    <w:p w14:paraId="59753E68" w14:textId="77777777" w:rsidR="00EC5DE2" w:rsidRPr="00B37A02" w:rsidRDefault="00BC5BDF" w:rsidP="00C97F66">
      <w:pPr>
        <w:widowControl w:val="0"/>
        <w:spacing w:after="0" w:line="240" w:lineRule="auto"/>
        <w:jc w:val="both"/>
        <w:rPr>
          <w:rFonts w:ascii="Times New Roman" w:hAnsi="Times New Roman" w:cs="Times New Roman"/>
          <w:sz w:val="24"/>
        </w:rPr>
      </w:pPr>
      <w:r w:rsidRPr="00B37A02">
        <w:rPr>
          <w:rFonts w:ascii="Times New Roman" w:hAnsi="Times New Roman" w:cs="Times New Roman"/>
        </w:rPr>
        <w:br w:type="page"/>
      </w:r>
    </w:p>
    <w:p w14:paraId="44DC622A" w14:textId="0241E67D" w:rsidR="00BC5BDF" w:rsidRPr="00B37A02" w:rsidRDefault="00BC5BDF" w:rsidP="00C97F66">
      <w:pPr>
        <w:pStyle w:val="Heading1"/>
        <w:keepNext w:val="0"/>
        <w:keepLines w:val="0"/>
        <w:widowControl w:val="0"/>
        <w:spacing w:before="0" w:line="240" w:lineRule="auto"/>
        <w:jc w:val="center"/>
        <w:rPr>
          <w:rFonts w:ascii="Times New Roman" w:hAnsi="Times New Roman" w:cs="Times New Roman"/>
          <w:sz w:val="28"/>
          <w:szCs w:val="36"/>
        </w:rPr>
      </w:pPr>
      <w:bookmarkStart w:id="308" w:name="_Toc62823448"/>
      <w:bookmarkStart w:id="309" w:name="_Toc62823536"/>
      <w:bookmarkStart w:id="310" w:name="_Toc62833135"/>
      <w:bookmarkStart w:id="311" w:name="_Toc62841477"/>
      <w:bookmarkStart w:id="312" w:name="_Toc62942400"/>
      <w:bookmarkStart w:id="313" w:name="_Toc63178117"/>
      <w:bookmarkStart w:id="314" w:name="_Toc63258870"/>
      <w:bookmarkStart w:id="315" w:name="_Toc63269673"/>
      <w:bookmarkStart w:id="316" w:name="_Toc63692781"/>
      <w:bookmarkStart w:id="317" w:name="_Toc63712860"/>
      <w:bookmarkStart w:id="318" w:name="_Toc63850167"/>
      <w:bookmarkStart w:id="319" w:name="_Toc63850310"/>
      <w:bookmarkStart w:id="320" w:name="_Toc63862442"/>
      <w:bookmarkStart w:id="321" w:name="_Toc64476359"/>
      <w:r w:rsidRPr="00B37A02">
        <w:rPr>
          <w:rFonts w:ascii="Times New Roman" w:hAnsi="Times New Roman" w:cs="Times New Roman"/>
          <w:sz w:val="28"/>
        </w:rPr>
        <w:lastRenderedPageBreak/>
        <w:t>A PIELIKUMS. Papildu dati par bērniem, kam vajadzīga palīdzība</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p>
    <w:p w14:paraId="3533FAF0" w14:textId="77777777" w:rsidR="002E1382" w:rsidRPr="00B37A02" w:rsidRDefault="002E1382" w:rsidP="00C97F66">
      <w:pPr>
        <w:spacing w:after="0" w:line="240" w:lineRule="auto"/>
        <w:rPr>
          <w:rFonts w:ascii="Times New Roman" w:hAnsi="Times New Roman" w:cs="Times New Roman"/>
        </w:rPr>
      </w:pPr>
    </w:p>
    <w:p w14:paraId="7062A37C" w14:textId="77777777" w:rsidR="00EC5DE2" w:rsidRPr="00B37A02" w:rsidRDefault="00BC5BDF" w:rsidP="00C97F66">
      <w:pPr>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sz w:val="24"/>
        </w:rPr>
        <w:t xml:space="preserve">Šajā pielikumā ir ietverta vispārīga kvantitatīva un kvalitatīva informācija, ko nodrošinājis </w:t>
      </w:r>
      <w:r w:rsidRPr="00B37A02">
        <w:rPr>
          <w:rFonts w:ascii="Times New Roman" w:hAnsi="Times New Roman" w:cs="Times New Roman"/>
          <w:i/>
          <w:iCs/>
          <w:sz w:val="24"/>
        </w:rPr>
        <w:t>Eurostat</w:t>
      </w:r>
      <w:r w:rsidRPr="00B37A02">
        <w:rPr>
          <w:rFonts w:ascii="Times New Roman" w:hAnsi="Times New Roman" w:cs="Times New Roman"/>
          <w:sz w:val="24"/>
        </w:rPr>
        <w:t xml:space="preserve"> vai kas apkopota sagatavošanās pasākumu laikā.</w:t>
      </w:r>
    </w:p>
    <w:p w14:paraId="29AFAD3C" w14:textId="511D696F" w:rsidR="00BC5BDF" w:rsidRPr="00B37A02" w:rsidRDefault="00BC5BDF" w:rsidP="00C97F66">
      <w:pPr>
        <w:widowControl w:val="0"/>
        <w:spacing w:after="0" w:line="240" w:lineRule="auto"/>
        <w:jc w:val="both"/>
        <w:rPr>
          <w:rFonts w:ascii="Times New Roman" w:hAnsi="Times New Roman" w:cs="Times New Roman"/>
          <w:sz w:val="24"/>
          <w:u w:val="single"/>
        </w:rPr>
      </w:pPr>
    </w:p>
    <w:p w14:paraId="5395900B" w14:textId="262EA581" w:rsidR="00BC5BDF" w:rsidRPr="00B37A02" w:rsidRDefault="00BC5BDF" w:rsidP="00C97F66">
      <w:pPr>
        <w:pStyle w:val="Heading2"/>
        <w:keepNext w:val="0"/>
        <w:keepLines w:val="0"/>
        <w:widowControl w:val="0"/>
        <w:spacing w:before="0" w:line="240" w:lineRule="auto"/>
        <w:jc w:val="both"/>
        <w:rPr>
          <w:rFonts w:cs="Times New Roman"/>
          <w:sz w:val="24"/>
        </w:rPr>
      </w:pPr>
      <w:bookmarkStart w:id="322" w:name="_Toc63178118"/>
      <w:bookmarkStart w:id="323" w:name="_Toc63258871"/>
      <w:bookmarkStart w:id="324" w:name="_Toc63269674"/>
      <w:bookmarkStart w:id="325" w:name="_Toc63692782"/>
      <w:bookmarkStart w:id="326" w:name="_Toc63712861"/>
      <w:bookmarkStart w:id="327" w:name="_Toc63850168"/>
      <w:bookmarkStart w:id="328" w:name="_Toc63850311"/>
      <w:bookmarkStart w:id="329" w:name="_Toc63862443"/>
      <w:bookmarkStart w:id="330" w:name="_Toc64476360"/>
      <w:r w:rsidRPr="00B37A02">
        <w:rPr>
          <w:rFonts w:cs="Times New Roman"/>
          <w:sz w:val="24"/>
        </w:rPr>
        <w:t>Nabadzības riskam vai sociālajai atstumtībai pakļauti bērni</w:t>
      </w:r>
      <w:bookmarkEnd w:id="322"/>
      <w:bookmarkEnd w:id="323"/>
      <w:bookmarkEnd w:id="324"/>
      <w:bookmarkEnd w:id="325"/>
      <w:bookmarkEnd w:id="326"/>
      <w:bookmarkEnd w:id="327"/>
      <w:bookmarkEnd w:id="328"/>
      <w:bookmarkEnd w:id="329"/>
      <w:bookmarkEnd w:id="330"/>
    </w:p>
    <w:p w14:paraId="669007F3" w14:textId="77777777" w:rsidR="002E1382" w:rsidRPr="00B37A02" w:rsidRDefault="002E1382" w:rsidP="00C97F66">
      <w:pPr>
        <w:spacing w:after="0" w:line="240" w:lineRule="auto"/>
        <w:rPr>
          <w:rFonts w:ascii="Times New Roman" w:hAnsi="Times New Roman" w:cs="Times New Roman"/>
        </w:rPr>
      </w:pPr>
    </w:p>
    <w:p w14:paraId="75B24650" w14:textId="77777777" w:rsidR="00EC5DE2" w:rsidRPr="00B37A02" w:rsidRDefault="00BC5BDF" w:rsidP="00C97F66">
      <w:pPr>
        <w:pStyle w:val="Caption"/>
        <w:widowControl w:val="0"/>
        <w:spacing w:after="0"/>
        <w:jc w:val="both"/>
        <w:rPr>
          <w:rFonts w:ascii="Times New Roman" w:hAnsi="Times New Roman" w:cs="Times New Roman"/>
          <w:sz w:val="24"/>
          <w:szCs w:val="24"/>
        </w:rPr>
      </w:pPr>
      <w:r w:rsidRPr="00B37A02">
        <w:rPr>
          <w:rFonts w:ascii="Times New Roman" w:hAnsi="Times New Roman" w:cs="Times New Roman"/>
          <w:sz w:val="24"/>
        </w:rPr>
        <w:t>A1. attēls. Nabadzības vai sociālās atstumtības risks (AROPE) 2019. gadā – tūkstošiem bērnu dzīvo mājsaimniecībās ...</w:t>
      </w:r>
    </w:p>
    <w:p w14:paraId="10BBA56B" w14:textId="49E1C794" w:rsidR="00BC5BDF" w:rsidRPr="00B37A02" w:rsidRDefault="00BC5BDF" w:rsidP="00C97F66">
      <w:pPr>
        <w:pStyle w:val="Graph-tabletitle"/>
        <w:widowControl w:val="0"/>
        <w:spacing w:before="0" w:after="0"/>
        <w:jc w:val="both"/>
        <w:rPr>
          <w:rFonts w:ascii="Times New Roman" w:hAnsi="Times New Roman"/>
          <w:b w:val="0"/>
          <w:i w:val="0"/>
          <w:sz w:val="20"/>
          <w:szCs w:val="18"/>
        </w:rPr>
      </w:pPr>
      <w:r w:rsidRPr="00B37A02">
        <w:rPr>
          <w:rFonts w:ascii="Times New Roman" w:hAnsi="Times New Roman"/>
          <w:b w:val="0"/>
          <w:i w:val="0"/>
          <w:noProof/>
          <w:sz w:val="24"/>
        </w:rPr>
        <w:drawing>
          <wp:inline distT="0" distB="0" distL="0" distR="0" wp14:anchorId="7B699376" wp14:editId="00291D8F">
            <wp:extent cx="6136640" cy="4836795"/>
            <wp:effectExtent l="0" t="0" r="16510" b="190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B37A02">
        <w:rPr>
          <w:rFonts w:ascii="Times New Roman" w:hAnsi="Times New Roman"/>
          <w:b w:val="0"/>
          <w:i w:val="0"/>
          <w:sz w:val="20"/>
        </w:rPr>
        <w:t xml:space="preserve">Avots: </w:t>
      </w:r>
      <w:r w:rsidRPr="00B37A02">
        <w:rPr>
          <w:rFonts w:ascii="Times New Roman" w:hAnsi="Times New Roman"/>
          <w:b w:val="0"/>
          <w:iCs/>
          <w:sz w:val="20"/>
        </w:rPr>
        <w:t>EU SILC</w:t>
      </w:r>
      <w:r w:rsidRPr="00B37A02">
        <w:rPr>
          <w:rFonts w:ascii="Times New Roman" w:hAnsi="Times New Roman"/>
          <w:b w:val="0"/>
          <w:i w:val="0"/>
          <w:sz w:val="20"/>
        </w:rPr>
        <w:t xml:space="preserve"> [ilc_pees01], dati iegūti 02.12.2020.</w:t>
      </w:r>
    </w:p>
    <w:p w14:paraId="09C5BE95" w14:textId="77777777" w:rsidR="00BC5BDF" w:rsidRPr="00B37A02" w:rsidRDefault="00BC5BDF" w:rsidP="00C97F66">
      <w:pPr>
        <w:widowControl w:val="0"/>
        <w:spacing w:after="0" w:line="240" w:lineRule="auto"/>
        <w:jc w:val="both"/>
        <w:rPr>
          <w:rFonts w:ascii="Times New Roman" w:hAnsi="Times New Roman" w:cs="Times New Roman"/>
          <w:sz w:val="24"/>
        </w:rPr>
      </w:pPr>
      <w:r w:rsidRPr="00B37A02">
        <w:rPr>
          <w:rFonts w:ascii="Times New Roman" w:hAnsi="Times New Roman" w:cs="Times New Roman"/>
        </w:rPr>
        <w:br w:type="page"/>
      </w:r>
    </w:p>
    <w:p w14:paraId="190CC45E" w14:textId="1AD1DFC9" w:rsidR="00BD556C" w:rsidRPr="00BD556C" w:rsidRDefault="00BC5BDF" w:rsidP="00BD556C">
      <w:pPr>
        <w:pStyle w:val="Caption"/>
        <w:widowControl w:val="0"/>
        <w:spacing w:after="0"/>
        <w:jc w:val="both"/>
        <w:rPr>
          <w:rFonts w:ascii="Times New Roman" w:hAnsi="Times New Roman" w:cs="Times New Roman"/>
          <w:sz w:val="24"/>
        </w:rPr>
      </w:pPr>
      <w:r w:rsidRPr="00B37A02">
        <w:rPr>
          <w:rFonts w:ascii="Times New Roman" w:hAnsi="Times New Roman" w:cs="Times New Roman"/>
          <w:sz w:val="24"/>
        </w:rPr>
        <w:lastRenderedPageBreak/>
        <w:t>A2. tabula. Bērnu materiālā un sociālā nenodrošinātība – 2014. gadā veiktā pārbaudes apsekojuma rezultāti; to bērnu īpatsvars valstī, kuriem trūkst attiecīgā elementa (vai kuru mājsaimniecībās ir parādi), salīdzinājumā ar visu bērnu kopskaitu</w:t>
      </w:r>
    </w:p>
    <w:p w14:paraId="5414ECAE" w14:textId="3994B5BC" w:rsidR="002E1382" w:rsidRPr="00F649E6" w:rsidRDefault="00BD556C" w:rsidP="00F649E6">
      <w:r>
        <w:rPr>
          <w:noProof/>
        </w:rPr>
        <w:drawing>
          <wp:inline distT="0" distB="0" distL="0" distR="0" wp14:anchorId="2ADBB425" wp14:editId="6FC4E956">
            <wp:extent cx="5860994" cy="5026025"/>
            <wp:effectExtent l="0" t="0" r="6985" b="3175"/>
            <wp:docPr id="1480034290" name="Picture 1" descr="A table with numbers and a number in different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034290" name="Picture 1" descr="A table with numbers and a number in different colors&#10;&#10;Description automatically generated with medium confidence"/>
                    <pic:cNvPicPr/>
                  </pic:nvPicPr>
                  <pic:blipFill rotWithShape="1">
                    <a:blip r:embed="rId17">
                      <a:extLst>
                        <a:ext uri="{28A0092B-C50C-407E-A947-70E740481C1C}">
                          <a14:useLocalDpi xmlns:a14="http://schemas.microsoft.com/office/drawing/2010/main" val="0"/>
                        </a:ext>
                      </a:extLst>
                    </a:blip>
                    <a:srcRect l="-1" r="20295" b="35871"/>
                    <a:stretch/>
                  </pic:blipFill>
                  <pic:spPr bwMode="auto">
                    <a:xfrm>
                      <a:off x="0" y="0"/>
                      <a:ext cx="5875184" cy="5038194"/>
                    </a:xfrm>
                    <a:prstGeom prst="rect">
                      <a:avLst/>
                    </a:prstGeom>
                    <a:ln>
                      <a:noFill/>
                    </a:ln>
                    <a:extLst>
                      <a:ext uri="{53640926-AAD7-44D8-BBD7-CCE9431645EC}">
                        <a14:shadowObscured xmlns:a14="http://schemas.microsoft.com/office/drawing/2010/main"/>
                      </a:ext>
                    </a:extLst>
                  </pic:spPr>
                </pic:pic>
              </a:graphicData>
            </a:graphic>
          </wp:inline>
        </w:drawing>
      </w:r>
    </w:p>
    <w:p w14:paraId="022D2343" w14:textId="4CBE7DBE" w:rsidR="00BC5BDF" w:rsidRPr="00B37A02" w:rsidRDefault="00BC5BDF" w:rsidP="00C97F66">
      <w:pPr>
        <w:pStyle w:val="Caption"/>
        <w:widowControl w:val="0"/>
        <w:spacing w:after="0"/>
        <w:jc w:val="both"/>
        <w:rPr>
          <w:rFonts w:ascii="Times New Roman" w:eastAsiaTheme="minorEastAsia" w:hAnsi="Times New Roman" w:cs="Times New Roman"/>
          <w:i w:val="0"/>
          <w:iCs w:val="0"/>
          <w:color w:val="auto"/>
          <w:sz w:val="20"/>
          <w:szCs w:val="16"/>
        </w:rPr>
      </w:pPr>
      <w:r w:rsidRPr="00B37A02">
        <w:rPr>
          <w:rStyle w:val="BodyTextChar"/>
          <w:rFonts w:ascii="Times New Roman" w:eastAsiaTheme="minorHAnsi" w:hAnsi="Times New Roman"/>
          <w:i w:val="0"/>
          <w:color w:val="auto"/>
        </w:rPr>
        <w:t>Avots: Guio A.</w:t>
      </w:r>
      <w:r w:rsidRPr="00B37A02">
        <w:rPr>
          <w:rFonts w:ascii="Times New Roman" w:hAnsi="Times New Roman" w:cs="Times New Roman"/>
          <w:i w:val="0"/>
          <w:color w:val="auto"/>
          <w:sz w:val="20"/>
        </w:rPr>
        <w:t>-C., Gordon D., Marlier E., Najera H., Pomati M., 2018, Towards an EU measure of child deprivation, Child Indicator Research 11(3): 835–860.</w:t>
      </w:r>
    </w:p>
    <w:p w14:paraId="18AE7F9C" w14:textId="77777777" w:rsidR="00BC5BDF" w:rsidRPr="00B37A02" w:rsidRDefault="00BC5BDF" w:rsidP="00C97F66">
      <w:pPr>
        <w:widowControl w:val="0"/>
        <w:spacing w:after="0" w:line="240" w:lineRule="auto"/>
        <w:jc w:val="both"/>
        <w:rPr>
          <w:rFonts w:ascii="Times New Roman" w:eastAsiaTheme="minorEastAsia" w:hAnsi="Times New Roman" w:cs="Times New Roman"/>
          <w:sz w:val="24"/>
          <w:szCs w:val="20"/>
        </w:rPr>
      </w:pPr>
    </w:p>
    <w:p w14:paraId="796234F9" w14:textId="42CE381A" w:rsidR="00BC5BDF" w:rsidRPr="00B37A02" w:rsidRDefault="00BC5BDF" w:rsidP="00C97F66">
      <w:pPr>
        <w:pStyle w:val="Heading2"/>
        <w:keepNext w:val="0"/>
        <w:keepLines w:val="0"/>
        <w:widowControl w:val="0"/>
        <w:spacing w:before="0" w:line="240" w:lineRule="auto"/>
        <w:jc w:val="both"/>
        <w:rPr>
          <w:rFonts w:cs="Times New Roman"/>
          <w:sz w:val="24"/>
        </w:rPr>
      </w:pPr>
      <w:bookmarkStart w:id="331" w:name="_Toc62823454"/>
      <w:bookmarkStart w:id="332" w:name="_Toc62823542"/>
      <w:bookmarkStart w:id="333" w:name="_Toc62833142"/>
      <w:bookmarkStart w:id="334" w:name="_Toc62841483"/>
      <w:bookmarkStart w:id="335" w:name="_Toc62942406"/>
      <w:bookmarkStart w:id="336" w:name="_Toc63178124"/>
      <w:bookmarkStart w:id="337" w:name="_Toc63258877"/>
      <w:bookmarkStart w:id="338" w:name="_Toc63269680"/>
      <w:bookmarkStart w:id="339" w:name="_Toc63692788"/>
      <w:bookmarkStart w:id="340" w:name="_Toc63712867"/>
      <w:bookmarkStart w:id="341" w:name="_Toc63850174"/>
      <w:bookmarkStart w:id="342" w:name="_Toc63850317"/>
      <w:bookmarkStart w:id="343" w:name="_Toc63862449"/>
      <w:bookmarkStart w:id="344" w:name="_Toc64476361"/>
      <w:r w:rsidRPr="00B37A02">
        <w:rPr>
          <w:rFonts w:cs="Times New Roman"/>
          <w:sz w:val="24"/>
        </w:rPr>
        <w:t>Bērni bezpajumtnieki</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14:paraId="7C4B2298" w14:textId="77777777" w:rsidR="002E1382" w:rsidRPr="00B37A02" w:rsidRDefault="002E1382" w:rsidP="00C97F66">
      <w:pPr>
        <w:spacing w:after="0" w:line="240" w:lineRule="auto"/>
        <w:rPr>
          <w:rFonts w:ascii="Times New Roman" w:hAnsi="Times New Roman" w:cs="Times New Roman"/>
        </w:rPr>
      </w:pPr>
    </w:p>
    <w:p w14:paraId="4797393B" w14:textId="04ED0378" w:rsidR="00BC5BDF" w:rsidRPr="00B37A02" w:rsidRDefault="00BC5BDF" w:rsidP="00C97F66">
      <w:pPr>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sz w:val="24"/>
        </w:rPr>
        <w:t>Bērnu bezpajumtniecības līmeni raksturojošo datu pieejamība un iezīmes ir atšķirīgas. Dažās dalībvalstīs ir pieejami valsts dati, savukārt citās – tikai pilsētas līmeņa statistikas dati. Atkarībā no Eiropas bezpajumtniecības un mājokļu trūkuma tipoloģijas (</w:t>
      </w:r>
      <w:r w:rsidRPr="00B37A02">
        <w:rPr>
          <w:rFonts w:ascii="Times New Roman" w:hAnsi="Times New Roman" w:cs="Times New Roman"/>
          <w:i/>
          <w:iCs/>
          <w:sz w:val="24"/>
        </w:rPr>
        <w:t>ETHOS</w:t>
      </w:r>
      <w:r w:rsidRPr="00B37A02">
        <w:rPr>
          <w:rFonts w:ascii="Times New Roman" w:hAnsi="Times New Roman" w:cs="Times New Roman"/>
          <w:sz w:val="24"/>
        </w:rPr>
        <w:t>) kategorijas to dalībvalstu (dažos gadījumos pilsētu) skaits, kuras sniegušas salīdzinoši nesenus datus (t. i., par 2016. gadu vai vēlāku laika periodu) par bērnu bezpajumtniecību, svārstās no 11 līdz 0. Tāpēc nav iespējams noteikt vispārēju rādītāju attiecībā uz bērnu bezpajumtnieku skaitu ES, jo ir nepieciešama sistemātiskāka informācijas apkopošana. Sagatavošanās darbības II posmā tika aplūkoti pieejamie dati par dažādu kategoriju bērnu bezpajumtnieku skaitu ES dalībvalstīs un pilsētās, un, kā liecina turpmāk redzamie rezultāti, to kopskaits ir 91 155. Patiesais bērnu bezpajumtnieku skaits visā ES, iespējams, ir daudz lielāks, ņemot vērā to, ka dati attiecas tikai uz 12 dalībvalstīm un četrām galvaspilsētām.</w:t>
      </w:r>
    </w:p>
    <w:p w14:paraId="0F7B612E" w14:textId="77777777" w:rsidR="00BC5BDF" w:rsidRPr="00B37A02" w:rsidRDefault="00BC5BDF" w:rsidP="00C97F66">
      <w:pPr>
        <w:widowControl w:val="0"/>
        <w:spacing w:after="0" w:line="240" w:lineRule="auto"/>
        <w:jc w:val="both"/>
        <w:rPr>
          <w:rFonts w:ascii="Times New Roman" w:hAnsi="Times New Roman" w:cs="Times New Roman"/>
          <w:sz w:val="24"/>
          <w:szCs w:val="24"/>
        </w:rPr>
      </w:pPr>
    </w:p>
    <w:p w14:paraId="34FA2FC2" w14:textId="7C692EBA" w:rsidR="002E1382" w:rsidRPr="001F5AD2" w:rsidRDefault="00BC5BDF" w:rsidP="001F5AD2">
      <w:pPr>
        <w:pStyle w:val="Caption"/>
        <w:keepNext/>
        <w:keepLines/>
        <w:widowControl w:val="0"/>
        <w:spacing w:after="0"/>
        <w:jc w:val="both"/>
        <w:rPr>
          <w:rFonts w:ascii="Times New Roman" w:hAnsi="Times New Roman" w:cs="Times New Roman"/>
          <w:sz w:val="24"/>
          <w:szCs w:val="24"/>
        </w:rPr>
      </w:pPr>
      <w:r w:rsidRPr="00B37A02">
        <w:rPr>
          <w:rFonts w:ascii="Times New Roman" w:hAnsi="Times New Roman" w:cs="Times New Roman"/>
          <w:sz w:val="24"/>
        </w:rPr>
        <w:lastRenderedPageBreak/>
        <w:t>A3. tabula. Dažāda veida bezpajumtniecībai pakļauto bērnu skaits ES</w:t>
      </w: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377"/>
        <w:gridCol w:w="2360"/>
        <w:gridCol w:w="1249"/>
        <w:gridCol w:w="1075"/>
      </w:tblGrid>
      <w:tr w:rsidR="00BC5BDF" w:rsidRPr="00B37A02" w14:paraId="2AD3DA94" w14:textId="77777777" w:rsidTr="002E1382">
        <w:tc>
          <w:tcPr>
            <w:tcW w:w="2415" w:type="pct"/>
            <w:shd w:val="clear" w:color="auto" w:fill="BFBFBF" w:themeFill="background1" w:themeFillShade="BF"/>
          </w:tcPr>
          <w:p w14:paraId="79BF6744" w14:textId="77777777" w:rsidR="00BC5BDF" w:rsidRPr="00B37A02" w:rsidRDefault="00BC5BDF" w:rsidP="00C97F66">
            <w:pPr>
              <w:widowControl w:val="0"/>
              <w:jc w:val="both"/>
              <w:rPr>
                <w:rFonts w:ascii="Times New Roman" w:hAnsi="Times New Roman" w:cs="Times New Roman"/>
                <w:b/>
                <w:sz w:val="24"/>
              </w:rPr>
            </w:pPr>
            <w:r w:rsidRPr="00B37A02">
              <w:rPr>
                <w:rFonts w:ascii="Times New Roman" w:hAnsi="Times New Roman" w:cs="Times New Roman"/>
                <w:b/>
                <w:sz w:val="24"/>
              </w:rPr>
              <w:t>Bezpajumtniecības veids</w:t>
            </w:r>
          </w:p>
        </w:tc>
        <w:tc>
          <w:tcPr>
            <w:tcW w:w="1302" w:type="pct"/>
            <w:shd w:val="clear" w:color="auto" w:fill="BFBFBF" w:themeFill="background1" w:themeFillShade="BF"/>
          </w:tcPr>
          <w:p w14:paraId="3EE99D2E" w14:textId="77777777" w:rsidR="00BC5BDF" w:rsidRPr="00B37A02" w:rsidRDefault="00BC5BDF" w:rsidP="00C97F66">
            <w:pPr>
              <w:widowControl w:val="0"/>
              <w:jc w:val="both"/>
              <w:rPr>
                <w:rFonts w:ascii="Times New Roman" w:hAnsi="Times New Roman" w:cs="Times New Roman"/>
                <w:b/>
                <w:sz w:val="24"/>
              </w:rPr>
            </w:pPr>
            <w:r w:rsidRPr="00B37A02">
              <w:rPr>
                <w:rFonts w:ascii="Times New Roman" w:hAnsi="Times New Roman" w:cs="Times New Roman"/>
                <w:b/>
                <w:sz w:val="24"/>
              </w:rPr>
              <w:t>Dalībvalsts/pilsēta</w:t>
            </w:r>
          </w:p>
        </w:tc>
        <w:tc>
          <w:tcPr>
            <w:tcW w:w="689" w:type="pct"/>
            <w:shd w:val="clear" w:color="auto" w:fill="BFBFBF" w:themeFill="background1" w:themeFillShade="BF"/>
          </w:tcPr>
          <w:p w14:paraId="233FC2C2" w14:textId="77777777" w:rsidR="00BC5BDF" w:rsidRPr="00B37A02" w:rsidRDefault="00BC5BDF" w:rsidP="00C97F66">
            <w:pPr>
              <w:widowControl w:val="0"/>
              <w:jc w:val="both"/>
              <w:rPr>
                <w:rFonts w:ascii="Times New Roman" w:hAnsi="Times New Roman" w:cs="Times New Roman"/>
                <w:b/>
                <w:sz w:val="24"/>
              </w:rPr>
            </w:pPr>
            <w:r w:rsidRPr="00B37A02">
              <w:rPr>
                <w:rFonts w:ascii="Times New Roman" w:hAnsi="Times New Roman" w:cs="Times New Roman"/>
                <w:b/>
                <w:sz w:val="24"/>
              </w:rPr>
              <w:t>Gads</w:t>
            </w:r>
          </w:p>
        </w:tc>
        <w:tc>
          <w:tcPr>
            <w:tcW w:w="593" w:type="pct"/>
            <w:shd w:val="clear" w:color="auto" w:fill="BFBFBF" w:themeFill="background1" w:themeFillShade="BF"/>
          </w:tcPr>
          <w:p w14:paraId="601F462B" w14:textId="77777777" w:rsidR="00BC5BDF" w:rsidRPr="00B37A02" w:rsidRDefault="00BC5BDF" w:rsidP="00C97F66">
            <w:pPr>
              <w:widowControl w:val="0"/>
              <w:jc w:val="both"/>
              <w:rPr>
                <w:rFonts w:ascii="Times New Roman" w:hAnsi="Times New Roman" w:cs="Times New Roman"/>
                <w:b/>
                <w:sz w:val="24"/>
              </w:rPr>
            </w:pPr>
            <w:r w:rsidRPr="00B37A02">
              <w:rPr>
                <w:rFonts w:ascii="Times New Roman" w:hAnsi="Times New Roman" w:cs="Times New Roman"/>
                <w:b/>
                <w:sz w:val="24"/>
              </w:rPr>
              <w:t>Skaits</w:t>
            </w:r>
          </w:p>
        </w:tc>
      </w:tr>
      <w:tr w:rsidR="00BC5BDF" w:rsidRPr="00B37A02" w14:paraId="0454D3E6" w14:textId="77777777" w:rsidTr="002E1382">
        <w:tc>
          <w:tcPr>
            <w:tcW w:w="2415" w:type="pct"/>
            <w:vMerge w:val="restart"/>
            <w:vAlign w:val="center"/>
          </w:tcPr>
          <w:p w14:paraId="1C753C61"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Ielas bērni</w:t>
            </w:r>
          </w:p>
        </w:tc>
        <w:tc>
          <w:tcPr>
            <w:tcW w:w="1302" w:type="pct"/>
          </w:tcPr>
          <w:p w14:paraId="589A1C32"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Grieķija</w:t>
            </w:r>
          </w:p>
        </w:tc>
        <w:tc>
          <w:tcPr>
            <w:tcW w:w="689" w:type="pct"/>
          </w:tcPr>
          <w:p w14:paraId="2B388487"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2020</w:t>
            </w:r>
          </w:p>
        </w:tc>
        <w:tc>
          <w:tcPr>
            <w:tcW w:w="593" w:type="pct"/>
          </w:tcPr>
          <w:p w14:paraId="32410B22"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957</w:t>
            </w:r>
          </w:p>
        </w:tc>
      </w:tr>
      <w:tr w:rsidR="00BC5BDF" w:rsidRPr="00B37A02" w14:paraId="0D3FEAD3" w14:textId="77777777" w:rsidTr="002E1382">
        <w:tc>
          <w:tcPr>
            <w:tcW w:w="2415" w:type="pct"/>
            <w:vMerge/>
            <w:vAlign w:val="center"/>
          </w:tcPr>
          <w:p w14:paraId="4551C90A" w14:textId="77777777" w:rsidR="00BC5BDF" w:rsidRPr="00B37A02" w:rsidRDefault="00BC5BDF" w:rsidP="00C97F66">
            <w:pPr>
              <w:widowControl w:val="0"/>
              <w:jc w:val="both"/>
              <w:rPr>
                <w:rFonts w:ascii="Times New Roman" w:hAnsi="Times New Roman" w:cs="Times New Roman"/>
                <w:sz w:val="24"/>
              </w:rPr>
            </w:pPr>
          </w:p>
        </w:tc>
        <w:tc>
          <w:tcPr>
            <w:tcW w:w="1302" w:type="pct"/>
          </w:tcPr>
          <w:p w14:paraId="6D9A5E18"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Parīze</w:t>
            </w:r>
          </w:p>
        </w:tc>
        <w:tc>
          <w:tcPr>
            <w:tcW w:w="689" w:type="pct"/>
          </w:tcPr>
          <w:p w14:paraId="5618BA46"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2018</w:t>
            </w:r>
          </w:p>
        </w:tc>
        <w:tc>
          <w:tcPr>
            <w:tcW w:w="593" w:type="pct"/>
          </w:tcPr>
          <w:p w14:paraId="0DAEFD81"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700</w:t>
            </w:r>
          </w:p>
        </w:tc>
      </w:tr>
      <w:tr w:rsidR="00BC5BDF" w:rsidRPr="00B37A02" w14:paraId="1C2B89B1" w14:textId="77777777" w:rsidTr="002E1382">
        <w:tc>
          <w:tcPr>
            <w:tcW w:w="2415" w:type="pct"/>
            <w:vMerge/>
            <w:vAlign w:val="center"/>
          </w:tcPr>
          <w:p w14:paraId="68205387" w14:textId="77777777" w:rsidR="00BC5BDF" w:rsidRPr="00B37A02" w:rsidRDefault="00BC5BDF" w:rsidP="00C97F66">
            <w:pPr>
              <w:widowControl w:val="0"/>
              <w:jc w:val="both"/>
              <w:rPr>
                <w:rFonts w:ascii="Times New Roman" w:hAnsi="Times New Roman" w:cs="Times New Roman"/>
                <w:sz w:val="24"/>
              </w:rPr>
            </w:pPr>
          </w:p>
        </w:tc>
        <w:tc>
          <w:tcPr>
            <w:tcW w:w="1302" w:type="pct"/>
          </w:tcPr>
          <w:p w14:paraId="3B3148B2"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Portugāle</w:t>
            </w:r>
          </w:p>
        </w:tc>
        <w:tc>
          <w:tcPr>
            <w:tcW w:w="689" w:type="pct"/>
          </w:tcPr>
          <w:p w14:paraId="6CBEA8A8"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2018</w:t>
            </w:r>
          </w:p>
        </w:tc>
        <w:tc>
          <w:tcPr>
            <w:tcW w:w="593" w:type="pct"/>
          </w:tcPr>
          <w:p w14:paraId="6959269F"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63</w:t>
            </w:r>
          </w:p>
        </w:tc>
      </w:tr>
      <w:tr w:rsidR="00BC5BDF" w:rsidRPr="00B37A02" w14:paraId="28279CFD" w14:textId="77777777" w:rsidTr="002E1382">
        <w:tc>
          <w:tcPr>
            <w:tcW w:w="2415" w:type="pct"/>
            <w:vMerge/>
            <w:vAlign w:val="center"/>
          </w:tcPr>
          <w:p w14:paraId="4D4DFC4E" w14:textId="77777777" w:rsidR="00BC5BDF" w:rsidRPr="00B37A02" w:rsidRDefault="00BC5BDF" w:rsidP="00C97F66">
            <w:pPr>
              <w:widowControl w:val="0"/>
              <w:jc w:val="both"/>
              <w:rPr>
                <w:rFonts w:ascii="Times New Roman" w:hAnsi="Times New Roman" w:cs="Times New Roman"/>
                <w:sz w:val="24"/>
              </w:rPr>
            </w:pPr>
          </w:p>
        </w:tc>
        <w:tc>
          <w:tcPr>
            <w:tcW w:w="1302" w:type="pct"/>
          </w:tcPr>
          <w:p w14:paraId="43D50E3C"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Brisele</w:t>
            </w:r>
          </w:p>
        </w:tc>
        <w:tc>
          <w:tcPr>
            <w:tcW w:w="689" w:type="pct"/>
          </w:tcPr>
          <w:p w14:paraId="5F8FDBBA"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2018</w:t>
            </w:r>
          </w:p>
        </w:tc>
        <w:tc>
          <w:tcPr>
            <w:tcW w:w="593" w:type="pct"/>
          </w:tcPr>
          <w:p w14:paraId="2CED56CC"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20</w:t>
            </w:r>
          </w:p>
        </w:tc>
      </w:tr>
      <w:tr w:rsidR="00BC5BDF" w:rsidRPr="00B37A02" w14:paraId="73F18827" w14:textId="77777777" w:rsidTr="002E1382">
        <w:tc>
          <w:tcPr>
            <w:tcW w:w="2415" w:type="pct"/>
            <w:vMerge/>
            <w:vAlign w:val="center"/>
          </w:tcPr>
          <w:p w14:paraId="12BE5753" w14:textId="77777777" w:rsidR="00BC5BDF" w:rsidRPr="00B37A02" w:rsidRDefault="00BC5BDF" w:rsidP="00C97F66">
            <w:pPr>
              <w:widowControl w:val="0"/>
              <w:jc w:val="both"/>
              <w:rPr>
                <w:rFonts w:ascii="Times New Roman" w:hAnsi="Times New Roman" w:cs="Times New Roman"/>
                <w:sz w:val="24"/>
              </w:rPr>
            </w:pPr>
          </w:p>
        </w:tc>
        <w:tc>
          <w:tcPr>
            <w:tcW w:w="1302" w:type="pct"/>
          </w:tcPr>
          <w:p w14:paraId="2B28D495"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Polija</w:t>
            </w:r>
          </w:p>
        </w:tc>
        <w:tc>
          <w:tcPr>
            <w:tcW w:w="689" w:type="pct"/>
          </w:tcPr>
          <w:p w14:paraId="58703244"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2019</w:t>
            </w:r>
          </w:p>
        </w:tc>
        <w:tc>
          <w:tcPr>
            <w:tcW w:w="593" w:type="pct"/>
          </w:tcPr>
          <w:p w14:paraId="6345483F"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3</w:t>
            </w:r>
          </w:p>
        </w:tc>
      </w:tr>
      <w:tr w:rsidR="00BC5BDF" w:rsidRPr="00B37A02" w14:paraId="1ACE8272" w14:textId="77777777" w:rsidTr="002E1382">
        <w:tc>
          <w:tcPr>
            <w:tcW w:w="2415" w:type="pct"/>
            <w:vMerge w:val="restart"/>
            <w:shd w:val="clear" w:color="auto" w:fill="E2EFD9" w:themeFill="accent6" w:themeFillTint="33"/>
            <w:vAlign w:val="center"/>
          </w:tcPr>
          <w:p w14:paraId="14013642" w14:textId="77777777" w:rsidR="00BC5BDF" w:rsidRPr="00B37A02" w:rsidRDefault="00BC5BDF" w:rsidP="00C97F66">
            <w:pPr>
              <w:widowControl w:val="0"/>
              <w:rPr>
                <w:rFonts w:ascii="Times New Roman" w:hAnsi="Times New Roman" w:cs="Times New Roman"/>
                <w:sz w:val="24"/>
              </w:rPr>
            </w:pPr>
            <w:r w:rsidRPr="00B37A02">
              <w:rPr>
                <w:rFonts w:ascii="Times New Roman" w:hAnsi="Times New Roman" w:cs="Times New Roman"/>
                <w:sz w:val="24"/>
              </w:rPr>
              <w:t>Ārkārtas izmitināšanas vietās dzīvojoši bērni</w:t>
            </w:r>
          </w:p>
        </w:tc>
        <w:tc>
          <w:tcPr>
            <w:tcW w:w="1302" w:type="pct"/>
            <w:shd w:val="clear" w:color="auto" w:fill="E2EFD9" w:themeFill="accent6" w:themeFillTint="33"/>
          </w:tcPr>
          <w:p w14:paraId="0D8B3FA5"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Rumānija</w:t>
            </w:r>
          </w:p>
        </w:tc>
        <w:tc>
          <w:tcPr>
            <w:tcW w:w="689" w:type="pct"/>
            <w:shd w:val="clear" w:color="auto" w:fill="E2EFD9" w:themeFill="accent6" w:themeFillTint="33"/>
          </w:tcPr>
          <w:p w14:paraId="3215633A"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2019</w:t>
            </w:r>
          </w:p>
        </w:tc>
        <w:tc>
          <w:tcPr>
            <w:tcW w:w="593" w:type="pct"/>
            <w:shd w:val="clear" w:color="auto" w:fill="E2EFD9" w:themeFill="accent6" w:themeFillTint="33"/>
          </w:tcPr>
          <w:p w14:paraId="798C6A14"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466</w:t>
            </w:r>
          </w:p>
        </w:tc>
      </w:tr>
      <w:tr w:rsidR="00BC5BDF" w:rsidRPr="00B37A02" w14:paraId="56EC2AAA" w14:textId="77777777" w:rsidTr="002E1382">
        <w:tc>
          <w:tcPr>
            <w:tcW w:w="2415" w:type="pct"/>
            <w:vMerge/>
            <w:shd w:val="clear" w:color="auto" w:fill="E2EFD9" w:themeFill="accent6" w:themeFillTint="33"/>
            <w:vAlign w:val="center"/>
          </w:tcPr>
          <w:p w14:paraId="7F6F0895" w14:textId="77777777" w:rsidR="00BC5BDF" w:rsidRPr="00B37A02" w:rsidRDefault="00BC5BDF" w:rsidP="00C97F66">
            <w:pPr>
              <w:widowControl w:val="0"/>
              <w:rPr>
                <w:rFonts w:ascii="Times New Roman" w:hAnsi="Times New Roman" w:cs="Times New Roman"/>
                <w:sz w:val="24"/>
              </w:rPr>
            </w:pPr>
          </w:p>
        </w:tc>
        <w:tc>
          <w:tcPr>
            <w:tcW w:w="1302" w:type="pct"/>
            <w:shd w:val="clear" w:color="auto" w:fill="E2EFD9" w:themeFill="accent6" w:themeFillTint="33"/>
          </w:tcPr>
          <w:p w14:paraId="61A92CAB"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Vīne</w:t>
            </w:r>
          </w:p>
        </w:tc>
        <w:tc>
          <w:tcPr>
            <w:tcW w:w="689" w:type="pct"/>
            <w:shd w:val="clear" w:color="auto" w:fill="E2EFD9" w:themeFill="accent6" w:themeFillTint="33"/>
          </w:tcPr>
          <w:p w14:paraId="322395BB"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2019</w:t>
            </w:r>
          </w:p>
        </w:tc>
        <w:tc>
          <w:tcPr>
            <w:tcW w:w="593" w:type="pct"/>
            <w:shd w:val="clear" w:color="auto" w:fill="E2EFD9" w:themeFill="accent6" w:themeFillTint="33"/>
          </w:tcPr>
          <w:p w14:paraId="1A33F935"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457</w:t>
            </w:r>
          </w:p>
        </w:tc>
      </w:tr>
      <w:tr w:rsidR="00BC5BDF" w:rsidRPr="00B37A02" w14:paraId="1B362BFC" w14:textId="77777777" w:rsidTr="002E1382">
        <w:tc>
          <w:tcPr>
            <w:tcW w:w="2415" w:type="pct"/>
            <w:vMerge/>
            <w:shd w:val="clear" w:color="auto" w:fill="E2EFD9" w:themeFill="accent6" w:themeFillTint="33"/>
            <w:vAlign w:val="center"/>
          </w:tcPr>
          <w:p w14:paraId="3D2D8F61" w14:textId="77777777" w:rsidR="00BC5BDF" w:rsidRPr="00B37A02" w:rsidRDefault="00BC5BDF" w:rsidP="00C97F66">
            <w:pPr>
              <w:widowControl w:val="0"/>
              <w:rPr>
                <w:rFonts w:ascii="Times New Roman" w:hAnsi="Times New Roman" w:cs="Times New Roman"/>
                <w:sz w:val="24"/>
              </w:rPr>
            </w:pPr>
          </w:p>
        </w:tc>
        <w:tc>
          <w:tcPr>
            <w:tcW w:w="1302" w:type="pct"/>
            <w:shd w:val="clear" w:color="auto" w:fill="E2EFD9" w:themeFill="accent6" w:themeFillTint="33"/>
          </w:tcPr>
          <w:p w14:paraId="17E24AFE"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Brisele</w:t>
            </w:r>
          </w:p>
        </w:tc>
        <w:tc>
          <w:tcPr>
            <w:tcW w:w="689" w:type="pct"/>
            <w:shd w:val="clear" w:color="auto" w:fill="E2EFD9" w:themeFill="accent6" w:themeFillTint="33"/>
          </w:tcPr>
          <w:p w14:paraId="5F63A213"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2018</w:t>
            </w:r>
          </w:p>
        </w:tc>
        <w:tc>
          <w:tcPr>
            <w:tcW w:w="593" w:type="pct"/>
            <w:shd w:val="clear" w:color="auto" w:fill="E2EFD9" w:themeFill="accent6" w:themeFillTint="33"/>
          </w:tcPr>
          <w:p w14:paraId="0C4DAEC3"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227</w:t>
            </w:r>
          </w:p>
        </w:tc>
      </w:tr>
      <w:tr w:rsidR="00BC5BDF" w:rsidRPr="00B37A02" w14:paraId="2F45CCCC" w14:textId="77777777" w:rsidTr="002E1382">
        <w:tc>
          <w:tcPr>
            <w:tcW w:w="2415" w:type="pct"/>
            <w:vMerge/>
            <w:shd w:val="clear" w:color="auto" w:fill="E2EFD9" w:themeFill="accent6" w:themeFillTint="33"/>
            <w:vAlign w:val="center"/>
          </w:tcPr>
          <w:p w14:paraId="08421E6B" w14:textId="77777777" w:rsidR="00BC5BDF" w:rsidRPr="00B37A02" w:rsidRDefault="00BC5BDF" w:rsidP="00C97F66">
            <w:pPr>
              <w:widowControl w:val="0"/>
              <w:rPr>
                <w:rFonts w:ascii="Times New Roman" w:hAnsi="Times New Roman" w:cs="Times New Roman"/>
                <w:sz w:val="24"/>
              </w:rPr>
            </w:pPr>
          </w:p>
        </w:tc>
        <w:tc>
          <w:tcPr>
            <w:tcW w:w="1302" w:type="pct"/>
            <w:shd w:val="clear" w:color="auto" w:fill="E2EFD9" w:themeFill="accent6" w:themeFillTint="33"/>
          </w:tcPr>
          <w:p w14:paraId="6B95A75D"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Luksemburga</w:t>
            </w:r>
          </w:p>
        </w:tc>
        <w:tc>
          <w:tcPr>
            <w:tcW w:w="689" w:type="pct"/>
            <w:shd w:val="clear" w:color="auto" w:fill="E2EFD9" w:themeFill="accent6" w:themeFillTint="33"/>
          </w:tcPr>
          <w:p w14:paraId="67429956"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2019</w:t>
            </w:r>
          </w:p>
        </w:tc>
        <w:tc>
          <w:tcPr>
            <w:tcW w:w="593" w:type="pct"/>
            <w:shd w:val="clear" w:color="auto" w:fill="E2EFD9" w:themeFill="accent6" w:themeFillTint="33"/>
          </w:tcPr>
          <w:p w14:paraId="01017082"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41</w:t>
            </w:r>
          </w:p>
        </w:tc>
      </w:tr>
      <w:tr w:rsidR="00BC5BDF" w:rsidRPr="00B37A02" w14:paraId="25BA6211" w14:textId="77777777" w:rsidTr="002E1382">
        <w:tc>
          <w:tcPr>
            <w:tcW w:w="2415" w:type="pct"/>
            <w:vMerge/>
            <w:shd w:val="clear" w:color="auto" w:fill="E2EFD9" w:themeFill="accent6" w:themeFillTint="33"/>
            <w:vAlign w:val="center"/>
          </w:tcPr>
          <w:p w14:paraId="23CE6FF9" w14:textId="77777777" w:rsidR="00BC5BDF" w:rsidRPr="00B37A02" w:rsidRDefault="00BC5BDF" w:rsidP="00C97F66">
            <w:pPr>
              <w:widowControl w:val="0"/>
              <w:rPr>
                <w:rFonts w:ascii="Times New Roman" w:hAnsi="Times New Roman" w:cs="Times New Roman"/>
                <w:sz w:val="24"/>
              </w:rPr>
            </w:pPr>
          </w:p>
        </w:tc>
        <w:tc>
          <w:tcPr>
            <w:tcW w:w="1302" w:type="pct"/>
            <w:shd w:val="clear" w:color="auto" w:fill="E2EFD9" w:themeFill="accent6" w:themeFillTint="33"/>
          </w:tcPr>
          <w:p w14:paraId="41AA7BD6"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Latvija</w:t>
            </w:r>
          </w:p>
        </w:tc>
        <w:tc>
          <w:tcPr>
            <w:tcW w:w="689" w:type="pct"/>
            <w:shd w:val="clear" w:color="auto" w:fill="E2EFD9" w:themeFill="accent6" w:themeFillTint="33"/>
          </w:tcPr>
          <w:p w14:paraId="445D90CE"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2019</w:t>
            </w:r>
          </w:p>
        </w:tc>
        <w:tc>
          <w:tcPr>
            <w:tcW w:w="593" w:type="pct"/>
            <w:shd w:val="clear" w:color="auto" w:fill="E2EFD9" w:themeFill="accent6" w:themeFillTint="33"/>
          </w:tcPr>
          <w:p w14:paraId="5488F8B7"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38</w:t>
            </w:r>
          </w:p>
        </w:tc>
      </w:tr>
      <w:tr w:rsidR="00BC5BDF" w:rsidRPr="00B37A02" w14:paraId="2824FA22" w14:textId="77777777" w:rsidTr="002E1382">
        <w:tc>
          <w:tcPr>
            <w:tcW w:w="2415" w:type="pct"/>
            <w:vMerge/>
            <w:shd w:val="clear" w:color="auto" w:fill="E2EFD9" w:themeFill="accent6" w:themeFillTint="33"/>
            <w:vAlign w:val="center"/>
          </w:tcPr>
          <w:p w14:paraId="7A50FAFE" w14:textId="77777777" w:rsidR="00BC5BDF" w:rsidRPr="00B37A02" w:rsidRDefault="00BC5BDF" w:rsidP="00C97F66">
            <w:pPr>
              <w:widowControl w:val="0"/>
              <w:rPr>
                <w:rFonts w:ascii="Times New Roman" w:hAnsi="Times New Roman" w:cs="Times New Roman"/>
                <w:sz w:val="24"/>
              </w:rPr>
            </w:pPr>
          </w:p>
        </w:tc>
        <w:tc>
          <w:tcPr>
            <w:tcW w:w="1302" w:type="pct"/>
            <w:shd w:val="clear" w:color="auto" w:fill="E2EFD9" w:themeFill="accent6" w:themeFillTint="33"/>
          </w:tcPr>
          <w:p w14:paraId="0FB9D3CB"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Polija</w:t>
            </w:r>
          </w:p>
        </w:tc>
        <w:tc>
          <w:tcPr>
            <w:tcW w:w="689" w:type="pct"/>
            <w:shd w:val="clear" w:color="auto" w:fill="E2EFD9" w:themeFill="accent6" w:themeFillTint="33"/>
          </w:tcPr>
          <w:p w14:paraId="66FECD6A"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2019</w:t>
            </w:r>
          </w:p>
        </w:tc>
        <w:tc>
          <w:tcPr>
            <w:tcW w:w="593" w:type="pct"/>
            <w:shd w:val="clear" w:color="auto" w:fill="E2EFD9" w:themeFill="accent6" w:themeFillTint="33"/>
          </w:tcPr>
          <w:p w14:paraId="581B3DF6"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18</w:t>
            </w:r>
          </w:p>
        </w:tc>
      </w:tr>
      <w:tr w:rsidR="00BC5BDF" w:rsidRPr="00B37A02" w14:paraId="4F689F71" w14:textId="77777777" w:rsidTr="002E1382">
        <w:tc>
          <w:tcPr>
            <w:tcW w:w="2415" w:type="pct"/>
            <w:vMerge w:val="restart"/>
            <w:vAlign w:val="center"/>
          </w:tcPr>
          <w:p w14:paraId="2D9CB62E" w14:textId="77777777" w:rsidR="00BC5BDF" w:rsidRPr="00B37A02" w:rsidRDefault="00BC5BDF" w:rsidP="00C97F66">
            <w:pPr>
              <w:widowControl w:val="0"/>
              <w:rPr>
                <w:rFonts w:ascii="Times New Roman" w:hAnsi="Times New Roman" w:cs="Times New Roman"/>
                <w:sz w:val="24"/>
              </w:rPr>
            </w:pPr>
            <w:r w:rsidRPr="00B37A02">
              <w:rPr>
                <w:rFonts w:ascii="Times New Roman" w:hAnsi="Times New Roman" w:cs="Times New Roman"/>
                <w:sz w:val="24"/>
              </w:rPr>
              <w:t>Bezpajumtnieku patversmēs dzīvojoši bērni</w:t>
            </w:r>
          </w:p>
        </w:tc>
        <w:tc>
          <w:tcPr>
            <w:tcW w:w="1302" w:type="pct"/>
          </w:tcPr>
          <w:p w14:paraId="7005D5A7"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Francija</w:t>
            </w:r>
          </w:p>
        </w:tc>
        <w:tc>
          <w:tcPr>
            <w:tcW w:w="689" w:type="pct"/>
          </w:tcPr>
          <w:p w14:paraId="2AE26ACB"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2016</w:t>
            </w:r>
          </w:p>
        </w:tc>
        <w:tc>
          <w:tcPr>
            <w:tcW w:w="593" w:type="pct"/>
          </w:tcPr>
          <w:p w14:paraId="4B27C2CA"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60 000</w:t>
            </w:r>
          </w:p>
        </w:tc>
      </w:tr>
      <w:tr w:rsidR="00BC5BDF" w:rsidRPr="00B37A02" w14:paraId="489D5C02" w14:textId="77777777" w:rsidTr="002E1382">
        <w:tc>
          <w:tcPr>
            <w:tcW w:w="2415" w:type="pct"/>
            <w:vMerge/>
            <w:vAlign w:val="center"/>
          </w:tcPr>
          <w:p w14:paraId="7BB986A4" w14:textId="77777777" w:rsidR="00BC5BDF" w:rsidRPr="00B37A02" w:rsidRDefault="00BC5BDF" w:rsidP="00C97F66">
            <w:pPr>
              <w:widowControl w:val="0"/>
              <w:rPr>
                <w:rFonts w:ascii="Times New Roman" w:hAnsi="Times New Roman" w:cs="Times New Roman"/>
                <w:sz w:val="24"/>
              </w:rPr>
            </w:pPr>
          </w:p>
        </w:tc>
        <w:tc>
          <w:tcPr>
            <w:tcW w:w="1302" w:type="pct"/>
          </w:tcPr>
          <w:p w14:paraId="176F448E"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Ungārija</w:t>
            </w:r>
          </w:p>
        </w:tc>
        <w:tc>
          <w:tcPr>
            <w:tcW w:w="689" w:type="pct"/>
          </w:tcPr>
          <w:p w14:paraId="22A5C28C"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2018</w:t>
            </w:r>
          </w:p>
        </w:tc>
        <w:tc>
          <w:tcPr>
            <w:tcW w:w="593" w:type="pct"/>
          </w:tcPr>
          <w:p w14:paraId="4C2528DC"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7892</w:t>
            </w:r>
          </w:p>
        </w:tc>
      </w:tr>
      <w:tr w:rsidR="00BC5BDF" w:rsidRPr="00B37A02" w14:paraId="267919BA" w14:textId="77777777" w:rsidTr="002E1382">
        <w:tc>
          <w:tcPr>
            <w:tcW w:w="2415" w:type="pct"/>
            <w:vMerge/>
            <w:vAlign w:val="center"/>
          </w:tcPr>
          <w:p w14:paraId="57DF9BA1" w14:textId="77777777" w:rsidR="00BC5BDF" w:rsidRPr="00B37A02" w:rsidRDefault="00BC5BDF" w:rsidP="00C97F66">
            <w:pPr>
              <w:widowControl w:val="0"/>
              <w:rPr>
                <w:rFonts w:ascii="Times New Roman" w:hAnsi="Times New Roman" w:cs="Times New Roman"/>
                <w:sz w:val="24"/>
              </w:rPr>
            </w:pPr>
          </w:p>
        </w:tc>
        <w:tc>
          <w:tcPr>
            <w:tcW w:w="1302" w:type="pct"/>
          </w:tcPr>
          <w:p w14:paraId="386266B3"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Čehija</w:t>
            </w:r>
          </w:p>
        </w:tc>
        <w:tc>
          <w:tcPr>
            <w:tcW w:w="689" w:type="pct"/>
          </w:tcPr>
          <w:p w14:paraId="320ABA7E"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2018/2019</w:t>
            </w:r>
          </w:p>
        </w:tc>
        <w:tc>
          <w:tcPr>
            <w:tcW w:w="593" w:type="pct"/>
          </w:tcPr>
          <w:p w14:paraId="60A148F7"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4342</w:t>
            </w:r>
          </w:p>
        </w:tc>
      </w:tr>
      <w:tr w:rsidR="00BC5BDF" w:rsidRPr="00B37A02" w14:paraId="4A2DA300" w14:textId="77777777" w:rsidTr="002E1382">
        <w:tc>
          <w:tcPr>
            <w:tcW w:w="2415" w:type="pct"/>
            <w:vMerge/>
            <w:vAlign w:val="center"/>
          </w:tcPr>
          <w:p w14:paraId="0EDCC0ED" w14:textId="77777777" w:rsidR="00BC5BDF" w:rsidRPr="00B37A02" w:rsidRDefault="00BC5BDF" w:rsidP="00C97F66">
            <w:pPr>
              <w:widowControl w:val="0"/>
              <w:rPr>
                <w:rFonts w:ascii="Times New Roman" w:hAnsi="Times New Roman" w:cs="Times New Roman"/>
                <w:sz w:val="24"/>
              </w:rPr>
            </w:pPr>
          </w:p>
        </w:tc>
        <w:tc>
          <w:tcPr>
            <w:tcW w:w="1302" w:type="pct"/>
          </w:tcPr>
          <w:p w14:paraId="45E1FB18"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Grieķija</w:t>
            </w:r>
          </w:p>
        </w:tc>
        <w:tc>
          <w:tcPr>
            <w:tcW w:w="689" w:type="pct"/>
          </w:tcPr>
          <w:p w14:paraId="096AAE00"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2020</w:t>
            </w:r>
          </w:p>
        </w:tc>
        <w:tc>
          <w:tcPr>
            <w:tcW w:w="593" w:type="pct"/>
          </w:tcPr>
          <w:p w14:paraId="5CA1E727"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3727</w:t>
            </w:r>
          </w:p>
        </w:tc>
      </w:tr>
      <w:tr w:rsidR="00BC5BDF" w:rsidRPr="00B37A02" w14:paraId="6234B072" w14:textId="77777777" w:rsidTr="002E1382">
        <w:tc>
          <w:tcPr>
            <w:tcW w:w="2415" w:type="pct"/>
            <w:vMerge/>
            <w:vAlign w:val="center"/>
          </w:tcPr>
          <w:p w14:paraId="53D31D0D" w14:textId="77777777" w:rsidR="00BC5BDF" w:rsidRPr="00B37A02" w:rsidRDefault="00BC5BDF" w:rsidP="00C97F66">
            <w:pPr>
              <w:widowControl w:val="0"/>
              <w:rPr>
                <w:rFonts w:ascii="Times New Roman" w:hAnsi="Times New Roman" w:cs="Times New Roman"/>
                <w:sz w:val="24"/>
              </w:rPr>
            </w:pPr>
          </w:p>
        </w:tc>
        <w:tc>
          <w:tcPr>
            <w:tcW w:w="1302" w:type="pct"/>
          </w:tcPr>
          <w:p w14:paraId="650E64B2"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Īrija</w:t>
            </w:r>
          </w:p>
        </w:tc>
        <w:tc>
          <w:tcPr>
            <w:tcW w:w="689" w:type="pct"/>
          </w:tcPr>
          <w:p w14:paraId="7439ECDC"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2020</w:t>
            </w:r>
          </w:p>
        </w:tc>
        <w:tc>
          <w:tcPr>
            <w:tcW w:w="593" w:type="pct"/>
          </w:tcPr>
          <w:p w14:paraId="6D4098D9"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2787</w:t>
            </w:r>
          </w:p>
        </w:tc>
      </w:tr>
      <w:tr w:rsidR="00BC5BDF" w:rsidRPr="00B37A02" w14:paraId="4BA4816C" w14:textId="77777777" w:rsidTr="002E1382">
        <w:tc>
          <w:tcPr>
            <w:tcW w:w="2415" w:type="pct"/>
            <w:vMerge/>
            <w:vAlign w:val="center"/>
          </w:tcPr>
          <w:p w14:paraId="1A61E9BF" w14:textId="77777777" w:rsidR="00BC5BDF" w:rsidRPr="00B37A02" w:rsidRDefault="00BC5BDF" w:rsidP="00C97F66">
            <w:pPr>
              <w:widowControl w:val="0"/>
              <w:rPr>
                <w:rFonts w:ascii="Times New Roman" w:hAnsi="Times New Roman" w:cs="Times New Roman"/>
                <w:sz w:val="24"/>
              </w:rPr>
            </w:pPr>
          </w:p>
        </w:tc>
        <w:tc>
          <w:tcPr>
            <w:tcW w:w="1302" w:type="pct"/>
          </w:tcPr>
          <w:p w14:paraId="3951002E"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Brisele</w:t>
            </w:r>
          </w:p>
        </w:tc>
        <w:tc>
          <w:tcPr>
            <w:tcW w:w="689" w:type="pct"/>
          </w:tcPr>
          <w:p w14:paraId="7380BC99"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2018</w:t>
            </w:r>
          </w:p>
        </w:tc>
        <w:tc>
          <w:tcPr>
            <w:tcW w:w="593" w:type="pct"/>
          </w:tcPr>
          <w:p w14:paraId="2CD03C42"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720</w:t>
            </w:r>
          </w:p>
        </w:tc>
      </w:tr>
      <w:tr w:rsidR="00BC5BDF" w:rsidRPr="00B37A02" w14:paraId="4BED8E2F" w14:textId="77777777" w:rsidTr="002E1382">
        <w:tc>
          <w:tcPr>
            <w:tcW w:w="2415" w:type="pct"/>
            <w:vMerge/>
            <w:vAlign w:val="center"/>
          </w:tcPr>
          <w:p w14:paraId="0105F716" w14:textId="77777777" w:rsidR="00BC5BDF" w:rsidRPr="00B37A02" w:rsidRDefault="00BC5BDF" w:rsidP="00C97F66">
            <w:pPr>
              <w:widowControl w:val="0"/>
              <w:rPr>
                <w:rFonts w:ascii="Times New Roman" w:hAnsi="Times New Roman" w:cs="Times New Roman"/>
                <w:sz w:val="24"/>
              </w:rPr>
            </w:pPr>
          </w:p>
        </w:tc>
        <w:tc>
          <w:tcPr>
            <w:tcW w:w="1302" w:type="pct"/>
          </w:tcPr>
          <w:p w14:paraId="5CE4BB37"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Polija</w:t>
            </w:r>
          </w:p>
        </w:tc>
        <w:tc>
          <w:tcPr>
            <w:tcW w:w="689" w:type="pct"/>
          </w:tcPr>
          <w:p w14:paraId="4DEF1DF9"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2019</w:t>
            </w:r>
          </w:p>
        </w:tc>
        <w:tc>
          <w:tcPr>
            <w:tcW w:w="593" w:type="pct"/>
          </w:tcPr>
          <w:p w14:paraId="695DBB76"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531</w:t>
            </w:r>
          </w:p>
        </w:tc>
      </w:tr>
      <w:tr w:rsidR="00BC5BDF" w:rsidRPr="00B37A02" w14:paraId="243F8565" w14:textId="77777777" w:rsidTr="002E1382">
        <w:tc>
          <w:tcPr>
            <w:tcW w:w="2415" w:type="pct"/>
            <w:vMerge/>
            <w:vAlign w:val="center"/>
          </w:tcPr>
          <w:p w14:paraId="737485A0" w14:textId="77777777" w:rsidR="00BC5BDF" w:rsidRPr="00B37A02" w:rsidRDefault="00BC5BDF" w:rsidP="00C97F66">
            <w:pPr>
              <w:widowControl w:val="0"/>
              <w:rPr>
                <w:rFonts w:ascii="Times New Roman" w:hAnsi="Times New Roman" w:cs="Times New Roman"/>
                <w:sz w:val="24"/>
              </w:rPr>
            </w:pPr>
          </w:p>
        </w:tc>
        <w:tc>
          <w:tcPr>
            <w:tcW w:w="1302" w:type="pct"/>
          </w:tcPr>
          <w:p w14:paraId="5837422F"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Luksemburga</w:t>
            </w:r>
          </w:p>
        </w:tc>
        <w:tc>
          <w:tcPr>
            <w:tcW w:w="689" w:type="pct"/>
          </w:tcPr>
          <w:p w14:paraId="5AF2F70A"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2018</w:t>
            </w:r>
          </w:p>
        </w:tc>
        <w:tc>
          <w:tcPr>
            <w:tcW w:w="593" w:type="pct"/>
          </w:tcPr>
          <w:p w14:paraId="35FC1F0A"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439</w:t>
            </w:r>
          </w:p>
        </w:tc>
      </w:tr>
      <w:tr w:rsidR="00BC5BDF" w:rsidRPr="00B37A02" w14:paraId="1B5E2DD8" w14:textId="77777777" w:rsidTr="002E1382">
        <w:tc>
          <w:tcPr>
            <w:tcW w:w="2415" w:type="pct"/>
            <w:vMerge/>
            <w:vAlign w:val="center"/>
          </w:tcPr>
          <w:p w14:paraId="33ED4776" w14:textId="77777777" w:rsidR="00BC5BDF" w:rsidRPr="00B37A02" w:rsidRDefault="00BC5BDF" w:rsidP="00C97F66">
            <w:pPr>
              <w:widowControl w:val="0"/>
              <w:rPr>
                <w:rFonts w:ascii="Times New Roman" w:hAnsi="Times New Roman" w:cs="Times New Roman"/>
                <w:sz w:val="24"/>
              </w:rPr>
            </w:pPr>
          </w:p>
        </w:tc>
        <w:tc>
          <w:tcPr>
            <w:tcW w:w="1302" w:type="pct"/>
          </w:tcPr>
          <w:p w14:paraId="30DB568E"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Horvātija</w:t>
            </w:r>
          </w:p>
        </w:tc>
        <w:tc>
          <w:tcPr>
            <w:tcW w:w="689" w:type="pct"/>
          </w:tcPr>
          <w:p w14:paraId="69945382"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2018</w:t>
            </w:r>
          </w:p>
        </w:tc>
        <w:tc>
          <w:tcPr>
            <w:tcW w:w="593" w:type="pct"/>
          </w:tcPr>
          <w:p w14:paraId="7A549ED4"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364</w:t>
            </w:r>
          </w:p>
        </w:tc>
      </w:tr>
      <w:tr w:rsidR="00BC5BDF" w:rsidRPr="00B37A02" w14:paraId="6693EC4F" w14:textId="77777777" w:rsidTr="002E1382">
        <w:tc>
          <w:tcPr>
            <w:tcW w:w="2415" w:type="pct"/>
            <w:vMerge/>
            <w:vAlign w:val="center"/>
          </w:tcPr>
          <w:p w14:paraId="071170A5" w14:textId="77777777" w:rsidR="00BC5BDF" w:rsidRPr="00B37A02" w:rsidRDefault="00BC5BDF" w:rsidP="00C97F66">
            <w:pPr>
              <w:widowControl w:val="0"/>
              <w:rPr>
                <w:rFonts w:ascii="Times New Roman" w:hAnsi="Times New Roman" w:cs="Times New Roman"/>
                <w:sz w:val="24"/>
              </w:rPr>
            </w:pPr>
          </w:p>
        </w:tc>
        <w:tc>
          <w:tcPr>
            <w:tcW w:w="1302" w:type="pct"/>
          </w:tcPr>
          <w:p w14:paraId="431B0DC2"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Bratislava</w:t>
            </w:r>
          </w:p>
        </w:tc>
        <w:tc>
          <w:tcPr>
            <w:tcW w:w="689" w:type="pct"/>
          </w:tcPr>
          <w:p w14:paraId="7FEB9E92"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2016</w:t>
            </w:r>
          </w:p>
        </w:tc>
        <w:tc>
          <w:tcPr>
            <w:tcW w:w="593" w:type="pct"/>
          </w:tcPr>
          <w:p w14:paraId="0D2F31BE"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284</w:t>
            </w:r>
          </w:p>
        </w:tc>
      </w:tr>
      <w:tr w:rsidR="00BC5BDF" w:rsidRPr="00B37A02" w14:paraId="4E45F0F8" w14:textId="77777777" w:rsidTr="002E1382">
        <w:tc>
          <w:tcPr>
            <w:tcW w:w="2415" w:type="pct"/>
            <w:vMerge/>
            <w:vAlign w:val="center"/>
          </w:tcPr>
          <w:p w14:paraId="53DD8BEF" w14:textId="77777777" w:rsidR="00BC5BDF" w:rsidRPr="00B37A02" w:rsidRDefault="00BC5BDF" w:rsidP="00C97F66">
            <w:pPr>
              <w:widowControl w:val="0"/>
              <w:rPr>
                <w:rFonts w:ascii="Times New Roman" w:hAnsi="Times New Roman" w:cs="Times New Roman"/>
                <w:sz w:val="24"/>
              </w:rPr>
            </w:pPr>
          </w:p>
        </w:tc>
        <w:tc>
          <w:tcPr>
            <w:tcW w:w="1302" w:type="pct"/>
          </w:tcPr>
          <w:p w14:paraId="754E259D"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Portugāle</w:t>
            </w:r>
          </w:p>
        </w:tc>
        <w:tc>
          <w:tcPr>
            <w:tcW w:w="689" w:type="pct"/>
          </w:tcPr>
          <w:p w14:paraId="5205F76A"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2018</w:t>
            </w:r>
          </w:p>
        </w:tc>
        <w:tc>
          <w:tcPr>
            <w:tcW w:w="593" w:type="pct"/>
          </w:tcPr>
          <w:p w14:paraId="49F16F41"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171</w:t>
            </w:r>
          </w:p>
        </w:tc>
      </w:tr>
      <w:tr w:rsidR="00BC5BDF" w:rsidRPr="00B37A02" w14:paraId="15DBEF42" w14:textId="77777777" w:rsidTr="002E1382">
        <w:tc>
          <w:tcPr>
            <w:tcW w:w="2415" w:type="pct"/>
            <w:vMerge w:val="restart"/>
            <w:shd w:val="clear" w:color="auto" w:fill="E2EFD9" w:themeFill="accent6" w:themeFillTint="33"/>
            <w:vAlign w:val="center"/>
          </w:tcPr>
          <w:p w14:paraId="6C3A4A8F" w14:textId="77777777" w:rsidR="00BC5BDF" w:rsidRPr="00B37A02" w:rsidRDefault="00BC5BDF" w:rsidP="00C97F66">
            <w:pPr>
              <w:widowControl w:val="0"/>
              <w:rPr>
                <w:rFonts w:ascii="Times New Roman" w:hAnsi="Times New Roman" w:cs="Times New Roman"/>
                <w:sz w:val="24"/>
              </w:rPr>
            </w:pPr>
            <w:r w:rsidRPr="00B37A02">
              <w:rPr>
                <w:rFonts w:ascii="Times New Roman" w:hAnsi="Times New Roman" w:cs="Times New Roman"/>
                <w:sz w:val="24"/>
              </w:rPr>
              <w:t>Soda izciešanas iestādēs dzīvojoši bērni</w:t>
            </w:r>
          </w:p>
        </w:tc>
        <w:tc>
          <w:tcPr>
            <w:tcW w:w="1302" w:type="pct"/>
            <w:shd w:val="clear" w:color="auto" w:fill="E2EFD9" w:themeFill="accent6" w:themeFillTint="33"/>
          </w:tcPr>
          <w:p w14:paraId="134B4271"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Čehija</w:t>
            </w:r>
          </w:p>
        </w:tc>
        <w:tc>
          <w:tcPr>
            <w:tcW w:w="689" w:type="pct"/>
            <w:shd w:val="clear" w:color="auto" w:fill="E2EFD9" w:themeFill="accent6" w:themeFillTint="33"/>
          </w:tcPr>
          <w:p w14:paraId="4940B182"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2018</w:t>
            </w:r>
          </w:p>
        </w:tc>
        <w:tc>
          <w:tcPr>
            <w:tcW w:w="593" w:type="pct"/>
            <w:shd w:val="clear" w:color="auto" w:fill="E2EFD9" w:themeFill="accent6" w:themeFillTint="33"/>
          </w:tcPr>
          <w:p w14:paraId="51E69481"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5900</w:t>
            </w:r>
          </w:p>
        </w:tc>
      </w:tr>
      <w:tr w:rsidR="00BC5BDF" w:rsidRPr="00B37A02" w14:paraId="482FD006" w14:textId="77777777" w:rsidTr="002E1382">
        <w:tc>
          <w:tcPr>
            <w:tcW w:w="2415" w:type="pct"/>
            <w:vMerge/>
            <w:shd w:val="clear" w:color="auto" w:fill="E2EFD9" w:themeFill="accent6" w:themeFillTint="33"/>
            <w:vAlign w:val="center"/>
          </w:tcPr>
          <w:p w14:paraId="31767B03" w14:textId="77777777" w:rsidR="00BC5BDF" w:rsidRPr="00B37A02" w:rsidRDefault="00BC5BDF" w:rsidP="00C97F66">
            <w:pPr>
              <w:widowControl w:val="0"/>
              <w:rPr>
                <w:rFonts w:ascii="Times New Roman" w:hAnsi="Times New Roman" w:cs="Times New Roman"/>
                <w:sz w:val="24"/>
              </w:rPr>
            </w:pPr>
          </w:p>
        </w:tc>
        <w:tc>
          <w:tcPr>
            <w:tcW w:w="1302" w:type="pct"/>
            <w:shd w:val="clear" w:color="auto" w:fill="E2EFD9" w:themeFill="accent6" w:themeFillTint="33"/>
          </w:tcPr>
          <w:p w14:paraId="2959F93C"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Austrija</w:t>
            </w:r>
          </w:p>
        </w:tc>
        <w:tc>
          <w:tcPr>
            <w:tcW w:w="689" w:type="pct"/>
            <w:shd w:val="clear" w:color="auto" w:fill="E2EFD9" w:themeFill="accent6" w:themeFillTint="33"/>
          </w:tcPr>
          <w:p w14:paraId="7BBB2FC9"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2018</w:t>
            </w:r>
          </w:p>
        </w:tc>
        <w:tc>
          <w:tcPr>
            <w:tcW w:w="593" w:type="pct"/>
            <w:shd w:val="clear" w:color="auto" w:fill="E2EFD9" w:themeFill="accent6" w:themeFillTint="33"/>
          </w:tcPr>
          <w:p w14:paraId="57252CAD"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125</w:t>
            </w:r>
          </w:p>
        </w:tc>
      </w:tr>
      <w:tr w:rsidR="00BC5BDF" w:rsidRPr="00B37A02" w14:paraId="0D8D612F" w14:textId="77777777" w:rsidTr="002E1382">
        <w:tc>
          <w:tcPr>
            <w:tcW w:w="2415" w:type="pct"/>
            <w:vMerge/>
            <w:shd w:val="clear" w:color="auto" w:fill="E2EFD9" w:themeFill="accent6" w:themeFillTint="33"/>
            <w:vAlign w:val="center"/>
          </w:tcPr>
          <w:p w14:paraId="6D4C5496" w14:textId="77777777" w:rsidR="00BC5BDF" w:rsidRPr="00B37A02" w:rsidRDefault="00BC5BDF" w:rsidP="00C97F66">
            <w:pPr>
              <w:widowControl w:val="0"/>
              <w:rPr>
                <w:rFonts w:ascii="Times New Roman" w:hAnsi="Times New Roman" w:cs="Times New Roman"/>
                <w:sz w:val="24"/>
              </w:rPr>
            </w:pPr>
          </w:p>
        </w:tc>
        <w:tc>
          <w:tcPr>
            <w:tcW w:w="1302" w:type="pct"/>
            <w:shd w:val="clear" w:color="auto" w:fill="E2EFD9" w:themeFill="accent6" w:themeFillTint="33"/>
          </w:tcPr>
          <w:p w14:paraId="2455F99A"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Latvija</w:t>
            </w:r>
          </w:p>
        </w:tc>
        <w:tc>
          <w:tcPr>
            <w:tcW w:w="689" w:type="pct"/>
            <w:shd w:val="clear" w:color="auto" w:fill="E2EFD9" w:themeFill="accent6" w:themeFillTint="33"/>
          </w:tcPr>
          <w:p w14:paraId="11554D35"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2019</w:t>
            </w:r>
          </w:p>
        </w:tc>
        <w:tc>
          <w:tcPr>
            <w:tcW w:w="593" w:type="pct"/>
            <w:shd w:val="clear" w:color="auto" w:fill="E2EFD9" w:themeFill="accent6" w:themeFillTint="33"/>
          </w:tcPr>
          <w:p w14:paraId="107FAFF1"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36</w:t>
            </w:r>
          </w:p>
        </w:tc>
      </w:tr>
      <w:tr w:rsidR="00BC5BDF" w:rsidRPr="00B37A02" w14:paraId="434AC50A" w14:textId="77777777" w:rsidTr="002E1382">
        <w:tc>
          <w:tcPr>
            <w:tcW w:w="2415" w:type="pct"/>
            <w:vMerge w:val="restart"/>
            <w:vAlign w:val="center"/>
          </w:tcPr>
          <w:p w14:paraId="03D5F722" w14:textId="77777777" w:rsidR="00BC5BDF" w:rsidRPr="00B37A02" w:rsidRDefault="00BC5BDF" w:rsidP="00C97F66">
            <w:pPr>
              <w:widowControl w:val="0"/>
              <w:rPr>
                <w:rFonts w:ascii="Times New Roman" w:hAnsi="Times New Roman" w:cs="Times New Roman"/>
                <w:sz w:val="24"/>
              </w:rPr>
            </w:pPr>
            <w:r w:rsidRPr="00B37A02">
              <w:rPr>
                <w:rFonts w:ascii="Times New Roman" w:hAnsi="Times New Roman" w:cs="Times New Roman"/>
                <w:sz w:val="24"/>
              </w:rPr>
              <w:t>Veselības aprūpes iestādēs dzīvojoši bērni</w:t>
            </w:r>
          </w:p>
        </w:tc>
        <w:tc>
          <w:tcPr>
            <w:tcW w:w="1302" w:type="pct"/>
          </w:tcPr>
          <w:p w14:paraId="42768986"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Latvija</w:t>
            </w:r>
          </w:p>
        </w:tc>
        <w:tc>
          <w:tcPr>
            <w:tcW w:w="689" w:type="pct"/>
          </w:tcPr>
          <w:p w14:paraId="5886C008"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2019</w:t>
            </w:r>
          </w:p>
        </w:tc>
        <w:tc>
          <w:tcPr>
            <w:tcW w:w="593" w:type="pct"/>
          </w:tcPr>
          <w:p w14:paraId="4481D164"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712</w:t>
            </w:r>
          </w:p>
        </w:tc>
      </w:tr>
      <w:tr w:rsidR="00BC5BDF" w:rsidRPr="00B37A02" w14:paraId="351CC07A" w14:textId="77777777" w:rsidTr="002E1382">
        <w:tc>
          <w:tcPr>
            <w:tcW w:w="2415" w:type="pct"/>
            <w:vMerge/>
            <w:vAlign w:val="center"/>
          </w:tcPr>
          <w:p w14:paraId="2675F710" w14:textId="77777777" w:rsidR="00BC5BDF" w:rsidRPr="00B37A02" w:rsidRDefault="00BC5BDF" w:rsidP="00C97F66">
            <w:pPr>
              <w:widowControl w:val="0"/>
              <w:rPr>
                <w:rFonts w:ascii="Times New Roman" w:hAnsi="Times New Roman" w:cs="Times New Roman"/>
                <w:sz w:val="24"/>
              </w:rPr>
            </w:pPr>
          </w:p>
        </w:tc>
        <w:tc>
          <w:tcPr>
            <w:tcW w:w="1302" w:type="pct"/>
          </w:tcPr>
          <w:p w14:paraId="1693DFE8"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Polija</w:t>
            </w:r>
          </w:p>
        </w:tc>
        <w:tc>
          <w:tcPr>
            <w:tcW w:w="689" w:type="pct"/>
          </w:tcPr>
          <w:p w14:paraId="42017882"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2019</w:t>
            </w:r>
          </w:p>
        </w:tc>
        <w:tc>
          <w:tcPr>
            <w:tcW w:w="593" w:type="pct"/>
          </w:tcPr>
          <w:p w14:paraId="4D78FA07"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2</w:t>
            </w:r>
          </w:p>
        </w:tc>
      </w:tr>
      <w:tr w:rsidR="00BC5BDF" w:rsidRPr="00B37A02" w14:paraId="601AD9A0" w14:textId="77777777" w:rsidTr="002E1382">
        <w:tc>
          <w:tcPr>
            <w:tcW w:w="2415" w:type="pct"/>
            <w:vMerge w:val="restart"/>
            <w:shd w:val="clear" w:color="auto" w:fill="E2EFD9" w:themeFill="accent6" w:themeFillTint="33"/>
            <w:vAlign w:val="center"/>
          </w:tcPr>
          <w:p w14:paraId="2B10CB4F" w14:textId="77777777" w:rsidR="00BC5BDF" w:rsidRPr="00B37A02" w:rsidRDefault="00BC5BDF" w:rsidP="00C97F66">
            <w:pPr>
              <w:widowControl w:val="0"/>
              <w:rPr>
                <w:rFonts w:ascii="Times New Roman" w:hAnsi="Times New Roman" w:cs="Times New Roman"/>
                <w:sz w:val="24"/>
              </w:rPr>
            </w:pPr>
            <w:r w:rsidRPr="00B37A02">
              <w:rPr>
                <w:rFonts w:ascii="Times New Roman" w:hAnsi="Times New Roman" w:cs="Times New Roman"/>
                <w:sz w:val="24"/>
              </w:rPr>
              <w:t>Netradicionālos mājokļos dzīvojoši bērni</w:t>
            </w:r>
          </w:p>
        </w:tc>
        <w:tc>
          <w:tcPr>
            <w:tcW w:w="1302" w:type="pct"/>
            <w:shd w:val="clear" w:color="auto" w:fill="E2EFD9" w:themeFill="accent6" w:themeFillTint="33"/>
          </w:tcPr>
          <w:p w14:paraId="3E545803"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Brisele</w:t>
            </w:r>
          </w:p>
        </w:tc>
        <w:tc>
          <w:tcPr>
            <w:tcW w:w="689" w:type="pct"/>
            <w:shd w:val="clear" w:color="auto" w:fill="E2EFD9" w:themeFill="accent6" w:themeFillTint="33"/>
          </w:tcPr>
          <w:p w14:paraId="44C13B6A"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2018</w:t>
            </w:r>
          </w:p>
        </w:tc>
        <w:tc>
          <w:tcPr>
            <w:tcW w:w="593" w:type="pct"/>
            <w:shd w:val="clear" w:color="auto" w:fill="E2EFD9" w:themeFill="accent6" w:themeFillTint="33"/>
          </w:tcPr>
          <w:p w14:paraId="4411208F"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87</w:t>
            </w:r>
          </w:p>
        </w:tc>
      </w:tr>
      <w:tr w:rsidR="00BC5BDF" w:rsidRPr="00B37A02" w14:paraId="7C02B9CE" w14:textId="77777777" w:rsidTr="002E1382">
        <w:tc>
          <w:tcPr>
            <w:tcW w:w="2415" w:type="pct"/>
            <w:vMerge/>
            <w:shd w:val="clear" w:color="auto" w:fill="E2EFD9" w:themeFill="accent6" w:themeFillTint="33"/>
          </w:tcPr>
          <w:p w14:paraId="011BBA80" w14:textId="77777777" w:rsidR="00BC5BDF" w:rsidRPr="00B37A02" w:rsidRDefault="00BC5BDF" w:rsidP="00C97F66">
            <w:pPr>
              <w:widowControl w:val="0"/>
              <w:jc w:val="both"/>
              <w:rPr>
                <w:rFonts w:ascii="Times New Roman" w:hAnsi="Times New Roman" w:cs="Times New Roman"/>
                <w:sz w:val="24"/>
              </w:rPr>
            </w:pPr>
          </w:p>
        </w:tc>
        <w:tc>
          <w:tcPr>
            <w:tcW w:w="1302" w:type="pct"/>
            <w:shd w:val="clear" w:color="auto" w:fill="E2EFD9" w:themeFill="accent6" w:themeFillTint="33"/>
          </w:tcPr>
          <w:p w14:paraId="1FCE7F24"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Polija</w:t>
            </w:r>
          </w:p>
        </w:tc>
        <w:tc>
          <w:tcPr>
            <w:tcW w:w="689" w:type="pct"/>
            <w:shd w:val="clear" w:color="auto" w:fill="E2EFD9" w:themeFill="accent6" w:themeFillTint="33"/>
          </w:tcPr>
          <w:p w14:paraId="4FF05C39"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2019</w:t>
            </w:r>
          </w:p>
        </w:tc>
        <w:tc>
          <w:tcPr>
            <w:tcW w:w="593" w:type="pct"/>
            <w:shd w:val="clear" w:color="auto" w:fill="E2EFD9" w:themeFill="accent6" w:themeFillTint="33"/>
          </w:tcPr>
          <w:p w14:paraId="530EDB5F" w14:textId="77777777" w:rsidR="00BC5BDF" w:rsidRPr="00B37A02" w:rsidRDefault="00BC5BDF" w:rsidP="00C97F66">
            <w:pPr>
              <w:widowControl w:val="0"/>
              <w:jc w:val="both"/>
              <w:rPr>
                <w:rFonts w:ascii="Times New Roman" w:hAnsi="Times New Roman" w:cs="Times New Roman"/>
                <w:sz w:val="24"/>
              </w:rPr>
            </w:pPr>
            <w:r w:rsidRPr="00B37A02">
              <w:rPr>
                <w:rFonts w:ascii="Times New Roman" w:hAnsi="Times New Roman" w:cs="Times New Roman"/>
                <w:sz w:val="24"/>
              </w:rPr>
              <w:t>46</w:t>
            </w:r>
          </w:p>
        </w:tc>
      </w:tr>
    </w:tbl>
    <w:p w14:paraId="0F9EFC11" w14:textId="1AB6C41E" w:rsidR="00BC5BDF" w:rsidRPr="00B37A02" w:rsidRDefault="00BC5BDF" w:rsidP="00C97F66">
      <w:pPr>
        <w:widowControl w:val="0"/>
        <w:spacing w:after="0" w:line="240" w:lineRule="auto"/>
        <w:jc w:val="both"/>
        <w:rPr>
          <w:rFonts w:ascii="Times New Roman" w:hAnsi="Times New Roman" w:cs="Times New Roman"/>
          <w:sz w:val="20"/>
          <w:szCs w:val="16"/>
        </w:rPr>
      </w:pPr>
      <w:r w:rsidRPr="00B37A02">
        <w:rPr>
          <w:rFonts w:ascii="Times New Roman" w:hAnsi="Times New Roman" w:cs="Times New Roman"/>
          <w:sz w:val="20"/>
        </w:rPr>
        <w:t>Avots: Study on the economic implementing framework of a possible EU Child Guarantee Scheme including its financial foundation, Chapter J3.2.</w:t>
      </w:r>
    </w:p>
    <w:p w14:paraId="6138BEC3" w14:textId="77777777" w:rsidR="00BC5BDF" w:rsidRPr="00B37A02" w:rsidRDefault="00BC5BDF" w:rsidP="00C97F66">
      <w:pPr>
        <w:widowControl w:val="0"/>
        <w:spacing w:after="0" w:line="240" w:lineRule="auto"/>
        <w:jc w:val="both"/>
        <w:rPr>
          <w:rFonts w:ascii="Times New Roman" w:hAnsi="Times New Roman" w:cs="Times New Roman"/>
          <w:sz w:val="24"/>
          <w:szCs w:val="20"/>
        </w:rPr>
      </w:pPr>
    </w:p>
    <w:p w14:paraId="58FB2D95" w14:textId="7D06E683" w:rsidR="00BC5BDF" w:rsidRPr="00B37A02" w:rsidRDefault="00BC5BDF" w:rsidP="00C97F66">
      <w:pPr>
        <w:pStyle w:val="Heading2"/>
        <w:keepNext w:val="0"/>
        <w:keepLines w:val="0"/>
        <w:widowControl w:val="0"/>
        <w:spacing w:before="0" w:line="240" w:lineRule="auto"/>
        <w:jc w:val="both"/>
        <w:rPr>
          <w:rFonts w:cs="Times New Roman"/>
          <w:sz w:val="24"/>
        </w:rPr>
      </w:pPr>
      <w:bookmarkStart w:id="345" w:name="_Toc62823452"/>
      <w:bookmarkStart w:id="346" w:name="_Toc62823540"/>
      <w:bookmarkStart w:id="347" w:name="_Toc62833139"/>
      <w:bookmarkStart w:id="348" w:name="_Toc62841481"/>
      <w:bookmarkStart w:id="349" w:name="_Toc62942404"/>
      <w:bookmarkStart w:id="350" w:name="_Toc63178121"/>
      <w:bookmarkStart w:id="351" w:name="_Toc63258874"/>
      <w:bookmarkStart w:id="352" w:name="_Toc63269677"/>
      <w:bookmarkStart w:id="353" w:name="_Toc63692785"/>
      <w:bookmarkStart w:id="354" w:name="_Toc63712864"/>
      <w:bookmarkStart w:id="355" w:name="_Toc63850171"/>
      <w:bookmarkStart w:id="356" w:name="_Toc63850314"/>
      <w:bookmarkStart w:id="357" w:name="_Toc63862446"/>
      <w:bookmarkStart w:id="358" w:name="_Toc64476362"/>
      <w:r w:rsidRPr="00B37A02">
        <w:rPr>
          <w:rFonts w:cs="Times New Roman"/>
          <w:sz w:val="24"/>
        </w:rPr>
        <w:t>Bērni ar invaliditāti</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p w14:paraId="0CC622E8" w14:textId="77777777" w:rsidR="002E1382" w:rsidRPr="00B37A02" w:rsidRDefault="002E1382" w:rsidP="00C97F66">
      <w:pPr>
        <w:spacing w:after="0" w:line="240" w:lineRule="auto"/>
        <w:rPr>
          <w:rFonts w:ascii="Times New Roman" w:hAnsi="Times New Roman" w:cs="Times New Roman"/>
        </w:rPr>
      </w:pPr>
    </w:p>
    <w:p w14:paraId="371098CD" w14:textId="2835E6BD" w:rsidR="00BC5BDF" w:rsidRPr="00B37A02" w:rsidRDefault="00BC5BDF" w:rsidP="00C97F66">
      <w:pPr>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sz w:val="24"/>
        </w:rPr>
        <w:t xml:space="preserve">Saskaņā ar pētījumu “Feasibility Study for a Child Guarantee Final Report” [Gala ziņojums par Garantijas bērniem priekšizpēti] galvenās problēmas ar datu apkopošanu attiecībā uz bērniem ar invaliditāti radīja tas, ka viņu pareizai apzināšanai ir nepieciešams visaptverošs viņu dzīves situācijas raksturojums. Šajā visaptverošajā raksturojumā jāapraksta: i) viņu fizioloģiskais vai intelektuālais stāvoklis (iespējamie traucējumi); ii) ierobežojumi, ar kuriem viņi saskaras darbībās un līdzdalībā, kā arī iii) vides faktori, kas sekmē vai kavē viņu dalību. Lai efektīvi apzinātu invaliditāti (un sniegtu atbilstošus pakalpojumus), ir svarīgi pēc iespējas agrāk bērna dzīvē uzsākt traucējumu identificēšanu, koncentrēties uz tiem visos dzīves posmos un uzskatīt </w:t>
      </w:r>
      <w:r w:rsidRPr="00B37A02">
        <w:rPr>
          <w:rFonts w:ascii="Times New Roman" w:hAnsi="Times New Roman" w:cs="Times New Roman"/>
          <w:sz w:val="24"/>
        </w:rPr>
        <w:lastRenderedPageBreak/>
        <w:t>invaliditātes noteikšanu par pilnu personas novērtējumu, kas ietver arī šķēršļus vidē. Visos gadījumos, lai apkopotu informāciju par visām trim noteicošo faktoru kopām, dažādām personām (sākot ar tuvākajiem ģimenes locekļiem) ir jāsniedz informācija, kas saistīta ar visiem personas dzīves aspektiem. Šie sarežģītie dati netiek apkopoti ES līmenī.</w:t>
      </w:r>
      <w:r w:rsidRPr="00B37A02">
        <w:rPr>
          <w:rStyle w:val="FootnoteReference"/>
          <w:rFonts w:ascii="Times New Roman" w:hAnsi="Times New Roman" w:cs="Times New Roman"/>
          <w:sz w:val="24"/>
          <w:szCs w:val="24"/>
        </w:rPr>
        <w:footnoteReference w:id="247"/>
      </w:r>
    </w:p>
    <w:p w14:paraId="36E1ACF0" w14:textId="77777777" w:rsidR="002E1382" w:rsidRPr="00B37A02" w:rsidRDefault="002E1382" w:rsidP="00C97F66">
      <w:pPr>
        <w:widowControl w:val="0"/>
        <w:spacing w:after="0" w:line="240" w:lineRule="auto"/>
        <w:jc w:val="both"/>
        <w:rPr>
          <w:rFonts w:ascii="Times New Roman" w:hAnsi="Times New Roman" w:cs="Times New Roman"/>
          <w:sz w:val="24"/>
        </w:rPr>
      </w:pPr>
    </w:p>
    <w:p w14:paraId="0B7BEF19" w14:textId="73C47D30" w:rsidR="0029223B" w:rsidRPr="0029223B" w:rsidRDefault="00BC5BDF" w:rsidP="0029223B">
      <w:pPr>
        <w:pStyle w:val="Caption"/>
        <w:widowControl w:val="0"/>
        <w:spacing w:after="0"/>
        <w:jc w:val="both"/>
        <w:rPr>
          <w:rFonts w:ascii="Times New Roman" w:hAnsi="Times New Roman" w:cs="Times New Roman"/>
          <w:sz w:val="24"/>
        </w:rPr>
      </w:pPr>
      <w:r w:rsidRPr="00B37A02">
        <w:rPr>
          <w:rFonts w:ascii="Times New Roman" w:hAnsi="Times New Roman" w:cs="Times New Roman"/>
          <w:sz w:val="24"/>
        </w:rPr>
        <w:t>A4. attēls. Bērnu ar mērenu vai smagu invaliditāti īpatsvars vecumā no 0 līdz 15 gadiem ES dalībvalstīs, 2017. gads (%)</w:t>
      </w:r>
    </w:p>
    <w:p w14:paraId="08CD9399" w14:textId="0F9CBFEF" w:rsidR="0029223B" w:rsidRPr="0029223B" w:rsidRDefault="0029223B" w:rsidP="0029223B">
      <w:r w:rsidRPr="0029223B">
        <w:rPr>
          <w:noProof/>
        </w:rPr>
        <w:drawing>
          <wp:inline distT="0" distB="0" distL="0" distR="0" wp14:anchorId="01E2E252" wp14:editId="387585DA">
            <wp:extent cx="5760085" cy="2085794"/>
            <wp:effectExtent l="0" t="0" r="0" b="0"/>
            <wp:docPr id="1066411124" name="Picture 1" descr="A graph with orang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411124" name="Picture 1" descr="A graph with orange bars&#10;&#10;Description automatically generated"/>
                    <pic:cNvPicPr/>
                  </pic:nvPicPr>
                  <pic:blipFill rotWithShape="1">
                    <a:blip r:embed="rId18"/>
                    <a:srcRect t="1033"/>
                    <a:stretch/>
                  </pic:blipFill>
                  <pic:spPr bwMode="auto">
                    <a:xfrm>
                      <a:off x="0" y="0"/>
                      <a:ext cx="5760085" cy="2085794"/>
                    </a:xfrm>
                    <a:prstGeom prst="rect">
                      <a:avLst/>
                    </a:prstGeom>
                    <a:ln>
                      <a:noFill/>
                    </a:ln>
                    <a:extLst>
                      <a:ext uri="{53640926-AAD7-44D8-BBD7-CCE9431645EC}">
                        <a14:shadowObscured xmlns:a14="http://schemas.microsoft.com/office/drawing/2010/main"/>
                      </a:ext>
                    </a:extLst>
                  </pic:spPr>
                </pic:pic>
              </a:graphicData>
            </a:graphic>
          </wp:inline>
        </w:drawing>
      </w:r>
    </w:p>
    <w:p w14:paraId="55F20F92" w14:textId="6D3CEE25" w:rsidR="00BC5BDF" w:rsidRPr="00B37A02" w:rsidRDefault="00BC5BDF" w:rsidP="00C97F66">
      <w:pPr>
        <w:widowControl w:val="0"/>
        <w:spacing w:after="0" w:line="240" w:lineRule="auto"/>
        <w:jc w:val="both"/>
        <w:rPr>
          <w:rFonts w:ascii="Times New Roman" w:hAnsi="Times New Roman" w:cs="Times New Roman"/>
          <w:sz w:val="20"/>
          <w:szCs w:val="18"/>
        </w:rPr>
      </w:pPr>
      <w:r w:rsidRPr="00B37A02">
        <w:rPr>
          <w:rFonts w:ascii="Times New Roman" w:hAnsi="Times New Roman" w:cs="Times New Roman"/>
          <w:sz w:val="20"/>
        </w:rPr>
        <w:t>Avots: EU-SILC 2017, ad-hoc module, Users’ Data-Base (UDB) version March 2019, Feasibility Study for a Child Guarantee Final Report calculations.</w:t>
      </w:r>
    </w:p>
    <w:p w14:paraId="424C2EB4" w14:textId="03EF790F" w:rsidR="00BC5BDF" w:rsidRPr="00B37A02" w:rsidRDefault="00BC5BDF" w:rsidP="00C97F66">
      <w:pPr>
        <w:widowControl w:val="0"/>
        <w:spacing w:after="0" w:line="240" w:lineRule="auto"/>
        <w:jc w:val="both"/>
        <w:rPr>
          <w:rFonts w:ascii="Times New Roman" w:hAnsi="Times New Roman" w:cs="Times New Roman"/>
          <w:sz w:val="24"/>
          <w:szCs w:val="20"/>
        </w:rPr>
      </w:pPr>
    </w:p>
    <w:p w14:paraId="7FA880FC" w14:textId="4673FFF0" w:rsidR="00BC5BDF" w:rsidRPr="00B37A02" w:rsidRDefault="00BC5BDF" w:rsidP="00C97F66">
      <w:pPr>
        <w:pStyle w:val="Heading2"/>
        <w:keepNext w:val="0"/>
        <w:keepLines w:val="0"/>
        <w:widowControl w:val="0"/>
        <w:spacing w:before="0" w:line="240" w:lineRule="auto"/>
        <w:jc w:val="both"/>
        <w:rPr>
          <w:rFonts w:cs="Times New Roman"/>
          <w:sz w:val="24"/>
        </w:rPr>
      </w:pPr>
      <w:bookmarkStart w:id="359" w:name="_Toc63178119"/>
      <w:bookmarkStart w:id="360" w:name="_Toc63258872"/>
      <w:bookmarkStart w:id="361" w:name="_Toc63269675"/>
      <w:bookmarkStart w:id="362" w:name="_Toc63692783"/>
      <w:bookmarkStart w:id="363" w:name="_Toc63712862"/>
      <w:bookmarkStart w:id="364" w:name="_Toc63850169"/>
      <w:bookmarkStart w:id="365" w:name="_Toc63850312"/>
      <w:bookmarkStart w:id="366" w:name="_Toc63862444"/>
      <w:bookmarkStart w:id="367" w:name="_Toc64476363"/>
      <w:r w:rsidRPr="00B37A02">
        <w:rPr>
          <w:rFonts w:cs="Times New Roman"/>
          <w:sz w:val="24"/>
        </w:rPr>
        <w:t>Migrantu izcelsmes bērni</w:t>
      </w:r>
      <w:bookmarkEnd w:id="359"/>
      <w:bookmarkEnd w:id="360"/>
      <w:bookmarkEnd w:id="361"/>
      <w:bookmarkEnd w:id="362"/>
      <w:bookmarkEnd w:id="363"/>
      <w:bookmarkEnd w:id="364"/>
      <w:bookmarkEnd w:id="365"/>
      <w:bookmarkEnd w:id="366"/>
      <w:bookmarkEnd w:id="367"/>
    </w:p>
    <w:p w14:paraId="20EECB69" w14:textId="6B3C241A" w:rsidR="002E1382" w:rsidRPr="00B37A02" w:rsidRDefault="002E1382" w:rsidP="00C97F66">
      <w:pPr>
        <w:spacing w:after="0" w:line="240" w:lineRule="auto"/>
        <w:rPr>
          <w:rFonts w:ascii="Times New Roman" w:hAnsi="Times New Roman" w:cs="Times New Roman"/>
        </w:rPr>
      </w:pPr>
    </w:p>
    <w:p w14:paraId="7E693C54" w14:textId="52E48465" w:rsidR="00BC5BDF" w:rsidRPr="00B37A02" w:rsidRDefault="00BC5BDF" w:rsidP="00C97F66">
      <w:pPr>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sz w:val="24"/>
        </w:rPr>
        <w:t>Saskaņā ar pētījumu “Feasibility Study for a Child Guarantee” galvenās problēmas saistībā ar datu apkopošanu par migrantu bērniem ir šādas: i) nepilnīgi, neuzticami vai dublēti dati; ii) atšķirīgas definīcijas vecuma kategorijām, kā arī iii) atšķirīgi datu reģistrēšanas kritēriji.</w:t>
      </w:r>
      <w:r w:rsidRPr="00B37A02">
        <w:rPr>
          <w:rFonts w:ascii="Times New Roman" w:hAnsi="Times New Roman" w:cs="Times New Roman"/>
          <w:sz w:val="24"/>
          <w:szCs w:val="24"/>
          <w:vertAlign w:val="superscript"/>
        </w:rPr>
        <w:footnoteReference w:id="248"/>
      </w:r>
      <w:r w:rsidRPr="00B37A02">
        <w:rPr>
          <w:rFonts w:ascii="Times New Roman" w:hAnsi="Times New Roman" w:cs="Times New Roman"/>
          <w:sz w:val="24"/>
          <w:vertAlign w:val="superscript"/>
        </w:rPr>
        <w:t xml:space="preserve"> </w:t>
      </w:r>
      <w:r w:rsidRPr="00B37A02">
        <w:rPr>
          <w:rFonts w:ascii="Times New Roman" w:hAnsi="Times New Roman" w:cs="Times New Roman"/>
          <w:sz w:val="24"/>
        </w:rPr>
        <w:t>Nepavadīti bērni var palikt nepamanīti, izvairīties no reģistrācijas vai apgalvot, ka ir vecāki par 18 gadiem, lai viņi varētu turpināt ceļu un netikt aizturēti. Citi bērni var nezināt, cik viņi ir veci, turklāt daži jaunieši apgalvo, ka ir jaunāki par 18 gadiem, lai gūtu labumu no papildu juridiskajām garantijām, kas pieejamas bērniem. Var būt arī tādi gadījumi, kad bērni patvērumu lūdz vairāk nekā vienā valstī, un ir daudz bērnu, kuri patvērumu nepieprasa vispār. Piemēram, Vācijā 2015. gadā ieceļoja vairāk nekā 42 000 nepavadītu un nošķirtu bērnu, taču tikai 14 439 no viņiem lūdza patvērumu.</w:t>
      </w:r>
      <w:r w:rsidRPr="00B37A02">
        <w:rPr>
          <w:rFonts w:ascii="Times New Roman" w:hAnsi="Times New Roman" w:cs="Times New Roman"/>
          <w:sz w:val="24"/>
          <w:vertAlign w:val="superscript"/>
        </w:rPr>
        <w:footnoteReference w:id="249"/>
      </w:r>
      <w:r w:rsidRPr="00B37A02">
        <w:rPr>
          <w:rFonts w:ascii="Times New Roman" w:hAnsi="Times New Roman" w:cs="Times New Roman"/>
          <w:sz w:val="24"/>
        </w:rPr>
        <w:t xml:space="preserve"> Dažas dalībvalstis statistikas datos neiekļauj visus tos, kuri apgalvo, ka ir nepavadīti nepilngadīgie, savukārt citās tiek ņemti vērā tikai tie, kas par tādiem atzīti pēc tam, kad vecumu novērtējusi iestāde.</w:t>
      </w:r>
      <w:r w:rsidRPr="00B37A02">
        <w:rPr>
          <w:rFonts w:ascii="Times New Roman" w:hAnsi="Times New Roman" w:cs="Times New Roman"/>
          <w:sz w:val="24"/>
          <w:vertAlign w:val="superscript"/>
        </w:rPr>
        <w:footnoteReference w:id="250"/>
      </w:r>
    </w:p>
    <w:p w14:paraId="172152D6" w14:textId="77777777" w:rsidR="002E1382" w:rsidRPr="00B37A02" w:rsidRDefault="002E1382" w:rsidP="00C97F66">
      <w:pPr>
        <w:widowControl w:val="0"/>
        <w:spacing w:after="0" w:line="240" w:lineRule="auto"/>
        <w:jc w:val="both"/>
        <w:rPr>
          <w:rFonts w:ascii="Times New Roman" w:hAnsi="Times New Roman" w:cs="Times New Roman"/>
          <w:sz w:val="24"/>
          <w:u w:val="single"/>
        </w:rPr>
      </w:pPr>
    </w:p>
    <w:p w14:paraId="3C88F782" w14:textId="74738D91" w:rsidR="00EC5DE2" w:rsidRPr="00B37A02" w:rsidRDefault="00BC5BDF" w:rsidP="00C97F66">
      <w:pPr>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sz w:val="24"/>
        </w:rPr>
        <w:t xml:space="preserve">Saistībā ar migrantu izcelsmes bērniem, kuri ir iekārtojušies uzņēmējā dalībvalstī, </w:t>
      </w:r>
      <w:r w:rsidRPr="00B37A02">
        <w:rPr>
          <w:rFonts w:ascii="Times New Roman" w:hAnsi="Times New Roman" w:cs="Times New Roman"/>
          <w:i/>
          <w:iCs/>
          <w:sz w:val="24"/>
        </w:rPr>
        <w:t>Eurostat</w:t>
      </w:r>
      <w:r w:rsidRPr="00B37A02">
        <w:rPr>
          <w:rFonts w:ascii="Times New Roman" w:hAnsi="Times New Roman" w:cs="Times New Roman"/>
          <w:sz w:val="24"/>
        </w:rPr>
        <w:t xml:space="preserve"> dati ietver kopējo to migrantu skaitu, kuriem nav uzņēmējas valsts pilsonības, un kopējo ārvalstīs dzimušo migrantu skaitu. Daži rādītāji var par zemu novērtēt kopējo migrantu izcelsmes iedzīvotāju skaitu ES, jo tie neietver datus par bērniem, kuri dzimuši uzņēmējā valstī no vecākiem, kas dzimuši ārpus ES esošas valsts. Iespējams, trūkst arī aprēķinu par to bērnu skaitu, kuri nesen kopā ar vecākiem ir pārcēlušies no citas ES dalībvalsts un kuru situācija bieži vien ļoti līdzinās to migrantu situācijai, kas ieceļojuši no kādas ārpus ES esošas valsts.</w:t>
      </w:r>
    </w:p>
    <w:p w14:paraId="100AEBDD" w14:textId="77777777" w:rsidR="002E1382" w:rsidRPr="00B37A02" w:rsidRDefault="002E1382" w:rsidP="00C97F66">
      <w:pPr>
        <w:widowControl w:val="0"/>
        <w:spacing w:after="0" w:line="240" w:lineRule="auto"/>
        <w:jc w:val="both"/>
        <w:rPr>
          <w:rFonts w:ascii="Times New Roman" w:hAnsi="Times New Roman" w:cs="Times New Roman"/>
          <w:sz w:val="24"/>
          <w:szCs w:val="24"/>
        </w:rPr>
      </w:pPr>
    </w:p>
    <w:p w14:paraId="74848B85" w14:textId="30154F1E" w:rsidR="00BC5BDF" w:rsidRPr="00B37A02" w:rsidRDefault="00BC5BDF" w:rsidP="00C97F66">
      <w:pPr>
        <w:pStyle w:val="Caption"/>
        <w:widowControl w:val="0"/>
        <w:spacing w:after="0"/>
        <w:jc w:val="both"/>
        <w:rPr>
          <w:rFonts w:ascii="Times New Roman" w:hAnsi="Times New Roman" w:cs="Times New Roman"/>
          <w:sz w:val="24"/>
          <w:szCs w:val="24"/>
        </w:rPr>
      </w:pPr>
      <w:r w:rsidRPr="00B37A02">
        <w:rPr>
          <w:rFonts w:ascii="Times New Roman" w:hAnsi="Times New Roman" w:cs="Times New Roman"/>
          <w:sz w:val="24"/>
        </w:rPr>
        <w:t>A5. tabula. Apgādājamo bērnu skaits, vienam no vecākiem esot dzimušam ārpus ES, 2017. gads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5"/>
        <w:gridCol w:w="1506"/>
        <w:gridCol w:w="1506"/>
        <w:gridCol w:w="1505"/>
        <w:gridCol w:w="1536"/>
        <w:gridCol w:w="1503"/>
      </w:tblGrid>
      <w:tr w:rsidR="00BC5BDF" w:rsidRPr="00B37A02" w14:paraId="624CA56B" w14:textId="77777777" w:rsidTr="00445511">
        <w:trPr>
          <w:trHeight w:val="300"/>
        </w:trPr>
        <w:tc>
          <w:tcPr>
            <w:tcW w:w="833" w:type="pct"/>
            <w:tcBorders>
              <w:right w:val="nil"/>
            </w:tcBorders>
            <w:shd w:val="clear" w:color="auto" w:fill="auto"/>
            <w:vAlign w:val="center"/>
            <w:hideMark/>
          </w:tcPr>
          <w:p w14:paraId="1BE96A26"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Vācija</w:t>
            </w:r>
          </w:p>
        </w:tc>
        <w:tc>
          <w:tcPr>
            <w:tcW w:w="834" w:type="pct"/>
            <w:tcBorders>
              <w:left w:val="nil"/>
            </w:tcBorders>
            <w:shd w:val="clear" w:color="auto" w:fill="auto"/>
            <w:vAlign w:val="center"/>
            <w:hideMark/>
          </w:tcPr>
          <w:p w14:paraId="6499FEF5"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3 352 196</w:t>
            </w:r>
          </w:p>
        </w:tc>
        <w:tc>
          <w:tcPr>
            <w:tcW w:w="834" w:type="pct"/>
            <w:tcBorders>
              <w:right w:val="nil"/>
            </w:tcBorders>
            <w:shd w:val="clear" w:color="auto" w:fill="auto"/>
            <w:vAlign w:val="center"/>
            <w:hideMark/>
          </w:tcPr>
          <w:p w14:paraId="02D6DDF7"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Grieķija</w:t>
            </w:r>
          </w:p>
        </w:tc>
        <w:tc>
          <w:tcPr>
            <w:tcW w:w="833" w:type="pct"/>
            <w:tcBorders>
              <w:left w:val="nil"/>
            </w:tcBorders>
            <w:shd w:val="clear" w:color="auto" w:fill="auto"/>
            <w:vAlign w:val="center"/>
            <w:hideMark/>
          </w:tcPr>
          <w:p w14:paraId="080E01DC"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238 862</w:t>
            </w:r>
          </w:p>
        </w:tc>
        <w:tc>
          <w:tcPr>
            <w:tcW w:w="834" w:type="pct"/>
            <w:tcBorders>
              <w:right w:val="nil"/>
            </w:tcBorders>
            <w:shd w:val="clear" w:color="auto" w:fill="auto"/>
            <w:noWrap/>
            <w:vAlign w:val="center"/>
            <w:hideMark/>
          </w:tcPr>
          <w:p w14:paraId="1C6A0016"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Luksemburga</w:t>
            </w:r>
          </w:p>
        </w:tc>
        <w:tc>
          <w:tcPr>
            <w:tcW w:w="834" w:type="pct"/>
            <w:tcBorders>
              <w:left w:val="nil"/>
            </w:tcBorders>
            <w:shd w:val="clear" w:color="auto" w:fill="auto"/>
            <w:noWrap/>
            <w:vAlign w:val="center"/>
            <w:hideMark/>
          </w:tcPr>
          <w:p w14:paraId="29920814"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27 779</w:t>
            </w:r>
          </w:p>
        </w:tc>
      </w:tr>
      <w:tr w:rsidR="00BC5BDF" w:rsidRPr="00B37A02" w14:paraId="076663FE" w14:textId="77777777" w:rsidTr="00445511">
        <w:trPr>
          <w:trHeight w:val="300"/>
        </w:trPr>
        <w:tc>
          <w:tcPr>
            <w:tcW w:w="833" w:type="pct"/>
            <w:tcBorders>
              <w:right w:val="nil"/>
            </w:tcBorders>
            <w:shd w:val="clear" w:color="auto" w:fill="auto"/>
            <w:vAlign w:val="center"/>
            <w:hideMark/>
          </w:tcPr>
          <w:p w14:paraId="3172DA44"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Francija</w:t>
            </w:r>
          </w:p>
        </w:tc>
        <w:tc>
          <w:tcPr>
            <w:tcW w:w="834" w:type="pct"/>
            <w:tcBorders>
              <w:left w:val="nil"/>
            </w:tcBorders>
            <w:shd w:val="clear" w:color="auto" w:fill="auto"/>
            <w:vAlign w:val="center"/>
            <w:hideMark/>
          </w:tcPr>
          <w:p w14:paraId="1E2C4383"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3 241 053</w:t>
            </w:r>
          </w:p>
        </w:tc>
        <w:tc>
          <w:tcPr>
            <w:tcW w:w="834" w:type="pct"/>
            <w:tcBorders>
              <w:right w:val="nil"/>
            </w:tcBorders>
            <w:shd w:val="clear" w:color="auto" w:fill="auto"/>
            <w:vAlign w:val="center"/>
            <w:hideMark/>
          </w:tcPr>
          <w:p w14:paraId="2326C625"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Dānija</w:t>
            </w:r>
          </w:p>
        </w:tc>
        <w:tc>
          <w:tcPr>
            <w:tcW w:w="833" w:type="pct"/>
            <w:tcBorders>
              <w:left w:val="nil"/>
            </w:tcBorders>
            <w:shd w:val="clear" w:color="auto" w:fill="auto"/>
            <w:vAlign w:val="center"/>
            <w:hideMark/>
          </w:tcPr>
          <w:p w14:paraId="218C2CD8"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161 106</w:t>
            </w:r>
          </w:p>
        </w:tc>
        <w:tc>
          <w:tcPr>
            <w:tcW w:w="834" w:type="pct"/>
            <w:tcBorders>
              <w:right w:val="nil"/>
            </w:tcBorders>
            <w:shd w:val="clear" w:color="auto" w:fill="auto"/>
            <w:noWrap/>
            <w:vAlign w:val="center"/>
            <w:hideMark/>
          </w:tcPr>
          <w:p w14:paraId="19A1252D"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Lietuva</w:t>
            </w:r>
          </w:p>
        </w:tc>
        <w:tc>
          <w:tcPr>
            <w:tcW w:w="834" w:type="pct"/>
            <w:tcBorders>
              <w:left w:val="nil"/>
            </w:tcBorders>
            <w:shd w:val="clear" w:color="auto" w:fill="auto"/>
            <w:noWrap/>
            <w:vAlign w:val="center"/>
            <w:hideMark/>
          </w:tcPr>
          <w:p w14:paraId="561BE67E"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24 239</w:t>
            </w:r>
          </w:p>
        </w:tc>
      </w:tr>
      <w:tr w:rsidR="00BC5BDF" w:rsidRPr="00B37A02" w14:paraId="35BA4696" w14:textId="77777777" w:rsidTr="00445511">
        <w:trPr>
          <w:trHeight w:val="300"/>
        </w:trPr>
        <w:tc>
          <w:tcPr>
            <w:tcW w:w="833" w:type="pct"/>
            <w:tcBorders>
              <w:right w:val="nil"/>
            </w:tcBorders>
            <w:shd w:val="clear" w:color="auto" w:fill="auto"/>
            <w:vAlign w:val="center"/>
            <w:hideMark/>
          </w:tcPr>
          <w:p w14:paraId="7E16B02E"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Itālija</w:t>
            </w:r>
          </w:p>
        </w:tc>
        <w:tc>
          <w:tcPr>
            <w:tcW w:w="834" w:type="pct"/>
            <w:tcBorders>
              <w:left w:val="nil"/>
            </w:tcBorders>
            <w:shd w:val="clear" w:color="auto" w:fill="auto"/>
            <w:vAlign w:val="center"/>
            <w:hideMark/>
          </w:tcPr>
          <w:p w14:paraId="4771DBA8"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1 818 926</w:t>
            </w:r>
          </w:p>
        </w:tc>
        <w:tc>
          <w:tcPr>
            <w:tcW w:w="834" w:type="pct"/>
            <w:tcBorders>
              <w:right w:val="nil"/>
            </w:tcBorders>
            <w:shd w:val="clear" w:color="auto" w:fill="auto"/>
            <w:vAlign w:val="center"/>
            <w:hideMark/>
          </w:tcPr>
          <w:p w14:paraId="76049B1D"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Īrija</w:t>
            </w:r>
          </w:p>
        </w:tc>
        <w:tc>
          <w:tcPr>
            <w:tcW w:w="833" w:type="pct"/>
            <w:tcBorders>
              <w:left w:val="nil"/>
            </w:tcBorders>
            <w:shd w:val="clear" w:color="auto" w:fill="auto"/>
            <w:vAlign w:val="center"/>
            <w:hideMark/>
          </w:tcPr>
          <w:p w14:paraId="29BF94A2"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138 407</w:t>
            </w:r>
          </w:p>
        </w:tc>
        <w:tc>
          <w:tcPr>
            <w:tcW w:w="834" w:type="pct"/>
            <w:tcBorders>
              <w:right w:val="nil"/>
            </w:tcBorders>
            <w:shd w:val="clear" w:color="auto" w:fill="auto"/>
            <w:noWrap/>
            <w:vAlign w:val="center"/>
            <w:hideMark/>
          </w:tcPr>
          <w:p w14:paraId="35B5D050"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Somija</w:t>
            </w:r>
          </w:p>
        </w:tc>
        <w:tc>
          <w:tcPr>
            <w:tcW w:w="834" w:type="pct"/>
            <w:tcBorders>
              <w:left w:val="nil"/>
            </w:tcBorders>
            <w:shd w:val="clear" w:color="auto" w:fill="auto"/>
            <w:noWrap/>
            <w:vAlign w:val="center"/>
            <w:hideMark/>
          </w:tcPr>
          <w:p w14:paraId="1B054F27"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23 029</w:t>
            </w:r>
          </w:p>
        </w:tc>
      </w:tr>
      <w:tr w:rsidR="00BC5BDF" w:rsidRPr="00B37A02" w14:paraId="0F89D5CB" w14:textId="77777777" w:rsidTr="00445511">
        <w:trPr>
          <w:trHeight w:val="300"/>
        </w:trPr>
        <w:tc>
          <w:tcPr>
            <w:tcW w:w="833" w:type="pct"/>
            <w:tcBorders>
              <w:right w:val="nil"/>
            </w:tcBorders>
            <w:shd w:val="clear" w:color="auto" w:fill="auto"/>
            <w:vAlign w:val="center"/>
            <w:hideMark/>
          </w:tcPr>
          <w:p w14:paraId="4632C3E8"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Spānija</w:t>
            </w:r>
          </w:p>
        </w:tc>
        <w:tc>
          <w:tcPr>
            <w:tcW w:w="834" w:type="pct"/>
            <w:tcBorders>
              <w:left w:val="nil"/>
            </w:tcBorders>
            <w:shd w:val="clear" w:color="auto" w:fill="auto"/>
            <w:vAlign w:val="center"/>
            <w:hideMark/>
          </w:tcPr>
          <w:p w14:paraId="249265D6"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1 465 731</w:t>
            </w:r>
          </w:p>
        </w:tc>
        <w:tc>
          <w:tcPr>
            <w:tcW w:w="834" w:type="pct"/>
            <w:tcBorders>
              <w:right w:val="nil"/>
            </w:tcBorders>
            <w:shd w:val="clear" w:color="auto" w:fill="auto"/>
            <w:vAlign w:val="center"/>
            <w:hideMark/>
          </w:tcPr>
          <w:p w14:paraId="1F599251"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Horvātija</w:t>
            </w:r>
          </w:p>
        </w:tc>
        <w:tc>
          <w:tcPr>
            <w:tcW w:w="833" w:type="pct"/>
            <w:tcBorders>
              <w:left w:val="nil"/>
            </w:tcBorders>
            <w:shd w:val="clear" w:color="auto" w:fill="auto"/>
            <w:vAlign w:val="center"/>
            <w:hideMark/>
          </w:tcPr>
          <w:p w14:paraId="4A4F0385"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126 499</w:t>
            </w:r>
          </w:p>
        </w:tc>
        <w:tc>
          <w:tcPr>
            <w:tcW w:w="834" w:type="pct"/>
            <w:tcBorders>
              <w:right w:val="nil"/>
            </w:tcBorders>
            <w:shd w:val="clear" w:color="auto" w:fill="auto"/>
            <w:noWrap/>
            <w:vAlign w:val="center"/>
            <w:hideMark/>
          </w:tcPr>
          <w:p w14:paraId="5446D3D7"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Ungārija</w:t>
            </w:r>
          </w:p>
        </w:tc>
        <w:tc>
          <w:tcPr>
            <w:tcW w:w="834" w:type="pct"/>
            <w:tcBorders>
              <w:left w:val="nil"/>
            </w:tcBorders>
            <w:shd w:val="clear" w:color="auto" w:fill="auto"/>
            <w:noWrap/>
            <w:vAlign w:val="center"/>
            <w:hideMark/>
          </w:tcPr>
          <w:p w14:paraId="3C39C6BB"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21 414</w:t>
            </w:r>
          </w:p>
        </w:tc>
      </w:tr>
      <w:tr w:rsidR="00BC5BDF" w:rsidRPr="00B37A02" w14:paraId="1F4B6F6C" w14:textId="77777777" w:rsidTr="00445511">
        <w:trPr>
          <w:trHeight w:val="300"/>
        </w:trPr>
        <w:tc>
          <w:tcPr>
            <w:tcW w:w="833" w:type="pct"/>
            <w:tcBorders>
              <w:right w:val="nil"/>
            </w:tcBorders>
            <w:shd w:val="clear" w:color="auto" w:fill="auto"/>
            <w:vAlign w:val="center"/>
            <w:hideMark/>
          </w:tcPr>
          <w:p w14:paraId="35DB88C4"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Nīderlande</w:t>
            </w:r>
          </w:p>
        </w:tc>
        <w:tc>
          <w:tcPr>
            <w:tcW w:w="834" w:type="pct"/>
            <w:tcBorders>
              <w:left w:val="nil"/>
            </w:tcBorders>
            <w:shd w:val="clear" w:color="auto" w:fill="auto"/>
            <w:vAlign w:val="center"/>
            <w:hideMark/>
          </w:tcPr>
          <w:p w14:paraId="421A8DA3"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773 250</w:t>
            </w:r>
          </w:p>
        </w:tc>
        <w:tc>
          <w:tcPr>
            <w:tcW w:w="834" w:type="pct"/>
            <w:tcBorders>
              <w:right w:val="nil"/>
            </w:tcBorders>
            <w:shd w:val="clear" w:color="auto" w:fill="auto"/>
            <w:noWrap/>
            <w:vAlign w:val="center"/>
            <w:hideMark/>
          </w:tcPr>
          <w:p w14:paraId="0FB8762B"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Slovēnija</w:t>
            </w:r>
          </w:p>
        </w:tc>
        <w:tc>
          <w:tcPr>
            <w:tcW w:w="833" w:type="pct"/>
            <w:tcBorders>
              <w:left w:val="nil"/>
            </w:tcBorders>
            <w:shd w:val="clear" w:color="auto" w:fill="auto"/>
            <w:noWrap/>
            <w:vAlign w:val="center"/>
            <w:hideMark/>
          </w:tcPr>
          <w:p w14:paraId="3299FBD4"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50 507</w:t>
            </w:r>
          </w:p>
        </w:tc>
        <w:tc>
          <w:tcPr>
            <w:tcW w:w="834" w:type="pct"/>
            <w:tcBorders>
              <w:right w:val="nil"/>
            </w:tcBorders>
            <w:shd w:val="clear" w:color="auto" w:fill="auto"/>
            <w:noWrap/>
            <w:vAlign w:val="center"/>
            <w:hideMark/>
          </w:tcPr>
          <w:p w14:paraId="585ED44C"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Igaunija</w:t>
            </w:r>
          </w:p>
        </w:tc>
        <w:tc>
          <w:tcPr>
            <w:tcW w:w="834" w:type="pct"/>
            <w:tcBorders>
              <w:left w:val="nil"/>
            </w:tcBorders>
            <w:shd w:val="clear" w:color="auto" w:fill="auto"/>
            <w:noWrap/>
            <w:vAlign w:val="center"/>
            <w:hideMark/>
          </w:tcPr>
          <w:p w14:paraId="4903511C"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19 781</w:t>
            </w:r>
          </w:p>
        </w:tc>
      </w:tr>
      <w:tr w:rsidR="00BC5BDF" w:rsidRPr="00B37A02" w14:paraId="2A22917F" w14:textId="77777777" w:rsidTr="00445511">
        <w:trPr>
          <w:trHeight w:val="300"/>
        </w:trPr>
        <w:tc>
          <w:tcPr>
            <w:tcW w:w="833" w:type="pct"/>
            <w:tcBorders>
              <w:right w:val="nil"/>
            </w:tcBorders>
            <w:shd w:val="clear" w:color="auto" w:fill="auto"/>
            <w:vAlign w:val="center"/>
            <w:hideMark/>
          </w:tcPr>
          <w:p w14:paraId="2BFE4A51"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Zviedrija</w:t>
            </w:r>
          </w:p>
        </w:tc>
        <w:tc>
          <w:tcPr>
            <w:tcW w:w="834" w:type="pct"/>
            <w:tcBorders>
              <w:left w:val="nil"/>
            </w:tcBorders>
            <w:shd w:val="clear" w:color="auto" w:fill="auto"/>
            <w:vAlign w:val="center"/>
            <w:hideMark/>
          </w:tcPr>
          <w:p w14:paraId="5575D539"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596 660</w:t>
            </w:r>
          </w:p>
        </w:tc>
        <w:tc>
          <w:tcPr>
            <w:tcW w:w="834" w:type="pct"/>
            <w:tcBorders>
              <w:right w:val="nil"/>
            </w:tcBorders>
            <w:shd w:val="clear" w:color="auto" w:fill="auto"/>
            <w:noWrap/>
            <w:vAlign w:val="center"/>
            <w:hideMark/>
          </w:tcPr>
          <w:p w14:paraId="2481D6B5"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Čehija</w:t>
            </w:r>
          </w:p>
        </w:tc>
        <w:tc>
          <w:tcPr>
            <w:tcW w:w="833" w:type="pct"/>
            <w:tcBorders>
              <w:left w:val="nil"/>
            </w:tcBorders>
            <w:shd w:val="clear" w:color="auto" w:fill="auto"/>
            <w:noWrap/>
            <w:vAlign w:val="center"/>
            <w:hideMark/>
          </w:tcPr>
          <w:p w14:paraId="24169FEB"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47 210</w:t>
            </w:r>
          </w:p>
        </w:tc>
        <w:tc>
          <w:tcPr>
            <w:tcW w:w="834" w:type="pct"/>
            <w:tcBorders>
              <w:right w:val="nil"/>
            </w:tcBorders>
            <w:shd w:val="clear" w:color="auto" w:fill="auto"/>
            <w:noWrap/>
            <w:vAlign w:val="center"/>
            <w:hideMark/>
          </w:tcPr>
          <w:p w14:paraId="1301BCC3"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Slovākija</w:t>
            </w:r>
          </w:p>
        </w:tc>
        <w:tc>
          <w:tcPr>
            <w:tcW w:w="834" w:type="pct"/>
            <w:tcBorders>
              <w:left w:val="nil"/>
            </w:tcBorders>
            <w:shd w:val="clear" w:color="auto" w:fill="auto"/>
            <w:noWrap/>
            <w:vAlign w:val="center"/>
            <w:hideMark/>
          </w:tcPr>
          <w:p w14:paraId="44B335C5"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8298</w:t>
            </w:r>
          </w:p>
        </w:tc>
      </w:tr>
      <w:tr w:rsidR="00BC5BDF" w:rsidRPr="00B37A02" w14:paraId="04645285" w14:textId="77777777" w:rsidTr="00445511">
        <w:trPr>
          <w:trHeight w:val="300"/>
        </w:trPr>
        <w:tc>
          <w:tcPr>
            <w:tcW w:w="833" w:type="pct"/>
            <w:tcBorders>
              <w:right w:val="nil"/>
            </w:tcBorders>
            <w:shd w:val="clear" w:color="auto" w:fill="auto"/>
            <w:vAlign w:val="center"/>
            <w:hideMark/>
          </w:tcPr>
          <w:p w14:paraId="0B348131"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Beļģija</w:t>
            </w:r>
          </w:p>
        </w:tc>
        <w:tc>
          <w:tcPr>
            <w:tcW w:w="834" w:type="pct"/>
            <w:tcBorders>
              <w:left w:val="nil"/>
            </w:tcBorders>
            <w:shd w:val="clear" w:color="auto" w:fill="auto"/>
            <w:vAlign w:val="center"/>
            <w:hideMark/>
          </w:tcPr>
          <w:p w14:paraId="784CF649"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574 766</w:t>
            </w:r>
          </w:p>
        </w:tc>
        <w:tc>
          <w:tcPr>
            <w:tcW w:w="834" w:type="pct"/>
            <w:tcBorders>
              <w:right w:val="nil"/>
            </w:tcBorders>
            <w:shd w:val="clear" w:color="auto" w:fill="auto"/>
            <w:noWrap/>
            <w:vAlign w:val="center"/>
            <w:hideMark/>
          </w:tcPr>
          <w:p w14:paraId="3B914548"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Polija</w:t>
            </w:r>
          </w:p>
        </w:tc>
        <w:tc>
          <w:tcPr>
            <w:tcW w:w="833" w:type="pct"/>
            <w:tcBorders>
              <w:left w:val="nil"/>
            </w:tcBorders>
            <w:shd w:val="clear" w:color="auto" w:fill="auto"/>
            <w:noWrap/>
            <w:vAlign w:val="center"/>
            <w:hideMark/>
          </w:tcPr>
          <w:p w14:paraId="4F1BB140"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44 144</w:t>
            </w:r>
          </w:p>
        </w:tc>
        <w:tc>
          <w:tcPr>
            <w:tcW w:w="834" w:type="pct"/>
            <w:tcBorders>
              <w:right w:val="nil"/>
            </w:tcBorders>
            <w:shd w:val="clear" w:color="auto" w:fill="auto"/>
            <w:noWrap/>
            <w:vAlign w:val="center"/>
            <w:hideMark/>
          </w:tcPr>
          <w:p w14:paraId="746BB2C6"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Malta</w:t>
            </w:r>
          </w:p>
        </w:tc>
        <w:tc>
          <w:tcPr>
            <w:tcW w:w="834" w:type="pct"/>
            <w:tcBorders>
              <w:left w:val="nil"/>
            </w:tcBorders>
            <w:shd w:val="clear" w:color="auto" w:fill="auto"/>
            <w:noWrap/>
            <w:vAlign w:val="center"/>
            <w:hideMark/>
          </w:tcPr>
          <w:p w14:paraId="62B63D8E"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8182</w:t>
            </w:r>
          </w:p>
        </w:tc>
      </w:tr>
      <w:tr w:rsidR="00BC5BDF" w:rsidRPr="00B37A02" w14:paraId="1E775D4D" w14:textId="77777777" w:rsidTr="00445511">
        <w:trPr>
          <w:trHeight w:val="300"/>
        </w:trPr>
        <w:tc>
          <w:tcPr>
            <w:tcW w:w="833" w:type="pct"/>
            <w:tcBorders>
              <w:right w:val="nil"/>
            </w:tcBorders>
            <w:shd w:val="clear" w:color="auto" w:fill="auto"/>
            <w:vAlign w:val="center"/>
            <w:hideMark/>
          </w:tcPr>
          <w:p w14:paraId="17BE7B4E"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Austrija</w:t>
            </w:r>
          </w:p>
        </w:tc>
        <w:tc>
          <w:tcPr>
            <w:tcW w:w="834" w:type="pct"/>
            <w:tcBorders>
              <w:left w:val="nil"/>
            </w:tcBorders>
            <w:shd w:val="clear" w:color="auto" w:fill="auto"/>
            <w:vAlign w:val="center"/>
            <w:hideMark/>
          </w:tcPr>
          <w:p w14:paraId="018D21A7"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416 963</w:t>
            </w:r>
          </w:p>
        </w:tc>
        <w:tc>
          <w:tcPr>
            <w:tcW w:w="834" w:type="pct"/>
            <w:tcBorders>
              <w:right w:val="nil"/>
            </w:tcBorders>
            <w:shd w:val="clear" w:color="auto" w:fill="auto"/>
            <w:noWrap/>
            <w:vAlign w:val="center"/>
            <w:hideMark/>
          </w:tcPr>
          <w:p w14:paraId="1E50ADA1"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Kipra</w:t>
            </w:r>
          </w:p>
        </w:tc>
        <w:tc>
          <w:tcPr>
            <w:tcW w:w="833" w:type="pct"/>
            <w:tcBorders>
              <w:left w:val="nil"/>
            </w:tcBorders>
            <w:shd w:val="clear" w:color="auto" w:fill="auto"/>
            <w:noWrap/>
            <w:vAlign w:val="center"/>
            <w:hideMark/>
          </w:tcPr>
          <w:p w14:paraId="1821C88B"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38 556</w:t>
            </w:r>
          </w:p>
        </w:tc>
        <w:tc>
          <w:tcPr>
            <w:tcW w:w="834" w:type="pct"/>
            <w:tcBorders>
              <w:right w:val="nil"/>
            </w:tcBorders>
            <w:shd w:val="clear" w:color="auto" w:fill="auto"/>
            <w:noWrap/>
            <w:vAlign w:val="center"/>
            <w:hideMark/>
          </w:tcPr>
          <w:p w14:paraId="63172D4F"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Bulgārija</w:t>
            </w:r>
          </w:p>
        </w:tc>
        <w:tc>
          <w:tcPr>
            <w:tcW w:w="834" w:type="pct"/>
            <w:tcBorders>
              <w:left w:val="nil"/>
            </w:tcBorders>
            <w:shd w:val="clear" w:color="auto" w:fill="auto"/>
            <w:noWrap/>
            <w:vAlign w:val="center"/>
            <w:hideMark/>
          </w:tcPr>
          <w:p w14:paraId="0B3229B9"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7849</w:t>
            </w:r>
          </w:p>
        </w:tc>
      </w:tr>
      <w:tr w:rsidR="00BC5BDF" w:rsidRPr="00B37A02" w14:paraId="003EA4DE" w14:textId="77777777" w:rsidTr="00445511">
        <w:trPr>
          <w:trHeight w:val="300"/>
        </w:trPr>
        <w:tc>
          <w:tcPr>
            <w:tcW w:w="833" w:type="pct"/>
            <w:tcBorders>
              <w:right w:val="nil"/>
            </w:tcBorders>
            <w:shd w:val="clear" w:color="auto" w:fill="auto"/>
            <w:vAlign w:val="center"/>
            <w:hideMark/>
          </w:tcPr>
          <w:p w14:paraId="64430433"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Portugāle</w:t>
            </w:r>
          </w:p>
        </w:tc>
        <w:tc>
          <w:tcPr>
            <w:tcW w:w="834" w:type="pct"/>
            <w:tcBorders>
              <w:left w:val="nil"/>
            </w:tcBorders>
            <w:shd w:val="clear" w:color="auto" w:fill="auto"/>
            <w:vAlign w:val="center"/>
            <w:hideMark/>
          </w:tcPr>
          <w:p w14:paraId="7A04FF53"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254 058</w:t>
            </w:r>
          </w:p>
        </w:tc>
        <w:tc>
          <w:tcPr>
            <w:tcW w:w="834" w:type="pct"/>
            <w:tcBorders>
              <w:right w:val="nil"/>
            </w:tcBorders>
            <w:shd w:val="clear" w:color="auto" w:fill="auto"/>
            <w:noWrap/>
            <w:vAlign w:val="center"/>
            <w:hideMark/>
          </w:tcPr>
          <w:p w14:paraId="2CC41B73"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Latvija</w:t>
            </w:r>
          </w:p>
        </w:tc>
        <w:tc>
          <w:tcPr>
            <w:tcW w:w="833" w:type="pct"/>
            <w:tcBorders>
              <w:left w:val="nil"/>
            </w:tcBorders>
            <w:shd w:val="clear" w:color="auto" w:fill="auto"/>
            <w:noWrap/>
            <w:vAlign w:val="center"/>
            <w:hideMark/>
          </w:tcPr>
          <w:p w14:paraId="7A5DCDD6"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30 292</w:t>
            </w:r>
          </w:p>
        </w:tc>
        <w:tc>
          <w:tcPr>
            <w:tcW w:w="834" w:type="pct"/>
            <w:tcBorders>
              <w:right w:val="nil"/>
            </w:tcBorders>
            <w:shd w:val="clear" w:color="auto" w:fill="auto"/>
            <w:noWrap/>
            <w:vAlign w:val="center"/>
            <w:hideMark/>
          </w:tcPr>
          <w:p w14:paraId="7BAE7A62"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Rumānija</w:t>
            </w:r>
          </w:p>
        </w:tc>
        <w:tc>
          <w:tcPr>
            <w:tcW w:w="834" w:type="pct"/>
            <w:tcBorders>
              <w:left w:val="nil"/>
            </w:tcBorders>
            <w:shd w:val="clear" w:color="auto" w:fill="auto"/>
            <w:noWrap/>
            <w:vAlign w:val="center"/>
            <w:hideMark/>
          </w:tcPr>
          <w:p w14:paraId="6F99F450" w14:textId="77777777" w:rsidR="00BC5BDF" w:rsidRPr="00B37A02" w:rsidRDefault="00BC5BDF" w:rsidP="00C97F66">
            <w:pPr>
              <w:widowControl w:val="0"/>
              <w:spacing w:after="0" w:line="240" w:lineRule="auto"/>
              <w:jc w:val="both"/>
              <w:rPr>
                <w:rFonts w:ascii="Times New Roman" w:eastAsia="Times New Roman" w:hAnsi="Times New Roman" w:cs="Times New Roman"/>
                <w:color w:val="000000" w:themeColor="text1"/>
                <w:sz w:val="24"/>
                <w:szCs w:val="18"/>
              </w:rPr>
            </w:pPr>
            <w:r w:rsidRPr="00B37A02">
              <w:rPr>
                <w:rFonts w:ascii="Times New Roman" w:hAnsi="Times New Roman" w:cs="Times New Roman"/>
                <w:color w:val="000000" w:themeColor="text1"/>
                <w:sz w:val="24"/>
              </w:rPr>
              <w:t>5733</w:t>
            </w:r>
          </w:p>
        </w:tc>
      </w:tr>
    </w:tbl>
    <w:p w14:paraId="5BAC2096" w14:textId="77777777" w:rsidR="00EC5DE2" w:rsidRPr="00B37A02" w:rsidRDefault="00BC5BDF" w:rsidP="00C97F66">
      <w:pPr>
        <w:widowControl w:val="0"/>
        <w:spacing w:after="0" w:line="240" w:lineRule="auto"/>
        <w:jc w:val="both"/>
        <w:rPr>
          <w:rFonts w:ascii="Times New Roman" w:hAnsi="Times New Roman" w:cs="Times New Roman"/>
          <w:sz w:val="20"/>
          <w:szCs w:val="18"/>
        </w:rPr>
      </w:pPr>
      <w:r w:rsidRPr="00B37A02">
        <w:rPr>
          <w:rFonts w:ascii="Times New Roman" w:hAnsi="Times New Roman" w:cs="Times New Roman"/>
          <w:sz w:val="20"/>
        </w:rPr>
        <w:t>Piezīme. Galvenā uzmanība tiek pievērsta “apgādājamiem bērniem”, t. i., bērniem, kuri ir jaunāki par 15 gadiem, kā arī bērniem vecumā no 16 līdz 24 gadiem, kuri nav nodarbināti un dzīvo kopā ar vismaz vienu no vecākiem.</w:t>
      </w:r>
    </w:p>
    <w:p w14:paraId="7E47793D" w14:textId="75D085DB" w:rsidR="00BC5BDF" w:rsidRPr="00B37A02" w:rsidRDefault="00BC5BDF" w:rsidP="00C97F66">
      <w:pPr>
        <w:widowControl w:val="0"/>
        <w:spacing w:after="0" w:line="240" w:lineRule="auto"/>
        <w:jc w:val="both"/>
        <w:rPr>
          <w:rFonts w:ascii="Times New Roman" w:hAnsi="Times New Roman" w:cs="Times New Roman"/>
          <w:sz w:val="20"/>
          <w:szCs w:val="18"/>
        </w:rPr>
      </w:pPr>
      <w:r w:rsidRPr="00B37A02">
        <w:rPr>
          <w:rFonts w:ascii="Times New Roman" w:hAnsi="Times New Roman" w:cs="Times New Roman"/>
          <w:sz w:val="20"/>
        </w:rPr>
        <w:t>Avots: Feasibility Study for a Child Guarantee Final Report based on LFS (2017).</w:t>
      </w:r>
    </w:p>
    <w:p w14:paraId="46EBE33C" w14:textId="77777777" w:rsidR="002E1382" w:rsidRPr="00B37A02" w:rsidRDefault="002E1382" w:rsidP="00C97F66">
      <w:pPr>
        <w:pStyle w:val="Caption"/>
        <w:widowControl w:val="0"/>
        <w:spacing w:after="0"/>
        <w:jc w:val="both"/>
        <w:rPr>
          <w:rFonts w:ascii="Times New Roman" w:hAnsi="Times New Roman" w:cs="Times New Roman"/>
          <w:sz w:val="24"/>
          <w:szCs w:val="24"/>
        </w:rPr>
      </w:pPr>
    </w:p>
    <w:p w14:paraId="170319E4" w14:textId="0E073E40" w:rsidR="00BC5BDF" w:rsidRPr="00B37A02" w:rsidRDefault="00BC5BDF" w:rsidP="00C97F66">
      <w:pPr>
        <w:pStyle w:val="Caption"/>
        <w:widowControl w:val="0"/>
        <w:spacing w:after="0"/>
        <w:jc w:val="both"/>
        <w:rPr>
          <w:rFonts w:ascii="Times New Roman" w:hAnsi="Times New Roman" w:cs="Times New Roman"/>
          <w:sz w:val="24"/>
          <w:szCs w:val="24"/>
        </w:rPr>
      </w:pPr>
      <w:r w:rsidRPr="00B37A02">
        <w:rPr>
          <w:rFonts w:ascii="Times New Roman" w:hAnsi="Times New Roman" w:cs="Times New Roman"/>
          <w:sz w:val="24"/>
        </w:rPr>
        <w:t>A6. attēls. Izglītības un priekšlaicīgas mācību pārtraukšanas biežums pēc skolēnu dzimšanas vietas, 2019. gads</w:t>
      </w:r>
    </w:p>
    <w:p w14:paraId="6D0503EF" w14:textId="77777777" w:rsidR="00BC5BDF" w:rsidRPr="00B37A02" w:rsidRDefault="00BC5BDF" w:rsidP="00C97F66">
      <w:pPr>
        <w:widowControl w:val="0"/>
        <w:spacing w:after="0" w:line="240" w:lineRule="auto"/>
        <w:jc w:val="both"/>
        <w:rPr>
          <w:rFonts w:ascii="Times New Roman" w:hAnsi="Times New Roman" w:cs="Times New Roman"/>
          <w:sz w:val="20"/>
          <w:szCs w:val="16"/>
        </w:rPr>
      </w:pPr>
      <w:r w:rsidRPr="00B37A02">
        <w:rPr>
          <w:rFonts w:ascii="Times New Roman" w:hAnsi="Times New Roman" w:cs="Times New Roman"/>
          <w:noProof/>
          <w:sz w:val="24"/>
        </w:rPr>
        <w:drawing>
          <wp:inline distT="0" distB="0" distL="0" distR="0" wp14:anchorId="56890828" wp14:editId="19947A40">
            <wp:extent cx="6238587" cy="3581400"/>
            <wp:effectExtent l="0" t="0" r="1016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B37A02">
        <w:rPr>
          <w:rFonts w:ascii="Times New Roman" w:hAnsi="Times New Roman" w:cs="Times New Roman"/>
          <w:sz w:val="20"/>
        </w:rPr>
        <w:t xml:space="preserve">Piezīme. Nav pieejami dati par tādām citām valstīm no 27 ES dalībvalstu vidus kā Dānija, Portugāle un Slovēnija; 2018. gada statistika par Somiju (valstis, kas nav 27 ES dalībvalstis) un Zviedriju (citas 27 ES dalībvalstis). Avots: </w:t>
      </w:r>
      <w:r w:rsidRPr="00B37A02">
        <w:rPr>
          <w:rFonts w:ascii="Times New Roman" w:hAnsi="Times New Roman" w:cs="Times New Roman"/>
          <w:i/>
          <w:iCs/>
          <w:sz w:val="20"/>
        </w:rPr>
        <w:t>Eurostat</w:t>
      </w:r>
      <w:r w:rsidRPr="00B37A02">
        <w:rPr>
          <w:rFonts w:ascii="Times New Roman" w:hAnsi="Times New Roman" w:cs="Times New Roman"/>
          <w:sz w:val="20"/>
        </w:rPr>
        <w:t xml:space="preserve"> [edat_lfse_02].</w:t>
      </w:r>
    </w:p>
    <w:p w14:paraId="7474EC4B" w14:textId="77777777" w:rsidR="00BC5BDF" w:rsidRPr="00B37A02" w:rsidRDefault="00BC5BDF" w:rsidP="00C97F66">
      <w:pPr>
        <w:widowControl w:val="0"/>
        <w:spacing w:after="0" w:line="240" w:lineRule="auto"/>
        <w:jc w:val="both"/>
        <w:rPr>
          <w:rFonts w:ascii="Times New Roman" w:hAnsi="Times New Roman" w:cs="Times New Roman"/>
          <w:sz w:val="24"/>
          <w:szCs w:val="20"/>
        </w:rPr>
      </w:pPr>
    </w:p>
    <w:p w14:paraId="4499FED8" w14:textId="77777777" w:rsidR="00BC5BDF" w:rsidRPr="00B37A02" w:rsidRDefault="00BC5BDF" w:rsidP="00C97F66">
      <w:pPr>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rPr>
        <w:br w:type="page"/>
      </w:r>
    </w:p>
    <w:p w14:paraId="62D27936" w14:textId="77777777" w:rsidR="00BC5BDF" w:rsidRPr="00B37A02" w:rsidRDefault="00BC5BDF" w:rsidP="00C97F66">
      <w:pPr>
        <w:pStyle w:val="Caption"/>
        <w:widowControl w:val="0"/>
        <w:spacing w:after="0"/>
        <w:jc w:val="both"/>
        <w:rPr>
          <w:rFonts w:ascii="Times New Roman" w:hAnsi="Times New Roman" w:cs="Times New Roman"/>
          <w:sz w:val="24"/>
          <w:szCs w:val="24"/>
        </w:rPr>
      </w:pPr>
      <w:r w:rsidRPr="00B37A02">
        <w:rPr>
          <w:rFonts w:ascii="Times New Roman" w:hAnsi="Times New Roman" w:cs="Times New Roman"/>
          <w:sz w:val="24"/>
        </w:rPr>
        <w:lastRenderedPageBreak/>
        <w:t>A7. tabula. Līdztiesības līmenis saistībā ar tiesībām uz veselības aprūpi trīs migrantu bērnu grupās salīdzinājumā ar bērniem, kuri ir attiecīgās valsts pilsoņi.</w:t>
      </w:r>
    </w:p>
    <w:tbl>
      <w:tblPr>
        <w:tblpPr w:leftFromText="142" w:rightFromText="142" w:vertAnchor="text" w:horzAnchor="margin"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63"/>
        <w:gridCol w:w="1324"/>
        <w:gridCol w:w="1544"/>
        <w:gridCol w:w="1845"/>
        <w:gridCol w:w="2885"/>
      </w:tblGrid>
      <w:tr w:rsidR="00BC5BDF" w:rsidRPr="00B37A02" w14:paraId="3A898375" w14:textId="77777777" w:rsidTr="002E1382">
        <w:tc>
          <w:tcPr>
            <w:tcW w:w="807" w:type="pct"/>
            <w:tcBorders>
              <w:top w:val="single" w:sz="4" w:space="0" w:color="auto"/>
              <w:left w:val="single" w:sz="4" w:space="0" w:color="auto"/>
              <w:bottom w:val="single" w:sz="4" w:space="0" w:color="auto"/>
              <w:right w:val="single" w:sz="4" w:space="0" w:color="auto"/>
            </w:tcBorders>
            <w:shd w:val="clear" w:color="auto" w:fill="auto"/>
          </w:tcPr>
          <w:p w14:paraId="3F80F72A" w14:textId="77777777" w:rsidR="00BC5BDF" w:rsidRPr="00B37A02" w:rsidRDefault="00BC5BDF" w:rsidP="00C97F66">
            <w:pPr>
              <w:widowControl w:val="0"/>
              <w:spacing w:after="0" w:line="240" w:lineRule="auto"/>
              <w:jc w:val="both"/>
              <w:rPr>
                <w:rFonts w:ascii="Times New Roman" w:eastAsia="MS Mincho" w:hAnsi="Times New Roman" w:cs="Times New Roman"/>
                <w:sz w:val="24"/>
                <w:szCs w:val="18"/>
                <w:lang w:eastAsia="da-DK"/>
              </w:rPr>
            </w:pPr>
          </w:p>
        </w:tc>
        <w:tc>
          <w:tcPr>
            <w:tcW w:w="730" w:type="pct"/>
            <w:tcBorders>
              <w:top w:val="single" w:sz="4" w:space="0" w:color="auto"/>
              <w:left w:val="single" w:sz="4" w:space="0" w:color="auto"/>
              <w:bottom w:val="single" w:sz="4" w:space="0" w:color="auto"/>
              <w:right w:val="single" w:sz="4" w:space="0" w:color="auto"/>
            </w:tcBorders>
            <w:shd w:val="clear" w:color="auto" w:fill="auto"/>
            <w:hideMark/>
          </w:tcPr>
          <w:p w14:paraId="5196EB56" w14:textId="77777777" w:rsidR="00BC5BDF" w:rsidRPr="00B37A02" w:rsidRDefault="00BC5BDF" w:rsidP="00C97F66">
            <w:pPr>
              <w:widowControl w:val="0"/>
              <w:spacing w:after="0" w:line="240" w:lineRule="auto"/>
              <w:rPr>
                <w:rFonts w:ascii="Times New Roman" w:eastAsia="MS Mincho" w:hAnsi="Times New Roman" w:cs="Times New Roman"/>
                <w:bCs/>
                <w:sz w:val="24"/>
                <w:szCs w:val="18"/>
              </w:rPr>
            </w:pPr>
            <w:r w:rsidRPr="00B37A02">
              <w:rPr>
                <w:rFonts w:ascii="Times New Roman" w:hAnsi="Times New Roman" w:cs="Times New Roman"/>
                <w:sz w:val="24"/>
              </w:rPr>
              <w:t>Bērni, kuri lūdz patvērumu</w:t>
            </w:r>
          </w:p>
        </w:tc>
        <w:tc>
          <w:tcPr>
            <w:tcW w:w="852" w:type="pct"/>
            <w:tcBorders>
              <w:top w:val="single" w:sz="4" w:space="0" w:color="auto"/>
              <w:left w:val="single" w:sz="4" w:space="0" w:color="auto"/>
              <w:bottom w:val="single" w:sz="4" w:space="0" w:color="auto"/>
              <w:right w:val="single" w:sz="4" w:space="0" w:color="auto"/>
            </w:tcBorders>
            <w:shd w:val="clear" w:color="auto" w:fill="auto"/>
            <w:hideMark/>
          </w:tcPr>
          <w:p w14:paraId="25CF1D5B" w14:textId="77777777" w:rsidR="00BC5BDF" w:rsidRPr="00B37A02" w:rsidRDefault="00BC5BDF" w:rsidP="00C97F66">
            <w:pPr>
              <w:widowControl w:val="0"/>
              <w:spacing w:after="0" w:line="240" w:lineRule="auto"/>
              <w:rPr>
                <w:rFonts w:ascii="Times New Roman" w:eastAsia="MS Mincho" w:hAnsi="Times New Roman" w:cs="Times New Roman"/>
                <w:bCs/>
                <w:sz w:val="24"/>
                <w:szCs w:val="18"/>
              </w:rPr>
            </w:pPr>
            <w:r w:rsidRPr="00B37A02">
              <w:rPr>
                <w:rFonts w:ascii="Times New Roman" w:hAnsi="Times New Roman" w:cs="Times New Roman"/>
                <w:sz w:val="24"/>
              </w:rPr>
              <w:t>Nelegālu, no ārpus ES dalībvalstīm ieceļojušu migrantu bērni</w:t>
            </w:r>
          </w:p>
        </w:tc>
        <w:tc>
          <w:tcPr>
            <w:tcW w:w="1018" w:type="pct"/>
            <w:tcBorders>
              <w:top w:val="single" w:sz="4" w:space="0" w:color="auto"/>
              <w:left w:val="single" w:sz="4" w:space="0" w:color="auto"/>
              <w:bottom w:val="single" w:sz="4" w:space="0" w:color="auto"/>
              <w:right w:val="single" w:sz="24" w:space="0" w:color="auto"/>
            </w:tcBorders>
            <w:shd w:val="clear" w:color="auto" w:fill="auto"/>
            <w:hideMark/>
          </w:tcPr>
          <w:p w14:paraId="15A6011B" w14:textId="77777777" w:rsidR="00BC5BDF" w:rsidRPr="00B37A02" w:rsidRDefault="00BC5BDF" w:rsidP="00C97F66">
            <w:pPr>
              <w:widowControl w:val="0"/>
              <w:spacing w:after="0" w:line="240" w:lineRule="auto"/>
              <w:rPr>
                <w:rFonts w:ascii="Times New Roman" w:eastAsia="MS Mincho" w:hAnsi="Times New Roman" w:cs="Times New Roman"/>
                <w:bCs/>
                <w:sz w:val="24"/>
                <w:szCs w:val="18"/>
              </w:rPr>
            </w:pPr>
            <w:r w:rsidRPr="00B37A02">
              <w:rPr>
                <w:rFonts w:ascii="Times New Roman" w:hAnsi="Times New Roman" w:cs="Times New Roman"/>
                <w:sz w:val="24"/>
              </w:rPr>
              <w:t>Nelegālu, no citām ES dalībvalstīm ieceļojušu migrantu bērni</w:t>
            </w:r>
          </w:p>
        </w:tc>
        <w:tc>
          <w:tcPr>
            <w:tcW w:w="1592" w:type="pct"/>
            <w:vMerge w:val="restart"/>
            <w:tcBorders>
              <w:top w:val="single" w:sz="4" w:space="0" w:color="auto"/>
              <w:left w:val="single" w:sz="24" w:space="0" w:color="auto"/>
              <w:right w:val="single" w:sz="4" w:space="0" w:color="auto"/>
            </w:tcBorders>
            <w:shd w:val="clear" w:color="auto" w:fill="D9D9D9" w:themeFill="background1" w:themeFillShade="D9"/>
            <w:vAlign w:val="bottom"/>
          </w:tcPr>
          <w:p w14:paraId="1C852282" w14:textId="77777777" w:rsidR="00BC5BDF" w:rsidRPr="00B37A02" w:rsidRDefault="00BC5BDF" w:rsidP="00C97F66">
            <w:pPr>
              <w:widowControl w:val="0"/>
              <w:spacing w:after="0" w:line="240" w:lineRule="auto"/>
              <w:rPr>
                <w:rFonts w:ascii="Times New Roman" w:eastAsia="MS Mincho" w:hAnsi="Times New Roman" w:cs="Times New Roman"/>
                <w:bCs/>
                <w:sz w:val="24"/>
                <w:szCs w:val="18"/>
              </w:rPr>
            </w:pPr>
            <w:r w:rsidRPr="00B37A02">
              <w:rPr>
                <w:rFonts w:ascii="Times New Roman" w:hAnsi="Times New Roman" w:cs="Times New Roman"/>
                <w:sz w:val="24"/>
              </w:rPr>
              <w:t>Iekrāsojuma atšifrējums:</w:t>
            </w:r>
          </w:p>
        </w:tc>
      </w:tr>
      <w:tr w:rsidR="002E1382" w:rsidRPr="00B37A02" w14:paraId="702B1702" w14:textId="77777777" w:rsidTr="002E1382">
        <w:tc>
          <w:tcPr>
            <w:tcW w:w="807" w:type="pct"/>
            <w:tcBorders>
              <w:top w:val="single" w:sz="4" w:space="0" w:color="auto"/>
              <w:left w:val="single" w:sz="4" w:space="0" w:color="auto"/>
              <w:bottom w:val="single" w:sz="4" w:space="0" w:color="auto"/>
              <w:right w:val="single" w:sz="4" w:space="0" w:color="auto"/>
            </w:tcBorders>
            <w:shd w:val="clear" w:color="auto" w:fill="auto"/>
            <w:hideMark/>
          </w:tcPr>
          <w:p w14:paraId="4884FC1D" w14:textId="77777777" w:rsidR="00BC5BDF" w:rsidRPr="00B37A02" w:rsidRDefault="00BC5BDF" w:rsidP="00C97F66">
            <w:pPr>
              <w:widowControl w:val="0"/>
              <w:spacing w:after="0" w:line="240" w:lineRule="auto"/>
              <w:jc w:val="both"/>
              <w:rPr>
                <w:rFonts w:ascii="Times New Roman" w:eastAsia="MS Mincho" w:hAnsi="Times New Roman" w:cs="Times New Roman"/>
                <w:bCs/>
                <w:sz w:val="24"/>
                <w:szCs w:val="18"/>
              </w:rPr>
            </w:pPr>
            <w:r w:rsidRPr="00B37A02">
              <w:rPr>
                <w:rFonts w:ascii="Times New Roman" w:hAnsi="Times New Roman" w:cs="Times New Roman"/>
                <w:sz w:val="24"/>
              </w:rPr>
              <w:t>Austrija</w:t>
            </w:r>
          </w:p>
        </w:tc>
        <w:tc>
          <w:tcPr>
            <w:tcW w:w="730" w:type="pct"/>
            <w:tcBorders>
              <w:top w:val="single" w:sz="4" w:space="0" w:color="auto"/>
              <w:left w:val="single" w:sz="4" w:space="0" w:color="auto"/>
              <w:bottom w:val="single" w:sz="4" w:space="0" w:color="auto"/>
              <w:right w:val="single" w:sz="4" w:space="0" w:color="auto"/>
            </w:tcBorders>
            <w:shd w:val="clear" w:color="auto" w:fill="92D050"/>
          </w:tcPr>
          <w:p w14:paraId="30C8D1DB"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852" w:type="pct"/>
            <w:tcBorders>
              <w:top w:val="single" w:sz="4" w:space="0" w:color="auto"/>
              <w:left w:val="single" w:sz="4" w:space="0" w:color="auto"/>
              <w:bottom w:val="single" w:sz="4" w:space="0" w:color="auto"/>
              <w:right w:val="single" w:sz="4" w:space="0" w:color="auto"/>
            </w:tcBorders>
            <w:shd w:val="clear" w:color="auto" w:fill="FF0000"/>
          </w:tcPr>
          <w:p w14:paraId="232798ED"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1018" w:type="pct"/>
            <w:tcBorders>
              <w:top w:val="single" w:sz="4" w:space="0" w:color="auto"/>
              <w:left w:val="single" w:sz="4" w:space="0" w:color="auto"/>
              <w:bottom w:val="single" w:sz="4" w:space="0" w:color="auto"/>
              <w:right w:val="single" w:sz="24" w:space="0" w:color="auto"/>
            </w:tcBorders>
            <w:shd w:val="clear" w:color="auto" w:fill="FF0000"/>
          </w:tcPr>
          <w:p w14:paraId="412271D2"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1592" w:type="pct"/>
            <w:vMerge/>
            <w:tcBorders>
              <w:left w:val="single" w:sz="24" w:space="0" w:color="auto"/>
              <w:right w:val="single" w:sz="4" w:space="0" w:color="auto"/>
            </w:tcBorders>
            <w:shd w:val="clear" w:color="auto" w:fill="D9D9D9" w:themeFill="background1" w:themeFillShade="D9"/>
          </w:tcPr>
          <w:p w14:paraId="61756831"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r>
      <w:tr w:rsidR="002E1382" w:rsidRPr="00B37A02" w14:paraId="4EA36854" w14:textId="77777777" w:rsidTr="002E1382">
        <w:tc>
          <w:tcPr>
            <w:tcW w:w="807" w:type="pct"/>
            <w:tcBorders>
              <w:top w:val="single" w:sz="4" w:space="0" w:color="auto"/>
              <w:left w:val="single" w:sz="4" w:space="0" w:color="auto"/>
              <w:bottom w:val="single" w:sz="4" w:space="0" w:color="auto"/>
              <w:right w:val="single" w:sz="4" w:space="0" w:color="auto"/>
            </w:tcBorders>
            <w:shd w:val="clear" w:color="auto" w:fill="auto"/>
            <w:hideMark/>
          </w:tcPr>
          <w:p w14:paraId="401EA78E" w14:textId="77777777" w:rsidR="00BC5BDF" w:rsidRPr="00B37A02" w:rsidRDefault="00BC5BDF" w:rsidP="00C97F66">
            <w:pPr>
              <w:widowControl w:val="0"/>
              <w:spacing w:after="0" w:line="240" w:lineRule="auto"/>
              <w:jc w:val="both"/>
              <w:rPr>
                <w:rFonts w:ascii="Times New Roman" w:eastAsia="MS Mincho" w:hAnsi="Times New Roman" w:cs="Times New Roman"/>
                <w:bCs/>
                <w:sz w:val="24"/>
                <w:szCs w:val="18"/>
              </w:rPr>
            </w:pPr>
            <w:r w:rsidRPr="00B37A02">
              <w:rPr>
                <w:rFonts w:ascii="Times New Roman" w:hAnsi="Times New Roman" w:cs="Times New Roman"/>
                <w:sz w:val="24"/>
              </w:rPr>
              <w:t>Beļģija</w:t>
            </w:r>
          </w:p>
        </w:tc>
        <w:tc>
          <w:tcPr>
            <w:tcW w:w="730" w:type="pct"/>
            <w:tcBorders>
              <w:top w:val="single" w:sz="4" w:space="0" w:color="auto"/>
              <w:left w:val="single" w:sz="4" w:space="0" w:color="auto"/>
              <w:bottom w:val="single" w:sz="4" w:space="0" w:color="auto"/>
              <w:right w:val="single" w:sz="4" w:space="0" w:color="auto"/>
            </w:tcBorders>
            <w:shd w:val="clear" w:color="auto" w:fill="92D050"/>
          </w:tcPr>
          <w:p w14:paraId="730EC7ED"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852" w:type="pct"/>
            <w:tcBorders>
              <w:top w:val="single" w:sz="4" w:space="0" w:color="auto"/>
              <w:left w:val="single" w:sz="4" w:space="0" w:color="auto"/>
              <w:bottom w:val="nil"/>
              <w:right w:val="single" w:sz="4" w:space="0" w:color="auto"/>
            </w:tcBorders>
            <w:shd w:val="clear" w:color="auto" w:fill="92D050"/>
          </w:tcPr>
          <w:p w14:paraId="1918CB08"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1018" w:type="pct"/>
            <w:tcBorders>
              <w:top w:val="single" w:sz="4" w:space="0" w:color="auto"/>
              <w:left w:val="single" w:sz="4" w:space="0" w:color="auto"/>
              <w:bottom w:val="single" w:sz="4" w:space="0" w:color="auto"/>
              <w:right w:val="single" w:sz="24" w:space="0" w:color="auto"/>
            </w:tcBorders>
            <w:shd w:val="clear" w:color="auto" w:fill="FFC000" w:themeFill="accent4"/>
          </w:tcPr>
          <w:p w14:paraId="6731B62A"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1592" w:type="pct"/>
            <w:vMerge/>
            <w:tcBorders>
              <w:left w:val="single" w:sz="24" w:space="0" w:color="auto"/>
              <w:right w:val="single" w:sz="4" w:space="0" w:color="auto"/>
            </w:tcBorders>
            <w:shd w:val="clear" w:color="auto" w:fill="D9D9D9" w:themeFill="background1" w:themeFillShade="D9"/>
          </w:tcPr>
          <w:p w14:paraId="7926554D"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r>
      <w:tr w:rsidR="002E1382" w:rsidRPr="00B37A02" w14:paraId="2E958C6B" w14:textId="77777777" w:rsidTr="002E1382">
        <w:tc>
          <w:tcPr>
            <w:tcW w:w="807" w:type="pct"/>
            <w:tcBorders>
              <w:top w:val="single" w:sz="4" w:space="0" w:color="auto"/>
              <w:left w:val="single" w:sz="4" w:space="0" w:color="auto"/>
              <w:bottom w:val="single" w:sz="4" w:space="0" w:color="auto"/>
              <w:right w:val="single" w:sz="4" w:space="0" w:color="auto"/>
            </w:tcBorders>
            <w:shd w:val="clear" w:color="auto" w:fill="auto"/>
            <w:hideMark/>
          </w:tcPr>
          <w:p w14:paraId="6DE63402" w14:textId="77777777" w:rsidR="00BC5BDF" w:rsidRPr="00B37A02" w:rsidRDefault="00BC5BDF" w:rsidP="00C97F66">
            <w:pPr>
              <w:widowControl w:val="0"/>
              <w:spacing w:after="0" w:line="240" w:lineRule="auto"/>
              <w:jc w:val="both"/>
              <w:rPr>
                <w:rFonts w:ascii="Times New Roman" w:eastAsia="MS Mincho" w:hAnsi="Times New Roman" w:cs="Times New Roman"/>
                <w:bCs/>
                <w:sz w:val="24"/>
                <w:szCs w:val="18"/>
              </w:rPr>
            </w:pPr>
            <w:r w:rsidRPr="00B37A02">
              <w:rPr>
                <w:rFonts w:ascii="Times New Roman" w:hAnsi="Times New Roman" w:cs="Times New Roman"/>
                <w:sz w:val="24"/>
              </w:rPr>
              <w:t>Bulgārija</w:t>
            </w:r>
          </w:p>
        </w:tc>
        <w:tc>
          <w:tcPr>
            <w:tcW w:w="730" w:type="pct"/>
            <w:tcBorders>
              <w:top w:val="single" w:sz="4" w:space="0" w:color="auto"/>
              <w:left w:val="single" w:sz="4" w:space="0" w:color="auto"/>
              <w:bottom w:val="single" w:sz="4" w:space="0" w:color="auto"/>
              <w:right w:val="single" w:sz="4" w:space="0" w:color="auto"/>
            </w:tcBorders>
            <w:shd w:val="clear" w:color="auto" w:fill="92D050"/>
          </w:tcPr>
          <w:p w14:paraId="3366143C"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852" w:type="pct"/>
            <w:tcBorders>
              <w:top w:val="nil"/>
              <w:left w:val="single" w:sz="4" w:space="0" w:color="auto"/>
              <w:bottom w:val="single" w:sz="4" w:space="0" w:color="auto"/>
              <w:right w:val="single" w:sz="4" w:space="0" w:color="auto"/>
            </w:tcBorders>
            <w:shd w:val="clear" w:color="auto" w:fill="FF0000"/>
          </w:tcPr>
          <w:p w14:paraId="6E22FDA9"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1018" w:type="pct"/>
            <w:tcBorders>
              <w:top w:val="single" w:sz="4" w:space="0" w:color="auto"/>
              <w:left w:val="single" w:sz="4" w:space="0" w:color="auto"/>
              <w:bottom w:val="single" w:sz="4" w:space="0" w:color="auto"/>
              <w:right w:val="single" w:sz="24" w:space="0" w:color="auto"/>
            </w:tcBorders>
            <w:shd w:val="clear" w:color="auto" w:fill="FF0000"/>
          </w:tcPr>
          <w:p w14:paraId="4F6A419E"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1592" w:type="pct"/>
            <w:vMerge/>
            <w:tcBorders>
              <w:left w:val="single" w:sz="24" w:space="0" w:color="auto"/>
              <w:right w:val="single" w:sz="4" w:space="0" w:color="auto"/>
            </w:tcBorders>
            <w:shd w:val="clear" w:color="auto" w:fill="D9D9D9" w:themeFill="background1" w:themeFillShade="D9"/>
          </w:tcPr>
          <w:p w14:paraId="3A6422BD"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r>
      <w:tr w:rsidR="002E1382" w:rsidRPr="00B37A02" w14:paraId="11A236C4" w14:textId="77777777" w:rsidTr="002E1382">
        <w:tc>
          <w:tcPr>
            <w:tcW w:w="807" w:type="pct"/>
            <w:tcBorders>
              <w:top w:val="single" w:sz="4" w:space="0" w:color="auto"/>
              <w:left w:val="single" w:sz="4" w:space="0" w:color="auto"/>
              <w:bottom w:val="single" w:sz="4" w:space="0" w:color="auto"/>
              <w:right w:val="single" w:sz="4" w:space="0" w:color="auto"/>
            </w:tcBorders>
            <w:shd w:val="clear" w:color="auto" w:fill="auto"/>
            <w:hideMark/>
          </w:tcPr>
          <w:p w14:paraId="3A38C3F5" w14:textId="77777777" w:rsidR="00BC5BDF" w:rsidRPr="00B37A02" w:rsidRDefault="00BC5BDF" w:rsidP="00C97F66">
            <w:pPr>
              <w:widowControl w:val="0"/>
              <w:spacing w:after="0" w:line="240" w:lineRule="auto"/>
              <w:jc w:val="both"/>
              <w:rPr>
                <w:rFonts w:ascii="Times New Roman" w:eastAsia="MS Mincho" w:hAnsi="Times New Roman" w:cs="Times New Roman"/>
                <w:bCs/>
                <w:sz w:val="24"/>
                <w:szCs w:val="18"/>
              </w:rPr>
            </w:pPr>
            <w:r w:rsidRPr="00B37A02">
              <w:rPr>
                <w:rFonts w:ascii="Times New Roman" w:hAnsi="Times New Roman" w:cs="Times New Roman"/>
                <w:sz w:val="24"/>
              </w:rPr>
              <w:t>Horvātija</w:t>
            </w:r>
          </w:p>
        </w:tc>
        <w:tc>
          <w:tcPr>
            <w:tcW w:w="730" w:type="pct"/>
            <w:tcBorders>
              <w:top w:val="single" w:sz="4" w:space="0" w:color="auto"/>
              <w:left w:val="single" w:sz="4" w:space="0" w:color="auto"/>
              <w:bottom w:val="single" w:sz="4" w:space="0" w:color="auto"/>
              <w:right w:val="single" w:sz="4" w:space="0" w:color="auto"/>
            </w:tcBorders>
            <w:shd w:val="clear" w:color="auto" w:fill="92D050"/>
          </w:tcPr>
          <w:p w14:paraId="2EC254BD"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852" w:type="pct"/>
            <w:tcBorders>
              <w:top w:val="single" w:sz="4" w:space="0" w:color="auto"/>
              <w:left w:val="single" w:sz="4" w:space="0" w:color="auto"/>
              <w:bottom w:val="single" w:sz="4" w:space="0" w:color="auto"/>
              <w:right w:val="single" w:sz="4" w:space="0" w:color="auto"/>
            </w:tcBorders>
            <w:shd w:val="clear" w:color="auto" w:fill="92D050"/>
          </w:tcPr>
          <w:p w14:paraId="70399C1E"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1018" w:type="pct"/>
            <w:tcBorders>
              <w:top w:val="single" w:sz="4" w:space="0" w:color="auto"/>
              <w:left w:val="single" w:sz="4" w:space="0" w:color="auto"/>
              <w:bottom w:val="single" w:sz="4" w:space="0" w:color="auto"/>
              <w:right w:val="single" w:sz="24" w:space="0" w:color="auto"/>
            </w:tcBorders>
            <w:shd w:val="clear" w:color="auto" w:fill="auto"/>
            <w:hideMark/>
          </w:tcPr>
          <w:p w14:paraId="6D271359" w14:textId="77777777" w:rsidR="00BC5BDF" w:rsidRPr="00B37A02" w:rsidRDefault="00BC5BDF" w:rsidP="00C97F66">
            <w:pPr>
              <w:widowControl w:val="0"/>
              <w:spacing w:after="0" w:line="240" w:lineRule="auto"/>
              <w:rPr>
                <w:rFonts w:ascii="Times New Roman" w:eastAsia="MS Mincho" w:hAnsi="Times New Roman" w:cs="Times New Roman"/>
                <w:sz w:val="24"/>
                <w:szCs w:val="18"/>
              </w:rPr>
            </w:pPr>
            <w:r w:rsidRPr="00B37A02">
              <w:rPr>
                <w:rFonts w:ascii="Times New Roman" w:hAnsi="Times New Roman" w:cs="Times New Roman"/>
                <w:sz w:val="24"/>
              </w:rPr>
              <w:t>Nav datu</w:t>
            </w:r>
          </w:p>
        </w:tc>
        <w:tc>
          <w:tcPr>
            <w:tcW w:w="1592" w:type="pct"/>
            <w:vMerge/>
            <w:tcBorders>
              <w:left w:val="single" w:sz="24" w:space="0" w:color="auto"/>
              <w:right w:val="single" w:sz="4" w:space="0" w:color="auto"/>
            </w:tcBorders>
            <w:shd w:val="clear" w:color="auto" w:fill="D9D9D9" w:themeFill="background1" w:themeFillShade="D9"/>
          </w:tcPr>
          <w:p w14:paraId="0F1E1F44"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r>
      <w:tr w:rsidR="00C97F66" w:rsidRPr="00B37A02" w14:paraId="28433BD0" w14:textId="77777777" w:rsidTr="002E1382">
        <w:tc>
          <w:tcPr>
            <w:tcW w:w="807" w:type="pct"/>
            <w:tcBorders>
              <w:top w:val="single" w:sz="4" w:space="0" w:color="auto"/>
              <w:left w:val="single" w:sz="4" w:space="0" w:color="auto"/>
              <w:bottom w:val="single" w:sz="4" w:space="0" w:color="auto"/>
              <w:right w:val="single" w:sz="4" w:space="0" w:color="auto"/>
            </w:tcBorders>
            <w:shd w:val="clear" w:color="auto" w:fill="auto"/>
            <w:hideMark/>
          </w:tcPr>
          <w:p w14:paraId="171BC67C" w14:textId="77777777" w:rsidR="00BC5BDF" w:rsidRPr="00B37A02" w:rsidRDefault="00BC5BDF" w:rsidP="00C97F66">
            <w:pPr>
              <w:widowControl w:val="0"/>
              <w:spacing w:after="0" w:line="240" w:lineRule="auto"/>
              <w:jc w:val="both"/>
              <w:rPr>
                <w:rFonts w:ascii="Times New Roman" w:eastAsia="MS Mincho" w:hAnsi="Times New Roman" w:cs="Times New Roman"/>
                <w:bCs/>
                <w:sz w:val="24"/>
                <w:szCs w:val="18"/>
              </w:rPr>
            </w:pPr>
            <w:r w:rsidRPr="00B37A02">
              <w:rPr>
                <w:rFonts w:ascii="Times New Roman" w:hAnsi="Times New Roman" w:cs="Times New Roman"/>
                <w:sz w:val="24"/>
              </w:rPr>
              <w:t>Kipra</w:t>
            </w:r>
          </w:p>
        </w:tc>
        <w:tc>
          <w:tcPr>
            <w:tcW w:w="730" w:type="pct"/>
            <w:tcBorders>
              <w:top w:val="single" w:sz="4" w:space="0" w:color="auto"/>
              <w:left w:val="single" w:sz="4" w:space="0" w:color="auto"/>
              <w:bottom w:val="single" w:sz="4" w:space="0" w:color="auto"/>
              <w:right w:val="single" w:sz="4" w:space="0" w:color="auto"/>
            </w:tcBorders>
            <w:shd w:val="clear" w:color="auto" w:fill="92D050"/>
          </w:tcPr>
          <w:p w14:paraId="1F9A4F40"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852" w:type="pct"/>
            <w:tcBorders>
              <w:top w:val="single" w:sz="4" w:space="0" w:color="auto"/>
              <w:left w:val="single" w:sz="4" w:space="0" w:color="auto"/>
              <w:bottom w:val="single" w:sz="4" w:space="0" w:color="auto"/>
              <w:right w:val="single" w:sz="4" w:space="0" w:color="auto"/>
            </w:tcBorders>
            <w:shd w:val="clear" w:color="auto" w:fill="auto"/>
          </w:tcPr>
          <w:p w14:paraId="7DDF19AC"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1018" w:type="pct"/>
            <w:tcBorders>
              <w:top w:val="single" w:sz="4" w:space="0" w:color="auto"/>
              <w:left w:val="single" w:sz="4" w:space="0" w:color="auto"/>
              <w:bottom w:val="single" w:sz="4" w:space="0" w:color="auto"/>
              <w:right w:val="single" w:sz="24" w:space="0" w:color="auto"/>
            </w:tcBorders>
            <w:shd w:val="clear" w:color="auto" w:fill="auto"/>
            <w:hideMark/>
          </w:tcPr>
          <w:p w14:paraId="72E8CA00" w14:textId="77777777" w:rsidR="00BC5BDF" w:rsidRPr="00B37A02" w:rsidRDefault="00BC5BDF" w:rsidP="00C97F66">
            <w:pPr>
              <w:widowControl w:val="0"/>
              <w:spacing w:after="0" w:line="240" w:lineRule="auto"/>
              <w:rPr>
                <w:rFonts w:ascii="Times New Roman" w:eastAsia="MS Mincho" w:hAnsi="Times New Roman" w:cs="Times New Roman"/>
                <w:sz w:val="24"/>
                <w:szCs w:val="18"/>
              </w:rPr>
            </w:pPr>
            <w:r w:rsidRPr="00B37A02">
              <w:rPr>
                <w:rFonts w:ascii="Times New Roman" w:hAnsi="Times New Roman" w:cs="Times New Roman"/>
                <w:sz w:val="24"/>
              </w:rPr>
              <w:t>Nav datu</w:t>
            </w:r>
          </w:p>
        </w:tc>
        <w:tc>
          <w:tcPr>
            <w:tcW w:w="1592" w:type="pct"/>
            <w:vMerge/>
            <w:tcBorders>
              <w:left w:val="single" w:sz="24" w:space="0" w:color="auto"/>
              <w:right w:val="single" w:sz="4" w:space="0" w:color="auto"/>
            </w:tcBorders>
            <w:shd w:val="clear" w:color="auto" w:fill="D9D9D9" w:themeFill="background1" w:themeFillShade="D9"/>
          </w:tcPr>
          <w:p w14:paraId="679A5F34"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r>
      <w:tr w:rsidR="002E1382" w:rsidRPr="00B37A02" w14:paraId="2C8A02E7" w14:textId="77777777" w:rsidTr="002E1382">
        <w:tc>
          <w:tcPr>
            <w:tcW w:w="807" w:type="pct"/>
            <w:tcBorders>
              <w:top w:val="single" w:sz="4" w:space="0" w:color="auto"/>
              <w:left w:val="single" w:sz="4" w:space="0" w:color="auto"/>
              <w:bottom w:val="single" w:sz="4" w:space="0" w:color="auto"/>
              <w:right w:val="single" w:sz="4" w:space="0" w:color="auto"/>
            </w:tcBorders>
            <w:shd w:val="clear" w:color="auto" w:fill="auto"/>
            <w:hideMark/>
          </w:tcPr>
          <w:p w14:paraId="365A5FF2" w14:textId="77777777" w:rsidR="00BC5BDF" w:rsidRPr="00B37A02" w:rsidRDefault="00BC5BDF" w:rsidP="00C97F66">
            <w:pPr>
              <w:widowControl w:val="0"/>
              <w:spacing w:after="0" w:line="240" w:lineRule="auto"/>
              <w:jc w:val="both"/>
              <w:rPr>
                <w:rFonts w:ascii="Times New Roman" w:eastAsia="MS Mincho" w:hAnsi="Times New Roman" w:cs="Times New Roman"/>
                <w:bCs/>
                <w:sz w:val="24"/>
                <w:szCs w:val="18"/>
              </w:rPr>
            </w:pPr>
            <w:r w:rsidRPr="00B37A02">
              <w:rPr>
                <w:rFonts w:ascii="Times New Roman" w:hAnsi="Times New Roman" w:cs="Times New Roman"/>
                <w:sz w:val="24"/>
              </w:rPr>
              <w:t>Čehija</w:t>
            </w:r>
          </w:p>
        </w:tc>
        <w:tc>
          <w:tcPr>
            <w:tcW w:w="730" w:type="pct"/>
            <w:tcBorders>
              <w:top w:val="single" w:sz="4" w:space="0" w:color="auto"/>
              <w:left w:val="single" w:sz="4" w:space="0" w:color="auto"/>
              <w:bottom w:val="single" w:sz="4" w:space="0" w:color="auto"/>
              <w:right w:val="single" w:sz="4" w:space="0" w:color="auto"/>
            </w:tcBorders>
            <w:shd w:val="clear" w:color="auto" w:fill="92D050"/>
          </w:tcPr>
          <w:p w14:paraId="441FA865"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852" w:type="pct"/>
            <w:tcBorders>
              <w:top w:val="single" w:sz="4" w:space="0" w:color="auto"/>
              <w:left w:val="single" w:sz="4" w:space="0" w:color="auto"/>
              <w:bottom w:val="single" w:sz="4" w:space="0" w:color="auto"/>
              <w:right w:val="single" w:sz="4" w:space="0" w:color="auto"/>
            </w:tcBorders>
            <w:shd w:val="clear" w:color="auto" w:fill="FF0000"/>
          </w:tcPr>
          <w:p w14:paraId="0D8C1099"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1018" w:type="pct"/>
            <w:tcBorders>
              <w:top w:val="single" w:sz="4" w:space="0" w:color="auto"/>
              <w:left w:val="single" w:sz="4" w:space="0" w:color="auto"/>
              <w:bottom w:val="single" w:sz="4" w:space="0" w:color="auto"/>
              <w:right w:val="single" w:sz="24" w:space="0" w:color="auto"/>
            </w:tcBorders>
            <w:shd w:val="clear" w:color="auto" w:fill="FFFFFF" w:themeFill="background1"/>
            <w:hideMark/>
          </w:tcPr>
          <w:p w14:paraId="51657242" w14:textId="77777777" w:rsidR="00BC5BDF" w:rsidRPr="00B37A02" w:rsidRDefault="00BC5BDF" w:rsidP="00C97F66">
            <w:pPr>
              <w:widowControl w:val="0"/>
              <w:spacing w:after="0" w:line="240" w:lineRule="auto"/>
              <w:rPr>
                <w:rFonts w:ascii="Times New Roman" w:eastAsia="MS Mincho" w:hAnsi="Times New Roman" w:cs="Times New Roman"/>
                <w:sz w:val="24"/>
                <w:szCs w:val="18"/>
              </w:rPr>
            </w:pPr>
            <w:r w:rsidRPr="00B37A02">
              <w:rPr>
                <w:rFonts w:ascii="Times New Roman" w:hAnsi="Times New Roman" w:cs="Times New Roman"/>
                <w:sz w:val="24"/>
              </w:rPr>
              <w:t>Nav datu</w:t>
            </w:r>
          </w:p>
        </w:tc>
        <w:tc>
          <w:tcPr>
            <w:tcW w:w="1592" w:type="pct"/>
            <w:vMerge/>
            <w:tcBorders>
              <w:left w:val="single" w:sz="24" w:space="0" w:color="auto"/>
              <w:right w:val="single" w:sz="4" w:space="0" w:color="auto"/>
            </w:tcBorders>
            <w:shd w:val="clear" w:color="auto" w:fill="D9D9D9" w:themeFill="background1" w:themeFillShade="D9"/>
          </w:tcPr>
          <w:p w14:paraId="3BDD1C0D"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r>
      <w:tr w:rsidR="00C97F66" w:rsidRPr="00B37A02" w14:paraId="5B40E39F" w14:textId="77777777" w:rsidTr="002E1382">
        <w:tc>
          <w:tcPr>
            <w:tcW w:w="807" w:type="pct"/>
            <w:tcBorders>
              <w:top w:val="single" w:sz="4" w:space="0" w:color="auto"/>
              <w:left w:val="single" w:sz="4" w:space="0" w:color="auto"/>
              <w:bottom w:val="single" w:sz="4" w:space="0" w:color="auto"/>
              <w:right w:val="single" w:sz="4" w:space="0" w:color="auto"/>
            </w:tcBorders>
            <w:shd w:val="clear" w:color="auto" w:fill="auto"/>
            <w:hideMark/>
          </w:tcPr>
          <w:p w14:paraId="459E2C23" w14:textId="77777777" w:rsidR="00BC5BDF" w:rsidRPr="00B37A02" w:rsidRDefault="00BC5BDF" w:rsidP="00C97F66">
            <w:pPr>
              <w:widowControl w:val="0"/>
              <w:spacing w:after="0" w:line="240" w:lineRule="auto"/>
              <w:jc w:val="both"/>
              <w:rPr>
                <w:rFonts w:ascii="Times New Roman" w:eastAsia="MS Mincho" w:hAnsi="Times New Roman" w:cs="Times New Roman"/>
                <w:bCs/>
                <w:sz w:val="24"/>
                <w:szCs w:val="18"/>
              </w:rPr>
            </w:pPr>
            <w:r w:rsidRPr="00B37A02">
              <w:rPr>
                <w:rFonts w:ascii="Times New Roman" w:hAnsi="Times New Roman" w:cs="Times New Roman"/>
                <w:sz w:val="24"/>
              </w:rPr>
              <w:t>Dānija</w:t>
            </w:r>
          </w:p>
        </w:tc>
        <w:tc>
          <w:tcPr>
            <w:tcW w:w="730" w:type="pct"/>
            <w:tcBorders>
              <w:top w:val="single" w:sz="4" w:space="0" w:color="auto"/>
              <w:left w:val="single" w:sz="4" w:space="0" w:color="auto"/>
              <w:bottom w:val="single" w:sz="4" w:space="0" w:color="auto"/>
              <w:right w:val="single" w:sz="4" w:space="0" w:color="auto"/>
            </w:tcBorders>
            <w:shd w:val="clear" w:color="auto" w:fill="FFC000" w:themeFill="accent4"/>
          </w:tcPr>
          <w:p w14:paraId="60101AD9"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852" w:type="pct"/>
            <w:tcBorders>
              <w:top w:val="single" w:sz="4" w:space="0" w:color="auto"/>
              <w:left w:val="single" w:sz="4" w:space="0" w:color="auto"/>
              <w:bottom w:val="single" w:sz="4" w:space="0" w:color="auto"/>
              <w:right w:val="single" w:sz="4" w:space="0" w:color="auto"/>
            </w:tcBorders>
            <w:shd w:val="clear" w:color="auto" w:fill="auto"/>
          </w:tcPr>
          <w:p w14:paraId="64E2D264"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1018" w:type="pct"/>
            <w:tcBorders>
              <w:top w:val="single" w:sz="4" w:space="0" w:color="auto"/>
              <w:left w:val="single" w:sz="4" w:space="0" w:color="auto"/>
              <w:bottom w:val="single" w:sz="4" w:space="0" w:color="auto"/>
              <w:right w:val="single" w:sz="24" w:space="0" w:color="auto"/>
            </w:tcBorders>
            <w:shd w:val="clear" w:color="auto" w:fill="auto"/>
          </w:tcPr>
          <w:p w14:paraId="6CAE452E"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1592" w:type="pct"/>
            <w:vMerge/>
            <w:tcBorders>
              <w:left w:val="single" w:sz="24" w:space="0" w:color="auto"/>
              <w:right w:val="single" w:sz="4" w:space="0" w:color="auto"/>
            </w:tcBorders>
            <w:shd w:val="clear" w:color="auto" w:fill="D9D9D9" w:themeFill="background1" w:themeFillShade="D9"/>
          </w:tcPr>
          <w:p w14:paraId="74A0E367"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r>
      <w:tr w:rsidR="002E1382" w:rsidRPr="00B37A02" w14:paraId="624DFA80" w14:textId="77777777" w:rsidTr="002E1382">
        <w:tc>
          <w:tcPr>
            <w:tcW w:w="807" w:type="pct"/>
            <w:tcBorders>
              <w:top w:val="single" w:sz="4" w:space="0" w:color="auto"/>
              <w:left w:val="single" w:sz="4" w:space="0" w:color="auto"/>
              <w:bottom w:val="single" w:sz="4" w:space="0" w:color="auto"/>
              <w:right w:val="single" w:sz="4" w:space="0" w:color="auto"/>
            </w:tcBorders>
            <w:shd w:val="clear" w:color="auto" w:fill="auto"/>
            <w:hideMark/>
          </w:tcPr>
          <w:p w14:paraId="636938AE" w14:textId="77777777" w:rsidR="00BC5BDF" w:rsidRPr="00B37A02" w:rsidRDefault="00BC5BDF" w:rsidP="00C97F66">
            <w:pPr>
              <w:widowControl w:val="0"/>
              <w:spacing w:after="0" w:line="240" w:lineRule="auto"/>
              <w:jc w:val="both"/>
              <w:rPr>
                <w:rFonts w:ascii="Times New Roman" w:eastAsia="MS Mincho" w:hAnsi="Times New Roman" w:cs="Times New Roman"/>
                <w:bCs/>
                <w:sz w:val="24"/>
                <w:szCs w:val="18"/>
              </w:rPr>
            </w:pPr>
            <w:r w:rsidRPr="00B37A02">
              <w:rPr>
                <w:rFonts w:ascii="Times New Roman" w:hAnsi="Times New Roman" w:cs="Times New Roman"/>
                <w:sz w:val="24"/>
              </w:rPr>
              <w:t>Igaunija</w:t>
            </w:r>
          </w:p>
        </w:tc>
        <w:tc>
          <w:tcPr>
            <w:tcW w:w="730" w:type="pct"/>
            <w:tcBorders>
              <w:top w:val="single" w:sz="4" w:space="0" w:color="auto"/>
              <w:left w:val="single" w:sz="4" w:space="0" w:color="auto"/>
              <w:bottom w:val="single" w:sz="4" w:space="0" w:color="auto"/>
              <w:right w:val="single" w:sz="4" w:space="0" w:color="auto"/>
            </w:tcBorders>
            <w:shd w:val="clear" w:color="auto" w:fill="FFC000" w:themeFill="accent4"/>
          </w:tcPr>
          <w:p w14:paraId="56B056F5"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852" w:type="pct"/>
            <w:tcBorders>
              <w:top w:val="single" w:sz="4" w:space="0" w:color="auto"/>
              <w:left w:val="single" w:sz="4" w:space="0" w:color="auto"/>
              <w:bottom w:val="single" w:sz="4" w:space="0" w:color="auto"/>
              <w:right w:val="single" w:sz="4" w:space="0" w:color="auto"/>
            </w:tcBorders>
            <w:shd w:val="clear" w:color="auto" w:fill="92D050"/>
          </w:tcPr>
          <w:p w14:paraId="4604D67C"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1018" w:type="pct"/>
            <w:tcBorders>
              <w:top w:val="single" w:sz="4" w:space="0" w:color="auto"/>
              <w:left w:val="single" w:sz="4" w:space="0" w:color="auto"/>
              <w:bottom w:val="single" w:sz="4" w:space="0" w:color="auto"/>
              <w:right w:val="single" w:sz="24" w:space="0" w:color="auto"/>
            </w:tcBorders>
            <w:shd w:val="clear" w:color="auto" w:fill="FFFFFF" w:themeFill="background1"/>
            <w:hideMark/>
          </w:tcPr>
          <w:p w14:paraId="42A538F3" w14:textId="77777777" w:rsidR="00BC5BDF" w:rsidRPr="00B37A02" w:rsidRDefault="00BC5BDF" w:rsidP="00C97F66">
            <w:pPr>
              <w:widowControl w:val="0"/>
              <w:spacing w:after="0" w:line="240" w:lineRule="auto"/>
              <w:rPr>
                <w:rFonts w:ascii="Times New Roman" w:eastAsia="MS Mincho" w:hAnsi="Times New Roman" w:cs="Times New Roman"/>
                <w:sz w:val="24"/>
                <w:szCs w:val="18"/>
              </w:rPr>
            </w:pPr>
            <w:r w:rsidRPr="00B37A02">
              <w:rPr>
                <w:rFonts w:ascii="Times New Roman" w:hAnsi="Times New Roman" w:cs="Times New Roman"/>
                <w:sz w:val="24"/>
              </w:rPr>
              <w:t>Nav datu</w:t>
            </w:r>
          </w:p>
        </w:tc>
        <w:tc>
          <w:tcPr>
            <w:tcW w:w="1592" w:type="pct"/>
            <w:vMerge/>
            <w:tcBorders>
              <w:left w:val="single" w:sz="24" w:space="0" w:color="auto"/>
              <w:right w:val="single" w:sz="4" w:space="0" w:color="auto"/>
            </w:tcBorders>
            <w:shd w:val="clear" w:color="auto" w:fill="D9D9D9" w:themeFill="background1" w:themeFillShade="D9"/>
          </w:tcPr>
          <w:p w14:paraId="57869D50"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r>
      <w:tr w:rsidR="002E1382" w:rsidRPr="00B37A02" w14:paraId="0E697688" w14:textId="77777777" w:rsidTr="002E1382">
        <w:tc>
          <w:tcPr>
            <w:tcW w:w="807" w:type="pct"/>
            <w:tcBorders>
              <w:top w:val="single" w:sz="4" w:space="0" w:color="auto"/>
              <w:left w:val="single" w:sz="4" w:space="0" w:color="auto"/>
              <w:bottom w:val="single" w:sz="4" w:space="0" w:color="auto"/>
              <w:right w:val="single" w:sz="4" w:space="0" w:color="auto"/>
            </w:tcBorders>
            <w:shd w:val="clear" w:color="auto" w:fill="auto"/>
            <w:hideMark/>
          </w:tcPr>
          <w:p w14:paraId="648FE4AD" w14:textId="77777777" w:rsidR="00BC5BDF" w:rsidRPr="00B37A02" w:rsidRDefault="00BC5BDF" w:rsidP="00C97F66">
            <w:pPr>
              <w:widowControl w:val="0"/>
              <w:spacing w:after="0" w:line="240" w:lineRule="auto"/>
              <w:jc w:val="both"/>
              <w:rPr>
                <w:rFonts w:ascii="Times New Roman" w:eastAsia="MS Mincho" w:hAnsi="Times New Roman" w:cs="Times New Roman"/>
                <w:bCs/>
                <w:sz w:val="24"/>
                <w:szCs w:val="18"/>
              </w:rPr>
            </w:pPr>
            <w:r w:rsidRPr="00B37A02">
              <w:rPr>
                <w:rFonts w:ascii="Times New Roman" w:hAnsi="Times New Roman" w:cs="Times New Roman"/>
                <w:sz w:val="24"/>
              </w:rPr>
              <w:t>Somija</w:t>
            </w:r>
          </w:p>
        </w:tc>
        <w:tc>
          <w:tcPr>
            <w:tcW w:w="730" w:type="pct"/>
            <w:tcBorders>
              <w:top w:val="single" w:sz="4" w:space="0" w:color="auto"/>
              <w:left w:val="single" w:sz="4" w:space="0" w:color="auto"/>
              <w:bottom w:val="single" w:sz="4" w:space="0" w:color="auto"/>
              <w:right w:val="single" w:sz="4" w:space="0" w:color="auto"/>
            </w:tcBorders>
            <w:shd w:val="clear" w:color="auto" w:fill="FFC000" w:themeFill="accent4"/>
          </w:tcPr>
          <w:p w14:paraId="7F44BB6D"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852" w:type="pct"/>
            <w:tcBorders>
              <w:top w:val="single" w:sz="4" w:space="0" w:color="auto"/>
              <w:left w:val="single" w:sz="4" w:space="0" w:color="auto"/>
              <w:bottom w:val="single" w:sz="4" w:space="0" w:color="auto"/>
              <w:right w:val="single" w:sz="4" w:space="0" w:color="auto"/>
            </w:tcBorders>
            <w:shd w:val="clear" w:color="auto" w:fill="FF0000"/>
          </w:tcPr>
          <w:p w14:paraId="0AD74B19"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1018" w:type="pct"/>
            <w:tcBorders>
              <w:top w:val="single" w:sz="4" w:space="0" w:color="auto"/>
              <w:left w:val="single" w:sz="4" w:space="0" w:color="auto"/>
              <w:bottom w:val="single" w:sz="4" w:space="0" w:color="auto"/>
              <w:right w:val="single" w:sz="24" w:space="0" w:color="auto"/>
            </w:tcBorders>
            <w:shd w:val="clear" w:color="auto" w:fill="auto"/>
          </w:tcPr>
          <w:p w14:paraId="0068B35C"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1592" w:type="pct"/>
            <w:vMerge/>
            <w:tcBorders>
              <w:left w:val="single" w:sz="24" w:space="0" w:color="auto"/>
              <w:bottom w:val="single" w:sz="4" w:space="0" w:color="auto"/>
              <w:right w:val="single" w:sz="4" w:space="0" w:color="auto"/>
            </w:tcBorders>
            <w:shd w:val="clear" w:color="auto" w:fill="D9D9D9" w:themeFill="background1" w:themeFillShade="D9"/>
          </w:tcPr>
          <w:p w14:paraId="4BB58984" w14:textId="77777777" w:rsidR="00BC5BDF" w:rsidRPr="00B37A02" w:rsidRDefault="00BC5BDF" w:rsidP="00C97F66">
            <w:pPr>
              <w:widowControl w:val="0"/>
              <w:spacing w:after="0" w:line="240" w:lineRule="auto"/>
              <w:rPr>
                <w:rFonts w:ascii="Times New Roman" w:eastAsia="MS Mincho" w:hAnsi="Times New Roman" w:cs="Times New Roman"/>
                <w:bCs/>
                <w:sz w:val="24"/>
                <w:szCs w:val="18"/>
                <w:lang w:eastAsia="da-DK"/>
              </w:rPr>
            </w:pPr>
          </w:p>
        </w:tc>
      </w:tr>
      <w:tr w:rsidR="002E1382" w:rsidRPr="00B37A02" w14:paraId="2A1E20D2" w14:textId="77777777" w:rsidTr="002E1382">
        <w:tc>
          <w:tcPr>
            <w:tcW w:w="807" w:type="pct"/>
            <w:tcBorders>
              <w:top w:val="single" w:sz="4" w:space="0" w:color="auto"/>
              <w:left w:val="single" w:sz="4" w:space="0" w:color="auto"/>
              <w:bottom w:val="single" w:sz="4" w:space="0" w:color="auto"/>
              <w:right w:val="single" w:sz="4" w:space="0" w:color="auto"/>
            </w:tcBorders>
            <w:shd w:val="clear" w:color="auto" w:fill="auto"/>
            <w:hideMark/>
          </w:tcPr>
          <w:p w14:paraId="7EF4FEA4" w14:textId="77777777" w:rsidR="00BC5BDF" w:rsidRPr="00B37A02" w:rsidRDefault="00BC5BDF" w:rsidP="00C97F66">
            <w:pPr>
              <w:widowControl w:val="0"/>
              <w:spacing w:after="0" w:line="240" w:lineRule="auto"/>
              <w:jc w:val="both"/>
              <w:rPr>
                <w:rFonts w:ascii="Times New Roman" w:eastAsia="MS Mincho" w:hAnsi="Times New Roman" w:cs="Times New Roman"/>
                <w:bCs/>
                <w:sz w:val="24"/>
                <w:szCs w:val="18"/>
              </w:rPr>
            </w:pPr>
            <w:r w:rsidRPr="00B37A02">
              <w:rPr>
                <w:rFonts w:ascii="Times New Roman" w:hAnsi="Times New Roman" w:cs="Times New Roman"/>
                <w:sz w:val="24"/>
              </w:rPr>
              <w:t>Francija</w:t>
            </w:r>
          </w:p>
        </w:tc>
        <w:tc>
          <w:tcPr>
            <w:tcW w:w="730" w:type="pct"/>
            <w:tcBorders>
              <w:top w:val="single" w:sz="4" w:space="0" w:color="auto"/>
              <w:left w:val="single" w:sz="4" w:space="0" w:color="auto"/>
              <w:bottom w:val="single" w:sz="4" w:space="0" w:color="auto"/>
              <w:right w:val="single" w:sz="4" w:space="0" w:color="auto"/>
            </w:tcBorders>
            <w:shd w:val="clear" w:color="auto" w:fill="92D050"/>
          </w:tcPr>
          <w:p w14:paraId="17D9E579"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852" w:type="pct"/>
            <w:tcBorders>
              <w:top w:val="single" w:sz="4" w:space="0" w:color="auto"/>
              <w:left w:val="single" w:sz="4" w:space="0" w:color="auto"/>
              <w:bottom w:val="single" w:sz="4" w:space="0" w:color="auto"/>
              <w:right w:val="single" w:sz="4" w:space="0" w:color="auto"/>
            </w:tcBorders>
            <w:shd w:val="clear" w:color="auto" w:fill="92D050"/>
          </w:tcPr>
          <w:p w14:paraId="1D450B3B"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1018" w:type="pct"/>
            <w:tcBorders>
              <w:top w:val="single" w:sz="4" w:space="0" w:color="auto"/>
              <w:left w:val="single" w:sz="4" w:space="0" w:color="auto"/>
              <w:bottom w:val="single" w:sz="4" w:space="0" w:color="auto"/>
              <w:right w:val="single" w:sz="24" w:space="0" w:color="auto"/>
            </w:tcBorders>
            <w:shd w:val="clear" w:color="auto" w:fill="auto"/>
          </w:tcPr>
          <w:p w14:paraId="7CCC99B7"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1592" w:type="pct"/>
            <w:vMerge w:val="restart"/>
            <w:tcBorders>
              <w:top w:val="single" w:sz="4" w:space="0" w:color="auto"/>
              <w:left w:val="single" w:sz="24" w:space="0" w:color="auto"/>
              <w:right w:val="single" w:sz="4" w:space="0" w:color="auto"/>
            </w:tcBorders>
            <w:shd w:val="clear" w:color="auto" w:fill="92D050"/>
          </w:tcPr>
          <w:p w14:paraId="50320607" w14:textId="77777777" w:rsidR="00BC5BDF" w:rsidRPr="00B37A02" w:rsidRDefault="00BC5BDF" w:rsidP="00C97F66">
            <w:pPr>
              <w:widowControl w:val="0"/>
              <w:spacing w:after="0" w:line="240" w:lineRule="auto"/>
              <w:rPr>
                <w:rFonts w:ascii="Times New Roman" w:eastAsia="MS Mincho" w:hAnsi="Times New Roman" w:cs="Times New Roman"/>
                <w:bCs/>
                <w:sz w:val="24"/>
                <w:szCs w:val="18"/>
              </w:rPr>
            </w:pPr>
            <w:r w:rsidRPr="00B37A02">
              <w:rPr>
                <w:rFonts w:ascii="Times New Roman" w:hAnsi="Times New Roman" w:cs="Times New Roman"/>
                <w:sz w:val="24"/>
              </w:rPr>
              <w:t>Tādas pašas tiesības kā pilsoņiem attiecībā uz veselības aprūpes aptveri un izmaksām, ko paredz tā pati veselības aprūpes sistēma</w:t>
            </w:r>
          </w:p>
        </w:tc>
      </w:tr>
      <w:tr w:rsidR="002E1382" w:rsidRPr="00B37A02" w14:paraId="37B13F75" w14:textId="77777777" w:rsidTr="002E1382">
        <w:tc>
          <w:tcPr>
            <w:tcW w:w="807" w:type="pct"/>
            <w:tcBorders>
              <w:top w:val="single" w:sz="4" w:space="0" w:color="auto"/>
              <w:left w:val="single" w:sz="4" w:space="0" w:color="auto"/>
              <w:bottom w:val="single" w:sz="4" w:space="0" w:color="auto"/>
              <w:right w:val="single" w:sz="4" w:space="0" w:color="auto"/>
            </w:tcBorders>
            <w:shd w:val="clear" w:color="auto" w:fill="auto"/>
            <w:hideMark/>
          </w:tcPr>
          <w:p w14:paraId="60DDEFCE" w14:textId="77777777" w:rsidR="00BC5BDF" w:rsidRPr="00B37A02" w:rsidRDefault="00BC5BDF" w:rsidP="00C97F66">
            <w:pPr>
              <w:widowControl w:val="0"/>
              <w:spacing w:after="0" w:line="240" w:lineRule="auto"/>
              <w:jc w:val="both"/>
              <w:rPr>
                <w:rFonts w:ascii="Times New Roman" w:eastAsia="MS Mincho" w:hAnsi="Times New Roman" w:cs="Times New Roman"/>
                <w:bCs/>
                <w:sz w:val="24"/>
                <w:szCs w:val="18"/>
              </w:rPr>
            </w:pPr>
            <w:r w:rsidRPr="00B37A02">
              <w:rPr>
                <w:rFonts w:ascii="Times New Roman" w:hAnsi="Times New Roman" w:cs="Times New Roman"/>
                <w:sz w:val="24"/>
              </w:rPr>
              <w:t>Vācija</w:t>
            </w:r>
          </w:p>
        </w:tc>
        <w:tc>
          <w:tcPr>
            <w:tcW w:w="730" w:type="pct"/>
            <w:tcBorders>
              <w:top w:val="single" w:sz="4" w:space="0" w:color="auto"/>
              <w:left w:val="single" w:sz="4" w:space="0" w:color="auto"/>
              <w:bottom w:val="single" w:sz="4" w:space="0" w:color="auto"/>
              <w:right w:val="single" w:sz="4" w:space="0" w:color="auto"/>
            </w:tcBorders>
            <w:shd w:val="clear" w:color="auto" w:fill="FF0000"/>
          </w:tcPr>
          <w:p w14:paraId="3D4591AB"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852" w:type="pct"/>
            <w:tcBorders>
              <w:top w:val="single" w:sz="4" w:space="0" w:color="auto"/>
              <w:left w:val="single" w:sz="4" w:space="0" w:color="auto"/>
              <w:bottom w:val="single" w:sz="4" w:space="0" w:color="auto"/>
              <w:right w:val="single" w:sz="4" w:space="0" w:color="auto"/>
            </w:tcBorders>
            <w:shd w:val="clear" w:color="auto" w:fill="FF0000"/>
          </w:tcPr>
          <w:p w14:paraId="30F2332D"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1018" w:type="pct"/>
            <w:tcBorders>
              <w:top w:val="single" w:sz="4" w:space="0" w:color="auto"/>
              <w:left w:val="single" w:sz="4" w:space="0" w:color="auto"/>
              <w:bottom w:val="single" w:sz="4" w:space="0" w:color="auto"/>
              <w:right w:val="single" w:sz="24" w:space="0" w:color="auto"/>
            </w:tcBorders>
            <w:shd w:val="clear" w:color="auto" w:fill="auto"/>
          </w:tcPr>
          <w:p w14:paraId="56A207F5"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1592" w:type="pct"/>
            <w:vMerge/>
            <w:tcBorders>
              <w:left w:val="single" w:sz="24" w:space="0" w:color="auto"/>
              <w:right w:val="single" w:sz="4" w:space="0" w:color="auto"/>
            </w:tcBorders>
            <w:shd w:val="clear" w:color="auto" w:fill="92D050"/>
          </w:tcPr>
          <w:p w14:paraId="21182E34"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r>
      <w:tr w:rsidR="002E1382" w:rsidRPr="00B37A02" w14:paraId="5B829C49" w14:textId="77777777" w:rsidTr="002E1382">
        <w:tc>
          <w:tcPr>
            <w:tcW w:w="807" w:type="pct"/>
            <w:tcBorders>
              <w:top w:val="single" w:sz="4" w:space="0" w:color="auto"/>
              <w:left w:val="single" w:sz="4" w:space="0" w:color="auto"/>
              <w:bottom w:val="single" w:sz="4" w:space="0" w:color="auto"/>
              <w:right w:val="single" w:sz="4" w:space="0" w:color="auto"/>
            </w:tcBorders>
            <w:shd w:val="clear" w:color="auto" w:fill="auto"/>
            <w:hideMark/>
          </w:tcPr>
          <w:p w14:paraId="25DC38AF" w14:textId="77777777" w:rsidR="00BC5BDF" w:rsidRPr="00B37A02" w:rsidRDefault="00BC5BDF" w:rsidP="00C97F66">
            <w:pPr>
              <w:widowControl w:val="0"/>
              <w:spacing w:after="0" w:line="240" w:lineRule="auto"/>
              <w:jc w:val="both"/>
              <w:rPr>
                <w:rFonts w:ascii="Times New Roman" w:eastAsia="MS Mincho" w:hAnsi="Times New Roman" w:cs="Times New Roman"/>
                <w:bCs/>
                <w:sz w:val="24"/>
                <w:szCs w:val="18"/>
              </w:rPr>
            </w:pPr>
            <w:r w:rsidRPr="00B37A02">
              <w:rPr>
                <w:rFonts w:ascii="Times New Roman" w:hAnsi="Times New Roman" w:cs="Times New Roman"/>
                <w:sz w:val="24"/>
              </w:rPr>
              <w:t>Grieķija</w:t>
            </w:r>
          </w:p>
        </w:tc>
        <w:tc>
          <w:tcPr>
            <w:tcW w:w="730" w:type="pct"/>
            <w:tcBorders>
              <w:top w:val="single" w:sz="4" w:space="0" w:color="auto"/>
              <w:left w:val="single" w:sz="4" w:space="0" w:color="auto"/>
              <w:bottom w:val="single" w:sz="4" w:space="0" w:color="auto"/>
              <w:right w:val="single" w:sz="4" w:space="0" w:color="auto"/>
            </w:tcBorders>
            <w:shd w:val="clear" w:color="auto" w:fill="92D050"/>
          </w:tcPr>
          <w:p w14:paraId="0C774880"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852" w:type="pct"/>
            <w:tcBorders>
              <w:top w:val="single" w:sz="4" w:space="0" w:color="auto"/>
              <w:left w:val="single" w:sz="4" w:space="0" w:color="auto"/>
              <w:bottom w:val="single" w:sz="4" w:space="0" w:color="auto"/>
              <w:right w:val="single" w:sz="4" w:space="0" w:color="auto"/>
            </w:tcBorders>
            <w:shd w:val="clear" w:color="auto" w:fill="92D050"/>
          </w:tcPr>
          <w:p w14:paraId="57250F72"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1018" w:type="pct"/>
            <w:tcBorders>
              <w:top w:val="single" w:sz="4" w:space="0" w:color="auto"/>
              <w:left w:val="single" w:sz="4" w:space="0" w:color="auto"/>
              <w:bottom w:val="single" w:sz="4" w:space="0" w:color="auto"/>
              <w:right w:val="single" w:sz="24" w:space="0" w:color="auto"/>
            </w:tcBorders>
            <w:shd w:val="clear" w:color="auto" w:fill="auto"/>
          </w:tcPr>
          <w:p w14:paraId="43CE640D"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1592" w:type="pct"/>
            <w:vMerge/>
            <w:tcBorders>
              <w:left w:val="single" w:sz="24" w:space="0" w:color="auto"/>
              <w:right w:val="single" w:sz="4" w:space="0" w:color="auto"/>
            </w:tcBorders>
            <w:shd w:val="clear" w:color="auto" w:fill="92D050"/>
          </w:tcPr>
          <w:p w14:paraId="5FE1262E"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r>
      <w:tr w:rsidR="002E1382" w:rsidRPr="00B37A02" w14:paraId="060BF274" w14:textId="77777777" w:rsidTr="002E1382">
        <w:tc>
          <w:tcPr>
            <w:tcW w:w="807" w:type="pct"/>
            <w:tcBorders>
              <w:top w:val="single" w:sz="4" w:space="0" w:color="auto"/>
              <w:left w:val="single" w:sz="4" w:space="0" w:color="auto"/>
              <w:bottom w:val="single" w:sz="4" w:space="0" w:color="auto"/>
              <w:right w:val="single" w:sz="4" w:space="0" w:color="auto"/>
            </w:tcBorders>
            <w:shd w:val="clear" w:color="auto" w:fill="auto"/>
            <w:hideMark/>
          </w:tcPr>
          <w:p w14:paraId="3CB273BD" w14:textId="77777777" w:rsidR="00BC5BDF" w:rsidRPr="00B37A02" w:rsidRDefault="00BC5BDF" w:rsidP="00C97F66">
            <w:pPr>
              <w:widowControl w:val="0"/>
              <w:spacing w:after="0" w:line="240" w:lineRule="auto"/>
              <w:jc w:val="both"/>
              <w:rPr>
                <w:rFonts w:ascii="Times New Roman" w:eastAsia="MS Mincho" w:hAnsi="Times New Roman" w:cs="Times New Roman"/>
                <w:bCs/>
                <w:sz w:val="24"/>
                <w:szCs w:val="18"/>
              </w:rPr>
            </w:pPr>
            <w:r w:rsidRPr="00B37A02">
              <w:rPr>
                <w:rFonts w:ascii="Times New Roman" w:hAnsi="Times New Roman" w:cs="Times New Roman"/>
                <w:sz w:val="24"/>
              </w:rPr>
              <w:t>Ungārija</w:t>
            </w:r>
          </w:p>
        </w:tc>
        <w:tc>
          <w:tcPr>
            <w:tcW w:w="730" w:type="pct"/>
            <w:tcBorders>
              <w:top w:val="single" w:sz="4" w:space="0" w:color="auto"/>
              <w:left w:val="single" w:sz="4" w:space="0" w:color="auto"/>
              <w:bottom w:val="single" w:sz="4" w:space="0" w:color="auto"/>
              <w:right w:val="single" w:sz="4" w:space="0" w:color="auto"/>
            </w:tcBorders>
            <w:shd w:val="clear" w:color="auto" w:fill="92D050"/>
          </w:tcPr>
          <w:p w14:paraId="250EDD9F"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852" w:type="pct"/>
            <w:tcBorders>
              <w:top w:val="single" w:sz="4" w:space="0" w:color="auto"/>
              <w:left w:val="single" w:sz="4" w:space="0" w:color="auto"/>
              <w:bottom w:val="single" w:sz="4" w:space="0" w:color="auto"/>
              <w:right w:val="single" w:sz="4" w:space="0" w:color="auto"/>
            </w:tcBorders>
            <w:shd w:val="clear" w:color="auto" w:fill="FF0000"/>
          </w:tcPr>
          <w:p w14:paraId="4658ECEF"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1018" w:type="pct"/>
            <w:tcBorders>
              <w:top w:val="single" w:sz="4" w:space="0" w:color="auto"/>
              <w:left w:val="single" w:sz="4" w:space="0" w:color="auto"/>
              <w:bottom w:val="single" w:sz="4" w:space="0" w:color="auto"/>
              <w:right w:val="single" w:sz="24" w:space="0" w:color="auto"/>
            </w:tcBorders>
            <w:shd w:val="clear" w:color="auto" w:fill="FF0000"/>
          </w:tcPr>
          <w:p w14:paraId="5C86744C"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1592" w:type="pct"/>
            <w:vMerge/>
            <w:tcBorders>
              <w:left w:val="single" w:sz="24" w:space="0" w:color="auto"/>
              <w:right w:val="single" w:sz="4" w:space="0" w:color="auto"/>
            </w:tcBorders>
            <w:shd w:val="clear" w:color="auto" w:fill="92D050"/>
          </w:tcPr>
          <w:p w14:paraId="2D2881E5"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r>
      <w:tr w:rsidR="00C97F66" w:rsidRPr="00B37A02" w14:paraId="1E56248C" w14:textId="77777777" w:rsidTr="002E1382">
        <w:tc>
          <w:tcPr>
            <w:tcW w:w="807" w:type="pct"/>
            <w:tcBorders>
              <w:top w:val="single" w:sz="4" w:space="0" w:color="auto"/>
              <w:left w:val="single" w:sz="4" w:space="0" w:color="auto"/>
              <w:bottom w:val="single" w:sz="4" w:space="0" w:color="auto"/>
              <w:right w:val="single" w:sz="4" w:space="0" w:color="auto"/>
            </w:tcBorders>
            <w:shd w:val="clear" w:color="auto" w:fill="auto"/>
            <w:hideMark/>
          </w:tcPr>
          <w:p w14:paraId="136111D4" w14:textId="77777777" w:rsidR="00BC5BDF" w:rsidRPr="00B37A02" w:rsidRDefault="00BC5BDF" w:rsidP="00C97F66">
            <w:pPr>
              <w:widowControl w:val="0"/>
              <w:spacing w:after="0" w:line="240" w:lineRule="auto"/>
              <w:jc w:val="both"/>
              <w:rPr>
                <w:rFonts w:ascii="Times New Roman" w:eastAsia="MS Mincho" w:hAnsi="Times New Roman" w:cs="Times New Roman"/>
                <w:bCs/>
                <w:sz w:val="24"/>
                <w:szCs w:val="18"/>
              </w:rPr>
            </w:pPr>
            <w:r w:rsidRPr="00B37A02">
              <w:rPr>
                <w:rFonts w:ascii="Times New Roman" w:hAnsi="Times New Roman" w:cs="Times New Roman"/>
                <w:sz w:val="24"/>
              </w:rPr>
              <w:t>Islande</w:t>
            </w:r>
          </w:p>
        </w:tc>
        <w:tc>
          <w:tcPr>
            <w:tcW w:w="730" w:type="pct"/>
            <w:tcBorders>
              <w:top w:val="single" w:sz="4" w:space="0" w:color="auto"/>
              <w:left w:val="single" w:sz="4" w:space="0" w:color="auto"/>
              <w:bottom w:val="single" w:sz="4" w:space="0" w:color="auto"/>
              <w:right w:val="single" w:sz="4" w:space="0" w:color="auto"/>
            </w:tcBorders>
            <w:shd w:val="clear" w:color="auto" w:fill="92D050"/>
          </w:tcPr>
          <w:p w14:paraId="0DF5A2A6"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852" w:type="pct"/>
            <w:tcBorders>
              <w:top w:val="single" w:sz="4" w:space="0" w:color="auto"/>
              <w:left w:val="single" w:sz="4" w:space="0" w:color="auto"/>
              <w:bottom w:val="single" w:sz="4" w:space="0" w:color="auto"/>
              <w:right w:val="single" w:sz="4" w:space="0" w:color="auto"/>
            </w:tcBorders>
            <w:shd w:val="clear" w:color="auto" w:fill="auto"/>
          </w:tcPr>
          <w:p w14:paraId="236D695D"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1018" w:type="pct"/>
            <w:tcBorders>
              <w:top w:val="single" w:sz="4" w:space="0" w:color="auto"/>
              <w:left w:val="single" w:sz="4" w:space="0" w:color="auto"/>
              <w:bottom w:val="single" w:sz="4" w:space="0" w:color="auto"/>
              <w:right w:val="single" w:sz="24" w:space="0" w:color="auto"/>
            </w:tcBorders>
            <w:shd w:val="clear" w:color="auto" w:fill="auto"/>
          </w:tcPr>
          <w:p w14:paraId="376FCAF6"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1592" w:type="pct"/>
            <w:vMerge/>
            <w:tcBorders>
              <w:left w:val="single" w:sz="24" w:space="0" w:color="auto"/>
              <w:bottom w:val="single" w:sz="4" w:space="0" w:color="auto"/>
              <w:right w:val="single" w:sz="4" w:space="0" w:color="auto"/>
            </w:tcBorders>
            <w:shd w:val="clear" w:color="auto" w:fill="92D050"/>
          </w:tcPr>
          <w:p w14:paraId="56C9FF5B"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r>
      <w:tr w:rsidR="002E1382" w:rsidRPr="00B37A02" w14:paraId="45AB8F48" w14:textId="77777777" w:rsidTr="002E1382">
        <w:tc>
          <w:tcPr>
            <w:tcW w:w="807" w:type="pct"/>
            <w:tcBorders>
              <w:top w:val="single" w:sz="4" w:space="0" w:color="auto"/>
              <w:left w:val="single" w:sz="4" w:space="0" w:color="auto"/>
              <w:bottom w:val="single" w:sz="4" w:space="0" w:color="auto"/>
              <w:right w:val="single" w:sz="4" w:space="0" w:color="auto"/>
            </w:tcBorders>
            <w:shd w:val="clear" w:color="auto" w:fill="auto"/>
            <w:hideMark/>
          </w:tcPr>
          <w:p w14:paraId="69C4C435" w14:textId="77777777" w:rsidR="00BC5BDF" w:rsidRPr="00B37A02" w:rsidRDefault="00BC5BDF" w:rsidP="00C97F66">
            <w:pPr>
              <w:widowControl w:val="0"/>
              <w:spacing w:after="0" w:line="240" w:lineRule="auto"/>
              <w:jc w:val="both"/>
              <w:rPr>
                <w:rFonts w:ascii="Times New Roman" w:eastAsia="MS Mincho" w:hAnsi="Times New Roman" w:cs="Times New Roman"/>
                <w:bCs/>
                <w:sz w:val="24"/>
                <w:szCs w:val="18"/>
              </w:rPr>
            </w:pPr>
            <w:r w:rsidRPr="00B37A02">
              <w:rPr>
                <w:rFonts w:ascii="Times New Roman" w:hAnsi="Times New Roman" w:cs="Times New Roman"/>
                <w:sz w:val="24"/>
              </w:rPr>
              <w:t>Īrija</w:t>
            </w:r>
          </w:p>
        </w:tc>
        <w:tc>
          <w:tcPr>
            <w:tcW w:w="730" w:type="pct"/>
            <w:tcBorders>
              <w:top w:val="single" w:sz="4" w:space="0" w:color="auto"/>
              <w:left w:val="single" w:sz="4" w:space="0" w:color="auto"/>
              <w:bottom w:val="single" w:sz="4" w:space="0" w:color="auto"/>
              <w:right w:val="single" w:sz="4" w:space="0" w:color="auto"/>
            </w:tcBorders>
            <w:shd w:val="clear" w:color="auto" w:fill="92D050"/>
          </w:tcPr>
          <w:p w14:paraId="3CA80BAE"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852" w:type="pct"/>
            <w:tcBorders>
              <w:top w:val="single" w:sz="4" w:space="0" w:color="auto"/>
              <w:left w:val="single" w:sz="4" w:space="0" w:color="auto"/>
              <w:bottom w:val="single" w:sz="4" w:space="0" w:color="auto"/>
              <w:right w:val="single" w:sz="4" w:space="0" w:color="auto"/>
            </w:tcBorders>
            <w:shd w:val="clear" w:color="auto" w:fill="FF0000"/>
          </w:tcPr>
          <w:p w14:paraId="15D4F7AB"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1018" w:type="pct"/>
            <w:tcBorders>
              <w:top w:val="single" w:sz="4" w:space="0" w:color="auto"/>
              <w:left w:val="single" w:sz="4" w:space="0" w:color="auto"/>
              <w:bottom w:val="single" w:sz="4" w:space="0" w:color="auto"/>
              <w:right w:val="single" w:sz="24" w:space="0" w:color="auto"/>
            </w:tcBorders>
            <w:shd w:val="clear" w:color="auto" w:fill="auto"/>
          </w:tcPr>
          <w:p w14:paraId="262E0C5A"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1592" w:type="pct"/>
            <w:vMerge w:val="restart"/>
            <w:tcBorders>
              <w:top w:val="single" w:sz="4" w:space="0" w:color="auto"/>
              <w:left w:val="single" w:sz="24" w:space="0" w:color="auto"/>
              <w:right w:val="single" w:sz="4" w:space="0" w:color="auto"/>
            </w:tcBorders>
            <w:shd w:val="clear" w:color="auto" w:fill="FFC000" w:themeFill="accent4"/>
          </w:tcPr>
          <w:p w14:paraId="4F9C9922" w14:textId="77777777" w:rsidR="00BC5BDF" w:rsidRPr="00B37A02" w:rsidRDefault="00BC5BDF" w:rsidP="00C97F66">
            <w:pPr>
              <w:widowControl w:val="0"/>
              <w:spacing w:after="0" w:line="240" w:lineRule="auto"/>
              <w:rPr>
                <w:rFonts w:ascii="Times New Roman" w:eastAsia="MS Mincho" w:hAnsi="Times New Roman" w:cs="Times New Roman"/>
                <w:bCs/>
                <w:sz w:val="24"/>
                <w:szCs w:val="18"/>
              </w:rPr>
            </w:pPr>
            <w:r w:rsidRPr="00B37A02">
              <w:rPr>
                <w:rFonts w:ascii="Times New Roman" w:hAnsi="Times New Roman" w:cs="Times New Roman"/>
                <w:sz w:val="24"/>
              </w:rPr>
              <w:t>Tādas pašas tiesības kā pilsoņiem attiecībā uz veselības aprūpes aptveri un izmaksām, ko paredz cita veselības aprūpes sistēma</w:t>
            </w:r>
          </w:p>
        </w:tc>
      </w:tr>
      <w:tr w:rsidR="002E1382" w:rsidRPr="00B37A02" w14:paraId="0CA11CB7" w14:textId="77777777" w:rsidTr="002E1382">
        <w:tc>
          <w:tcPr>
            <w:tcW w:w="807" w:type="pct"/>
            <w:tcBorders>
              <w:top w:val="single" w:sz="4" w:space="0" w:color="auto"/>
              <w:left w:val="single" w:sz="4" w:space="0" w:color="auto"/>
              <w:bottom w:val="single" w:sz="4" w:space="0" w:color="auto"/>
              <w:right w:val="single" w:sz="4" w:space="0" w:color="auto"/>
            </w:tcBorders>
            <w:shd w:val="clear" w:color="auto" w:fill="auto"/>
            <w:hideMark/>
          </w:tcPr>
          <w:p w14:paraId="61A4A681" w14:textId="77777777" w:rsidR="00BC5BDF" w:rsidRPr="00B37A02" w:rsidRDefault="00BC5BDF" w:rsidP="00C97F66">
            <w:pPr>
              <w:widowControl w:val="0"/>
              <w:spacing w:after="0" w:line="240" w:lineRule="auto"/>
              <w:jc w:val="both"/>
              <w:rPr>
                <w:rFonts w:ascii="Times New Roman" w:eastAsia="MS Mincho" w:hAnsi="Times New Roman" w:cs="Times New Roman"/>
                <w:bCs/>
                <w:sz w:val="24"/>
                <w:szCs w:val="18"/>
              </w:rPr>
            </w:pPr>
            <w:r w:rsidRPr="00B37A02">
              <w:rPr>
                <w:rFonts w:ascii="Times New Roman" w:hAnsi="Times New Roman" w:cs="Times New Roman"/>
                <w:sz w:val="24"/>
              </w:rPr>
              <w:t>Itālija</w:t>
            </w:r>
          </w:p>
        </w:tc>
        <w:tc>
          <w:tcPr>
            <w:tcW w:w="730" w:type="pct"/>
            <w:tcBorders>
              <w:top w:val="single" w:sz="4" w:space="0" w:color="auto"/>
              <w:left w:val="single" w:sz="4" w:space="0" w:color="auto"/>
              <w:bottom w:val="single" w:sz="4" w:space="0" w:color="auto"/>
              <w:right w:val="single" w:sz="4" w:space="0" w:color="auto"/>
            </w:tcBorders>
            <w:shd w:val="clear" w:color="auto" w:fill="92D050"/>
          </w:tcPr>
          <w:p w14:paraId="04948B8B"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852" w:type="pct"/>
            <w:tcBorders>
              <w:top w:val="single" w:sz="4" w:space="0" w:color="auto"/>
              <w:left w:val="single" w:sz="4" w:space="0" w:color="auto"/>
              <w:bottom w:val="single" w:sz="4" w:space="0" w:color="auto"/>
              <w:right w:val="single" w:sz="4" w:space="0" w:color="auto"/>
            </w:tcBorders>
            <w:shd w:val="clear" w:color="auto" w:fill="92D050"/>
          </w:tcPr>
          <w:p w14:paraId="51B9FD75"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1018" w:type="pct"/>
            <w:tcBorders>
              <w:top w:val="single" w:sz="4" w:space="0" w:color="auto"/>
              <w:left w:val="single" w:sz="4" w:space="0" w:color="auto"/>
              <w:bottom w:val="single" w:sz="4" w:space="0" w:color="auto"/>
              <w:right w:val="single" w:sz="24" w:space="0" w:color="auto"/>
            </w:tcBorders>
            <w:shd w:val="clear" w:color="auto" w:fill="FF0000"/>
          </w:tcPr>
          <w:p w14:paraId="673D408D"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1592" w:type="pct"/>
            <w:vMerge/>
            <w:tcBorders>
              <w:left w:val="single" w:sz="24" w:space="0" w:color="auto"/>
              <w:right w:val="single" w:sz="4" w:space="0" w:color="auto"/>
            </w:tcBorders>
            <w:shd w:val="clear" w:color="auto" w:fill="FFC000"/>
          </w:tcPr>
          <w:p w14:paraId="33E25344" w14:textId="77777777" w:rsidR="00BC5BDF" w:rsidRPr="00B37A02" w:rsidRDefault="00BC5BDF" w:rsidP="00C97F66">
            <w:pPr>
              <w:widowControl w:val="0"/>
              <w:spacing w:after="0" w:line="240" w:lineRule="auto"/>
              <w:rPr>
                <w:rFonts w:ascii="Times New Roman" w:eastAsia="MS Mincho" w:hAnsi="Times New Roman" w:cs="Times New Roman"/>
                <w:bCs/>
                <w:sz w:val="24"/>
                <w:szCs w:val="18"/>
                <w:lang w:eastAsia="da-DK"/>
              </w:rPr>
            </w:pPr>
          </w:p>
        </w:tc>
      </w:tr>
      <w:tr w:rsidR="002E1382" w:rsidRPr="00B37A02" w14:paraId="388023E2" w14:textId="77777777" w:rsidTr="002E1382">
        <w:tc>
          <w:tcPr>
            <w:tcW w:w="807" w:type="pct"/>
            <w:tcBorders>
              <w:top w:val="single" w:sz="4" w:space="0" w:color="auto"/>
              <w:left w:val="single" w:sz="4" w:space="0" w:color="auto"/>
              <w:bottom w:val="single" w:sz="4" w:space="0" w:color="auto"/>
              <w:right w:val="single" w:sz="4" w:space="0" w:color="auto"/>
            </w:tcBorders>
            <w:shd w:val="clear" w:color="auto" w:fill="auto"/>
            <w:hideMark/>
          </w:tcPr>
          <w:p w14:paraId="1BD75720" w14:textId="77777777" w:rsidR="00BC5BDF" w:rsidRPr="00B37A02" w:rsidRDefault="00BC5BDF" w:rsidP="00C97F66">
            <w:pPr>
              <w:widowControl w:val="0"/>
              <w:spacing w:after="0" w:line="240" w:lineRule="auto"/>
              <w:jc w:val="both"/>
              <w:rPr>
                <w:rFonts w:ascii="Times New Roman" w:eastAsia="MS Mincho" w:hAnsi="Times New Roman" w:cs="Times New Roman"/>
                <w:bCs/>
                <w:sz w:val="24"/>
                <w:szCs w:val="18"/>
              </w:rPr>
            </w:pPr>
            <w:r w:rsidRPr="00B37A02">
              <w:rPr>
                <w:rFonts w:ascii="Times New Roman" w:hAnsi="Times New Roman" w:cs="Times New Roman"/>
                <w:sz w:val="24"/>
              </w:rPr>
              <w:t>Latvija</w:t>
            </w:r>
          </w:p>
        </w:tc>
        <w:tc>
          <w:tcPr>
            <w:tcW w:w="730" w:type="pct"/>
            <w:tcBorders>
              <w:top w:val="single" w:sz="4" w:space="0" w:color="auto"/>
              <w:left w:val="single" w:sz="4" w:space="0" w:color="auto"/>
              <w:bottom w:val="single" w:sz="4" w:space="0" w:color="auto"/>
              <w:right w:val="single" w:sz="4" w:space="0" w:color="auto"/>
            </w:tcBorders>
            <w:shd w:val="clear" w:color="auto" w:fill="92D050"/>
          </w:tcPr>
          <w:p w14:paraId="2F361468"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852" w:type="pct"/>
            <w:tcBorders>
              <w:top w:val="single" w:sz="4" w:space="0" w:color="auto"/>
              <w:left w:val="single" w:sz="4" w:space="0" w:color="auto"/>
              <w:bottom w:val="single" w:sz="4" w:space="0" w:color="auto"/>
              <w:right w:val="single" w:sz="4" w:space="0" w:color="auto"/>
            </w:tcBorders>
            <w:shd w:val="clear" w:color="auto" w:fill="FF0000"/>
          </w:tcPr>
          <w:p w14:paraId="48B9B2F2"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1018" w:type="pct"/>
            <w:tcBorders>
              <w:top w:val="single" w:sz="4" w:space="0" w:color="auto"/>
              <w:left w:val="single" w:sz="4" w:space="0" w:color="auto"/>
              <w:bottom w:val="single" w:sz="4" w:space="0" w:color="auto"/>
              <w:right w:val="single" w:sz="24" w:space="0" w:color="auto"/>
            </w:tcBorders>
            <w:shd w:val="clear" w:color="auto" w:fill="FFFFFF" w:themeFill="background1"/>
            <w:hideMark/>
          </w:tcPr>
          <w:p w14:paraId="1712CD9A" w14:textId="77777777" w:rsidR="00BC5BDF" w:rsidRPr="00B37A02" w:rsidRDefault="00BC5BDF" w:rsidP="00C97F66">
            <w:pPr>
              <w:widowControl w:val="0"/>
              <w:spacing w:after="0" w:line="240" w:lineRule="auto"/>
              <w:rPr>
                <w:rFonts w:ascii="Times New Roman" w:eastAsia="MS Mincho" w:hAnsi="Times New Roman" w:cs="Times New Roman"/>
                <w:sz w:val="24"/>
                <w:szCs w:val="18"/>
              </w:rPr>
            </w:pPr>
            <w:r w:rsidRPr="00B37A02">
              <w:rPr>
                <w:rFonts w:ascii="Times New Roman" w:hAnsi="Times New Roman" w:cs="Times New Roman"/>
                <w:sz w:val="24"/>
              </w:rPr>
              <w:t>Nav datu</w:t>
            </w:r>
          </w:p>
        </w:tc>
        <w:tc>
          <w:tcPr>
            <w:tcW w:w="1592" w:type="pct"/>
            <w:vMerge/>
            <w:tcBorders>
              <w:left w:val="single" w:sz="24" w:space="0" w:color="auto"/>
              <w:right w:val="single" w:sz="4" w:space="0" w:color="auto"/>
            </w:tcBorders>
            <w:shd w:val="clear" w:color="auto" w:fill="FFC000"/>
          </w:tcPr>
          <w:p w14:paraId="47663EB3"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r>
      <w:tr w:rsidR="002E1382" w:rsidRPr="00B37A02" w14:paraId="06CC410A" w14:textId="77777777" w:rsidTr="002E1382">
        <w:tc>
          <w:tcPr>
            <w:tcW w:w="807" w:type="pct"/>
            <w:tcBorders>
              <w:top w:val="single" w:sz="4" w:space="0" w:color="auto"/>
              <w:left w:val="single" w:sz="4" w:space="0" w:color="auto"/>
              <w:bottom w:val="single" w:sz="4" w:space="0" w:color="auto"/>
              <w:right w:val="single" w:sz="4" w:space="0" w:color="auto"/>
            </w:tcBorders>
            <w:shd w:val="clear" w:color="auto" w:fill="auto"/>
            <w:hideMark/>
          </w:tcPr>
          <w:p w14:paraId="26ED5A30" w14:textId="77777777" w:rsidR="00BC5BDF" w:rsidRPr="00B37A02" w:rsidRDefault="00BC5BDF" w:rsidP="00C97F66">
            <w:pPr>
              <w:widowControl w:val="0"/>
              <w:spacing w:after="0" w:line="240" w:lineRule="auto"/>
              <w:jc w:val="both"/>
              <w:rPr>
                <w:rFonts w:ascii="Times New Roman" w:eastAsia="MS Mincho" w:hAnsi="Times New Roman" w:cs="Times New Roman"/>
                <w:bCs/>
                <w:sz w:val="24"/>
                <w:szCs w:val="18"/>
              </w:rPr>
            </w:pPr>
            <w:r w:rsidRPr="00B37A02">
              <w:rPr>
                <w:rFonts w:ascii="Times New Roman" w:hAnsi="Times New Roman" w:cs="Times New Roman"/>
                <w:sz w:val="24"/>
              </w:rPr>
              <w:t>Lietuva</w:t>
            </w:r>
          </w:p>
        </w:tc>
        <w:tc>
          <w:tcPr>
            <w:tcW w:w="730" w:type="pct"/>
            <w:tcBorders>
              <w:top w:val="single" w:sz="4" w:space="0" w:color="auto"/>
              <w:left w:val="single" w:sz="4" w:space="0" w:color="auto"/>
              <w:bottom w:val="single" w:sz="4" w:space="0" w:color="auto"/>
              <w:right w:val="single" w:sz="4" w:space="0" w:color="auto"/>
            </w:tcBorders>
            <w:shd w:val="clear" w:color="auto" w:fill="FFC000" w:themeFill="accent4"/>
          </w:tcPr>
          <w:p w14:paraId="7AA9A90B"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852" w:type="pct"/>
            <w:tcBorders>
              <w:top w:val="single" w:sz="4" w:space="0" w:color="auto"/>
              <w:left w:val="single" w:sz="4" w:space="0" w:color="auto"/>
              <w:bottom w:val="single" w:sz="4" w:space="0" w:color="auto"/>
              <w:right w:val="single" w:sz="4" w:space="0" w:color="auto"/>
            </w:tcBorders>
            <w:shd w:val="clear" w:color="auto" w:fill="FF0000"/>
          </w:tcPr>
          <w:p w14:paraId="59C70162"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1018" w:type="pct"/>
            <w:tcBorders>
              <w:top w:val="single" w:sz="4" w:space="0" w:color="auto"/>
              <w:left w:val="single" w:sz="4" w:space="0" w:color="auto"/>
              <w:bottom w:val="single" w:sz="4" w:space="0" w:color="auto"/>
              <w:right w:val="single" w:sz="24" w:space="0" w:color="auto"/>
            </w:tcBorders>
            <w:shd w:val="clear" w:color="auto" w:fill="FF0000"/>
          </w:tcPr>
          <w:p w14:paraId="428CE624"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1592" w:type="pct"/>
            <w:vMerge/>
            <w:tcBorders>
              <w:left w:val="single" w:sz="24" w:space="0" w:color="auto"/>
              <w:right w:val="single" w:sz="4" w:space="0" w:color="auto"/>
            </w:tcBorders>
            <w:shd w:val="clear" w:color="auto" w:fill="FFC000"/>
          </w:tcPr>
          <w:p w14:paraId="3265CF3E"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r>
      <w:tr w:rsidR="002E1382" w:rsidRPr="00B37A02" w14:paraId="15EC724D" w14:textId="77777777" w:rsidTr="002E1382">
        <w:tc>
          <w:tcPr>
            <w:tcW w:w="807" w:type="pct"/>
            <w:tcBorders>
              <w:top w:val="single" w:sz="4" w:space="0" w:color="auto"/>
              <w:left w:val="single" w:sz="4" w:space="0" w:color="auto"/>
              <w:bottom w:val="single" w:sz="4" w:space="0" w:color="auto"/>
              <w:right w:val="single" w:sz="4" w:space="0" w:color="auto"/>
            </w:tcBorders>
            <w:shd w:val="clear" w:color="auto" w:fill="auto"/>
            <w:hideMark/>
          </w:tcPr>
          <w:p w14:paraId="64E7C2FF" w14:textId="77777777" w:rsidR="00BC5BDF" w:rsidRPr="00B37A02" w:rsidRDefault="00BC5BDF" w:rsidP="00C97F66">
            <w:pPr>
              <w:widowControl w:val="0"/>
              <w:spacing w:after="0" w:line="240" w:lineRule="auto"/>
              <w:jc w:val="both"/>
              <w:rPr>
                <w:rFonts w:ascii="Times New Roman" w:eastAsia="MS Mincho" w:hAnsi="Times New Roman" w:cs="Times New Roman"/>
                <w:bCs/>
                <w:sz w:val="24"/>
                <w:szCs w:val="18"/>
              </w:rPr>
            </w:pPr>
            <w:r w:rsidRPr="00B37A02">
              <w:rPr>
                <w:rFonts w:ascii="Times New Roman" w:hAnsi="Times New Roman" w:cs="Times New Roman"/>
                <w:sz w:val="24"/>
              </w:rPr>
              <w:t>Luksemburga</w:t>
            </w:r>
          </w:p>
        </w:tc>
        <w:tc>
          <w:tcPr>
            <w:tcW w:w="730" w:type="pct"/>
            <w:tcBorders>
              <w:top w:val="single" w:sz="4" w:space="0" w:color="auto"/>
              <w:left w:val="single" w:sz="4" w:space="0" w:color="auto"/>
              <w:bottom w:val="single" w:sz="4" w:space="0" w:color="auto"/>
              <w:right w:val="single" w:sz="4" w:space="0" w:color="auto"/>
            </w:tcBorders>
            <w:shd w:val="clear" w:color="auto" w:fill="92D050"/>
          </w:tcPr>
          <w:p w14:paraId="2A308A7A"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852" w:type="pct"/>
            <w:tcBorders>
              <w:top w:val="single" w:sz="4" w:space="0" w:color="auto"/>
              <w:left w:val="single" w:sz="4" w:space="0" w:color="auto"/>
              <w:bottom w:val="single" w:sz="4" w:space="0" w:color="auto"/>
              <w:right w:val="single" w:sz="4" w:space="0" w:color="auto"/>
            </w:tcBorders>
            <w:shd w:val="clear" w:color="auto" w:fill="FF0000"/>
          </w:tcPr>
          <w:p w14:paraId="233D3BFF" w14:textId="77777777" w:rsidR="00BC5BDF" w:rsidRPr="00B37A02" w:rsidRDefault="00BC5BDF" w:rsidP="00C97F66">
            <w:pPr>
              <w:widowControl w:val="0"/>
              <w:spacing w:after="0" w:line="240" w:lineRule="auto"/>
              <w:rPr>
                <w:rFonts w:ascii="Times New Roman" w:eastAsia="MS Mincho" w:hAnsi="Times New Roman" w:cs="Times New Roman"/>
                <w:sz w:val="24"/>
                <w:lang w:eastAsia="da-DK"/>
              </w:rPr>
            </w:pPr>
          </w:p>
        </w:tc>
        <w:tc>
          <w:tcPr>
            <w:tcW w:w="1018" w:type="pct"/>
            <w:tcBorders>
              <w:top w:val="single" w:sz="4" w:space="0" w:color="auto"/>
              <w:left w:val="single" w:sz="4" w:space="0" w:color="auto"/>
              <w:bottom w:val="single" w:sz="4" w:space="0" w:color="auto"/>
              <w:right w:val="single" w:sz="24" w:space="0" w:color="auto"/>
            </w:tcBorders>
            <w:shd w:val="clear" w:color="auto" w:fill="FF0000"/>
          </w:tcPr>
          <w:p w14:paraId="7F3358A9"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1592" w:type="pct"/>
            <w:vMerge/>
            <w:tcBorders>
              <w:left w:val="single" w:sz="24" w:space="0" w:color="auto"/>
              <w:right w:val="single" w:sz="4" w:space="0" w:color="auto"/>
            </w:tcBorders>
            <w:shd w:val="clear" w:color="auto" w:fill="FFC000"/>
          </w:tcPr>
          <w:p w14:paraId="6FDD3FFB"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r>
      <w:tr w:rsidR="002E1382" w:rsidRPr="00B37A02" w14:paraId="0A070524" w14:textId="77777777" w:rsidTr="002E1382">
        <w:tc>
          <w:tcPr>
            <w:tcW w:w="807" w:type="pct"/>
            <w:tcBorders>
              <w:top w:val="single" w:sz="4" w:space="0" w:color="auto"/>
              <w:left w:val="single" w:sz="4" w:space="0" w:color="auto"/>
              <w:bottom w:val="single" w:sz="4" w:space="0" w:color="auto"/>
              <w:right w:val="single" w:sz="4" w:space="0" w:color="auto"/>
            </w:tcBorders>
            <w:shd w:val="clear" w:color="auto" w:fill="auto"/>
            <w:hideMark/>
          </w:tcPr>
          <w:p w14:paraId="2AE9C007" w14:textId="77777777" w:rsidR="00BC5BDF" w:rsidRPr="00B37A02" w:rsidRDefault="00BC5BDF" w:rsidP="00C97F66">
            <w:pPr>
              <w:widowControl w:val="0"/>
              <w:spacing w:after="0" w:line="240" w:lineRule="auto"/>
              <w:jc w:val="both"/>
              <w:rPr>
                <w:rFonts w:ascii="Times New Roman" w:eastAsia="MS Mincho" w:hAnsi="Times New Roman" w:cs="Times New Roman"/>
                <w:bCs/>
                <w:sz w:val="24"/>
                <w:szCs w:val="18"/>
              </w:rPr>
            </w:pPr>
            <w:r w:rsidRPr="00B37A02">
              <w:rPr>
                <w:rFonts w:ascii="Times New Roman" w:hAnsi="Times New Roman" w:cs="Times New Roman"/>
                <w:sz w:val="24"/>
              </w:rPr>
              <w:t>Malta</w:t>
            </w:r>
          </w:p>
        </w:tc>
        <w:tc>
          <w:tcPr>
            <w:tcW w:w="730" w:type="pct"/>
            <w:tcBorders>
              <w:top w:val="single" w:sz="4" w:space="0" w:color="auto"/>
              <w:left w:val="single" w:sz="4" w:space="0" w:color="auto"/>
              <w:bottom w:val="single" w:sz="4" w:space="0" w:color="auto"/>
              <w:right w:val="single" w:sz="4" w:space="0" w:color="auto"/>
            </w:tcBorders>
            <w:shd w:val="clear" w:color="auto" w:fill="92D050"/>
          </w:tcPr>
          <w:p w14:paraId="64788E07"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852" w:type="pct"/>
            <w:tcBorders>
              <w:top w:val="single" w:sz="4" w:space="0" w:color="auto"/>
              <w:left w:val="single" w:sz="4" w:space="0" w:color="auto"/>
              <w:bottom w:val="single" w:sz="4" w:space="0" w:color="auto"/>
              <w:right w:val="single" w:sz="4" w:space="0" w:color="auto"/>
            </w:tcBorders>
            <w:shd w:val="clear" w:color="auto" w:fill="auto"/>
          </w:tcPr>
          <w:p w14:paraId="7FED994D"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1018" w:type="pct"/>
            <w:tcBorders>
              <w:top w:val="single" w:sz="4" w:space="0" w:color="auto"/>
              <w:left w:val="single" w:sz="4" w:space="0" w:color="auto"/>
              <w:bottom w:val="single" w:sz="4" w:space="0" w:color="auto"/>
              <w:right w:val="single" w:sz="24" w:space="0" w:color="auto"/>
            </w:tcBorders>
            <w:shd w:val="clear" w:color="auto" w:fill="FFFFFF" w:themeFill="background1"/>
            <w:hideMark/>
          </w:tcPr>
          <w:p w14:paraId="591F1B5A" w14:textId="77777777" w:rsidR="00BC5BDF" w:rsidRPr="00B37A02" w:rsidRDefault="00BC5BDF" w:rsidP="00C97F66">
            <w:pPr>
              <w:widowControl w:val="0"/>
              <w:spacing w:after="0" w:line="240" w:lineRule="auto"/>
              <w:rPr>
                <w:rFonts w:ascii="Times New Roman" w:eastAsia="MS Mincho" w:hAnsi="Times New Roman" w:cs="Times New Roman"/>
                <w:sz w:val="24"/>
                <w:szCs w:val="18"/>
              </w:rPr>
            </w:pPr>
            <w:r w:rsidRPr="00B37A02">
              <w:rPr>
                <w:rFonts w:ascii="Times New Roman" w:hAnsi="Times New Roman" w:cs="Times New Roman"/>
                <w:sz w:val="24"/>
              </w:rPr>
              <w:t>Nav datu</w:t>
            </w:r>
          </w:p>
        </w:tc>
        <w:tc>
          <w:tcPr>
            <w:tcW w:w="1592" w:type="pct"/>
            <w:vMerge w:val="restart"/>
            <w:tcBorders>
              <w:left w:val="single" w:sz="24" w:space="0" w:color="auto"/>
              <w:right w:val="single" w:sz="4" w:space="0" w:color="auto"/>
            </w:tcBorders>
            <w:shd w:val="clear" w:color="auto" w:fill="FF0000"/>
          </w:tcPr>
          <w:p w14:paraId="74D427C7" w14:textId="240CF226" w:rsidR="00BC5BDF" w:rsidRPr="00B37A02" w:rsidRDefault="00BC5BDF" w:rsidP="001B270D">
            <w:pPr>
              <w:widowControl w:val="0"/>
              <w:spacing w:after="0" w:line="240" w:lineRule="auto"/>
              <w:rPr>
                <w:rFonts w:ascii="Times New Roman" w:eastAsia="MS Mincho" w:hAnsi="Times New Roman" w:cs="Times New Roman"/>
                <w:bCs/>
                <w:sz w:val="24"/>
                <w:szCs w:val="18"/>
              </w:rPr>
            </w:pPr>
            <w:r w:rsidRPr="00B37A02">
              <w:rPr>
                <w:rFonts w:ascii="Times New Roman" w:hAnsi="Times New Roman" w:cs="Times New Roman"/>
                <w:sz w:val="24"/>
              </w:rPr>
              <w:t>Ierobežotas tiesības salīdzinājumā ar pilsoņiem vai</w:t>
            </w:r>
            <w:r w:rsidR="001B270D">
              <w:rPr>
                <w:rFonts w:ascii="Times New Roman" w:hAnsi="Times New Roman" w:cs="Times New Roman"/>
                <w:sz w:val="24"/>
              </w:rPr>
              <w:t xml:space="preserve"> </w:t>
            </w:r>
            <w:r w:rsidRPr="00B37A02">
              <w:rPr>
                <w:rFonts w:ascii="Times New Roman" w:hAnsi="Times New Roman" w:cs="Times New Roman"/>
                <w:sz w:val="24"/>
              </w:rPr>
              <w:t>nav juridisku tiesību</w:t>
            </w:r>
          </w:p>
        </w:tc>
      </w:tr>
      <w:tr w:rsidR="002E1382" w:rsidRPr="00B37A02" w14:paraId="7C653632" w14:textId="77777777" w:rsidTr="002E1382">
        <w:tc>
          <w:tcPr>
            <w:tcW w:w="807" w:type="pct"/>
            <w:tcBorders>
              <w:top w:val="single" w:sz="4" w:space="0" w:color="auto"/>
              <w:left w:val="single" w:sz="4" w:space="0" w:color="auto"/>
              <w:bottom w:val="single" w:sz="4" w:space="0" w:color="auto"/>
              <w:right w:val="single" w:sz="4" w:space="0" w:color="auto"/>
            </w:tcBorders>
            <w:shd w:val="clear" w:color="auto" w:fill="auto"/>
            <w:hideMark/>
          </w:tcPr>
          <w:p w14:paraId="4A5CF5B1" w14:textId="77777777" w:rsidR="00BC5BDF" w:rsidRPr="00B37A02" w:rsidRDefault="00BC5BDF" w:rsidP="00C97F66">
            <w:pPr>
              <w:widowControl w:val="0"/>
              <w:spacing w:after="0" w:line="240" w:lineRule="auto"/>
              <w:jc w:val="both"/>
              <w:rPr>
                <w:rFonts w:ascii="Times New Roman" w:eastAsia="MS Mincho" w:hAnsi="Times New Roman" w:cs="Times New Roman"/>
                <w:bCs/>
                <w:sz w:val="24"/>
                <w:szCs w:val="18"/>
              </w:rPr>
            </w:pPr>
            <w:r w:rsidRPr="00B37A02">
              <w:rPr>
                <w:rFonts w:ascii="Times New Roman" w:hAnsi="Times New Roman" w:cs="Times New Roman"/>
                <w:sz w:val="24"/>
              </w:rPr>
              <w:t>Nīderlande</w:t>
            </w:r>
          </w:p>
        </w:tc>
        <w:tc>
          <w:tcPr>
            <w:tcW w:w="730" w:type="pct"/>
            <w:tcBorders>
              <w:top w:val="single" w:sz="4" w:space="0" w:color="auto"/>
              <w:left w:val="single" w:sz="4" w:space="0" w:color="auto"/>
              <w:bottom w:val="single" w:sz="4" w:space="0" w:color="auto"/>
              <w:right w:val="single" w:sz="4" w:space="0" w:color="auto"/>
            </w:tcBorders>
            <w:shd w:val="clear" w:color="auto" w:fill="FFC000" w:themeFill="accent4"/>
          </w:tcPr>
          <w:p w14:paraId="6B4A694E"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852" w:type="pct"/>
            <w:tcBorders>
              <w:top w:val="single" w:sz="4" w:space="0" w:color="auto"/>
              <w:left w:val="single" w:sz="4" w:space="0" w:color="auto"/>
              <w:bottom w:val="single" w:sz="4" w:space="0" w:color="auto"/>
              <w:right w:val="single" w:sz="4" w:space="0" w:color="auto"/>
            </w:tcBorders>
            <w:shd w:val="clear" w:color="auto" w:fill="FF0000"/>
          </w:tcPr>
          <w:p w14:paraId="20B6C5A8"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1018" w:type="pct"/>
            <w:tcBorders>
              <w:top w:val="single" w:sz="4" w:space="0" w:color="auto"/>
              <w:left w:val="single" w:sz="4" w:space="0" w:color="auto"/>
              <w:bottom w:val="single" w:sz="4" w:space="0" w:color="auto"/>
              <w:right w:val="single" w:sz="24" w:space="0" w:color="auto"/>
            </w:tcBorders>
            <w:shd w:val="clear" w:color="auto" w:fill="FF0000"/>
          </w:tcPr>
          <w:p w14:paraId="1EC97C4D"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1592" w:type="pct"/>
            <w:vMerge/>
            <w:tcBorders>
              <w:left w:val="single" w:sz="24" w:space="0" w:color="auto"/>
              <w:right w:val="single" w:sz="4" w:space="0" w:color="auto"/>
            </w:tcBorders>
            <w:shd w:val="clear" w:color="auto" w:fill="FF0000"/>
          </w:tcPr>
          <w:p w14:paraId="32B24747" w14:textId="77777777" w:rsidR="00BC5BDF" w:rsidRPr="00B37A02" w:rsidRDefault="00BC5BDF" w:rsidP="00C97F66">
            <w:pPr>
              <w:widowControl w:val="0"/>
              <w:spacing w:after="0" w:line="240" w:lineRule="auto"/>
              <w:rPr>
                <w:rFonts w:ascii="Times New Roman" w:eastAsia="MS Mincho" w:hAnsi="Times New Roman" w:cs="Times New Roman"/>
                <w:bCs/>
                <w:sz w:val="24"/>
                <w:szCs w:val="18"/>
                <w:lang w:eastAsia="da-DK"/>
              </w:rPr>
            </w:pPr>
          </w:p>
        </w:tc>
      </w:tr>
      <w:tr w:rsidR="002E1382" w:rsidRPr="00B37A02" w14:paraId="2AF41A12" w14:textId="77777777" w:rsidTr="002E1382">
        <w:tc>
          <w:tcPr>
            <w:tcW w:w="807" w:type="pct"/>
            <w:tcBorders>
              <w:top w:val="single" w:sz="4" w:space="0" w:color="auto"/>
              <w:left w:val="single" w:sz="4" w:space="0" w:color="auto"/>
              <w:bottom w:val="single" w:sz="4" w:space="0" w:color="auto"/>
              <w:right w:val="single" w:sz="4" w:space="0" w:color="auto"/>
            </w:tcBorders>
            <w:shd w:val="clear" w:color="auto" w:fill="auto"/>
            <w:hideMark/>
          </w:tcPr>
          <w:p w14:paraId="51DD2056" w14:textId="77777777" w:rsidR="00BC5BDF" w:rsidRPr="00B37A02" w:rsidRDefault="00BC5BDF" w:rsidP="00C97F66">
            <w:pPr>
              <w:widowControl w:val="0"/>
              <w:spacing w:after="0" w:line="240" w:lineRule="auto"/>
              <w:jc w:val="both"/>
              <w:rPr>
                <w:rFonts w:ascii="Times New Roman" w:eastAsia="MS Mincho" w:hAnsi="Times New Roman" w:cs="Times New Roman"/>
                <w:bCs/>
                <w:sz w:val="24"/>
                <w:szCs w:val="18"/>
              </w:rPr>
            </w:pPr>
            <w:r w:rsidRPr="00B37A02">
              <w:rPr>
                <w:rFonts w:ascii="Times New Roman" w:hAnsi="Times New Roman" w:cs="Times New Roman"/>
                <w:sz w:val="24"/>
              </w:rPr>
              <w:t>Norvēģija</w:t>
            </w:r>
          </w:p>
        </w:tc>
        <w:tc>
          <w:tcPr>
            <w:tcW w:w="730" w:type="pct"/>
            <w:tcBorders>
              <w:top w:val="single" w:sz="4" w:space="0" w:color="auto"/>
              <w:left w:val="single" w:sz="4" w:space="0" w:color="auto"/>
              <w:bottom w:val="single" w:sz="4" w:space="0" w:color="auto"/>
              <w:right w:val="single" w:sz="4" w:space="0" w:color="auto"/>
            </w:tcBorders>
            <w:shd w:val="clear" w:color="auto" w:fill="92D050"/>
          </w:tcPr>
          <w:p w14:paraId="2B2E6CF8"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852" w:type="pct"/>
            <w:tcBorders>
              <w:top w:val="single" w:sz="4" w:space="0" w:color="auto"/>
              <w:left w:val="single" w:sz="4" w:space="0" w:color="auto"/>
              <w:bottom w:val="single" w:sz="4" w:space="0" w:color="auto"/>
              <w:right w:val="single" w:sz="4" w:space="0" w:color="auto"/>
            </w:tcBorders>
            <w:shd w:val="clear" w:color="auto" w:fill="92D050"/>
          </w:tcPr>
          <w:p w14:paraId="2F1724E3"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1018" w:type="pct"/>
            <w:tcBorders>
              <w:top w:val="single" w:sz="4" w:space="0" w:color="auto"/>
              <w:left w:val="single" w:sz="4" w:space="0" w:color="auto"/>
              <w:bottom w:val="single" w:sz="4" w:space="0" w:color="auto"/>
              <w:right w:val="single" w:sz="24" w:space="0" w:color="auto"/>
            </w:tcBorders>
            <w:shd w:val="clear" w:color="auto" w:fill="92D050"/>
          </w:tcPr>
          <w:p w14:paraId="25EED42F"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1592" w:type="pct"/>
            <w:vMerge/>
            <w:tcBorders>
              <w:left w:val="single" w:sz="24" w:space="0" w:color="auto"/>
              <w:right w:val="single" w:sz="4" w:space="0" w:color="auto"/>
            </w:tcBorders>
            <w:shd w:val="clear" w:color="auto" w:fill="FF0000"/>
          </w:tcPr>
          <w:p w14:paraId="564EDFFF"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r>
      <w:tr w:rsidR="002E1382" w:rsidRPr="00B37A02" w14:paraId="564C6CF4" w14:textId="77777777" w:rsidTr="002E1382">
        <w:tc>
          <w:tcPr>
            <w:tcW w:w="807" w:type="pct"/>
            <w:tcBorders>
              <w:top w:val="single" w:sz="4" w:space="0" w:color="auto"/>
              <w:left w:val="single" w:sz="4" w:space="0" w:color="auto"/>
              <w:bottom w:val="single" w:sz="4" w:space="0" w:color="auto"/>
              <w:right w:val="single" w:sz="4" w:space="0" w:color="auto"/>
            </w:tcBorders>
            <w:shd w:val="clear" w:color="auto" w:fill="auto"/>
            <w:hideMark/>
          </w:tcPr>
          <w:p w14:paraId="7198F59C" w14:textId="77777777" w:rsidR="00BC5BDF" w:rsidRPr="00B37A02" w:rsidRDefault="00BC5BDF" w:rsidP="00C97F66">
            <w:pPr>
              <w:widowControl w:val="0"/>
              <w:spacing w:after="0" w:line="240" w:lineRule="auto"/>
              <w:jc w:val="both"/>
              <w:rPr>
                <w:rFonts w:ascii="Times New Roman" w:eastAsia="MS Mincho" w:hAnsi="Times New Roman" w:cs="Times New Roman"/>
                <w:bCs/>
                <w:sz w:val="24"/>
                <w:szCs w:val="18"/>
              </w:rPr>
            </w:pPr>
            <w:r w:rsidRPr="00B37A02">
              <w:rPr>
                <w:rFonts w:ascii="Times New Roman" w:hAnsi="Times New Roman" w:cs="Times New Roman"/>
                <w:sz w:val="24"/>
              </w:rPr>
              <w:t>Polija</w:t>
            </w:r>
          </w:p>
        </w:tc>
        <w:tc>
          <w:tcPr>
            <w:tcW w:w="730" w:type="pct"/>
            <w:tcBorders>
              <w:top w:val="single" w:sz="4" w:space="0" w:color="auto"/>
              <w:left w:val="single" w:sz="4" w:space="0" w:color="auto"/>
              <w:bottom w:val="single" w:sz="4" w:space="0" w:color="auto"/>
              <w:right w:val="single" w:sz="4" w:space="0" w:color="auto"/>
            </w:tcBorders>
            <w:shd w:val="clear" w:color="auto" w:fill="FFC000" w:themeFill="accent4"/>
          </w:tcPr>
          <w:p w14:paraId="1413500B"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852" w:type="pct"/>
            <w:tcBorders>
              <w:top w:val="single" w:sz="4" w:space="0" w:color="auto"/>
              <w:left w:val="single" w:sz="4" w:space="0" w:color="auto"/>
              <w:bottom w:val="single" w:sz="4" w:space="0" w:color="auto"/>
              <w:right w:val="single" w:sz="4" w:space="0" w:color="auto"/>
            </w:tcBorders>
            <w:shd w:val="clear" w:color="auto" w:fill="auto"/>
          </w:tcPr>
          <w:p w14:paraId="43F27EE7"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1018" w:type="pct"/>
            <w:tcBorders>
              <w:top w:val="single" w:sz="4" w:space="0" w:color="auto"/>
              <w:left w:val="single" w:sz="4" w:space="0" w:color="auto"/>
              <w:bottom w:val="single" w:sz="4" w:space="0" w:color="auto"/>
              <w:right w:val="single" w:sz="24" w:space="0" w:color="auto"/>
            </w:tcBorders>
            <w:shd w:val="clear" w:color="auto" w:fill="FF0000"/>
          </w:tcPr>
          <w:p w14:paraId="48FB33A4"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1592" w:type="pct"/>
            <w:vMerge/>
            <w:tcBorders>
              <w:left w:val="single" w:sz="24" w:space="0" w:color="auto"/>
              <w:right w:val="single" w:sz="4" w:space="0" w:color="auto"/>
            </w:tcBorders>
            <w:shd w:val="clear" w:color="auto" w:fill="FF0000"/>
          </w:tcPr>
          <w:p w14:paraId="67F8FE9B"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r>
      <w:tr w:rsidR="002E1382" w:rsidRPr="00B37A02" w14:paraId="6DA2DC77" w14:textId="77777777" w:rsidTr="002E1382">
        <w:tc>
          <w:tcPr>
            <w:tcW w:w="807" w:type="pct"/>
            <w:tcBorders>
              <w:top w:val="single" w:sz="4" w:space="0" w:color="auto"/>
              <w:left w:val="single" w:sz="4" w:space="0" w:color="auto"/>
              <w:bottom w:val="single" w:sz="4" w:space="0" w:color="auto"/>
              <w:right w:val="single" w:sz="4" w:space="0" w:color="auto"/>
            </w:tcBorders>
            <w:shd w:val="clear" w:color="auto" w:fill="auto"/>
            <w:hideMark/>
          </w:tcPr>
          <w:p w14:paraId="4CFCB504" w14:textId="77777777" w:rsidR="00BC5BDF" w:rsidRPr="00B37A02" w:rsidRDefault="00BC5BDF" w:rsidP="00C97F66">
            <w:pPr>
              <w:widowControl w:val="0"/>
              <w:spacing w:after="0" w:line="240" w:lineRule="auto"/>
              <w:jc w:val="both"/>
              <w:rPr>
                <w:rFonts w:ascii="Times New Roman" w:eastAsia="MS Mincho" w:hAnsi="Times New Roman" w:cs="Times New Roman"/>
                <w:bCs/>
                <w:sz w:val="24"/>
                <w:szCs w:val="18"/>
              </w:rPr>
            </w:pPr>
            <w:r w:rsidRPr="00B37A02">
              <w:rPr>
                <w:rFonts w:ascii="Times New Roman" w:hAnsi="Times New Roman" w:cs="Times New Roman"/>
                <w:sz w:val="24"/>
              </w:rPr>
              <w:t>Portugāle</w:t>
            </w:r>
          </w:p>
        </w:tc>
        <w:tc>
          <w:tcPr>
            <w:tcW w:w="730" w:type="pct"/>
            <w:tcBorders>
              <w:top w:val="single" w:sz="4" w:space="0" w:color="auto"/>
              <w:left w:val="single" w:sz="4" w:space="0" w:color="auto"/>
              <w:bottom w:val="single" w:sz="4" w:space="0" w:color="auto"/>
              <w:right w:val="single" w:sz="4" w:space="0" w:color="auto"/>
            </w:tcBorders>
            <w:shd w:val="clear" w:color="auto" w:fill="92D050"/>
          </w:tcPr>
          <w:p w14:paraId="15B93545"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852" w:type="pct"/>
            <w:tcBorders>
              <w:top w:val="single" w:sz="4" w:space="0" w:color="auto"/>
              <w:left w:val="single" w:sz="4" w:space="0" w:color="auto"/>
              <w:bottom w:val="single" w:sz="4" w:space="0" w:color="auto"/>
              <w:right w:val="single" w:sz="4" w:space="0" w:color="auto"/>
            </w:tcBorders>
            <w:shd w:val="clear" w:color="auto" w:fill="92D050"/>
          </w:tcPr>
          <w:p w14:paraId="7D3D513C"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1018" w:type="pct"/>
            <w:tcBorders>
              <w:top w:val="single" w:sz="4" w:space="0" w:color="auto"/>
              <w:left w:val="single" w:sz="4" w:space="0" w:color="auto"/>
              <w:bottom w:val="single" w:sz="4" w:space="0" w:color="auto"/>
              <w:right w:val="single" w:sz="24" w:space="0" w:color="auto"/>
            </w:tcBorders>
            <w:shd w:val="clear" w:color="auto" w:fill="92D050"/>
          </w:tcPr>
          <w:p w14:paraId="34625B57"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1592" w:type="pct"/>
            <w:vMerge/>
            <w:tcBorders>
              <w:left w:val="single" w:sz="24" w:space="0" w:color="auto"/>
              <w:bottom w:val="single" w:sz="4" w:space="0" w:color="auto"/>
              <w:right w:val="single" w:sz="4" w:space="0" w:color="auto"/>
            </w:tcBorders>
            <w:shd w:val="clear" w:color="auto" w:fill="FF0000"/>
          </w:tcPr>
          <w:p w14:paraId="3C56EBDA"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r>
      <w:tr w:rsidR="002E1382" w:rsidRPr="00B37A02" w14:paraId="5620A4E4" w14:textId="77777777" w:rsidTr="002E1382">
        <w:tc>
          <w:tcPr>
            <w:tcW w:w="807" w:type="pct"/>
            <w:tcBorders>
              <w:top w:val="single" w:sz="4" w:space="0" w:color="auto"/>
              <w:left w:val="single" w:sz="4" w:space="0" w:color="auto"/>
              <w:bottom w:val="single" w:sz="4" w:space="0" w:color="auto"/>
              <w:right w:val="single" w:sz="4" w:space="0" w:color="auto"/>
            </w:tcBorders>
            <w:shd w:val="clear" w:color="auto" w:fill="auto"/>
            <w:hideMark/>
          </w:tcPr>
          <w:p w14:paraId="1BF0AC01" w14:textId="77777777" w:rsidR="00BC5BDF" w:rsidRPr="00B37A02" w:rsidRDefault="00BC5BDF" w:rsidP="00C97F66">
            <w:pPr>
              <w:widowControl w:val="0"/>
              <w:spacing w:after="0" w:line="240" w:lineRule="auto"/>
              <w:jc w:val="both"/>
              <w:rPr>
                <w:rFonts w:ascii="Times New Roman" w:eastAsia="MS Mincho" w:hAnsi="Times New Roman" w:cs="Times New Roman"/>
                <w:bCs/>
                <w:sz w:val="24"/>
                <w:szCs w:val="18"/>
              </w:rPr>
            </w:pPr>
            <w:r w:rsidRPr="00B37A02">
              <w:rPr>
                <w:rFonts w:ascii="Times New Roman" w:hAnsi="Times New Roman" w:cs="Times New Roman"/>
                <w:sz w:val="24"/>
              </w:rPr>
              <w:t>Rumānija</w:t>
            </w:r>
          </w:p>
        </w:tc>
        <w:tc>
          <w:tcPr>
            <w:tcW w:w="730" w:type="pct"/>
            <w:tcBorders>
              <w:top w:val="single" w:sz="4" w:space="0" w:color="auto"/>
              <w:left w:val="single" w:sz="4" w:space="0" w:color="auto"/>
              <w:bottom w:val="single" w:sz="4" w:space="0" w:color="auto"/>
              <w:right w:val="single" w:sz="4" w:space="0" w:color="auto"/>
            </w:tcBorders>
            <w:shd w:val="clear" w:color="auto" w:fill="92D050"/>
          </w:tcPr>
          <w:p w14:paraId="7B03760E"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852" w:type="pct"/>
            <w:tcBorders>
              <w:top w:val="single" w:sz="4" w:space="0" w:color="auto"/>
              <w:left w:val="single" w:sz="4" w:space="0" w:color="auto"/>
              <w:bottom w:val="single" w:sz="4" w:space="0" w:color="auto"/>
              <w:right w:val="single" w:sz="4" w:space="0" w:color="auto"/>
            </w:tcBorders>
            <w:shd w:val="clear" w:color="auto" w:fill="92D050"/>
          </w:tcPr>
          <w:p w14:paraId="4ED4F32B"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1018" w:type="pct"/>
            <w:tcBorders>
              <w:top w:val="single" w:sz="4" w:space="0" w:color="auto"/>
              <w:left w:val="single" w:sz="4" w:space="0" w:color="auto"/>
              <w:bottom w:val="single" w:sz="4" w:space="0" w:color="auto"/>
              <w:right w:val="single" w:sz="18" w:space="0" w:color="auto"/>
            </w:tcBorders>
            <w:shd w:val="clear" w:color="auto" w:fill="92D050"/>
          </w:tcPr>
          <w:p w14:paraId="5A818AAB" w14:textId="77777777" w:rsidR="00BC5BDF" w:rsidRPr="00B37A02" w:rsidRDefault="00BC5BDF" w:rsidP="00C97F66">
            <w:pPr>
              <w:widowControl w:val="0"/>
              <w:spacing w:after="0" w:line="240" w:lineRule="auto"/>
              <w:rPr>
                <w:rFonts w:ascii="Times New Roman" w:eastAsia="MS Mincho" w:hAnsi="Times New Roman" w:cs="Times New Roman"/>
                <w:sz w:val="24"/>
                <w:szCs w:val="18"/>
                <w:lang w:eastAsia="da-DK"/>
              </w:rPr>
            </w:pPr>
          </w:p>
        </w:tc>
        <w:tc>
          <w:tcPr>
            <w:tcW w:w="1592" w:type="pct"/>
            <w:vMerge w:val="restart"/>
            <w:tcBorders>
              <w:left w:val="single" w:sz="18" w:space="0" w:color="auto"/>
              <w:right w:val="single" w:sz="4" w:space="0" w:color="auto"/>
            </w:tcBorders>
            <w:shd w:val="clear" w:color="auto" w:fill="FFFFFF" w:themeFill="background1"/>
          </w:tcPr>
          <w:p w14:paraId="36B197FD" w14:textId="77777777" w:rsidR="00BC5BDF" w:rsidRPr="00B37A02" w:rsidRDefault="00BC5BDF" w:rsidP="00C97F66">
            <w:pPr>
              <w:widowControl w:val="0"/>
              <w:spacing w:after="0" w:line="240" w:lineRule="auto"/>
              <w:rPr>
                <w:rFonts w:ascii="Times New Roman" w:eastAsia="MS Mincho" w:hAnsi="Times New Roman" w:cs="Times New Roman"/>
                <w:bCs/>
                <w:sz w:val="24"/>
                <w:szCs w:val="18"/>
              </w:rPr>
            </w:pPr>
            <w:r w:rsidRPr="00B37A02">
              <w:rPr>
                <w:rFonts w:ascii="Times New Roman" w:hAnsi="Times New Roman" w:cs="Times New Roman"/>
                <w:sz w:val="24"/>
              </w:rPr>
              <w:t>Neskaidrs tiesiskais regulējums</w:t>
            </w:r>
          </w:p>
        </w:tc>
      </w:tr>
      <w:tr w:rsidR="002E1382" w:rsidRPr="00B37A02" w14:paraId="7C6415A8" w14:textId="77777777" w:rsidTr="002E1382">
        <w:tc>
          <w:tcPr>
            <w:tcW w:w="807" w:type="pct"/>
            <w:tcBorders>
              <w:top w:val="single" w:sz="4" w:space="0" w:color="auto"/>
              <w:left w:val="single" w:sz="4" w:space="0" w:color="auto"/>
              <w:bottom w:val="single" w:sz="4" w:space="0" w:color="auto"/>
              <w:right w:val="single" w:sz="4" w:space="0" w:color="auto"/>
            </w:tcBorders>
            <w:shd w:val="clear" w:color="auto" w:fill="auto"/>
            <w:hideMark/>
          </w:tcPr>
          <w:p w14:paraId="3D62B2D1" w14:textId="77777777" w:rsidR="00BC5BDF" w:rsidRPr="00B37A02" w:rsidRDefault="00BC5BDF" w:rsidP="00C97F66">
            <w:pPr>
              <w:widowControl w:val="0"/>
              <w:spacing w:after="0" w:line="240" w:lineRule="auto"/>
              <w:jc w:val="both"/>
              <w:rPr>
                <w:rFonts w:ascii="Times New Roman" w:eastAsia="MS Mincho" w:hAnsi="Times New Roman" w:cs="Times New Roman"/>
                <w:bCs/>
                <w:sz w:val="24"/>
                <w:szCs w:val="18"/>
              </w:rPr>
            </w:pPr>
            <w:r w:rsidRPr="00B37A02">
              <w:rPr>
                <w:rFonts w:ascii="Times New Roman" w:hAnsi="Times New Roman" w:cs="Times New Roman"/>
                <w:sz w:val="24"/>
              </w:rPr>
              <w:t>Slovākija</w:t>
            </w:r>
          </w:p>
        </w:tc>
        <w:tc>
          <w:tcPr>
            <w:tcW w:w="730" w:type="pct"/>
            <w:tcBorders>
              <w:top w:val="single" w:sz="4" w:space="0" w:color="auto"/>
              <w:left w:val="single" w:sz="4" w:space="0" w:color="auto"/>
              <w:bottom w:val="single" w:sz="4" w:space="0" w:color="auto"/>
              <w:right w:val="single" w:sz="4" w:space="0" w:color="auto"/>
            </w:tcBorders>
            <w:shd w:val="clear" w:color="auto" w:fill="FF0000"/>
          </w:tcPr>
          <w:p w14:paraId="0E72DCA9" w14:textId="77777777" w:rsidR="00BC5BDF" w:rsidRPr="00B37A02" w:rsidRDefault="00BC5BDF" w:rsidP="00C97F66">
            <w:pPr>
              <w:widowControl w:val="0"/>
              <w:spacing w:after="0" w:line="240" w:lineRule="auto"/>
              <w:jc w:val="both"/>
              <w:rPr>
                <w:rFonts w:ascii="Times New Roman" w:eastAsia="MS Mincho" w:hAnsi="Times New Roman" w:cs="Times New Roman"/>
                <w:sz w:val="24"/>
                <w:szCs w:val="18"/>
                <w:lang w:eastAsia="da-DK"/>
              </w:rPr>
            </w:pPr>
          </w:p>
        </w:tc>
        <w:tc>
          <w:tcPr>
            <w:tcW w:w="852" w:type="pct"/>
            <w:tcBorders>
              <w:top w:val="single" w:sz="4" w:space="0" w:color="auto"/>
              <w:left w:val="single" w:sz="4" w:space="0" w:color="auto"/>
              <w:bottom w:val="single" w:sz="4" w:space="0" w:color="auto"/>
              <w:right w:val="single" w:sz="4" w:space="0" w:color="auto"/>
            </w:tcBorders>
            <w:shd w:val="clear" w:color="auto" w:fill="FF0000"/>
          </w:tcPr>
          <w:p w14:paraId="678805FA" w14:textId="77777777" w:rsidR="00BC5BDF" w:rsidRPr="00B37A02" w:rsidRDefault="00BC5BDF" w:rsidP="00C97F66">
            <w:pPr>
              <w:widowControl w:val="0"/>
              <w:spacing w:after="0" w:line="240" w:lineRule="auto"/>
              <w:jc w:val="both"/>
              <w:rPr>
                <w:rFonts w:ascii="Times New Roman" w:eastAsia="MS Mincho" w:hAnsi="Times New Roman" w:cs="Times New Roman"/>
                <w:sz w:val="24"/>
                <w:szCs w:val="18"/>
                <w:lang w:eastAsia="da-DK"/>
              </w:rPr>
            </w:pPr>
          </w:p>
        </w:tc>
        <w:tc>
          <w:tcPr>
            <w:tcW w:w="1018" w:type="pct"/>
            <w:tcBorders>
              <w:top w:val="single" w:sz="4" w:space="0" w:color="auto"/>
              <w:left w:val="single" w:sz="4" w:space="0" w:color="auto"/>
              <w:bottom w:val="single" w:sz="4" w:space="0" w:color="auto"/>
              <w:right w:val="single" w:sz="18" w:space="0" w:color="auto"/>
            </w:tcBorders>
            <w:shd w:val="clear" w:color="auto" w:fill="FF0000"/>
          </w:tcPr>
          <w:p w14:paraId="685A25B4" w14:textId="77777777" w:rsidR="00BC5BDF" w:rsidRPr="00B37A02" w:rsidRDefault="00BC5BDF" w:rsidP="00C97F66">
            <w:pPr>
              <w:widowControl w:val="0"/>
              <w:spacing w:after="0" w:line="240" w:lineRule="auto"/>
              <w:jc w:val="both"/>
              <w:rPr>
                <w:rFonts w:ascii="Times New Roman" w:eastAsia="MS Mincho" w:hAnsi="Times New Roman" w:cs="Times New Roman"/>
                <w:sz w:val="24"/>
                <w:szCs w:val="18"/>
                <w:lang w:eastAsia="da-DK"/>
              </w:rPr>
            </w:pPr>
          </w:p>
        </w:tc>
        <w:tc>
          <w:tcPr>
            <w:tcW w:w="1592" w:type="pct"/>
            <w:vMerge/>
            <w:tcBorders>
              <w:left w:val="single" w:sz="18" w:space="0" w:color="auto"/>
              <w:right w:val="single" w:sz="4" w:space="0" w:color="auto"/>
            </w:tcBorders>
            <w:shd w:val="clear" w:color="auto" w:fill="FFFFFF" w:themeFill="background1"/>
          </w:tcPr>
          <w:p w14:paraId="65655B15" w14:textId="77777777" w:rsidR="00BC5BDF" w:rsidRPr="00B37A02" w:rsidRDefault="00BC5BDF" w:rsidP="00C97F66">
            <w:pPr>
              <w:widowControl w:val="0"/>
              <w:spacing w:after="0" w:line="240" w:lineRule="auto"/>
              <w:jc w:val="both"/>
              <w:rPr>
                <w:rFonts w:ascii="Times New Roman" w:eastAsia="MS Mincho" w:hAnsi="Times New Roman" w:cs="Times New Roman"/>
                <w:bCs/>
                <w:sz w:val="24"/>
                <w:szCs w:val="18"/>
                <w:lang w:eastAsia="da-DK"/>
              </w:rPr>
            </w:pPr>
          </w:p>
        </w:tc>
      </w:tr>
      <w:tr w:rsidR="002E1382" w:rsidRPr="00B37A02" w14:paraId="76BBAF87" w14:textId="77777777" w:rsidTr="002E1382">
        <w:tc>
          <w:tcPr>
            <w:tcW w:w="807" w:type="pct"/>
            <w:tcBorders>
              <w:top w:val="single" w:sz="4" w:space="0" w:color="auto"/>
              <w:left w:val="single" w:sz="4" w:space="0" w:color="auto"/>
              <w:bottom w:val="single" w:sz="4" w:space="0" w:color="auto"/>
              <w:right w:val="single" w:sz="4" w:space="0" w:color="auto"/>
            </w:tcBorders>
            <w:shd w:val="clear" w:color="auto" w:fill="auto"/>
            <w:hideMark/>
          </w:tcPr>
          <w:p w14:paraId="269FD6DA" w14:textId="77777777" w:rsidR="00BC5BDF" w:rsidRPr="00B37A02" w:rsidRDefault="00BC5BDF" w:rsidP="00C97F66">
            <w:pPr>
              <w:widowControl w:val="0"/>
              <w:spacing w:after="0" w:line="240" w:lineRule="auto"/>
              <w:jc w:val="both"/>
              <w:rPr>
                <w:rFonts w:ascii="Times New Roman" w:eastAsia="MS Mincho" w:hAnsi="Times New Roman" w:cs="Times New Roman"/>
                <w:bCs/>
                <w:sz w:val="24"/>
                <w:szCs w:val="18"/>
              </w:rPr>
            </w:pPr>
            <w:r w:rsidRPr="00B37A02">
              <w:rPr>
                <w:rFonts w:ascii="Times New Roman" w:hAnsi="Times New Roman" w:cs="Times New Roman"/>
                <w:sz w:val="24"/>
              </w:rPr>
              <w:t>Slovēnija</w:t>
            </w:r>
          </w:p>
        </w:tc>
        <w:tc>
          <w:tcPr>
            <w:tcW w:w="730" w:type="pct"/>
            <w:tcBorders>
              <w:top w:val="single" w:sz="4" w:space="0" w:color="auto"/>
              <w:left w:val="single" w:sz="4" w:space="0" w:color="auto"/>
              <w:bottom w:val="single" w:sz="4" w:space="0" w:color="auto"/>
              <w:right w:val="single" w:sz="4" w:space="0" w:color="auto"/>
            </w:tcBorders>
            <w:shd w:val="clear" w:color="auto" w:fill="FFC000" w:themeFill="accent4"/>
          </w:tcPr>
          <w:p w14:paraId="5D0236BF" w14:textId="77777777" w:rsidR="00BC5BDF" w:rsidRPr="00B37A02" w:rsidRDefault="00BC5BDF" w:rsidP="00C97F66">
            <w:pPr>
              <w:widowControl w:val="0"/>
              <w:spacing w:after="0" w:line="240" w:lineRule="auto"/>
              <w:jc w:val="both"/>
              <w:rPr>
                <w:rFonts w:ascii="Times New Roman" w:eastAsia="MS Mincho" w:hAnsi="Times New Roman" w:cs="Times New Roman"/>
                <w:sz w:val="24"/>
                <w:szCs w:val="18"/>
                <w:lang w:eastAsia="da-DK"/>
              </w:rPr>
            </w:pPr>
          </w:p>
        </w:tc>
        <w:tc>
          <w:tcPr>
            <w:tcW w:w="852" w:type="pct"/>
            <w:tcBorders>
              <w:top w:val="single" w:sz="4" w:space="0" w:color="auto"/>
              <w:left w:val="single" w:sz="4" w:space="0" w:color="auto"/>
              <w:bottom w:val="single" w:sz="4" w:space="0" w:color="auto"/>
              <w:right w:val="single" w:sz="4" w:space="0" w:color="auto"/>
            </w:tcBorders>
            <w:shd w:val="clear" w:color="auto" w:fill="FF0000"/>
          </w:tcPr>
          <w:p w14:paraId="38FB1727" w14:textId="77777777" w:rsidR="00BC5BDF" w:rsidRPr="00B37A02" w:rsidRDefault="00BC5BDF" w:rsidP="00C97F66">
            <w:pPr>
              <w:widowControl w:val="0"/>
              <w:spacing w:after="0" w:line="240" w:lineRule="auto"/>
              <w:jc w:val="both"/>
              <w:rPr>
                <w:rFonts w:ascii="Times New Roman" w:eastAsia="MS Mincho" w:hAnsi="Times New Roman" w:cs="Times New Roman"/>
                <w:sz w:val="24"/>
                <w:szCs w:val="18"/>
                <w:lang w:eastAsia="da-DK"/>
              </w:rPr>
            </w:pPr>
          </w:p>
        </w:tc>
        <w:tc>
          <w:tcPr>
            <w:tcW w:w="1018" w:type="pct"/>
            <w:tcBorders>
              <w:top w:val="single" w:sz="4" w:space="0" w:color="auto"/>
              <w:left w:val="single" w:sz="4" w:space="0" w:color="auto"/>
              <w:bottom w:val="single" w:sz="4" w:space="0" w:color="auto"/>
              <w:right w:val="single" w:sz="18" w:space="0" w:color="auto"/>
            </w:tcBorders>
            <w:shd w:val="clear" w:color="auto" w:fill="FF0000"/>
          </w:tcPr>
          <w:p w14:paraId="13B3FDE0" w14:textId="77777777" w:rsidR="00BC5BDF" w:rsidRPr="00B37A02" w:rsidRDefault="00BC5BDF" w:rsidP="00C97F66">
            <w:pPr>
              <w:widowControl w:val="0"/>
              <w:spacing w:after="0" w:line="240" w:lineRule="auto"/>
              <w:jc w:val="both"/>
              <w:rPr>
                <w:rFonts w:ascii="Times New Roman" w:eastAsia="MS Mincho" w:hAnsi="Times New Roman" w:cs="Times New Roman"/>
                <w:sz w:val="24"/>
                <w:szCs w:val="18"/>
                <w:lang w:eastAsia="da-DK"/>
              </w:rPr>
            </w:pPr>
          </w:p>
        </w:tc>
        <w:tc>
          <w:tcPr>
            <w:tcW w:w="1592" w:type="pct"/>
            <w:vMerge/>
            <w:tcBorders>
              <w:left w:val="single" w:sz="18" w:space="0" w:color="auto"/>
              <w:right w:val="single" w:sz="4" w:space="0" w:color="auto"/>
            </w:tcBorders>
            <w:shd w:val="clear" w:color="auto" w:fill="FFFFFF" w:themeFill="background1"/>
          </w:tcPr>
          <w:p w14:paraId="7B1F3185" w14:textId="77777777" w:rsidR="00BC5BDF" w:rsidRPr="00B37A02" w:rsidRDefault="00BC5BDF" w:rsidP="00C97F66">
            <w:pPr>
              <w:widowControl w:val="0"/>
              <w:spacing w:after="0" w:line="240" w:lineRule="auto"/>
              <w:jc w:val="both"/>
              <w:rPr>
                <w:rFonts w:ascii="Times New Roman" w:eastAsia="MS Mincho" w:hAnsi="Times New Roman" w:cs="Times New Roman"/>
                <w:sz w:val="24"/>
                <w:szCs w:val="18"/>
                <w:lang w:eastAsia="da-DK"/>
              </w:rPr>
            </w:pPr>
          </w:p>
        </w:tc>
      </w:tr>
      <w:tr w:rsidR="002E1382" w:rsidRPr="00B37A02" w14:paraId="16AF49AB" w14:textId="77777777" w:rsidTr="002E1382">
        <w:tc>
          <w:tcPr>
            <w:tcW w:w="807" w:type="pct"/>
            <w:tcBorders>
              <w:top w:val="single" w:sz="4" w:space="0" w:color="auto"/>
              <w:left w:val="single" w:sz="4" w:space="0" w:color="auto"/>
              <w:bottom w:val="single" w:sz="4" w:space="0" w:color="auto"/>
              <w:right w:val="single" w:sz="4" w:space="0" w:color="auto"/>
            </w:tcBorders>
            <w:shd w:val="clear" w:color="auto" w:fill="auto"/>
            <w:hideMark/>
          </w:tcPr>
          <w:p w14:paraId="1949C3C2" w14:textId="77777777" w:rsidR="00BC5BDF" w:rsidRPr="00B37A02" w:rsidRDefault="00BC5BDF" w:rsidP="00C97F66">
            <w:pPr>
              <w:widowControl w:val="0"/>
              <w:spacing w:after="0" w:line="240" w:lineRule="auto"/>
              <w:jc w:val="both"/>
              <w:rPr>
                <w:rFonts w:ascii="Times New Roman" w:eastAsia="MS Mincho" w:hAnsi="Times New Roman" w:cs="Times New Roman"/>
                <w:bCs/>
                <w:sz w:val="24"/>
                <w:szCs w:val="18"/>
              </w:rPr>
            </w:pPr>
            <w:r w:rsidRPr="00B37A02">
              <w:rPr>
                <w:rFonts w:ascii="Times New Roman" w:hAnsi="Times New Roman" w:cs="Times New Roman"/>
                <w:sz w:val="24"/>
              </w:rPr>
              <w:t>Spānija</w:t>
            </w:r>
          </w:p>
        </w:tc>
        <w:tc>
          <w:tcPr>
            <w:tcW w:w="730" w:type="pct"/>
            <w:tcBorders>
              <w:top w:val="single" w:sz="4" w:space="0" w:color="auto"/>
              <w:left w:val="single" w:sz="4" w:space="0" w:color="auto"/>
              <w:bottom w:val="single" w:sz="4" w:space="0" w:color="auto"/>
              <w:right w:val="single" w:sz="4" w:space="0" w:color="auto"/>
            </w:tcBorders>
            <w:shd w:val="clear" w:color="auto" w:fill="92D050"/>
          </w:tcPr>
          <w:p w14:paraId="3DE7AABD" w14:textId="77777777" w:rsidR="00BC5BDF" w:rsidRPr="00B37A02" w:rsidRDefault="00BC5BDF" w:rsidP="00C97F66">
            <w:pPr>
              <w:widowControl w:val="0"/>
              <w:spacing w:after="0" w:line="240" w:lineRule="auto"/>
              <w:jc w:val="both"/>
              <w:rPr>
                <w:rFonts w:ascii="Times New Roman" w:eastAsia="MS Mincho" w:hAnsi="Times New Roman" w:cs="Times New Roman"/>
                <w:sz w:val="24"/>
                <w:szCs w:val="18"/>
                <w:lang w:eastAsia="da-DK"/>
              </w:rPr>
            </w:pPr>
          </w:p>
        </w:tc>
        <w:tc>
          <w:tcPr>
            <w:tcW w:w="852" w:type="pct"/>
            <w:tcBorders>
              <w:top w:val="single" w:sz="4" w:space="0" w:color="auto"/>
              <w:left w:val="single" w:sz="4" w:space="0" w:color="auto"/>
              <w:bottom w:val="single" w:sz="4" w:space="0" w:color="auto"/>
              <w:right w:val="single" w:sz="4" w:space="0" w:color="auto"/>
            </w:tcBorders>
            <w:shd w:val="clear" w:color="auto" w:fill="92D050"/>
          </w:tcPr>
          <w:p w14:paraId="7B8DF683" w14:textId="77777777" w:rsidR="00BC5BDF" w:rsidRPr="00B37A02" w:rsidRDefault="00BC5BDF" w:rsidP="00C97F66">
            <w:pPr>
              <w:widowControl w:val="0"/>
              <w:spacing w:after="0" w:line="240" w:lineRule="auto"/>
              <w:jc w:val="both"/>
              <w:rPr>
                <w:rFonts w:ascii="Times New Roman" w:eastAsia="MS Mincho" w:hAnsi="Times New Roman" w:cs="Times New Roman"/>
                <w:sz w:val="24"/>
                <w:szCs w:val="18"/>
                <w:lang w:eastAsia="da-DK"/>
              </w:rPr>
            </w:pPr>
          </w:p>
        </w:tc>
        <w:tc>
          <w:tcPr>
            <w:tcW w:w="1018" w:type="pct"/>
            <w:tcBorders>
              <w:top w:val="single" w:sz="4" w:space="0" w:color="auto"/>
              <w:left w:val="single" w:sz="4" w:space="0" w:color="auto"/>
              <w:bottom w:val="single" w:sz="4" w:space="0" w:color="auto"/>
              <w:right w:val="single" w:sz="18" w:space="0" w:color="auto"/>
            </w:tcBorders>
            <w:shd w:val="clear" w:color="auto" w:fill="92D050"/>
          </w:tcPr>
          <w:p w14:paraId="10370856" w14:textId="77777777" w:rsidR="00BC5BDF" w:rsidRPr="00B37A02" w:rsidRDefault="00BC5BDF" w:rsidP="00C97F66">
            <w:pPr>
              <w:widowControl w:val="0"/>
              <w:spacing w:after="0" w:line="240" w:lineRule="auto"/>
              <w:jc w:val="both"/>
              <w:rPr>
                <w:rFonts w:ascii="Times New Roman" w:eastAsia="MS Mincho" w:hAnsi="Times New Roman" w:cs="Times New Roman"/>
                <w:sz w:val="24"/>
                <w:szCs w:val="18"/>
                <w:lang w:eastAsia="da-DK"/>
              </w:rPr>
            </w:pPr>
          </w:p>
        </w:tc>
        <w:tc>
          <w:tcPr>
            <w:tcW w:w="1592" w:type="pct"/>
            <w:vMerge/>
            <w:tcBorders>
              <w:left w:val="single" w:sz="18" w:space="0" w:color="auto"/>
              <w:right w:val="single" w:sz="4" w:space="0" w:color="auto"/>
            </w:tcBorders>
            <w:shd w:val="clear" w:color="auto" w:fill="FFFFFF" w:themeFill="background1"/>
          </w:tcPr>
          <w:p w14:paraId="2A4791C0" w14:textId="77777777" w:rsidR="00BC5BDF" w:rsidRPr="00B37A02" w:rsidRDefault="00BC5BDF" w:rsidP="00C97F66">
            <w:pPr>
              <w:widowControl w:val="0"/>
              <w:spacing w:after="0" w:line="240" w:lineRule="auto"/>
              <w:jc w:val="both"/>
              <w:rPr>
                <w:rFonts w:ascii="Times New Roman" w:eastAsia="MS Mincho" w:hAnsi="Times New Roman" w:cs="Times New Roman"/>
                <w:sz w:val="24"/>
                <w:szCs w:val="18"/>
                <w:lang w:eastAsia="da-DK"/>
              </w:rPr>
            </w:pPr>
          </w:p>
        </w:tc>
      </w:tr>
      <w:tr w:rsidR="002E1382" w:rsidRPr="00B37A02" w14:paraId="2F75ECF8" w14:textId="77777777" w:rsidTr="002E1382">
        <w:tc>
          <w:tcPr>
            <w:tcW w:w="807" w:type="pct"/>
            <w:tcBorders>
              <w:top w:val="single" w:sz="4" w:space="0" w:color="auto"/>
              <w:left w:val="single" w:sz="4" w:space="0" w:color="auto"/>
              <w:bottom w:val="single" w:sz="4" w:space="0" w:color="auto"/>
              <w:right w:val="single" w:sz="4" w:space="0" w:color="auto"/>
            </w:tcBorders>
            <w:shd w:val="clear" w:color="auto" w:fill="auto"/>
          </w:tcPr>
          <w:p w14:paraId="5DA9F392" w14:textId="77777777" w:rsidR="00BC5BDF" w:rsidRPr="00B37A02" w:rsidRDefault="00BC5BDF" w:rsidP="00C97F66">
            <w:pPr>
              <w:widowControl w:val="0"/>
              <w:spacing w:after="0" w:line="240" w:lineRule="auto"/>
              <w:jc w:val="both"/>
              <w:rPr>
                <w:rFonts w:ascii="Times New Roman" w:eastAsia="MS Mincho" w:hAnsi="Times New Roman" w:cs="Times New Roman"/>
                <w:bCs/>
                <w:sz w:val="24"/>
                <w:szCs w:val="18"/>
              </w:rPr>
            </w:pPr>
            <w:r w:rsidRPr="00B37A02">
              <w:rPr>
                <w:rFonts w:ascii="Times New Roman" w:hAnsi="Times New Roman" w:cs="Times New Roman"/>
                <w:sz w:val="24"/>
              </w:rPr>
              <w:t>Zviedrija</w:t>
            </w:r>
          </w:p>
        </w:tc>
        <w:tc>
          <w:tcPr>
            <w:tcW w:w="730" w:type="pct"/>
            <w:tcBorders>
              <w:top w:val="single" w:sz="4" w:space="0" w:color="auto"/>
              <w:left w:val="single" w:sz="4" w:space="0" w:color="auto"/>
              <w:bottom w:val="single" w:sz="4" w:space="0" w:color="auto"/>
              <w:right w:val="single" w:sz="4" w:space="0" w:color="auto"/>
            </w:tcBorders>
            <w:shd w:val="clear" w:color="auto" w:fill="92D050"/>
          </w:tcPr>
          <w:p w14:paraId="5BF208B2" w14:textId="77777777" w:rsidR="00BC5BDF" w:rsidRPr="00B37A02" w:rsidRDefault="00BC5BDF" w:rsidP="00C97F66">
            <w:pPr>
              <w:widowControl w:val="0"/>
              <w:spacing w:after="0" w:line="240" w:lineRule="auto"/>
              <w:jc w:val="both"/>
              <w:rPr>
                <w:rFonts w:ascii="Times New Roman" w:eastAsia="MS Mincho" w:hAnsi="Times New Roman" w:cs="Times New Roman"/>
                <w:sz w:val="24"/>
                <w:szCs w:val="18"/>
                <w:lang w:eastAsia="da-DK"/>
              </w:rPr>
            </w:pPr>
          </w:p>
        </w:tc>
        <w:tc>
          <w:tcPr>
            <w:tcW w:w="852" w:type="pct"/>
            <w:tcBorders>
              <w:top w:val="single" w:sz="4" w:space="0" w:color="auto"/>
              <w:left w:val="single" w:sz="4" w:space="0" w:color="auto"/>
              <w:bottom w:val="single" w:sz="4" w:space="0" w:color="auto"/>
              <w:right w:val="single" w:sz="4" w:space="0" w:color="auto"/>
            </w:tcBorders>
            <w:shd w:val="clear" w:color="auto" w:fill="92D050"/>
          </w:tcPr>
          <w:p w14:paraId="6F447AA4" w14:textId="77777777" w:rsidR="00BC5BDF" w:rsidRPr="00B37A02" w:rsidRDefault="00BC5BDF" w:rsidP="00C97F66">
            <w:pPr>
              <w:widowControl w:val="0"/>
              <w:spacing w:after="0" w:line="240" w:lineRule="auto"/>
              <w:jc w:val="both"/>
              <w:rPr>
                <w:rFonts w:ascii="Times New Roman" w:eastAsia="MS Mincho" w:hAnsi="Times New Roman" w:cs="Times New Roman"/>
                <w:sz w:val="24"/>
                <w:szCs w:val="18"/>
                <w:lang w:eastAsia="da-DK"/>
              </w:rPr>
            </w:pPr>
          </w:p>
        </w:tc>
        <w:tc>
          <w:tcPr>
            <w:tcW w:w="1018" w:type="pct"/>
            <w:tcBorders>
              <w:top w:val="single" w:sz="4" w:space="0" w:color="auto"/>
              <w:left w:val="single" w:sz="4" w:space="0" w:color="auto"/>
              <w:bottom w:val="single" w:sz="4" w:space="0" w:color="auto"/>
              <w:right w:val="single" w:sz="18" w:space="0" w:color="auto"/>
            </w:tcBorders>
            <w:shd w:val="clear" w:color="auto" w:fill="FFFFFF" w:themeFill="background1"/>
          </w:tcPr>
          <w:p w14:paraId="3121C796" w14:textId="77777777" w:rsidR="00BC5BDF" w:rsidRPr="00B37A02" w:rsidRDefault="00BC5BDF" w:rsidP="00C97F66">
            <w:pPr>
              <w:widowControl w:val="0"/>
              <w:spacing w:after="0" w:line="240" w:lineRule="auto"/>
              <w:jc w:val="both"/>
              <w:rPr>
                <w:rFonts w:ascii="Times New Roman" w:eastAsia="MS Mincho" w:hAnsi="Times New Roman" w:cs="Times New Roman"/>
                <w:sz w:val="24"/>
                <w:szCs w:val="18"/>
                <w:lang w:eastAsia="da-DK"/>
              </w:rPr>
            </w:pPr>
          </w:p>
        </w:tc>
        <w:tc>
          <w:tcPr>
            <w:tcW w:w="1592" w:type="pct"/>
            <w:vMerge/>
            <w:tcBorders>
              <w:left w:val="single" w:sz="18" w:space="0" w:color="auto"/>
              <w:right w:val="single" w:sz="4" w:space="0" w:color="auto"/>
            </w:tcBorders>
            <w:shd w:val="clear" w:color="auto" w:fill="FFFFFF" w:themeFill="background1"/>
          </w:tcPr>
          <w:p w14:paraId="77F28F71" w14:textId="77777777" w:rsidR="00BC5BDF" w:rsidRPr="00B37A02" w:rsidRDefault="00BC5BDF" w:rsidP="00C97F66">
            <w:pPr>
              <w:widowControl w:val="0"/>
              <w:spacing w:after="0" w:line="240" w:lineRule="auto"/>
              <w:jc w:val="both"/>
              <w:rPr>
                <w:rFonts w:ascii="Times New Roman" w:eastAsia="MS Mincho" w:hAnsi="Times New Roman" w:cs="Times New Roman"/>
                <w:sz w:val="24"/>
                <w:szCs w:val="18"/>
                <w:lang w:eastAsia="da-DK"/>
              </w:rPr>
            </w:pPr>
          </w:p>
        </w:tc>
      </w:tr>
    </w:tbl>
    <w:p w14:paraId="5A10B6F1" w14:textId="77777777" w:rsidR="00BC5BDF" w:rsidRPr="00B37A02" w:rsidRDefault="00BC5BDF" w:rsidP="00C97F66">
      <w:pPr>
        <w:pStyle w:val="BodyText"/>
        <w:widowControl w:val="0"/>
        <w:spacing w:after="0"/>
        <w:rPr>
          <w:rFonts w:ascii="Times New Roman" w:hAnsi="Times New Roman"/>
          <w:szCs w:val="16"/>
        </w:rPr>
      </w:pPr>
      <w:r w:rsidRPr="00B37A02">
        <w:rPr>
          <w:rFonts w:ascii="Times New Roman" w:hAnsi="Times New Roman"/>
        </w:rPr>
        <w:t xml:space="preserve">Avots: Hjern and Østergaard + </w:t>
      </w:r>
      <w:r w:rsidRPr="00B37A02">
        <w:rPr>
          <w:rFonts w:ascii="Times New Roman" w:hAnsi="Times New Roman"/>
          <w:i/>
          <w:iCs/>
        </w:rPr>
        <w:t>BG SPC</w:t>
      </w:r>
      <w:r w:rsidRPr="00B37A02">
        <w:rPr>
          <w:rFonts w:ascii="Times New Roman" w:hAnsi="Times New Roman"/>
        </w:rPr>
        <w:t xml:space="preserve"> pārstāvja labojums, 21.09.2020.</w:t>
      </w:r>
    </w:p>
    <w:p w14:paraId="4E471504" w14:textId="77777777" w:rsidR="00BC5BDF" w:rsidRPr="00B37A02" w:rsidRDefault="00BC5BDF" w:rsidP="00C97F66">
      <w:pPr>
        <w:pStyle w:val="BodyText"/>
        <w:widowControl w:val="0"/>
        <w:spacing w:after="0"/>
        <w:rPr>
          <w:rFonts w:ascii="Times New Roman" w:hAnsi="Times New Roman"/>
          <w:sz w:val="24"/>
        </w:rPr>
      </w:pPr>
    </w:p>
    <w:p w14:paraId="17FE0FA6" w14:textId="77777777" w:rsidR="00BC5BDF" w:rsidRPr="00B37A02" w:rsidRDefault="00BC5BDF" w:rsidP="00C97F66">
      <w:pPr>
        <w:widowControl w:val="0"/>
        <w:spacing w:after="0" w:line="240" w:lineRule="auto"/>
        <w:jc w:val="both"/>
        <w:rPr>
          <w:rFonts w:ascii="Times New Roman" w:hAnsi="Times New Roman" w:cs="Times New Roman"/>
          <w:sz w:val="24"/>
        </w:rPr>
      </w:pPr>
      <w:bookmarkStart w:id="368" w:name="_Toc62823451"/>
      <w:bookmarkStart w:id="369" w:name="_Toc62823539"/>
      <w:bookmarkStart w:id="370" w:name="_Toc62833138"/>
      <w:bookmarkStart w:id="371" w:name="_Toc62841480"/>
      <w:bookmarkStart w:id="372" w:name="_Toc62942403"/>
      <w:bookmarkStart w:id="373" w:name="_Toc63178120"/>
      <w:bookmarkStart w:id="374" w:name="_Toc63258873"/>
      <w:bookmarkStart w:id="375" w:name="_Toc63269676"/>
      <w:bookmarkStart w:id="376" w:name="_Toc63692784"/>
      <w:bookmarkStart w:id="377" w:name="_Toc63712863"/>
      <w:bookmarkStart w:id="378" w:name="_Toc63850170"/>
      <w:bookmarkStart w:id="379" w:name="_Toc63850313"/>
      <w:bookmarkStart w:id="380" w:name="_Toc63862445"/>
      <w:r w:rsidRPr="00B37A02">
        <w:rPr>
          <w:rFonts w:ascii="Times New Roman" w:hAnsi="Times New Roman" w:cs="Times New Roman"/>
        </w:rPr>
        <w:br w:type="page"/>
      </w:r>
    </w:p>
    <w:bookmarkEnd w:id="368"/>
    <w:bookmarkEnd w:id="369"/>
    <w:bookmarkEnd w:id="370"/>
    <w:bookmarkEnd w:id="371"/>
    <w:bookmarkEnd w:id="372"/>
    <w:bookmarkEnd w:id="373"/>
    <w:bookmarkEnd w:id="374"/>
    <w:bookmarkEnd w:id="375"/>
    <w:bookmarkEnd w:id="376"/>
    <w:bookmarkEnd w:id="377"/>
    <w:bookmarkEnd w:id="378"/>
    <w:bookmarkEnd w:id="379"/>
    <w:bookmarkEnd w:id="380"/>
    <w:p w14:paraId="60CAEBE8" w14:textId="7E50DD0D" w:rsidR="002E1382" w:rsidRPr="00B37A02" w:rsidRDefault="00BC7435" w:rsidP="00C97F66">
      <w:pPr>
        <w:spacing w:after="0" w:line="240" w:lineRule="auto"/>
        <w:rPr>
          <w:rFonts w:ascii="Times New Roman" w:eastAsiaTheme="majorEastAsia" w:hAnsi="Times New Roman" w:cs="Times New Roman"/>
          <w:color w:val="2E74B5" w:themeColor="accent1" w:themeShade="BF"/>
          <w:sz w:val="24"/>
          <w:szCs w:val="26"/>
        </w:rPr>
      </w:pPr>
      <w:r w:rsidRPr="00B37A02">
        <w:rPr>
          <w:rFonts w:ascii="Times New Roman" w:hAnsi="Times New Roman" w:cs="Times New Roman"/>
          <w:color w:val="2E74B5" w:themeColor="accent1" w:themeShade="BF"/>
          <w:sz w:val="24"/>
        </w:rPr>
        <w:lastRenderedPageBreak/>
        <w:t>Minoritāšu rases bērni vai etnisko piederību (jo īpaši romu bērni)</w:t>
      </w:r>
    </w:p>
    <w:p w14:paraId="7F3D479C" w14:textId="77777777" w:rsidR="00BC7435" w:rsidRPr="00B37A02" w:rsidRDefault="00BC7435" w:rsidP="00C97F66">
      <w:pPr>
        <w:spacing w:after="0" w:line="240" w:lineRule="auto"/>
        <w:rPr>
          <w:rFonts w:ascii="Times New Roman" w:hAnsi="Times New Roman" w:cs="Times New Roman"/>
        </w:rPr>
      </w:pPr>
    </w:p>
    <w:p w14:paraId="406FA93E" w14:textId="63C90150" w:rsidR="00EC5DE2" w:rsidRPr="00B37A02" w:rsidRDefault="00BC5BDF" w:rsidP="00C97F66">
      <w:pPr>
        <w:pStyle w:val="BodyText"/>
        <w:widowControl w:val="0"/>
        <w:spacing w:after="0"/>
        <w:rPr>
          <w:rFonts w:ascii="Times New Roman" w:hAnsi="Times New Roman"/>
          <w:sz w:val="24"/>
          <w:szCs w:val="24"/>
        </w:rPr>
      </w:pPr>
      <w:r w:rsidRPr="00B37A02">
        <w:rPr>
          <w:rFonts w:ascii="Times New Roman" w:hAnsi="Times New Roman"/>
          <w:sz w:val="24"/>
        </w:rPr>
        <w:t>Vairumā valsts un starptautiska līmeņa apsekojumu, kurā iesaistīti visi iedzīvotāji, nav iekļauti dati par romu tautības iedzīvotājiem, jo: i) dati par etnisko izcelsmi netiek apkopoti; ii) ne visi romu tautības iedzīvotāji vēlas atklāt savu etnisko izcelsmi vai iii) rodas grūtības ar atlasi.</w:t>
      </w:r>
    </w:p>
    <w:p w14:paraId="314458B1" w14:textId="77777777" w:rsidR="002E1382" w:rsidRPr="00B37A02" w:rsidRDefault="002E1382" w:rsidP="00C97F66">
      <w:pPr>
        <w:pStyle w:val="BodyText"/>
        <w:widowControl w:val="0"/>
        <w:spacing w:after="0"/>
        <w:rPr>
          <w:rFonts w:ascii="Times New Roman" w:hAnsi="Times New Roman"/>
          <w:sz w:val="24"/>
          <w:szCs w:val="24"/>
        </w:rPr>
      </w:pPr>
    </w:p>
    <w:p w14:paraId="3F53CC7E" w14:textId="2450879F" w:rsidR="00BC5BDF" w:rsidRPr="00B37A02" w:rsidRDefault="00BC5BDF" w:rsidP="00C97F66">
      <w:pPr>
        <w:pStyle w:val="Caption"/>
        <w:widowControl w:val="0"/>
        <w:spacing w:after="0"/>
        <w:jc w:val="both"/>
        <w:rPr>
          <w:rFonts w:ascii="Times New Roman" w:hAnsi="Times New Roman" w:cs="Times New Roman"/>
          <w:sz w:val="24"/>
          <w:szCs w:val="24"/>
        </w:rPr>
      </w:pPr>
      <w:r w:rsidRPr="00B37A02">
        <w:rPr>
          <w:rFonts w:ascii="Times New Roman" w:hAnsi="Times New Roman" w:cs="Times New Roman"/>
          <w:sz w:val="24"/>
        </w:rPr>
        <w:t>A8. tabula. Aptuvenais romu skaits ES dalībvalstīs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117"/>
        <w:gridCol w:w="1676"/>
        <w:gridCol w:w="1253"/>
        <w:gridCol w:w="1283"/>
        <w:gridCol w:w="1366"/>
        <w:gridCol w:w="1366"/>
      </w:tblGrid>
      <w:tr w:rsidR="00BC5BDF" w:rsidRPr="00B37A02" w14:paraId="34BF1B67" w14:textId="77777777" w:rsidTr="002E1382">
        <w:tc>
          <w:tcPr>
            <w:tcW w:w="1179" w:type="pct"/>
            <w:vMerge w:val="restart"/>
            <w:shd w:val="clear" w:color="000000" w:fill="99CCFF"/>
            <w:vAlign w:val="center"/>
            <w:hideMark/>
          </w:tcPr>
          <w:p w14:paraId="0CD8E40E" w14:textId="77777777" w:rsidR="00BC5BDF" w:rsidRPr="00B37A02" w:rsidRDefault="00BC5BDF" w:rsidP="00C97F66">
            <w:pPr>
              <w:widowControl w:val="0"/>
              <w:spacing w:after="0" w:line="240" w:lineRule="auto"/>
              <w:jc w:val="center"/>
              <w:rPr>
                <w:rFonts w:ascii="Times New Roman" w:hAnsi="Times New Roman" w:cs="Times New Roman"/>
                <w:sz w:val="24"/>
              </w:rPr>
            </w:pPr>
            <w:r w:rsidRPr="00B37A02">
              <w:rPr>
                <w:rFonts w:ascii="Times New Roman" w:hAnsi="Times New Roman" w:cs="Times New Roman"/>
                <w:sz w:val="24"/>
              </w:rPr>
              <w:t>Dalībvalsts</w:t>
            </w:r>
          </w:p>
        </w:tc>
        <w:tc>
          <w:tcPr>
            <w:tcW w:w="936" w:type="pct"/>
            <w:vMerge w:val="restart"/>
            <w:shd w:val="clear" w:color="000000" w:fill="99CCFF"/>
            <w:vAlign w:val="center"/>
            <w:hideMark/>
          </w:tcPr>
          <w:p w14:paraId="77B19E3C" w14:textId="260B5718" w:rsidR="00BC5BDF" w:rsidRPr="00B37A02" w:rsidRDefault="00BC5BDF" w:rsidP="00C97F66">
            <w:pPr>
              <w:widowControl w:val="0"/>
              <w:spacing w:after="0" w:line="240" w:lineRule="auto"/>
              <w:jc w:val="center"/>
              <w:rPr>
                <w:rFonts w:ascii="Times New Roman" w:hAnsi="Times New Roman" w:cs="Times New Roman"/>
                <w:sz w:val="24"/>
              </w:rPr>
            </w:pPr>
            <w:r w:rsidRPr="00B37A02">
              <w:rPr>
                <w:rFonts w:ascii="Times New Roman" w:hAnsi="Times New Roman" w:cs="Times New Roman"/>
                <w:sz w:val="24"/>
              </w:rPr>
              <w:t>Oficiālais skaits</w:t>
            </w:r>
          </w:p>
        </w:tc>
        <w:tc>
          <w:tcPr>
            <w:tcW w:w="2885" w:type="pct"/>
            <w:gridSpan w:val="4"/>
            <w:shd w:val="clear" w:color="000000" w:fill="99CCFF"/>
            <w:vAlign w:val="center"/>
            <w:hideMark/>
          </w:tcPr>
          <w:p w14:paraId="741069FE" w14:textId="77777777" w:rsidR="00BC5BDF" w:rsidRPr="00B37A02" w:rsidRDefault="00BC5BDF" w:rsidP="00C97F66">
            <w:pPr>
              <w:widowControl w:val="0"/>
              <w:spacing w:after="0" w:line="240" w:lineRule="auto"/>
              <w:jc w:val="center"/>
              <w:rPr>
                <w:rFonts w:ascii="Times New Roman" w:hAnsi="Times New Roman" w:cs="Times New Roman"/>
                <w:sz w:val="24"/>
              </w:rPr>
            </w:pPr>
            <w:r w:rsidRPr="00B37A02">
              <w:rPr>
                <w:rFonts w:ascii="Times New Roman" w:hAnsi="Times New Roman" w:cs="Times New Roman"/>
                <w:sz w:val="24"/>
              </w:rPr>
              <w:t>Aptuvenais</w:t>
            </w:r>
          </w:p>
        </w:tc>
      </w:tr>
      <w:tr w:rsidR="00C97F66" w:rsidRPr="00B37A02" w14:paraId="67E8C532" w14:textId="77777777" w:rsidTr="002E1382">
        <w:tc>
          <w:tcPr>
            <w:tcW w:w="1179" w:type="pct"/>
            <w:vMerge/>
            <w:shd w:val="clear" w:color="000000" w:fill="99CCFF"/>
            <w:vAlign w:val="center"/>
          </w:tcPr>
          <w:p w14:paraId="228B0813" w14:textId="77777777" w:rsidR="00BC5BDF" w:rsidRPr="00B37A02" w:rsidRDefault="00BC5BDF" w:rsidP="00C97F66">
            <w:pPr>
              <w:widowControl w:val="0"/>
              <w:spacing w:after="0" w:line="240" w:lineRule="auto"/>
              <w:jc w:val="center"/>
              <w:rPr>
                <w:rFonts w:ascii="Times New Roman" w:hAnsi="Times New Roman" w:cs="Times New Roman"/>
                <w:sz w:val="24"/>
              </w:rPr>
            </w:pPr>
          </w:p>
        </w:tc>
        <w:tc>
          <w:tcPr>
            <w:tcW w:w="936" w:type="pct"/>
            <w:vMerge/>
            <w:shd w:val="clear" w:color="000000" w:fill="99CCFF"/>
            <w:vAlign w:val="center"/>
          </w:tcPr>
          <w:p w14:paraId="4AC18995" w14:textId="77777777" w:rsidR="00BC5BDF" w:rsidRPr="00B37A02" w:rsidRDefault="00BC5BDF" w:rsidP="00C97F66">
            <w:pPr>
              <w:widowControl w:val="0"/>
              <w:spacing w:after="0" w:line="240" w:lineRule="auto"/>
              <w:jc w:val="center"/>
              <w:rPr>
                <w:rFonts w:ascii="Times New Roman" w:hAnsi="Times New Roman" w:cs="Times New Roman"/>
                <w:sz w:val="24"/>
              </w:rPr>
            </w:pPr>
          </w:p>
        </w:tc>
        <w:tc>
          <w:tcPr>
            <w:tcW w:w="702" w:type="pct"/>
            <w:shd w:val="clear" w:color="000000" w:fill="99CCFF"/>
            <w:vAlign w:val="center"/>
          </w:tcPr>
          <w:p w14:paraId="7DC7FA4F" w14:textId="77777777" w:rsidR="00BC5BDF" w:rsidRPr="00B37A02" w:rsidRDefault="00BC5BDF" w:rsidP="00C97F66">
            <w:pPr>
              <w:widowControl w:val="0"/>
              <w:spacing w:after="0" w:line="240" w:lineRule="auto"/>
              <w:jc w:val="center"/>
              <w:rPr>
                <w:rFonts w:ascii="Times New Roman" w:hAnsi="Times New Roman" w:cs="Times New Roman"/>
                <w:sz w:val="24"/>
              </w:rPr>
            </w:pPr>
            <w:r w:rsidRPr="00B37A02">
              <w:rPr>
                <w:rFonts w:ascii="Times New Roman" w:hAnsi="Times New Roman" w:cs="Times New Roman"/>
                <w:sz w:val="24"/>
              </w:rPr>
              <w:t>Minimālais</w:t>
            </w:r>
          </w:p>
        </w:tc>
        <w:tc>
          <w:tcPr>
            <w:tcW w:w="655" w:type="pct"/>
            <w:shd w:val="clear" w:color="000000" w:fill="99CCFF"/>
            <w:vAlign w:val="center"/>
          </w:tcPr>
          <w:p w14:paraId="7BDA9917" w14:textId="77777777" w:rsidR="00BC5BDF" w:rsidRPr="00B37A02" w:rsidRDefault="00BC5BDF" w:rsidP="00C97F66">
            <w:pPr>
              <w:widowControl w:val="0"/>
              <w:spacing w:after="0" w:line="240" w:lineRule="auto"/>
              <w:jc w:val="center"/>
              <w:rPr>
                <w:rFonts w:ascii="Times New Roman" w:hAnsi="Times New Roman" w:cs="Times New Roman"/>
                <w:sz w:val="24"/>
              </w:rPr>
            </w:pPr>
            <w:r w:rsidRPr="00B37A02">
              <w:rPr>
                <w:rFonts w:ascii="Times New Roman" w:hAnsi="Times New Roman" w:cs="Times New Roman"/>
                <w:sz w:val="24"/>
              </w:rPr>
              <w:t>Maksimālais</w:t>
            </w:r>
          </w:p>
        </w:tc>
        <w:tc>
          <w:tcPr>
            <w:tcW w:w="764" w:type="pct"/>
            <w:shd w:val="clear" w:color="000000" w:fill="99CCFF"/>
            <w:vAlign w:val="center"/>
          </w:tcPr>
          <w:p w14:paraId="0C2FF2E2" w14:textId="77777777" w:rsidR="00BC5BDF" w:rsidRPr="00B37A02" w:rsidRDefault="00BC5BDF" w:rsidP="00C97F66">
            <w:pPr>
              <w:widowControl w:val="0"/>
              <w:spacing w:after="0" w:line="240" w:lineRule="auto"/>
              <w:jc w:val="center"/>
              <w:rPr>
                <w:rFonts w:ascii="Times New Roman" w:hAnsi="Times New Roman" w:cs="Times New Roman"/>
                <w:sz w:val="24"/>
              </w:rPr>
            </w:pPr>
            <w:r w:rsidRPr="00B37A02">
              <w:rPr>
                <w:rFonts w:ascii="Times New Roman" w:hAnsi="Times New Roman" w:cs="Times New Roman"/>
                <w:sz w:val="24"/>
              </w:rPr>
              <w:t>Vidējais (Eiropas Padomes izmantotais rādītājs)</w:t>
            </w:r>
          </w:p>
        </w:tc>
        <w:tc>
          <w:tcPr>
            <w:tcW w:w="764" w:type="pct"/>
            <w:shd w:val="clear" w:color="000000" w:fill="99CCFF"/>
            <w:vAlign w:val="center"/>
          </w:tcPr>
          <w:p w14:paraId="26856E64" w14:textId="77777777" w:rsidR="00BC5BDF" w:rsidRPr="00B37A02" w:rsidRDefault="00BC5BDF" w:rsidP="00C97F66">
            <w:pPr>
              <w:widowControl w:val="0"/>
              <w:spacing w:after="0" w:line="240" w:lineRule="auto"/>
              <w:jc w:val="center"/>
              <w:rPr>
                <w:rFonts w:ascii="Times New Roman" w:hAnsi="Times New Roman" w:cs="Times New Roman"/>
                <w:sz w:val="24"/>
              </w:rPr>
            </w:pPr>
            <w:r w:rsidRPr="00B37A02">
              <w:rPr>
                <w:rFonts w:ascii="Times New Roman" w:hAnsi="Times New Roman" w:cs="Times New Roman"/>
                <w:sz w:val="24"/>
              </w:rPr>
              <w:t>Vidējais rādītājs kā iedzīvotāju kopskaita īpatsvars</w:t>
            </w:r>
          </w:p>
        </w:tc>
      </w:tr>
      <w:tr w:rsidR="00BC5BDF" w:rsidRPr="00B37A02" w14:paraId="6AD86015" w14:textId="77777777" w:rsidTr="002E1382">
        <w:tc>
          <w:tcPr>
            <w:tcW w:w="1179" w:type="pct"/>
            <w:shd w:val="clear" w:color="auto" w:fill="auto"/>
            <w:vAlign w:val="center"/>
            <w:hideMark/>
          </w:tcPr>
          <w:p w14:paraId="67E20B51" w14:textId="77777777" w:rsidR="00BC5BDF" w:rsidRPr="00B37A02" w:rsidRDefault="00BC5BDF" w:rsidP="004A565E">
            <w:pPr>
              <w:widowControl w:val="0"/>
              <w:spacing w:after="0" w:line="240" w:lineRule="auto"/>
              <w:jc w:val="center"/>
              <w:rPr>
                <w:rFonts w:ascii="Times New Roman" w:eastAsia="Times New Roman" w:hAnsi="Times New Roman" w:cs="Times New Roman"/>
                <w:i/>
                <w:iCs/>
                <w:sz w:val="24"/>
                <w:szCs w:val="20"/>
              </w:rPr>
            </w:pPr>
            <w:r w:rsidRPr="00B37A02">
              <w:rPr>
                <w:rFonts w:ascii="Times New Roman" w:hAnsi="Times New Roman" w:cs="Times New Roman"/>
                <w:i/>
                <w:sz w:val="24"/>
              </w:rPr>
              <w:t>Bulgārija</w:t>
            </w:r>
          </w:p>
        </w:tc>
        <w:tc>
          <w:tcPr>
            <w:tcW w:w="936" w:type="pct"/>
            <w:shd w:val="clear" w:color="auto" w:fill="auto"/>
            <w:vAlign w:val="center"/>
            <w:hideMark/>
          </w:tcPr>
          <w:p w14:paraId="65D921CD"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325 343</w:t>
            </w:r>
          </w:p>
        </w:tc>
        <w:tc>
          <w:tcPr>
            <w:tcW w:w="702" w:type="pct"/>
            <w:shd w:val="clear" w:color="auto" w:fill="auto"/>
            <w:vAlign w:val="center"/>
            <w:hideMark/>
          </w:tcPr>
          <w:p w14:paraId="55F2AD95"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700 000</w:t>
            </w:r>
          </w:p>
        </w:tc>
        <w:tc>
          <w:tcPr>
            <w:tcW w:w="655" w:type="pct"/>
            <w:shd w:val="clear" w:color="auto" w:fill="auto"/>
            <w:vAlign w:val="center"/>
            <w:hideMark/>
          </w:tcPr>
          <w:p w14:paraId="59FA0D7C"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800 000</w:t>
            </w:r>
          </w:p>
        </w:tc>
        <w:tc>
          <w:tcPr>
            <w:tcW w:w="764" w:type="pct"/>
            <w:shd w:val="clear" w:color="auto" w:fill="auto"/>
            <w:noWrap/>
            <w:vAlign w:val="center"/>
            <w:hideMark/>
          </w:tcPr>
          <w:p w14:paraId="68E43E83"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750 000</w:t>
            </w:r>
          </w:p>
        </w:tc>
        <w:tc>
          <w:tcPr>
            <w:tcW w:w="764" w:type="pct"/>
            <w:shd w:val="clear" w:color="auto" w:fill="auto"/>
            <w:noWrap/>
            <w:vAlign w:val="center"/>
            <w:hideMark/>
          </w:tcPr>
          <w:p w14:paraId="173F1A15"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9,94 %</w:t>
            </w:r>
          </w:p>
        </w:tc>
      </w:tr>
      <w:tr w:rsidR="00BC5BDF" w:rsidRPr="00B37A02" w14:paraId="674D53E7" w14:textId="77777777" w:rsidTr="002E1382">
        <w:tc>
          <w:tcPr>
            <w:tcW w:w="1179" w:type="pct"/>
            <w:shd w:val="clear" w:color="auto" w:fill="auto"/>
            <w:vAlign w:val="center"/>
            <w:hideMark/>
          </w:tcPr>
          <w:p w14:paraId="09EAF846" w14:textId="77777777" w:rsidR="00BC5BDF" w:rsidRPr="00B37A02" w:rsidRDefault="00BC5BDF" w:rsidP="004A565E">
            <w:pPr>
              <w:widowControl w:val="0"/>
              <w:spacing w:after="0" w:line="240" w:lineRule="auto"/>
              <w:jc w:val="center"/>
              <w:rPr>
                <w:rFonts w:ascii="Times New Roman" w:eastAsia="Times New Roman" w:hAnsi="Times New Roman" w:cs="Times New Roman"/>
                <w:i/>
                <w:iCs/>
                <w:sz w:val="24"/>
                <w:szCs w:val="20"/>
              </w:rPr>
            </w:pPr>
            <w:r w:rsidRPr="00B37A02">
              <w:rPr>
                <w:rFonts w:ascii="Times New Roman" w:hAnsi="Times New Roman" w:cs="Times New Roman"/>
                <w:i/>
                <w:sz w:val="24"/>
              </w:rPr>
              <w:t>Slovākija</w:t>
            </w:r>
          </w:p>
        </w:tc>
        <w:tc>
          <w:tcPr>
            <w:tcW w:w="936" w:type="pct"/>
            <w:shd w:val="clear" w:color="auto" w:fill="auto"/>
            <w:vAlign w:val="center"/>
            <w:hideMark/>
          </w:tcPr>
          <w:p w14:paraId="1643459D"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89 920</w:t>
            </w:r>
          </w:p>
        </w:tc>
        <w:tc>
          <w:tcPr>
            <w:tcW w:w="702" w:type="pct"/>
            <w:shd w:val="clear" w:color="auto" w:fill="auto"/>
            <w:vAlign w:val="center"/>
            <w:hideMark/>
          </w:tcPr>
          <w:p w14:paraId="2DD243A5"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380 000</w:t>
            </w:r>
          </w:p>
        </w:tc>
        <w:tc>
          <w:tcPr>
            <w:tcW w:w="655" w:type="pct"/>
            <w:shd w:val="clear" w:color="auto" w:fill="auto"/>
            <w:vAlign w:val="center"/>
            <w:hideMark/>
          </w:tcPr>
          <w:p w14:paraId="7679DFD7"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600 000</w:t>
            </w:r>
          </w:p>
        </w:tc>
        <w:tc>
          <w:tcPr>
            <w:tcW w:w="764" w:type="pct"/>
            <w:shd w:val="clear" w:color="auto" w:fill="auto"/>
            <w:noWrap/>
            <w:vAlign w:val="center"/>
            <w:hideMark/>
          </w:tcPr>
          <w:p w14:paraId="3C8D1F36"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490 000</w:t>
            </w:r>
          </w:p>
        </w:tc>
        <w:tc>
          <w:tcPr>
            <w:tcW w:w="764" w:type="pct"/>
            <w:shd w:val="clear" w:color="auto" w:fill="auto"/>
            <w:noWrap/>
            <w:vAlign w:val="center"/>
            <w:hideMark/>
          </w:tcPr>
          <w:p w14:paraId="0CF327DF"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9,02 %</w:t>
            </w:r>
          </w:p>
        </w:tc>
      </w:tr>
      <w:tr w:rsidR="00BC5BDF" w:rsidRPr="00B37A02" w14:paraId="0E847FC1" w14:textId="77777777" w:rsidTr="002E1382">
        <w:tc>
          <w:tcPr>
            <w:tcW w:w="1179" w:type="pct"/>
            <w:shd w:val="clear" w:color="auto" w:fill="auto"/>
            <w:vAlign w:val="center"/>
            <w:hideMark/>
          </w:tcPr>
          <w:p w14:paraId="1C98A01C" w14:textId="77777777" w:rsidR="00BC5BDF" w:rsidRPr="00B37A02" w:rsidRDefault="00BC5BDF" w:rsidP="004A565E">
            <w:pPr>
              <w:widowControl w:val="0"/>
              <w:spacing w:after="0" w:line="240" w:lineRule="auto"/>
              <w:jc w:val="center"/>
              <w:rPr>
                <w:rFonts w:ascii="Times New Roman" w:eastAsia="Times New Roman" w:hAnsi="Times New Roman" w:cs="Times New Roman"/>
                <w:i/>
                <w:iCs/>
                <w:sz w:val="24"/>
                <w:szCs w:val="20"/>
              </w:rPr>
            </w:pPr>
            <w:r w:rsidRPr="00B37A02">
              <w:rPr>
                <w:rFonts w:ascii="Times New Roman" w:hAnsi="Times New Roman" w:cs="Times New Roman"/>
                <w:i/>
                <w:sz w:val="24"/>
              </w:rPr>
              <w:t>Rumānija</w:t>
            </w:r>
          </w:p>
        </w:tc>
        <w:tc>
          <w:tcPr>
            <w:tcW w:w="936" w:type="pct"/>
            <w:shd w:val="clear" w:color="auto" w:fill="auto"/>
            <w:vAlign w:val="center"/>
            <w:hideMark/>
          </w:tcPr>
          <w:p w14:paraId="264307D3"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619 007</w:t>
            </w:r>
          </w:p>
        </w:tc>
        <w:tc>
          <w:tcPr>
            <w:tcW w:w="702" w:type="pct"/>
            <w:shd w:val="clear" w:color="auto" w:fill="auto"/>
            <w:vAlign w:val="center"/>
            <w:hideMark/>
          </w:tcPr>
          <w:p w14:paraId="748FDF39"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1 200 000</w:t>
            </w:r>
          </w:p>
        </w:tc>
        <w:tc>
          <w:tcPr>
            <w:tcW w:w="655" w:type="pct"/>
            <w:shd w:val="clear" w:color="auto" w:fill="auto"/>
            <w:vAlign w:val="center"/>
            <w:hideMark/>
          </w:tcPr>
          <w:p w14:paraId="4E73890A"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2 500 000</w:t>
            </w:r>
          </w:p>
        </w:tc>
        <w:tc>
          <w:tcPr>
            <w:tcW w:w="764" w:type="pct"/>
            <w:shd w:val="clear" w:color="auto" w:fill="auto"/>
            <w:noWrap/>
            <w:vAlign w:val="center"/>
            <w:hideMark/>
          </w:tcPr>
          <w:p w14:paraId="415D1DDF"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1 850 000</w:t>
            </w:r>
          </w:p>
        </w:tc>
        <w:tc>
          <w:tcPr>
            <w:tcW w:w="764" w:type="pct"/>
            <w:shd w:val="clear" w:color="auto" w:fill="auto"/>
            <w:noWrap/>
            <w:vAlign w:val="center"/>
            <w:hideMark/>
          </w:tcPr>
          <w:p w14:paraId="2C4FDAAA"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8,63 %</w:t>
            </w:r>
          </w:p>
        </w:tc>
      </w:tr>
      <w:tr w:rsidR="00BC5BDF" w:rsidRPr="00B37A02" w14:paraId="4D0913D8" w14:textId="77777777" w:rsidTr="002E1382">
        <w:tc>
          <w:tcPr>
            <w:tcW w:w="1179" w:type="pct"/>
            <w:shd w:val="clear" w:color="auto" w:fill="auto"/>
            <w:vAlign w:val="center"/>
            <w:hideMark/>
          </w:tcPr>
          <w:p w14:paraId="0C25DA58" w14:textId="77777777" w:rsidR="00BC5BDF" w:rsidRPr="00B37A02" w:rsidRDefault="00BC5BDF" w:rsidP="004A565E">
            <w:pPr>
              <w:widowControl w:val="0"/>
              <w:spacing w:after="0" w:line="240" w:lineRule="auto"/>
              <w:jc w:val="center"/>
              <w:rPr>
                <w:rFonts w:ascii="Times New Roman" w:eastAsia="Times New Roman" w:hAnsi="Times New Roman" w:cs="Times New Roman"/>
                <w:i/>
                <w:iCs/>
                <w:sz w:val="24"/>
                <w:szCs w:val="20"/>
              </w:rPr>
            </w:pPr>
            <w:r w:rsidRPr="00B37A02">
              <w:rPr>
                <w:rFonts w:ascii="Times New Roman" w:hAnsi="Times New Roman" w:cs="Times New Roman"/>
                <w:i/>
                <w:sz w:val="24"/>
              </w:rPr>
              <w:t>Ungārija</w:t>
            </w:r>
          </w:p>
        </w:tc>
        <w:tc>
          <w:tcPr>
            <w:tcW w:w="936" w:type="pct"/>
            <w:shd w:val="clear" w:color="auto" w:fill="auto"/>
            <w:vAlign w:val="center"/>
            <w:hideMark/>
          </w:tcPr>
          <w:p w14:paraId="23362388"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190 046</w:t>
            </w:r>
          </w:p>
        </w:tc>
        <w:tc>
          <w:tcPr>
            <w:tcW w:w="702" w:type="pct"/>
            <w:shd w:val="clear" w:color="auto" w:fill="auto"/>
            <w:vAlign w:val="center"/>
            <w:hideMark/>
          </w:tcPr>
          <w:p w14:paraId="6EFDEFC5"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500 000</w:t>
            </w:r>
          </w:p>
        </w:tc>
        <w:tc>
          <w:tcPr>
            <w:tcW w:w="655" w:type="pct"/>
            <w:shd w:val="clear" w:color="auto" w:fill="auto"/>
            <w:vAlign w:val="center"/>
            <w:hideMark/>
          </w:tcPr>
          <w:p w14:paraId="1EE450D4"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1 000 000</w:t>
            </w:r>
          </w:p>
        </w:tc>
        <w:tc>
          <w:tcPr>
            <w:tcW w:w="764" w:type="pct"/>
            <w:shd w:val="clear" w:color="auto" w:fill="auto"/>
            <w:noWrap/>
            <w:vAlign w:val="center"/>
            <w:hideMark/>
          </w:tcPr>
          <w:p w14:paraId="37FD9D06"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750 000</w:t>
            </w:r>
          </w:p>
        </w:tc>
        <w:tc>
          <w:tcPr>
            <w:tcW w:w="764" w:type="pct"/>
            <w:shd w:val="clear" w:color="auto" w:fill="auto"/>
            <w:noWrap/>
            <w:vAlign w:val="center"/>
            <w:hideMark/>
          </w:tcPr>
          <w:p w14:paraId="177DB803"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7,49 %</w:t>
            </w:r>
          </w:p>
        </w:tc>
      </w:tr>
      <w:tr w:rsidR="00BC5BDF" w:rsidRPr="00B37A02" w14:paraId="3FC07BD5" w14:textId="77777777" w:rsidTr="002E1382">
        <w:tc>
          <w:tcPr>
            <w:tcW w:w="1179" w:type="pct"/>
            <w:shd w:val="clear" w:color="auto" w:fill="auto"/>
            <w:vAlign w:val="center"/>
            <w:hideMark/>
          </w:tcPr>
          <w:p w14:paraId="704B2D9E" w14:textId="77777777" w:rsidR="00BC5BDF" w:rsidRPr="00B37A02" w:rsidRDefault="00BC5BDF" w:rsidP="004A565E">
            <w:pPr>
              <w:widowControl w:val="0"/>
              <w:spacing w:after="0" w:line="240" w:lineRule="auto"/>
              <w:jc w:val="center"/>
              <w:rPr>
                <w:rFonts w:ascii="Times New Roman" w:eastAsia="Times New Roman" w:hAnsi="Times New Roman" w:cs="Times New Roman"/>
                <w:i/>
                <w:iCs/>
                <w:sz w:val="24"/>
                <w:szCs w:val="20"/>
              </w:rPr>
            </w:pPr>
            <w:r w:rsidRPr="00B37A02">
              <w:rPr>
                <w:rFonts w:ascii="Times New Roman" w:hAnsi="Times New Roman" w:cs="Times New Roman"/>
                <w:i/>
                <w:sz w:val="24"/>
              </w:rPr>
              <w:t>Čehija</w:t>
            </w:r>
          </w:p>
        </w:tc>
        <w:tc>
          <w:tcPr>
            <w:tcW w:w="936" w:type="pct"/>
            <w:shd w:val="clear" w:color="auto" w:fill="auto"/>
            <w:vAlign w:val="center"/>
            <w:hideMark/>
          </w:tcPr>
          <w:p w14:paraId="0F21F2AC"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11 718</w:t>
            </w:r>
          </w:p>
        </w:tc>
        <w:tc>
          <w:tcPr>
            <w:tcW w:w="702" w:type="pct"/>
            <w:shd w:val="clear" w:color="auto" w:fill="auto"/>
            <w:vAlign w:val="center"/>
            <w:hideMark/>
          </w:tcPr>
          <w:p w14:paraId="24677618"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150 000</w:t>
            </w:r>
          </w:p>
        </w:tc>
        <w:tc>
          <w:tcPr>
            <w:tcW w:w="655" w:type="pct"/>
            <w:shd w:val="clear" w:color="auto" w:fill="auto"/>
            <w:vAlign w:val="center"/>
            <w:hideMark/>
          </w:tcPr>
          <w:p w14:paraId="302A46BE"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250 000</w:t>
            </w:r>
          </w:p>
        </w:tc>
        <w:tc>
          <w:tcPr>
            <w:tcW w:w="764" w:type="pct"/>
            <w:shd w:val="clear" w:color="auto" w:fill="auto"/>
            <w:noWrap/>
            <w:vAlign w:val="center"/>
            <w:hideMark/>
          </w:tcPr>
          <w:p w14:paraId="60E8C090"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200 000</w:t>
            </w:r>
          </w:p>
        </w:tc>
        <w:tc>
          <w:tcPr>
            <w:tcW w:w="764" w:type="pct"/>
            <w:shd w:val="clear" w:color="auto" w:fill="auto"/>
            <w:noWrap/>
            <w:vAlign w:val="center"/>
            <w:hideMark/>
          </w:tcPr>
          <w:p w14:paraId="5C303079"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1,90 %</w:t>
            </w:r>
          </w:p>
        </w:tc>
      </w:tr>
      <w:tr w:rsidR="00BC5BDF" w:rsidRPr="00B37A02" w14:paraId="471786AF" w14:textId="77777777" w:rsidTr="002E1382">
        <w:tc>
          <w:tcPr>
            <w:tcW w:w="1179" w:type="pct"/>
            <w:shd w:val="clear" w:color="auto" w:fill="auto"/>
            <w:vAlign w:val="center"/>
            <w:hideMark/>
          </w:tcPr>
          <w:p w14:paraId="565B671B" w14:textId="77777777" w:rsidR="00BC5BDF" w:rsidRPr="00B37A02" w:rsidRDefault="00BC5BDF" w:rsidP="004A565E">
            <w:pPr>
              <w:widowControl w:val="0"/>
              <w:spacing w:after="0" w:line="240" w:lineRule="auto"/>
              <w:jc w:val="center"/>
              <w:rPr>
                <w:rFonts w:ascii="Times New Roman" w:eastAsia="Times New Roman" w:hAnsi="Times New Roman" w:cs="Times New Roman"/>
                <w:i/>
                <w:iCs/>
                <w:sz w:val="24"/>
                <w:szCs w:val="20"/>
              </w:rPr>
            </w:pPr>
            <w:r w:rsidRPr="00B37A02">
              <w:rPr>
                <w:rFonts w:ascii="Times New Roman" w:hAnsi="Times New Roman" w:cs="Times New Roman"/>
                <w:i/>
                <w:sz w:val="24"/>
              </w:rPr>
              <w:t>Spānija</w:t>
            </w:r>
          </w:p>
        </w:tc>
        <w:tc>
          <w:tcPr>
            <w:tcW w:w="936" w:type="pct"/>
            <w:shd w:val="clear" w:color="auto" w:fill="auto"/>
            <w:vAlign w:val="center"/>
            <w:hideMark/>
          </w:tcPr>
          <w:p w14:paraId="0B8F50A7"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Nav piemērojams</w:t>
            </w:r>
          </w:p>
        </w:tc>
        <w:tc>
          <w:tcPr>
            <w:tcW w:w="702" w:type="pct"/>
            <w:shd w:val="clear" w:color="auto" w:fill="auto"/>
            <w:vAlign w:val="center"/>
            <w:hideMark/>
          </w:tcPr>
          <w:p w14:paraId="1415C1FB"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500 000</w:t>
            </w:r>
          </w:p>
        </w:tc>
        <w:tc>
          <w:tcPr>
            <w:tcW w:w="655" w:type="pct"/>
            <w:shd w:val="clear" w:color="auto" w:fill="auto"/>
            <w:vAlign w:val="center"/>
            <w:hideMark/>
          </w:tcPr>
          <w:p w14:paraId="21BF6D36"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1 000 000</w:t>
            </w:r>
          </w:p>
        </w:tc>
        <w:tc>
          <w:tcPr>
            <w:tcW w:w="764" w:type="pct"/>
            <w:shd w:val="clear" w:color="auto" w:fill="auto"/>
            <w:noWrap/>
            <w:vAlign w:val="center"/>
            <w:hideMark/>
          </w:tcPr>
          <w:p w14:paraId="47CD7ED8"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750 000</w:t>
            </w:r>
          </w:p>
        </w:tc>
        <w:tc>
          <w:tcPr>
            <w:tcW w:w="764" w:type="pct"/>
            <w:shd w:val="clear" w:color="auto" w:fill="auto"/>
            <w:noWrap/>
            <w:vAlign w:val="center"/>
            <w:hideMark/>
          </w:tcPr>
          <w:p w14:paraId="3187F039"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1,63 %</w:t>
            </w:r>
          </w:p>
        </w:tc>
      </w:tr>
      <w:tr w:rsidR="00BC5BDF" w:rsidRPr="00B37A02" w14:paraId="6CAEEA51" w14:textId="77777777" w:rsidTr="002E1382">
        <w:tc>
          <w:tcPr>
            <w:tcW w:w="1179" w:type="pct"/>
            <w:shd w:val="clear" w:color="auto" w:fill="auto"/>
            <w:vAlign w:val="center"/>
            <w:hideMark/>
          </w:tcPr>
          <w:p w14:paraId="6C96C874" w14:textId="77777777" w:rsidR="00BC5BDF" w:rsidRPr="00B37A02" w:rsidRDefault="00BC5BDF" w:rsidP="004A565E">
            <w:pPr>
              <w:widowControl w:val="0"/>
              <w:spacing w:after="0" w:line="240" w:lineRule="auto"/>
              <w:jc w:val="center"/>
              <w:rPr>
                <w:rFonts w:ascii="Times New Roman" w:eastAsia="Times New Roman" w:hAnsi="Times New Roman" w:cs="Times New Roman"/>
                <w:i/>
                <w:iCs/>
                <w:sz w:val="24"/>
                <w:szCs w:val="20"/>
              </w:rPr>
            </w:pPr>
            <w:r w:rsidRPr="00B37A02">
              <w:rPr>
                <w:rFonts w:ascii="Times New Roman" w:hAnsi="Times New Roman" w:cs="Times New Roman"/>
                <w:i/>
                <w:sz w:val="24"/>
              </w:rPr>
              <w:t>Grieķija</w:t>
            </w:r>
          </w:p>
        </w:tc>
        <w:tc>
          <w:tcPr>
            <w:tcW w:w="936" w:type="pct"/>
            <w:shd w:val="clear" w:color="auto" w:fill="auto"/>
            <w:vAlign w:val="center"/>
            <w:hideMark/>
          </w:tcPr>
          <w:p w14:paraId="6F950505"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Nav piemērojams</w:t>
            </w:r>
          </w:p>
        </w:tc>
        <w:tc>
          <w:tcPr>
            <w:tcW w:w="702" w:type="pct"/>
            <w:shd w:val="clear" w:color="auto" w:fill="auto"/>
            <w:vAlign w:val="center"/>
            <w:hideMark/>
          </w:tcPr>
          <w:p w14:paraId="42EE8CD3"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50 000</w:t>
            </w:r>
          </w:p>
        </w:tc>
        <w:tc>
          <w:tcPr>
            <w:tcW w:w="655" w:type="pct"/>
            <w:shd w:val="clear" w:color="auto" w:fill="auto"/>
            <w:vAlign w:val="center"/>
            <w:hideMark/>
          </w:tcPr>
          <w:p w14:paraId="549D45CE"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300 000</w:t>
            </w:r>
          </w:p>
        </w:tc>
        <w:tc>
          <w:tcPr>
            <w:tcW w:w="764" w:type="pct"/>
            <w:shd w:val="clear" w:color="auto" w:fill="auto"/>
            <w:noWrap/>
            <w:vAlign w:val="center"/>
            <w:hideMark/>
          </w:tcPr>
          <w:p w14:paraId="308BD0CB"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175 000</w:t>
            </w:r>
          </w:p>
        </w:tc>
        <w:tc>
          <w:tcPr>
            <w:tcW w:w="764" w:type="pct"/>
            <w:shd w:val="clear" w:color="auto" w:fill="auto"/>
            <w:noWrap/>
            <w:vAlign w:val="center"/>
            <w:hideMark/>
          </w:tcPr>
          <w:p w14:paraId="7ED5D73B"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1,55 %</w:t>
            </w:r>
          </w:p>
        </w:tc>
      </w:tr>
      <w:tr w:rsidR="00BC5BDF" w:rsidRPr="00B37A02" w14:paraId="6A44AA37" w14:textId="77777777" w:rsidTr="002E1382">
        <w:tc>
          <w:tcPr>
            <w:tcW w:w="1179" w:type="pct"/>
            <w:shd w:val="clear" w:color="auto" w:fill="auto"/>
            <w:vAlign w:val="center"/>
            <w:hideMark/>
          </w:tcPr>
          <w:p w14:paraId="0D60173F" w14:textId="77777777" w:rsidR="00BC5BDF" w:rsidRPr="00B37A02" w:rsidRDefault="00BC5BDF" w:rsidP="004A565E">
            <w:pPr>
              <w:widowControl w:val="0"/>
              <w:spacing w:after="0" w:line="240" w:lineRule="auto"/>
              <w:jc w:val="center"/>
              <w:rPr>
                <w:rFonts w:ascii="Times New Roman" w:eastAsia="Times New Roman" w:hAnsi="Times New Roman" w:cs="Times New Roman"/>
                <w:i/>
                <w:iCs/>
                <w:sz w:val="24"/>
                <w:szCs w:val="20"/>
              </w:rPr>
            </w:pPr>
            <w:r w:rsidRPr="00B37A02">
              <w:rPr>
                <w:rFonts w:ascii="Times New Roman" w:hAnsi="Times New Roman" w:cs="Times New Roman"/>
                <w:i/>
                <w:sz w:val="24"/>
              </w:rPr>
              <w:t>Īrija</w:t>
            </w:r>
          </w:p>
        </w:tc>
        <w:tc>
          <w:tcPr>
            <w:tcW w:w="936" w:type="pct"/>
            <w:shd w:val="clear" w:color="auto" w:fill="auto"/>
            <w:vAlign w:val="center"/>
            <w:hideMark/>
          </w:tcPr>
          <w:p w14:paraId="3A687C11"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22 435</w:t>
            </w:r>
          </w:p>
        </w:tc>
        <w:tc>
          <w:tcPr>
            <w:tcW w:w="702" w:type="pct"/>
            <w:shd w:val="clear" w:color="auto" w:fill="auto"/>
            <w:vAlign w:val="center"/>
            <w:hideMark/>
          </w:tcPr>
          <w:p w14:paraId="556C6A25"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32 000</w:t>
            </w:r>
          </w:p>
        </w:tc>
        <w:tc>
          <w:tcPr>
            <w:tcW w:w="655" w:type="pct"/>
            <w:shd w:val="clear" w:color="auto" w:fill="auto"/>
            <w:vAlign w:val="center"/>
            <w:hideMark/>
          </w:tcPr>
          <w:p w14:paraId="3B3102B4"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43 000</w:t>
            </w:r>
          </w:p>
        </w:tc>
        <w:tc>
          <w:tcPr>
            <w:tcW w:w="764" w:type="pct"/>
            <w:shd w:val="clear" w:color="auto" w:fill="auto"/>
            <w:noWrap/>
            <w:vAlign w:val="center"/>
            <w:hideMark/>
          </w:tcPr>
          <w:p w14:paraId="6241977E"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37 500</w:t>
            </w:r>
          </w:p>
        </w:tc>
        <w:tc>
          <w:tcPr>
            <w:tcW w:w="764" w:type="pct"/>
            <w:shd w:val="clear" w:color="auto" w:fill="auto"/>
            <w:noWrap/>
            <w:vAlign w:val="center"/>
            <w:hideMark/>
          </w:tcPr>
          <w:p w14:paraId="095DB064"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0,84 %</w:t>
            </w:r>
          </w:p>
        </w:tc>
      </w:tr>
      <w:tr w:rsidR="00BC5BDF" w:rsidRPr="00B37A02" w14:paraId="6564BF9D" w14:textId="77777777" w:rsidTr="002E1382">
        <w:tc>
          <w:tcPr>
            <w:tcW w:w="1179" w:type="pct"/>
            <w:shd w:val="clear" w:color="auto" w:fill="auto"/>
            <w:vAlign w:val="center"/>
            <w:hideMark/>
          </w:tcPr>
          <w:p w14:paraId="67430188" w14:textId="77777777" w:rsidR="00BC5BDF" w:rsidRPr="00B37A02" w:rsidRDefault="00BC5BDF" w:rsidP="004A565E">
            <w:pPr>
              <w:widowControl w:val="0"/>
              <w:spacing w:after="0" w:line="240" w:lineRule="auto"/>
              <w:jc w:val="center"/>
              <w:rPr>
                <w:rFonts w:ascii="Times New Roman" w:eastAsia="Times New Roman" w:hAnsi="Times New Roman" w:cs="Times New Roman"/>
                <w:i/>
                <w:iCs/>
                <w:sz w:val="24"/>
                <w:szCs w:val="20"/>
              </w:rPr>
            </w:pPr>
            <w:r w:rsidRPr="00B37A02">
              <w:rPr>
                <w:rFonts w:ascii="Times New Roman" w:hAnsi="Times New Roman" w:cs="Times New Roman"/>
                <w:i/>
                <w:sz w:val="24"/>
              </w:rPr>
              <w:t>Horvātija</w:t>
            </w:r>
          </w:p>
        </w:tc>
        <w:tc>
          <w:tcPr>
            <w:tcW w:w="936" w:type="pct"/>
            <w:shd w:val="clear" w:color="auto" w:fill="auto"/>
            <w:vAlign w:val="center"/>
            <w:hideMark/>
          </w:tcPr>
          <w:p w14:paraId="109E9A6C"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9463</w:t>
            </w:r>
          </w:p>
        </w:tc>
        <w:tc>
          <w:tcPr>
            <w:tcW w:w="702" w:type="pct"/>
            <w:shd w:val="clear" w:color="auto" w:fill="auto"/>
            <w:vAlign w:val="center"/>
            <w:hideMark/>
          </w:tcPr>
          <w:p w14:paraId="2F96D6CF"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30 000</w:t>
            </w:r>
          </w:p>
        </w:tc>
        <w:tc>
          <w:tcPr>
            <w:tcW w:w="655" w:type="pct"/>
            <w:shd w:val="clear" w:color="auto" w:fill="auto"/>
            <w:vAlign w:val="center"/>
            <w:hideMark/>
          </w:tcPr>
          <w:p w14:paraId="48BB982B"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40 000</w:t>
            </w:r>
          </w:p>
        </w:tc>
        <w:tc>
          <w:tcPr>
            <w:tcW w:w="764" w:type="pct"/>
            <w:shd w:val="clear" w:color="auto" w:fill="auto"/>
            <w:noWrap/>
            <w:vAlign w:val="center"/>
            <w:hideMark/>
          </w:tcPr>
          <w:p w14:paraId="5FC982B6"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35 000</w:t>
            </w:r>
          </w:p>
        </w:tc>
        <w:tc>
          <w:tcPr>
            <w:tcW w:w="764" w:type="pct"/>
            <w:shd w:val="clear" w:color="auto" w:fill="auto"/>
            <w:noWrap/>
            <w:vAlign w:val="center"/>
            <w:hideMark/>
          </w:tcPr>
          <w:p w14:paraId="50A858D5"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0,79 %</w:t>
            </w:r>
          </w:p>
        </w:tc>
      </w:tr>
      <w:tr w:rsidR="00BC5BDF" w:rsidRPr="00B37A02" w14:paraId="378D988A" w14:textId="77777777" w:rsidTr="002E1382">
        <w:tc>
          <w:tcPr>
            <w:tcW w:w="1179" w:type="pct"/>
            <w:shd w:val="clear" w:color="auto" w:fill="auto"/>
            <w:vAlign w:val="center"/>
            <w:hideMark/>
          </w:tcPr>
          <w:p w14:paraId="6517DAE0" w14:textId="77777777" w:rsidR="00BC5BDF" w:rsidRPr="00B37A02" w:rsidRDefault="00BC5BDF" w:rsidP="004A565E">
            <w:pPr>
              <w:widowControl w:val="0"/>
              <w:spacing w:after="0" w:line="240" w:lineRule="auto"/>
              <w:jc w:val="center"/>
              <w:rPr>
                <w:rFonts w:ascii="Times New Roman" w:eastAsia="Times New Roman" w:hAnsi="Times New Roman" w:cs="Times New Roman"/>
                <w:i/>
                <w:iCs/>
                <w:sz w:val="24"/>
                <w:szCs w:val="20"/>
              </w:rPr>
            </w:pPr>
            <w:r w:rsidRPr="00B37A02">
              <w:rPr>
                <w:rFonts w:ascii="Times New Roman" w:hAnsi="Times New Roman" w:cs="Times New Roman"/>
                <w:i/>
                <w:sz w:val="24"/>
              </w:rPr>
              <w:t>Francija</w:t>
            </w:r>
          </w:p>
        </w:tc>
        <w:tc>
          <w:tcPr>
            <w:tcW w:w="936" w:type="pct"/>
            <w:shd w:val="clear" w:color="auto" w:fill="auto"/>
            <w:vAlign w:val="center"/>
            <w:hideMark/>
          </w:tcPr>
          <w:p w14:paraId="5F34B258"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Nav piemērojams</w:t>
            </w:r>
          </w:p>
        </w:tc>
        <w:tc>
          <w:tcPr>
            <w:tcW w:w="702" w:type="pct"/>
            <w:shd w:val="clear" w:color="auto" w:fill="auto"/>
            <w:vAlign w:val="center"/>
            <w:hideMark/>
          </w:tcPr>
          <w:p w14:paraId="03AAB430"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300 000</w:t>
            </w:r>
          </w:p>
        </w:tc>
        <w:tc>
          <w:tcPr>
            <w:tcW w:w="655" w:type="pct"/>
            <w:shd w:val="clear" w:color="auto" w:fill="auto"/>
            <w:vAlign w:val="center"/>
            <w:hideMark/>
          </w:tcPr>
          <w:p w14:paraId="46CF3D39"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500 000</w:t>
            </w:r>
          </w:p>
        </w:tc>
        <w:tc>
          <w:tcPr>
            <w:tcW w:w="764" w:type="pct"/>
            <w:shd w:val="clear" w:color="auto" w:fill="auto"/>
            <w:noWrap/>
            <w:vAlign w:val="center"/>
            <w:hideMark/>
          </w:tcPr>
          <w:p w14:paraId="176C9EDB"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400 000</w:t>
            </w:r>
          </w:p>
        </w:tc>
        <w:tc>
          <w:tcPr>
            <w:tcW w:w="764" w:type="pct"/>
            <w:shd w:val="clear" w:color="auto" w:fill="auto"/>
            <w:noWrap/>
            <w:vAlign w:val="center"/>
            <w:hideMark/>
          </w:tcPr>
          <w:p w14:paraId="3D1707A8"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0,62 %</w:t>
            </w:r>
          </w:p>
        </w:tc>
      </w:tr>
      <w:tr w:rsidR="00BC5BDF" w:rsidRPr="00B37A02" w14:paraId="5AD0640E" w14:textId="77777777" w:rsidTr="002E1382">
        <w:tc>
          <w:tcPr>
            <w:tcW w:w="1179" w:type="pct"/>
            <w:shd w:val="clear" w:color="auto" w:fill="auto"/>
            <w:vAlign w:val="center"/>
            <w:hideMark/>
          </w:tcPr>
          <w:p w14:paraId="4E21BE2C" w14:textId="77777777" w:rsidR="00BC5BDF" w:rsidRPr="00B37A02" w:rsidRDefault="00BC5BDF" w:rsidP="004A565E">
            <w:pPr>
              <w:widowControl w:val="0"/>
              <w:spacing w:after="0" w:line="240" w:lineRule="auto"/>
              <w:jc w:val="center"/>
              <w:rPr>
                <w:rFonts w:ascii="Times New Roman" w:eastAsia="Times New Roman" w:hAnsi="Times New Roman" w:cs="Times New Roman"/>
                <w:i/>
                <w:iCs/>
                <w:sz w:val="24"/>
                <w:szCs w:val="20"/>
              </w:rPr>
            </w:pPr>
            <w:r w:rsidRPr="00B37A02">
              <w:rPr>
                <w:rFonts w:ascii="Times New Roman" w:hAnsi="Times New Roman" w:cs="Times New Roman"/>
                <w:i/>
                <w:sz w:val="24"/>
              </w:rPr>
              <w:t>Latvija</w:t>
            </w:r>
          </w:p>
        </w:tc>
        <w:tc>
          <w:tcPr>
            <w:tcW w:w="936" w:type="pct"/>
            <w:shd w:val="clear" w:color="auto" w:fill="auto"/>
            <w:vAlign w:val="center"/>
            <w:hideMark/>
          </w:tcPr>
          <w:p w14:paraId="7F89883B"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8517</w:t>
            </w:r>
          </w:p>
        </w:tc>
        <w:tc>
          <w:tcPr>
            <w:tcW w:w="702" w:type="pct"/>
            <w:shd w:val="clear" w:color="auto" w:fill="auto"/>
            <w:vAlign w:val="center"/>
            <w:hideMark/>
          </w:tcPr>
          <w:p w14:paraId="5A3C2F00"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9000</w:t>
            </w:r>
          </w:p>
        </w:tc>
        <w:tc>
          <w:tcPr>
            <w:tcW w:w="655" w:type="pct"/>
            <w:shd w:val="clear" w:color="auto" w:fill="auto"/>
            <w:vAlign w:val="center"/>
            <w:hideMark/>
          </w:tcPr>
          <w:p w14:paraId="51E3FEAC"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16 000</w:t>
            </w:r>
          </w:p>
        </w:tc>
        <w:tc>
          <w:tcPr>
            <w:tcW w:w="764" w:type="pct"/>
            <w:shd w:val="clear" w:color="auto" w:fill="auto"/>
            <w:noWrap/>
            <w:vAlign w:val="center"/>
            <w:hideMark/>
          </w:tcPr>
          <w:p w14:paraId="32ADE700"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12 500</w:t>
            </w:r>
          </w:p>
        </w:tc>
        <w:tc>
          <w:tcPr>
            <w:tcW w:w="764" w:type="pct"/>
            <w:shd w:val="clear" w:color="auto" w:fill="auto"/>
            <w:noWrap/>
            <w:vAlign w:val="center"/>
            <w:hideMark/>
          </w:tcPr>
          <w:p w14:paraId="5483AEA9"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0,56 %</w:t>
            </w:r>
          </w:p>
        </w:tc>
      </w:tr>
      <w:tr w:rsidR="00BC5BDF" w:rsidRPr="00B37A02" w14:paraId="12A093B0" w14:textId="77777777" w:rsidTr="002E1382">
        <w:tc>
          <w:tcPr>
            <w:tcW w:w="1179" w:type="pct"/>
            <w:shd w:val="clear" w:color="auto" w:fill="auto"/>
            <w:vAlign w:val="center"/>
            <w:hideMark/>
          </w:tcPr>
          <w:p w14:paraId="079B650D" w14:textId="77777777" w:rsidR="00BC5BDF" w:rsidRPr="00B37A02" w:rsidRDefault="00BC5BDF" w:rsidP="004A565E">
            <w:pPr>
              <w:widowControl w:val="0"/>
              <w:spacing w:after="0" w:line="240" w:lineRule="auto"/>
              <w:jc w:val="center"/>
              <w:rPr>
                <w:rFonts w:ascii="Times New Roman" w:eastAsia="Times New Roman" w:hAnsi="Times New Roman" w:cs="Times New Roman"/>
                <w:i/>
                <w:iCs/>
                <w:sz w:val="24"/>
                <w:szCs w:val="20"/>
              </w:rPr>
            </w:pPr>
            <w:r w:rsidRPr="00B37A02">
              <w:rPr>
                <w:rFonts w:ascii="Times New Roman" w:hAnsi="Times New Roman" w:cs="Times New Roman"/>
                <w:i/>
                <w:sz w:val="24"/>
              </w:rPr>
              <w:t>Zviedrija</w:t>
            </w:r>
          </w:p>
        </w:tc>
        <w:tc>
          <w:tcPr>
            <w:tcW w:w="936" w:type="pct"/>
            <w:shd w:val="clear" w:color="auto" w:fill="auto"/>
            <w:vAlign w:val="center"/>
            <w:hideMark/>
          </w:tcPr>
          <w:p w14:paraId="6F804FC7"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Nav piemērojams</w:t>
            </w:r>
          </w:p>
        </w:tc>
        <w:tc>
          <w:tcPr>
            <w:tcW w:w="702" w:type="pct"/>
            <w:shd w:val="clear" w:color="auto" w:fill="auto"/>
            <w:vAlign w:val="center"/>
            <w:hideMark/>
          </w:tcPr>
          <w:p w14:paraId="28817E01"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35 000</w:t>
            </w:r>
          </w:p>
        </w:tc>
        <w:tc>
          <w:tcPr>
            <w:tcW w:w="655" w:type="pct"/>
            <w:shd w:val="clear" w:color="auto" w:fill="auto"/>
            <w:vAlign w:val="center"/>
            <w:hideMark/>
          </w:tcPr>
          <w:p w14:paraId="0ACBB7D2"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65 000</w:t>
            </w:r>
          </w:p>
        </w:tc>
        <w:tc>
          <w:tcPr>
            <w:tcW w:w="764" w:type="pct"/>
            <w:shd w:val="clear" w:color="auto" w:fill="auto"/>
            <w:noWrap/>
            <w:vAlign w:val="center"/>
            <w:hideMark/>
          </w:tcPr>
          <w:p w14:paraId="4457A365"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50 000</w:t>
            </w:r>
          </w:p>
        </w:tc>
        <w:tc>
          <w:tcPr>
            <w:tcW w:w="764" w:type="pct"/>
            <w:shd w:val="clear" w:color="auto" w:fill="auto"/>
            <w:noWrap/>
            <w:vAlign w:val="center"/>
            <w:hideMark/>
          </w:tcPr>
          <w:p w14:paraId="712424B1"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0,53 %</w:t>
            </w:r>
          </w:p>
        </w:tc>
      </w:tr>
      <w:tr w:rsidR="00BC5BDF" w:rsidRPr="00B37A02" w14:paraId="2BB830FD" w14:textId="77777777" w:rsidTr="002E1382">
        <w:tc>
          <w:tcPr>
            <w:tcW w:w="1179" w:type="pct"/>
            <w:shd w:val="clear" w:color="auto" w:fill="auto"/>
            <w:vAlign w:val="center"/>
            <w:hideMark/>
          </w:tcPr>
          <w:p w14:paraId="354E844E" w14:textId="77777777" w:rsidR="00BC5BDF" w:rsidRPr="00B37A02" w:rsidRDefault="00BC5BDF" w:rsidP="004A565E">
            <w:pPr>
              <w:widowControl w:val="0"/>
              <w:spacing w:after="0" w:line="240" w:lineRule="auto"/>
              <w:jc w:val="center"/>
              <w:rPr>
                <w:rFonts w:ascii="Times New Roman" w:eastAsia="Times New Roman" w:hAnsi="Times New Roman" w:cs="Times New Roman"/>
                <w:i/>
                <w:iCs/>
                <w:sz w:val="24"/>
                <w:szCs w:val="20"/>
              </w:rPr>
            </w:pPr>
            <w:r w:rsidRPr="00B37A02">
              <w:rPr>
                <w:rFonts w:ascii="Times New Roman" w:hAnsi="Times New Roman" w:cs="Times New Roman"/>
                <w:i/>
                <w:sz w:val="24"/>
              </w:rPr>
              <w:t>Portugāle</w:t>
            </w:r>
          </w:p>
        </w:tc>
        <w:tc>
          <w:tcPr>
            <w:tcW w:w="936" w:type="pct"/>
            <w:shd w:val="clear" w:color="auto" w:fill="auto"/>
            <w:vAlign w:val="center"/>
            <w:hideMark/>
          </w:tcPr>
          <w:p w14:paraId="2036751C"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Nav piemērojams</w:t>
            </w:r>
          </w:p>
        </w:tc>
        <w:tc>
          <w:tcPr>
            <w:tcW w:w="702" w:type="pct"/>
            <w:shd w:val="clear" w:color="auto" w:fill="auto"/>
            <w:vAlign w:val="center"/>
            <w:hideMark/>
          </w:tcPr>
          <w:p w14:paraId="643785AB"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34 000</w:t>
            </w:r>
          </w:p>
        </w:tc>
        <w:tc>
          <w:tcPr>
            <w:tcW w:w="655" w:type="pct"/>
            <w:shd w:val="clear" w:color="auto" w:fill="auto"/>
            <w:vAlign w:val="center"/>
            <w:hideMark/>
          </w:tcPr>
          <w:p w14:paraId="410FCA70"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70 000</w:t>
            </w:r>
          </w:p>
        </w:tc>
        <w:tc>
          <w:tcPr>
            <w:tcW w:w="764" w:type="pct"/>
            <w:shd w:val="clear" w:color="auto" w:fill="auto"/>
            <w:noWrap/>
            <w:vAlign w:val="center"/>
            <w:hideMark/>
          </w:tcPr>
          <w:p w14:paraId="15D5F1F2"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52 000</w:t>
            </w:r>
          </w:p>
        </w:tc>
        <w:tc>
          <w:tcPr>
            <w:tcW w:w="764" w:type="pct"/>
            <w:shd w:val="clear" w:color="auto" w:fill="auto"/>
            <w:noWrap/>
            <w:vAlign w:val="center"/>
            <w:hideMark/>
          </w:tcPr>
          <w:p w14:paraId="4BAFA0CA"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0,49 %</w:t>
            </w:r>
          </w:p>
        </w:tc>
      </w:tr>
      <w:tr w:rsidR="00BC5BDF" w:rsidRPr="00B37A02" w14:paraId="41B40695" w14:textId="77777777" w:rsidTr="002E1382">
        <w:tc>
          <w:tcPr>
            <w:tcW w:w="1179" w:type="pct"/>
            <w:shd w:val="clear" w:color="auto" w:fill="auto"/>
            <w:vAlign w:val="center"/>
            <w:hideMark/>
          </w:tcPr>
          <w:p w14:paraId="543C17F3" w14:textId="77777777" w:rsidR="00BC5BDF" w:rsidRPr="00B37A02" w:rsidRDefault="00BC5BDF" w:rsidP="004A565E">
            <w:pPr>
              <w:widowControl w:val="0"/>
              <w:spacing w:after="0" w:line="240" w:lineRule="auto"/>
              <w:jc w:val="center"/>
              <w:rPr>
                <w:rFonts w:ascii="Times New Roman" w:eastAsia="Times New Roman" w:hAnsi="Times New Roman" w:cs="Times New Roman"/>
                <w:i/>
                <w:iCs/>
                <w:sz w:val="24"/>
                <w:szCs w:val="20"/>
              </w:rPr>
            </w:pPr>
            <w:r w:rsidRPr="00B37A02">
              <w:rPr>
                <w:rFonts w:ascii="Times New Roman" w:hAnsi="Times New Roman" w:cs="Times New Roman"/>
                <w:i/>
                <w:sz w:val="24"/>
              </w:rPr>
              <w:t>Austrija</w:t>
            </w:r>
          </w:p>
        </w:tc>
        <w:tc>
          <w:tcPr>
            <w:tcW w:w="936" w:type="pct"/>
            <w:shd w:val="clear" w:color="auto" w:fill="auto"/>
            <w:vAlign w:val="center"/>
            <w:hideMark/>
          </w:tcPr>
          <w:p w14:paraId="206FAE67"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6273</w:t>
            </w:r>
          </w:p>
        </w:tc>
        <w:tc>
          <w:tcPr>
            <w:tcW w:w="702" w:type="pct"/>
            <w:shd w:val="clear" w:color="auto" w:fill="auto"/>
            <w:vAlign w:val="center"/>
            <w:hideMark/>
          </w:tcPr>
          <w:p w14:paraId="7782792F"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20 000</w:t>
            </w:r>
          </w:p>
        </w:tc>
        <w:tc>
          <w:tcPr>
            <w:tcW w:w="655" w:type="pct"/>
            <w:shd w:val="clear" w:color="auto" w:fill="auto"/>
            <w:vAlign w:val="center"/>
            <w:hideMark/>
          </w:tcPr>
          <w:p w14:paraId="6370031F"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50 000</w:t>
            </w:r>
          </w:p>
        </w:tc>
        <w:tc>
          <w:tcPr>
            <w:tcW w:w="764" w:type="pct"/>
            <w:shd w:val="clear" w:color="auto" w:fill="auto"/>
            <w:noWrap/>
            <w:vAlign w:val="center"/>
            <w:hideMark/>
          </w:tcPr>
          <w:p w14:paraId="5B34B0A0"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35 000</w:t>
            </w:r>
          </w:p>
        </w:tc>
        <w:tc>
          <w:tcPr>
            <w:tcW w:w="764" w:type="pct"/>
            <w:shd w:val="clear" w:color="auto" w:fill="auto"/>
            <w:noWrap/>
            <w:vAlign w:val="center"/>
            <w:hideMark/>
          </w:tcPr>
          <w:p w14:paraId="0F68C757"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0,42 %</w:t>
            </w:r>
          </w:p>
        </w:tc>
      </w:tr>
      <w:tr w:rsidR="00BC5BDF" w:rsidRPr="00B37A02" w14:paraId="5679CFAA" w14:textId="77777777" w:rsidTr="002E1382">
        <w:tc>
          <w:tcPr>
            <w:tcW w:w="1179" w:type="pct"/>
            <w:shd w:val="clear" w:color="auto" w:fill="auto"/>
            <w:vAlign w:val="center"/>
            <w:hideMark/>
          </w:tcPr>
          <w:p w14:paraId="326D61E3" w14:textId="77777777" w:rsidR="00BC5BDF" w:rsidRPr="00B37A02" w:rsidRDefault="00BC5BDF" w:rsidP="004A565E">
            <w:pPr>
              <w:widowControl w:val="0"/>
              <w:spacing w:after="0" w:line="240" w:lineRule="auto"/>
              <w:jc w:val="center"/>
              <w:rPr>
                <w:rFonts w:ascii="Times New Roman" w:eastAsia="Times New Roman" w:hAnsi="Times New Roman" w:cs="Times New Roman"/>
                <w:i/>
                <w:iCs/>
                <w:sz w:val="24"/>
                <w:szCs w:val="20"/>
              </w:rPr>
            </w:pPr>
            <w:r w:rsidRPr="00B37A02">
              <w:rPr>
                <w:rFonts w:ascii="Times New Roman" w:hAnsi="Times New Roman" w:cs="Times New Roman"/>
                <w:i/>
                <w:sz w:val="24"/>
              </w:rPr>
              <w:t>Slovēnija</w:t>
            </w:r>
          </w:p>
        </w:tc>
        <w:tc>
          <w:tcPr>
            <w:tcW w:w="936" w:type="pct"/>
            <w:shd w:val="clear" w:color="auto" w:fill="auto"/>
            <w:vAlign w:val="center"/>
            <w:hideMark/>
          </w:tcPr>
          <w:p w14:paraId="2951208D"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3246</w:t>
            </w:r>
          </w:p>
        </w:tc>
        <w:tc>
          <w:tcPr>
            <w:tcW w:w="702" w:type="pct"/>
            <w:shd w:val="clear" w:color="auto" w:fill="auto"/>
            <w:vAlign w:val="center"/>
            <w:hideMark/>
          </w:tcPr>
          <w:p w14:paraId="285A87F5"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7000</w:t>
            </w:r>
          </w:p>
        </w:tc>
        <w:tc>
          <w:tcPr>
            <w:tcW w:w="655" w:type="pct"/>
            <w:shd w:val="clear" w:color="auto" w:fill="auto"/>
            <w:vAlign w:val="center"/>
            <w:hideMark/>
          </w:tcPr>
          <w:p w14:paraId="341E8777"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10 000</w:t>
            </w:r>
          </w:p>
        </w:tc>
        <w:tc>
          <w:tcPr>
            <w:tcW w:w="764" w:type="pct"/>
            <w:shd w:val="clear" w:color="auto" w:fill="auto"/>
            <w:noWrap/>
            <w:vAlign w:val="center"/>
            <w:hideMark/>
          </w:tcPr>
          <w:p w14:paraId="123FA252"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8500</w:t>
            </w:r>
          </w:p>
        </w:tc>
        <w:tc>
          <w:tcPr>
            <w:tcW w:w="764" w:type="pct"/>
            <w:shd w:val="clear" w:color="auto" w:fill="auto"/>
            <w:noWrap/>
            <w:vAlign w:val="center"/>
            <w:hideMark/>
          </w:tcPr>
          <w:p w14:paraId="2E42DF35"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0,41 %</w:t>
            </w:r>
          </w:p>
        </w:tc>
      </w:tr>
      <w:tr w:rsidR="00BC5BDF" w:rsidRPr="00B37A02" w14:paraId="066366DB" w14:textId="77777777" w:rsidTr="002E1382">
        <w:tc>
          <w:tcPr>
            <w:tcW w:w="1179" w:type="pct"/>
            <w:shd w:val="clear" w:color="auto" w:fill="auto"/>
            <w:vAlign w:val="center"/>
            <w:hideMark/>
          </w:tcPr>
          <w:p w14:paraId="1A209DAD" w14:textId="77777777" w:rsidR="00BC5BDF" w:rsidRPr="00B37A02" w:rsidRDefault="00BC5BDF" w:rsidP="004A565E">
            <w:pPr>
              <w:widowControl w:val="0"/>
              <w:spacing w:after="0" w:line="240" w:lineRule="auto"/>
              <w:jc w:val="center"/>
              <w:rPr>
                <w:rFonts w:ascii="Times New Roman" w:eastAsia="Times New Roman" w:hAnsi="Times New Roman" w:cs="Times New Roman"/>
                <w:i/>
                <w:iCs/>
                <w:sz w:val="24"/>
                <w:szCs w:val="20"/>
              </w:rPr>
            </w:pPr>
            <w:r w:rsidRPr="00B37A02">
              <w:rPr>
                <w:rFonts w:ascii="Times New Roman" w:hAnsi="Times New Roman" w:cs="Times New Roman"/>
                <w:i/>
                <w:sz w:val="24"/>
              </w:rPr>
              <w:t>Beļģija</w:t>
            </w:r>
          </w:p>
        </w:tc>
        <w:tc>
          <w:tcPr>
            <w:tcW w:w="936" w:type="pct"/>
            <w:shd w:val="clear" w:color="auto" w:fill="auto"/>
            <w:vAlign w:val="center"/>
            <w:hideMark/>
          </w:tcPr>
          <w:p w14:paraId="704DC56B"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Nav piemērojams</w:t>
            </w:r>
          </w:p>
        </w:tc>
        <w:tc>
          <w:tcPr>
            <w:tcW w:w="702" w:type="pct"/>
            <w:shd w:val="clear" w:color="auto" w:fill="auto"/>
            <w:vAlign w:val="center"/>
            <w:hideMark/>
          </w:tcPr>
          <w:p w14:paraId="729B9653"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20 000</w:t>
            </w:r>
          </w:p>
        </w:tc>
        <w:tc>
          <w:tcPr>
            <w:tcW w:w="655" w:type="pct"/>
            <w:shd w:val="clear" w:color="auto" w:fill="auto"/>
            <w:vAlign w:val="center"/>
            <w:hideMark/>
          </w:tcPr>
          <w:p w14:paraId="55E2E31D"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40 000</w:t>
            </w:r>
          </w:p>
        </w:tc>
        <w:tc>
          <w:tcPr>
            <w:tcW w:w="764" w:type="pct"/>
            <w:shd w:val="clear" w:color="auto" w:fill="auto"/>
            <w:noWrap/>
            <w:vAlign w:val="center"/>
            <w:hideMark/>
          </w:tcPr>
          <w:p w14:paraId="7C2FBE33"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30 000</w:t>
            </w:r>
          </w:p>
        </w:tc>
        <w:tc>
          <w:tcPr>
            <w:tcW w:w="764" w:type="pct"/>
            <w:shd w:val="clear" w:color="auto" w:fill="auto"/>
            <w:noWrap/>
            <w:vAlign w:val="center"/>
            <w:hideMark/>
          </w:tcPr>
          <w:p w14:paraId="4EA0B598"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0,28 %</w:t>
            </w:r>
          </w:p>
        </w:tc>
      </w:tr>
      <w:tr w:rsidR="00BC5BDF" w:rsidRPr="00B37A02" w14:paraId="2C0B7E9B" w14:textId="77777777" w:rsidTr="002E1382">
        <w:tc>
          <w:tcPr>
            <w:tcW w:w="1179" w:type="pct"/>
            <w:shd w:val="clear" w:color="auto" w:fill="auto"/>
            <w:vAlign w:val="center"/>
            <w:hideMark/>
          </w:tcPr>
          <w:p w14:paraId="2E6DA2D8" w14:textId="77777777" w:rsidR="00BC5BDF" w:rsidRPr="00B37A02" w:rsidRDefault="00BC5BDF" w:rsidP="004A565E">
            <w:pPr>
              <w:widowControl w:val="0"/>
              <w:spacing w:after="0" w:line="240" w:lineRule="auto"/>
              <w:jc w:val="center"/>
              <w:rPr>
                <w:rFonts w:ascii="Times New Roman" w:eastAsia="Times New Roman" w:hAnsi="Times New Roman" w:cs="Times New Roman"/>
                <w:i/>
                <w:iCs/>
                <w:sz w:val="24"/>
                <w:szCs w:val="20"/>
              </w:rPr>
            </w:pPr>
            <w:r w:rsidRPr="00B37A02">
              <w:rPr>
                <w:rFonts w:ascii="Times New Roman" w:hAnsi="Times New Roman" w:cs="Times New Roman"/>
                <w:i/>
                <w:sz w:val="24"/>
              </w:rPr>
              <w:t>Itālija</w:t>
            </w:r>
          </w:p>
        </w:tc>
        <w:tc>
          <w:tcPr>
            <w:tcW w:w="936" w:type="pct"/>
            <w:shd w:val="clear" w:color="auto" w:fill="auto"/>
            <w:vAlign w:val="center"/>
            <w:hideMark/>
          </w:tcPr>
          <w:p w14:paraId="3F0D16A7"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Nav piemērojams</w:t>
            </w:r>
          </w:p>
        </w:tc>
        <w:tc>
          <w:tcPr>
            <w:tcW w:w="702" w:type="pct"/>
            <w:shd w:val="clear" w:color="auto" w:fill="auto"/>
            <w:vAlign w:val="center"/>
            <w:hideMark/>
          </w:tcPr>
          <w:p w14:paraId="742AEADE"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120 000</w:t>
            </w:r>
          </w:p>
        </w:tc>
        <w:tc>
          <w:tcPr>
            <w:tcW w:w="655" w:type="pct"/>
            <w:shd w:val="clear" w:color="auto" w:fill="auto"/>
            <w:vAlign w:val="center"/>
            <w:hideMark/>
          </w:tcPr>
          <w:p w14:paraId="2D813D90"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180 000</w:t>
            </w:r>
          </w:p>
        </w:tc>
        <w:tc>
          <w:tcPr>
            <w:tcW w:w="764" w:type="pct"/>
            <w:shd w:val="clear" w:color="auto" w:fill="auto"/>
            <w:noWrap/>
            <w:vAlign w:val="center"/>
            <w:hideMark/>
          </w:tcPr>
          <w:p w14:paraId="52237AFA"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150 000</w:t>
            </w:r>
          </w:p>
        </w:tc>
        <w:tc>
          <w:tcPr>
            <w:tcW w:w="764" w:type="pct"/>
            <w:shd w:val="clear" w:color="auto" w:fill="auto"/>
            <w:noWrap/>
            <w:vAlign w:val="center"/>
            <w:hideMark/>
          </w:tcPr>
          <w:p w14:paraId="3631B578"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0,25 %</w:t>
            </w:r>
          </w:p>
        </w:tc>
      </w:tr>
      <w:tr w:rsidR="00BC5BDF" w:rsidRPr="00B37A02" w14:paraId="4B56F7F7" w14:textId="77777777" w:rsidTr="002E1382">
        <w:tc>
          <w:tcPr>
            <w:tcW w:w="1179" w:type="pct"/>
            <w:shd w:val="clear" w:color="auto" w:fill="auto"/>
            <w:vAlign w:val="center"/>
            <w:hideMark/>
          </w:tcPr>
          <w:p w14:paraId="5004DB1F" w14:textId="77777777" w:rsidR="00BC5BDF" w:rsidRPr="00B37A02" w:rsidRDefault="00BC5BDF" w:rsidP="004A565E">
            <w:pPr>
              <w:widowControl w:val="0"/>
              <w:spacing w:after="0" w:line="240" w:lineRule="auto"/>
              <w:jc w:val="center"/>
              <w:rPr>
                <w:rFonts w:ascii="Times New Roman" w:eastAsia="Times New Roman" w:hAnsi="Times New Roman" w:cs="Times New Roman"/>
                <w:i/>
                <w:iCs/>
                <w:sz w:val="24"/>
                <w:szCs w:val="20"/>
              </w:rPr>
            </w:pPr>
            <w:r w:rsidRPr="00B37A02">
              <w:rPr>
                <w:rFonts w:ascii="Times New Roman" w:hAnsi="Times New Roman" w:cs="Times New Roman"/>
                <w:i/>
                <w:sz w:val="24"/>
              </w:rPr>
              <w:t>Nīderlande</w:t>
            </w:r>
          </w:p>
        </w:tc>
        <w:tc>
          <w:tcPr>
            <w:tcW w:w="936" w:type="pct"/>
            <w:shd w:val="clear" w:color="auto" w:fill="auto"/>
            <w:vAlign w:val="center"/>
            <w:hideMark/>
          </w:tcPr>
          <w:p w14:paraId="655713CB"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Nav piemērojams</w:t>
            </w:r>
          </w:p>
        </w:tc>
        <w:tc>
          <w:tcPr>
            <w:tcW w:w="702" w:type="pct"/>
            <w:shd w:val="clear" w:color="auto" w:fill="auto"/>
            <w:vAlign w:val="center"/>
            <w:hideMark/>
          </w:tcPr>
          <w:p w14:paraId="589F434A"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32 000</w:t>
            </w:r>
          </w:p>
        </w:tc>
        <w:tc>
          <w:tcPr>
            <w:tcW w:w="655" w:type="pct"/>
            <w:shd w:val="clear" w:color="auto" w:fill="auto"/>
            <w:vAlign w:val="center"/>
            <w:hideMark/>
          </w:tcPr>
          <w:p w14:paraId="70E540FA"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48 000</w:t>
            </w:r>
          </w:p>
        </w:tc>
        <w:tc>
          <w:tcPr>
            <w:tcW w:w="764" w:type="pct"/>
            <w:shd w:val="clear" w:color="auto" w:fill="auto"/>
            <w:noWrap/>
            <w:vAlign w:val="center"/>
            <w:hideMark/>
          </w:tcPr>
          <w:p w14:paraId="25FAA185"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40 000</w:t>
            </w:r>
          </w:p>
        </w:tc>
        <w:tc>
          <w:tcPr>
            <w:tcW w:w="764" w:type="pct"/>
            <w:shd w:val="clear" w:color="auto" w:fill="auto"/>
            <w:noWrap/>
            <w:vAlign w:val="center"/>
            <w:hideMark/>
          </w:tcPr>
          <w:p w14:paraId="1B1337F8"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0,24 %</w:t>
            </w:r>
          </w:p>
        </w:tc>
      </w:tr>
      <w:tr w:rsidR="00BC5BDF" w:rsidRPr="00B37A02" w14:paraId="5A8FE608" w14:textId="77777777" w:rsidTr="002E1382">
        <w:tc>
          <w:tcPr>
            <w:tcW w:w="1179" w:type="pct"/>
            <w:shd w:val="clear" w:color="auto" w:fill="auto"/>
            <w:vAlign w:val="center"/>
            <w:hideMark/>
          </w:tcPr>
          <w:p w14:paraId="62739486" w14:textId="77777777" w:rsidR="00BC5BDF" w:rsidRPr="00B37A02" w:rsidRDefault="00BC5BDF" w:rsidP="004A565E">
            <w:pPr>
              <w:widowControl w:val="0"/>
              <w:spacing w:after="0" w:line="240" w:lineRule="auto"/>
              <w:jc w:val="center"/>
              <w:rPr>
                <w:rFonts w:ascii="Times New Roman" w:eastAsia="Times New Roman" w:hAnsi="Times New Roman" w:cs="Times New Roman"/>
                <w:i/>
                <w:iCs/>
                <w:sz w:val="24"/>
                <w:szCs w:val="20"/>
              </w:rPr>
            </w:pPr>
            <w:r w:rsidRPr="00B37A02">
              <w:rPr>
                <w:rFonts w:ascii="Times New Roman" w:hAnsi="Times New Roman" w:cs="Times New Roman"/>
                <w:i/>
                <w:sz w:val="24"/>
              </w:rPr>
              <w:t>Somija</w:t>
            </w:r>
          </w:p>
        </w:tc>
        <w:tc>
          <w:tcPr>
            <w:tcW w:w="936" w:type="pct"/>
            <w:shd w:val="clear" w:color="auto" w:fill="auto"/>
            <w:vAlign w:val="center"/>
            <w:hideMark/>
          </w:tcPr>
          <w:p w14:paraId="0715B1B3"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Nav piemērojams</w:t>
            </w:r>
          </w:p>
        </w:tc>
        <w:tc>
          <w:tcPr>
            <w:tcW w:w="702" w:type="pct"/>
            <w:shd w:val="clear" w:color="auto" w:fill="auto"/>
            <w:vAlign w:val="center"/>
            <w:hideMark/>
          </w:tcPr>
          <w:p w14:paraId="664ECB69"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10 000</w:t>
            </w:r>
          </w:p>
        </w:tc>
        <w:tc>
          <w:tcPr>
            <w:tcW w:w="655" w:type="pct"/>
            <w:shd w:val="clear" w:color="auto" w:fill="auto"/>
            <w:vAlign w:val="center"/>
            <w:hideMark/>
          </w:tcPr>
          <w:p w14:paraId="77DE5B80"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12 000</w:t>
            </w:r>
          </w:p>
        </w:tc>
        <w:tc>
          <w:tcPr>
            <w:tcW w:w="764" w:type="pct"/>
            <w:shd w:val="clear" w:color="auto" w:fill="auto"/>
            <w:noWrap/>
            <w:vAlign w:val="center"/>
            <w:hideMark/>
          </w:tcPr>
          <w:p w14:paraId="28692DF8"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11 000</w:t>
            </w:r>
          </w:p>
        </w:tc>
        <w:tc>
          <w:tcPr>
            <w:tcW w:w="764" w:type="pct"/>
            <w:shd w:val="clear" w:color="auto" w:fill="auto"/>
            <w:noWrap/>
            <w:vAlign w:val="center"/>
            <w:hideMark/>
          </w:tcPr>
          <w:p w14:paraId="66154F4B"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0,21 %</w:t>
            </w:r>
          </w:p>
        </w:tc>
      </w:tr>
      <w:tr w:rsidR="00BC5BDF" w:rsidRPr="00B37A02" w14:paraId="193BCFBC" w14:textId="77777777" w:rsidTr="002E1382">
        <w:tc>
          <w:tcPr>
            <w:tcW w:w="1179" w:type="pct"/>
            <w:shd w:val="clear" w:color="auto" w:fill="auto"/>
            <w:vAlign w:val="center"/>
            <w:hideMark/>
          </w:tcPr>
          <w:p w14:paraId="5D78AF6D" w14:textId="77777777" w:rsidR="00BC5BDF" w:rsidRPr="00B37A02" w:rsidRDefault="00BC5BDF" w:rsidP="004A565E">
            <w:pPr>
              <w:widowControl w:val="0"/>
              <w:spacing w:after="0" w:line="240" w:lineRule="auto"/>
              <w:jc w:val="center"/>
              <w:rPr>
                <w:rFonts w:ascii="Times New Roman" w:eastAsia="Times New Roman" w:hAnsi="Times New Roman" w:cs="Times New Roman"/>
                <w:i/>
                <w:iCs/>
                <w:sz w:val="24"/>
                <w:szCs w:val="20"/>
              </w:rPr>
            </w:pPr>
            <w:r w:rsidRPr="00B37A02">
              <w:rPr>
                <w:rFonts w:ascii="Times New Roman" w:hAnsi="Times New Roman" w:cs="Times New Roman"/>
                <w:i/>
                <w:sz w:val="24"/>
              </w:rPr>
              <w:t>Vācija</w:t>
            </w:r>
          </w:p>
        </w:tc>
        <w:tc>
          <w:tcPr>
            <w:tcW w:w="936" w:type="pct"/>
            <w:shd w:val="clear" w:color="auto" w:fill="auto"/>
            <w:vAlign w:val="center"/>
            <w:hideMark/>
          </w:tcPr>
          <w:p w14:paraId="79EEBF5D"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Nav piemērojams</w:t>
            </w:r>
          </w:p>
        </w:tc>
        <w:tc>
          <w:tcPr>
            <w:tcW w:w="702" w:type="pct"/>
            <w:shd w:val="clear" w:color="auto" w:fill="auto"/>
            <w:vAlign w:val="center"/>
            <w:hideMark/>
          </w:tcPr>
          <w:p w14:paraId="573039A9"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70 000</w:t>
            </w:r>
          </w:p>
        </w:tc>
        <w:tc>
          <w:tcPr>
            <w:tcW w:w="655" w:type="pct"/>
            <w:shd w:val="clear" w:color="auto" w:fill="auto"/>
            <w:vAlign w:val="center"/>
            <w:hideMark/>
          </w:tcPr>
          <w:p w14:paraId="7020F15E"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140 000</w:t>
            </w:r>
          </w:p>
        </w:tc>
        <w:tc>
          <w:tcPr>
            <w:tcW w:w="764" w:type="pct"/>
            <w:shd w:val="clear" w:color="auto" w:fill="auto"/>
            <w:noWrap/>
            <w:vAlign w:val="center"/>
            <w:hideMark/>
          </w:tcPr>
          <w:p w14:paraId="3AD88F58"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105 000</w:t>
            </w:r>
          </w:p>
        </w:tc>
        <w:tc>
          <w:tcPr>
            <w:tcW w:w="764" w:type="pct"/>
            <w:shd w:val="clear" w:color="auto" w:fill="auto"/>
            <w:noWrap/>
            <w:vAlign w:val="center"/>
            <w:hideMark/>
          </w:tcPr>
          <w:p w14:paraId="210007E6"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0,13 %</w:t>
            </w:r>
          </w:p>
        </w:tc>
      </w:tr>
      <w:tr w:rsidR="00BC5BDF" w:rsidRPr="00B37A02" w14:paraId="3A4F94E4" w14:textId="77777777" w:rsidTr="002E1382">
        <w:tc>
          <w:tcPr>
            <w:tcW w:w="1179" w:type="pct"/>
            <w:shd w:val="clear" w:color="auto" w:fill="auto"/>
            <w:vAlign w:val="center"/>
            <w:hideMark/>
          </w:tcPr>
          <w:p w14:paraId="269D1639" w14:textId="77777777" w:rsidR="00BC5BDF" w:rsidRPr="00B37A02" w:rsidRDefault="00BC5BDF" w:rsidP="004A565E">
            <w:pPr>
              <w:widowControl w:val="0"/>
              <w:spacing w:after="0" w:line="240" w:lineRule="auto"/>
              <w:jc w:val="center"/>
              <w:rPr>
                <w:rFonts w:ascii="Times New Roman" w:eastAsia="Times New Roman" w:hAnsi="Times New Roman" w:cs="Times New Roman"/>
                <w:i/>
                <w:iCs/>
                <w:sz w:val="24"/>
                <w:szCs w:val="20"/>
              </w:rPr>
            </w:pPr>
            <w:r w:rsidRPr="00B37A02">
              <w:rPr>
                <w:rFonts w:ascii="Times New Roman" w:hAnsi="Times New Roman" w:cs="Times New Roman"/>
                <w:i/>
                <w:sz w:val="24"/>
              </w:rPr>
              <w:t>Kipra</w:t>
            </w:r>
          </w:p>
        </w:tc>
        <w:tc>
          <w:tcPr>
            <w:tcW w:w="936" w:type="pct"/>
            <w:shd w:val="clear" w:color="auto" w:fill="auto"/>
            <w:vAlign w:val="center"/>
            <w:hideMark/>
          </w:tcPr>
          <w:p w14:paraId="736A41A6"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502</w:t>
            </w:r>
          </w:p>
        </w:tc>
        <w:tc>
          <w:tcPr>
            <w:tcW w:w="702" w:type="pct"/>
            <w:shd w:val="clear" w:color="auto" w:fill="auto"/>
            <w:vAlign w:val="center"/>
            <w:hideMark/>
          </w:tcPr>
          <w:p w14:paraId="4E657F4E"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1000</w:t>
            </w:r>
          </w:p>
        </w:tc>
        <w:tc>
          <w:tcPr>
            <w:tcW w:w="655" w:type="pct"/>
            <w:shd w:val="clear" w:color="auto" w:fill="auto"/>
            <w:vAlign w:val="center"/>
            <w:hideMark/>
          </w:tcPr>
          <w:p w14:paraId="26D1B2DF"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1500</w:t>
            </w:r>
          </w:p>
        </w:tc>
        <w:tc>
          <w:tcPr>
            <w:tcW w:w="764" w:type="pct"/>
            <w:shd w:val="clear" w:color="auto" w:fill="auto"/>
            <w:noWrap/>
            <w:vAlign w:val="center"/>
            <w:hideMark/>
          </w:tcPr>
          <w:p w14:paraId="55C7DF31"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1250</w:t>
            </w:r>
          </w:p>
        </w:tc>
        <w:tc>
          <w:tcPr>
            <w:tcW w:w="764" w:type="pct"/>
            <w:shd w:val="clear" w:color="auto" w:fill="auto"/>
            <w:noWrap/>
            <w:vAlign w:val="center"/>
            <w:hideMark/>
          </w:tcPr>
          <w:p w14:paraId="6FCA2DE5"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0,11 %</w:t>
            </w:r>
          </w:p>
        </w:tc>
      </w:tr>
      <w:tr w:rsidR="00BC5BDF" w:rsidRPr="00B37A02" w14:paraId="70FB75C2" w14:textId="77777777" w:rsidTr="002E1382">
        <w:tc>
          <w:tcPr>
            <w:tcW w:w="1179" w:type="pct"/>
            <w:shd w:val="clear" w:color="auto" w:fill="auto"/>
            <w:vAlign w:val="center"/>
            <w:hideMark/>
          </w:tcPr>
          <w:p w14:paraId="1A0FBB7B" w14:textId="77777777" w:rsidR="00BC5BDF" w:rsidRPr="00B37A02" w:rsidRDefault="00BC5BDF" w:rsidP="004A565E">
            <w:pPr>
              <w:widowControl w:val="0"/>
              <w:spacing w:after="0" w:line="240" w:lineRule="auto"/>
              <w:jc w:val="center"/>
              <w:rPr>
                <w:rFonts w:ascii="Times New Roman" w:eastAsia="Times New Roman" w:hAnsi="Times New Roman" w:cs="Times New Roman"/>
                <w:i/>
                <w:iCs/>
                <w:sz w:val="24"/>
                <w:szCs w:val="20"/>
              </w:rPr>
            </w:pPr>
            <w:r w:rsidRPr="00B37A02">
              <w:rPr>
                <w:rFonts w:ascii="Times New Roman" w:hAnsi="Times New Roman" w:cs="Times New Roman"/>
                <w:i/>
                <w:sz w:val="24"/>
              </w:rPr>
              <w:t>Polija</w:t>
            </w:r>
          </w:p>
        </w:tc>
        <w:tc>
          <w:tcPr>
            <w:tcW w:w="936" w:type="pct"/>
            <w:shd w:val="clear" w:color="auto" w:fill="auto"/>
            <w:vAlign w:val="center"/>
            <w:hideMark/>
          </w:tcPr>
          <w:p w14:paraId="6898308D"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12 731</w:t>
            </w:r>
          </w:p>
        </w:tc>
        <w:tc>
          <w:tcPr>
            <w:tcW w:w="702" w:type="pct"/>
            <w:shd w:val="clear" w:color="auto" w:fill="auto"/>
            <w:vAlign w:val="center"/>
            <w:hideMark/>
          </w:tcPr>
          <w:p w14:paraId="318B8D61"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15 000</w:t>
            </w:r>
          </w:p>
        </w:tc>
        <w:tc>
          <w:tcPr>
            <w:tcW w:w="655" w:type="pct"/>
            <w:shd w:val="clear" w:color="auto" w:fill="auto"/>
            <w:vAlign w:val="center"/>
            <w:hideMark/>
          </w:tcPr>
          <w:p w14:paraId="51BB9B41"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50 000</w:t>
            </w:r>
          </w:p>
        </w:tc>
        <w:tc>
          <w:tcPr>
            <w:tcW w:w="764" w:type="pct"/>
            <w:shd w:val="clear" w:color="auto" w:fill="auto"/>
            <w:noWrap/>
            <w:vAlign w:val="center"/>
            <w:hideMark/>
          </w:tcPr>
          <w:p w14:paraId="253FDE5D"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32 500</w:t>
            </w:r>
          </w:p>
        </w:tc>
        <w:tc>
          <w:tcPr>
            <w:tcW w:w="764" w:type="pct"/>
            <w:shd w:val="clear" w:color="auto" w:fill="auto"/>
            <w:noWrap/>
            <w:vAlign w:val="center"/>
            <w:hideMark/>
          </w:tcPr>
          <w:p w14:paraId="1E424FC8"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0,09 %</w:t>
            </w:r>
          </w:p>
        </w:tc>
      </w:tr>
      <w:tr w:rsidR="00BC5BDF" w:rsidRPr="00B37A02" w14:paraId="470C2F36" w14:textId="77777777" w:rsidTr="002E1382">
        <w:tc>
          <w:tcPr>
            <w:tcW w:w="1179" w:type="pct"/>
            <w:shd w:val="clear" w:color="auto" w:fill="auto"/>
            <w:vAlign w:val="center"/>
            <w:hideMark/>
          </w:tcPr>
          <w:p w14:paraId="79E185F7" w14:textId="77777777" w:rsidR="00BC5BDF" w:rsidRPr="00B37A02" w:rsidRDefault="00BC5BDF" w:rsidP="004A565E">
            <w:pPr>
              <w:widowControl w:val="0"/>
              <w:spacing w:after="0" w:line="240" w:lineRule="auto"/>
              <w:jc w:val="center"/>
              <w:rPr>
                <w:rFonts w:ascii="Times New Roman" w:eastAsia="Times New Roman" w:hAnsi="Times New Roman" w:cs="Times New Roman"/>
                <w:i/>
                <w:iCs/>
                <w:sz w:val="24"/>
                <w:szCs w:val="20"/>
              </w:rPr>
            </w:pPr>
            <w:r w:rsidRPr="00B37A02">
              <w:rPr>
                <w:rFonts w:ascii="Times New Roman" w:hAnsi="Times New Roman" w:cs="Times New Roman"/>
                <w:i/>
                <w:sz w:val="24"/>
              </w:rPr>
              <w:lastRenderedPageBreak/>
              <w:t>Lietuva</w:t>
            </w:r>
          </w:p>
        </w:tc>
        <w:tc>
          <w:tcPr>
            <w:tcW w:w="936" w:type="pct"/>
            <w:shd w:val="clear" w:color="auto" w:fill="auto"/>
            <w:vAlign w:val="center"/>
            <w:hideMark/>
          </w:tcPr>
          <w:p w14:paraId="5BDD438C"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2571</w:t>
            </w:r>
          </w:p>
        </w:tc>
        <w:tc>
          <w:tcPr>
            <w:tcW w:w="702" w:type="pct"/>
            <w:shd w:val="clear" w:color="auto" w:fill="auto"/>
            <w:vAlign w:val="center"/>
            <w:hideMark/>
          </w:tcPr>
          <w:p w14:paraId="52754493"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2000</w:t>
            </w:r>
          </w:p>
        </w:tc>
        <w:tc>
          <w:tcPr>
            <w:tcW w:w="655" w:type="pct"/>
            <w:shd w:val="clear" w:color="auto" w:fill="auto"/>
            <w:vAlign w:val="center"/>
            <w:hideMark/>
          </w:tcPr>
          <w:p w14:paraId="77D498C3"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4000</w:t>
            </w:r>
          </w:p>
        </w:tc>
        <w:tc>
          <w:tcPr>
            <w:tcW w:w="764" w:type="pct"/>
            <w:shd w:val="clear" w:color="auto" w:fill="auto"/>
            <w:noWrap/>
            <w:vAlign w:val="center"/>
            <w:hideMark/>
          </w:tcPr>
          <w:p w14:paraId="31F5571E"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3000</w:t>
            </w:r>
          </w:p>
        </w:tc>
        <w:tc>
          <w:tcPr>
            <w:tcW w:w="764" w:type="pct"/>
            <w:shd w:val="clear" w:color="auto" w:fill="auto"/>
            <w:noWrap/>
            <w:vAlign w:val="center"/>
            <w:hideMark/>
          </w:tcPr>
          <w:p w14:paraId="2C1BF17E"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0,09 %</w:t>
            </w:r>
          </w:p>
        </w:tc>
      </w:tr>
      <w:tr w:rsidR="00BC5BDF" w:rsidRPr="00B37A02" w14:paraId="0618985C" w14:textId="77777777" w:rsidTr="002E1382">
        <w:tc>
          <w:tcPr>
            <w:tcW w:w="1179" w:type="pct"/>
            <w:shd w:val="clear" w:color="auto" w:fill="auto"/>
            <w:vAlign w:val="center"/>
            <w:hideMark/>
          </w:tcPr>
          <w:p w14:paraId="397C0C8D" w14:textId="77777777" w:rsidR="00BC5BDF" w:rsidRPr="00B37A02" w:rsidRDefault="00BC5BDF" w:rsidP="004A565E">
            <w:pPr>
              <w:widowControl w:val="0"/>
              <w:spacing w:after="0" w:line="240" w:lineRule="auto"/>
              <w:jc w:val="center"/>
              <w:rPr>
                <w:rFonts w:ascii="Times New Roman" w:eastAsia="Times New Roman" w:hAnsi="Times New Roman" w:cs="Times New Roman"/>
                <w:i/>
                <w:iCs/>
                <w:sz w:val="24"/>
                <w:szCs w:val="20"/>
              </w:rPr>
            </w:pPr>
            <w:r w:rsidRPr="00B37A02">
              <w:rPr>
                <w:rFonts w:ascii="Times New Roman" w:hAnsi="Times New Roman" w:cs="Times New Roman"/>
                <w:i/>
                <w:sz w:val="24"/>
              </w:rPr>
              <w:t>Igaunija</w:t>
            </w:r>
          </w:p>
        </w:tc>
        <w:tc>
          <w:tcPr>
            <w:tcW w:w="936" w:type="pct"/>
            <w:shd w:val="clear" w:color="auto" w:fill="auto"/>
            <w:vAlign w:val="center"/>
            <w:hideMark/>
          </w:tcPr>
          <w:p w14:paraId="66FA4035"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584</w:t>
            </w:r>
          </w:p>
        </w:tc>
        <w:tc>
          <w:tcPr>
            <w:tcW w:w="702" w:type="pct"/>
            <w:shd w:val="clear" w:color="auto" w:fill="auto"/>
            <w:vAlign w:val="center"/>
            <w:hideMark/>
          </w:tcPr>
          <w:p w14:paraId="297E19EE"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600</w:t>
            </w:r>
          </w:p>
        </w:tc>
        <w:tc>
          <w:tcPr>
            <w:tcW w:w="655" w:type="pct"/>
            <w:shd w:val="clear" w:color="auto" w:fill="auto"/>
            <w:vAlign w:val="center"/>
            <w:hideMark/>
          </w:tcPr>
          <w:p w14:paraId="65B58FC8"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1500</w:t>
            </w:r>
          </w:p>
        </w:tc>
        <w:tc>
          <w:tcPr>
            <w:tcW w:w="764" w:type="pct"/>
            <w:shd w:val="clear" w:color="auto" w:fill="auto"/>
            <w:noWrap/>
            <w:vAlign w:val="center"/>
            <w:hideMark/>
          </w:tcPr>
          <w:p w14:paraId="0159E113"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1050</w:t>
            </w:r>
          </w:p>
        </w:tc>
        <w:tc>
          <w:tcPr>
            <w:tcW w:w="764" w:type="pct"/>
            <w:shd w:val="clear" w:color="auto" w:fill="auto"/>
            <w:noWrap/>
            <w:vAlign w:val="center"/>
            <w:hideMark/>
          </w:tcPr>
          <w:p w14:paraId="701C3B37"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0,08 %</w:t>
            </w:r>
          </w:p>
        </w:tc>
      </w:tr>
      <w:tr w:rsidR="00BC5BDF" w:rsidRPr="00B37A02" w14:paraId="25B70131" w14:textId="77777777" w:rsidTr="002E1382">
        <w:tc>
          <w:tcPr>
            <w:tcW w:w="1179" w:type="pct"/>
            <w:shd w:val="clear" w:color="auto" w:fill="auto"/>
            <w:vAlign w:val="center"/>
            <w:hideMark/>
          </w:tcPr>
          <w:p w14:paraId="7899A54F" w14:textId="77777777" w:rsidR="00BC5BDF" w:rsidRPr="00B37A02" w:rsidRDefault="00BC5BDF" w:rsidP="004A565E">
            <w:pPr>
              <w:widowControl w:val="0"/>
              <w:spacing w:after="0" w:line="240" w:lineRule="auto"/>
              <w:jc w:val="center"/>
              <w:rPr>
                <w:rFonts w:ascii="Times New Roman" w:eastAsia="Times New Roman" w:hAnsi="Times New Roman" w:cs="Times New Roman"/>
                <w:i/>
                <w:iCs/>
                <w:sz w:val="24"/>
                <w:szCs w:val="20"/>
              </w:rPr>
            </w:pPr>
            <w:r w:rsidRPr="00B37A02">
              <w:rPr>
                <w:rFonts w:ascii="Times New Roman" w:hAnsi="Times New Roman" w:cs="Times New Roman"/>
                <w:i/>
                <w:sz w:val="24"/>
              </w:rPr>
              <w:t>Luksemburga</w:t>
            </w:r>
          </w:p>
        </w:tc>
        <w:tc>
          <w:tcPr>
            <w:tcW w:w="936" w:type="pct"/>
            <w:shd w:val="clear" w:color="auto" w:fill="auto"/>
            <w:vAlign w:val="center"/>
            <w:hideMark/>
          </w:tcPr>
          <w:p w14:paraId="3967C821"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Nav piemērojams</w:t>
            </w:r>
          </w:p>
        </w:tc>
        <w:tc>
          <w:tcPr>
            <w:tcW w:w="702" w:type="pct"/>
            <w:shd w:val="clear" w:color="auto" w:fill="auto"/>
            <w:vAlign w:val="center"/>
            <w:hideMark/>
          </w:tcPr>
          <w:p w14:paraId="5D755A5A"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100</w:t>
            </w:r>
          </w:p>
        </w:tc>
        <w:tc>
          <w:tcPr>
            <w:tcW w:w="655" w:type="pct"/>
            <w:shd w:val="clear" w:color="auto" w:fill="auto"/>
            <w:vAlign w:val="center"/>
            <w:hideMark/>
          </w:tcPr>
          <w:p w14:paraId="7A1809A8"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500</w:t>
            </w:r>
          </w:p>
        </w:tc>
        <w:tc>
          <w:tcPr>
            <w:tcW w:w="764" w:type="pct"/>
            <w:shd w:val="clear" w:color="auto" w:fill="auto"/>
            <w:noWrap/>
            <w:vAlign w:val="center"/>
            <w:hideMark/>
          </w:tcPr>
          <w:p w14:paraId="07375F81"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300</w:t>
            </w:r>
          </w:p>
        </w:tc>
        <w:tc>
          <w:tcPr>
            <w:tcW w:w="764" w:type="pct"/>
            <w:shd w:val="clear" w:color="auto" w:fill="auto"/>
            <w:noWrap/>
            <w:vAlign w:val="center"/>
            <w:hideMark/>
          </w:tcPr>
          <w:p w14:paraId="725799DF"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0,06 %</w:t>
            </w:r>
          </w:p>
        </w:tc>
      </w:tr>
      <w:tr w:rsidR="00BC5BDF" w:rsidRPr="00B37A02" w14:paraId="0F1E7571" w14:textId="77777777" w:rsidTr="002E1382">
        <w:tc>
          <w:tcPr>
            <w:tcW w:w="1179" w:type="pct"/>
            <w:shd w:val="clear" w:color="auto" w:fill="auto"/>
            <w:vAlign w:val="center"/>
            <w:hideMark/>
          </w:tcPr>
          <w:p w14:paraId="78B56DF8" w14:textId="77777777" w:rsidR="00BC5BDF" w:rsidRPr="00B37A02" w:rsidRDefault="00BC5BDF" w:rsidP="004A565E">
            <w:pPr>
              <w:widowControl w:val="0"/>
              <w:spacing w:after="0" w:line="240" w:lineRule="auto"/>
              <w:jc w:val="center"/>
              <w:rPr>
                <w:rFonts w:ascii="Times New Roman" w:eastAsia="Times New Roman" w:hAnsi="Times New Roman" w:cs="Times New Roman"/>
                <w:i/>
                <w:iCs/>
                <w:sz w:val="24"/>
                <w:szCs w:val="20"/>
              </w:rPr>
            </w:pPr>
            <w:r w:rsidRPr="00B37A02">
              <w:rPr>
                <w:rFonts w:ascii="Times New Roman" w:hAnsi="Times New Roman" w:cs="Times New Roman"/>
                <w:i/>
                <w:sz w:val="24"/>
              </w:rPr>
              <w:t>Dānija</w:t>
            </w:r>
          </w:p>
        </w:tc>
        <w:tc>
          <w:tcPr>
            <w:tcW w:w="936" w:type="pct"/>
            <w:shd w:val="clear" w:color="auto" w:fill="auto"/>
            <w:vAlign w:val="center"/>
            <w:hideMark/>
          </w:tcPr>
          <w:p w14:paraId="6348B3A2"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Nav piemērojams</w:t>
            </w:r>
          </w:p>
        </w:tc>
        <w:tc>
          <w:tcPr>
            <w:tcW w:w="702" w:type="pct"/>
            <w:shd w:val="clear" w:color="auto" w:fill="auto"/>
            <w:vAlign w:val="center"/>
            <w:hideMark/>
          </w:tcPr>
          <w:p w14:paraId="77204775"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1000</w:t>
            </w:r>
          </w:p>
        </w:tc>
        <w:tc>
          <w:tcPr>
            <w:tcW w:w="655" w:type="pct"/>
            <w:shd w:val="clear" w:color="auto" w:fill="auto"/>
            <w:vAlign w:val="center"/>
            <w:hideMark/>
          </w:tcPr>
          <w:p w14:paraId="2C624C24"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4000</w:t>
            </w:r>
          </w:p>
        </w:tc>
        <w:tc>
          <w:tcPr>
            <w:tcW w:w="764" w:type="pct"/>
            <w:shd w:val="clear" w:color="auto" w:fill="auto"/>
            <w:noWrap/>
            <w:vAlign w:val="center"/>
            <w:hideMark/>
          </w:tcPr>
          <w:p w14:paraId="520FC5A3"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2500</w:t>
            </w:r>
          </w:p>
        </w:tc>
        <w:tc>
          <w:tcPr>
            <w:tcW w:w="764" w:type="pct"/>
            <w:shd w:val="clear" w:color="auto" w:fill="auto"/>
            <w:noWrap/>
            <w:vAlign w:val="center"/>
            <w:hideMark/>
          </w:tcPr>
          <w:p w14:paraId="421DDFC6"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0,05 %</w:t>
            </w:r>
          </w:p>
        </w:tc>
      </w:tr>
      <w:tr w:rsidR="00BC5BDF" w:rsidRPr="00B37A02" w14:paraId="6C9268A8" w14:textId="77777777" w:rsidTr="002E1382">
        <w:tc>
          <w:tcPr>
            <w:tcW w:w="1179" w:type="pct"/>
            <w:shd w:val="clear" w:color="auto" w:fill="auto"/>
            <w:vAlign w:val="center"/>
            <w:hideMark/>
          </w:tcPr>
          <w:p w14:paraId="1E8C209B" w14:textId="77777777" w:rsidR="00BC5BDF" w:rsidRPr="00B37A02" w:rsidRDefault="00BC5BDF" w:rsidP="004A565E">
            <w:pPr>
              <w:widowControl w:val="0"/>
              <w:spacing w:after="0" w:line="240" w:lineRule="auto"/>
              <w:jc w:val="center"/>
              <w:rPr>
                <w:rFonts w:ascii="Times New Roman" w:eastAsia="Times New Roman" w:hAnsi="Times New Roman" w:cs="Times New Roman"/>
                <w:i/>
                <w:iCs/>
                <w:sz w:val="24"/>
                <w:szCs w:val="20"/>
              </w:rPr>
            </w:pPr>
            <w:r w:rsidRPr="00B37A02">
              <w:rPr>
                <w:rFonts w:ascii="Times New Roman" w:hAnsi="Times New Roman" w:cs="Times New Roman"/>
                <w:i/>
                <w:sz w:val="24"/>
              </w:rPr>
              <w:t>Malta</w:t>
            </w:r>
          </w:p>
        </w:tc>
        <w:tc>
          <w:tcPr>
            <w:tcW w:w="936" w:type="pct"/>
            <w:shd w:val="clear" w:color="auto" w:fill="auto"/>
            <w:vAlign w:val="center"/>
            <w:hideMark/>
          </w:tcPr>
          <w:p w14:paraId="00CBA8C3"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Nav piemērojams</w:t>
            </w:r>
          </w:p>
        </w:tc>
        <w:tc>
          <w:tcPr>
            <w:tcW w:w="702" w:type="pct"/>
            <w:shd w:val="clear" w:color="auto" w:fill="auto"/>
            <w:vAlign w:val="center"/>
            <w:hideMark/>
          </w:tcPr>
          <w:p w14:paraId="2015FB23"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0</w:t>
            </w:r>
          </w:p>
        </w:tc>
        <w:tc>
          <w:tcPr>
            <w:tcW w:w="655" w:type="pct"/>
            <w:shd w:val="clear" w:color="auto" w:fill="auto"/>
            <w:vAlign w:val="center"/>
            <w:hideMark/>
          </w:tcPr>
          <w:p w14:paraId="06502D55" w14:textId="77777777" w:rsidR="00BC5BDF" w:rsidRPr="00B37A02" w:rsidRDefault="00BC5BDF" w:rsidP="004A565E">
            <w:pPr>
              <w:widowControl w:val="0"/>
              <w:spacing w:after="0" w:line="240" w:lineRule="auto"/>
              <w:jc w:val="right"/>
              <w:rPr>
                <w:rFonts w:ascii="Times New Roman" w:eastAsia="Times New Roman" w:hAnsi="Times New Roman" w:cs="Times New Roman"/>
                <w:sz w:val="24"/>
                <w:szCs w:val="20"/>
              </w:rPr>
            </w:pPr>
            <w:r w:rsidRPr="00B37A02">
              <w:rPr>
                <w:rFonts w:ascii="Times New Roman" w:hAnsi="Times New Roman" w:cs="Times New Roman"/>
                <w:sz w:val="24"/>
              </w:rPr>
              <w:t>0</w:t>
            </w:r>
          </w:p>
        </w:tc>
        <w:tc>
          <w:tcPr>
            <w:tcW w:w="764" w:type="pct"/>
            <w:shd w:val="clear" w:color="auto" w:fill="auto"/>
            <w:noWrap/>
            <w:vAlign w:val="center"/>
            <w:hideMark/>
          </w:tcPr>
          <w:p w14:paraId="4CE7DD06"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0</w:t>
            </w:r>
          </w:p>
        </w:tc>
        <w:tc>
          <w:tcPr>
            <w:tcW w:w="764" w:type="pct"/>
            <w:shd w:val="clear" w:color="auto" w:fill="auto"/>
            <w:noWrap/>
            <w:vAlign w:val="center"/>
            <w:hideMark/>
          </w:tcPr>
          <w:p w14:paraId="761707C8"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0,00 %</w:t>
            </w:r>
          </w:p>
        </w:tc>
      </w:tr>
      <w:tr w:rsidR="00C97F66" w:rsidRPr="00B37A02" w14:paraId="7BD1F245" w14:textId="77777777" w:rsidTr="002E1382">
        <w:tc>
          <w:tcPr>
            <w:tcW w:w="1179" w:type="pct"/>
            <w:shd w:val="clear" w:color="000000" w:fill="99CCFF"/>
            <w:vAlign w:val="center"/>
            <w:hideMark/>
          </w:tcPr>
          <w:p w14:paraId="47C5EF8A" w14:textId="77777777" w:rsidR="00BC5BDF" w:rsidRPr="00B37A02" w:rsidRDefault="00BC5BDF" w:rsidP="00C97F66">
            <w:pPr>
              <w:widowControl w:val="0"/>
              <w:spacing w:after="0" w:line="240" w:lineRule="auto"/>
              <w:jc w:val="center"/>
              <w:rPr>
                <w:rFonts w:ascii="Times New Roman" w:eastAsia="Times New Roman" w:hAnsi="Times New Roman" w:cs="Times New Roman"/>
                <w:b/>
                <w:bCs/>
                <w:i/>
                <w:iCs/>
                <w:sz w:val="24"/>
                <w:szCs w:val="20"/>
              </w:rPr>
            </w:pPr>
            <w:r w:rsidRPr="00B37A02">
              <w:rPr>
                <w:rFonts w:ascii="Times New Roman" w:hAnsi="Times New Roman" w:cs="Times New Roman"/>
                <w:b/>
                <w:i/>
                <w:sz w:val="24"/>
              </w:rPr>
              <w:t>Eiropas Savienība (27)</w:t>
            </w:r>
          </w:p>
        </w:tc>
        <w:tc>
          <w:tcPr>
            <w:tcW w:w="936" w:type="pct"/>
            <w:shd w:val="clear" w:color="000000" w:fill="99CCFF"/>
            <w:noWrap/>
            <w:vAlign w:val="center"/>
            <w:hideMark/>
          </w:tcPr>
          <w:p w14:paraId="0F835A60"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1 292 893</w:t>
            </w:r>
          </w:p>
        </w:tc>
        <w:tc>
          <w:tcPr>
            <w:tcW w:w="702" w:type="pct"/>
            <w:shd w:val="clear" w:color="000000" w:fill="99CCFF"/>
            <w:noWrap/>
            <w:vAlign w:val="center"/>
            <w:hideMark/>
          </w:tcPr>
          <w:p w14:paraId="3D2ED52A"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4 338 700</w:t>
            </w:r>
          </w:p>
        </w:tc>
        <w:tc>
          <w:tcPr>
            <w:tcW w:w="655" w:type="pct"/>
            <w:shd w:val="clear" w:color="000000" w:fill="99CCFF"/>
            <w:noWrap/>
            <w:vAlign w:val="center"/>
            <w:hideMark/>
          </w:tcPr>
          <w:p w14:paraId="48B48041"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7 985 500</w:t>
            </w:r>
          </w:p>
        </w:tc>
        <w:tc>
          <w:tcPr>
            <w:tcW w:w="764" w:type="pct"/>
            <w:shd w:val="clear" w:color="000000" w:fill="99CCFF"/>
            <w:noWrap/>
            <w:vAlign w:val="center"/>
            <w:hideMark/>
          </w:tcPr>
          <w:p w14:paraId="4FA908D7"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6 162 100</w:t>
            </w:r>
          </w:p>
        </w:tc>
        <w:tc>
          <w:tcPr>
            <w:tcW w:w="764" w:type="pct"/>
            <w:shd w:val="clear" w:color="000000" w:fill="99CCFF"/>
            <w:noWrap/>
            <w:vAlign w:val="center"/>
            <w:hideMark/>
          </w:tcPr>
          <w:p w14:paraId="22C50808" w14:textId="77777777" w:rsidR="00BC5BDF" w:rsidRPr="00B37A02" w:rsidRDefault="00BC5BDF" w:rsidP="004A565E">
            <w:pPr>
              <w:widowControl w:val="0"/>
              <w:spacing w:after="0" w:line="240" w:lineRule="auto"/>
              <w:jc w:val="right"/>
              <w:rPr>
                <w:rFonts w:ascii="Times New Roman" w:eastAsia="Times New Roman" w:hAnsi="Times New Roman" w:cs="Times New Roman"/>
                <w:b/>
                <w:bCs/>
                <w:sz w:val="24"/>
                <w:szCs w:val="20"/>
              </w:rPr>
            </w:pPr>
            <w:r w:rsidRPr="00B37A02">
              <w:rPr>
                <w:rFonts w:ascii="Times New Roman" w:hAnsi="Times New Roman" w:cs="Times New Roman"/>
                <w:b/>
                <w:sz w:val="24"/>
              </w:rPr>
              <w:t>1,18 %</w:t>
            </w:r>
          </w:p>
        </w:tc>
      </w:tr>
    </w:tbl>
    <w:p w14:paraId="40483954" w14:textId="2395500E" w:rsidR="00BC5BDF" w:rsidRPr="00B37A02" w:rsidRDefault="00BC5BDF" w:rsidP="00C97F66">
      <w:pPr>
        <w:widowControl w:val="0"/>
        <w:spacing w:after="0" w:line="240" w:lineRule="auto"/>
        <w:jc w:val="both"/>
        <w:rPr>
          <w:rFonts w:ascii="Times New Roman" w:hAnsi="Times New Roman" w:cs="Times New Roman"/>
          <w:sz w:val="20"/>
          <w:szCs w:val="16"/>
        </w:rPr>
      </w:pPr>
      <w:r w:rsidRPr="00B37A02">
        <w:rPr>
          <w:rFonts w:ascii="Times New Roman" w:hAnsi="Times New Roman" w:cs="Times New Roman"/>
          <w:sz w:val="20"/>
        </w:rPr>
        <w:t>Skat. arī: Ivanov, A. and Kagin, J. (2014). Roma Poverty from a Human Development Perspective. Bratislava: UNDP Regional Support Centre for Europe and CIS, and Till-Tentschert, U., Ivanov, A., Elena, M., Kling, G.J., and Latcheva, R. (2016). Measuring Roma Inclusion Strategies – a Fundamental Rights Based Approach to Indicators. Vienna/Geneva.</w:t>
      </w:r>
    </w:p>
    <w:p w14:paraId="03D18AAD" w14:textId="77777777" w:rsidR="002E1382" w:rsidRPr="00B37A02" w:rsidRDefault="002E1382" w:rsidP="00C97F66">
      <w:pPr>
        <w:widowControl w:val="0"/>
        <w:spacing w:after="0" w:line="240" w:lineRule="auto"/>
        <w:jc w:val="both"/>
        <w:rPr>
          <w:rFonts w:ascii="Times New Roman" w:hAnsi="Times New Roman" w:cs="Times New Roman"/>
          <w:sz w:val="20"/>
          <w:szCs w:val="16"/>
        </w:rPr>
      </w:pPr>
    </w:p>
    <w:p w14:paraId="2DCC1386" w14:textId="1C18F090" w:rsidR="00BC5BDF" w:rsidRPr="00B37A02" w:rsidRDefault="00BC5BDF" w:rsidP="00C97F66">
      <w:pPr>
        <w:widowControl w:val="0"/>
        <w:spacing w:after="0" w:line="240" w:lineRule="auto"/>
        <w:jc w:val="both"/>
        <w:rPr>
          <w:rFonts w:ascii="Times New Roman" w:hAnsi="Times New Roman" w:cs="Times New Roman"/>
          <w:sz w:val="20"/>
          <w:szCs w:val="16"/>
        </w:rPr>
      </w:pPr>
      <w:r w:rsidRPr="00B37A02">
        <w:rPr>
          <w:rFonts w:ascii="Times New Roman" w:hAnsi="Times New Roman" w:cs="Times New Roman"/>
          <w:sz w:val="20"/>
        </w:rPr>
        <w:t>Avots: Eiropas Padome.</w:t>
      </w:r>
    </w:p>
    <w:p w14:paraId="0915C483" w14:textId="77777777" w:rsidR="00BC5BDF" w:rsidRPr="00B37A02" w:rsidRDefault="00BC5BDF" w:rsidP="00C97F66">
      <w:pPr>
        <w:widowControl w:val="0"/>
        <w:spacing w:after="0" w:line="240" w:lineRule="auto"/>
        <w:jc w:val="both"/>
        <w:rPr>
          <w:rFonts w:ascii="Times New Roman" w:hAnsi="Times New Roman" w:cs="Times New Roman"/>
          <w:sz w:val="24"/>
        </w:rPr>
      </w:pPr>
    </w:p>
    <w:p w14:paraId="23209E59" w14:textId="503C46EA" w:rsidR="00BC5BDF" w:rsidRPr="00B37A02" w:rsidRDefault="00BC5BDF" w:rsidP="00C97F66">
      <w:pPr>
        <w:pStyle w:val="Caption"/>
        <w:widowControl w:val="0"/>
        <w:spacing w:after="0"/>
        <w:jc w:val="both"/>
        <w:rPr>
          <w:rFonts w:ascii="Times New Roman" w:hAnsi="Times New Roman" w:cs="Times New Roman"/>
          <w:sz w:val="24"/>
          <w:szCs w:val="24"/>
        </w:rPr>
      </w:pPr>
      <w:r w:rsidRPr="00B37A02">
        <w:rPr>
          <w:rFonts w:ascii="Times New Roman" w:hAnsi="Times New Roman" w:cs="Times New Roman"/>
          <w:sz w:val="24"/>
        </w:rPr>
        <w:t>A9. attēls. Nepietiekamu ienākumu radītais risks, kuram pakļauti romu bērni; izvēlētas ES dalībvalstis, 2014. gads (%)</w:t>
      </w:r>
    </w:p>
    <w:p w14:paraId="24DC836D" w14:textId="01096A70" w:rsidR="004C5BC2" w:rsidRPr="00CE6948" w:rsidRDefault="00CE6948" w:rsidP="00CE6948">
      <w:pPr>
        <w:pStyle w:val="Graph-tabletitle"/>
        <w:widowControl w:val="0"/>
        <w:spacing w:before="0" w:after="0"/>
        <w:jc w:val="both"/>
        <w:rPr>
          <w:rFonts w:ascii="Times New Roman" w:eastAsia="Arial Narrow" w:hAnsi="Times New Roman"/>
          <w:b w:val="0"/>
          <w:i w:val="0"/>
          <w:sz w:val="24"/>
          <w:szCs w:val="20"/>
        </w:rPr>
      </w:pPr>
      <w:r w:rsidRPr="00CE6948">
        <w:rPr>
          <w:rFonts w:ascii="Times New Roman" w:eastAsia="Arial Narrow" w:hAnsi="Times New Roman"/>
          <w:b w:val="0"/>
          <w:i w:val="0"/>
          <w:noProof/>
          <w:sz w:val="24"/>
          <w:szCs w:val="20"/>
        </w:rPr>
        <w:drawing>
          <wp:inline distT="0" distB="0" distL="0" distR="0" wp14:anchorId="01364E5C" wp14:editId="5B7B1668">
            <wp:extent cx="5760085" cy="2303780"/>
            <wp:effectExtent l="0" t="0" r="0" b="1270"/>
            <wp:docPr id="1182665309" name="Picture 1"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665309" name="Picture 1" descr="A graph of different colored bars&#10;&#10;Description automatically generated with medium confidence"/>
                    <pic:cNvPicPr/>
                  </pic:nvPicPr>
                  <pic:blipFill>
                    <a:blip r:embed="rId20"/>
                    <a:stretch>
                      <a:fillRect/>
                    </a:stretch>
                  </pic:blipFill>
                  <pic:spPr>
                    <a:xfrm>
                      <a:off x="0" y="0"/>
                      <a:ext cx="5760085" cy="2303780"/>
                    </a:xfrm>
                    <a:prstGeom prst="rect">
                      <a:avLst/>
                    </a:prstGeom>
                  </pic:spPr>
                </pic:pic>
              </a:graphicData>
            </a:graphic>
          </wp:inline>
        </w:drawing>
      </w:r>
    </w:p>
    <w:p w14:paraId="5E5E312B" w14:textId="0D072EDA" w:rsidR="00BC5BDF" w:rsidRPr="00B37A02" w:rsidRDefault="00BC5BDF" w:rsidP="00C97F66">
      <w:pPr>
        <w:widowControl w:val="0"/>
        <w:spacing w:after="0" w:line="240" w:lineRule="auto"/>
        <w:jc w:val="both"/>
        <w:rPr>
          <w:rFonts w:ascii="Times New Roman" w:hAnsi="Times New Roman" w:cs="Times New Roman"/>
          <w:sz w:val="20"/>
          <w:szCs w:val="18"/>
        </w:rPr>
      </w:pPr>
      <w:r w:rsidRPr="00B37A02">
        <w:rPr>
          <w:rFonts w:ascii="Times New Roman" w:hAnsi="Times New Roman" w:cs="Times New Roman"/>
          <w:sz w:val="20"/>
        </w:rPr>
        <w:t>Avots: Feasibility Study for a Child Guarantee Final Report, p. 49, quoting FRA Second European Union Minorities and Discrimination Survey, 2016 and EU-SILC 2014, Eurostat, Table [TESSI012].</w:t>
      </w:r>
    </w:p>
    <w:p w14:paraId="5E912A84" w14:textId="77777777" w:rsidR="00BC5BDF" w:rsidRPr="00B37A02" w:rsidRDefault="00BC5BDF" w:rsidP="00C97F66">
      <w:pPr>
        <w:pStyle w:val="Graph-tabletitle"/>
        <w:widowControl w:val="0"/>
        <w:spacing w:before="0" w:after="0"/>
        <w:jc w:val="both"/>
        <w:rPr>
          <w:rFonts w:ascii="Times New Roman" w:hAnsi="Times New Roman"/>
          <w:i w:val="0"/>
          <w:sz w:val="24"/>
          <w:szCs w:val="20"/>
        </w:rPr>
      </w:pPr>
    </w:p>
    <w:p w14:paraId="0218F960" w14:textId="18C1B178" w:rsidR="00BC5BDF" w:rsidRPr="00B37A02" w:rsidRDefault="00BC5BDF" w:rsidP="00C97F66">
      <w:pPr>
        <w:pStyle w:val="Heading2"/>
        <w:keepNext w:val="0"/>
        <w:keepLines w:val="0"/>
        <w:widowControl w:val="0"/>
        <w:spacing w:before="0" w:line="240" w:lineRule="auto"/>
        <w:jc w:val="both"/>
        <w:rPr>
          <w:rFonts w:cs="Times New Roman"/>
          <w:sz w:val="24"/>
        </w:rPr>
      </w:pPr>
      <w:bookmarkStart w:id="381" w:name="_Toc62823453"/>
      <w:bookmarkStart w:id="382" w:name="_Toc62823541"/>
      <w:bookmarkStart w:id="383" w:name="_Toc62833140"/>
      <w:bookmarkStart w:id="384" w:name="_Toc62841482"/>
      <w:bookmarkStart w:id="385" w:name="_Toc62942405"/>
      <w:bookmarkStart w:id="386" w:name="_Toc63178122"/>
      <w:bookmarkStart w:id="387" w:name="_Toc63258875"/>
      <w:bookmarkStart w:id="388" w:name="_Toc63269678"/>
      <w:bookmarkStart w:id="389" w:name="_Toc63692786"/>
      <w:bookmarkStart w:id="390" w:name="_Toc63712865"/>
      <w:bookmarkStart w:id="391" w:name="_Toc63850172"/>
      <w:bookmarkStart w:id="392" w:name="_Toc63850315"/>
      <w:bookmarkStart w:id="393" w:name="_Toc63862447"/>
      <w:bookmarkStart w:id="394" w:name="_Toc64476365"/>
      <w:r w:rsidRPr="00B37A02">
        <w:rPr>
          <w:rFonts w:cs="Times New Roman"/>
          <w:sz w:val="24"/>
        </w:rPr>
        <w:t>Alternatīvajā aprūpē esoši bērni</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p>
    <w:p w14:paraId="59C1F8EC" w14:textId="77777777" w:rsidR="002E1382" w:rsidRPr="00B37A02" w:rsidRDefault="002E1382" w:rsidP="00C97F66">
      <w:pPr>
        <w:spacing w:after="0" w:line="240" w:lineRule="auto"/>
        <w:rPr>
          <w:rFonts w:ascii="Times New Roman" w:hAnsi="Times New Roman" w:cs="Times New Roman"/>
        </w:rPr>
      </w:pPr>
    </w:p>
    <w:p w14:paraId="13238F2D" w14:textId="77777777" w:rsidR="00BC5BDF" w:rsidRPr="00B37A02" w:rsidRDefault="00BC5BDF" w:rsidP="006476D7">
      <w:pPr>
        <w:spacing w:after="0" w:line="240" w:lineRule="auto"/>
        <w:jc w:val="both"/>
        <w:rPr>
          <w:rFonts w:ascii="Times New Roman" w:hAnsi="Times New Roman" w:cs="Times New Roman"/>
          <w:sz w:val="24"/>
          <w:szCs w:val="24"/>
        </w:rPr>
      </w:pPr>
      <w:r w:rsidRPr="00B37A02">
        <w:rPr>
          <w:rFonts w:ascii="Times New Roman" w:hAnsi="Times New Roman" w:cs="Times New Roman"/>
          <w:sz w:val="24"/>
        </w:rPr>
        <w:t xml:space="preserve">Kā liecina pētījums “Feasibility Study for a Child Guarantee Final Report”, dati par alternatīvajā aprūpē esošiem bērniem ir ļoti ierobežoti, proti, daži alternatīvajā aprūpē esoši bērni ir reģistrēti divreiz vai nav reģistrēti vispār. Daži statistikas ziņojumi liecina par “mainīgiem” rādītājiem (to bērnu skaits, kuri nonāk alternatīvās aprūpes sistēmās un tās atstāj), bet ne par to bērnu kopējo skaitu, kuri attiecīgajā brīdī atrodas alternatīvajā aprūpē (“fiksētais” rādītājs). Tiek izmantotas dažādas vecuma kategorijas, kas apgrūtina starpvalstu salīdzinājumu veikšanu (piemēram, daži statistikas dati ietver datus par personām, kuras ir vecākas par 18 gadiem un kurām tiek sniegti bērnu aizsardzības pakalpojumi laikā, kad viņi pāriet uz pieaugušā vecumu). Vairumā dalībvalstu dati netiek nošķirti atkarībā no personas dzimuma, vecuma, invaliditātes vai migrantu izcelsmes. Nepavadīti nepilngadīgie vai bērni ar invaliditāti, kuri atrodas alternatīvajā aprūpē, iespējams, nav iekļauti statistikas datos par alternatīvajā aprūpē esošiem bērniem, taču var būt iekļauti citos dažādu valsts iestāžu apkopotajos statistikas datos. Dažās dalībvalstīs bērni ar invaliditāti tiek ievietoti internātskolās, tādējādi radot sava </w:t>
      </w:r>
      <w:r w:rsidRPr="00B37A02">
        <w:rPr>
          <w:rFonts w:ascii="Times New Roman" w:hAnsi="Times New Roman" w:cs="Times New Roman"/>
          <w:sz w:val="24"/>
        </w:rPr>
        <w:lastRenderedPageBreak/>
        <w:t>veida “slēptu” bērnu institucionalizāciju, jo šie dati netiek iekļauti statistikas datos par stacionārā aprūpē esošiem bērniem.</w:t>
      </w:r>
      <w:r w:rsidRPr="00B37A02">
        <w:rPr>
          <w:rStyle w:val="FootnoteReference"/>
          <w:rFonts w:ascii="Times New Roman" w:hAnsi="Times New Roman" w:cs="Times New Roman"/>
          <w:sz w:val="24"/>
          <w:szCs w:val="24"/>
        </w:rPr>
        <w:footnoteReference w:id="251"/>
      </w:r>
    </w:p>
    <w:p w14:paraId="563866C6" w14:textId="77777777" w:rsidR="00BC5BDF" w:rsidRPr="00B37A02" w:rsidRDefault="00BC5BDF" w:rsidP="00C97F66">
      <w:pPr>
        <w:widowControl w:val="0"/>
        <w:spacing w:after="0" w:line="240" w:lineRule="auto"/>
        <w:jc w:val="both"/>
        <w:rPr>
          <w:rFonts w:ascii="Times New Roman" w:hAnsi="Times New Roman" w:cs="Times New Roman"/>
          <w:sz w:val="24"/>
        </w:rPr>
      </w:pPr>
      <w:r w:rsidRPr="00B37A02">
        <w:rPr>
          <w:rFonts w:ascii="Times New Roman" w:hAnsi="Times New Roman" w:cs="Times New Roman"/>
        </w:rPr>
        <w:br w:type="page"/>
      </w:r>
    </w:p>
    <w:p w14:paraId="5A1D6199" w14:textId="3FEC9BB4" w:rsidR="002E1382" w:rsidRPr="00650803" w:rsidRDefault="00BC5BDF" w:rsidP="00650803">
      <w:pPr>
        <w:pStyle w:val="Caption"/>
        <w:widowControl w:val="0"/>
        <w:spacing w:after="0"/>
        <w:jc w:val="both"/>
        <w:rPr>
          <w:rFonts w:ascii="Times New Roman" w:hAnsi="Times New Roman" w:cs="Times New Roman"/>
          <w:sz w:val="24"/>
          <w:szCs w:val="24"/>
        </w:rPr>
      </w:pPr>
      <w:r w:rsidRPr="00B37A02">
        <w:rPr>
          <w:rFonts w:ascii="Times New Roman" w:hAnsi="Times New Roman" w:cs="Times New Roman"/>
          <w:sz w:val="24"/>
        </w:rPr>
        <w:lastRenderedPageBreak/>
        <w:t>A10. tabula. Institucionālā aprūpē esošo bērnu skaits visā ES</w:t>
      </w: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1376"/>
        <w:gridCol w:w="1296"/>
        <w:gridCol w:w="6389"/>
      </w:tblGrid>
      <w:tr w:rsidR="00BC5BDF" w:rsidRPr="00B37A02" w14:paraId="014B5233" w14:textId="77777777" w:rsidTr="004A565E">
        <w:tc>
          <w:tcPr>
            <w:tcW w:w="734" w:type="pct"/>
            <w:tcBorders>
              <w:bottom w:val="single" w:sz="4" w:space="0" w:color="auto"/>
            </w:tcBorders>
          </w:tcPr>
          <w:p w14:paraId="3991B6FF"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Dalībvalsts</w:t>
            </w:r>
          </w:p>
        </w:tc>
        <w:tc>
          <w:tcPr>
            <w:tcW w:w="458" w:type="pct"/>
            <w:tcBorders>
              <w:bottom w:val="single" w:sz="4" w:space="0" w:color="auto"/>
            </w:tcBorders>
          </w:tcPr>
          <w:p w14:paraId="26262D6E"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Skaits</w:t>
            </w:r>
          </w:p>
        </w:tc>
        <w:tc>
          <w:tcPr>
            <w:tcW w:w="3808" w:type="pct"/>
            <w:tcBorders>
              <w:bottom w:val="single" w:sz="4" w:space="0" w:color="auto"/>
            </w:tcBorders>
          </w:tcPr>
          <w:p w14:paraId="21A991CE"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Piezīmes</w:t>
            </w:r>
          </w:p>
        </w:tc>
      </w:tr>
      <w:tr w:rsidR="00BC5BDF" w:rsidRPr="00B37A02" w14:paraId="57A377C3" w14:textId="77777777" w:rsidTr="004A565E">
        <w:tc>
          <w:tcPr>
            <w:tcW w:w="734" w:type="pct"/>
            <w:tcBorders>
              <w:bottom w:val="nil"/>
            </w:tcBorders>
          </w:tcPr>
          <w:p w14:paraId="419D1125"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Beļģija</w:t>
            </w:r>
          </w:p>
          <w:p w14:paraId="41A78F23"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 Flandrija</w:t>
            </w:r>
          </w:p>
        </w:tc>
        <w:tc>
          <w:tcPr>
            <w:tcW w:w="458" w:type="pct"/>
            <w:tcBorders>
              <w:bottom w:val="nil"/>
            </w:tcBorders>
            <w:vAlign w:val="center"/>
          </w:tcPr>
          <w:p w14:paraId="542AF6B9"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6092</w:t>
            </w:r>
          </w:p>
        </w:tc>
        <w:tc>
          <w:tcPr>
            <w:tcW w:w="3808" w:type="pct"/>
            <w:tcBorders>
              <w:bottom w:val="nil"/>
            </w:tcBorders>
          </w:tcPr>
          <w:p w14:paraId="0F47FC37"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Ietver internātskolas un kopienas iestādes, kuras aprūpē ne tikai grūtībās nonākušus bērnus, bet arī tos, kuri ir pārkāpuši likumu.</w:t>
            </w:r>
          </w:p>
        </w:tc>
      </w:tr>
      <w:tr w:rsidR="00BC5BDF" w:rsidRPr="00B37A02" w14:paraId="5DA7DE2C" w14:textId="77777777" w:rsidTr="004A565E">
        <w:tc>
          <w:tcPr>
            <w:tcW w:w="734" w:type="pct"/>
            <w:tcBorders>
              <w:top w:val="nil"/>
            </w:tcBorders>
            <w:vAlign w:val="center"/>
          </w:tcPr>
          <w:p w14:paraId="35364D01"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 Valonija un Brisele</w:t>
            </w:r>
          </w:p>
        </w:tc>
        <w:tc>
          <w:tcPr>
            <w:tcW w:w="458" w:type="pct"/>
            <w:tcBorders>
              <w:top w:val="nil"/>
            </w:tcBorders>
            <w:vAlign w:val="center"/>
          </w:tcPr>
          <w:p w14:paraId="7F34FF0B"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10 439</w:t>
            </w:r>
          </w:p>
        </w:tc>
        <w:tc>
          <w:tcPr>
            <w:tcW w:w="3808" w:type="pct"/>
            <w:tcBorders>
              <w:top w:val="nil"/>
            </w:tcBorders>
          </w:tcPr>
          <w:p w14:paraId="2F29477A" w14:textId="77777777" w:rsidR="00BC5BDF" w:rsidRPr="00B37A02" w:rsidRDefault="00BC5BDF" w:rsidP="00C97F66">
            <w:pPr>
              <w:widowControl w:val="0"/>
              <w:jc w:val="both"/>
              <w:rPr>
                <w:rFonts w:ascii="Times New Roman" w:hAnsi="Times New Roman" w:cs="Times New Roman"/>
                <w:sz w:val="24"/>
                <w:szCs w:val="20"/>
              </w:rPr>
            </w:pPr>
          </w:p>
        </w:tc>
      </w:tr>
      <w:tr w:rsidR="00BC5BDF" w:rsidRPr="00B37A02" w14:paraId="0AD02A60" w14:textId="77777777" w:rsidTr="004A565E">
        <w:tc>
          <w:tcPr>
            <w:tcW w:w="734" w:type="pct"/>
            <w:vAlign w:val="center"/>
          </w:tcPr>
          <w:p w14:paraId="0C03296F"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Bulgārija</w:t>
            </w:r>
          </w:p>
        </w:tc>
        <w:tc>
          <w:tcPr>
            <w:tcW w:w="458" w:type="pct"/>
            <w:vAlign w:val="center"/>
          </w:tcPr>
          <w:p w14:paraId="70594CEE"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3571</w:t>
            </w:r>
          </w:p>
        </w:tc>
        <w:tc>
          <w:tcPr>
            <w:tcW w:w="3808" w:type="pct"/>
          </w:tcPr>
          <w:p w14:paraId="2CE93CD9"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Sociālās palīdzības aģentūras dati liecina, ka kopējais specializētajās institūcijās ievietoto bērnu skaits 2019. gada beigās bija 476 (84 bērni 8 bez vecāku apgādības palikušu bērnu aprūpes namos un 392 bērni 13 bērnu medicīniskās un sociālās aprūpes namos). Stacionārā aprūpē (ģimenes tipa centros, pagaidu mājokļos un krīzes centros) esošo bērnu skaits 2019. gada beigās bija 3095 (neskaitot iestādēs ievietoto bērnu skaitu).</w:t>
            </w:r>
          </w:p>
        </w:tc>
      </w:tr>
      <w:tr w:rsidR="00BC5BDF" w:rsidRPr="00B37A02" w14:paraId="6671DB96" w14:textId="77777777" w:rsidTr="004A565E">
        <w:tc>
          <w:tcPr>
            <w:tcW w:w="734" w:type="pct"/>
            <w:vAlign w:val="center"/>
          </w:tcPr>
          <w:p w14:paraId="6EF65AAC"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Čehija</w:t>
            </w:r>
          </w:p>
        </w:tc>
        <w:tc>
          <w:tcPr>
            <w:tcW w:w="458" w:type="pct"/>
            <w:vAlign w:val="center"/>
          </w:tcPr>
          <w:p w14:paraId="7C01625B"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9052</w:t>
            </w:r>
          </w:p>
        </w:tc>
        <w:tc>
          <w:tcPr>
            <w:tcW w:w="3808" w:type="pct"/>
          </w:tcPr>
          <w:p w14:paraId="5C273039"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Šajā skaitā ir iekļauti bērni un jaunieši, kuri atrodas nepilngadīgo tiesvedības sistēmā. Lai iegūtu kopējo stacionārā aprūpē esošo bērnu skaitu, nepieciešams apvienot trīs dažādu ministriju datus. Grūtības iegūt skaidru stacionārā aprūpē esošo bērnu skaitu pastiprina tas, ka šajā skaitā ir iekļauta Veselības ministrijas sniegtā informācija par jaunuzņemtajiem bērniem (1490 bērni uzņemti iestādēs, kuras paredzētas bērniem vecumā no 0 līdz 3 gadiem), savukārt pārējās ministrijas norāda fiksēto skaitu gada beigās.</w:t>
            </w:r>
          </w:p>
        </w:tc>
      </w:tr>
      <w:tr w:rsidR="00BC5BDF" w:rsidRPr="00B37A02" w14:paraId="76563DAD" w14:textId="77777777" w:rsidTr="004A565E">
        <w:tc>
          <w:tcPr>
            <w:tcW w:w="734" w:type="pct"/>
            <w:vAlign w:val="center"/>
          </w:tcPr>
          <w:p w14:paraId="39020460"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Dānija</w:t>
            </w:r>
          </w:p>
        </w:tc>
        <w:tc>
          <w:tcPr>
            <w:tcW w:w="458" w:type="pct"/>
            <w:vAlign w:val="center"/>
          </w:tcPr>
          <w:p w14:paraId="1D6EAC85"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3940</w:t>
            </w:r>
          </w:p>
        </w:tc>
        <w:tc>
          <w:tcPr>
            <w:tcW w:w="3808" w:type="pct"/>
          </w:tcPr>
          <w:p w14:paraId="39DD3565" w14:textId="77777777" w:rsidR="00BC5BDF" w:rsidRPr="00B37A02" w:rsidRDefault="00BC5BDF" w:rsidP="00C97F66">
            <w:pPr>
              <w:widowControl w:val="0"/>
              <w:jc w:val="both"/>
              <w:rPr>
                <w:rFonts w:ascii="Times New Roman" w:hAnsi="Times New Roman" w:cs="Times New Roman"/>
                <w:sz w:val="24"/>
                <w:szCs w:val="20"/>
              </w:rPr>
            </w:pPr>
          </w:p>
        </w:tc>
      </w:tr>
      <w:tr w:rsidR="00BC5BDF" w:rsidRPr="00B37A02" w14:paraId="31BFF178" w14:textId="77777777" w:rsidTr="004A565E">
        <w:tc>
          <w:tcPr>
            <w:tcW w:w="734" w:type="pct"/>
            <w:vAlign w:val="center"/>
          </w:tcPr>
          <w:p w14:paraId="65891BD1"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Vācija</w:t>
            </w:r>
          </w:p>
        </w:tc>
        <w:tc>
          <w:tcPr>
            <w:tcW w:w="458" w:type="pct"/>
            <w:vAlign w:val="center"/>
          </w:tcPr>
          <w:p w14:paraId="57FD186F"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95 582</w:t>
            </w:r>
          </w:p>
        </w:tc>
        <w:tc>
          <w:tcPr>
            <w:tcW w:w="3808" w:type="pct"/>
          </w:tcPr>
          <w:p w14:paraId="239F4FAA" w14:textId="77777777" w:rsidR="00BC5BDF" w:rsidRPr="00B37A02" w:rsidRDefault="00BC5BDF" w:rsidP="00C97F66">
            <w:pPr>
              <w:widowControl w:val="0"/>
              <w:jc w:val="both"/>
              <w:rPr>
                <w:rFonts w:ascii="Times New Roman" w:hAnsi="Times New Roman" w:cs="Times New Roman"/>
                <w:sz w:val="24"/>
                <w:szCs w:val="20"/>
              </w:rPr>
            </w:pPr>
          </w:p>
        </w:tc>
      </w:tr>
      <w:tr w:rsidR="00BC5BDF" w:rsidRPr="00B37A02" w14:paraId="2B34028E" w14:textId="77777777" w:rsidTr="004A565E">
        <w:tc>
          <w:tcPr>
            <w:tcW w:w="734" w:type="pct"/>
            <w:vAlign w:val="center"/>
          </w:tcPr>
          <w:p w14:paraId="2B9F51BA"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Igaunija</w:t>
            </w:r>
          </w:p>
        </w:tc>
        <w:tc>
          <w:tcPr>
            <w:tcW w:w="458" w:type="pct"/>
            <w:vAlign w:val="center"/>
          </w:tcPr>
          <w:p w14:paraId="1A0F0AD7"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1068</w:t>
            </w:r>
          </w:p>
        </w:tc>
        <w:tc>
          <w:tcPr>
            <w:tcW w:w="3808" w:type="pct"/>
          </w:tcPr>
          <w:p w14:paraId="4E1F8B68" w14:textId="77777777" w:rsidR="00BC5BDF" w:rsidRPr="00B37A02" w:rsidRDefault="00BC5BDF" w:rsidP="00C97F66">
            <w:pPr>
              <w:widowControl w:val="0"/>
              <w:jc w:val="both"/>
              <w:rPr>
                <w:rFonts w:ascii="Times New Roman" w:hAnsi="Times New Roman" w:cs="Times New Roman"/>
                <w:sz w:val="24"/>
                <w:szCs w:val="20"/>
              </w:rPr>
            </w:pPr>
          </w:p>
        </w:tc>
      </w:tr>
      <w:tr w:rsidR="00BC5BDF" w:rsidRPr="00B37A02" w14:paraId="393BDFA9" w14:textId="77777777" w:rsidTr="004A565E">
        <w:tc>
          <w:tcPr>
            <w:tcW w:w="734" w:type="pct"/>
            <w:vAlign w:val="center"/>
          </w:tcPr>
          <w:p w14:paraId="0552B909"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Īrija</w:t>
            </w:r>
          </w:p>
        </w:tc>
        <w:tc>
          <w:tcPr>
            <w:tcW w:w="458" w:type="pct"/>
            <w:vAlign w:val="center"/>
          </w:tcPr>
          <w:p w14:paraId="519151A1"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369</w:t>
            </w:r>
          </w:p>
        </w:tc>
        <w:tc>
          <w:tcPr>
            <w:tcW w:w="3808" w:type="pct"/>
          </w:tcPr>
          <w:p w14:paraId="4EF572A4" w14:textId="77777777" w:rsidR="00BC5BDF" w:rsidRPr="00B37A02" w:rsidRDefault="00BC5BDF" w:rsidP="00C97F66">
            <w:pPr>
              <w:widowControl w:val="0"/>
              <w:jc w:val="both"/>
              <w:rPr>
                <w:rFonts w:ascii="Times New Roman" w:hAnsi="Times New Roman" w:cs="Times New Roman"/>
                <w:sz w:val="24"/>
                <w:szCs w:val="20"/>
              </w:rPr>
            </w:pPr>
          </w:p>
        </w:tc>
      </w:tr>
      <w:tr w:rsidR="00BC5BDF" w:rsidRPr="00B37A02" w14:paraId="71D7C4A4" w14:textId="77777777" w:rsidTr="004A565E">
        <w:tc>
          <w:tcPr>
            <w:tcW w:w="734" w:type="pct"/>
            <w:vAlign w:val="center"/>
          </w:tcPr>
          <w:p w14:paraId="49002751"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Grieķija</w:t>
            </w:r>
          </w:p>
        </w:tc>
        <w:tc>
          <w:tcPr>
            <w:tcW w:w="458" w:type="pct"/>
            <w:vAlign w:val="center"/>
          </w:tcPr>
          <w:p w14:paraId="25F12EDC"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3000</w:t>
            </w:r>
          </w:p>
        </w:tc>
        <w:tc>
          <w:tcPr>
            <w:tcW w:w="3808" w:type="pct"/>
          </w:tcPr>
          <w:p w14:paraId="309F7EFF" w14:textId="77777777" w:rsidR="00BC5BDF" w:rsidRPr="00B37A02" w:rsidRDefault="00BC5BDF" w:rsidP="00C97F66">
            <w:pPr>
              <w:widowControl w:val="0"/>
              <w:jc w:val="both"/>
              <w:rPr>
                <w:rFonts w:ascii="Times New Roman" w:hAnsi="Times New Roman" w:cs="Times New Roman"/>
                <w:sz w:val="24"/>
                <w:szCs w:val="20"/>
              </w:rPr>
            </w:pPr>
          </w:p>
        </w:tc>
      </w:tr>
      <w:tr w:rsidR="00BC5BDF" w:rsidRPr="00B37A02" w14:paraId="3B90246D" w14:textId="77777777" w:rsidTr="004A565E">
        <w:tc>
          <w:tcPr>
            <w:tcW w:w="734" w:type="pct"/>
            <w:vAlign w:val="center"/>
          </w:tcPr>
          <w:p w14:paraId="7D9FB6C5"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Spānija</w:t>
            </w:r>
          </w:p>
        </w:tc>
        <w:tc>
          <w:tcPr>
            <w:tcW w:w="458" w:type="pct"/>
            <w:vAlign w:val="center"/>
          </w:tcPr>
          <w:p w14:paraId="733392AF"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21 283</w:t>
            </w:r>
          </w:p>
        </w:tc>
        <w:tc>
          <w:tcPr>
            <w:tcW w:w="3808" w:type="pct"/>
          </w:tcPr>
          <w:p w14:paraId="1C8F2BCD" w14:textId="77777777" w:rsidR="00BC5BDF" w:rsidRPr="00B37A02" w:rsidRDefault="00BC5BDF" w:rsidP="00C97F66">
            <w:pPr>
              <w:widowControl w:val="0"/>
              <w:jc w:val="both"/>
              <w:rPr>
                <w:rFonts w:ascii="Times New Roman" w:hAnsi="Times New Roman" w:cs="Times New Roman"/>
                <w:sz w:val="24"/>
                <w:szCs w:val="20"/>
              </w:rPr>
            </w:pPr>
          </w:p>
        </w:tc>
      </w:tr>
      <w:tr w:rsidR="00BC5BDF" w:rsidRPr="00B37A02" w14:paraId="22D30D8C" w14:textId="77777777" w:rsidTr="004A565E">
        <w:tc>
          <w:tcPr>
            <w:tcW w:w="734" w:type="pct"/>
            <w:vAlign w:val="center"/>
          </w:tcPr>
          <w:p w14:paraId="23D231FB"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Francija</w:t>
            </w:r>
          </w:p>
        </w:tc>
        <w:tc>
          <w:tcPr>
            <w:tcW w:w="458" w:type="pct"/>
            <w:vAlign w:val="center"/>
          </w:tcPr>
          <w:p w14:paraId="51D42F7E"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57 368</w:t>
            </w:r>
          </w:p>
        </w:tc>
        <w:tc>
          <w:tcPr>
            <w:tcW w:w="3808" w:type="pct"/>
          </w:tcPr>
          <w:p w14:paraId="542ECF49" w14:textId="77777777" w:rsidR="00BC5BDF" w:rsidRPr="00B37A02" w:rsidRDefault="00BC5BDF" w:rsidP="00C97F66">
            <w:pPr>
              <w:pStyle w:val="FootnoteText"/>
              <w:widowControl w:val="0"/>
              <w:jc w:val="both"/>
              <w:rPr>
                <w:rFonts w:ascii="Times New Roman" w:hAnsi="Times New Roman" w:cs="Times New Roman"/>
                <w:sz w:val="24"/>
              </w:rPr>
            </w:pPr>
            <w:r w:rsidRPr="00B37A02">
              <w:rPr>
                <w:rFonts w:ascii="Times New Roman" w:hAnsi="Times New Roman" w:cs="Times New Roman"/>
                <w:sz w:val="24"/>
              </w:rPr>
              <w:t>Pieskaitot 12 575 bērnus, kuri atrodas “cita veida aprūpē”, kas ietver dažādus variantus attiecībā uz alternatīvo aprūpi ģimenē (piemēram, dzīvošanu pie radiniekiem vai ievietošanu iespējamajā ģimenē adoptētājā) un stacionārās aprūpes variantus (piemēram, SOS bērnu ciematus un internātskolas).</w:t>
            </w:r>
          </w:p>
        </w:tc>
      </w:tr>
      <w:tr w:rsidR="00BC5BDF" w:rsidRPr="00B37A02" w14:paraId="03BAE284" w14:textId="77777777" w:rsidTr="004A565E">
        <w:tc>
          <w:tcPr>
            <w:tcW w:w="734" w:type="pct"/>
            <w:vAlign w:val="center"/>
          </w:tcPr>
          <w:p w14:paraId="15BB682A"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Horvātija</w:t>
            </w:r>
          </w:p>
        </w:tc>
        <w:tc>
          <w:tcPr>
            <w:tcW w:w="458" w:type="pct"/>
            <w:vAlign w:val="center"/>
          </w:tcPr>
          <w:p w14:paraId="5197BE7E"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1045</w:t>
            </w:r>
          </w:p>
        </w:tc>
        <w:tc>
          <w:tcPr>
            <w:tcW w:w="3808" w:type="pct"/>
          </w:tcPr>
          <w:p w14:paraId="4573BA32" w14:textId="77777777" w:rsidR="00BC5BDF" w:rsidRPr="00B37A02" w:rsidRDefault="00BC5BDF" w:rsidP="00C97F66">
            <w:pPr>
              <w:widowControl w:val="0"/>
              <w:jc w:val="both"/>
              <w:rPr>
                <w:rFonts w:ascii="Times New Roman" w:hAnsi="Times New Roman" w:cs="Times New Roman"/>
                <w:sz w:val="24"/>
                <w:szCs w:val="20"/>
              </w:rPr>
            </w:pPr>
          </w:p>
        </w:tc>
      </w:tr>
      <w:tr w:rsidR="00BC5BDF" w:rsidRPr="00B37A02" w14:paraId="21DF9F9E" w14:textId="77777777" w:rsidTr="004A565E">
        <w:tc>
          <w:tcPr>
            <w:tcW w:w="734" w:type="pct"/>
            <w:vAlign w:val="center"/>
          </w:tcPr>
          <w:p w14:paraId="339086F8"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Itālija</w:t>
            </w:r>
          </w:p>
        </w:tc>
        <w:tc>
          <w:tcPr>
            <w:tcW w:w="458" w:type="pct"/>
            <w:vAlign w:val="center"/>
          </w:tcPr>
          <w:p w14:paraId="4A96A798"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21 000</w:t>
            </w:r>
          </w:p>
        </w:tc>
        <w:tc>
          <w:tcPr>
            <w:tcW w:w="3808" w:type="pct"/>
          </w:tcPr>
          <w:p w14:paraId="10A84159" w14:textId="77777777" w:rsidR="00BC5BDF" w:rsidRPr="00B37A02" w:rsidRDefault="00BC5BDF" w:rsidP="00C97F66">
            <w:pPr>
              <w:widowControl w:val="0"/>
              <w:jc w:val="both"/>
              <w:rPr>
                <w:rFonts w:ascii="Times New Roman" w:hAnsi="Times New Roman" w:cs="Times New Roman"/>
                <w:sz w:val="24"/>
                <w:szCs w:val="20"/>
              </w:rPr>
            </w:pPr>
          </w:p>
        </w:tc>
      </w:tr>
      <w:tr w:rsidR="00BC5BDF" w:rsidRPr="00B37A02" w14:paraId="71180345" w14:textId="77777777" w:rsidTr="004A565E">
        <w:tc>
          <w:tcPr>
            <w:tcW w:w="734" w:type="pct"/>
            <w:vAlign w:val="center"/>
          </w:tcPr>
          <w:p w14:paraId="1AFB314A"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Kipra</w:t>
            </w:r>
          </w:p>
        </w:tc>
        <w:tc>
          <w:tcPr>
            <w:tcW w:w="458" w:type="pct"/>
            <w:vAlign w:val="center"/>
          </w:tcPr>
          <w:p w14:paraId="319EA2E6"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100</w:t>
            </w:r>
          </w:p>
        </w:tc>
        <w:tc>
          <w:tcPr>
            <w:tcW w:w="3808" w:type="pct"/>
          </w:tcPr>
          <w:p w14:paraId="2DDC222E" w14:textId="77777777" w:rsidR="00BC5BDF" w:rsidRPr="00B37A02" w:rsidRDefault="00BC5BDF" w:rsidP="00C97F66">
            <w:pPr>
              <w:widowControl w:val="0"/>
              <w:jc w:val="both"/>
              <w:rPr>
                <w:rFonts w:ascii="Times New Roman" w:hAnsi="Times New Roman" w:cs="Times New Roman"/>
                <w:sz w:val="24"/>
                <w:szCs w:val="20"/>
              </w:rPr>
            </w:pPr>
          </w:p>
        </w:tc>
      </w:tr>
      <w:tr w:rsidR="00BC5BDF" w:rsidRPr="00B37A02" w14:paraId="391EFBCC" w14:textId="77777777" w:rsidTr="004A565E">
        <w:tc>
          <w:tcPr>
            <w:tcW w:w="734" w:type="pct"/>
            <w:vAlign w:val="center"/>
          </w:tcPr>
          <w:p w14:paraId="41424FA0"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Latvija</w:t>
            </w:r>
          </w:p>
        </w:tc>
        <w:tc>
          <w:tcPr>
            <w:tcW w:w="458" w:type="pct"/>
            <w:vAlign w:val="center"/>
          </w:tcPr>
          <w:p w14:paraId="27F573C9"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1170</w:t>
            </w:r>
          </w:p>
        </w:tc>
        <w:tc>
          <w:tcPr>
            <w:tcW w:w="3808" w:type="pct"/>
          </w:tcPr>
          <w:p w14:paraId="0E67A483" w14:textId="77777777" w:rsidR="00BC5BDF" w:rsidRPr="00B37A02" w:rsidRDefault="00BC5BDF" w:rsidP="00C97F66">
            <w:pPr>
              <w:widowControl w:val="0"/>
              <w:jc w:val="both"/>
              <w:rPr>
                <w:rFonts w:ascii="Times New Roman" w:hAnsi="Times New Roman" w:cs="Times New Roman"/>
                <w:sz w:val="24"/>
                <w:szCs w:val="20"/>
              </w:rPr>
            </w:pPr>
          </w:p>
        </w:tc>
      </w:tr>
      <w:tr w:rsidR="00BC5BDF" w:rsidRPr="00B37A02" w14:paraId="6E0B9EB2" w14:textId="77777777" w:rsidTr="004A565E">
        <w:tc>
          <w:tcPr>
            <w:tcW w:w="734" w:type="pct"/>
            <w:vAlign w:val="center"/>
          </w:tcPr>
          <w:p w14:paraId="74AEA283"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Lietuva</w:t>
            </w:r>
          </w:p>
        </w:tc>
        <w:tc>
          <w:tcPr>
            <w:tcW w:w="458" w:type="pct"/>
            <w:vAlign w:val="center"/>
          </w:tcPr>
          <w:p w14:paraId="6A9D80E3"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3871</w:t>
            </w:r>
          </w:p>
        </w:tc>
        <w:tc>
          <w:tcPr>
            <w:tcW w:w="3808" w:type="pct"/>
          </w:tcPr>
          <w:p w14:paraId="376663B3" w14:textId="77777777" w:rsidR="00BC5BDF" w:rsidRPr="00B37A02" w:rsidRDefault="00BC5BDF" w:rsidP="00C97F66">
            <w:pPr>
              <w:widowControl w:val="0"/>
              <w:jc w:val="both"/>
              <w:rPr>
                <w:rFonts w:ascii="Times New Roman" w:hAnsi="Times New Roman" w:cs="Times New Roman"/>
                <w:sz w:val="24"/>
                <w:szCs w:val="20"/>
              </w:rPr>
            </w:pPr>
          </w:p>
        </w:tc>
      </w:tr>
      <w:tr w:rsidR="00BC5BDF" w:rsidRPr="00B37A02" w14:paraId="066FC660" w14:textId="77777777" w:rsidTr="004A565E">
        <w:tc>
          <w:tcPr>
            <w:tcW w:w="734" w:type="pct"/>
            <w:vAlign w:val="center"/>
          </w:tcPr>
          <w:p w14:paraId="4ED3F63E"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Luksemburga</w:t>
            </w:r>
          </w:p>
        </w:tc>
        <w:tc>
          <w:tcPr>
            <w:tcW w:w="458" w:type="pct"/>
            <w:vAlign w:val="center"/>
          </w:tcPr>
          <w:p w14:paraId="349A91CC"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803</w:t>
            </w:r>
          </w:p>
        </w:tc>
        <w:tc>
          <w:tcPr>
            <w:tcW w:w="3808" w:type="pct"/>
          </w:tcPr>
          <w:p w14:paraId="28D820D1"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83 no šiem bērniem bija ievietoti iestādēs ārpus Luksemburgas.</w:t>
            </w:r>
          </w:p>
        </w:tc>
      </w:tr>
      <w:tr w:rsidR="00BC5BDF" w:rsidRPr="00B37A02" w14:paraId="39D8F325" w14:textId="77777777" w:rsidTr="004A565E">
        <w:tc>
          <w:tcPr>
            <w:tcW w:w="734" w:type="pct"/>
            <w:vAlign w:val="center"/>
          </w:tcPr>
          <w:p w14:paraId="0919F931"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Ungārija</w:t>
            </w:r>
          </w:p>
        </w:tc>
        <w:tc>
          <w:tcPr>
            <w:tcW w:w="458" w:type="pct"/>
            <w:vAlign w:val="center"/>
          </w:tcPr>
          <w:p w14:paraId="447975A3"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6183</w:t>
            </w:r>
          </w:p>
        </w:tc>
        <w:tc>
          <w:tcPr>
            <w:tcW w:w="3808" w:type="pct"/>
          </w:tcPr>
          <w:p w14:paraId="02A2C7D5" w14:textId="77777777" w:rsidR="00BC5BDF" w:rsidRPr="00B37A02" w:rsidRDefault="00BC5BDF" w:rsidP="00C97F66">
            <w:pPr>
              <w:widowControl w:val="0"/>
              <w:jc w:val="both"/>
              <w:rPr>
                <w:rFonts w:ascii="Times New Roman" w:hAnsi="Times New Roman" w:cs="Times New Roman"/>
                <w:sz w:val="24"/>
                <w:szCs w:val="20"/>
              </w:rPr>
            </w:pPr>
          </w:p>
        </w:tc>
      </w:tr>
      <w:tr w:rsidR="00BC5BDF" w:rsidRPr="00B37A02" w14:paraId="45BBA5AE" w14:textId="77777777" w:rsidTr="004A565E">
        <w:tc>
          <w:tcPr>
            <w:tcW w:w="734" w:type="pct"/>
            <w:vAlign w:val="center"/>
          </w:tcPr>
          <w:p w14:paraId="52F4B832"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Malta</w:t>
            </w:r>
          </w:p>
        </w:tc>
        <w:tc>
          <w:tcPr>
            <w:tcW w:w="458" w:type="pct"/>
            <w:vAlign w:val="center"/>
          </w:tcPr>
          <w:p w14:paraId="114B3A45"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155</w:t>
            </w:r>
          </w:p>
        </w:tc>
        <w:tc>
          <w:tcPr>
            <w:tcW w:w="3808" w:type="pct"/>
          </w:tcPr>
          <w:p w14:paraId="0E073652" w14:textId="77777777" w:rsidR="00BC5BDF" w:rsidRPr="00B37A02" w:rsidRDefault="00BC5BDF" w:rsidP="00C97F66">
            <w:pPr>
              <w:widowControl w:val="0"/>
              <w:jc w:val="both"/>
              <w:rPr>
                <w:rFonts w:ascii="Times New Roman" w:hAnsi="Times New Roman" w:cs="Times New Roman"/>
                <w:sz w:val="24"/>
                <w:szCs w:val="20"/>
              </w:rPr>
            </w:pPr>
          </w:p>
        </w:tc>
      </w:tr>
      <w:tr w:rsidR="00BC5BDF" w:rsidRPr="00B37A02" w14:paraId="0DCB5D82" w14:textId="77777777" w:rsidTr="004A565E">
        <w:tc>
          <w:tcPr>
            <w:tcW w:w="734" w:type="pct"/>
            <w:vAlign w:val="center"/>
          </w:tcPr>
          <w:p w14:paraId="4ACFDF66"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 xml:space="preserve">Nīderlande </w:t>
            </w:r>
          </w:p>
        </w:tc>
        <w:tc>
          <w:tcPr>
            <w:tcW w:w="458" w:type="pct"/>
            <w:vAlign w:val="center"/>
          </w:tcPr>
          <w:p w14:paraId="23BA2812"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23 700</w:t>
            </w:r>
          </w:p>
        </w:tc>
        <w:tc>
          <w:tcPr>
            <w:tcW w:w="3808" w:type="pct"/>
          </w:tcPr>
          <w:p w14:paraId="379FF01D"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Gultasvietu skaits. Bērni, kuri atrodas vairāku veidu jauniešu aprūpē, statistikas datos parādās vairākas reizes.</w:t>
            </w:r>
          </w:p>
        </w:tc>
      </w:tr>
      <w:tr w:rsidR="00BC5BDF" w:rsidRPr="00B37A02" w14:paraId="051D9018" w14:textId="77777777" w:rsidTr="004A565E">
        <w:tc>
          <w:tcPr>
            <w:tcW w:w="734" w:type="pct"/>
            <w:vAlign w:val="center"/>
          </w:tcPr>
          <w:p w14:paraId="4DCEF6F4"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Austrija</w:t>
            </w:r>
          </w:p>
        </w:tc>
        <w:tc>
          <w:tcPr>
            <w:tcW w:w="458" w:type="pct"/>
            <w:vAlign w:val="center"/>
          </w:tcPr>
          <w:p w14:paraId="17E4C75C"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8411</w:t>
            </w:r>
          </w:p>
        </w:tc>
        <w:tc>
          <w:tcPr>
            <w:tcW w:w="3808" w:type="pct"/>
          </w:tcPr>
          <w:p w14:paraId="3EC0CA4C" w14:textId="77777777" w:rsidR="00BC5BDF" w:rsidRPr="00B37A02" w:rsidRDefault="00BC5BDF" w:rsidP="00C97F66">
            <w:pPr>
              <w:widowControl w:val="0"/>
              <w:jc w:val="both"/>
              <w:rPr>
                <w:rFonts w:ascii="Times New Roman" w:hAnsi="Times New Roman" w:cs="Times New Roman"/>
                <w:sz w:val="24"/>
                <w:szCs w:val="20"/>
              </w:rPr>
            </w:pPr>
          </w:p>
        </w:tc>
      </w:tr>
      <w:tr w:rsidR="00BC5BDF" w:rsidRPr="00B37A02" w14:paraId="59BE49F0" w14:textId="77777777" w:rsidTr="004A565E">
        <w:tc>
          <w:tcPr>
            <w:tcW w:w="734" w:type="pct"/>
            <w:vAlign w:val="center"/>
          </w:tcPr>
          <w:p w14:paraId="5A2D8AF6"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Polija</w:t>
            </w:r>
          </w:p>
        </w:tc>
        <w:tc>
          <w:tcPr>
            <w:tcW w:w="458" w:type="pct"/>
            <w:vAlign w:val="center"/>
          </w:tcPr>
          <w:p w14:paraId="2038D995"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16 856</w:t>
            </w:r>
          </w:p>
        </w:tc>
        <w:tc>
          <w:tcPr>
            <w:tcW w:w="3808" w:type="pct"/>
          </w:tcPr>
          <w:p w14:paraId="3FFFF748" w14:textId="77777777" w:rsidR="00BC5BDF" w:rsidRPr="00B37A02" w:rsidRDefault="00BC5BDF" w:rsidP="00C97F66">
            <w:pPr>
              <w:widowControl w:val="0"/>
              <w:jc w:val="both"/>
              <w:rPr>
                <w:rFonts w:ascii="Times New Roman" w:hAnsi="Times New Roman" w:cs="Times New Roman"/>
                <w:sz w:val="24"/>
                <w:szCs w:val="20"/>
              </w:rPr>
            </w:pPr>
          </w:p>
        </w:tc>
      </w:tr>
      <w:tr w:rsidR="00BC5BDF" w:rsidRPr="00B37A02" w14:paraId="7DCC0F31" w14:textId="77777777" w:rsidTr="004A565E">
        <w:tc>
          <w:tcPr>
            <w:tcW w:w="734" w:type="pct"/>
            <w:vAlign w:val="center"/>
          </w:tcPr>
          <w:p w14:paraId="742772A5"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lastRenderedPageBreak/>
              <w:t>Portugāle</w:t>
            </w:r>
          </w:p>
        </w:tc>
        <w:tc>
          <w:tcPr>
            <w:tcW w:w="458" w:type="pct"/>
            <w:vAlign w:val="center"/>
          </w:tcPr>
          <w:p w14:paraId="28662AD0"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6 119</w:t>
            </w:r>
          </w:p>
        </w:tc>
        <w:tc>
          <w:tcPr>
            <w:tcW w:w="3808" w:type="pct"/>
          </w:tcPr>
          <w:p w14:paraId="7285459A" w14:textId="77777777" w:rsidR="00BC5BDF" w:rsidRPr="00B37A02" w:rsidRDefault="00BC5BDF" w:rsidP="00C97F66">
            <w:pPr>
              <w:widowControl w:val="0"/>
              <w:jc w:val="both"/>
              <w:rPr>
                <w:rFonts w:ascii="Times New Roman" w:hAnsi="Times New Roman" w:cs="Times New Roman"/>
                <w:sz w:val="24"/>
                <w:szCs w:val="20"/>
              </w:rPr>
            </w:pPr>
          </w:p>
        </w:tc>
      </w:tr>
      <w:tr w:rsidR="00BC5BDF" w:rsidRPr="00B37A02" w14:paraId="1D7977E7" w14:textId="77777777" w:rsidTr="004A565E">
        <w:tc>
          <w:tcPr>
            <w:tcW w:w="734" w:type="pct"/>
            <w:vAlign w:val="center"/>
          </w:tcPr>
          <w:p w14:paraId="186FBA86"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Rumānija</w:t>
            </w:r>
          </w:p>
        </w:tc>
        <w:tc>
          <w:tcPr>
            <w:tcW w:w="458" w:type="pct"/>
            <w:vAlign w:val="center"/>
          </w:tcPr>
          <w:p w14:paraId="11535391"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18 200</w:t>
            </w:r>
          </w:p>
        </w:tc>
        <w:tc>
          <w:tcPr>
            <w:tcW w:w="3808" w:type="pct"/>
          </w:tcPr>
          <w:p w14:paraId="44B98D95" w14:textId="77777777" w:rsidR="00BC5BDF" w:rsidRPr="00B37A02" w:rsidRDefault="00BC5BDF" w:rsidP="00C97F66">
            <w:pPr>
              <w:widowControl w:val="0"/>
              <w:jc w:val="both"/>
              <w:rPr>
                <w:rFonts w:ascii="Times New Roman" w:hAnsi="Times New Roman" w:cs="Times New Roman"/>
                <w:sz w:val="24"/>
                <w:szCs w:val="20"/>
              </w:rPr>
            </w:pPr>
          </w:p>
        </w:tc>
      </w:tr>
      <w:tr w:rsidR="00BC5BDF" w:rsidRPr="00B37A02" w14:paraId="7DDD488E" w14:textId="77777777" w:rsidTr="004A565E">
        <w:tc>
          <w:tcPr>
            <w:tcW w:w="734" w:type="pct"/>
            <w:vAlign w:val="center"/>
          </w:tcPr>
          <w:p w14:paraId="57F9AC89"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Slovēnija</w:t>
            </w:r>
          </w:p>
        </w:tc>
        <w:tc>
          <w:tcPr>
            <w:tcW w:w="458" w:type="pct"/>
            <w:vAlign w:val="center"/>
          </w:tcPr>
          <w:p w14:paraId="205CF8E2"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Nav piemērojams</w:t>
            </w:r>
          </w:p>
        </w:tc>
        <w:tc>
          <w:tcPr>
            <w:tcW w:w="3808" w:type="pct"/>
          </w:tcPr>
          <w:p w14:paraId="29C4CC45" w14:textId="77777777" w:rsidR="00BC5BDF" w:rsidRPr="00B37A02" w:rsidRDefault="00BC5BDF" w:rsidP="00C97F66">
            <w:pPr>
              <w:widowControl w:val="0"/>
              <w:jc w:val="both"/>
              <w:rPr>
                <w:rFonts w:ascii="Times New Roman" w:hAnsi="Times New Roman" w:cs="Times New Roman"/>
                <w:sz w:val="24"/>
                <w:szCs w:val="20"/>
              </w:rPr>
            </w:pPr>
          </w:p>
        </w:tc>
      </w:tr>
      <w:tr w:rsidR="00BC5BDF" w:rsidRPr="00B37A02" w14:paraId="3C80A4DA" w14:textId="77777777" w:rsidTr="004A565E">
        <w:tc>
          <w:tcPr>
            <w:tcW w:w="734" w:type="pct"/>
            <w:vAlign w:val="center"/>
          </w:tcPr>
          <w:p w14:paraId="2D357975"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Slovākija</w:t>
            </w:r>
          </w:p>
        </w:tc>
        <w:tc>
          <w:tcPr>
            <w:tcW w:w="458" w:type="pct"/>
            <w:vAlign w:val="center"/>
          </w:tcPr>
          <w:p w14:paraId="7781395E"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5266</w:t>
            </w:r>
          </w:p>
        </w:tc>
        <w:tc>
          <w:tcPr>
            <w:tcW w:w="3808" w:type="pct"/>
          </w:tcPr>
          <w:p w14:paraId="3382D05F" w14:textId="77777777" w:rsidR="00BC5BDF" w:rsidRPr="00B37A02" w:rsidRDefault="00BC5BDF" w:rsidP="00C97F66">
            <w:pPr>
              <w:widowControl w:val="0"/>
              <w:jc w:val="both"/>
              <w:rPr>
                <w:rFonts w:ascii="Times New Roman" w:hAnsi="Times New Roman" w:cs="Times New Roman"/>
                <w:sz w:val="24"/>
                <w:szCs w:val="20"/>
              </w:rPr>
            </w:pPr>
          </w:p>
        </w:tc>
      </w:tr>
      <w:tr w:rsidR="00BC5BDF" w:rsidRPr="00B37A02" w14:paraId="2BF980CC" w14:textId="77777777" w:rsidTr="004A565E">
        <w:tc>
          <w:tcPr>
            <w:tcW w:w="734" w:type="pct"/>
            <w:vAlign w:val="center"/>
          </w:tcPr>
          <w:p w14:paraId="2E411EF4"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Somija</w:t>
            </w:r>
          </w:p>
        </w:tc>
        <w:tc>
          <w:tcPr>
            <w:tcW w:w="458" w:type="pct"/>
            <w:vAlign w:val="center"/>
          </w:tcPr>
          <w:p w14:paraId="134D55BA"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9104</w:t>
            </w:r>
          </w:p>
        </w:tc>
        <w:tc>
          <w:tcPr>
            <w:tcW w:w="3808" w:type="pct"/>
          </w:tcPr>
          <w:p w14:paraId="18DE874E" w14:textId="77777777" w:rsidR="00BC5BDF" w:rsidRPr="00B37A02" w:rsidRDefault="00BC5BDF" w:rsidP="00C97F66">
            <w:pPr>
              <w:widowControl w:val="0"/>
              <w:jc w:val="both"/>
              <w:rPr>
                <w:rFonts w:ascii="Times New Roman" w:hAnsi="Times New Roman" w:cs="Times New Roman"/>
                <w:sz w:val="24"/>
                <w:szCs w:val="20"/>
              </w:rPr>
            </w:pPr>
          </w:p>
        </w:tc>
      </w:tr>
      <w:tr w:rsidR="00BC5BDF" w:rsidRPr="00B37A02" w14:paraId="5B575F11" w14:textId="77777777" w:rsidTr="004A565E">
        <w:tc>
          <w:tcPr>
            <w:tcW w:w="734" w:type="pct"/>
            <w:vAlign w:val="center"/>
          </w:tcPr>
          <w:p w14:paraId="1DCED433"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Zviedrija</w:t>
            </w:r>
          </w:p>
        </w:tc>
        <w:tc>
          <w:tcPr>
            <w:tcW w:w="458" w:type="pct"/>
            <w:vAlign w:val="center"/>
          </w:tcPr>
          <w:p w14:paraId="22AF63F3" w14:textId="77777777" w:rsidR="00BC5BDF" w:rsidRPr="00B37A02" w:rsidRDefault="00BC5BDF" w:rsidP="00C97F66">
            <w:pPr>
              <w:widowControl w:val="0"/>
              <w:jc w:val="both"/>
              <w:rPr>
                <w:rFonts w:ascii="Times New Roman" w:hAnsi="Times New Roman" w:cs="Times New Roman"/>
                <w:sz w:val="24"/>
                <w:szCs w:val="20"/>
              </w:rPr>
            </w:pPr>
            <w:r w:rsidRPr="00B37A02">
              <w:rPr>
                <w:rFonts w:ascii="Times New Roman" w:hAnsi="Times New Roman" w:cs="Times New Roman"/>
                <w:sz w:val="24"/>
              </w:rPr>
              <w:t>11 000</w:t>
            </w:r>
          </w:p>
        </w:tc>
        <w:tc>
          <w:tcPr>
            <w:tcW w:w="3808" w:type="pct"/>
          </w:tcPr>
          <w:p w14:paraId="3D9A1654" w14:textId="77777777" w:rsidR="00BC5BDF" w:rsidRPr="00B37A02" w:rsidRDefault="00BC5BDF" w:rsidP="00C97F66">
            <w:pPr>
              <w:widowControl w:val="0"/>
              <w:jc w:val="both"/>
              <w:rPr>
                <w:rFonts w:ascii="Times New Roman" w:hAnsi="Times New Roman" w:cs="Times New Roman"/>
                <w:sz w:val="24"/>
                <w:szCs w:val="20"/>
              </w:rPr>
            </w:pPr>
          </w:p>
        </w:tc>
      </w:tr>
    </w:tbl>
    <w:p w14:paraId="304383C8" w14:textId="77777777" w:rsidR="00EC5DE2" w:rsidRPr="00B37A02" w:rsidRDefault="00BC5BDF" w:rsidP="00C97F66">
      <w:pPr>
        <w:widowControl w:val="0"/>
        <w:spacing w:after="0" w:line="240" w:lineRule="auto"/>
        <w:jc w:val="both"/>
        <w:rPr>
          <w:rFonts w:ascii="Times New Roman" w:hAnsi="Times New Roman" w:cs="Times New Roman"/>
          <w:sz w:val="20"/>
          <w:szCs w:val="18"/>
        </w:rPr>
      </w:pPr>
      <w:r w:rsidRPr="00B37A02">
        <w:rPr>
          <w:rFonts w:ascii="Times New Roman" w:hAnsi="Times New Roman" w:cs="Times New Roman"/>
          <w:sz w:val="20"/>
        </w:rPr>
        <w:t>Avots: Frazer, H., Guio, A.-C. and Marlier, E. (eds.) (2020). “Feasibility Study for a European Child Guarantee: Final Report”, Feasibility Study for a Child Guarantee Final Report, Brussels: European Commission, pp 24-26; Updated by BG and ES delegates to SPC.</w:t>
      </w:r>
    </w:p>
    <w:p w14:paraId="56BBFFA0" w14:textId="1B65ED0B" w:rsidR="00BC5BDF" w:rsidRPr="00B37A02" w:rsidRDefault="00BC5BDF" w:rsidP="00C97F66">
      <w:pPr>
        <w:widowControl w:val="0"/>
        <w:spacing w:after="0" w:line="240" w:lineRule="auto"/>
        <w:jc w:val="both"/>
        <w:rPr>
          <w:rFonts w:ascii="Times New Roman" w:hAnsi="Times New Roman" w:cs="Times New Roman"/>
          <w:sz w:val="24"/>
          <w:szCs w:val="20"/>
        </w:rPr>
      </w:pPr>
    </w:p>
    <w:p w14:paraId="054A9204" w14:textId="34360F70" w:rsidR="00BC5BDF" w:rsidRPr="00B37A02" w:rsidRDefault="00BC5BDF" w:rsidP="00C97F66">
      <w:pPr>
        <w:pStyle w:val="Heading2"/>
        <w:keepNext w:val="0"/>
        <w:keepLines w:val="0"/>
        <w:widowControl w:val="0"/>
        <w:spacing w:before="0" w:line="240" w:lineRule="auto"/>
        <w:jc w:val="both"/>
        <w:rPr>
          <w:rFonts w:cs="Times New Roman"/>
          <w:sz w:val="24"/>
        </w:rPr>
      </w:pPr>
      <w:bookmarkStart w:id="395" w:name="_Toc62833141"/>
      <w:bookmarkStart w:id="396" w:name="_Toc63178123"/>
      <w:bookmarkStart w:id="397" w:name="_Toc63258876"/>
      <w:bookmarkStart w:id="398" w:name="_Toc63269679"/>
      <w:bookmarkStart w:id="399" w:name="_Toc63692787"/>
      <w:bookmarkStart w:id="400" w:name="_Toc63712866"/>
      <w:bookmarkStart w:id="401" w:name="_Toc63850173"/>
      <w:bookmarkStart w:id="402" w:name="_Toc63850316"/>
      <w:bookmarkStart w:id="403" w:name="_Toc63862448"/>
      <w:bookmarkStart w:id="404" w:name="_Toc64476366"/>
      <w:r w:rsidRPr="00B37A02">
        <w:rPr>
          <w:rFonts w:cs="Times New Roman"/>
          <w:sz w:val="24"/>
        </w:rPr>
        <w:t>Bērni, kas dzīvo nestabilos ģimenes apstākļos</w:t>
      </w:r>
      <w:bookmarkEnd w:id="395"/>
      <w:bookmarkEnd w:id="396"/>
      <w:bookmarkEnd w:id="397"/>
      <w:bookmarkEnd w:id="398"/>
      <w:bookmarkEnd w:id="399"/>
      <w:bookmarkEnd w:id="400"/>
      <w:bookmarkEnd w:id="401"/>
      <w:bookmarkEnd w:id="402"/>
      <w:bookmarkEnd w:id="403"/>
      <w:bookmarkEnd w:id="404"/>
    </w:p>
    <w:p w14:paraId="18FB0D5D" w14:textId="77777777" w:rsidR="002E1382" w:rsidRPr="00B37A02" w:rsidRDefault="002E1382" w:rsidP="00C97F66">
      <w:pPr>
        <w:spacing w:after="0" w:line="240" w:lineRule="auto"/>
        <w:rPr>
          <w:rFonts w:ascii="Times New Roman" w:hAnsi="Times New Roman" w:cs="Times New Roman"/>
        </w:rPr>
      </w:pPr>
    </w:p>
    <w:p w14:paraId="18D064B8" w14:textId="77777777" w:rsidR="00BC5BDF" w:rsidRPr="00B37A02" w:rsidRDefault="00BC5BDF" w:rsidP="00C97F66">
      <w:pPr>
        <w:pStyle w:val="Caption"/>
        <w:widowControl w:val="0"/>
        <w:spacing w:after="0"/>
        <w:jc w:val="both"/>
        <w:rPr>
          <w:rFonts w:ascii="Times New Roman" w:hAnsi="Times New Roman" w:cs="Times New Roman"/>
          <w:sz w:val="24"/>
          <w:szCs w:val="24"/>
        </w:rPr>
      </w:pPr>
      <w:r w:rsidRPr="00B37A02">
        <w:rPr>
          <w:rFonts w:ascii="Times New Roman" w:hAnsi="Times New Roman" w:cs="Times New Roman"/>
          <w:sz w:val="24"/>
        </w:rPr>
        <w:t>A11. attēls. Mājsaimniecības, kurās dzīvo vientuļais vecāks ar bērniem, un citas mājsaimniecības ar bērniem salīdzinājumā ar visu mājsaimniecību skaitu dalībvalstī, 2018. gads (%)</w:t>
      </w:r>
    </w:p>
    <w:p w14:paraId="262E8FE5" w14:textId="77777777" w:rsidR="00EC5DE2" w:rsidRPr="00B37A02" w:rsidRDefault="00BC5BDF" w:rsidP="00C97F66">
      <w:pPr>
        <w:pStyle w:val="Graph-tabletitle"/>
        <w:widowControl w:val="0"/>
        <w:spacing w:before="0" w:after="0"/>
        <w:jc w:val="both"/>
        <w:rPr>
          <w:rFonts w:ascii="Times New Roman" w:eastAsia="Calibri" w:hAnsi="Times New Roman"/>
          <w:b w:val="0"/>
          <w:i w:val="0"/>
          <w:sz w:val="20"/>
          <w:szCs w:val="16"/>
        </w:rPr>
      </w:pPr>
      <w:r w:rsidRPr="00B37A02">
        <w:rPr>
          <w:rFonts w:ascii="Times New Roman" w:hAnsi="Times New Roman"/>
          <w:b w:val="0"/>
          <w:i w:val="0"/>
          <w:noProof/>
          <w:sz w:val="24"/>
        </w:rPr>
        <w:drawing>
          <wp:inline distT="0" distB="0" distL="0" distR="0" wp14:anchorId="2E272D62" wp14:editId="41EB6664">
            <wp:extent cx="5776595" cy="2584174"/>
            <wp:effectExtent l="0" t="0" r="14605" b="698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B37A02">
        <w:rPr>
          <w:rFonts w:ascii="Times New Roman" w:hAnsi="Times New Roman"/>
          <w:b w:val="0"/>
          <w:i w:val="0"/>
          <w:sz w:val="20"/>
        </w:rPr>
        <w:t>Piezīme. Dati šķiroti pēc vientuļā vecāka mājsaimniecību īpatsvara salīdzinājumā ar visām mājsaimniecībām, kurās dzīvo bērni.</w:t>
      </w:r>
    </w:p>
    <w:p w14:paraId="0DB4A257" w14:textId="756B0869" w:rsidR="00BC5BDF" w:rsidRPr="00B37A02" w:rsidRDefault="00BC5BDF" w:rsidP="00C97F66">
      <w:pPr>
        <w:pStyle w:val="Graph-tabletitle"/>
        <w:widowControl w:val="0"/>
        <w:spacing w:before="0" w:after="0"/>
        <w:jc w:val="both"/>
        <w:rPr>
          <w:rFonts w:ascii="Times New Roman" w:eastAsia="Calibri" w:hAnsi="Times New Roman"/>
          <w:b w:val="0"/>
          <w:i w:val="0"/>
          <w:sz w:val="20"/>
          <w:szCs w:val="16"/>
        </w:rPr>
      </w:pPr>
      <w:r w:rsidRPr="00B37A02">
        <w:rPr>
          <w:rFonts w:ascii="Times New Roman" w:hAnsi="Times New Roman"/>
          <w:b w:val="0"/>
          <w:i w:val="0"/>
          <w:sz w:val="20"/>
        </w:rPr>
        <w:t xml:space="preserve">Avots: </w:t>
      </w:r>
      <w:r w:rsidRPr="00B37A02">
        <w:rPr>
          <w:rFonts w:ascii="Times New Roman" w:hAnsi="Times New Roman"/>
          <w:b w:val="0"/>
          <w:iCs/>
          <w:sz w:val="20"/>
        </w:rPr>
        <w:t>EU-SILC</w:t>
      </w:r>
      <w:r w:rsidRPr="00B37A02">
        <w:rPr>
          <w:rFonts w:ascii="Times New Roman" w:hAnsi="Times New Roman"/>
          <w:b w:val="0"/>
          <w:i w:val="0"/>
          <w:sz w:val="20"/>
        </w:rPr>
        <w:t xml:space="preserve"> [ilc_lvph02], dati iegūti 15.09.2020.</w:t>
      </w:r>
    </w:p>
    <w:p w14:paraId="65C49F9F" w14:textId="77777777" w:rsidR="00BC5BDF" w:rsidRPr="00B37A02" w:rsidRDefault="00BC5BDF" w:rsidP="00C97F66">
      <w:pPr>
        <w:widowControl w:val="0"/>
        <w:spacing w:after="0" w:line="240" w:lineRule="auto"/>
        <w:jc w:val="both"/>
        <w:rPr>
          <w:rFonts w:ascii="Times New Roman" w:hAnsi="Times New Roman" w:cs="Times New Roman"/>
          <w:sz w:val="24"/>
          <w:szCs w:val="24"/>
        </w:rPr>
      </w:pPr>
    </w:p>
    <w:p w14:paraId="432C838F" w14:textId="77777777" w:rsidR="00BC5BDF" w:rsidRPr="00B37A02" w:rsidRDefault="00BC5BDF" w:rsidP="00C97F66">
      <w:pPr>
        <w:widowControl w:val="0"/>
        <w:spacing w:after="0" w:line="240" w:lineRule="auto"/>
        <w:jc w:val="both"/>
        <w:rPr>
          <w:rFonts w:ascii="Times New Roman" w:hAnsi="Times New Roman" w:cs="Times New Roman"/>
          <w:sz w:val="24"/>
          <w:szCs w:val="24"/>
        </w:rPr>
      </w:pPr>
    </w:p>
    <w:p w14:paraId="1DBFD4E6" w14:textId="77777777" w:rsidR="00BC5BDF" w:rsidRPr="00B37A02" w:rsidRDefault="00BC5BDF" w:rsidP="00C97F66">
      <w:pPr>
        <w:widowControl w:val="0"/>
        <w:spacing w:after="0" w:line="240" w:lineRule="auto"/>
        <w:jc w:val="both"/>
        <w:rPr>
          <w:rFonts w:ascii="Times New Roman" w:eastAsia="Calibri" w:hAnsi="Times New Roman" w:cs="Times New Roman"/>
          <w:b/>
          <w:i/>
          <w:sz w:val="24"/>
          <w:szCs w:val="20"/>
        </w:rPr>
      </w:pPr>
      <w:r w:rsidRPr="00B37A02">
        <w:rPr>
          <w:rFonts w:ascii="Times New Roman" w:hAnsi="Times New Roman" w:cs="Times New Roman"/>
        </w:rPr>
        <w:br w:type="page"/>
      </w:r>
    </w:p>
    <w:p w14:paraId="63574E20" w14:textId="723C5BCF" w:rsidR="00BC5BDF" w:rsidRPr="00B37A02" w:rsidRDefault="00BC5BDF" w:rsidP="00C97F66">
      <w:pPr>
        <w:pStyle w:val="Heading1"/>
        <w:keepNext w:val="0"/>
        <w:keepLines w:val="0"/>
        <w:widowControl w:val="0"/>
        <w:spacing w:before="0" w:line="240" w:lineRule="auto"/>
        <w:jc w:val="both"/>
        <w:rPr>
          <w:rFonts w:ascii="Times New Roman" w:hAnsi="Times New Roman" w:cs="Times New Roman"/>
          <w:sz w:val="28"/>
          <w:szCs w:val="36"/>
        </w:rPr>
      </w:pPr>
      <w:bookmarkStart w:id="405" w:name="_Toc62942407"/>
      <w:bookmarkStart w:id="406" w:name="_Toc63178125"/>
      <w:bookmarkStart w:id="407" w:name="_Toc63258878"/>
      <w:bookmarkStart w:id="408" w:name="_Toc63269681"/>
      <w:bookmarkStart w:id="409" w:name="_Toc63692789"/>
      <w:bookmarkStart w:id="410" w:name="_Toc63712868"/>
      <w:bookmarkStart w:id="411" w:name="_Toc63850175"/>
      <w:bookmarkStart w:id="412" w:name="_Toc63850318"/>
      <w:bookmarkStart w:id="413" w:name="_Toc63862450"/>
      <w:bookmarkStart w:id="414" w:name="_Toc64476367"/>
      <w:bookmarkStart w:id="415" w:name="_Toc62823455"/>
      <w:bookmarkStart w:id="416" w:name="_Toc62823543"/>
      <w:bookmarkStart w:id="417" w:name="_Toc62833143"/>
      <w:bookmarkStart w:id="418" w:name="_Toc62841484"/>
      <w:r w:rsidRPr="00B37A02">
        <w:rPr>
          <w:rFonts w:ascii="Times New Roman" w:hAnsi="Times New Roman" w:cs="Times New Roman"/>
          <w:sz w:val="28"/>
        </w:rPr>
        <w:lastRenderedPageBreak/>
        <w:t>B PIELIKUMS. Papildu informācija par pakalpojumiem, uz kuriem attiecas Eiropas Garantija bērniem</w:t>
      </w:r>
      <w:bookmarkEnd w:id="405"/>
      <w:bookmarkEnd w:id="406"/>
      <w:bookmarkEnd w:id="407"/>
      <w:bookmarkEnd w:id="408"/>
      <w:bookmarkEnd w:id="409"/>
      <w:bookmarkEnd w:id="410"/>
      <w:bookmarkEnd w:id="411"/>
      <w:bookmarkEnd w:id="412"/>
      <w:bookmarkEnd w:id="413"/>
      <w:bookmarkEnd w:id="414"/>
    </w:p>
    <w:p w14:paraId="109B08CA" w14:textId="77777777" w:rsidR="002E1382" w:rsidRPr="00B37A02" w:rsidRDefault="002E1382" w:rsidP="00C97F66">
      <w:pPr>
        <w:spacing w:after="0" w:line="240" w:lineRule="auto"/>
        <w:rPr>
          <w:rFonts w:ascii="Times New Roman" w:hAnsi="Times New Roman" w:cs="Times New Roman"/>
        </w:rPr>
      </w:pPr>
    </w:p>
    <w:p w14:paraId="0935C8BA" w14:textId="4F00F9DC" w:rsidR="00EC5DE2" w:rsidRPr="00B37A02" w:rsidRDefault="00BC5BDF" w:rsidP="00C97F66">
      <w:pPr>
        <w:widowControl w:val="0"/>
        <w:spacing w:after="0" w:line="240" w:lineRule="auto"/>
        <w:jc w:val="both"/>
        <w:rPr>
          <w:rFonts w:ascii="Times New Roman" w:hAnsi="Times New Roman" w:cs="Times New Roman"/>
          <w:sz w:val="24"/>
        </w:rPr>
      </w:pPr>
      <w:r w:rsidRPr="00B37A02">
        <w:rPr>
          <w:rFonts w:ascii="Times New Roman" w:hAnsi="Times New Roman" w:cs="Times New Roman"/>
          <w:sz w:val="24"/>
        </w:rPr>
        <w:t>ES kopumā vairāk nekā 300 miljardi EUR jeb 2,2 % no IKP tiek tērēti sociālās aizsardzības pabalstiem ar funkciju “ģimene un bērni”. Vācija un Francija veido vairāk nekā pusi no šiem izdevumiem, attiecīgi tērējot 3,3 % un 2,4 % no IKP. Lielākā daļa citu dalībvalstu tērē ievērojami mazāk, vidējam rādītājam esot 1,7 % no IKP.</w:t>
      </w:r>
    </w:p>
    <w:p w14:paraId="737E5E6F" w14:textId="77777777" w:rsidR="002E1382" w:rsidRPr="00B37A02" w:rsidRDefault="002E1382" w:rsidP="00C97F66">
      <w:pPr>
        <w:widowControl w:val="0"/>
        <w:spacing w:after="0" w:line="240" w:lineRule="auto"/>
        <w:jc w:val="both"/>
        <w:rPr>
          <w:rFonts w:ascii="Times New Roman" w:hAnsi="Times New Roman" w:cs="Times New Roman"/>
          <w:sz w:val="24"/>
        </w:rPr>
      </w:pPr>
    </w:p>
    <w:p w14:paraId="779FC893" w14:textId="1B1580D6" w:rsidR="002E1382" w:rsidRPr="00B37A02" w:rsidRDefault="00BC5BDF" w:rsidP="00C97F66">
      <w:pPr>
        <w:widowControl w:val="0"/>
        <w:spacing w:after="0" w:line="240" w:lineRule="auto"/>
        <w:jc w:val="both"/>
        <w:rPr>
          <w:rFonts w:ascii="Times New Roman" w:hAnsi="Times New Roman" w:cs="Times New Roman"/>
          <w:i/>
          <w:color w:val="44546A" w:themeColor="text2"/>
          <w:sz w:val="24"/>
          <w:szCs w:val="24"/>
        </w:rPr>
      </w:pPr>
      <w:r w:rsidRPr="00B37A02">
        <w:rPr>
          <w:rFonts w:ascii="Times New Roman" w:hAnsi="Times New Roman" w:cs="Times New Roman"/>
          <w:i/>
          <w:color w:val="44546A" w:themeColor="text2"/>
          <w:sz w:val="24"/>
        </w:rPr>
        <w:t>B1. attēls. Sociālās aizsardzības izdevumi kā procentuālais apmērs no IKP pēc funkcijas, 2018. gads</w:t>
      </w:r>
    </w:p>
    <w:p w14:paraId="021F1F59" w14:textId="77777777" w:rsidR="00EC5DE2" w:rsidRPr="00B37A02" w:rsidRDefault="00BC5BDF" w:rsidP="00C97F66">
      <w:pPr>
        <w:widowControl w:val="0"/>
        <w:spacing w:after="0" w:line="240" w:lineRule="auto"/>
        <w:jc w:val="both"/>
        <w:rPr>
          <w:rFonts w:ascii="Times New Roman" w:hAnsi="Times New Roman" w:cs="Times New Roman"/>
          <w:sz w:val="20"/>
          <w:szCs w:val="18"/>
        </w:rPr>
      </w:pPr>
      <w:r w:rsidRPr="00B37A02">
        <w:rPr>
          <w:rFonts w:ascii="Times New Roman" w:hAnsi="Times New Roman" w:cs="Times New Roman"/>
          <w:noProof/>
          <w:sz w:val="24"/>
        </w:rPr>
        <w:drawing>
          <wp:inline distT="0" distB="0" distL="0" distR="0" wp14:anchorId="455067A8" wp14:editId="0DF96077">
            <wp:extent cx="5838595" cy="2860964"/>
            <wp:effectExtent l="0" t="0" r="10160" b="1587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B37A02">
        <w:rPr>
          <w:rFonts w:ascii="Times New Roman" w:hAnsi="Times New Roman" w:cs="Times New Roman"/>
          <w:sz w:val="20"/>
        </w:rPr>
        <w:t>Piezīme. Dalībvalstis šķirotas pēc procentuālās daļas no IKP uz ģimeni/bērnu.</w:t>
      </w:r>
    </w:p>
    <w:p w14:paraId="5FED6AE7" w14:textId="6352FF75" w:rsidR="00BC5BDF" w:rsidRPr="00B37A02" w:rsidRDefault="00BC5BDF" w:rsidP="00C97F66">
      <w:pPr>
        <w:widowControl w:val="0"/>
        <w:spacing w:after="0" w:line="240" w:lineRule="auto"/>
        <w:jc w:val="both"/>
        <w:rPr>
          <w:rFonts w:ascii="Times New Roman" w:hAnsi="Times New Roman" w:cs="Times New Roman"/>
          <w:sz w:val="20"/>
          <w:szCs w:val="18"/>
        </w:rPr>
      </w:pPr>
      <w:r w:rsidRPr="00B37A02">
        <w:rPr>
          <w:rFonts w:ascii="Times New Roman" w:hAnsi="Times New Roman" w:cs="Times New Roman"/>
          <w:sz w:val="20"/>
        </w:rPr>
        <w:t xml:space="preserve">Avots: </w:t>
      </w:r>
      <w:r w:rsidRPr="00B37A02">
        <w:rPr>
          <w:rFonts w:ascii="Times New Roman" w:hAnsi="Times New Roman" w:cs="Times New Roman"/>
          <w:i/>
          <w:iCs/>
          <w:sz w:val="20"/>
        </w:rPr>
        <w:t>Eurostat</w:t>
      </w:r>
      <w:r w:rsidRPr="00B37A02">
        <w:rPr>
          <w:rFonts w:ascii="Times New Roman" w:hAnsi="Times New Roman" w:cs="Times New Roman"/>
          <w:sz w:val="20"/>
        </w:rPr>
        <w:t xml:space="preserve"> [SPR_EXP_GDP], dati iegūti 13.11.2020.</w:t>
      </w:r>
    </w:p>
    <w:p w14:paraId="45DB356E" w14:textId="77777777" w:rsidR="002E1382" w:rsidRPr="00B37A02" w:rsidRDefault="002E1382" w:rsidP="00C97F66">
      <w:pPr>
        <w:widowControl w:val="0"/>
        <w:spacing w:after="0" w:line="240" w:lineRule="auto"/>
        <w:jc w:val="both"/>
        <w:rPr>
          <w:rFonts w:ascii="Times New Roman" w:hAnsi="Times New Roman" w:cs="Times New Roman"/>
          <w:i/>
          <w:color w:val="44546A" w:themeColor="text2"/>
          <w:sz w:val="24"/>
          <w:szCs w:val="24"/>
        </w:rPr>
      </w:pPr>
      <w:bookmarkStart w:id="419" w:name="_Toc62942408"/>
      <w:bookmarkStart w:id="420" w:name="_Toc63178126"/>
      <w:bookmarkStart w:id="421" w:name="_Toc63258879"/>
      <w:bookmarkStart w:id="422" w:name="_Toc63269682"/>
      <w:bookmarkStart w:id="423" w:name="_Toc63692790"/>
      <w:bookmarkStart w:id="424" w:name="_Toc63712869"/>
    </w:p>
    <w:p w14:paraId="268E95F8" w14:textId="47DEB539" w:rsidR="00EC5DE2" w:rsidRPr="00B37A02" w:rsidRDefault="00BC5BDF" w:rsidP="00C97F66">
      <w:pPr>
        <w:widowControl w:val="0"/>
        <w:spacing w:after="0" w:line="240" w:lineRule="auto"/>
        <w:jc w:val="both"/>
        <w:rPr>
          <w:rFonts w:ascii="Times New Roman" w:hAnsi="Times New Roman" w:cs="Times New Roman"/>
          <w:i/>
          <w:color w:val="44546A" w:themeColor="text2"/>
          <w:sz w:val="24"/>
          <w:szCs w:val="24"/>
        </w:rPr>
      </w:pPr>
      <w:r w:rsidRPr="00B37A02">
        <w:rPr>
          <w:rFonts w:ascii="Times New Roman" w:hAnsi="Times New Roman" w:cs="Times New Roman"/>
          <w:i/>
          <w:color w:val="44546A" w:themeColor="text2"/>
          <w:sz w:val="24"/>
        </w:rPr>
        <w:t>B</w:t>
      </w:r>
      <w:r w:rsidRPr="00B37A02">
        <w:rPr>
          <w:rFonts w:ascii="Times New Roman" w:hAnsi="Times New Roman" w:cs="Times New Roman"/>
          <w:i/>
          <w:color w:val="44546A" w:themeColor="text2"/>
          <w:sz w:val="24"/>
        </w:rPr>
        <w:fldChar w:fldCharType="begin"/>
      </w:r>
      <w:r w:rsidRPr="00B37A02">
        <w:rPr>
          <w:rFonts w:ascii="Times New Roman" w:hAnsi="Times New Roman" w:cs="Times New Roman"/>
          <w:i/>
          <w:color w:val="44546A" w:themeColor="text2"/>
          <w:sz w:val="24"/>
        </w:rPr>
        <w:instrText xml:space="preserve"> SEQ Figure \* ARABIC </w:instrText>
      </w:r>
      <w:r w:rsidRPr="00B37A02">
        <w:rPr>
          <w:rFonts w:ascii="Times New Roman" w:hAnsi="Times New Roman" w:cs="Times New Roman"/>
          <w:i/>
          <w:color w:val="44546A" w:themeColor="text2"/>
          <w:sz w:val="24"/>
        </w:rPr>
        <w:fldChar w:fldCharType="separate"/>
      </w:r>
      <w:r w:rsidRPr="00B37A02">
        <w:rPr>
          <w:rFonts w:ascii="Times New Roman" w:hAnsi="Times New Roman" w:cs="Times New Roman"/>
          <w:i/>
          <w:color w:val="44546A" w:themeColor="text2"/>
          <w:sz w:val="24"/>
        </w:rPr>
        <w:t>2</w:t>
      </w:r>
      <w:r w:rsidRPr="00B37A02">
        <w:rPr>
          <w:rFonts w:ascii="Times New Roman" w:hAnsi="Times New Roman" w:cs="Times New Roman"/>
          <w:i/>
          <w:color w:val="44546A" w:themeColor="text2"/>
          <w:sz w:val="24"/>
        </w:rPr>
        <w:fldChar w:fldCharType="end"/>
      </w:r>
      <w:r w:rsidRPr="00B37A02">
        <w:rPr>
          <w:rFonts w:ascii="Times New Roman" w:hAnsi="Times New Roman" w:cs="Times New Roman"/>
          <w:i/>
          <w:color w:val="44546A" w:themeColor="text2"/>
          <w:sz w:val="24"/>
        </w:rPr>
        <w:t>. attēls</w:t>
      </w:r>
      <w:r w:rsidRPr="00B37A02">
        <w:rPr>
          <w:rFonts w:ascii="Times New Roman" w:hAnsi="Times New Roman" w:cs="Times New Roman"/>
        </w:rPr>
        <w:t>.</w:t>
      </w:r>
      <w:r w:rsidRPr="00B37A02">
        <w:rPr>
          <w:rFonts w:ascii="Times New Roman" w:hAnsi="Times New Roman" w:cs="Times New Roman"/>
          <w:i/>
          <w:color w:val="44546A" w:themeColor="text2"/>
          <w:sz w:val="24"/>
        </w:rPr>
        <w:t xml:space="preserve"> Izdevumi par sociālās aizsardzības pabalstiem ar funkciju “ģimene un bērni” (% no IKP), 2009.–2018. gads</w:t>
      </w:r>
    </w:p>
    <w:p w14:paraId="38D2D596" w14:textId="3B40968D" w:rsidR="00BC5BDF" w:rsidRPr="00B37A02" w:rsidRDefault="00BC5BDF" w:rsidP="00C97F66">
      <w:pPr>
        <w:widowControl w:val="0"/>
        <w:spacing w:after="0" w:line="240" w:lineRule="auto"/>
        <w:jc w:val="both"/>
        <w:rPr>
          <w:rFonts w:ascii="Times New Roman" w:hAnsi="Times New Roman" w:cs="Times New Roman"/>
          <w:sz w:val="20"/>
          <w:szCs w:val="18"/>
        </w:rPr>
      </w:pPr>
      <w:r w:rsidRPr="00B37A02">
        <w:rPr>
          <w:rFonts w:ascii="Times New Roman" w:hAnsi="Times New Roman" w:cs="Times New Roman"/>
          <w:noProof/>
          <w:sz w:val="24"/>
        </w:rPr>
        <w:drawing>
          <wp:inline distT="0" distB="0" distL="0" distR="0" wp14:anchorId="3C819B88" wp14:editId="449BF422">
            <wp:extent cx="5734685" cy="3200400"/>
            <wp:effectExtent l="0" t="0" r="18415"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B37A02">
        <w:rPr>
          <w:rFonts w:ascii="Times New Roman" w:hAnsi="Times New Roman" w:cs="Times New Roman"/>
          <w:sz w:val="20"/>
        </w:rPr>
        <w:t xml:space="preserve">Avots: </w:t>
      </w:r>
      <w:r w:rsidRPr="00B37A02">
        <w:rPr>
          <w:rFonts w:ascii="Times New Roman" w:hAnsi="Times New Roman" w:cs="Times New Roman"/>
          <w:i/>
          <w:iCs/>
          <w:sz w:val="20"/>
        </w:rPr>
        <w:t>Eurostat</w:t>
      </w:r>
      <w:r w:rsidRPr="00B37A02">
        <w:rPr>
          <w:rFonts w:ascii="Times New Roman" w:hAnsi="Times New Roman" w:cs="Times New Roman"/>
          <w:sz w:val="20"/>
        </w:rPr>
        <w:t xml:space="preserve"> [SPR_EXP_GDP], dati iegūti 14.02.2021.</w:t>
      </w:r>
    </w:p>
    <w:p w14:paraId="37DC7D42" w14:textId="77777777" w:rsidR="007878F6" w:rsidRPr="00B37A02" w:rsidRDefault="007878F6" w:rsidP="00C97F66">
      <w:pPr>
        <w:widowControl w:val="0"/>
        <w:spacing w:after="0" w:line="240" w:lineRule="auto"/>
        <w:jc w:val="both"/>
        <w:rPr>
          <w:rFonts w:ascii="Times New Roman" w:hAnsi="Times New Roman" w:cs="Times New Roman"/>
          <w:sz w:val="24"/>
        </w:rPr>
      </w:pPr>
    </w:p>
    <w:p w14:paraId="3922AC20" w14:textId="2D9BBB83" w:rsidR="00EC5DE2" w:rsidRPr="00B37A02" w:rsidRDefault="00BC5BDF" w:rsidP="00C97F66">
      <w:pPr>
        <w:pStyle w:val="Heading2"/>
        <w:keepNext w:val="0"/>
        <w:keepLines w:val="0"/>
        <w:widowControl w:val="0"/>
        <w:spacing w:before="0" w:line="240" w:lineRule="auto"/>
        <w:jc w:val="both"/>
        <w:rPr>
          <w:rFonts w:cs="Times New Roman"/>
          <w:sz w:val="24"/>
        </w:rPr>
      </w:pPr>
      <w:bookmarkStart w:id="425" w:name="_Toc63850176"/>
      <w:bookmarkStart w:id="426" w:name="_Toc63850319"/>
      <w:bookmarkStart w:id="427" w:name="_Toc63862451"/>
      <w:bookmarkStart w:id="428" w:name="_Toc64476368"/>
      <w:r w:rsidRPr="00B37A02">
        <w:rPr>
          <w:rFonts w:cs="Times New Roman"/>
          <w:sz w:val="24"/>
        </w:rPr>
        <w:t>Agrīnā pirmsskolas izglītība un aprūpe (</w:t>
      </w:r>
      <w:r w:rsidRPr="00B37A02">
        <w:rPr>
          <w:rFonts w:cs="Times New Roman"/>
          <w:i/>
          <w:iCs/>
          <w:sz w:val="24"/>
        </w:rPr>
        <w:t>ECEC</w:t>
      </w:r>
      <w:r w:rsidRPr="00B37A02">
        <w:rPr>
          <w:rFonts w:cs="Times New Roman"/>
          <w:sz w:val="24"/>
        </w:rPr>
        <w:t>)</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
    <w:p w14:paraId="4A755393" w14:textId="77777777" w:rsidR="007878F6" w:rsidRPr="00B37A02" w:rsidRDefault="007878F6" w:rsidP="00C97F66">
      <w:pPr>
        <w:spacing w:after="0" w:line="240" w:lineRule="auto"/>
        <w:rPr>
          <w:rFonts w:ascii="Times New Roman" w:hAnsi="Times New Roman" w:cs="Times New Roman"/>
        </w:rPr>
      </w:pPr>
    </w:p>
    <w:p w14:paraId="6203D426" w14:textId="0D37B16D" w:rsidR="00BC5BDF" w:rsidRPr="00B37A02" w:rsidRDefault="00BC5BDF" w:rsidP="00C97F66">
      <w:pPr>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sz w:val="24"/>
        </w:rPr>
        <w:t>Vidēji 27 ES dalībvalstīs to sieviešu (vecumā no 25 līdz 49 gadiem), kurām ir vismaz viens bērns vecumā līdz 6 gadiem, nodarbinātības līmenis ir par 14,3 procentpunktiem zemāks nekā sievietēm, kurām maza bērna nav. Bērnu audzināšanas ietekme uz sieviešu nodarbinātību ir īpaši spēcīga Čehijā (par 45,3 procentpunktiem zemāka nekā sievietēm bez maza bērna), Ungārijā (par 44,0 procentpunktiem zemāka) un Slovākijā (par 43,3 procentpunktiem zemāka).</w:t>
      </w:r>
      <w:r w:rsidRPr="00B37A02">
        <w:rPr>
          <w:rFonts w:ascii="Times New Roman" w:hAnsi="Times New Roman" w:cs="Times New Roman"/>
          <w:sz w:val="24"/>
          <w:szCs w:val="24"/>
          <w:vertAlign w:val="superscript"/>
        </w:rPr>
        <w:footnoteReference w:id="252"/>
      </w:r>
      <w:r w:rsidRPr="00B37A02">
        <w:rPr>
          <w:rFonts w:ascii="Times New Roman" w:hAnsi="Times New Roman" w:cs="Times New Roman"/>
          <w:sz w:val="24"/>
        </w:rPr>
        <w:t xml:space="preserve"> Tās ir arī dalībvalstis, kurās </w:t>
      </w:r>
      <w:r w:rsidRPr="00B37A02">
        <w:rPr>
          <w:rFonts w:ascii="Times New Roman" w:hAnsi="Times New Roman" w:cs="Times New Roman"/>
          <w:i/>
          <w:iCs/>
          <w:sz w:val="24"/>
        </w:rPr>
        <w:t>ECEC</w:t>
      </w:r>
      <w:r w:rsidRPr="00B37A02">
        <w:rPr>
          <w:rFonts w:ascii="Times New Roman" w:hAnsi="Times New Roman" w:cs="Times New Roman"/>
          <w:sz w:val="24"/>
        </w:rPr>
        <w:t xml:space="preserve"> uzņemto bērnu skaits ir neliels, īpaši attiecībā uz jaunākiem bērniem, kā redzams B2. attēlā.</w:t>
      </w:r>
    </w:p>
    <w:p w14:paraId="2C9E6BA7" w14:textId="77777777" w:rsidR="007878F6" w:rsidRPr="00B37A02" w:rsidRDefault="007878F6" w:rsidP="00C97F66">
      <w:pPr>
        <w:widowControl w:val="0"/>
        <w:spacing w:after="0" w:line="240" w:lineRule="auto"/>
        <w:jc w:val="both"/>
        <w:rPr>
          <w:rFonts w:ascii="Times New Roman" w:hAnsi="Times New Roman" w:cs="Times New Roman"/>
          <w:sz w:val="24"/>
          <w:szCs w:val="24"/>
        </w:rPr>
      </w:pPr>
    </w:p>
    <w:p w14:paraId="4B0C837B" w14:textId="77777777" w:rsidR="007878F6" w:rsidRPr="00B37A02" w:rsidRDefault="00BC5BDF" w:rsidP="00C97F66">
      <w:pPr>
        <w:widowControl w:val="0"/>
        <w:spacing w:after="0" w:line="240" w:lineRule="auto"/>
        <w:jc w:val="both"/>
        <w:rPr>
          <w:rFonts w:ascii="Times New Roman" w:hAnsi="Times New Roman" w:cs="Times New Roman"/>
          <w:i/>
          <w:color w:val="44546A" w:themeColor="text2"/>
          <w:sz w:val="24"/>
          <w:szCs w:val="24"/>
        </w:rPr>
      </w:pPr>
      <w:r w:rsidRPr="00B37A02">
        <w:rPr>
          <w:rFonts w:ascii="Times New Roman" w:hAnsi="Times New Roman" w:cs="Times New Roman"/>
          <w:i/>
          <w:color w:val="44546A" w:themeColor="text2"/>
          <w:sz w:val="24"/>
        </w:rPr>
        <w:t xml:space="preserve">B3. attēls. </w:t>
      </w:r>
      <w:r w:rsidRPr="00B37A02">
        <w:rPr>
          <w:rFonts w:ascii="Times New Roman" w:hAnsi="Times New Roman" w:cs="Times New Roman"/>
          <w:i/>
          <w:iCs/>
          <w:color w:val="44546A" w:themeColor="text2"/>
          <w:sz w:val="24"/>
        </w:rPr>
        <w:t>ECEC</w:t>
      </w:r>
      <w:r w:rsidRPr="00B37A02">
        <w:rPr>
          <w:rFonts w:ascii="Times New Roman" w:hAnsi="Times New Roman" w:cs="Times New Roman"/>
          <w:i/>
          <w:color w:val="44546A" w:themeColor="text2"/>
          <w:sz w:val="24"/>
        </w:rPr>
        <w:t xml:space="preserve"> uzņemto bērnu skaits un bērnu audzināšanas ietekme uz nodarbinātību</w:t>
      </w:r>
    </w:p>
    <w:p w14:paraId="25F55452" w14:textId="7406FC5D" w:rsidR="00EC5DE2" w:rsidRPr="00B37A02" w:rsidRDefault="00BC5BDF" w:rsidP="00C97F66">
      <w:pPr>
        <w:widowControl w:val="0"/>
        <w:spacing w:after="0" w:line="240" w:lineRule="auto"/>
        <w:jc w:val="both"/>
        <w:rPr>
          <w:rFonts w:ascii="Times New Roman" w:hAnsi="Times New Roman" w:cs="Times New Roman"/>
          <w:sz w:val="24"/>
          <w:szCs w:val="20"/>
        </w:rPr>
      </w:pPr>
      <w:r w:rsidRPr="00B37A02">
        <w:rPr>
          <w:rFonts w:ascii="Times New Roman" w:hAnsi="Times New Roman" w:cs="Times New Roman"/>
          <w:noProof/>
          <w:sz w:val="24"/>
        </w:rPr>
        <w:drawing>
          <wp:inline distT="0" distB="0" distL="0" distR="0" wp14:anchorId="3A0870F9" wp14:editId="70E2E5D5">
            <wp:extent cx="4449445" cy="2641600"/>
            <wp:effectExtent l="0" t="0" r="8255" b="635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7EE9E8E" w14:textId="7571B338" w:rsidR="00BC5BDF" w:rsidRPr="00B37A02" w:rsidRDefault="00BC5BDF" w:rsidP="00C97F66">
      <w:pPr>
        <w:widowControl w:val="0"/>
        <w:spacing w:after="0" w:line="240" w:lineRule="auto"/>
        <w:jc w:val="both"/>
        <w:rPr>
          <w:rFonts w:ascii="Times New Roman" w:hAnsi="Times New Roman" w:cs="Times New Roman"/>
          <w:sz w:val="20"/>
          <w:szCs w:val="16"/>
        </w:rPr>
      </w:pPr>
      <w:r w:rsidRPr="00B37A02">
        <w:rPr>
          <w:rFonts w:ascii="Times New Roman" w:hAnsi="Times New Roman" w:cs="Times New Roman"/>
          <w:sz w:val="20"/>
        </w:rPr>
        <w:t>Avots: Komisijas priekšlikums 2021. gada Vienotajam nodarbinātības ziņojumam.</w:t>
      </w:r>
    </w:p>
    <w:p w14:paraId="284584E1" w14:textId="77777777" w:rsidR="00BC5BDF" w:rsidRPr="00B37A02" w:rsidRDefault="00BC5BDF" w:rsidP="00C97F66">
      <w:pPr>
        <w:widowControl w:val="0"/>
        <w:spacing w:after="0" w:line="240" w:lineRule="auto"/>
        <w:jc w:val="both"/>
        <w:rPr>
          <w:rFonts w:ascii="Times New Roman" w:hAnsi="Times New Roman" w:cs="Times New Roman"/>
          <w:sz w:val="24"/>
          <w:szCs w:val="20"/>
        </w:rPr>
      </w:pPr>
    </w:p>
    <w:p w14:paraId="0E0776AC" w14:textId="77777777" w:rsidR="00BC5BDF" w:rsidRPr="00B37A02" w:rsidRDefault="00BC5BDF" w:rsidP="00C97F66">
      <w:pPr>
        <w:pStyle w:val="Caption"/>
        <w:widowControl w:val="0"/>
        <w:spacing w:after="0"/>
        <w:jc w:val="both"/>
        <w:rPr>
          <w:rFonts w:ascii="Times New Roman" w:hAnsi="Times New Roman" w:cs="Times New Roman"/>
          <w:sz w:val="24"/>
          <w:szCs w:val="24"/>
        </w:rPr>
      </w:pPr>
      <w:r w:rsidRPr="00B37A02">
        <w:rPr>
          <w:rFonts w:ascii="Times New Roman" w:hAnsi="Times New Roman" w:cs="Times New Roman"/>
          <w:sz w:val="24"/>
        </w:rPr>
        <w:t>B4. tabula. Obligātā agrīnā pirmsskolas izglītība un aprūpe ES, 2020. gads</w:t>
      </w: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3844"/>
        <w:gridCol w:w="5217"/>
      </w:tblGrid>
      <w:tr w:rsidR="00BC5BDF" w:rsidRPr="00B37A02" w14:paraId="75581F23" w14:textId="77777777" w:rsidTr="007878F6">
        <w:tc>
          <w:tcPr>
            <w:tcW w:w="3919" w:type="dxa"/>
          </w:tcPr>
          <w:p w14:paraId="4F604A2C" w14:textId="77777777" w:rsidR="00BC5BDF" w:rsidRPr="00B37A02" w:rsidRDefault="00BC5BDF" w:rsidP="00C97F66">
            <w:pPr>
              <w:widowControl w:val="0"/>
              <w:jc w:val="both"/>
              <w:rPr>
                <w:rFonts w:ascii="Times New Roman" w:hAnsi="Times New Roman" w:cs="Times New Roman"/>
                <w:sz w:val="24"/>
                <w:szCs w:val="24"/>
              </w:rPr>
            </w:pPr>
            <w:r w:rsidRPr="00B37A02">
              <w:rPr>
                <w:rFonts w:ascii="Times New Roman" w:hAnsi="Times New Roman" w:cs="Times New Roman"/>
                <w:sz w:val="24"/>
              </w:rPr>
              <w:t xml:space="preserve">Vecums, kurā uzsākama obligātā izglītība pēc </w:t>
            </w:r>
            <w:r w:rsidRPr="00B37A02">
              <w:rPr>
                <w:rFonts w:ascii="Times New Roman" w:hAnsi="Times New Roman" w:cs="Times New Roman"/>
                <w:i/>
                <w:iCs/>
                <w:sz w:val="24"/>
              </w:rPr>
              <w:t>ISCED</w:t>
            </w:r>
            <w:r w:rsidRPr="00B37A02">
              <w:rPr>
                <w:rFonts w:ascii="Times New Roman" w:hAnsi="Times New Roman" w:cs="Times New Roman"/>
                <w:sz w:val="24"/>
              </w:rPr>
              <w:t xml:space="preserve"> 0. līmeņa (</w:t>
            </w:r>
            <w:r w:rsidRPr="00B37A02">
              <w:rPr>
                <w:rFonts w:ascii="Times New Roman" w:hAnsi="Times New Roman" w:cs="Times New Roman"/>
                <w:i/>
                <w:iCs/>
                <w:sz w:val="24"/>
              </w:rPr>
              <w:t>ECEC</w:t>
            </w:r>
            <w:r w:rsidRPr="00B37A02">
              <w:rPr>
                <w:rFonts w:ascii="Times New Roman" w:hAnsi="Times New Roman" w:cs="Times New Roman"/>
                <w:sz w:val="24"/>
              </w:rPr>
              <w:t>)</w:t>
            </w:r>
          </w:p>
        </w:tc>
        <w:tc>
          <w:tcPr>
            <w:tcW w:w="5323" w:type="dxa"/>
          </w:tcPr>
          <w:p w14:paraId="3C0A61D6" w14:textId="77777777" w:rsidR="00BC5BDF" w:rsidRPr="00B37A02" w:rsidRDefault="00BC5BDF" w:rsidP="00C97F66">
            <w:pPr>
              <w:widowControl w:val="0"/>
              <w:jc w:val="both"/>
              <w:rPr>
                <w:rFonts w:ascii="Times New Roman" w:hAnsi="Times New Roman" w:cs="Times New Roman"/>
                <w:sz w:val="24"/>
                <w:szCs w:val="24"/>
              </w:rPr>
            </w:pPr>
            <w:r w:rsidRPr="00B37A02">
              <w:rPr>
                <w:rFonts w:ascii="Times New Roman" w:hAnsi="Times New Roman" w:cs="Times New Roman"/>
                <w:sz w:val="24"/>
              </w:rPr>
              <w:t>Dalībvalstis</w:t>
            </w:r>
          </w:p>
        </w:tc>
      </w:tr>
      <w:tr w:rsidR="00BC5BDF" w:rsidRPr="00B37A02" w14:paraId="4FD9F4F6" w14:textId="77777777" w:rsidTr="007878F6">
        <w:tc>
          <w:tcPr>
            <w:tcW w:w="3919" w:type="dxa"/>
          </w:tcPr>
          <w:p w14:paraId="50AF7E18" w14:textId="77777777" w:rsidR="00BC5BDF" w:rsidRPr="00B37A02" w:rsidRDefault="00BC5BDF" w:rsidP="004A565E">
            <w:pPr>
              <w:widowControl w:val="0"/>
              <w:jc w:val="center"/>
              <w:rPr>
                <w:rFonts w:ascii="Times New Roman" w:hAnsi="Times New Roman" w:cs="Times New Roman"/>
                <w:sz w:val="24"/>
                <w:szCs w:val="24"/>
              </w:rPr>
            </w:pPr>
            <w:r w:rsidRPr="00B37A02">
              <w:rPr>
                <w:rFonts w:ascii="Times New Roman" w:hAnsi="Times New Roman" w:cs="Times New Roman"/>
                <w:sz w:val="24"/>
              </w:rPr>
              <w:t>3 gadi</w:t>
            </w:r>
          </w:p>
        </w:tc>
        <w:tc>
          <w:tcPr>
            <w:tcW w:w="5323" w:type="dxa"/>
          </w:tcPr>
          <w:p w14:paraId="77854CA3" w14:textId="77777777" w:rsidR="00BC5BDF" w:rsidRPr="00B37A02" w:rsidRDefault="00BC5BDF" w:rsidP="00C97F66">
            <w:pPr>
              <w:widowControl w:val="0"/>
              <w:jc w:val="both"/>
              <w:rPr>
                <w:rFonts w:ascii="Times New Roman" w:hAnsi="Times New Roman" w:cs="Times New Roman"/>
                <w:sz w:val="24"/>
                <w:szCs w:val="24"/>
              </w:rPr>
            </w:pPr>
            <w:r w:rsidRPr="00B37A02">
              <w:rPr>
                <w:rFonts w:ascii="Times New Roman" w:hAnsi="Times New Roman" w:cs="Times New Roman"/>
                <w:sz w:val="24"/>
              </w:rPr>
              <w:t>FR, HU</w:t>
            </w:r>
          </w:p>
        </w:tc>
      </w:tr>
      <w:tr w:rsidR="00BC5BDF" w:rsidRPr="00B37A02" w14:paraId="5C274F44" w14:textId="77777777" w:rsidTr="007878F6">
        <w:tc>
          <w:tcPr>
            <w:tcW w:w="3919" w:type="dxa"/>
          </w:tcPr>
          <w:p w14:paraId="779762FF" w14:textId="77777777" w:rsidR="00BC5BDF" w:rsidRPr="00B37A02" w:rsidRDefault="00BC5BDF" w:rsidP="004A565E">
            <w:pPr>
              <w:widowControl w:val="0"/>
              <w:jc w:val="center"/>
              <w:rPr>
                <w:rFonts w:ascii="Times New Roman" w:hAnsi="Times New Roman" w:cs="Times New Roman"/>
                <w:sz w:val="24"/>
                <w:szCs w:val="24"/>
              </w:rPr>
            </w:pPr>
            <w:r w:rsidRPr="00B37A02">
              <w:rPr>
                <w:rFonts w:ascii="Times New Roman" w:hAnsi="Times New Roman" w:cs="Times New Roman"/>
                <w:sz w:val="24"/>
              </w:rPr>
              <w:t>4 gadi</w:t>
            </w:r>
          </w:p>
        </w:tc>
        <w:tc>
          <w:tcPr>
            <w:tcW w:w="5323" w:type="dxa"/>
          </w:tcPr>
          <w:p w14:paraId="05BDC47B" w14:textId="77777777" w:rsidR="00BC5BDF" w:rsidRPr="00B37A02" w:rsidRDefault="00BC5BDF" w:rsidP="00C97F66">
            <w:pPr>
              <w:widowControl w:val="0"/>
              <w:jc w:val="both"/>
              <w:rPr>
                <w:rFonts w:ascii="Times New Roman" w:hAnsi="Times New Roman" w:cs="Times New Roman"/>
                <w:sz w:val="24"/>
                <w:szCs w:val="24"/>
              </w:rPr>
            </w:pPr>
            <w:r w:rsidRPr="00B37A02">
              <w:rPr>
                <w:rFonts w:ascii="Times New Roman" w:hAnsi="Times New Roman" w:cs="Times New Roman"/>
                <w:sz w:val="24"/>
              </w:rPr>
              <w:t>EL, LU</w:t>
            </w:r>
          </w:p>
        </w:tc>
      </w:tr>
      <w:tr w:rsidR="00BC5BDF" w:rsidRPr="00B37A02" w14:paraId="1EA01FD3" w14:textId="77777777" w:rsidTr="007878F6">
        <w:tc>
          <w:tcPr>
            <w:tcW w:w="3919" w:type="dxa"/>
          </w:tcPr>
          <w:p w14:paraId="6B18C076" w14:textId="77777777" w:rsidR="00BC5BDF" w:rsidRPr="00B37A02" w:rsidRDefault="00BC5BDF" w:rsidP="004A565E">
            <w:pPr>
              <w:widowControl w:val="0"/>
              <w:jc w:val="center"/>
              <w:rPr>
                <w:rFonts w:ascii="Times New Roman" w:hAnsi="Times New Roman" w:cs="Times New Roman"/>
                <w:sz w:val="24"/>
                <w:szCs w:val="24"/>
              </w:rPr>
            </w:pPr>
            <w:r w:rsidRPr="00B37A02">
              <w:rPr>
                <w:rFonts w:ascii="Times New Roman" w:hAnsi="Times New Roman" w:cs="Times New Roman"/>
                <w:sz w:val="24"/>
              </w:rPr>
              <w:t>5 gadi</w:t>
            </w:r>
          </w:p>
        </w:tc>
        <w:tc>
          <w:tcPr>
            <w:tcW w:w="5323" w:type="dxa"/>
          </w:tcPr>
          <w:p w14:paraId="2F9C6A20" w14:textId="77777777" w:rsidR="00BC5BDF" w:rsidRPr="00B37A02" w:rsidRDefault="00BC5BDF" w:rsidP="00C97F66">
            <w:pPr>
              <w:widowControl w:val="0"/>
              <w:jc w:val="both"/>
              <w:rPr>
                <w:rFonts w:ascii="Times New Roman" w:hAnsi="Times New Roman" w:cs="Times New Roman"/>
                <w:sz w:val="24"/>
                <w:szCs w:val="24"/>
              </w:rPr>
            </w:pPr>
            <w:r w:rsidRPr="00B37A02">
              <w:rPr>
                <w:rFonts w:ascii="Times New Roman" w:hAnsi="Times New Roman" w:cs="Times New Roman"/>
                <w:sz w:val="24"/>
              </w:rPr>
              <w:t>AT, BE, BG, CY, CZ, LV, NL</w:t>
            </w:r>
          </w:p>
        </w:tc>
      </w:tr>
      <w:tr w:rsidR="00BC5BDF" w:rsidRPr="00B37A02" w14:paraId="58D00451" w14:textId="77777777" w:rsidTr="007878F6">
        <w:tc>
          <w:tcPr>
            <w:tcW w:w="3919" w:type="dxa"/>
          </w:tcPr>
          <w:p w14:paraId="7FF19F17" w14:textId="77777777" w:rsidR="00BC5BDF" w:rsidRPr="00B37A02" w:rsidRDefault="00BC5BDF" w:rsidP="004A565E">
            <w:pPr>
              <w:widowControl w:val="0"/>
              <w:jc w:val="center"/>
              <w:rPr>
                <w:rFonts w:ascii="Times New Roman" w:hAnsi="Times New Roman" w:cs="Times New Roman"/>
                <w:sz w:val="24"/>
                <w:szCs w:val="24"/>
              </w:rPr>
            </w:pPr>
            <w:r w:rsidRPr="00B37A02">
              <w:rPr>
                <w:rFonts w:ascii="Times New Roman" w:hAnsi="Times New Roman" w:cs="Times New Roman"/>
                <w:sz w:val="24"/>
              </w:rPr>
              <w:t>6 gadi</w:t>
            </w:r>
          </w:p>
        </w:tc>
        <w:tc>
          <w:tcPr>
            <w:tcW w:w="5323" w:type="dxa"/>
          </w:tcPr>
          <w:p w14:paraId="73713375" w14:textId="77777777" w:rsidR="00BC5BDF" w:rsidRPr="00B37A02" w:rsidRDefault="00BC5BDF" w:rsidP="00C97F66">
            <w:pPr>
              <w:widowControl w:val="0"/>
              <w:jc w:val="both"/>
              <w:rPr>
                <w:rFonts w:ascii="Times New Roman" w:hAnsi="Times New Roman" w:cs="Times New Roman"/>
                <w:sz w:val="24"/>
                <w:szCs w:val="24"/>
              </w:rPr>
            </w:pPr>
            <w:r w:rsidRPr="00B37A02">
              <w:rPr>
                <w:rFonts w:ascii="Times New Roman" w:hAnsi="Times New Roman" w:cs="Times New Roman"/>
                <w:sz w:val="24"/>
              </w:rPr>
              <w:t>FI, LT, PL, SE</w:t>
            </w:r>
          </w:p>
        </w:tc>
      </w:tr>
      <w:tr w:rsidR="00BC5BDF" w:rsidRPr="00B37A02" w14:paraId="05A8BD36" w14:textId="77777777" w:rsidTr="007878F6">
        <w:tc>
          <w:tcPr>
            <w:tcW w:w="3919" w:type="dxa"/>
          </w:tcPr>
          <w:p w14:paraId="3F427829" w14:textId="77777777" w:rsidR="00BC5BDF" w:rsidRPr="00B37A02" w:rsidRDefault="00BC5BDF" w:rsidP="004A565E">
            <w:pPr>
              <w:widowControl w:val="0"/>
              <w:jc w:val="center"/>
              <w:rPr>
                <w:rFonts w:ascii="Times New Roman" w:hAnsi="Times New Roman" w:cs="Times New Roman"/>
                <w:sz w:val="24"/>
                <w:szCs w:val="24"/>
              </w:rPr>
            </w:pPr>
            <w:r w:rsidRPr="00B37A02">
              <w:rPr>
                <w:rFonts w:ascii="Times New Roman" w:hAnsi="Times New Roman" w:cs="Times New Roman"/>
                <w:i/>
                <w:iCs/>
                <w:sz w:val="24"/>
              </w:rPr>
              <w:t>ECEC</w:t>
            </w:r>
            <w:r w:rsidRPr="00B37A02">
              <w:rPr>
                <w:rFonts w:ascii="Times New Roman" w:hAnsi="Times New Roman" w:cs="Times New Roman"/>
                <w:sz w:val="24"/>
              </w:rPr>
              <w:t xml:space="preserve"> nav obligāta</w:t>
            </w:r>
          </w:p>
        </w:tc>
        <w:tc>
          <w:tcPr>
            <w:tcW w:w="5323" w:type="dxa"/>
          </w:tcPr>
          <w:p w14:paraId="74088379" w14:textId="77777777" w:rsidR="00BC5BDF" w:rsidRPr="00B37A02" w:rsidRDefault="00BC5BDF" w:rsidP="00C97F66">
            <w:pPr>
              <w:widowControl w:val="0"/>
              <w:jc w:val="both"/>
              <w:rPr>
                <w:rFonts w:ascii="Times New Roman" w:hAnsi="Times New Roman" w:cs="Times New Roman"/>
                <w:sz w:val="24"/>
                <w:szCs w:val="24"/>
              </w:rPr>
            </w:pPr>
            <w:r w:rsidRPr="00B37A02">
              <w:rPr>
                <w:rFonts w:ascii="Times New Roman" w:hAnsi="Times New Roman" w:cs="Times New Roman"/>
                <w:sz w:val="24"/>
              </w:rPr>
              <w:t xml:space="preserve">DK, DE, EE, ES, HR, IE, IT, MT, PT, RO, SI, SK </w:t>
            </w:r>
          </w:p>
        </w:tc>
      </w:tr>
    </w:tbl>
    <w:p w14:paraId="7296E688" w14:textId="77777777" w:rsidR="00EC5DE2" w:rsidRPr="00B37A02" w:rsidRDefault="00BC5BDF" w:rsidP="00C97F66">
      <w:pPr>
        <w:widowControl w:val="0"/>
        <w:spacing w:after="0" w:line="240" w:lineRule="auto"/>
        <w:jc w:val="both"/>
        <w:rPr>
          <w:rFonts w:ascii="Times New Roman" w:hAnsi="Times New Roman" w:cs="Times New Roman"/>
          <w:sz w:val="20"/>
          <w:szCs w:val="16"/>
        </w:rPr>
      </w:pPr>
      <w:r w:rsidRPr="00B37A02">
        <w:rPr>
          <w:rFonts w:ascii="Times New Roman" w:hAnsi="Times New Roman" w:cs="Times New Roman"/>
          <w:sz w:val="20"/>
        </w:rPr>
        <w:t>Avots: Eurydice Facts and Figures: Compulsory education in Europe 2020/21.</w:t>
      </w:r>
    </w:p>
    <w:p w14:paraId="0072EC76" w14:textId="77777777" w:rsidR="007878F6" w:rsidRPr="00B37A02" w:rsidRDefault="007878F6" w:rsidP="00C97F66">
      <w:pPr>
        <w:pStyle w:val="Caption"/>
        <w:widowControl w:val="0"/>
        <w:spacing w:after="0"/>
        <w:jc w:val="both"/>
        <w:rPr>
          <w:rFonts w:ascii="Times New Roman" w:hAnsi="Times New Roman" w:cs="Times New Roman"/>
          <w:sz w:val="24"/>
          <w:szCs w:val="24"/>
        </w:rPr>
      </w:pPr>
    </w:p>
    <w:p w14:paraId="09F1C110" w14:textId="7AF694C3" w:rsidR="00E35E81" w:rsidRPr="003E52D4" w:rsidRDefault="00BC5BDF" w:rsidP="003E52D4">
      <w:pPr>
        <w:pStyle w:val="Caption"/>
        <w:keepNext/>
        <w:keepLines/>
        <w:widowControl w:val="0"/>
        <w:spacing w:after="0"/>
        <w:jc w:val="both"/>
        <w:rPr>
          <w:rFonts w:ascii="Times New Roman" w:hAnsi="Times New Roman" w:cs="Times New Roman"/>
          <w:sz w:val="24"/>
        </w:rPr>
      </w:pPr>
      <w:r w:rsidRPr="00B37A02">
        <w:rPr>
          <w:rFonts w:ascii="Times New Roman" w:hAnsi="Times New Roman" w:cs="Times New Roman"/>
          <w:sz w:val="24"/>
        </w:rPr>
        <w:lastRenderedPageBreak/>
        <w:t>B5. attēls. Formālā agrīnajā pirmsskolas izglītībā un aprūpē uzņemto bērnu īpatsvars, 2018.* un 2019. gads</w:t>
      </w:r>
    </w:p>
    <w:p w14:paraId="362D85CC" w14:textId="215B1831" w:rsidR="003E52D4" w:rsidRPr="003E52D4" w:rsidRDefault="003E52D4" w:rsidP="003E52D4">
      <w:r w:rsidRPr="003E52D4">
        <w:rPr>
          <w:noProof/>
        </w:rPr>
        <w:drawing>
          <wp:inline distT="0" distB="0" distL="0" distR="0" wp14:anchorId="3B15C74C" wp14:editId="5680AC34">
            <wp:extent cx="5760085" cy="4362450"/>
            <wp:effectExtent l="0" t="0" r="0" b="0"/>
            <wp:docPr id="1241587867" name="Picture 1"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587867" name="Picture 1" descr="A graph of different colored lines&#10;&#10;Description automatically generated with medium confidence"/>
                    <pic:cNvPicPr/>
                  </pic:nvPicPr>
                  <pic:blipFill rotWithShape="1">
                    <a:blip r:embed="rId25"/>
                    <a:srcRect b="780"/>
                    <a:stretch/>
                  </pic:blipFill>
                  <pic:spPr bwMode="auto">
                    <a:xfrm>
                      <a:off x="0" y="0"/>
                      <a:ext cx="5760085" cy="4362450"/>
                    </a:xfrm>
                    <a:prstGeom prst="rect">
                      <a:avLst/>
                    </a:prstGeom>
                    <a:ln>
                      <a:noFill/>
                    </a:ln>
                    <a:extLst>
                      <a:ext uri="{53640926-AAD7-44D8-BBD7-CCE9431645EC}">
                        <a14:shadowObscured xmlns:a14="http://schemas.microsoft.com/office/drawing/2010/main"/>
                      </a:ext>
                    </a:extLst>
                  </pic:spPr>
                </pic:pic>
              </a:graphicData>
            </a:graphic>
          </wp:inline>
        </w:drawing>
      </w:r>
    </w:p>
    <w:p w14:paraId="6C4B363D" w14:textId="2F3598A4" w:rsidR="00BC5BDF" w:rsidRDefault="00BC5BDF" w:rsidP="003E52D4">
      <w:pPr>
        <w:pStyle w:val="Caption"/>
        <w:keepNext/>
        <w:keepLines/>
        <w:widowControl w:val="0"/>
        <w:spacing w:after="0"/>
        <w:jc w:val="both"/>
        <w:rPr>
          <w:rFonts w:ascii="Times New Roman" w:hAnsi="Times New Roman" w:cs="Times New Roman"/>
          <w:i w:val="0"/>
          <w:color w:val="auto"/>
          <w:sz w:val="20"/>
        </w:rPr>
      </w:pPr>
      <w:r w:rsidRPr="00B37A02">
        <w:rPr>
          <w:rFonts w:ascii="Times New Roman" w:hAnsi="Times New Roman" w:cs="Times New Roman"/>
          <w:i w:val="0"/>
          <w:color w:val="auto"/>
          <w:sz w:val="20"/>
        </w:rPr>
        <w:t xml:space="preserve">Avots: </w:t>
      </w:r>
      <w:r w:rsidRPr="00B37A02">
        <w:rPr>
          <w:rFonts w:ascii="Times New Roman" w:hAnsi="Times New Roman" w:cs="Times New Roman"/>
          <w:color w:val="auto"/>
          <w:sz w:val="20"/>
        </w:rPr>
        <w:t>Eurostat</w:t>
      </w:r>
      <w:r w:rsidRPr="00B37A02">
        <w:rPr>
          <w:rFonts w:ascii="Times New Roman" w:hAnsi="Times New Roman" w:cs="Times New Roman"/>
          <w:i w:val="0"/>
          <w:color w:val="auto"/>
          <w:sz w:val="20"/>
        </w:rPr>
        <w:t xml:space="preserve"> [ilc_caindformal], 21.10.2020.</w:t>
      </w:r>
    </w:p>
    <w:p w14:paraId="51FD04A9" w14:textId="78E9F7B9" w:rsidR="00996F88" w:rsidRPr="00996F88" w:rsidRDefault="00996F88" w:rsidP="003E52D4">
      <w:pPr>
        <w:spacing w:after="0" w:line="240" w:lineRule="auto"/>
      </w:pPr>
    </w:p>
    <w:p w14:paraId="7EA85DE7" w14:textId="67980FE0" w:rsidR="00EC5DE2" w:rsidRPr="00B37A02" w:rsidRDefault="00BC5BDF" w:rsidP="003E52D4">
      <w:pPr>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sz w:val="24"/>
        </w:rPr>
        <w:t xml:space="preserve">2009. gadā Stratēģiskais satvars Eiropas sadarbībai izglītības un mācību jomā noteica mērķi panākt, ka līdz 2020. gadam vismaz 95 % bērnu vecumā no četriem gadiem līdz vecumam, kad jāsāk obligātā pamatskolas izglītība, ir uzņemti </w:t>
      </w:r>
      <w:r w:rsidRPr="00B37A02">
        <w:rPr>
          <w:rFonts w:ascii="Times New Roman" w:hAnsi="Times New Roman" w:cs="Times New Roman"/>
          <w:i/>
          <w:iCs/>
          <w:sz w:val="24"/>
        </w:rPr>
        <w:t>ECEC</w:t>
      </w:r>
      <w:r w:rsidRPr="00B37A02">
        <w:rPr>
          <w:rFonts w:ascii="Times New Roman" w:hAnsi="Times New Roman" w:cs="Times New Roman"/>
          <w:sz w:val="24"/>
        </w:rPr>
        <w:t xml:space="preserve">. 2018. gadā 27 ES dalībvalstis gandrīz sasniedza šo mērķi ar vidējo rādītāju 94,8 %, kas ir pieaugums par 4,5 procentpunktiem kopš 2009. gada (A14. attēls). Šie augstie līdzdalības rādītāji liecina, ka vairumā dalībvalstu tagad ir obligāta vismaz viena gada </w:t>
      </w:r>
      <w:r w:rsidRPr="00B37A02">
        <w:rPr>
          <w:rFonts w:ascii="Times New Roman" w:hAnsi="Times New Roman" w:cs="Times New Roman"/>
          <w:i/>
          <w:iCs/>
          <w:sz w:val="24"/>
        </w:rPr>
        <w:t>ECEC</w:t>
      </w:r>
      <w:r w:rsidRPr="00B37A02">
        <w:rPr>
          <w:rFonts w:ascii="Times New Roman" w:hAnsi="Times New Roman" w:cs="Times New Roman"/>
          <w:sz w:val="24"/>
        </w:rPr>
        <w:t xml:space="preserve"> (A1. tabula). Turklāt Dānija un Īrija nodrošina vispārēju, bet ne obligātu piekļuvi </w:t>
      </w:r>
      <w:r w:rsidRPr="00B37A02">
        <w:rPr>
          <w:rFonts w:ascii="Times New Roman" w:hAnsi="Times New Roman" w:cs="Times New Roman"/>
          <w:i/>
          <w:iCs/>
          <w:sz w:val="24"/>
        </w:rPr>
        <w:t>ECEC</w:t>
      </w:r>
      <w:r w:rsidRPr="00B37A02">
        <w:rPr>
          <w:rFonts w:ascii="Times New Roman" w:hAnsi="Times New Roman" w:cs="Times New Roman"/>
          <w:sz w:val="24"/>
        </w:rPr>
        <w:t xml:space="preserve"> šai vecuma grupai.</w:t>
      </w:r>
    </w:p>
    <w:p w14:paraId="0972D286" w14:textId="77777777" w:rsidR="007878F6" w:rsidRPr="00B37A02" w:rsidRDefault="007878F6" w:rsidP="00C97F66">
      <w:pPr>
        <w:pStyle w:val="Caption"/>
        <w:widowControl w:val="0"/>
        <w:spacing w:after="0"/>
        <w:jc w:val="both"/>
        <w:rPr>
          <w:rFonts w:ascii="Times New Roman" w:hAnsi="Times New Roman" w:cs="Times New Roman"/>
          <w:sz w:val="24"/>
          <w:szCs w:val="24"/>
        </w:rPr>
      </w:pPr>
    </w:p>
    <w:p w14:paraId="2C1E1901" w14:textId="67E02F27" w:rsidR="00257A75" w:rsidRPr="00257A75" w:rsidRDefault="00BC5BDF" w:rsidP="00A207F4">
      <w:pPr>
        <w:pStyle w:val="Caption"/>
        <w:keepNext/>
        <w:keepLines/>
        <w:widowControl w:val="0"/>
        <w:spacing w:after="0"/>
        <w:jc w:val="both"/>
        <w:rPr>
          <w:rFonts w:ascii="Times New Roman" w:hAnsi="Times New Roman" w:cs="Times New Roman"/>
          <w:sz w:val="24"/>
        </w:rPr>
      </w:pPr>
      <w:r w:rsidRPr="00B37A02">
        <w:rPr>
          <w:rFonts w:ascii="Times New Roman" w:hAnsi="Times New Roman" w:cs="Times New Roman"/>
          <w:sz w:val="24"/>
        </w:rPr>
        <w:lastRenderedPageBreak/>
        <w:t>B6. attēls. Bērnu vecumā no 4 gadiem līdz vecumam, kad jāsāk obligātā pamatskolas izglītība, līdzdalība ECEC, 2018. gads, un izmaiņas kopš 2009. gada (%)</w:t>
      </w:r>
    </w:p>
    <w:p w14:paraId="6CD7F83C" w14:textId="292E3E71" w:rsidR="00BC5BDF" w:rsidRPr="00224CEC" w:rsidRDefault="00224CEC" w:rsidP="00A207F4">
      <w:pPr>
        <w:keepNext/>
        <w:keepLines/>
      </w:pPr>
      <w:r w:rsidRPr="00224CEC">
        <w:rPr>
          <w:noProof/>
        </w:rPr>
        <w:drawing>
          <wp:inline distT="0" distB="0" distL="0" distR="0" wp14:anchorId="2F483561" wp14:editId="6F1B1B35">
            <wp:extent cx="5760085" cy="2656840"/>
            <wp:effectExtent l="0" t="0" r="0" b="0"/>
            <wp:docPr id="2106951484" name="Picture 1" descr="A graph with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951484" name="Picture 1" descr="A graph with different colored lines&#10;&#10;Description automatically generated with medium confidence"/>
                    <pic:cNvPicPr/>
                  </pic:nvPicPr>
                  <pic:blipFill>
                    <a:blip r:embed="rId26"/>
                    <a:stretch>
                      <a:fillRect/>
                    </a:stretch>
                  </pic:blipFill>
                  <pic:spPr>
                    <a:xfrm>
                      <a:off x="0" y="0"/>
                      <a:ext cx="5760085" cy="2656840"/>
                    </a:xfrm>
                    <a:prstGeom prst="rect">
                      <a:avLst/>
                    </a:prstGeom>
                  </pic:spPr>
                </pic:pic>
              </a:graphicData>
            </a:graphic>
          </wp:inline>
        </w:drawing>
      </w:r>
    </w:p>
    <w:p w14:paraId="345B128E" w14:textId="77777777" w:rsidR="00BC5BDF" w:rsidRPr="00B37A02" w:rsidRDefault="00BC5BDF" w:rsidP="00C97F66">
      <w:pPr>
        <w:widowControl w:val="0"/>
        <w:spacing w:after="0" w:line="240" w:lineRule="auto"/>
        <w:jc w:val="both"/>
        <w:rPr>
          <w:rFonts w:ascii="Times New Roman" w:hAnsi="Times New Roman" w:cs="Times New Roman"/>
          <w:sz w:val="20"/>
          <w:szCs w:val="16"/>
        </w:rPr>
      </w:pPr>
      <w:r w:rsidRPr="00B37A02">
        <w:rPr>
          <w:rFonts w:ascii="Times New Roman" w:hAnsi="Times New Roman" w:cs="Times New Roman"/>
          <w:sz w:val="20"/>
        </w:rPr>
        <w:t xml:space="preserve">Avots: </w:t>
      </w:r>
      <w:r w:rsidRPr="00B37A02">
        <w:rPr>
          <w:rFonts w:ascii="Times New Roman" w:hAnsi="Times New Roman" w:cs="Times New Roman"/>
          <w:i/>
          <w:iCs/>
          <w:sz w:val="20"/>
        </w:rPr>
        <w:t>Eurostat</w:t>
      </w:r>
      <w:r w:rsidRPr="00B37A02">
        <w:rPr>
          <w:rFonts w:ascii="Times New Roman" w:hAnsi="Times New Roman" w:cs="Times New Roman"/>
          <w:sz w:val="20"/>
        </w:rPr>
        <w:t xml:space="preserve"> [educ_uoe_enra10], atsauce dokumentā “Education and Training Monitor 2020”.</w:t>
      </w:r>
    </w:p>
    <w:p w14:paraId="1A52D51E" w14:textId="77777777" w:rsidR="009908C0" w:rsidRPr="009908C0" w:rsidRDefault="009908C0" w:rsidP="009908C0">
      <w:pPr>
        <w:spacing w:after="0" w:line="240" w:lineRule="auto"/>
      </w:pPr>
    </w:p>
    <w:p w14:paraId="3B2091F0" w14:textId="630C3C74" w:rsidR="004E0694" w:rsidRPr="004E0694" w:rsidRDefault="00BC5BDF" w:rsidP="004E0694">
      <w:pPr>
        <w:pStyle w:val="Caption"/>
        <w:widowControl w:val="0"/>
        <w:spacing w:after="0"/>
        <w:jc w:val="both"/>
        <w:rPr>
          <w:rFonts w:ascii="Times New Roman" w:hAnsi="Times New Roman" w:cs="Times New Roman"/>
          <w:sz w:val="24"/>
          <w:szCs w:val="24"/>
        </w:rPr>
      </w:pPr>
      <w:r w:rsidRPr="00B37A02">
        <w:rPr>
          <w:rFonts w:ascii="Times New Roman" w:hAnsi="Times New Roman" w:cs="Times New Roman"/>
          <w:sz w:val="24"/>
        </w:rPr>
        <w:t>B7. attēls. Nabadzības riskam (AROP) pakļautu bērnu līdzdalība ECEC salīdzinājumā ar visiem bērniem. Vecuma grupa no 0 līdz 2 gadiem, 2019. gads (%)</w:t>
      </w:r>
    </w:p>
    <w:p w14:paraId="2DF65424" w14:textId="0197E45E" w:rsidR="003D10F4" w:rsidRPr="008E037D" w:rsidRDefault="004E0694" w:rsidP="00C97F66">
      <w:pPr>
        <w:widowControl w:val="0"/>
        <w:autoSpaceDE w:val="0"/>
        <w:autoSpaceDN w:val="0"/>
        <w:adjustRightInd w:val="0"/>
        <w:spacing w:after="0" w:line="240" w:lineRule="auto"/>
        <w:jc w:val="both"/>
        <w:rPr>
          <w:rFonts w:ascii="Times New Roman" w:hAnsi="Times New Roman" w:cs="Times New Roman"/>
          <w:color w:val="000000"/>
          <w:sz w:val="24"/>
        </w:rPr>
      </w:pPr>
      <w:r>
        <w:rPr>
          <w:rFonts w:ascii="Times New Roman" w:hAnsi="Times New Roman" w:cs="Times New Roman"/>
          <w:noProof/>
          <w:color w:val="000000"/>
          <w:sz w:val="24"/>
        </w:rPr>
        <w:drawing>
          <wp:inline distT="0" distB="0" distL="0" distR="0" wp14:anchorId="38911DD6" wp14:editId="2A937321">
            <wp:extent cx="5698671" cy="3211598"/>
            <wp:effectExtent l="0" t="0" r="0" b="8255"/>
            <wp:docPr id="1404003839" name="Picture 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003839" name="Picture 3" descr="A screenshot of a graph&#10;&#10;Description automatically generated"/>
                    <pic:cNvPicPr/>
                  </pic:nvPicPr>
                  <pic:blipFill rotWithShape="1">
                    <a:blip r:embed="rId27">
                      <a:extLst>
                        <a:ext uri="{28A0092B-C50C-407E-A947-70E740481C1C}">
                          <a14:useLocalDpi xmlns:a14="http://schemas.microsoft.com/office/drawing/2010/main" val="0"/>
                        </a:ext>
                      </a:extLst>
                    </a:blip>
                    <a:srcRect r="22695" b="59124"/>
                    <a:stretch/>
                  </pic:blipFill>
                  <pic:spPr bwMode="auto">
                    <a:xfrm>
                      <a:off x="0" y="0"/>
                      <a:ext cx="5713193" cy="3219782"/>
                    </a:xfrm>
                    <a:prstGeom prst="rect">
                      <a:avLst/>
                    </a:prstGeom>
                    <a:ln>
                      <a:noFill/>
                    </a:ln>
                    <a:extLst>
                      <a:ext uri="{53640926-AAD7-44D8-BBD7-CCE9431645EC}">
                        <a14:shadowObscured xmlns:a14="http://schemas.microsoft.com/office/drawing/2010/main"/>
                      </a:ext>
                    </a:extLst>
                  </pic:spPr>
                </pic:pic>
              </a:graphicData>
            </a:graphic>
          </wp:inline>
        </w:drawing>
      </w:r>
    </w:p>
    <w:p w14:paraId="7DB4AA29" w14:textId="313BB617" w:rsidR="00BC5BDF" w:rsidRPr="00B37A02" w:rsidRDefault="00BC5BDF" w:rsidP="00C97F66">
      <w:pPr>
        <w:widowControl w:val="0"/>
        <w:autoSpaceDE w:val="0"/>
        <w:autoSpaceDN w:val="0"/>
        <w:adjustRightInd w:val="0"/>
        <w:spacing w:after="0" w:line="240" w:lineRule="auto"/>
        <w:jc w:val="both"/>
        <w:rPr>
          <w:rFonts w:ascii="Times New Roman" w:hAnsi="Times New Roman" w:cs="Times New Roman"/>
          <w:sz w:val="20"/>
          <w:szCs w:val="16"/>
        </w:rPr>
      </w:pPr>
      <w:r w:rsidRPr="00B37A02">
        <w:rPr>
          <w:rFonts w:ascii="Times New Roman" w:hAnsi="Times New Roman" w:cs="Times New Roman"/>
          <w:sz w:val="20"/>
        </w:rPr>
        <w:t xml:space="preserve">Avots: </w:t>
      </w:r>
      <w:hyperlink r:id="rId28" w:history="1">
        <w:r w:rsidRPr="00B37A02">
          <w:rPr>
            <w:rFonts w:ascii="Times New Roman" w:hAnsi="Times New Roman" w:cs="Times New Roman"/>
            <w:sz w:val="20"/>
          </w:rPr>
          <w:t>Study on the economic implementing framework of a possible EU Child Guarantee Scheme including its financial foundation.</w:t>
        </w:r>
      </w:hyperlink>
      <w:hyperlink r:id="rId29" w:history="1">
        <w:r w:rsidRPr="00B37A02">
          <w:rPr>
            <w:rFonts w:ascii="Times New Roman" w:hAnsi="Times New Roman" w:cs="Times New Roman"/>
            <w:sz w:val="20"/>
          </w:rPr>
          <w:t xml:space="preserve"> Final Report</w:t>
        </w:r>
      </w:hyperlink>
      <w:r w:rsidRPr="00B37A02">
        <w:rPr>
          <w:rFonts w:ascii="Times New Roman" w:hAnsi="Times New Roman" w:cs="Times New Roman"/>
          <w:sz w:val="20"/>
        </w:rPr>
        <w:t xml:space="preserve">, izmantojot </w:t>
      </w:r>
      <w:r w:rsidRPr="00B37A02">
        <w:rPr>
          <w:rFonts w:ascii="Times New Roman" w:hAnsi="Times New Roman" w:cs="Times New Roman"/>
          <w:i/>
          <w:iCs/>
          <w:sz w:val="20"/>
        </w:rPr>
        <w:t>EU-SILC</w:t>
      </w:r>
      <w:r w:rsidRPr="00B37A02">
        <w:rPr>
          <w:rFonts w:ascii="Times New Roman" w:hAnsi="Times New Roman" w:cs="Times New Roman"/>
          <w:sz w:val="20"/>
        </w:rPr>
        <w:t> 2019; nav datu par IT un IE.</w:t>
      </w:r>
    </w:p>
    <w:p w14:paraId="30B3DA62" w14:textId="1BE6EBB8" w:rsidR="007878F6" w:rsidRPr="00B37A02" w:rsidRDefault="007878F6" w:rsidP="00C97F66">
      <w:pPr>
        <w:pStyle w:val="Caption"/>
        <w:widowControl w:val="0"/>
        <w:spacing w:after="0"/>
        <w:jc w:val="both"/>
        <w:rPr>
          <w:rFonts w:ascii="Times New Roman" w:hAnsi="Times New Roman" w:cs="Times New Roman"/>
          <w:sz w:val="24"/>
          <w:szCs w:val="24"/>
        </w:rPr>
      </w:pPr>
    </w:p>
    <w:p w14:paraId="5FBADAA9" w14:textId="5DBA4E94" w:rsidR="00775E12" w:rsidRPr="00775E12" w:rsidRDefault="00BC5BDF" w:rsidP="00775E12">
      <w:pPr>
        <w:pStyle w:val="Caption"/>
        <w:keepNext/>
        <w:keepLines/>
        <w:widowControl w:val="0"/>
        <w:spacing w:after="0"/>
        <w:jc w:val="both"/>
        <w:rPr>
          <w:rFonts w:ascii="Times New Roman" w:hAnsi="Times New Roman" w:cs="Times New Roman"/>
          <w:sz w:val="24"/>
          <w:szCs w:val="24"/>
        </w:rPr>
      </w:pPr>
      <w:r w:rsidRPr="00B37A02">
        <w:rPr>
          <w:rFonts w:ascii="Times New Roman" w:hAnsi="Times New Roman" w:cs="Times New Roman"/>
          <w:sz w:val="24"/>
        </w:rPr>
        <w:lastRenderedPageBreak/>
        <w:t>B8. attēls. Nabadzības riskam (AROP) pakļautu bērnu līdzdalība ECEC salīdzinājumā ar visiem bērniem. Vecuma grupa no 3 gadiem līdz obligātajam skolas vecumam, 2019. gads (%)</w:t>
      </w:r>
    </w:p>
    <w:p w14:paraId="3578B49E" w14:textId="0B308715" w:rsidR="00775E12" w:rsidRDefault="00775E12" w:rsidP="00177579">
      <w:pPr>
        <w:pStyle w:val="Bodytext0"/>
        <w:keepNext/>
        <w:keepLines/>
        <w:widowControl w:val="0"/>
        <w:spacing w:before="0" w:after="0" w:line="240" w:lineRule="auto"/>
        <w:rPr>
          <w:rFonts w:ascii="Times New Roman" w:hAnsi="Times New Roman"/>
          <w:noProof/>
          <w:sz w:val="24"/>
        </w:rPr>
      </w:pPr>
      <w:r>
        <w:rPr>
          <w:rFonts w:ascii="Times New Roman" w:hAnsi="Times New Roman"/>
          <w:noProof/>
          <w:sz w:val="24"/>
        </w:rPr>
        <w:drawing>
          <wp:inline distT="0" distB="0" distL="0" distR="0" wp14:anchorId="64EC639B" wp14:editId="2726A953">
            <wp:extent cx="5843266" cy="2813957"/>
            <wp:effectExtent l="0" t="0" r="5715" b="5715"/>
            <wp:docPr id="645239752" name="Pictur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239752" name="Picture 4" descr="A screenshot of a graph&#10;&#10;Description automatically generated"/>
                    <pic:cNvPicPr/>
                  </pic:nvPicPr>
                  <pic:blipFill rotWithShape="1">
                    <a:blip r:embed="rId30">
                      <a:extLst>
                        <a:ext uri="{28A0092B-C50C-407E-A947-70E740481C1C}">
                          <a14:useLocalDpi xmlns:a14="http://schemas.microsoft.com/office/drawing/2010/main" val="0"/>
                        </a:ext>
                      </a:extLst>
                    </a:blip>
                    <a:srcRect r="23078" b="65244"/>
                    <a:stretch/>
                  </pic:blipFill>
                  <pic:spPr bwMode="auto">
                    <a:xfrm>
                      <a:off x="0" y="0"/>
                      <a:ext cx="5865596" cy="2824711"/>
                    </a:xfrm>
                    <a:prstGeom prst="rect">
                      <a:avLst/>
                    </a:prstGeom>
                    <a:ln>
                      <a:noFill/>
                    </a:ln>
                    <a:extLst>
                      <a:ext uri="{53640926-AAD7-44D8-BBD7-CCE9431645EC}">
                        <a14:shadowObscured xmlns:a14="http://schemas.microsoft.com/office/drawing/2010/main"/>
                      </a:ext>
                    </a:extLst>
                  </pic:spPr>
                </pic:pic>
              </a:graphicData>
            </a:graphic>
          </wp:inline>
        </w:drawing>
      </w:r>
    </w:p>
    <w:p w14:paraId="321824D4" w14:textId="35B32AAB" w:rsidR="00BC5BDF" w:rsidRPr="00B37A02" w:rsidRDefault="00BC5BDF" w:rsidP="00177579">
      <w:pPr>
        <w:pStyle w:val="Bodytext0"/>
        <w:keepNext/>
        <w:keepLines/>
        <w:widowControl w:val="0"/>
        <w:spacing w:before="0" w:after="0" w:line="240" w:lineRule="auto"/>
        <w:rPr>
          <w:rFonts w:ascii="Times New Roman" w:hAnsi="Times New Roman"/>
          <w:szCs w:val="16"/>
        </w:rPr>
      </w:pPr>
      <w:r w:rsidRPr="00B37A02">
        <w:rPr>
          <w:rFonts w:ascii="Times New Roman" w:hAnsi="Times New Roman"/>
        </w:rPr>
        <w:t xml:space="preserve">Avots: Study on the Economic Implementing Framework of a possible EU Child Guarantee scheme including its financial foundation, izmantojot </w:t>
      </w:r>
      <w:r w:rsidRPr="00B37A02">
        <w:rPr>
          <w:rFonts w:ascii="Times New Roman" w:hAnsi="Times New Roman"/>
          <w:i/>
          <w:iCs/>
        </w:rPr>
        <w:t>EU-SILC</w:t>
      </w:r>
      <w:r w:rsidRPr="00B37A02">
        <w:rPr>
          <w:rFonts w:ascii="Times New Roman" w:hAnsi="Times New Roman"/>
        </w:rPr>
        <w:t> 2019; nav datu par IT un IE.</w:t>
      </w:r>
    </w:p>
    <w:p w14:paraId="330D4D36" w14:textId="77777777" w:rsidR="007878F6" w:rsidRPr="00B37A02" w:rsidRDefault="007878F6" w:rsidP="00C97F66">
      <w:pPr>
        <w:pStyle w:val="Caption"/>
        <w:widowControl w:val="0"/>
        <w:spacing w:after="0"/>
        <w:jc w:val="both"/>
        <w:rPr>
          <w:rFonts w:ascii="Times New Roman" w:hAnsi="Times New Roman" w:cs="Times New Roman"/>
          <w:sz w:val="24"/>
          <w:szCs w:val="24"/>
        </w:rPr>
      </w:pPr>
    </w:p>
    <w:p w14:paraId="6349A9C9" w14:textId="7ECDAA5A" w:rsidR="00BC5BDF" w:rsidRPr="00B37A02" w:rsidRDefault="00BC5BDF" w:rsidP="00C97F66">
      <w:pPr>
        <w:pStyle w:val="Caption"/>
        <w:widowControl w:val="0"/>
        <w:spacing w:after="0"/>
        <w:jc w:val="both"/>
        <w:rPr>
          <w:rFonts w:ascii="Times New Roman" w:hAnsi="Times New Roman" w:cs="Times New Roman"/>
          <w:sz w:val="24"/>
          <w:szCs w:val="24"/>
        </w:rPr>
      </w:pPr>
      <w:r w:rsidRPr="00B37A02">
        <w:rPr>
          <w:rFonts w:ascii="Times New Roman" w:hAnsi="Times New Roman" w:cs="Times New Roman"/>
          <w:sz w:val="24"/>
        </w:rPr>
        <w:t>B9. tabula. Piekļuve agrīnajai pirmsskolas izglītībai un aprūpei un to pieejamība cenas ziņā bērniem, kuri dzīvo mājsaimniecībās ar zemiem ienākumiem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54"/>
        <w:gridCol w:w="2985"/>
        <w:gridCol w:w="2711"/>
        <w:gridCol w:w="2711"/>
      </w:tblGrid>
      <w:tr w:rsidR="00BC5BDF" w:rsidRPr="00B37A02" w14:paraId="5B73BE38" w14:textId="77777777" w:rsidTr="007878F6">
        <w:tc>
          <w:tcPr>
            <w:tcW w:w="361" w:type="pct"/>
            <w:tcBorders>
              <w:top w:val="single" w:sz="4" w:space="0" w:color="auto"/>
              <w:left w:val="single" w:sz="4" w:space="0" w:color="auto"/>
              <w:bottom w:val="single" w:sz="4" w:space="0" w:color="auto"/>
              <w:right w:val="single" w:sz="4" w:space="0" w:color="auto"/>
            </w:tcBorders>
            <w:vAlign w:val="center"/>
            <w:hideMark/>
          </w:tcPr>
          <w:p w14:paraId="1C037CE2" w14:textId="77777777" w:rsidR="00BC5BDF" w:rsidRPr="00B37A02" w:rsidRDefault="00BC5BDF" w:rsidP="00C97F66">
            <w:pPr>
              <w:widowControl w:val="0"/>
              <w:spacing w:after="0" w:line="240" w:lineRule="auto"/>
              <w:jc w:val="both"/>
              <w:rPr>
                <w:rFonts w:ascii="Times New Roman" w:hAnsi="Times New Roman" w:cs="Times New Roman"/>
                <w:b/>
                <w:bCs/>
                <w:sz w:val="24"/>
                <w:szCs w:val="20"/>
              </w:rPr>
            </w:pPr>
            <w:r w:rsidRPr="00B37A02">
              <w:rPr>
                <w:rFonts w:ascii="Times New Roman" w:hAnsi="Times New Roman" w:cs="Times New Roman"/>
                <w:b/>
                <w:sz w:val="24"/>
              </w:rPr>
              <w:t> </w:t>
            </w:r>
          </w:p>
        </w:tc>
        <w:tc>
          <w:tcPr>
            <w:tcW w:w="1647" w:type="pct"/>
            <w:tcBorders>
              <w:top w:val="single" w:sz="4" w:space="0" w:color="auto"/>
              <w:left w:val="single" w:sz="4" w:space="0" w:color="auto"/>
              <w:bottom w:val="single" w:sz="4" w:space="0" w:color="auto"/>
              <w:right w:val="single" w:sz="4" w:space="0" w:color="auto"/>
            </w:tcBorders>
            <w:vAlign w:val="center"/>
            <w:hideMark/>
          </w:tcPr>
          <w:p w14:paraId="4CDA9D0D" w14:textId="01B3E858" w:rsidR="00BC5BDF" w:rsidRPr="00B37A02" w:rsidRDefault="00BC5BDF" w:rsidP="00C97F66">
            <w:pPr>
              <w:widowControl w:val="0"/>
              <w:spacing w:after="0" w:line="240" w:lineRule="auto"/>
              <w:jc w:val="center"/>
              <w:rPr>
                <w:rFonts w:ascii="Times New Roman" w:hAnsi="Times New Roman" w:cs="Times New Roman"/>
                <w:b/>
                <w:bCs/>
                <w:sz w:val="24"/>
                <w:szCs w:val="20"/>
              </w:rPr>
            </w:pPr>
            <w:r w:rsidRPr="00B37A02">
              <w:rPr>
                <w:rFonts w:ascii="Times New Roman" w:hAnsi="Times New Roman" w:cs="Times New Roman"/>
                <w:b/>
                <w:sz w:val="24"/>
              </w:rPr>
              <w:t>Bērnu aprūpe līdz 3 g.v. – prioritāte mājsaimniecībām ar zemiem ienākumiem</w:t>
            </w:r>
          </w:p>
        </w:tc>
        <w:tc>
          <w:tcPr>
            <w:tcW w:w="1496" w:type="pct"/>
            <w:tcBorders>
              <w:top w:val="single" w:sz="4" w:space="0" w:color="auto"/>
              <w:left w:val="single" w:sz="4" w:space="0" w:color="auto"/>
              <w:bottom w:val="single" w:sz="4" w:space="0" w:color="auto"/>
              <w:right w:val="single" w:sz="4" w:space="0" w:color="auto"/>
            </w:tcBorders>
            <w:vAlign w:val="center"/>
            <w:hideMark/>
          </w:tcPr>
          <w:p w14:paraId="79C7E957" w14:textId="77777777" w:rsidR="00BC5BDF" w:rsidRPr="00B37A02" w:rsidRDefault="00BC5BDF" w:rsidP="00C97F66">
            <w:pPr>
              <w:widowControl w:val="0"/>
              <w:spacing w:after="0" w:line="240" w:lineRule="auto"/>
              <w:jc w:val="center"/>
              <w:rPr>
                <w:rFonts w:ascii="Times New Roman" w:hAnsi="Times New Roman" w:cs="Times New Roman"/>
                <w:b/>
                <w:bCs/>
                <w:sz w:val="24"/>
                <w:szCs w:val="20"/>
              </w:rPr>
            </w:pPr>
            <w:r w:rsidRPr="00B37A02">
              <w:rPr>
                <w:rFonts w:ascii="Times New Roman" w:hAnsi="Times New Roman" w:cs="Times New Roman"/>
                <w:b/>
                <w:sz w:val="24"/>
              </w:rPr>
              <w:t>Tiesības, sākot no...</w:t>
            </w:r>
          </w:p>
        </w:tc>
        <w:tc>
          <w:tcPr>
            <w:tcW w:w="1496" w:type="pct"/>
            <w:tcBorders>
              <w:top w:val="single" w:sz="4" w:space="0" w:color="auto"/>
              <w:left w:val="single" w:sz="4" w:space="0" w:color="auto"/>
              <w:bottom w:val="single" w:sz="4" w:space="0" w:color="auto"/>
              <w:right w:val="single" w:sz="4" w:space="0" w:color="auto"/>
            </w:tcBorders>
            <w:vAlign w:val="center"/>
            <w:hideMark/>
          </w:tcPr>
          <w:p w14:paraId="054FA4D9" w14:textId="77777777" w:rsidR="00BC5BDF" w:rsidRPr="00B37A02" w:rsidRDefault="00BC5BDF" w:rsidP="00C97F66">
            <w:pPr>
              <w:widowControl w:val="0"/>
              <w:spacing w:after="0" w:line="240" w:lineRule="auto"/>
              <w:jc w:val="center"/>
              <w:rPr>
                <w:rFonts w:ascii="Times New Roman" w:hAnsi="Times New Roman" w:cs="Times New Roman"/>
                <w:b/>
                <w:bCs/>
                <w:sz w:val="24"/>
                <w:szCs w:val="20"/>
              </w:rPr>
            </w:pPr>
            <w:r w:rsidRPr="00B37A02">
              <w:rPr>
                <w:rFonts w:ascii="Times New Roman" w:hAnsi="Times New Roman" w:cs="Times New Roman"/>
                <w:b/>
                <w:sz w:val="24"/>
              </w:rPr>
              <w:t>Bez maksas, sākot no...</w:t>
            </w:r>
          </w:p>
        </w:tc>
      </w:tr>
      <w:tr w:rsidR="00BC5BDF" w:rsidRPr="00B37A02" w14:paraId="56A57407" w14:textId="77777777" w:rsidTr="007878F6">
        <w:tc>
          <w:tcPr>
            <w:tcW w:w="361" w:type="pct"/>
            <w:tcBorders>
              <w:top w:val="single" w:sz="4" w:space="0" w:color="auto"/>
              <w:left w:val="single" w:sz="4" w:space="0" w:color="auto"/>
              <w:bottom w:val="single" w:sz="4" w:space="0" w:color="auto"/>
              <w:right w:val="single" w:sz="4" w:space="0" w:color="auto"/>
            </w:tcBorders>
            <w:hideMark/>
          </w:tcPr>
          <w:p w14:paraId="02555CB0" w14:textId="77777777" w:rsidR="00BC5BDF" w:rsidRPr="00B37A02" w:rsidRDefault="00BC5BDF" w:rsidP="00C97F66">
            <w:pPr>
              <w:widowControl w:val="0"/>
              <w:spacing w:after="0" w:line="240" w:lineRule="auto"/>
              <w:jc w:val="both"/>
              <w:rPr>
                <w:rFonts w:ascii="Times New Roman" w:hAnsi="Times New Roman" w:cs="Times New Roman"/>
                <w:b/>
                <w:bCs/>
                <w:sz w:val="24"/>
                <w:szCs w:val="20"/>
              </w:rPr>
            </w:pPr>
            <w:r w:rsidRPr="00B37A02">
              <w:rPr>
                <w:rFonts w:ascii="Times New Roman" w:hAnsi="Times New Roman" w:cs="Times New Roman"/>
                <w:b/>
                <w:sz w:val="24"/>
              </w:rPr>
              <w:t>BE</w:t>
            </w:r>
          </w:p>
        </w:tc>
        <w:tc>
          <w:tcPr>
            <w:tcW w:w="1647" w:type="pct"/>
            <w:tcBorders>
              <w:top w:val="single" w:sz="4" w:space="0" w:color="auto"/>
              <w:left w:val="single" w:sz="4" w:space="0" w:color="auto"/>
              <w:bottom w:val="single" w:sz="4" w:space="0" w:color="auto"/>
              <w:right w:val="single" w:sz="4" w:space="0" w:color="auto"/>
            </w:tcBorders>
            <w:shd w:val="clear" w:color="auto" w:fill="auto"/>
            <w:vAlign w:val="center"/>
          </w:tcPr>
          <w:p w14:paraId="1FD18675"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Nē</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200B07"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2 g. 6 mēn.</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53D1D4"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2 g. 6 mēn. (23 stundas nedēļā)</w:t>
            </w:r>
          </w:p>
        </w:tc>
      </w:tr>
      <w:tr w:rsidR="00BC5BDF" w:rsidRPr="00B37A02" w14:paraId="62262680" w14:textId="77777777" w:rsidTr="007878F6">
        <w:tc>
          <w:tcPr>
            <w:tcW w:w="361" w:type="pct"/>
            <w:tcBorders>
              <w:top w:val="single" w:sz="4" w:space="0" w:color="auto"/>
              <w:left w:val="single" w:sz="4" w:space="0" w:color="auto"/>
              <w:bottom w:val="single" w:sz="4" w:space="0" w:color="auto"/>
              <w:right w:val="single" w:sz="4" w:space="0" w:color="auto"/>
            </w:tcBorders>
            <w:hideMark/>
          </w:tcPr>
          <w:p w14:paraId="24610B5C" w14:textId="77777777" w:rsidR="00BC5BDF" w:rsidRPr="00B37A02" w:rsidRDefault="00BC5BDF" w:rsidP="00C97F66">
            <w:pPr>
              <w:widowControl w:val="0"/>
              <w:spacing w:after="0" w:line="240" w:lineRule="auto"/>
              <w:jc w:val="both"/>
              <w:rPr>
                <w:rFonts w:ascii="Times New Roman" w:hAnsi="Times New Roman" w:cs="Times New Roman"/>
                <w:b/>
                <w:bCs/>
                <w:sz w:val="24"/>
                <w:szCs w:val="20"/>
              </w:rPr>
            </w:pPr>
            <w:r w:rsidRPr="00B37A02">
              <w:rPr>
                <w:rFonts w:ascii="Times New Roman" w:hAnsi="Times New Roman" w:cs="Times New Roman"/>
                <w:b/>
                <w:sz w:val="24"/>
              </w:rPr>
              <w:t>BG</w:t>
            </w:r>
          </w:p>
        </w:tc>
        <w:tc>
          <w:tcPr>
            <w:tcW w:w="1647" w:type="pct"/>
            <w:tcBorders>
              <w:top w:val="single" w:sz="4" w:space="0" w:color="auto"/>
              <w:left w:val="single" w:sz="4" w:space="0" w:color="auto"/>
              <w:bottom w:val="single" w:sz="4" w:space="0" w:color="auto"/>
              <w:right w:val="single" w:sz="4" w:space="0" w:color="auto"/>
            </w:tcBorders>
            <w:shd w:val="clear" w:color="auto" w:fill="auto"/>
            <w:vAlign w:val="center"/>
          </w:tcPr>
          <w:p w14:paraId="39FD8198"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Jā</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616E66"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3 g.</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D51227"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5 g.</w:t>
            </w:r>
          </w:p>
        </w:tc>
      </w:tr>
      <w:tr w:rsidR="00BC5BDF" w:rsidRPr="00B37A02" w14:paraId="4C16CCA3" w14:textId="77777777" w:rsidTr="007878F6">
        <w:tc>
          <w:tcPr>
            <w:tcW w:w="361" w:type="pct"/>
            <w:tcBorders>
              <w:top w:val="single" w:sz="4" w:space="0" w:color="auto"/>
              <w:left w:val="single" w:sz="4" w:space="0" w:color="auto"/>
              <w:bottom w:val="single" w:sz="4" w:space="0" w:color="auto"/>
              <w:right w:val="single" w:sz="4" w:space="0" w:color="auto"/>
            </w:tcBorders>
            <w:hideMark/>
          </w:tcPr>
          <w:p w14:paraId="6C9FEF83" w14:textId="77777777" w:rsidR="00BC5BDF" w:rsidRPr="00B37A02" w:rsidRDefault="00BC5BDF" w:rsidP="00C97F66">
            <w:pPr>
              <w:widowControl w:val="0"/>
              <w:spacing w:after="0" w:line="240" w:lineRule="auto"/>
              <w:jc w:val="both"/>
              <w:rPr>
                <w:rFonts w:ascii="Times New Roman" w:hAnsi="Times New Roman" w:cs="Times New Roman"/>
                <w:b/>
                <w:bCs/>
                <w:sz w:val="24"/>
                <w:szCs w:val="20"/>
              </w:rPr>
            </w:pPr>
            <w:r w:rsidRPr="00B37A02">
              <w:rPr>
                <w:rFonts w:ascii="Times New Roman" w:hAnsi="Times New Roman" w:cs="Times New Roman"/>
                <w:b/>
                <w:sz w:val="24"/>
              </w:rPr>
              <w:t>CZ</w:t>
            </w:r>
          </w:p>
        </w:tc>
        <w:tc>
          <w:tcPr>
            <w:tcW w:w="1647" w:type="pct"/>
            <w:tcBorders>
              <w:top w:val="single" w:sz="4" w:space="0" w:color="auto"/>
              <w:left w:val="single" w:sz="4" w:space="0" w:color="auto"/>
              <w:bottom w:val="single" w:sz="4" w:space="0" w:color="auto"/>
              <w:right w:val="single" w:sz="4" w:space="0" w:color="auto"/>
            </w:tcBorders>
            <w:shd w:val="clear" w:color="auto" w:fill="auto"/>
            <w:vAlign w:val="center"/>
          </w:tcPr>
          <w:p w14:paraId="4EB46DD3"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Nē</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E60D98"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3 g.</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A4672B"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5 g.</w:t>
            </w:r>
          </w:p>
        </w:tc>
      </w:tr>
      <w:tr w:rsidR="00BC5BDF" w:rsidRPr="00B37A02" w14:paraId="2CD2E48E" w14:textId="77777777" w:rsidTr="007878F6">
        <w:tc>
          <w:tcPr>
            <w:tcW w:w="361" w:type="pct"/>
            <w:tcBorders>
              <w:top w:val="single" w:sz="4" w:space="0" w:color="auto"/>
              <w:left w:val="single" w:sz="4" w:space="0" w:color="auto"/>
              <w:bottom w:val="single" w:sz="4" w:space="0" w:color="auto"/>
              <w:right w:val="single" w:sz="4" w:space="0" w:color="auto"/>
            </w:tcBorders>
            <w:hideMark/>
          </w:tcPr>
          <w:p w14:paraId="21B57843" w14:textId="77777777" w:rsidR="00BC5BDF" w:rsidRPr="00B37A02" w:rsidRDefault="00BC5BDF" w:rsidP="00C97F66">
            <w:pPr>
              <w:widowControl w:val="0"/>
              <w:spacing w:after="0" w:line="240" w:lineRule="auto"/>
              <w:jc w:val="both"/>
              <w:rPr>
                <w:rFonts w:ascii="Times New Roman" w:hAnsi="Times New Roman" w:cs="Times New Roman"/>
                <w:b/>
                <w:bCs/>
                <w:sz w:val="24"/>
                <w:szCs w:val="20"/>
              </w:rPr>
            </w:pPr>
            <w:r w:rsidRPr="00B37A02">
              <w:rPr>
                <w:rFonts w:ascii="Times New Roman" w:hAnsi="Times New Roman" w:cs="Times New Roman"/>
                <w:b/>
                <w:sz w:val="24"/>
              </w:rPr>
              <w:t>DK</w:t>
            </w:r>
          </w:p>
        </w:tc>
        <w:tc>
          <w:tcPr>
            <w:tcW w:w="1647" w:type="pct"/>
            <w:tcBorders>
              <w:top w:val="single" w:sz="4" w:space="0" w:color="auto"/>
              <w:left w:val="single" w:sz="4" w:space="0" w:color="auto"/>
              <w:bottom w:val="single" w:sz="4" w:space="0" w:color="auto"/>
              <w:right w:val="single" w:sz="4" w:space="0" w:color="auto"/>
            </w:tcBorders>
            <w:shd w:val="clear" w:color="auto" w:fill="auto"/>
            <w:vAlign w:val="center"/>
          </w:tcPr>
          <w:p w14:paraId="49D35D29"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Nē</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A9B7EC"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6 mēn.</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tcPr>
          <w:p w14:paraId="2601C442"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Samazināta maksa</w:t>
            </w:r>
          </w:p>
        </w:tc>
      </w:tr>
      <w:tr w:rsidR="00BC5BDF" w:rsidRPr="00B37A02" w14:paraId="24950D0E" w14:textId="77777777" w:rsidTr="007878F6">
        <w:tc>
          <w:tcPr>
            <w:tcW w:w="361" w:type="pct"/>
            <w:tcBorders>
              <w:top w:val="single" w:sz="4" w:space="0" w:color="auto"/>
              <w:left w:val="single" w:sz="4" w:space="0" w:color="auto"/>
              <w:bottom w:val="single" w:sz="4" w:space="0" w:color="auto"/>
              <w:right w:val="single" w:sz="4" w:space="0" w:color="auto"/>
            </w:tcBorders>
            <w:hideMark/>
          </w:tcPr>
          <w:p w14:paraId="3196E77D" w14:textId="77777777" w:rsidR="00BC5BDF" w:rsidRPr="00B37A02" w:rsidRDefault="00BC5BDF" w:rsidP="00C97F66">
            <w:pPr>
              <w:widowControl w:val="0"/>
              <w:spacing w:after="0" w:line="240" w:lineRule="auto"/>
              <w:jc w:val="both"/>
              <w:rPr>
                <w:rFonts w:ascii="Times New Roman" w:hAnsi="Times New Roman" w:cs="Times New Roman"/>
                <w:b/>
                <w:bCs/>
                <w:sz w:val="24"/>
                <w:szCs w:val="20"/>
              </w:rPr>
            </w:pPr>
            <w:r w:rsidRPr="00B37A02">
              <w:rPr>
                <w:rFonts w:ascii="Times New Roman" w:hAnsi="Times New Roman" w:cs="Times New Roman"/>
                <w:b/>
                <w:sz w:val="24"/>
              </w:rPr>
              <w:t>DE</w:t>
            </w:r>
          </w:p>
        </w:tc>
        <w:tc>
          <w:tcPr>
            <w:tcW w:w="1647" w:type="pct"/>
            <w:tcBorders>
              <w:top w:val="single" w:sz="4" w:space="0" w:color="auto"/>
              <w:left w:val="single" w:sz="4" w:space="0" w:color="auto"/>
              <w:bottom w:val="single" w:sz="4" w:space="0" w:color="auto"/>
              <w:right w:val="single" w:sz="4" w:space="0" w:color="auto"/>
            </w:tcBorders>
            <w:shd w:val="clear" w:color="auto" w:fill="auto"/>
            <w:vAlign w:val="center"/>
          </w:tcPr>
          <w:p w14:paraId="053B8054"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Nē</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B6C8CB"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1 g.</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tcPr>
          <w:p w14:paraId="3D41E904"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Samazināta maksa</w:t>
            </w:r>
          </w:p>
        </w:tc>
      </w:tr>
      <w:tr w:rsidR="00BC5BDF" w:rsidRPr="00B37A02" w14:paraId="5B495279" w14:textId="77777777" w:rsidTr="007878F6">
        <w:tc>
          <w:tcPr>
            <w:tcW w:w="361" w:type="pct"/>
            <w:tcBorders>
              <w:top w:val="single" w:sz="4" w:space="0" w:color="auto"/>
              <w:left w:val="single" w:sz="4" w:space="0" w:color="auto"/>
              <w:bottom w:val="single" w:sz="4" w:space="0" w:color="auto"/>
              <w:right w:val="single" w:sz="4" w:space="0" w:color="auto"/>
            </w:tcBorders>
            <w:hideMark/>
          </w:tcPr>
          <w:p w14:paraId="05229A52" w14:textId="77777777" w:rsidR="00BC5BDF" w:rsidRPr="00B37A02" w:rsidRDefault="00BC5BDF" w:rsidP="00C97F66">
            <w:pPr>
              <w:widowControl w:val="0"/>
              <w:spacing w:after="0" w:line="240" w:lineRule="auto"/>
              <w:jc w:val="both"/>
              <w:rPr>
                <w:rFonts w:ascii="Times New Roman" w:hAnsi="Times New Roman" w:cs="Times New Roman"/>
                <w:b/>
                <w:bCs/>
                <w:sz w:val="24"/>
                <w:szCs w:val="20"/>
              </w:rPr>
            </w:pPr>
            <w:r w:rsidRPr="00B37A02">
              <w:rPr>
                <w:rFonts w:ascii="Times New Roman" w:hAnsi="Times New Roman" w:cs="Times New Roman"/>
                <w:b/>
                <w:sz w:val="24"/>
              </w:rPr>
              <w:t>EE</w:t>
            </w:r>
          </w:p>
        </w:tc>
        <w:tc>
          <w:tcPr>
            <w:tcW w:w="1647" w:type="pct"/>
            <w:tcBorders>
              <w:top w:val="single" w:sz="4" w:space="0" w:color="auto"/>
              <w:left w:val="single" w:sz="4" w:space="0" w:color="auto"/>
              <w:bottom w:val="single" w:sz="4" w:space="0" w:color="auto"/>
              <w:right w:val="single" w:sz="4" w:space="0" w:color="auto"/>
            </w:tcBorders>
            <w:shd w:val="clear" w:color="auto" w:fill="auto"/>
            <w:vAlign w:val="center"/>
          </w:tcPr>
          <w:p w14:paraId="1B86F32A"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Nē</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2B4EA7"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1 g. 6 mēn.</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751F94"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1 g. 6 mēn.</w:t>
            </w:r>
          </w:p>
        </w:tc>
      </w:tr>
      <w:tr w:rsidR="00BC5BDF" w:rsidRPr="00B37A02" w14:paraId="754B4BAD" w14:textId="77777777" w:rsidTr="007878F6">
        <w:tc>
          <w:tcPr>
            <w:tcW w:w="361" w:type="pct"/>
            <w:tcBorders>
              <w:top w:val="single" w:sz="4" w:space="0" w:color="auto"/>
              <w:left w:val="single" w:sz="4" w:space="0" w:color="auto"/>
              <w:bottom w:val="single" w:sz="4" w:space="0" w:color="auto"/>
              <w:right w:val="single" w:sz="4" w:space="0" w:color="auto"/>
            </w:tcBorders>
            <w:hideMark/>
          </w:tcPr>
          <w:p w14:paraId="26EDC067" w14:textId="77777777" w:rsidR="00BC5BDF" w:rsidRPr="00B37A02" w:rsidRDefault="00BC5BDF" w:rsidP="00C97F66">
            <w:pPr>
              <w:widowControl w:val="0"/>
              <w:spacing w:after="0" w:line="240" w:lineRule="auto"/>
              <w:jc w:val="both"/>
              <w:rPr>
                <w:rFonts w:ascii="Times New Roman" w:hAnsi="Times New Roman" w:cs="Times New Roman"/>
                <w:b/>
                <w:bCs/>
                <w:sz w:val="24"/>
                <w:szCs w:val="20"/>
              </w:rPr>
            </w:pPr>
            <w:r w:rsidRPr="00B37A02">
              <w:rPr>
                <w:rFonts w:ascii="Times New Roman" w:hAnsi="Times New Roman" w:cs="Times New Roman"/>
                <w:b/>
                <w:sz w:val="24"/>
              </w:rPr>
              <w:t>IE</w:t>
            </w:r>
          </w:p>
        </w:tc>
        <w:tc>
          <w:tcPr>
            <w:tcW w:w="1647" w:type="pct"/>
            <w:tcBorders>
              <w:top w:val="single" w:sz="4" w:space="0" w:color="auto"/>
              <w:left w:val="single" w:sz="4" w:space="0" w:color="auto"/>
              <w:bottom w:val="single" w:sz="4" w:space="0" w:color="auto"/>
              <w:right w:val="single" w:sz="4" w:space="0" w:color="auto"/>
            </w:tcBorders>
            <w:shd w:val="clear" w:color="auto" w:fill="auto"/>
            <w:vAlign w:val="center"/>
          </w:tcPr>
          <w:p w14:paraId="09FAFE19"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Nē</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F2ADEA"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2 g. 8 mēn.</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06E9FD"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2 g. 8 mēn. (15 stundas nedēļā)</w:t>
            </w:r>
          </w:p>
        </w:tc>
      </w:tr>
      <w:tr w:rsidR="00BC5BDF" w:rsidRPr="00B37A02" w14:paraId="13342777" w14:textId="77777777" w:rsidTr="007878F6">
        <w:tc>
          <w:tcPr>
            <w:tcW w:w="361" w:type="pct"/>
            <w:tcBorders>
              <w:top w:val="single" w:sz="4" w:space="0" w:color="auto"/>
              <w:left w:val="single" w:sz="4" w:space="0" w:color="auto"/>
              <w:bottom w:val="single" w:sz="4" w:space="0" w:color="auto"/>
              <w:right w:val="single" w:sz="4" w:space="0" w:color="auto"/>
            </w:tcBorders>
            <w:hideMark/>
          </w:tcPr>
          <w:p w14:paraId="64A31199" w14:textId="77777777" w:rsidR="00BC5BDF" w:rsidRPr="00B37A02" w:rsidRDefault="00BC5BDF" w:rsidP="00C97F66">
            <w:pPr>
              <w:widowControl w:val="0"/>
              <w:spacing w:after="0" w:line="240" w:lineRule="auto"/>
              <w:jc w:val="both"/>
              <w:rPr>
                <w:rFonts w:ascii="Times New Roman" w:hAnsi="Times New Roman" w:cs="Times New Roman"/>
                <w:b/>
                <w:bCs/>
                <w:sz w:val="24"/>
                <w:szCs w:val="20"/>
              </w:rPr>
            </w:pPr>
            <w:r w:rsidRPr="00B37A02">
              <w:rPr>
                <w:rFonts w:ascii="Times New Roman" w:hAnsi="Times New Roman" w:cs="Times New Roman"/>
                <w:b/>
                <w:sz w:val="24"/>
              </w:rPr>
              <w:t>EL</w:t>
            </w:r>
          </w:p>
        </w:tc>
        <w:tc>
          <w:tcPr>
            <w:tcW w:w="1647" w:type="pct"/>
            <w:tcBorders>
              <w:top w:val="single" w:sz="4" w:space="0" w:color="auto"/>
              <w:left w:val="single" w:sz="4" w:space="0" w:color="auto"/>
              <w:bottom w:val="single" w:sz="4" w:space="0" w:color="auto"/>
              <w:right w:val="single" w:sz="4" w:space="0" w:color="auto"/>
            </w:tcBorders>
            <w:shd w:val="clear" w:color="auto" w:fill="auto"/>
            <w:vAlign w:val="center"/>
          </w:tcPr>
          <w:p w14:paraId="5EE70E32"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Nē</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18786B"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4 g.</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D07C10"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4 g.</w:t>
            </w:r>
          </w:p>
        </w:tc>
      </w:tr>
      <w:tr w:rsidR="00BC5BDF" w:rsidRPr="00B37A02" w14:paraId="3A6A950D" w14:textId="77777777" w:rsidTr="007878F6">
        <w:tc>
          <w:tcPr>
            <w:tcW w:w="361" w:type="pct"/>
            <w:tcBorders>
              <w:top w:val="single" w:sz="4" w:space="0" w:color="auto"/>
              <w:left w:val="single" w:sz="4" w:space="0" w:color="auto"/>
              <w:bottom w:val="single" w:sz="4" w:space="0" w:color="auto"/>
              <w:right w:val="single" w:sz="4" w:space="0" w:color="auto"/>
            </w:tcBorders>
            <w:hideMark/>
          </w:tcPr>
          <w:p w14:paraId="52DAB5CE" w14:textId="77777777" w:rsidR="00BC5BDF" w:rsidRPr="00B37A02" w:rsidRDefault="00BC5BDF" w:rsidP="00C97F66">
            <w:pPr>
              <w:widowControl w:val="0"/>
              <w:spacing w:after="0" w:line="240" w:lineRule="auto"/>
              <w:jc w:val="both"/>
              <w:rPr>
                <w:rFonts w:ascii="Times New Roman" w:hAnsi="Times New Roman" w:cs="Times New Roman"/>
                <w:b/>
                <w:bCs/>
                <w:sz w:val="24"/>
                <w:szCs w:val="20"/>
              </w:rPr>
            </w:pPr>
            <w:r w:rsidRPr="00B37A02">
              <w:rPr>
                <w:rFonts w:ascii="Times New Roman" w:hAnsi="Times New Roman" w:cs="Times New Roman"/>
                <w:b/>
                <w:sz w:val="24"/>
              </w:rPr>
              <w:t>ES</w:t>
            </w:r>
          </w:p>
        </w:tc>
        <w:tc>
          <w:tcPr>
            <w:tcW w:w="1647" w:type="pct"/>
            <w:tcBorders>
              <w:top w:val="single" w:sz="4" w:space="0" w:color="auto"/>
              <w:left w:val="single" w:sz="4" w:space="0" w:color="auto"/>
              <w:bottom w:val="single" w:sz="4" w:space="0" w:color="auto"/>
              <w:right w:val="single" w:sz="4" w:space="0" w:color="auto"/>
            </w:tcBorders>
            <w:shd w:val="clear" w:color="auto" w:fill="auto"/>
            <w:vAlign w:val="center"/>
          </w:tcPr>
          <w:p w14:paraId="2B7D8BCF"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Jā</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69543A"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3 g.</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D0E840"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3 g.</w:t>
            </w:r>
          </w:p>
        </w:tc>
      </w:tr>
      <w:tr w:rsidR="00BC5BDF" w:rsidRPr="00B37A02" w14:paraId="6E947D4C" w14:textId="77777777" w:rsidTr="007878F6">
        <w:tc>
          <w:tcPr>
            <w:tcW w:w="361" w:type="pct"/>
            <w:tcBorders>
              <w:top w:val="single" w:sz="4" w:space="0" w:color="auto"/>
              <w:left w:val="single" w:sz="4" w:space="0" w:color="auto"/>
              <w:bottom w:val="single" w:sz="4" w:space="0" w:color="auto"/>
              <w:right w:val="single" w:sz="4" w:space="0" w:color="auto"/>
            </w:tcBorders>
            <w:hideMark/>
          </w:tcPr>
          <w:p w14:paraId="25E4D73C" w14:textId="77777777" w:rsidR="00BC5BDF" w:rsidRPr="00B37A02" w:rsidRDefault="00BC5BDF" w:rsidP="00C97F66">
            <w:pPr>
              <w:widowControl w:val="0"/>
              <w:spacing w:after="0" w:line="240" w:lineRule="auto"/>
              <w:jc w:val="both"/>
              <w:rPr>
                <w:rFonts w:ascii="Times New Roman" w:hAnsi="Times New Roman" w:cs="Times New Roman"/>
                <w:b/>
                <w:bCs/>
                <w:sz w:val="24"/>
                <w:szCs w:val="20"/>
              </w:rPr>
            </w:pPr>
            <w:r w:rsidRPr="00B37A02">
              <w:rPr>
                <w:rFonts w:ascii="Times New Roman" w:hAnsi="Times New Roman" w:cs="Times New Roman"/>
                <w:b/>
                <w:sz w:val="24"/>
              </w:rPr>
              <w:t>FR</w:t>
            </w:r>
          </w:p>
        </w:tc>
        <w:tc>
          <w:tcPr>
            <w:tcW w:w="1647" w:type="pct"/>
            <w:tcBorders>
              <w:top w:val="single" w:sz="4" w:space="0" w:color="auto"/>
              <w:left w:val="single" w:sz="4" w:space="0" w:color="auto"/>
              <w:bottom w:val="single" w:sz="4" w:space="0" w:color="auto"/>
              <w:right w:val="single" w:sz="4" w:space="0" w:color="auto"/>
            </w:tcBorders>
            <w:shd w:val="clear" w:color="auto" w:fill="auto"/>
            <w:vAlign w:val="center"/>
          </w:tcPr>
          <w:p w14:paraId="5721E586"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Jā</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6F1F85"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3 g. (2 g. trūcīgos reģionos)</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1902FE"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3 g. (2 g. trūcīgos reģionos)</w:t>
            </w:r>
          </w:p>
        </w:tc>
      </w:tr>
      <w:tr w:rsidR="00BC5BDF" w:rsidRPr="00B37A02" w14:paraId="4F47CE51" w14:textId="77777777" w:rsidTr="007878F6">
        <w:tc>
          <w:tcPr>
            <w:tcW w:w="361" w:type="pct"/>
            <w:tcBorders>
              <w:top w:val="single" w:sz="4" w:space="0" w:color="auto"/>
              <w:left w:val="single" w:sz="4" w:space="0" w:color="auto"/>
              <w:bottom w:val="single" w:sz="4" w:space="0" w:color="auto"/>
              <w:right w:val="single" w:sz="4" w:space="0" w:color="auto"/>
            </w:tcBorders>
            <w:hideMark/>
          </w:tcPr>
          <w:p w14:paraId="5197C132" w14:textId="77777777" w:rsidR="00BC5BDF" w:rsidRPr="00B37A02" w:rsidRDefault="00BC5BDF" w:rsidP="00C97F66">
            <w:pPr>
              <w:widowControl w:val="0"/>
              <w:spacing w:after="0" w:line="240" w:lineRule="auto"/>
              <w:jc w:val="both"/>
              <w:rPr>
                <w:rFonts w:ascii="Times New Roman" w:hAnsi="Times New Roman" w:cs="Times New Roman"/>
                <w:b/>
                <w:bCs/>
                <w:sz w:val="24"/>
                <w:szCs w:val="20"/>
              </w:rPr>
            </w:pPr>
            <w:r w:rsidRPr="00B37A02">
              <w:rPr>
                <w:rFonts w:ascii="Times New Roman" w:hAnsi="Times New Roman" w:cs="Times New Roman"/>
                <w:b/>
                <w:sz w:val="24"/>
              </w:rPr>
              <w:t>HR</w:t>
            </w:r>
          </w:p>
        </w:tc>
        <w:tc>
          <w:tcPr>
            <w:tcW w:w="1647" w:type="pct"/>
            <w:tcBorders>
              <w:top w:val="single" w:sz="4" w:space="0" w:color="auto"/>
              <w:left w:val="single" w:sz="4" w:space="0" w:color="auto"/>
              <w:bottom w:val="single" w:sz="4" w:space="0" w:color="auto"/>
              <w:right w:val="single" w:sz="4" w:space="0" w:color="auto"/>
            </w:tcBorders>
            <w:shd w:val="clear" w:color="auto" w:fill="auto"/>
            <w:vAlign w:val="center"/>
          </w:tcPr>
          <w:p w14:paraId="45DB8D48"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Nē</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C7CF23"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Nav formālu tiesību</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622C3D"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Samazināta maksa</w:t>
            </w:r>
          </w:p>
        </w:tc>
      </w:tr>
      <w:tr w:rsidR="00BC5BDF" w:rsidRPr="00B37A02" w14:paraId="29B4088D" w14:textId="77777777" w:rsidTr="007878F6">
        <w:tc>
          <w:tcPr>
            <w:tcW w:w="361" w:type="pct"/>
            <w:tcBorders>
              <w:top w:val="single" w:sz="4" w:space="0" w:color="auto"/>
              <w:left w:val="single" w:sz="4" w:space="0" w:color="auto"/>
              <w:bottom w:val="single" w:sz="4" w:space="0" w:color="auto"/>
              <w:right w:val="single" w:sz="4" w:space="0" w:color="auto"/>
            </w:tcBorders>
            <w:hideMark/>
          </w:tcPr>
          <w:p w14:paraId="10C2CF12" w14:textId="77777777" w:rsidR="00BC5BDF" w:rsidRPr="00B37A02" w:rsidRDefault="00BC5BDF" w:rsidP="00C97F66">
            <w:pPr>
              <w:widowControl w:val="0"/>
              <w:spacing w:after="0" w:line="240" w:lineRule="auto"/>
              <w:jc w:val="both"/>
              <w:rPr>
                <w:rFonts w:ascii="Times New Roman" w:hAnsi="Times New Roman" w:cs="Times New Roman"/>
                <w:b/>
                <w:bCs/>
                <w:sz w:val="24"/>
                <w:szCs w:val="20"/>
              </w:rPr>
            </w:pPr>
            <w:r w:rsidRPr="00B37A02">
              <w:rPr>
                <w:rFonts w:ascii="Times New Roman" w:hAnsi="Times New Roman" w:cs="Times New Roman"/>
                <w:b/>
                <w:sz w:val="24"/>
              </w:rPr>
              <w:t>IT</w:t>
            </w:r>
          </w:p>
        </w:tc>
        <w:tc>
          <w:tcPr>
            <w:tcW w:w="1647" w:type="pct"/>
            <w:tcBorders>
              <w:top w:val="single" w:sz="4" w:space="0" w:color="auto"/>
              <w:left w:val="single" w:sz="4" w:space="0" w:color="auto"/>
              <w:bottom w:val="single" w:sz="4" w:space="0" w:color="auto"/>
              <w:right w:val="single" w:sz="4" w:space="0" w:color="auto"/>
            </w:tcBorders>
            <w:shd w:val="clear" w:color="auto" w:fill="auto"/>
            <w:vAlign w:val="center"/>
          </w:tcPr>
          <w:p w14:paraId="1C8EB09F"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Jā</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1A7764"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5 g.</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62F092"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3 g.</w:t>
            </w:r>
          </w:p>
        </w:tc>
      </w:tr>
      <w:tr w:rsidR="00BC5BDF" w:rsidRPr="00B37A02" w14:paraId="40B4CD68" w14:textId="77777777" w:rsidTr="007878F6">
        <w:tc>
          <w:tcPr>
            <w:tcW w:w="361" w:type="pct"/>
            <w:tcBorders>
              <w:top w:val="single" w:sz="4" w:space="0" w:color="auto"/>
              <w:left w:val="single" w:sz="4" w:space="0" w:color="auto"/>
              <w:bottom w:val="single" w:sz="4" w:space="0" w:color="auto"/>
              <w:right w:val="single" w:sz="4" w:space="0" w:color="auto"/>
            </w:tcBorders>
            <w:hideMark/>
          </w:tcPr>
          <w:p w14:paraId="7AB8D845" w14:textId="77777777" w:rsidR="00BC5BDF" w:rsidRPr="00B37A02" w:rsidRDefault="00BC5BDF" w:rsidP="00C97F66">
            <w:pPr>
              <w:widowControl w:val="0"/>
              <w:spacing w:after="0" w:line="240" w:lineRule="auto"/>
              <w:jc w:val="both"/>
              <w:rPr>
                <w:rFonts w:ascii="Times New Roman" w:hAnsi="Times New Roman" w:cs="Times New Roman"/>
                <w:b/>
                <w:bCs/>
                <w:sz w:val="24"/>
                <w:szCs w:val="20"/>
              </w:rPr>
            </w:pPr>
            <w:r w:rsidRPr="00B37A02">
              <w:rPr>
                <w:rFonts w:ascii="Times New Roman" w:hAnsi="Times New Roman" w:cs="Times New Roman"/>
                <w:b/>
                <w:sz w:val="24"/>
              </w:rPr>
              <w:t>CY</w:t>
            </w:r>
          </w:p>
        </w:tc>
        <w:tc>
          <w:tcPr>
            <w:tcW w:w="1647" w:type="pct"/>
            <w:tcBorders>
              <w:top w:val="single" w:sz="4" w:space="0" w:color="auto"/>
              <w:left w:val="single" w:sz="4" w:space="0" w:color="auto"/>
              <w:bottom w:val="single" w:sz="4" w:space="0" w:color="auto"/>
              <w:right w:val="single" w:sz="4" w:space="0" w:color="auto"/>
            </w:tcBorders>
            <w:shd w:val="clear" w:color="auto" w:fill="auto"/>
            <w:vAlign w:val="center"/>
          </w:tcPr>
          <w:p w14:paraId="204DC11C"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Nē</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F61454"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4 g. 8 mēn.</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76CD75"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4 g. 8 mēn.</w:t>
            </w:r>
          </w:p>
        </w:tc>
      </w:tr>
      <w:tr w:rsidR="00BC5BDF" w:rsidRPr="00B37A02" w14:paraId="57A972C4" w14:textId="77777777" w:rsidTr="007878F6">
        <w:tc>
          <w:tcPr>
            <w:tcW w:w="361" w:type="pct"/>
            <w:tcBorders>
              <w:top w:val="single" w:sz="4" w:space="0" w:color="auto"/>
              <w:left w:val="single" w:sz="4" w:space="0" w:color="auto"/>
              <w:bottom w:val="single" w:sz="4" w:space="0" w:color="auto"/>
              <w:right w:val="single" w:sz="4" w:space="0" w:color="auto"/>
            </w:tcBorders>
            <w:hideMark/>
          </w:tcPr>
          <w:p w14:paraId="7338E8B1" w14:textId="77777777" w:rsidR="00BC5BDF" w:rsidRPr="00B37A02" w:rsidRDefault="00BC5BDF" w:rsidP="00C97F66">
            <w:pPr>
              <w:widowControl w:val="0"/>
              <w:spacing w:after="0" w:line="240" w:lineRule="auto"/>
              <w:jc w:val="both"/>
              <w:rPr>
                <w:rFonts w:ascii="Times New Roman" w:hAnsi="Times New Roman" w:cs="Times New Roman"/>
                <w:b/>
                <w:bCs/>
                <w:sz w:val="24"/>
                <w:szCs w:val="20"/>
              </w:rPr>
            </w:pPr>
            <w:r w:rsidRPr="00B37A02">
              <w:rPr>
                <w:rFonts w:ascii="Times New Roman" w:hAnsi="Times New Roman" w:cs="Times New Roman"/>
                <w:b/>
                <w:sz w:val="24"/>
              </w:rPr>
              <w:t>LV</w:t>
            </w:r>
          </w:p>
        </w:tc>
        <w:tc>
          <w:tcPr>
            <w:tcW w:w="1647" w:type="pct"/>
            <w:tcBorders>
              <w:top w:val="single" w:sz="4" w:space="0" w:color="auto"/>
              <w:left w:val="single" w:sz="4" w:space="0" w:color="auto"/>
              <w:bottom w:val="single" w:sz="4" w:space="0" w:color="auto"/>
              <w:right w:val="single" w:sz="4" w:space="0" w:color="auto"/>
            </w:tcBorders>
            <w:shd w:val="clear" w:color="auto" w:fill="auto"/>
            <w:vAlign w:val="center"/>
          </w:tcPr>
          <w:p w14:paraId="6943CD4D"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Nē</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27FEAD"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1 g. 6 mēn.</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622EC8"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1 g. 6 mēn.</w:t>
            </w:r>
          </w:p>
        </w:tc>
      </w:tr>
      <w:tr w:rsidR="00BC5BDF" w:rsidRPr="00B37A02" w14:paraId="0706CBB7" w14:textId="77777777" w:rsidTr="007878F6">
        <w:tc>
          <w:tcPr>
            <w:tcW w:w="361" w:type="pct"/>
            <w:tcBorders>
              <w:top w:val="single" w:sz="4" w:space="0" w:color="auto"/>
              <w:left w:val="single" w:sz="4" w:space="0" w:color="auto"/>
              <w:bottom w:val="single" w:sz="4" w:space="0" w:color="auto"/>
              <w:right w:val="single" w:sz="4" w:space="0" w:color="auto"/>
            </w:tcBorders>
            <w:hideMark/>
          </w:tcPr>
          <w:p w14:paraId="1AA4A751" w14:textId="77777777" w:rsidR="00BC5BDF" w:rsidRPr="00B37A02" w:rsidRDefault="00BC5BDF" w:rsidP="00C97F66">
            <w:pPr>
              <w:widowControl w:val="0"/>
              <w:spacing w:after="0" w:line="240" w:lineRule="auto"/>
              <w:jc w:val="both"/>
              <w:rPr>
                <w:rFonts w:ascii="Times New Roman" w:hAnsi="Times New Roman" w:cs="Times New Roman"/>
                <w:b/>
                <w:bCs/>
                <w:sz w:val="24"/>
                <w:szCs w:val="20"/>
              </w:rPr>
            </w:pPr>
            <w:r w:rsidRPr="00B37A02">
              <w:rPr>
                <w:rFonts w:ascii="Times New Roman" w:hAnsi="Times New Roman" w:cs="Times New Roman"/>
                <w:b/>
                <w:sz w:val="24"/>
              </w:rPr>
              <w:t>LT</w:t>
            </w:r>
          </w:p>
        </w:tc>
        <w:tc>
          <w:tcPr>
            <w:tcW w:w="1647" w:type="pct"/>
            <w:tcBorders>
              <w:top w:val="single" w:sz="4" w:space="0" w:color="auto"/>
              <w:left w:val="single" w:sz="4" w:space="0" w:color="auto"/>
              <w:bottom w:val="single" w:sz="4" w:space="0" w:color="auto"/>
              <w:right w:val="single" w:sz="4" w:space="0" w:color="auto"/>
            </w:tcBorders>
            <w:shd w:val="clear" w:color="auto" w:fill="auto"/>
            <w:vAlign w:val="center"/>
          </w:tcPr>
          <w:p w14:paraId="39B3874C"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Jā</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5A4347"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6 g.</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D3DE60"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Samazināta maksa</w:t>
            </w:r>
          </w:p>
        </w:tc>
      </w:tr>
      <w:tr w:rsidR="00BC5BDF" w:rsidRPr="00B37A02" w14:paraId="29FA0026" w14:textId="77777777" w:rsidTr="007878F6">
        <w:tc>
          <w:tcPr>
            <w:tcW w:w="361" w:type="pct"/>
            <w:tcBorders>
              <w:top w:val="single" w:sz="4" w:space="0" w:color="auto"/>
              <w:left w:val="single" w:sz="4" w:space="0" w:color="auto"/>
              <w:bottom w:val="single" w:sz="4" w:space="0" w:color="auto"/>
              <w:right w:val="single" w:sz="4" w:space="0" w:color="auto"/>
            </w:tcBorders>
            <w:hideMark/>
          </w:tcPr>
          <w:p w14:paraId="2AC1DFDB" w14:textId="77777777" w:rsidR="00BC5BDF" w:rsidRPr="00B37A02" w:rsidRDefault="00BC5BDF" w:rsidP="00C97F66">
            <w:pPr>
              <w:widowControl w:val="0"/>
              <w:spacing w:after="0" w:line="240" w:lineRule="auto"/>
              <w:jc w:val="both"/>
              <w:rPr>
                <w:rFonts w:ascii="Times New Roman" w:hAnsi="Times New Roman" w:cs="Times New Roman"/>
                <w:b/>
                <w:bCs/>
                <w:sz w:val="24"/>
                <w:szCs w:val="20"/>
              </w:rPr>
            </w:pPr>
            <w:r w:rsidRPr="00B37A02">
              <w:rPr>
                <w:rFonts w:ascii="Times New Roman" w:hAnsi="Times New Roman" w:cs="Times New Roman"/>
                <w:b/>
                <w:sz w:val="24"/>
              </w:rPr>
              <w:t>LU</w:t>
            </w:r>
          </w:p>
        </w:tc>
        <w:tc>
          <w:tcPr>
            <w:tcW w:w="1647" w:type="pct"/>
            <w:tcBorders>
              <w:top w:val="single" w:sz="4" w:space="0" w:color="auto"/>
              <w:left w:val="single" w:sz="4" w:space="0" w:color="auto"/>
              <w:bottom w:val="single" w:sz="4" w:space="0" w:color="auto"/>
              <w:right w:val="single" w:sz="4" w:space="0" w:color="auto"/>
            </w:tcBorders>
            <w:shd w:val="clear" w:color="auto" w:fill="auto"/>
            <w:vAlign w:val="center"/>
          </w:tcPr>
          <w:p w14:paraId="6AB5AD1F"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Nē</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BF72ED"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3 g.</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A8C0D2"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1 g.</w:t>
            </w:r>
          </w:p>
        </w:tc>
      </w:tr>
      <w:tr w:rsidR="00BC5BDF" w:rsidRPr="00B37A02" w14:paraId="2104A9E7" w14:textId="77777777" w:rsidTr="007878F6">
        <w:tc>
          <w:tcPr>
            <w:tcW w:w="361" w:type="pct"/>
            <w:tcBorders>
              <w:top w:val="single" w:sz="4" w:space="0" w:color="auto"/>
              <w:left w:val="single" w:sz="4" w:space="0" w:color="auto"/>
              <w:bottom w:val="single" w:sz="4" w:space="0" w:color="auto"/>
              <w:right w:val="single" w:sz="4" w:space="0" w:color="auto"/>
            </w:tcBorders>
            <w:hideMark/>
          </w:tcPr>
          <w:p w14:paraId="76E46CB2" w14:textId="77777777" w:rsidR="00BC5BDF" w:rsidRPr="00B37A02" w:rsidRDefault="00BC5BDF" w:rsidP="00C97F66">
            <w:pPr>
              <w:widowControl w:val="0"/>
              <w:spacing w:after="0" w:line="240" w:lineRule="auto"/>
              <w:jc w:val="both"/>
              <w:rPr>
                <w:rFonts w:ascii="Times New Roman" w:hAnsi="Times New Roman" w:cs="Times New Roman"/>
                <w:b/>
                <w:bCs/>
                <w:sz w:val="24"/>
                <w:szCs w:val="20"/>
              </w:rPr>
            </w:pPr>
            <w:r w:rsidRPr="00B37A02">
              <w:rPr>
                <w:rFonts w:ascii="Times New Roman" w:hAnsi="Times New Roman" w:cs="Times New Roman"/>
                <w:b/>
                <w:sz w:val="24"/>
              </w:rPr>
              <w:t>HU</w:t>
            </w:r>
          </w:p>
        </w:tc>
        <w:tc>
          <w:tcPr>
            <w:tcW w:w="1647" w:type="pct"/>
            <w:tcBorders>
              <w:top w:val="single" w:sz="4" w:space="0" w:color="auto"/>
              <w:left w:val="single" w:sz="4" w:space="0" w:color="auto"/>
              <w:bottom w:val="single" w:sz="4" w:space="0" w:color="auto"/>
              <w:right w:val="single" w:sz="4" w:space="0" w:color="auto"/>
            </w:tcBorders>
            <w:shd w:val="clear" w:color="auto" w:fill="auto"/>
            <w:vAlign w:val="center"/>
          </w:tcPr>
          <w:p w14:paraId="342AE007"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Jā</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E12DA7"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3 g.</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A159F4"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3 g.</w:t>
            </w:r>
          </w:p>
        </w:tc>
      </w:tr>
      <w:tr w:rsidR="00BC5BDF" w:rsidRPr="00B37A02" w14:paraId="58EE48D2" w14:textId="77777777" w:rsidTr="007878F6">
        <w:tc>
          <w:tcPr>
            <w:tcW w:w="361" w:type="pct"/>
            <w:tcBorders>
              <w:top w:val="single" w:sz="4" w:space="0" w:color="auto"/>
              <w:left w:val="single" w:sz="4" w:space="0" w:color="auto"/>
              <w:bottom w:val="single" w:sz="4" w:space="0" w:color="auto"/>
              <w:right w:val="single" w:sz="4" w:space="0" w:color="auto"/>
            </w:tcBorders>
            <w:hideMark/>
          </w:tcPr>
          <w:p w14:paraId="4AF6C89A" w14:textId="77777777" w:rsidR="00BC5BDF" w:rsidRPr="00B37A02" w:rsidRDefault="00BC5BDF" w:rsidP="00C97F66">
            <w:pPr>
              <w:widowControl w:val="0"/>
              <w:spacing w:after="0" w:line="240" w:lineRule="auto"/>
              <w:jc w:val="both"/>
              <w:rPr>
                <w:rFonts w:ascii="Times New Roman" w:hAnsi="Times New Roman" w:cs="Times New Roman"/>
                <w:b/>
                <w:bCs/>
                <w:sz w:val="24"/>
                <w:szCs w:val="20"/>
              </w:rPr>
            </w:pPr>
            <w:r w:rsidRPr="00B37A02">
              <w:rPr>
                <w:rFonts w:ascii="Times New Roman" w:hAnsi="Times New Roman" w:cs="Times New Roman"/>
                <w:b/>
                <w:sz w:val="24"/>
              </w:rPr>
              <w:lastRenderedPageBreak/>
              <w:t>MT</w:t>
            </w:r>
          </w:p>
        </w:tc>
        <w:tc>
          <w:tcPr>
            <w:tcW w:w="1647" w:type="pct"/>
            <w:tcBorders>
              <w:top w:val="single" w:sz="4" w:space="0" w:color="auto"/>
              <w:left w:val="single" w:sz="4" w:space="0" w:color="auto"/>
              <w:bottom w:val="single" w:sz="4" w:space="0" w:color="auto"/>
              <w:right w:val="single" w:sz="4" w:space="0" w:color="auto"/>
            </w:tcBorders>
            <w:shd w:val="clear" w:color="auto" w:fill="auto"/>
            <w:vAlign w:val="center"/>
          </w:tcPr>
          <w:p w14:paraId="787A92EF"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Jā</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63D69C"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2 g. 9 mēn.</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2CD4D8"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2 g. 9 mēn.</w:t>
            </w:r>
          </w:p>
        </w:tc>
      </w:tr>
      <w:tr w:rsidR="00BC5BDF" w:rsidRPr="00B37A02" w14:paraId="6D9B7384" w14:textId="77777777" w:rsidTr="007878F6">
        <w:tc>
          <w:tcPr>
            <w:tcW w:w="361" w:type="pct"/>
            <w:tcBorders>
              <w:top w:val="single" w:sz="4" w:space="0" w:color="auto"/>
              <w:left w:val="single" w:sz="4" w:space="0" w:color="auto"/>
              <w:bottom w:val="single" w:sz="4" w:space="0" w:color="auto"/>
              <w:right w:val="single" w:sz="4" w:space="0" w:color="auto"/>
            </w:tcBorders>
            <w:hideMark/>
          </w:tcPr>
          <w:p w14:paraId="486C7EC6" w14:textId="77777777" w:rsidR="00BC5BDF" w:rsidRPr="00B37A02" w:rsidRDefault="00BC5BDF" w:rsidP="00C97F66">
            <w:pPr>
              <w:widowControl w:val="0"/>
              <w:spacing w:after="0" w:line="240" w:lineRule="auto"/>
              <w:jc w:val="both"/>
              <w:rPr>
                <w:rFonts w:ascii="Times New Roman" w:hAnsi="Times New Roman" w:cs="Times New Roman"/>
                <w:b/>
                <w:bCs/>
                <w:sz w:val="24"/>
                <w:szCs w:val="20"/>
              </w:rPr>
            </w:pPr>
            <w:r w:rsidRPr="00B37A02">
              <w:rPr>
                <w:rFonts w:ascii="Times New Roman" w:hAnsi="Times New Roman" w:cs="Times New Roman"/>
                <w:b/>
                <w:sz w:val="24"/>
              </w:rPr>
              <w:t>NL</w:t>
            </w:r>
          </w:p>
        </w:tc>
        <w:tc>
          <w:tcPr>
            <w:tcW w:w="1647" w:type="pct"/>
            <w:tcBorders>
              <w:top w:val="single" w:sz="4" w:space="0" w:color="auto"/>
              <w:left w:val="single" w:sz="4" w:space="0" w:color="auto"/>
              <w:bottom w:val="single" w:sz="4" w:space="0" w:color="auto"/>
              <w:right w:val="single" w:sz="4" w:space="0" w:color="auto"/>
            </w:tcBorders>
            <w:shd w:val="clear" w:color="auto" w:fill="auto"/>
            <w:vAlign w:val="center"/>
          </w:tcPr>
          <w:p w14:paraId="05484DA5"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Jā</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D77301"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5 g.</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63D2D2"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4 g.</w:t>
            </w:r>
          </w:p>
        </w:tc>
      </w:tr>
      <w:tr w:rsidR="00BC5BDF" w:rsidRPr="00B37A02" w14:paraId="3E319D41" w14:textId="77777777" w:rsidTr="007878F6">
        <w:tc>
          <w:tcPr>
            <w:tcW w:w="361" w:type="pct"/>
            <w:tcBorders>
              <w:top w:val="single" w:sz="4" w:space="0" w:color="auto"/>
              <w:left w:val="single" w:sz="4" w:space="0" w:color="auto"/>
              <w:bottom w:val="single" w:sz="4" w:space="0" w:color="auto"/>
              <w:right w:val="single" w:sz="4" w:space="0" w:color="auto"/>
            </w:tcBorders>
            <w:hideMark/>
          </w:tcPr>
          <w:p w14:paraId="7FAB75C1" w14:textId="77777777" w:rsidR="00BC5BDF" w:rsidRPr="00B37A02" w:rsidRDefault="00BC5BDF" w:rsidP="00C97F66">
            <w:pPr>
              <w:widowControl w:val="0"/>
              <w:spacing w:after="0" w:line="240" w:lineRule="auto"/>
              <w:jc w:val="both"/>
              <w:rPr>
                <w:rFonts w:ascii="Times New Roman" w:hAnsi="Times New Roman" w:cs="Times New Roman"/>
                <w:b/>
                <w:bCs/>
                <w:sz w:val="24"/>
                <w:szCs w:val="20"/>
              </w:rPr>
            </w:pPr>
            <w:r w:rsidRPr="00B37A02">
              <w:rPr>
                <w:rFonts w:ascii="Times New Roman" w:hAnsi="Times New Roman" w:cs="Times New Roman"/>
                <w:b/>
                <w:sz w:val="24"/>
              </w:rPr>
              <w:t>AT</w:t>
            </w:r>
          </w:p>
        </w:tc>
        <w:tc>
          <w:tcPr>
            <w:tcW w:w="1647" w:type="pct"/>
            <w:tcBorders>
              <w:top w:val="single" w:sz="4" w:space="0" w:color="auto"/>
              <w:left w:val="single" w:sz="4" w:space="0" w:color="auto"/>
              <w:bottom w:val="single" w:sz="4" w:space="0" w:color="auto"/>
              <w:right w:val="single" w:sz="4" w:space="0" w:color="auto"/>
            </w:tcBorders>
            <w:shd w:val="clear" w:color="auto" w:fill="auto"/>
            <w:vAlign w:val="center"/>
          </w:tcPr>
          <w:p w14:paraId="6FD15A95"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Nē</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8CEE81"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5 g.</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A6A5C1"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5 g. (20 stundas nedēļā)</w:t>
            </w:r>
          </w:p>
        </w:tc>
      </w:tr>
      <w:tr w:rsidR="00BC5BDF" w:rsidRPr="00B37A02" w14:paraId="4091DFFD" w14:textId="77777777" w:rsidTr="007878F6">
        <w:tc>
          <w:tcPr>
            <w:tcW w:w="361" w:type="pct"/>
            <w:tcBorders>
              <w:top w:val="single" w:sz="4" w:space="0" w:color="auto"/>
              <w:left w:val="single" w:sz="4" w:space="0" w:color="auto"/>
              <w:bottom w:val="single" w:sz="4" w:space="0" w:color="auto"/>
              <w:right w:val="single" w:sz="4" w:space="0" w:color="auto"/>
            </w:tcBorders>
            <w:hideMark/>
          </w:tcPr>
          <w:p w14:paraId="106A8CAD" w14:textId="77777777" w:rsidR="00BC5BDF" w:rsidRPr="00B37A02" w:rsidRDefault="00BC5BDF" w:rsidP="00C97F66">
            <w:pPr>
              <w:widowControl w:val="0"/>
              <w:spacing w:after="0" w:line="240" w:lineRule="auto"/>
              <w:jc w:val="both"/>
              <w:rPr>
                <w:rFonts w:ascii="Times New Roman" w:hAnsi="Times New Roman" w:cs="Times New Roman"/>
                <w:b/>
                <w:bCs/>
                <w:sz w:val="24"/>
                <w:szCs w:val="20"/>
              </w:rPr>
            </w:pPr>
            <w:r w:rsidRPr="00B37A02">
              <w:rPr>
                <w:rFonts w:ascii="Times New Roman" w:hAnsi="Times New Roman" w:cs="Times New Roman"/>
                <w:b/>
                <w:sz w:val="24"/>
              </w:rPr>
              <w:t>PL</w:t>
            </w:r>
          </w:p>
        </w:tc>
        <w:tc>
          <w:tcPr>
            <w:tcW w:w="1647" w:type="pct"/>
            <w:tcBorders>
              <w:top w:val="single" w:sz="4" w:space="0" w:color="auto"/>
              <w:left w:val="single" w:sz="4" w:space="0" w:color="auto"/>
              <w:bottom w:val="single" w:sz="4" w:space="0" w:color="auto"/>
              <w:right w:val="single" w:sz="4" w:space="0" w:color="auto"/>
            </w:tcBorders>
            <w:shd w:val="clear" w:color="auto" w:fill="auto"/>
            <w:vAlign w:val="center"/>
          </w:tcPr>
          <w:p w14:paraId="62A375F4"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Nē</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F0F8D1"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3 g.</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864856"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3 g.</w:t>
            </w:r>
          </w:p>
        </w:tc>
      </w:tr>
      <w:tr w:rsidR="00BC5BDF" w:rsidRPr="00B37A02" w14:paraId="16C4AFD0" w14:textId="77777777" w:rsidTr="007878F6">
        <w:tc>
          <w:tcPr>
            <w:tcW w:w="361" w:type="pct"/>
            <w:tcBorders>
              <w:top w:val="single" w:sz="4" w:space="0" w:color="auto"/>
              <w:left w:val="single" w:sz="4" w:space="0" w:color="auto"/>
              <w:bottom w:val="single" w:sz="4" w:space="0" w:color="auto"/>
              <w:right w:val="single" w:sz="4" w:space="0" w:color="auto"/>
            </w:tcBorders>
            <w:hideMark/>
          </w:tcPr>
          <w:p w14:paraId="374AB119" w14:textId="77777777" w:rsidR="00BC5BDF" w:rsidRPr="00B37A02" w:rsidRDefault="00BC5BDF" w:rsidP="00C97F66">
            <w:pPr>
              <w:widowControl w:val="0"/>
              <w:spacing w:after="0" w:line="240" w:lineRule="auto"/>
              <w:jc w:val="both"/>
              <w:rPr>
                <w:rFonts w:ascii="Times New Roman" w:hAnsi="Times New Roman" w:cs="Times New Roman"/>
                <w:b/>
                <w:bCs/>
                <w:sz w:val="24"/>
                <w:szCs w:val="20"/>
              </w:rPr>
            </w:pPr>
            <w:r w:rsidRPr="00B37A02">
              <w:rPr>
                <w:rFonts w:ascii="Times New Roman" w:hAnsi="Times New Roman" w:cs="Times New Roman"/>
                <w:b/>
                <w:sz w:val="24"/>
              </w:rPr>
              <w:t>PT</w:t>
            </w:r>
          </w:p>
        </w:tc>
        <w:tc>
          <w:tcPr>
            <w:tcW w:w="1647" w:type="pct"/>
            <w:tcBorders>
              <w:top w:val="single" w:sz="4" w:space="0" w:color="auto"/>
              <w:left w:val="single" w:sz="4" w:space="0" w:color="auto"/>
              <w:bottom w:val="single" w:sz="4" w:space="0" w:color="auto"/>
              <w:right w:val="single" w:sz="4" w:space="0" w:color="auto"/>
            </w:tcBorders>
            <w:shd w:val="clear" w:color="auto" w:fill="auto"/>
            <w:vAlign w:val="center"/>
          </w:tcPr>
          <w:p w14:paraId="4778CACC"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Jā</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08CF3A"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4 g.</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0292C0"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3 g.</w:t>
            </w:r>
          </w:p>
        </w:tc>
      </w:tr>
      <w:tr w:rsidR="00BC5BDF" w:rsidRPr="00B37A02" w14:paraId="365C56EE" w14:textId="77777777" w:rsidTr="007878F6">
        <w:tc>
          <w:tcPr>
            <w:tcW w:w="361" w:type="pct"/>
            <w:tcBorders>
              <w:top w:val="single" w:sz="4" w:space="0" w:color="auto"/>
              <w:left w:val="single" w:sz="4" w:space="0" w:color="auto"/>
              <w:bottom w:val="single" w:sz="4" w:space="0" w:color="auto"/>
              <w:right w:val="single" w:sz="4" w:space="0" w:color="auto"/>
            </w:tcBorders>
            <w:hideMark/>
          </w:tcPr>
          <w:p w14:paraId="12997A95" w14:textId="77777777" w:rsidR="00BC5BDF" w:rsidRPr="00B37A02" w:rsidRDefault="00BC5BDF" w:rsidP="00C97F66">
            <w:pPr>
              <w:widowControl w:val="0"/>
              <w:spacing w:after="0" w:line="240" w:lineRule="auto"/>
              <w:jc w:val="both"/>
              <w:rPr>
                <w:rFonts w:ascii="Times New Roman" w:hAnsi="Times New Roman" w:cs="Times New Roman"/>
                <w:b/>
                <w:bCs/>
                <w:sz w:val="24"/>
                <w:szCs w:val="20"/>
              </w:rPr>
            </w:pPr>
            <w:r w:rsidRPr="00B37A02">
              <w:rPr>
                <w:rFonts w:ascii="Times New Roman" w:hAnsi="Times New Roman" w:cs="Times New Roman"/>
                <w:b/>
                <w:sz w:val="24"/>
              </w:rPr>
              <w:t>RO</w:t>
            </w:r>
          </w:p>
        </w:tc>
        <w:tc>
          <w:tcPr>
            <w:tcW w:w="1647" w:type="pct"/>
            <w:tcBorders>
              <w:top w:val="single" w:sz="4" w:space="0" w:color="auto"/>
              <w:left w:val="single" w:sz="4" w:space="0" w:color="auto"/>
              <w:bottom w:val="single" w:sz="4" w:space="0" w:color="auto"/>
              <w:right w:val="single" w:sz="4" w:space="0" w:color="auto"/>
            </w:tcBorders>
            <w:shd w:val="clear" w:color="auto" w:fill="auto"/>
            <w:vAlign w:val="center"/>
          </w:tcPr>
          <w:p w14:paraId="25006C90"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Nē</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51A043"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3 g.</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7DFCEA"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3 g.</w:t>
            </w:r>
          </w:p>
        </w:tc>
      </w:tr>
      <w:tr w:rsidR="00BC5BDF" w:rsidRPr="00B37A02" w14:paraId="73143000" w14:textId="77777777" w:rsidTr="007878F6">
        <w:tc>
          <w:tcPr>
            <w:tcW w:w="361" w:type="pct"/>
            <w:tcBorders>
              <w:top w:val="single" w:sz="4" w:space="0" w:color="auto"/>
              <w:left w:val="single" w:sz="4" w:space="0" w:color="auto"/>
              <w:bottom w:val="single" w:sz="4" w:space="0" w:color="auto"/>
              <w:right w:val="single" w:sz="4" w:space="0" w:color="auto"/>
            </w:tcBorders>
            <w:hideMark/>
          </w:tcPr>
          <w:p w14:paraId="0F7FAB9A" w14:textId="77777777" w:rsidR="00BC5BDF" w:rsidRPr="00B37A02" w:rsidRDefault="00BC5BDF" w:rsidP="00C97F66">
            <w:pPr>
              <w:widowControl w:val="0"/>
              <w:spacing w:after="0" w:line="240" w:lineRule="auto"/>
              <w:jc w:val="both"/>
              <w:rPr>
                <w:rFonts w:ascii="Times New Roman" w:hAnsi="Times New Roman" w:cs="Times New Roman"/>
                <w:b/>
                <w:bCs/>
                <w:sz w:val="24"/>
                <w:szCs w:val="20"/>
              </w:rPr>
            </w:pPr>
            <w:r w:rsidRPr="00B37A02">
              <w:rPr>
                <w:rFonts w:ascii="Times New Roman" w:hAnsi="Times New Roman" w:cs="Times New Roman"/>
                <w:b/>
                <w:sz w:val="24"/>
              </w:rPr>
              <w:t>SI</w:t>
            </w:r>
          </w:p>
        </w:tc>
        <w:tc>
          <w:tcPr>
            <w:tcW w:w="1647" w:type="pct"/>
            <w:tcBorders>
              <w:top w:val="single" w:sz="4" w:space="0" w:color="auto"/>
              <w:left w:val="single" w:sz="4" w:space="0" w:color="auto"/>
              <w:bottom w:val="single" w:sz="4" w:space="0" w:color="auto"/>
              <w:right w:val="single" w:sz="4" w:space="0" w:color="auto"/>
            </w:tcBorders>
            <w:shd w:val="clear" w:color="auto" w:fill="auto"/>
            <w:vAlign w:val="center"/>
          </w:tcPr>
          <w:p w14:paraId="2FE6F3D6"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Nē</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2517C2"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11 mēn.</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0D3E1A"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Samazināta maksa</w:t>
            </w:r>
          </w:p>
        </w:tc>
      </w:tr>
      <w:tr w:rsidR="00BC5BDF" w:rsidRPr="00B37A02" w14:paraId="1FCBDC4F" w14:textId="77777777" w:rsidTr="007878F6">
        <w:tc>
          <w:tcPr>
            <w:tcW w:w="361" w:type="pct"/>
            <w:tcBorders>
              <w:top w:val="single" w:sz="4" w:space="0" w:color="auto"/>
              <w:left w:val="single" w:sz="4" w:space="0" w:color="auto"/>
              <w:bottom w:val="single" w:sz="4" w:space="0" w:color="auto"/>
              <w:right w:val="single" w:sz="4" w:space="0" w:color="auto"/>
            </w:tcBorders>
            <w:hideMark/>
          </w:tcPr>
          <w:p w14:paraId="688277EB" w14:textId="77777777" w:rsidR="00BC5BDF" w:rsidRPr="00B37A02" w:rsidRDefault="00BC5BDF" w:rsidP="00C97F66">
            <w:pPr>
              <w:widowControl w:val="0"/>
              <w:spacing w:after="0" w:line="240" w:lineRule="auto"/>
              <w:jc w:val="both"/>
              <w:rPr>
                <w:rFonts w:ascii="Times New Roman" w:hAnsi="Times New Roman" w:cs="Times New Roman"/>
                <w:b/>
                <w:bCs/>
                <w:sz w:val="24"/>
                <w:szCs w:val="20"/>
              </w:rPr>
            </w:pPr>
            <w:r w:rsidRPr="00B37A02">
              <w:rPr>
                <w:rFonts w:ascii="Times New Roman" w:hAnsi="Times New Roman" w:cs="Times New Roman"/>
                <w:b/>
                <w:sz w:val="24"/>
              </w:rPr>
              <w:t>SK</w:t>
            </w:r>
          </w:p>
        </w:tc>
        <w:tc>
          <w:tcPr>
            <w:tcW w:w="1647" w:type="pct"/>
            <w:tcBorders>
              <w:top w:val="single" w:sz="4" w:space="0" w:color="auto"/>
              <w:left w:val="single" w:sz="4" w:space="0" w:color="auto"/>
              <w:bottom w:val="single" w:sz="4" w:space="0" w:color="auto"/>
              <w:right w:val="single" w:sz="4" w:space="0" w:color="auto"/>
            </w:tcBorders>
            <w:shd w:val="clear" w:color="auto" w:fill="auto"/>
            <w:vAlign w:val="center"/>
          </w:tcPr>
          <w:p w14:paraId="703F5F64"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Nē</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3B642E"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Nav formālu tiesību</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7F256E"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5 g.</w:t>
            </w:r>
          </w:p>
        </w:tc>
      </w:tr>
      <w:tr w:rsidR="00BC5BDF" w:rsidRPr="00B37A02" w14:paraId="49FC8EF0" w14:textId="77777777" w:rsidTr="007878F6">
        <w:tc>
          <w:tcPr>
            <w:tcW w:w="361" w:type="pct"/>
            <w:tcBorders>
              <w:top w:val="single" w:sz="4" w:space="0" w:color="auto"/>
              <w:left w:val="single" w:sz="4" w:space="0" w:color="auto"/>
              <w:bottom w:val="single" w:sz="4" w:space="0" w:color="auto"/>
              <w:right w:val="single" w:sz="4" w:space="0" w:color="auto"/>
            </w:tcBorders>
            <w:hideMark/>
          </w:tcPr>
          <w:p w14:paraId="6ACF7307" w14:textId="77777777" w:rsidR="00BC5BDF" w:rsidRPr="00B37A02" w:rsidRDefault="00BC5BDF" w:rsidP="00C97F66">
            <w:pPr>
              <w:widowControl w:val="0"/>
              <w:spacing w:after="0" w:line="240" w:lineRule="auto"/>
              <w:jc w:val="both"/>
              <w:rPr>
                <w:rFonts w:ascii="Times New Roman" w:hAnsi="Times New Roman" w:cs="Times New Roman"/>
                <w:b/>
                <w:bCs/>
                <w:sz w:val="24"/>
                <w:szCs w:val="20"/>
              </w:rPr>
            </w:pPr>
            <w:r w:rsidRPr="00B37A02">
              <w:rPr>
                <w:rFonts w:ascii="Times New Roman" w:hAnsi="Times New Roman" w:cs="Times New Roman"/>
                <w:b/>
                <w:sz w:val="24"/>
              </w:rPr>
              <w:t>FI</w:t>
            </w:r>
          </w:p>
        </w:tc>
        <w:tc>
          <w:tcPr>
            <w:tcW w:w="1647" w:type="pct"/>
            <w:tcBorders>
              <w:top w:val="single" w:sz="4" w:space="0" w:color="auto"/>
              <w:left w:val="single" w:sz="4" w:space="0" w:color="auto"/>
              <w:bottom w:val="single" w:sz="4" w:space="0" w:color="auto"/>
              <w:right w:val="single" w:sz="4" w:space="0" w:color="auto"/>
            </w:tcBorders>
            <w:shd w:val="clear" w:color="auto" w:fill="auto"/>
            <w:vAlign w:val="center"/>
          </w:tcPr>
          <w:p w14:paraId="337CB374"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Nē</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FD2FCC"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9 mēn.</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1F89F6"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6 g.</w:t>
            </w:r>
          </w:p>
        </w:tc>
      </w:tr>
      <w:tr w:rsidR="00BC5BDF" w:rsidRPr="00B37A02" w14:paraId="62D60C0C" w14:textId="77777777" w:rsidTr="007878F6">
        <w:tc>
          <w:tcPr>
            <w:tcW w:w="361" w:type="pct"/>
            <w:tcBorders>
              <w:top w:val="single" w:sz="4" w:space="0" w:color="auto"/>
              <w:left w:val="single" w:sz="4" w:space="0" w:color="auto"/>
              <w:bottom w:val="single" w:sz="4" w:space="0" w:color="auto"/>
              <w:right w:val="single" w:sz="4" w:space="0" w:color="auto"/>
            </w:tcBorders>
            <w:hideMark/>
          </w:tcPr>
          <w:p w14:paraId="79046EAB" w14:textId="77777777" w:rsidR="00BC5BDF" w:rsidRPr="00B37A02" w:rsidRDefault="00BC5BDF" w:rsidP="00C97F66">
            <w:pPr>
              <w:widowControl w:val="0"/>
              <w:spacing w:after="0" w:line="240" w:lineRule="auto"/>
              <w:jc w:val="both"/>
              <w:rPr>
                <w:rFonts w:ascii="Times New Roman" w:hAnsi="Times New Roman" w:cs="Times New Roman"/>
                <w:b/>
                <w:bCs/>
                <w:sz w:val="24"/>
                <w:szCs w:val="20"/>
              </w:rPr>
            </w:pPr>
            <w:r w:rsidRPr="00B37A02">
              <w:rPr>
                <w:rFonts w:ascii="Times New Roman" w:hAnsi="Times New Roman" w:cs="Times New Roman"/>
                <w:b/>
                <w:sz w:val="24"/>
              </w:rPr>
              <w:t>SE</w:t>
            </w:r>
          </w:p>
        </w:tc>
        <w:tc>
          <w:tcPr>
            <w:tcW w:w="1647" w:type="pct"/>
            <w:tcBorders>
              <w:top w:val="single" w:sz="4" w:space="0" w:color="auto"/>
              <w:left w:val="single" w:sz="4" w:space="0" w:color="auto"/>
              <w:bottom w:val="single" w:sz="4" w:space="0" w:color="auto"/>
              <w:right w:val="single" w:sz="4" w:space="0" w:color="auto"/>
            </w:tcBorders>
            <w:shd w:val="clear" w:color="auto" w:fill="auto"/>
            <w:vAlign w:val="center"/>
          </w:tcPr>
          <w:p w14:paraId="3A167C06"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Nē</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A0CD39"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1 g.</w:t>
            </w:r>
          </w:p>
        </w:tc>
        <w:tc>
          <w:tcPr>
            <w:tcW w:w="1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EDAB6C" w14:textId="77777777" w:rsidR="00BC5BDF" w:rsidRPr="00B37A02" w:rsidRDefault="00BC5BDF" w:rsidP="00C97F66">
            <w:pPr>
              <w:widowControl w:val="0"/>
              <w:spacing w:after="0" w:line="240" w:lineRule="auto"/>
              <w:jc w:val="center"/>
              <w:rPr>
                <w:rFonts w:ascii="Times New Roman" w:hAnsi="Times New Roman" w:cs="Times New Roman"/>
                <w:sz w:val="24"/>
                <w:szCs w:val="20"/>
              </w:rPr>
            </w:pPr>
            <w:r w:rsidRPr="00B37A02">
              <w:rPr>
                <w:rFonts w:ascii="Times New Roman" w:hAnsi="Times New Roman" w:cs="Times New Roman"/>
                <w:sz w:val="24"/>
              </w:rPr>
              <w:t>3 g.</w:t>
            </w:r>
          </w:p>
        </w:tc>
      </w:tr>
    </w:tbl>
    <w:p w14:paraId="489922F1" w14:textId="77777777" w:rsidR="00BC5BDF" w:rsidRPr="00B37A02" w:rsidRDefault="00BC5BDF" w:rsidP="00C97F66">
      <w:pPr>
        <w:widowControl w:val="0"/>
        <w:spacing w:after="0" w:line="240" w:lineRule="auto"/>
        <w:jc w:val="both"/>
        <w:rPr>
          <w:rFonts w:ascii="Times New Roman" w:hAnsi="Times New Roman" w:cs="Times New Roman"/>
          <w:sz w:val="20"/>
          <w:szCs w:val="16"/>
        </w:rPr>
      </w:pPr>
      <w:r w:rsidRPr="00B37A02">
        <w:rPr>
          <w:rFonts w:ascii="Times New Roman" w:hAnsi="Times New Roman" w:cs="Times New Roman"/>
          <w:sz w:val="20"/>
        </w:rPr>
        <w:t>Avots: Study on the Economic Implementing Framework of a possible EU Child Guarantee scheme including its financial foundation. Draft final report based on Eurydice and OECD.</w:t>
      </w:r>
    </w:p>
    <w:p w14:paraId="35DE57AF" w14:textId="77777777" w:rsidR="00BC5BDF" w:rsidRPr="00B37A02" w:rsidRDefault="00BC5BDF" w:rsidP="00C97F66">
      <w:pPr>
        <w:widowControl w:val="0"/>
        <w:spacing w:after="0" w:line="240" w:lineRule="auto"/>
        <w:jc w:val="both"/>
        <w:rPr>
          <w:rFonts w:ascii="Times New Roman" w:hAnsi="Times New Roman" w:cs="Times New Roman"/>
          <w:sz w:val="24"/>
          <w:szCs w:val="24"/>
        </w:rPr>
      </w:pPr>
    </w:p>
    <w:p w14:paraId="2DD6B023" w14:textId="19732437" w:rsidR="00BC5BDF" w:rsidRPr="00B37A02" w:rsidRDefault="00BC5BDF" w:rsidP="00C97F66">
      <w:pPr>
        <w:pStyle w:val="Heading2"/>
        <w:keepNext w:val="0"/>
        <w:keepLines w:val="0"/>
        <w:widowControl w:val="0"/>
        <w:spacing w:before="0" w:line="240" w:lineRule="auto"/>
        <w:jc w:val="both"/>
        <w:rPr>
          <w:rFonts w:cs="Times New Roman"/>
          <w:sz w:val="24"/>
        </w:rPr>
      </w:pPr>
      <w:bookmarkStart w:id="429" w:name="_Toc62823456"/>
      <w:bookmarkStart w:id="430" w:name="_Toc62823544"/>
      <w:bookmarkStart w:id="431" w:name="_Toc62833145"/>
      <w:bookmarkStart w:id="432" w:name="_Toc62841486"/>
      <w:bookmarkStart w:id="433" w:name="_Toc62942409"/>
      <w:bookmarkStart w:id="434" w:name="_Toc63178127"/>
      <w:bookmarkStart w:id="435" w:name="_Toc63258880"/>
      <w:bookmarkStart w:id="436" w:name="_Toc63269683"/>
      <w:bookmarkStart w:id="437" w:name="_Toc63692791"/>
      <w:bookmarkStart w:id="438" w:name="_Toc63712870"/>
      <w:bookmarkStart w:id="439" w:name="_Toc63850177"/>
      <w:bookmarkStart w:id="440" w:name="_Toc63850320"/>
      <w:bookmarkStart w:id="441" w:name="_Toc63862452"/>
      <w:bookmarkStart w:id="442" w:name="_Toc64476369"/>
      <w:r w:rsidRPr="00B37A02">
        <w:rPr>
          <w:rFonts w:cs="Times New Roman"/>
          <w:sz w:val="24"/>
        </w:rPr>
        <w:t>Izglītība</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p w14:paraId="71410DFF" w14:textId="77777777" w:rsidR="007878F6" w:rsidRPr="00B37A02" w:rsidRDefault="007878F6" w:rsidP="00C97F66">
      <w:pPr>
        <w:spacing w:after="0" w:line="240" w:lineRule="auto"/>
        <w:rPr>
          <w:rFonts w:ascii="Times New Roman" w:hAnsi="Times New Roman" w:cs="Times New Roman"/>
        </w:rPr>
      </w:pPr>
    </w:p>
    <w:p w14:paraId="20300735" w14:textId="77777777" w:rsidR="00BC5BDF" w:rsidRPr="00B37A02" w:rsidRDefault="00BC5BDF" w:rsidP="00C97F66">
      <w:pPr>
        <w:pStyle w:val="Caption"/>
        <w:widowControl w:val="0"/>
        <w:spacing w:after="0"/>
        <w:jc w:val="both"/>
        <w:rPr>
          <w:rFonts w:ascii="Times New Roman" w:hAnsi="Times New Roman" w:cs="Times New Roman"/>
          <w:sz w:val="24"/>
          <w:szCs w:val="24"/>
        </w:rPr>
      </w:pPr>
      <w:r w:rsidRPr="00B37A02">
        <w:rPr>
          <w:rFonts w:ascii="Times New Roman" w:hAnsi="Times New Roman" w:cs="Times New Roman"/>
          <w:sz w:val="24"/>
        </w:rPr>
        <w:t>B10. tabula. Ikgadējās izglītības izmaksas (augstākās aptuvenās izmaksas par “vidusmēra bērnu”) un sociālie pabalsti to segšanai (EUR)</w:t>
      </w: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863"/>
        <w:gridCol w:w="1296"/>
        <w:gridCol w:w="1296"/>
        <w:gridCol w:w="1296"/>
        <w:gridCol w:w="3310"/>
      </w:tblGrid>
      <w:tr w:rsidR="00BC5BDF" w:rsidRPr="00B37A02" w14:paraId="06A0FBC6" w14:textId="77777777" w:rsidTr="007878F6">
        <w:tc>
          <w:tcPr>
            <w:tcW w:w="1951" w:type="dxa"/>
            <w:tcBorders>
              <w:top w:val="single" w:sz="4" w:space="0" w:color="auto"/>
              <w:left w:val="single" w:sz="4" w:space="0" w:color="auto"/>
              <w:bottom w:val="single" w:sz="4" w:space="0" w:color="auto"/>
              <w:right w:val="single" w:sz="4" w:space="0" w:color="auto"/>
            </w:tcBorders>
            <w:hideMark/>
          </w:tcPr>
          <w:p w14:paraId="6D914395"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Dalībvalsts</w:t>
            </w:r>
          </w:p>
        </w:tc>
        <w:tc>
          <w:tcPr>
            <w:tcW w:w="1228" w:type="dxa"/>
            <w:tcBorders>
              <w:top w:val="single" w:sz="4" w:space="0" w:color="auto"/>
              <w:left w:val="single" w:sz="4" w:space="0" w:color="auto"/>
              <w:bottom w:val="single" w:sz="4" w:space="0" w:color="auto"/>
              <w:right w:val="single" w:sz="4" w:space="0" w:color="auto"/>
            </w:tcBorders>
            <w:hideMark/>
          </w:tcPr>
          <w:p w14:paraId="78DAA855"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Primārā</w:t>
            </w:r>
          </w:p>
        </w:tc>
        <w:tc>
          <w:tcPr>
            <w:tcW w:w="1229" w:type="dxa"/>
            <w:tcBorders>
              <w:top w:val="single" w:sz="4" w:space="0" w:color="auto"/>
              <w:left w:val="single" w:sz="4" w:space="0" w:color="auto"/>
              <w:bottom w:val="single" w:sz="4" w:space="0" w:color="auto"/>
              <w:right w:val="single" w:sz="4" w:space="0" w:color="auto"/>
            </w:tcBorders>
            <w:hideMark/>
          </w:tcPr>
          <w:p w14:paraId="7778B2CC"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Vispārējā vidējā</w:t>
            </w:r>
          </w:p>
        </w:tc>
        <w:tc>
          <w:tcPr>
            <w:tcW w:w="1229" w:type="dxa"/>
            <w:tcBorders>
              <w:top w:val="single" w:sz="4" w:space="0" w:color="auto"/>
              <w:left w:val="single" w:sz="4" w:space="0" w:color="auto"/>
              <w:bottom w:val="single" w:sz="4" w:space="0" w:color="auto"/>
              <w:right w:val="single" w:sz="4" w:space="0" w:color="auto"/>
            </w:tcBorders>
            <w:hideMark/>
          </w:tcPr>
          <w:p w14:paraId="6C7027EE"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Vidējā profesionālā</w:t>
            </w:r>
          </w:p>
        </w:tc>
        <w:tc>
          <w:tcPr>
            <w:tcW w:w="3651" w:type="dxa"/>
            <w:tcBorders>
              <w:top w:val="single" w:sz="4" w:space="0" w:color="auto"/>
              <w:left w:val="single" w:sz="4" w:space="0" w:color="auto"/>
              <w:bottom w:val="single" w:sz="4" w:space="0" w:color="auto"/>
              <w:right w:val="single" w:sz="4" w:space="0" w:color="auto"/>
            </w:tcBorders>
            <w:hideMark/>
          </w:tcPr>
          <w:p w14:paraId="25B8BDFD"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Maksimālais ikgadējo sociālo pabalstu apjoms, kas pieejams bērniem no ģimenēm ar zemiem ienākumiem</w:t>
            </w:r>
          </w:p>
          <w:p w14:paraId="3B5D555F"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Pamata/vidējā</w:t>
            </w:r>
          </w:p>
        </w:tc>
      </w:tr>
      <w:tr w:rsidR="00BC5BDF" w:rsidRPr="00B37A02" w14:paraId="320E9926" w14:textId="77777777" w:rsidTr="007878F6">
        <w:tc>
          <w:tcPr>
            <w:tcW w:w="1951" w:type="dxa"/>
            <w:tcBorders>
              <w:top w:val="single" w:sz="4" w:space="0" w:color="auto"/>
              <w:left w:val="single" w:sz="4" w:space="0" w:color="auto"/>
              <w:bottom w:val="single" w:sz="4" w:space="0" w:color="auto"/>
              <w:right w:val="single" w:sz="4" w:space="0" w:color="auto"/>
            </w:tcBorders>
            <w:hideMark/>
          </w:tcPr>
          <w:p w14:paraId="68E7A1BC"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Austrija</w:t>
            </w:r>
          </w:p>
        </w:tc>
        <w:tc>
          <w:tcPr>
            <w:tcW w:w="1228" w:type="dxa"/>
            <w:tcBorders>
              <w:top w:val="single" w:sz="4" w:space="0" w:color="auto"/>
              <w:left w:val="single" w:sz="4" w:space="0" w:color="auto"/>
              <w:bottom w:val="single" w:sz="4" w:space="0" w:color="auto"/>
              <w:right w:val="single" w:sz="4" w:space="0" w:color="auto"/>
            </w:tcBorders>
            <w:hideMark/>
          </w:tcPr>
          <w:p w14:paraId="19349C17"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657</w:t>
            </w:r>
          </w:p>
        </w:tc>
        <w:tc>
          <w:tcPr>
            <w:tcW w:w="1229" w:type="dxa"/>
            <w:tcBorders>
              <w:top w:val="single" w:sz="4" w:space="0" w:color="auto"/>
              <w:left w:val="single" w:sz="4" w:space="0" w:color="auto"/>
              <w:bottom w:val="single" w:sz="4" w:space="0" w:color="auto"/>
              <w:right w:val="single" w:sz="4" w:space="0" w:color="auto"/>
            </w:tcBorders>
            <w:hideMark/>
          </w:tcPr>
          <w:p w14:paraId="1254DC53"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999</w:t>
            </w:r>
          </w:p>
        </w:tc>
        <w:tc>
          <w:tcPr>
            <w:tcW w:w="1229" w:type="dxa"/>
            <w:tcBorders>
              <w:top w:val="single" w:sz="4" w:space="0" w:color="auto"/>
              <w:left w:val="single" w:sz="4" w:space="0" w:color="auto"/>
              <w:bottom w:val="single" w:sz="4" w:space="0" w:color="auto"/>
              <w:right w:val="single" w:sz="4" w:space="0" w:color="auto"/>
            </w:tcBorders>
            <w:hideMark/>
          </w:tcPr>
          <w:p w14:paraId="5C9517F2"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Nav piemērojams</w:t>
            </w:r>
          </w:p>
        </w:tc>
        <w:tc>
          <w:tcPr>
            <w:tcW w:w="3651" w:type="dxa"/>
            <w:tcBorders>
              <w:top w:val="single" w:sz="4" w:space="0" w:color="auto"/>
              <w:left w:val="single" w:sz="4" w:space="0" w:color="auto"/>
              <w:bottom w:val="single" w:sz="4" w:space="0" w:color="auto"/>
              <w:right w:val="single" w:sz="4" w:space="0" w:color="auto"/>
            </w:tcBorders>
            <w:hideMark/>
          </w:tcPr>
          <w:p w14:paraId="5EC476CE"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171/78</w:t>
            </w:r>
          </w:p>
        </w:tc>
      </w:tr>
      <w:tr w:rsidR="00BC5BDF" w:rsidRPr="00B37A02" w14:paraId="601BFE67" w14:textId="77777777" w:rsidTr="007878F6">
        <w:tc>
          <w:tcPr>
            <w:tcW w:w="1951" w:type="dxa"/>
            <w:tcBorders>
              <w:top w:val="single" w:sz="4" w:space="0" w:color="auto"/>
              <w:left w:val="single" w:sz="4" w:space="0" w:color="auto"/>
              <w:bottom w:val="single" w:sz="4" w:space="0" w:color="auto"/>
              <w:right w:val="single" w:sz="4" w:space="0" w:color="auto"/>
            </w:tcBorders>
            <w:hideMark/>
          </w:tcPr>
          <w:p w14:paraId="75161840"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Beļģija</w:t>
            </w:r>
          </w:p>
        </w:tc>
        <w:tc>
          <w:tcPr>
            <w:tcW w:w="1228" w:type="dxa"/>
            <w:tcBorders>
              <w:top w:val="single" w:sz="4" w:space="0" w:color="auto"/>
              <w:left w:val="single" w:sz="4" w:space="0" w:color="auto"/>
              <w:bottom w:val="single" w:sz="4" w:space="0" w:color="auto"/>
              <w:right w:val="single" w:sz="4" w:space="0" w:color="auto"/>
            </w:tcBorders>
            <w:hideMark/>
          </w:tcPr>
          <w:p w14:paraId="6BAD3A18"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629</w:t>
            </w:r>
            <w:r w:rsidRPr="00B37A02">
              <w:rPr>
                <w:rFonts w:ascii="Times New Roman" w:hAnsi="Times New Roman" w:cs="Times New Roman"/>
                <w:sz w:val="24"/>
                <w:vertAlign w:val="superscript"/>
              </w:rPr>
              <w:t>*</w:t>
            </w:r>
          </w:p>
        </w:tc>
        <w:tc>
          <w:tcPr>
            <w:tcW w:w="1229" w:type="dxa"/>
            <w:tcBorders>
              <w:top w:val="single" w:sz="4" w:space="0" w:color="auto"/>
              <w:left w:val="single" w:sz="4" w:space="0" w:color="auto"/>
              <w:bottom w:val="single" w:sz="4" w:space="0" w:color="auto"/>
              <w:right w:val="single" w:sz="4" w:space="0" w:color="auto"/>
            </w:tcBorders>
            <w:hideMark/>
          </w:tcPr>
          <w:p w14:paraId="6F9AABD1"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1145</w:t>
            </w:r>
            <w:r w:rsidRPr="00B37A02">
              <w:rPr>
                <w:rFonts w:ascii="Times New Roman" w:hAnsi="Times New Roman" w:cs="Times New Roman"/>
                <w:sz w:val="24"/>
                <w:vertAlign w:val="superscript"/>
              </w:rPr>
              <w:t>*</w:t>
            </w:r>
          </w:p>
        </w:tc>
        <w:tc>
          <w:tcPr>
            <w:tcW w:w="1229" w:type="dxa"/>
            <w:tcBorders>
              <w:top w:val="single" w:sz="4" w:space="0" w:color="auto"/>
              <w:left w:val="single" w:sz="4" w:space="0" w:color="auto"/>
              <w:bottom w:val="single" w:sz="4" w:space="0" w:color="auto"/>
              <w:right w:val="single" w:sz="4" w:space="0" w:color="auto"/>
            </w:tcBorders>
            <w:hideMark/>
          </w:tcPr>
          <w:p w14:paraId="1BBE6FEF"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1062*</w:t>
            </w:r>
          </w:p>
        </w:tc>
        <w:tc>
          <w:tcPr>
            <w:tcW w:w="3651" w:type="dxa"/>
            <w:tcBorders>
              <w:top w:val="single" w:sz="4" w:space="0" w:color="auto"/>
              <w:left w:val="single" w:sz="4" w:space="0" w:color="auto"/>
              <w:bottom w:val="single" w:sz="4" w:space="0" w:color="auto"/>
              <w:right w:val="single" w:sz="4" w:space="0" w:color="auto"/>
            </w:tcBorders>
            <w:hideMark/>
          </w:tcPr>
          <w:p w14:paraId="73D8D2CD"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Nav piemērojams</w:t>
            </w:r>
          </w:p>
        </w:tc>
      </w:tr>
      <w:tr w:rsidR="00BC5BDF" w:rsidRPr="00B37A02" w14:paraId="39CA9826" w14:textId="77777777" w:rsidTr="007878F6">
        <w:tc>
          <w:tcPr>
            <w:tcW w:w="1951" w:type="dxa"/>
            <w:tcBorders>
              <w:top w:val="single" w:sz="4" w:space="0" w:color="auto"/>
              <w:left w:val="single" w:sz="4" w:space="0" w:color="auto"/>
              <w:bottom w:val="single" w:sz="4" w:space="0" w:color="auto"/>
              <w:right w:val="single" w:sz="4" w:space="0" w:color="auto"/>
            </w:tcBorders>
            <w:hideMark/>
          </w:tcPr>
          <w:p w14:paraId="2CFBA00B"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Horvātija</w:t>
            </w:r>
          </w:p>
        </w:tc>
        <w:tc>
          <w:tcPr>
            <w:tcW w:w="1228" w:type="dxa"/>
            <w:tcBorders>
              <w:top w:val="single" w:sz="4" w:space="0" w:color="auto"/>
              <w:left w:val="single" w:sz="4" w:space="0" w:color="auto"/>
              <w:bottom w:val="single" w:sz="4" w:space="0" w:color="auto"/>
              <w:right w:val="single" w:sz="4" w:space="0" w:color="auto"/>
            </w:tcBorders>
            <w:hideMark/>
          </w:tcPr>
          <w:p w14:paraId="4C378BAE"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200</w:t>
            </w:r>
          </w:p>
        </w:tc>
        <w:tc>
          <w:tcPr>
            <w:tcW w:w="1229" w:type="dxa"/>
            <w:tcBorders>
              <w:top w:val="single" w:sz="4" w:space="0" w:color="auto"/>
              <w:left w:val="single" w:sz="4" w:space="0" w:color="auto"/>
              <w:bottom w:val="single" w:sz="4" w:space="0" w:color="auto"/>
              <w:right w:val="single" w:sz="4" w:space="0" w:color="auto"/>
            </w:tcBorders>
            <w:hideMark/>
          </w:tcPr>
          <w:p w14:paraId="09F66935"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580</w:t>
            </w:r>
          </w:p>
        </w:tc>
        <w:tc>
          <w:tcPr>
            <w:tcW w:w="1229" w:type="dxa"/>
            <w:tcBorders>
              <w:top w:val="single" w:sz="4" w:space="0" w:color="auto"/>
              <w:left w:val="single" w:sz="4" w:space="0" w:color="auto"/>
              <w:bottom w:val="single" w:sz="4" w:space="0" w:color="auto"/>
              <w:right w:val="single" w:sz="4" w:space="0" w:color="auto"/>
            </w:tcBorders>
            <w:hideMark/>
          </w:tcPr>
          <w:p w14:paraId="4D2EC54F"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700</w:t>
            </w:r>
          </w:p>
        </w:tc>
        <w:tc>
          <w:tcPr>
            <w:tcW w:w="3651" w:type="dxa"/>
            <w:tcBorders>
              <w:top w:val="single" w:sz="4" w:space="0" w:color="auto"/>
              <w:left w:val="single" w:sz="4" w:space="0" w:color="auto"/>
              <w:bottom w:val="single" w:sz="4" w:space="0" w:color="auto"/>
              <w:right w:val="single" w:sz="4" w:space="0" w:color="auto"/>
            </w:tcBorders>
            <w:hideMark/>
          </w:tcPr>
          <w:p w14:paraId="1654443D"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Nav piemērojams</w:t>
            </w:r>
          </w:p>
        </w:tc>
      </w:tr>
      <w:tr w:rsidR="00BC5BDF" w:rsidRPr="00B37A02" w14:paraId="1C4774F6" w14:textId="77777777" w:rsidTr="007878F6">
        <w:tc>
          <w:tcPr>
            <w:tcW w:w="1951" w:type="dxa"/>
            <w:tcBorders>
              <w:top w:val="single" w:sz="4" w:space="0" w:color="auto"/>
              <w:left w:val="single" w:sz="4" w:space="0" w:color="auto"/>
              <w:bottom w:val="single" w:sz="4" w:space="0" w:color="auto"/>
              <w:right w:val="single" w:sz="4" w:space="0" w:color="auto"/>
            </w:tcBorders>
            <w:hideMark/>
          </w:tcPr>
          <w:p w14:paraId="2C3BC84A"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Kipra</w:t>
            </w:r>
          </w:p>
        </w:tc>
        <w:tc>
          <w:tcPr>
            <w:tcW w:w="1228" w:type="dxa"/>
            <w:tcBorders>
              <w:top w:val="single" w:sz="4" w:space="0" w:color="auto"/>
              <w:left w:val="single" w:sz="4" w:space="0" w:color="auto"/>
              <w:bottom w:val="single" w:sz="4" w:space="0" w:color="auto"/>
              <w:right w:val="single" w:sz="4" w:space="0" w:color="auto"/>
            </w:tcBorders>
            <w:hideMark/>
          </w:tcPr>
          <w:p w14:paraId="0C7F9A99"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410</w:t>
            </w:r>
          </w:p>
        </w:tc>
        <w:tc>
          <w:tcPr>
            <w:tcW w:w="1229" w:type="dxa"/>
            <w:tcBorders>
              <w:top w:val="single" w:sz="4" w:space="0" w:color="auto"/>
              <w:left w:val="single" w:sz="4" w:space="0" w:color="auto"/>
              <w:bottom w:val="single" w:sz="4" w:space="0" w:color="auto"/>
              <w:right w:val="single" w:sz="4" w:space="0" w:color="auto"/>
            </w:tcBorders>
            <w:hideMark/>
          </w:tcPr>
          <w:p w14:paraId="165A9FA6"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670</w:t>
            </w:r>
          </w:p>
        </w:tc>
        <w:tc>
          <w:tcPr>
            <w:tcW w:w="1229" w:type="dxa"/>
            <w:tcBorders>
              <w:top w:val="single" w:sz="4" w:space="0" w:color="auto"/>
              <w:left w:val="single" w:sz="4" w:space="0" w:color="auto"/>
              <w:bottom w:val="single" w:sz="4" w:space="0" w:color="auto"/>
              <w:right w:val="single" w:sz="4" w:space="0" w:color="auto"/>
            </w:tcBorders>
            <w:hideMark/>
          </w:tcPr>
          <w:p w14:paraId="2DAB6265"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580</w:t>
            </w:r>
          </w:p>
        </w:tc>
        <w:tc>
          <w:tcPr>
            <w:tcW w:w="3651" w:type="dxa"/>
            <w:tcBorders>
              <w:top w:val="single" w:sz="4" w:space="0" w:color="auto"/>
              <w:left w:val="single" w:sz="4" w:space="0" w:color="auto"/>
              <w:bottom w:val="single" w:sz="4" w:space="0" w:color="auto"/>
              <w:right w:val="single" w:sz="4" w:space="0" w:color="auto"/>
            </w:tcBorders>
            <w:hideMark/>
          </w:tcPr>
          <w:p w14:paraId="22EA9449"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Nav piemērojams</w:t>
            </w:r>
          </w:p>
        </w:tc>
      </w:tr>
      <w:tr w:rsidR="00BC5BDF" w:rsidRPr="00B37A02" w14:paraId="6264DB46" w14:textId="77777777" w:rsidTr="007878F6">
        <w:tc>
          <w:tcPr>
            <w:tcW w:w="1951" w:type="dxa"/>
            <w:tcBorders>
              <w:top w:val="single" w:sz="4" w:space="0" w:color="auto"/>
              <w:left w:val="single" w:sz="4" w:space="0" w:color="auto"/>
              <w:bottom w:val="single" w:sz="4" w:space="0" w:color="auto"/>
              <w:right w:val="single" w:sz="4" w:space="0" w:color="auto"/>
            </w:tcBorders>
            <w:hideMark/>
          </w:tcPr>
          <w:p w14:paraId="7C5EBCEF"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Čehija</w:t>
            </w:r>
          </w:p>
        </w:tc>
        <w:tc>
          <w:tcPr>
            <w:tcW w:w="1228" w:type="dxa"/>
            <w:tcBorders>
              <w:top w:val="single" w:sz="4" w:space="0" w:color="auto"/>
              <w:left w:val="single" w:sz="4" w:space="0" w:color="auto"/>
              <w:bottom w:val="single" w:sz="4" w:space="0" w:color="auto"/>
              <w:right w:val="single" w:sz="4" w:space="0" w:color="auto"/>
            </w:tcBorders>
            <w:hideMark/>
          </w:tcPr>
          <w:p w14:paraId="5983062C"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659</w:t>
            </w:r>
          </w:p>
        </w:tc>
        <w:tc>
          <w:tcPr>
            <w:tcW w:w="1229" w:type="dxa"/>
            <w:tcBorders>
              <w:top w:val="single" w:sz="4" w:space="0" w:color="auto"/>
              <w:left w:val="single" w:sz="4" w:space="0" w:color="auto"/>
              <w:bottom w:val="single" w:sz="4" w:space="0" w:color="auto"/>
              <w:right w:val="single" w:sz="4" w:space="0" w:color="auto"/>
            </w:tcBorders>
            <w:hideMark/>
          </w:tcPr>
          <w:p w14:paraId="1290AED0"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698</w:t>
            </w:r>
          </w:p>
        </w:tc>
        <w:tc>
          <w:tcPr>
            <w:tcW w:w="1229" w:type="dxa"/>
            <w:tcBorders>
              <w:top w:val="single" w:sz="4" w:space="0" w:color="auto"/>
              <w:left w:val="single" w:sz="4" w:space="0" w:color="auto"/>
              <w:bottom w:val="single" w:sz="4" w:space="0" w:color="auto"/>
              <w:right w:val="single" w:sz="4" w:space="0" w:color="auto"/>
            </w:tcBorders>
            <w:hideMark/>
          </w:tcPr>
          <w:p w14:paraId="538F1975"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690</w:t>
            </w:r>
          </w:p>
        </w:tc>
        <w:tc>
          <w:tcPr>
            <w:tcW w:w="3651" w:type="dxa"/>
            <w:tcBorders>
              <w:top w:val="single" w:sz="4" w:space="0" w:color="auto"/>
              <w:left w:val="single" w:sz="4" w:space="0" w:color="auto"/>
              <w:bottom w:val="single" w:sz="4" w:space="0" w:color="auto"/>
              <w:right w:val="single" w:sz="4" w:space="0" w:color="auto"/>
            </w:tcBorders>
            <w:hideMark/>
          </w:tcPr>
          <w:p w14:paraId="33D08AAD"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1485</w:t>
            </w:r>
          </w:p>
        </w:tc>
      </w:tr>
      <w:tr w:rsidR="00BC5BDF" w:rsidRPr="00B37A02" w14:paraId="58AA65C9" w14:textId="77777777" w:rsidTr="007878F6">
        <w:tc>
          <w:tcPr>
            <w:tcW w:w="1951" w:type="dxa"/>
            <w:tcBorders>
              <w:top w:val="single" w:sz="4" w:space="0" w:color="auto"/>
              <w:left w:val="single" w:sz="4" w:space="0" w:color="auto"/>
              <w:bottom w:val="single" w:sz="4" w:space="0" w:color="auto"/>
              <w:right w:val="single" w:sz="4" w:space="0" w:color="auto"/>
            </w:tcBorders>
            <w:hideMark/>
          </w:tcPr>
          <w:p w14:paraId="523CF0C2"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Dānija</w:t>
            </w:r>
          </w:p>
        </w:tc>
        <w:tc>
          <w:tcPr>
            <w:tcW w:w="1228" w:type="dxa"/>
            <w:tcBorders>
              <w:top w:val="single" w:sz="4" w:space="0" w:color="auto"/>
              <w:left w:val="single" w:sz="4" w:space="0" w:color="auto"/>
              <w:bottom w:val="single" w:sz="4" w:space="0" w:color="auto"/>
              <w:right w:val="single" w:sz="4" w:space="0" w:color="auto"/>
            </w:tcBorders>
            <w:hideMark/>
          </w:tcPr>
          <w:p w14:paraId="06ED24A3"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150</w:t>
            </w:r>
          </w:p>
        </w:tc>
        <w:tc>
          <w:tcPr>
            <w:tcW w:w="1229" w:type="dxa"/>
            <w:tcBorders>
              <w:top w:val="single" w:sz="4" w:space="0" w:color="auto"/>
              <w:left w:val="single" w:sz="4" w:space="0" w:color="auto"/>
              <w:bottom w:val="single" w:sz="4" w:space="0" w:color="auto"/>
              <w:right w:val="single" w:sz="4" w:space="0" w:color="auto"/>
            </w:tcBorders>
            <w:hideMark/>
          </w:tcPr>
          <w:p w14:paraId="52A332BE"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225</w:t>
            </w:r>
          </w:p>
        </w:tc>
        <w:tc>
          <w:tcPr>
            <w:tcW w:w="1229" w:type="dxa"/>
            <w:tcBorders>
              <w:top w:val="single" w:sz="4" w:space="0" w:color="auto"/>
              <w:left w:val="single" w:sz="4" w:space="0" w:color="auto"/>
              <w:bottom w:val="single" w:sz="4" w:space="0" w:color="auto"/>
              <w:right w:val="single" w:sz="4" w:space="0" w:color="auto"/>
            </w:tcBorders>
            <w:hideMark/>
          </w:tcPr>
          <w:p w14:paraId="59DE7F55"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Nav piemērojams</w:t>
            </w:r>
          </w:p>
        </w:tc>
        <w:tc>
          <w:tcPr>
            <w:tcW w:w="3651" w:type="dxa"/>
            <w:tcBorders>
              <w:top w:val="single" w:sz="4" w:space="0" w:color="auto"/>
              <w:left w:val="single" w:sz="4" w:space="0" w:color="auto"/>
              <w:bottom w:val="single" w:sz="4" w:space="0" w:color="auto"/>
              <w:right w:val="single" w:sz="4" w:space="0" w:color="auto"/>
            </w:tcBorders>
            <w:hideMark/>
          </w:tcPr>
          <w:p w14:paraId="47C7D7B0"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150/225</w:t>
            </w:r>
          </w:p>
        </w:tc>
      </w:tr>
      <w:tr w:rsidR="00BC5BDF" w:rsidRPr="00B37A02" w14:paraId="7C2062BD" w14:textId="77777777" w:rsidTr="007878F6">
        <w:tc>
          <w:tcPr>
            <w:tcW w:w="1951" w:type="dxa"/>
            <w:tcBorders>
              <w:top w:val="single" w:sz="4" w:space="0" w:color="auto"/>
              <w:left w:val="single" w:sz="4" w:space="0" w:color="auto"/>
              <w:bottom w:val="single" w:sz="4" w:space="0" w:color="auto"/>
              <w:right w:val="single" w:sz="4" w:space="0" w:color="auto"/>
            </w:tcBorders>
            <w:hideMark/>
          </w:tcPr>
          <w:p w14:paraId="1C0FAA9C"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Igaunija</w:t>
            </w:r>
          </w:p>
        </w:tc>
        <w:tc>
          <w:tcPr>
            <w:tcW w:w="1228" w:type="dxa"/>
            <w:tcBorders>
              <w:top w:val="single" w:sz="4" w:space="0" w:color="auto"/>
              <w:left w:val="single" w:sz="4" w:space="0" w:color="auto"/>
              <w:bottom w:val="single" w:sz="4" w:space="0" w:color="auto"/>
              <w:right w:val="single" w:sz="4" w:space="0" w:color="auto"/>
            </w:tcBorders>
            <w:hideMark/>
          </w:tcPr>
          <w:p w14:paraId="2010ED4D"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Nav piemērojams</w:t>
            </w:r>
          </w:p>
        </w:tc>
        <w:tc>
          <w:tcPr>
            <w:tcW w:w="1229" w:type="dxa"/>
            <w:tcBorders>
              <w:top w:val="single" w:sz="4" w:space="0" w:color="auto"/>
              <w:left w:val="single" w:sz="4" w:space="0" w:color="auto"/>
              <w:bottom w:val="single" w:sz="4" w:space="0" w:color="auto"/>
              <w:right w:val="single" w:sz="4" w:space="0" w:color="auto"/>
            </w:tcBorders>
            <w:hideMark/>
          </w:tcPr>
          <w:p w14:paraId="446C7984"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Nav piemērojams</w:t>
            </w:r>
          </w:p>
        </w:tc>
        <w:tc>
          <w:tcPr>
            <w:tcW w:w="1229" w:type="dxa"/>
            <w:tcBorders>
              <w:top w:val="single" w:sz="4" w:space="0" w:color="auto"/>
              <w:left w:val="single" w:sz="4" w:space="0" w:color="auto"/>
              <w:bottom w:val="single" w:sz="4" w:space="0" w:color="auto"/>
              <w:right w:val="single" w:sz="4" w:space="0" w:color="auto"/>
            </w:tcBorders>
            <w:hideMark/>
          </w:tcPr>
          <w:p w14:paraId="107E8EEE"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Nav piemērojams</w:t>
            </w:r>
          </w:p>
        </w:tc>
        <w:tc>
          <w:tcPr>
            <w:tcW w:w="3651" w:type="dxa"/>
            <w:tcBorders>
              <w:top w:val="single" w:sz="4" w:space="0" w:color="auto"/>
              <w:left w:val="single" w:sz="4" w:space="0" w:color="auto"/>
              <w:bottom w:val="single" w:sz="4" w:space="0" w:color="auto"/>
              <w:right w:val="single" w:sz="4" w:space="0" w:color="auto"/>
            </w:tcBorders>
            <w:hideMark/>
          </w:tcPr>
          <w:p w14:paraId="623DE8FF"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382</w:t>
            </w:r>
          </w:p>
        </w:tc>
      </w:tr>
      <w:tr w:rsidR="00BC5BDF" w:rsidRPr="00B37A02" w14:paraId="463946B6" w14:textId="77777777" w:rsidTr="007878F6">
        <w:tc>
          <w:tcPr>
            <w:tcW w:w="1951" w:type="dxa"/>
            <w:tcBorders>
              <w:top w:val="single" w:sz="4" w:space="0" w:color="auto"/>
              <w:left w:val="single" w:sz="4" w:space="0" w:color="auto"/>
              <w:bottom w:val="single" w:sz="4" w:space="0" w:color="auto"/>
              <w:right w:val="single" w:sz="4" w:space="0" w:color="auto"/>
            </w:tcBorders>
            <w:hideMark/>
          </w:tcPr>
          <w:p w14:paraId="0178E047"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Francija</w:t>
            </w:r>
          </w:p>
        </w:tc>
        <w:tc>
          <w:tcPr>
            <w:tcW w:w="1228" w:type="dxa"/>
            <w:tcBorders>
              <w:top w:val="single" w:sz="4" w:space="0" w:color="auto"/>
              <w:left w:val="single" w:sz="4" w:space="0" w:color="auto"/>
              <w:bottom w:val="single" w:sz="4" w:space="0" w:color="auto"/>
              <w:right w:val="single" w:sz="4" w:space="0" w:color="auto"/>
            </w:tcBorders>
            <w:hideMark/>
          </w:tcPr>
          <w:p w14:paraId="1540C1C3"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291</w:t>
            </w:r>
          </w:p>
        </w:tc>
        <w:tc>
          <w:tcPr>
            <w:tcW w:w="1229" w:type="dxa"/>
            <w:tcBorders>
              <w:top w:val="single" w:sz="4" w:space="0" w:color="auto"/>
              <w:left w:val="single" w:sz="4" w:space="0" w:color="auto"/>
              <w:bottom w:val="single" w:sz="4" w:space="0" w:color="auto"/>
              <w:right w:val="single" w:sz="4" w:space="0" w:color="auto"/>
            </w:tcBorders>
            <w:hideMark/>
          </w:tcPr>
          <w:p w14:paraId="705611A2"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906</w:t>
            </w:r>
          </w:p>
        </w:tc>
        <w:tc>
          <w:tcPr>
            <w:tcW w:w="1229" w:type="dxa"/>
            <w:tcBorders>
              <w:top w:val="single" w:sz="4" w:space="0" w:color="auto"/>
              <w:left w:val="single" w:sz="4" w:space="0" w:color="auto"/>
              <w:bottom w:val="single" w:sz="4" w:space="0" w:color="auto"/>
              <w:right w:val="single" w:sz="4" w:space="0" w:color="auto"/>
            </w:tcBorders>
            <w:hideMark/>
          </w:tcPr>
          <w:p w14:paraId="30EF573F"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1036</w:t>
            </w:r>
          </w:p>
        </w:tc>
        <w:tc>
          <w:tcPr>
            <w:tcW w:w="3651" w:type="dxa"/>
            <w:tcBorders>
              <w:top w:val="single" w:sz="4" w:space="0" w:color="auto"/>
              <w:left w:val="single" w:sz="4" w:space="0" w:color="auto"/>
              <w:bottom w:val="single" w:sz="4" w:space="0" w:color="auto"/>
              <w:right w:val="single" w:sz="4" w:space="0" w:color="auto"/>
            </w:tcBorders>
            <w:hideMark/>
          </w:tcPr>
          <w:p w14:paraId="68F2D098"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370/404</w:t>
            </w:r>
          </w:p>
        </w:tc>
      </w:tr>
      <w:tr w:rsidR="00BC5BDF" w:rsidRPr="00B37A02" w14:paraId="627CEF59" w14:textId="77777777" w:rsidTr="007878F6">
        <w:tc>
          <w:tcPr>
            <w:tcW w:w="1951" w:type="dxa"/>
            <w:tcBorders>
              <w:top w:val="single" w:sz="4" w:space="0" w:color="auto"/>
              <w:left w:val="single" w:sz="4" w:space="0" w:color="auto"/>
              <w:bottom w:val="single" w:sz="4" w:space="0" w:color="auto"/>
              <w:right w:val="single" w:sz="4" w:space="0" w:color="auto"/>
            </w:tcBorders>
            <w:hideMark/>
          </w:tcPr>
          <w:p w14:paraId="1E5A98C0"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Vācija</w:t>
            </w:r>
          </w:p>
        </w:tc>
        <w:tc>
          <w:tcPr>
            <w:tcW w:w="1228" w:type="dxa"/>
            <w:tcBorders>
              <w:top w:val="single" w:sz="4" w:space="0" w:color="auto"/>
              <w:left w:val="single" w:sz="4" w:space="0" w:color="auto"/>
              <w:bottom w:val="single" w:sz="4" w:space="0" w:color="auto"/>
              <w:right w:val="single" w:sz="4" w:space="0" w:color="auto"/>
            </w:tcBorders>
            <w:hideMark/>
          </w:tcPr>
          <w:p w14:paraId="14A2AF0E"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Nav piemērojams</w:t>
            </w:r>
          </w:p>
        </w:tc>
        <w:tc>
          <w:tcPr>
            <w:tcW w:w="1229" w:type="dxa"/>
            <w:tcBorders>
              <w:top w:val="single" w:sz="4" w:space="0" w:color="auto"/>
              <w:left w:val="single" w:sz="4" w:space="0" w:color="auto"/>
              <w:bottom w:val="single" w:sz="4" w:space="0" w:color="auto"/>
              <w:right w:val="single" w:sz="4" w:space="0" w:color="auto"/>
            </w:tcBorders>
            <w:hideMark/>
          </w:tcPr>
          <w:p w14:paraId="4022737E"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Nav piemērojams</w:t>
            </w:r>
          </w:p>
        </w:tc>
        <w:tc>
          <w:tcPr>
            <w:tcW w:w="1229" w:type="dxa"/>
            <w:tcBorders>
              <w:top w:val="single" w:sz="4" w:space="0" w:color="auto"/>
              <w:left w:val="single" w:sz="4" w:space="0" w:color="auto"/>
              <w:bottom w:val="single" w:sz="4" w:space="0" w:color="auto"/>
              <w:right w:val="single" w:sz="4" w:space="0" w:color="auto"/>
            </w:tcBorders>
            <w:hideMark/>
          </w:tcPr>
          <w:p w14:paraId="04B58696"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Nav piemērojams</w:t>
            </w:r>
          </w:p>
        </w:tc>
        <w:tc>
          <w:tcPr>
            <w:tcW w:w="3651" w:type="dxa"/>
            <w:tcBorders>
              <w:top w:val="single" w:sz="4" w:space="0" w:color="auto"/>
              <w:left w:val="single" w:sz="4" w:space="0" w:color="auto"/>
              <w:bottom w:val="single" w:sz="4" w:space="0" w:color="auto"/>
              <w:right w:val="single" w:sz="4" w:space="0" w:color="auto"/>
            </w:tcBorders>
            <w:hideMark/>
          </w:tcPr>
          <w:p w14:paraId="42F8EBDA"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150</w:t>
            </w:r>
          </w:p>
        </w:tc>
      </w:tr>
      <w:tr w:rsidR="00BC5BDF" w:rsidRPr="00B37A02" w14:paraId="0136F474" w14:textId="77777777" w:rsidTr="007878F6">
        <w:tc>
          <w:tcPr>
            <w:tcW w:w="1951" w:type="dxa"/>
            <w:tcBorders>
              <w:top w:val="single" w:sz="4" w:space="0" w:color="auto"/>
              <w:left w:val="single" w:sz="4" w:space="0" w:color="auto"/>
              <w:bottom w:val="single" w:sz="4" w:space="0" w:color="auto"/>
              <w:right w:val="single" w:sz="4" w:space="0" w:color="auto"/>
            </w:tcBorders>
            <w:hideMark/>
          </w:tcPr>
          <w:p w14:paraId="6DF70B69"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Grieķija</w:t>
            </w:r>
          </w:p>
        </w:tc>
        <w:tc>
          <w:tcPr>
            <w:tcW w:w="1228" w:type="dxa"/>
            <w:tcBorders>
              <w:top w:val="single" w:sz="4" w:space="0" w:color="auto"/>
              <w:left w:val="single" w:sz="4" w:space="0" w:color="auto"/>
              <w:bottom w:val="single" w:sz="4" w:space="0" w:color="auto"/>
              <w:right w:val="single" w:sz="4" w:space="0" w:color="auto"/>
            </w:tcBorders>
            <w:hideMark/>
          </w:tcPr>
          <w:p w14:paraId="397DB26E"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210</w:t>
            </w:r>
          </w:p>
        </w:tc>
        <w:tc>
          <w:tcPr>
            <w:tcW w:w="1229" w:type="dxa"/>
            <w:tcBorders>
              <w:top w:val="single" w:sz="4" w:space="0" w:color="auto"/>
              <w:left w:val="single" w:sz="4" w:space="0" w:color="auto"/>
              <w:bottom w:val="single" w:sz="4" w:space="0" w:color="auto"/>
              <w:right w:val="single" w:sz="4" w:space="0" w:color="auto"/>
            </w:tcBorders>
            <w:hideMark/>
          </w:tcPr>
          <w:p w14:paraId="26330665"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350</w:t>
            </w:r>
          </w:p>
        </w:tc>
        <w:tc>
          <w:tcPr>
            <w:tcW w:w="1229" w:type="dxa"/>
            <w:tcBorders>
              <w:top w:val="single" w:sz="4" w:space="0" w:color="auto"/>
              <w:left w:val="single" w:sz="4" w:space="0" w:color="auto"/>
              <w:bottom w:val="single" w:sz="4" w:space="0" w:color="auto"/>
              <w:right w:val="single" w:sz="4" w:space="0" w:color="auto"/>
            </w:tcBorders>
            <w:hideMark/>
          </w:tcPr>
          <w:p w14:paraId="0E8921C4"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350</w:t>
            </w:r>
          </w:p>
        </w:tc>
        <w:tc>
          <w:tcPr>
            <w:tcW w:w="3651" w:type="dxa"/>
            <w:tcBorders>
              <w:top w:val="single" w:sz="4" w:space="0" w:color="auto"/>
              <w:left w:val="single" w:sz="4" w:space="0" w:color="auto"/>
              <w:bottom w:val="single" w:sz="4" w:space="0" w:color="auto"/>
              <w:right w:val="single" w:sz="4" w:space="0" w:color="auto"/>
            </w:tcBorders>
            <w:hideMark/>
          </w:tcPr>
          <w:p w14:paraId="3DE12436"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0</w:t>
            </w:r>
          </w:p>
        </w:tc>
      </w:tr>
      <w:tr w:rsidR="00BC5BDF" w:rsidRPr="00B37A02" w14:paraId="4CAFF392" w14:textId="77777777" w:rsidTr="007878F6">
        <w:tc>
          <w:tcPr>
            <w:tcW w:w="1951" w:type="dxa"/>
            <w:tcBorders>
              <w:top w:val="single" w:sz="4" w:space="0" w:color="auto"/>
              <w:left w:val="single" w:sz="4" w:space="0" w:color="auto"/>
              <w:bottom w:val="single" w:sz="4" w:space="0" w:color="auto"/>
              <w:right w:val="single" w:sz="4" w:space="0" w:color="auto"/>
            </w:tcBorders>
            <w:hideMark/>
          </w:tcPr>
          <w:p w14:paraId="344CA889"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Ungārija</w:t>
            </w:r>
          </w:p>
        </w:tc>
        <w:tc>
          <w:tcPr>
            <w:tcW w:w="1228" w:type="dxa"/>
            <w:tcBorders>
              <w:top w:val="single" w:sz="4" w:space="0" w:color="auto"/>
              <w:left w:val="single" w:sz="4" w:space="0" w:color="auto"/>
              <w:bottom w:val="single" w:sz="4" w:space="0" w:color="auto"/>
              <w:right w:val="single" w:sz="4" w:space="0" w:color="auto"/>
            </w:tcBorders>
            <w:hideMark/>
          </w:tcPr>
          <w:p w14:paraId="7BEA518E"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78</w:t>
            </w:r>
          </w:p>
        </w:tc>
        <w:tc>
          <w:tcPr>
            <w:tcW w:w="1229" w:type="dxa"/>
            <w:tcBorders>
              <w:top w:val="single" w:sz="4" w:space="0" w:color="auto"/>
              <w:left w:val="single" w:sz="4" w:space="0" w:color="auto"/>
              <w:bottom w:val="single" w:sz="4" w:space="0" w:color="auto"/>
              <w:right w:val="single" w:sz="4" w:space="0" w:color="auto"/>
            </w:tcBorders>
            <w:hideMark/>
          </w:tcPr>
          <w:p w14:paraId="6747AC5B"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78</w:t>
            </w:r>
          </w:p>
        </w:tc>
        <w:tc>
          <w:tcPr>
            <w:tcW w:w="1229" w:type="dxa"/>
            <w:tcBorders>
              <w:top w:val="single" w:sz="4" w:space="0" w:color="auto"/>
              <w:left w:val="single" w:sz="4" w:space="0" w:color="auto"/>
              <w:bottom w:val="single" w:sz="4" w:space="0" w:color="auto"/>
              <w:right w:val="single" w:sz="4" w:space="0" w:color="auto"/>
            </w:tcBorders>
            <w:hideMark/>
          </w:tcPr>
          <w:p w14:paraId="43AC19B7"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78</w:t>
            </w:r>
          </w:p>
        </w:tc>
        <w:tc>
          <w:tcPr>
            <w:tcW w:w="3651" w:type="dxa"/>
            <w:tcBorders>
              <w:top w:val="single" w:sz="4" w:space="0" w:color="auto"/>
              <w:left w:val="single" w:sz="4" w:space="0" w:color="auto"/>
              <w:bottom w:val="single" w:sz="4" w:space="0" w:color="auto"/>
              <w:right w:val="single" w:sz="4" w:space="0" w:color="auto"/>
            </w:tcBorders>
            <w:hideMark/>
          </w:tcPr>
          <w:p w14:paraId="3C636895"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114</w:t>
            </w:r>
          </w:p>
        </w:tc>
      </w:tr>
      <w:tr w:rsidR="00BC5BDF" w:rsidRPr="00B37A02" w14:paraId="281B8886" w14:textId="77777777" w:rsidTr="007878F6">
        <w:tc>
          <w:tcPr>
            <w:tcW w:w="1951" w:type="dxa"/>
            <w:tcBorders>
              <w:top w:val="single" w:sz="4" w:space="0" w:color="auto"/>
              <w:left w:val="single" w:sz="4" w:space="0" w:color="auto"/>
              <w:bottom w:val="single" w:sz="4" w:space="0" w:color="auto"/>
              <w:right w:val="single" w:sz="4" w:space="0" w:color="auto"/>
            </w:tcBorders>
            <w:hideMark/>
          </w:tcPr>
          <w:p w14:paraId="152000E8"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Īrija</w:t>
            </w:r>
          </w:p>
        </w:tc>
        <w:tc>
          <w:tcPr>
            <w:tcW w:w="1228" w:type="dxa"/>
            <w:tcBorders>
              <w:top w:val="single" w:sz="4" w:space="0" w:color="auto"/>
              <w:left w:val="single" w:sz="4" w:space="0" w:color="auto"/>
              <w:bottom w:val="single" w:sz="4" w:space="0" w:color="auto"/>
              <w:right w:val="single" w:sz="4" w:space="0" w:color="auto"/>
            </w:tcBorders>
            <w:hideMark/>
          </w:tcPr>
          <w:p w14:paraId="07CF8818"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380</w:t>
            </w:r>
          </w:p>
        </w:tc>
        <w:tc>
          <w:tcPr>
            <w:tcW w:w="1229" w:type="dxa"/>
            <w:tcBorders>
              <w:top w:val="single" w:sz="4" w:space="0" w:color="auto"/>
              <w:left w:val="single" w:sz="4" w:space="0" w:color="auto"/>
              <w:bottom w:val="single" w:sz="4" w:space="0" w:color="auto"/>
              <w:right w:val="single" w:sz="4" w:space="0" w:color="auto"/>
            </w:tcBorders>
            <w:hideMark/>
          </w:tcPr>
          <w:p w14:paraId="3FA4C2F5"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735</w:t>
            </w:r>
          </w:p>
        </w:tc>
        <w:tc>
          <w:tcPr>
            <w:tcW w:w="1229" w:type="dxa"/>
            <w:tcBorders>
              <w:top w:val="single" w:sz="4" w:space="0" w:color="auto"/>
              <w:left w:val="single" w:sz="4" w:space="0" w:color="auto"/>
              <w:bottom w:val="single" w:sz="4" w:space="0" w:color="auto"/>
              <w:right w:val="single" w:sz="4" w:space="0" w:color="auto"/>
            </w:tcBorders>
            <w:hideMark/>
          </w:tcPr>
          <w:p w14:paraId="2ED7FA5C"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735</w:t>
            </w:r>
          </w:p>
        </w:tc>
        <w:tc>
          <w:tcPr>
            <w:tcW w:w="3651" w:type="dxa"/>
            <w:tcBorders>
              <w:top w:val="single" w:sz="4" w:space="0" w:color="auto"/>
              <w:left w:val="single" w:sz="4" w:space="0" w:color="auto"/>
              <w:bottom w:val="single" w:sz="4" w:space="0" w:color="auto"/>
              <w:right w:val="single" w:sz="4" w:space="0" w:color="auto"/>
            </w:tcBorders>
            <w:hideMark/>
          </w:tcPr>
          <w:p w14:paraId="2EAC6E98"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150/275</w:t>
            </w:r>
          </w:p>
        </w:tc>
      </w:tr>
      <w:tr w:rsidR="00BC5BDF" w:rsidRPr="00B37A02" w14:paraId="2A525ABF" w14:textId="77777777" w:rsidTr="007878F6">
        <w:tc>
          <w:tcPr>
            <w:tcW w:w="1951" w:type="dxa"/>
            <w:tcBorders>
              <w:top w:val="single" w:sz="4" w:space="0" w:color="auto"/>
              <w:left w:val="single" w:sz="4" w:space="0" w:color="auto"/>
              <w:bottom w:val="single" w:sz="4" w:space="0" w:color="auto"/>
              <w:right w:val="single" w:sz="4" w:space="0" w:color="auto"/>
            </w:tcBorders>
            <w:hideMark/>
          </w:tcPr>
          <w:p w14:paraId="43514536"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Itālija</w:t>
            </w:r>
          </w:p>
        </w:tc>
        <w:tc>
          <w:tcPr>
            <w:tcW w:w="1228" w:type="dxa"/>
            <w:tcBorders>
              <w:top w:val="single" w:sz="4" w:space="0" w:color="auto"/>
              <w:left w:val="single" w:sz="4" w:space="0" w:color="auto"/>
              <w:bottom w:val="single" w:sz="4" w:space="0" w:color="auto"/>
              <w:right w:val="single" w:sz="4" w:space="0" w:color="auto"/>
            </w:tcBorders>
            <w:hideMark/>
          </w:tcPr>
          <w:p w14:paraId="1FD8FBDD"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250</w:t>
            </w:r>
          </w:p>
        </w:tc>
        <w:tc>
          <w:tcPr>
            <w:tcW w:w="1229" w:type="dxa"/>
            <w:tcBorders>
              <w:top w:val="single" w:sz="4" w:space="0" w:color="auto"/>
              <w:left w:val="single" w:sz="4" w:space="0" w:color="auto"/>
              <w:bottom w:val="single" w:sz="4" w:space="0" w:color="auto"/>
              <w:right w:val="single" w:sz="4" w:space="0" w:color="auto"/>
            </w:tcBorders>
            <w:hideMark/>
          </w:tcPr>
          <w:p w14:paraId="62431F8E"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1150</w:t>
            </w:r>
          </w:p>
        </w:tc>
        <w:tc>
          <w:tcPr>
            <w:tcW w:w="1229" w:type="dxa"/>
            <w:tcBorders>
              <w:top w:val="single" w:sz="4" w:space="0" w:color="auto"/>
              <w:left w:val="single" w:sz="4" w:space="0" w:color="auto"/>
              <w:bottom w:val="single" w:sz="4" w:space="0" w:color="auto"/>
              <w:right w:val="single" w:sz="4" w:space="0" w:color="auto"/>
            </w:tcBorders>
            <w:hideMark/>
          </w:tcPr>
          <w:p w14:paraId="441E755C"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900</w:t>
            </w:r>
          </w:p>
        </w:tc>
        <w:tc>
          <w:tcPr>
            <w:tcW w:w="3651" w:type="dxa"/>
            <w:tcBorders>
              <w:top w:val="single" w:sz="4" w:space="0" w:color="auto"/>
              <w:left w:val="single" w:sz="4" w:space="0" w:color="auto"/>
              <w:bottom w:val="single" w:sz="4" w:space="0" w:color="auto"/>
              <w:right w:val="single" w:sz="4" w:space="0" w:color="auto"/>
            </w:tcBorders>
            <w:hideMark/>
          </w:tcPr>
          <w:p w14:paraId="5F891E0A"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Nav piemērojams</w:t>
            </w:r>
          </w:p>
        </w:tc>
      </w:tr>
      <w:tr w:rsidR="00BC5BDF" w:rsidRPr="00B37A02" w14:paraId="08CBC34A" w14:textId="77777777" w:rsidTr="007878F6">
        <w:tc>
          <w:tcPr>
            <w:tcW w:w="1951" w:type="dxa"/>
            <w:tcBorders>
              <w:top w:val="single" w:sz="4" w:space="0" w:color="auto"/>
              <w:left w:val="single" w:sz="4" w:space="0" w:color="auto"/>
              <w:bottom w:val="single" w:sz="4" w:space="0" w:color="auto"/>
              <w:right w:val="single" w:sz="4" w:space="0" w:color="auto"/>
            </w:tcBorders>
            <w:hideMark/>
          </w:tcPr>
          <w:p w14:paraId="3470278E"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Latvija</w:t>
            </w:r>
          </w:p>
        </w:tc>
        <w:tc>
          <w:tcPr>
            <w:tcW w:w="1228" w:type="dxa"/>
            <w:tcBorders>
              <w:top w:val="single" w:sz="4" w:space="0" w:color="auto"/>
              <w:left w:val="single" w:sz="4" w:space="0" w:color="auto"/>
              <w:bottom w:val="single" w:sz="4" w:space="0" w:color="auto"/>
              <w:right w:val="single" w:sz="4" w:space="0" w:color="auto"/>
            </w:tcBorders>
            <w:hideMark/>
          </w:tcPr>
          <w:p w14:paraId="4DAA4814"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250</w:t>
            </w:r>
          </w:p>
        </w:tc>
        <w:tc>
          <w:tcPr>
            <w:tcW w:w="1229" w:type="dxa"/>
            <w:tcBorders>
              <w:top w:val="single" w:sz="4" w:space="0" w:color="auto"/>
              <w:left w:val="single" w:sz="4" w:space="0" w:color="auto"/>
              <w:bottom w:val="single" w:sz="4" w:space="0" w:color="auto"/>
              <w:right w:val="single" w:sz="4" w:space="0" w:color="auto"/>
            </w:tcBorders>
            <w:hideMark/>
          </w:tcPr>
          <w:p w14:paraId="189C0AC6"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250</w:t>
            </w:r>
          </w:p>
        </w:tc>
        <w:tc>
          <w:tcPr>
            <w:tcW w:w="1229" w:type="dxa"/>
            <w:tcBorders>
              <w:top w:val="single" w:sz="4" w:space="0" w:color="auto"/>
              <w:left w:val="single" w:sz="4" w:space="0" w:color="auto"/>
              <w:bottom w:val="single" w:sz="4" w:space="0" w:color="auto"/>
              <w:right w:val="single" w:sz="4" w:space="0" w:color="auto"/>
            </w:tcBorders>
            <w:hideMark/>
          </w:tcPr>
          <w:p w14:paraId="355609CC"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250</w:t>
            </w:r>
          </w:p>
        </w:tc>
        <w:tc>
          <w:tcPr>
            <w:tcW w:w="3651" w:type="dxa"/>
            <w:tcBorders>
              <w:top w:val="single" w:sz="4" w:space="0" w:color="auto"/>
              <w:left w:val="single" w:sz="4" w:space="0" w:color="auto"/>
              <w:bottom w:val="single" w:sz="4" w:space="0" w:color="auto"/>
              <w:right w:val="single" w:sz="4" w:space="0" w:color="auto"/>
            </w:tcBorders>
            <w:hideMark/>
          </w:tcPr>
          <w:p w14:paraId="40C2B5F8"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45</w:t>
            </w:r>
          </w:p>
        </w:tc>
      </w:tr>
      <w:tr w:rsidR="00BC5BDF" w:rsidRPr="00B37A02" w14:paraId="4820D00F" w14:textId="77777777" w:rsidTr="007878F6">
        <w:tc>
          <w:tcPr>
            <w:tcW w:w="1951" w:type="dxa"/>
            <w:tcBorders>
              <w:top w:val="single" w:sz="4" w:space="0" w:color="auto"/>
              <w:left w:val="single" w:sz="4" w:space="0" w:color="auto"/>
              <w:bottom w:val="single" w:sz="4" w:space="0" w:color="auto"/>
              <w:right w:val="single" w:sz="4" w:space="0" w:color="auto"/>
            </w:tcBorders>
            <w:hideMark/>
          </w:tcPr>
          <w:p w14:paraId="0C0F9958"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Lietuva</w:t>
            </w:r>
          </w:p>
        </w:tc>
        <w:tc>
          <w:tcPr>
            <w:tcW w:w="1228" w:type="dxa"/>
            <w:tcBorders>
              <w:top w:val="single" w:sz="4" w:space="0" w:color="auto"/>
              <w:left w:val="single" w:sz="4" w:space="0" w:color="auto"/>
              <w:bottom w:val="single" w:sz="4" w:space="0" w:color="auto"/>
              <w:right w:val="single" w:sz="4" w:space="0" w:color="auto"/>
            </w:tcBorders>
            <w:hideMark/>
          </w:tcPr>
          <w:p w14:paraId="4D7A85EE"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280</w:t>
            </w:r>
          </w:p>
        </w:tc>
        <w:tc>
          <w:tcPr>
            <w:tcW w:w="1229" w:type="dxa"/>
            <w:tcBorders>
              <w:top w:val="single" w:sz="4" w:space="0" w:color="auto"/>
              <w:left w:val="single" w:sz="4" w:space="0" w:color="auto"/>
              <w:bottom w:val="single" w:sz="4" w:space="0" w:color="auto"/>
              <w:right w:val="single" w:sz="4" w:space="0" w:color="auto"/>
            </w:tcBorders>
            <w:hideMark/>
          </w:tcPr>
          <w:p w14:paraId="7070E7CE"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280</w:t>
            </w:r>
          </w:p>
        </w:tc>
        <w:tc>
          <w:tcPr>
            <w:tcW w:w="1229" w:type="dxa"/>
            <w:tcBorders>
              <w:top w:val="single" w:sz="4" w:space="0" w:color="auto"/>
              <w:left w:val="single" w:sz="4" w:space="0" w:color="auto"/>
              <w:bottom w:val="single" w:sz="4" w:space="0" w:color="auto"/>
              <w:right w:val="single" w:sz="4" w:space="0" w:color="auto"/>
            </w:tcBorders>
            <w:hideMark/>
          </w:tcPr>
          <w:p w14:paraId="3679BCB4"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Nav piemērojams</w:t>
            </w:r>
          </w:p>
        </w:tc>
        <w:tc>
          <w:tcPr>
            <w:tcW w:w="3651" w:type="dxa"/>
            <w:tcBorders>
              <w:top w:val="single" w:sz="4" w:space="0" w:color="auto"/>
              <w:left w:val="single" w:sz="4" w:space="0" w:color="auto"/>
              <w:bottom w:val="single" w:sz="4" w:space="0" w:color="auto"/>
              <w:right w:val="single" w:sz="4" w:space="0" w:color="auto"/>
            </w:tcBorders>
            <w:hideMark/>
          </w:tcPr>
          <w:p w14:paraId="77490A66"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78</w:t>
            </w:r>
          </w:p>
        </w:tc>
      </w:tr>
      <w:tr w:rsidR="00BC5BDF" w:rsidRPr="00B37A02" w14:paraId="410D29A0" w14:textId="77777777" w:rsidTr="007878F6">
        <w:tc>
          <w:tcPr>
            <w:tcW w:w="1951" w:type="dxa"/>
            <w:tcBorders>
              <w:top w:val="single" w:sz="4" w:space="0" w:color="auto"/>
              <w:left w:val="single" w:sz="4" w:space="0" w:color="auto"/>
              <w:bottom w:val="single" w:sz="4" w:space="0" w:color="auto"/>
              <w:right w:val="single" w:sz="4" w:space="0" w:color="auto"/>
            </w:tcBorders>
            <w:hideMark/>
          </w:tcPr>
          <w:p w14:paraId="2DDAA398"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Luksemburga</w:t>
            </w:r>
          </w:p>
        </w:tc>
        <w:tc>
          <w:tcPr>
            <w:tcW w:w="1228" w:type="dxa"/>
            <w:tcBorders>
              <w:top w:val="single" w:sz="4" w:space="0" w:color="auto"/>
              <w:left w:val="single" w:sz="4" w:space="0" w:color="auto"/>
              <w:bottom w:val="single" w:sz="4" w:space="0" w:color="auto"/>
              <w:right w:val="single" w:sz="4" w:space="0" w:color="auto"/>
            </w:tcBorders>
            <w:hideMark/>
          </w:tcPr>
          <w:p w14:paraId="37C2D762"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193</w:t>
            </w:r>
          </w:p>
        </w:tc>
        <w:tc>
          <w:tcPr>
            <w:tcW w:w="1229" w:type="dxa"/>
            <w:tcBorders>
              <w:top w:val="single" w:sz="4" w:space="0" w:color="auto"/>
              <w:left w:val="single" w:sz="4" w:space="0" w:color="auto"/>
              <w:bottom w:val="single" w:sz="4" w:space="0" w:color="auto"/>
              <w:right w:val="single" w:sz="4" w:space="0" w:color="auto"/>
            </w:tcBorders>
            <w:hideMark/>
          </w:tcPr>
          <w:p w14:paraId="48CDAA49"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273</w:t>
            </w:r>
          </w:p>
        </w:tc>
        <w:tc>
          <w:tcPr>
            <w:tcW w:w="1229" w:type="dxa"/>
            <w:tcBorders>
              <w:top w:val="single" w:sz="4" w:space="0" w:color="auto"/>
              <w:left w:val="single" w:sz="4" w:space="0" w:color="auto"/>
              <w:bottom w:val="single" w:sz="4" w:space="0" w:color="auto"/>
              <w:right w:val="single" w:sz="4" w:space="0" w:color="auto"/>
            </w:tcBorders>
            <w:hideMark/>
          </w:tcPr>
          <w:p w14:paraId="150A8AA3"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Nav piemērojams</w:t>
            </w:r>
          </w:p>
        </w:tc>
        <w:tc>
          <w:tcPr>
            <w:tcW w:w="3651" w:type="dxa"/>
            <w:tcBorders>
              <w:top w:val="single" w:sz="4" w:space="0" w:color="auto"/>
              <w:left w:val="single" w:sz="4" w:space="0" w:color="auto"/>
              <w:bottom w:val="single" w:sz="4" w:space="0" w:color="auto"/>
              <w:right w:val="single" w:sz="4" w:space="0" w:color="auto"/>
            </w:tcBorders>
            <w:hideMark/>
          </w:tcPr>
          <w:p w14:paraId="50755A11"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1081</w:t>
            </w:r>
          </w:p>
        </w:tc>
      </w:tr>
      <w:tr w:rsidR="00BC5BDF" w:rsidRPr="00B37A02" w14:paraId="4FBE0502" w14:textId="77777777" w:rsidTr="007878F6">
        <w:tc>
          <w:tcPr>
            <w:tcW w:w="1951" w:type="dxa"/>
            <w:tcBorders>
              <w:top w:val="single" w:sz="4" w:space="0" w:color="auto"/>
              <w:left w:val="single" w:sz="4" w:space="0" w:color="auto"/>
              <w:bottom w:val="single" w:sz="4" w:space="0" w:color="auto"/>
              <w:right w:val="single" w:sz="4" w:space="0" w:color="auto"/>
            </w:tcBorders>
            <w:hideMark/>
          </w:tcPr>
          <w:p w14:paraId="3102A4BC"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lastRenderedPageBreak/>
              <w:t>Malta</w:t>
            </w:r>
          </w:p>
        </w:tc>
        <w:tc>
          <w:tcPr>
            <w:tcW w:w="1228" w:type="dxa"/>
            <w:tcBorders>
              <w:top w:val="single" w:sz="4" w:space="0" w:color="auto"/>
              <w:left w:val="single" w:sz="4" w:space="0" w:color="auto"/>
              <w:bottom w:val="single" w:sz="4" w:space="0" w:color="auto"/>
              <w:right w:val="single" w:sz="4" w:space="0" w:color="auto"/>
            </w:tcBorders>
            <w:hideMark/>
          </w:tcPr>
          <w:p w14:paraId="4D769052"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300</w:t>
            </w:r>
          </w:p>
        </w:tc>
        <w:tc>
          <w:tcPr>
            <w:tcW w:w="1229" w:type="dxa"/>
            <w:tcBorders>
              <w:top w:val="single" w:sz="4" w:space="0" w:color="auto"/>
              <w:left w:val="single" w:sz="4" w:space="0" w:color="auto"/>
              <w:bottom w:val="single" w:sz="4" w:space="0" w:color="auto"/>
              <w:right w:val="single" w:sz="4" w:space="0" w:color="auto"/>
            </w:tcBorders>
            <w:hideMark/>
          </w:tcPr>
          <w:p w14:paraId="588B7354"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350</w:t>
            </w:r>
          </w:p>
        </w:tc>
        <w:tc>
          <w:tcPr>
            <w:tcW w:w="1229" w:type="dxa"/>
            <w:tcBorders>
              <w:top w:val="single" w:sz="4" w:space="0" w:color="auto"/>
              <w:left w:val="single" w:sz="4" w:space="0" w:color="auto"/>
              <w:bottom w:val="single" w:sz="4" w:space="0" w:color="auto"/>
              <w:right w:val="single" w:sz="4" w:space="0" w:color="auto"/>
            </w:tcBorders>
            <w:hideMark/>
          </w:tcPr>
          <w:p w14:paraId="78D439AD"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140</w:t>
            </w:r>
          </w:p>
        </w:tc>
        <w:tc>
          <w:tcPr>
            <w:tcW w:w="3651" w:type="dxa"/>
            <w:tcBorders>
              <w:top w:val="single" w:sz="4" w:space="0" w:color="auto"/>
              <w:left w:val="single" w:sz="4" w:space="0" w:color="auto"/>
              <w:bottom w:val="single" w:sz="4" w:space="0" w:color="auto"/>
              <w:right w:val="single" w:sz="4" w:space="0" w:color="auto"/>
            </w:tcBorders>
            <w:hideMark/>
          </w:tcPr>
          <w:p w14:paraId="00B58BBA"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Natūrā</w:t>
            </w:r>
          </w:p>
        </w:tc>
      </w:tr>
      <w:tr w:rsidR="00BC5BDF" w:rsidRPr="00B37A02" w14:paraId="224EA801" w14:textId="77777777" w:rsidTr="007878F6">
        <w:tc>
          <w:tcPr>
            <w:tcW w:w="1951" w:type="dxa"/>
            <w:tcBorders>
              <w:top w:val="single" w:sz="4" w:space="0" w:color="auto"/>
              <w:left w:val="single" w:sz="4" w:space="0" w:color="auto"/>
              <w:bottom w:val="single" w:sz="4" w:space="0" w:color="auto"/>
              <w:right w:val="single" w:sz="4" w:space="0" w:color="auto"/>
            </w:tcBorders>
            <w:hideMark/>
          </w:tcPr>
          <w:p w14:paraId="47D2FE89"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Nīderlande</w:t>
            </w:r>
          </w:p>
        </w:tc>
        <w:tc>
          <w:tcPr>
            <w:tcW w:w="1228" w:type="dxa"/>
            <w:tcBorders>
              <w:top w:val="single" w:sz="4" w:space="0" w:color="auto"/>
              <w:left w:val="single" w:sz="4" w:space="0" w:color="auto"/>
              <w:bottom w:val="single" w:sz="4" w:space="0" w:color="auto"/>
              <w:right w:val="single" w:sz="4" w:space="0" w:color="auto"/>
            </w:tcBorders>
            <w:hideMark/>
          </w:tcPr>
          <w:p w14:paraId="047BA6CA"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Nav piemērojams</w:t>
            </w:r>
          </w:p>
        </w:tc>
        <w:tc>
          <w:tcPr>
            <w:tcW w:w="1229" w:type="dxa"/>
            <w:tcBorders>
              <w:top w:val="single" w:sz="4" w:space="0" w:color="auto"/>
              <w:left w:val="single" w:sz="4" w:space="0" w:color="auto"/>
              <w:bottom w:val="single" w:sz="4" w:space="0" w:color="auto"/>
              <w:right w:val="single" w:sz="4" w:space="0" w:color="auto"/>
            </w:tcBorders>
            <w:hideMark/>
          </w:tcPr>
          <w:p w14:paraId="16BA3EC5"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Nav piemērojams</w:t>
            </w:r>
          </w:p>
        </w:tc>
        <w:tc>
          <w:tcPr>
            <w:tcW w:w="1229" w:type="dxa"/>
            <w:tcBorders>
              <w:top w:val="single" w:sz="4" w:space="0" w:color="auto"/>
              <w:left w:val="single" w:sz="4" w:space="0" w:color="auto"/>
              <w:bottom w:val="single" w:sz="4" w:space="0" w:color="auto"/>
              <w:right w:val="single" w:sz="4" w:space="0" w:color="auto"/>
            </w:tcBorders>
            <w:hideMark/>
          </w:tcPr>
          <w:p w14:paraId="0206C591"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Nav piemērojams</w:t>
            </w:r>
          </w:p>
        </w:tc>
        <w:tc>
          <w:tcPr>
            <w:tcW w:w="3651" w:type="dxa"/>
            <w:tcBorders>
              <w:top w:val="single" w:sz="4" w:space="0" w:color="auto"/>
              <w:left w:val="single" w:sz="4" w:space="0" w:color="auto"/>
              <w:bottom w:val="single" w:sz="4" w:space="0" w:color="auto"/>
              <w:right w:val="single" w:sz="4" w:space="0" w:color="auto"/>
            </w:tcBorders>
            <w:hideMark/>
          </w:tcPr>
          <w:p w14:paraId="58D5EF6A"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434</w:t>
            </w:r>
          </w:p>
        </w:tc>
      </w:tr>
      <w:tr w:rsidR="00BC5BDF" w:rsidRPr="00B37A02" w14:paraId="3F818708" w14:textId="77777777" w:rsidTr="007878F6">
        <w:tc>
          <w:tcPr>
            <w:tcW w:w="1951" w:type="dxa"/>
            <w:tcBorders>
              <w:top w:val="single" w:sz="4" w:space="0" w:color="auto"/>
              <w:left w:val="single" w:sz="4" w:space="0" w:color="auto"/>
              <w:bottom w:val="single" w:sz="4" w:space="0" w:color="auto"/>
              <w:right w:val="single" w:sz="4" w:space="0" w:color="auto"/>
            </w:tcBorders>
            <w:hideMark/>
          </w:tcPr>
          <w:p w14:paraId="3E8FE776"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Polija</w:t>
            </w:r>
          </w:p>
        </w:tc>
        <w:tc>
          <w:tcPr>
            <w:tcW w:w="1228" w:type="dxa"/>
            <w:tcBorders>
              <w:top w:val="single" w:sz="4" w:space="0" w:color="auto"/>
              <w:left w:val="single" w:sz="4" w:space="0" w:color="auto"/>
              <w:bottom w:val="single" w:sz="4" w:space="0" w:color="auto"/>
              <w:right w:val="single" w:sz="4" w:space="0" w:color="auto"/>
            </w:tcBorders>
            <w:hideMark/>
          </w:tcPr>
          <w:p w14:paraId="31AF5D14"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165</w:t>
            </w:r>
          </w:p>
        </w:tc>
        <w:tc>
          <w:tcPr>
            <w:tcW w:w="1229" w:type="dxa"/>
            <w:tcBorders>
              <w:top w:val="single" w:sz="4" w:space="0" w:color="auto"/>
              <w:left w:val="single" w:sz="4" w:space="0" w:color="auto"/>
              <w:bottom w:val="single" w:sz="4" w:space="0" w:color="auto"/>
              <w:right w:val="single" w:sz="4" w:space="0" w:color="auto"/>
            </w:tcBorders>
            <w:hideMark/>
          </w:tcPr>
          <w:p w14:paraId="2F929F7C"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186</w:t>
            </w:r>
          </w:p>
        </w:tc>
        <w:tc>
          <w:tcPr>
            <w:tcW w:w="1229" w:type="dxa"/>
            <w:tcBorders>
              <w:top w:val="single" w:sz="4" w:space="0" w:color="auto"/>
              <w:left w:val="single" w:sz="4" w:space="0" w:color="auto"/>
              <w:bottom w:val="single" w:sz="4" w:space="0" w:color="auto"/>
              <w:right w:val="single" w:sz="4" w:space="0" w:color="auto"/>
            </w:tcBorders>
            <w:hideMark/>
          </w:tcPr>
          <w:p w14:paraId="26FD1C02"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233</w:t>
            </w:r>
          </w:p>
        </w:tc>
        <w:tc>
          <w:tcPr>
            <w:tcW w:w="3651" w:type="dxa"/>
            <w:tcBorders>
              <w:top w:val="single" w:sz="4" w:space="0" w:color="auto"/>
              <w:left w:val="single" w:sz="4" w:space="0" w:color="auto"/>
              <w:bottom w:val="single" w:sz="4" w:space="0" w:color="auto"/>
              <w:right w:val="single" w:sz="4" w:space="0" w:color="auto"/>
            </w:tcBorders>
            <w:hideMark/>
          </w:tcPr>
          <w:p w14:paraId="572848E6"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664</w:t>
            </w:r>
          </w:p>
        </w:tc>
      </w:tr>
      <w:tr w:rsidR="00BC5BDF" w:rsidRPr="00B37A02" w14:paraId="20538F39" w14:textId="77777777" w:rsidTr="007878F6">
        <w:tc>
          <w:tcPr>
            <w:tcW w:w="1951" w:type="dxa"/>
            <w:tcBorders>
              <w:top w:val="single" w:sz="4" w:space="0" w:color="auto"/>
              <w:left w:val="single" w:sz="4" w:space="0" w:color="auto"/>
              <w:bottom w:val="single" w:sz="4" w:space="0" w:color="auto"/>
              <w:right w:val="single" w:sz="4" w:space="0" w:color="auto"/>
            </w:tcBorders>
            <w:hideMark/>
          </w:tcPr>
          <w:p w14:paraId="672611D3"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Portugāle</w:t>
            </w:r>
          </w:p>
        </w:tc>
        <w:tc>
          <w:tcPr>
            <w:tcW w:w="1228" w:type="dxa"/>
            <w:tcBorders>
              <w:top w:val="single" w:sz="4" w:space="0" w:color="auto"/>
              <w:left w:val="single" w:sz="4" w:space="0" w:color="auto"/>
              <w:bottom w:val="single" w:sz="4" w:space="0" w:color="auto"/>
              <w:right w:val="single" w:sz="4" w:space="0" w:color="auto"/>
            </w:tcBorders>
            <w:hideMark/>
          </w:tcPr>
          <w:p w14:paraId="3A86B647"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205</w:t>
            </w:r>
          </w:p>
        </w:tc>
        <w:tc>
          <w:tcPr>
            <w:tcW w:w="1229" w:type="dxa"/>
            <w:tcBorders>
              <w:top w:val="single" w:sz="4" w:space="0" w:color="auto"/>
              <w:left w:val="single" w:sz="4" w:space="0" w:color="auto"/>
              <w:bottom w:val="single" w:sz="4" w:space="0" w:color="auto"/>
              <w:right w:val="single" w:sz="4" w:space="0" w:color="auto"/>
            </w:tcBorders>
            <w:hideMark/>
          </w:tcPr>
          <w:p w14:paraId="5D0B877A"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255</w:t>
            </w:r>
          </w:p>
        </w:tc>
        <w:tc>
          <w:tcPr>
            <w:tcW w:w="1229" w:type="dxa"/>
            <w:tcBorders>
              <w:top w:val="single" w:sz="4" w:space="0" w:color="auto"/>
              <w:left w:val="single" w:sz="4" w:space="0" w:color="auto"/>
              <w:bottom w:val="single" w:sz="4" w:space="0" w:color="auto"/>
              <w:right w:val="single" w:sz="4" w:space="0" w:color="auto"/>
            </w:tcBorders>
            <w:hideMark/>
          </w:tcPr>
          <w:p w14:paraId="1E592A50"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110</w:t>
            </w:r>
          </w:p>
        </w:tc>
        <w:tc>
          <w:tcPr>
            <w:tcW w:w="3651" w:type="dxa"/>
            <w:tcBorders>
              <w:top w:val="single" w:sz="4" w:space="0" w:color="auto"/>
              <w:left w:val="single" w:sz="4" w:space="0" w:color="auto"/>
              <w:bottom w:val="single" w:sz="4" w:space="0" w:color="auto"/>
              <w:right w:val="single" w:sz="4" w:space="0" w:color="auto"/>
            </w:tcBorders>
            <w:hideMark/>
          </w:tcPr>
          <w:p w14:paraId="5DB9147B"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16</w:t>
            </w:r>
          </w:p>
        </w:tc>
      </w:tr>
      <w:tr w:rsidR="00BC5BDF" w:rsidRPr="00B37A02" w14:paraId="4EB1A70B" w14:textId="77777777" w:rsidTr="007878F6">
        <w:tc>
          <w:tcPr>
            <w:tcW w:w="1951" w:type="dxa"/>
            <w:tcBorders>
              <w:top w:val="single" w:sz="4" w:space="0" w:color="auto"/>
              <w:left w:val="single" w:sz="4" w:space="0" w:color="auto"/>
              <w:bottom w:val="single" w:sz="4" w:space="0" w:color="auto"/>
              <w:right w:val="single" w:sz="4" w:space="0" w:color="auto"/>
            </w:tcBorders>
            <w:hideMark/>
          </w:tcPr>
          <w:p w14:paraId="40AA3DB2"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Rumānija</w:t>
            </w:r>
          </w:p>
        </w:tc>
        <w:tc>
          <w:tcPr>
            <w:tcW w:w="1228" w:type="dxa"/>
            <w:tcBorders>
              <w:top w:val="single" w:sz="4" w:space="0" w:color="auto"/>
              <w:left w:val="single" w:sz="4" w:space="0" w:color="auto"/>
              <w:bottom w:val="single" w:sz="4" w:space="0" w:color="auto"/>
              <w:right w:val="single" w:sz="4" w:space="0" w:color="auto"/>
            </w:tcBorders>
            <w:hideMark/>
          </w:tcPr>
          <w:p w14:paraId="5E0DB426"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250</w:t>
            </w:r>
          </w:p>
        </w:tc>
        <w:tc>
          <w:tcPr>
            <w:tcW w:w="1229" w:type="dxa"/>
            <w:tcBorders>
              <w:top w:val="single" w:sz="4" w:space="0" w:color="auto"/>
              <w:left w:val="single" w:sz="4" w:space="0" w:color="auto"/>
              <w:bottom w:val="single" w:sz="4" w:space="0" w:color="auto"/>
              <w:right w:val="single" w:sz="4" w:space="0" w:color="auto"/>
            </w:tcBorders>
            <w:hideMark/>
          </w:tcPr>
          <w:p w14:paraId="4EC4F184"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392</w:t>
            </w:r>
          </w:p>
        </w:tc>
        <w:tc>
          <w:tcPr>
            <w:tcW w:w="1229" w:type="dxa"/>
            <w:tcBorders>
              <w:top w:val="single" w:sz="4" w:space="0" w:color="auto"/>
              <w:left w:val="single" w:sz="4" w:space="0" w:color="auto"/>
              <w:bottom w:val="single" w:sz="4" w:space="0" w:color="auto"/>
              <w:right w:val="single" w:sz="4" w:space="0" w:color="auto"/>
            </w:tcBorders>
            <w:hideMark/>
          </w:tcPr>
          <w:p w14:paraId="74723B61"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Nav piemērojams</w:t>
            </w:r>
          </w:p>
        </w:tc>
        <w:tc>
          <w:tcPr>
            <w:tcW w:w="3651" w:type="dxa"/>
            <w:tcBorders>
              <w:top w:val="single" w:sz="4" w:space="0" w:color="auto"/>
              <w:left w:val="single" w:sz="4" w:space="0" w:color="auto"/>
              <w:bottom w:val="single" w:sz="4" w:space="0" w:color="auto"/>
              <w:right w:val="single" w:sz="4" w:space="0" w:color="auto"/>
            </w:tcBorders>
            <w:hideMark/>
          </w:tcPr>
          <w:p w14:paraId="5D5CDDB1"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27</w:t>
            </w:r>
          </w:p>
        </w:tc>
      </w:tr>
      <w:tr w:rsidR="00BC5BDF" w:rsidRPr="00B37A02" w14:paraId="4E08C870" w14:textId="77777777" w:rsidTr="007878F6">
        <w:tc>
          <w:tcPr>
            <w:tcW w:w="1951" w:type="dxa"/>
            <w:tcBorders>
              <w:top w:val="single" w:sz="4" w:space="0" w:color="auto"/>
              <w:left w:val="single" w:sz="4" w:space="0" w:color="auto"/>
              <w:bottom w:val="single" w:sz="4" w:space="0" w:color="auto"/>
              <w:right w:val="single" w:sz="4" w:space="0" w:color="auto"/>
            </w:tcBorders>
            <w:hideMark/>
          </w:tcPr>
          <w:p w14:paraId="10621F60"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Slovākija</w:t>
            </w:r>
          </w:p>
        </w:tc>
        <w:tc>
          <w:tcPr>
            <w:tcW w:w="1228" w:type="dxa"/>
            <w:tcBorders>
              <w:top w:val="single" w:sz="4" w:space="0" w:color="auto"/>
              <w:left w:val="single" w:sz="4" w:space="0" w:color="auto"/>
              <w:bottom w:val="single" w:sz="4" w:space="0" w:color="auto"/>
              <w:right w:val="single" w:sz="4" w:space="0" w:color="auto"/>
            </w:tcBorders>
            <w:hideMark/>
          </w:tcPr>
          <w:p w14:paraId="1F5A5934"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Nav piemērojams</w:t>
            </w:r>
          </w:p>
        </w:tc>
        <w:tc>
          <w:tcPr>
            <w:tcW w:w="1229" w:type="dxa"/>
            <w:tcBorders>
              <w:top w:val="single" w:sz="4" w:space="0" w:color="auto"/>
              <w:left w:val="single" w:sz="4" w:space="0" w:color="auto"/>
              <w:bottom w:val="single" w:sz="4" w:space="0" w:color="auto"/>
              <w:right w:val="single" w:sz="4" w:space="0" w:color="auto"/>
            </w:tcBorders>
            <w:hideMark/>
          </w:tcPr>
          <w:p w14:paraId="681CE3A0"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Nav piemērojams</w:t>
            </w:r>
          </w:p>
        </w:tc>
        <w:tc>
          <w:tcPr>
            <w:tcW w:w="1229" w:type="dxa"/>
            <w:tcBorders>
              <w:top w:val="single" w:sz="4" w:space="0" w:color="auto"/>
              <w:left w:val="single" w:sz="4" w:space="0" w:color="auto"/>
              <w:bottom w:val="single" w:sz="4" w:space="0" w:color="auto"/>
              <w:right w:val="single" w:sz="4" w:space="0" w:color="auto"/>
            </w:tcBorders>
            <w:hideMark/>
          </w:tcPr>
          <w:p w14:paraId="375552C2"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Nav piemērojams</w:t>
            </w:r>
          </w:p>
        </w:tc>
        <w:tc>
          <w:tcPr>
            <w:tcW w:w="3651" w:type="dxa"/>
            <w:tcBorders>
              <w:top w:val="single" w:sz="4" w:space="0" w:color="auto"/>
              <w:left w:val="single" w:sz="4" w:space="0" w:color="auto"/>
              <w:bottom w:val="single" w:sz="4" w:space="0" w:color="auto"/>
              <w:right w:val="single" w:sz="4" w:space="0" w:color="auto"/>
            </w:tcBorders>
            <w:hideMark/>
          </w:tcPr>
          <w:p w14:paraId="5F54A9F3"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33/45</w:t>
            </w:r>
          </w:p>
        </w:tc>
      </w:tr>
      <w:tr w:rsidR="00BC5BDF" w:rsidRPr="00B37A02" w14:paraId="108BACBE" w14:textId="77777777" w:rsidTr="007878F6">
        <w:tc>
          <w:tcPr>
            <w:tcW w:w="1951" w:type="dxa"/>
            <w:tcBorders>
              <w:top w:val="single" w:sz="4" w:space="0" w:color="auto"/>
              <w:left w:val="single" w:sz="4" w:space="0" w:color="auto"/>
              <w:bottom w:val="single" w:sz="4" w:space="0" w:color="auto"/>
              <w:right w:val="single" w:sz="4" w:space="0" w:color="auto"/>
            </w:tcBorders>
            <w:hideMark/>
          </w:tcPr>
          <w:p w14:paraId="41FE3F83"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Slovēnija</w:t>
            </w:r>
          </w:p>
        </w:tc>
        <w:tc>
          <w:tcPr>
            <w:tcW w:w="1228" w:type="dxa"/>
            <w:tcBorders>
              <w:top w:val="single" w:sz="4" w:space="0" w:color="auto"/>
              <w:left w:val="single" w:sz="4" w:space="0" w:color="auto"/>
              <w:bottom w:val="single" w:sz="4" w:space="0" w:color="auto"/>
              <w:right w:val="single" w:sz="4" w:space="0" w:color="auto"/>
            </w:tcBorders>
            <w:hideMark/>
          </w:tcPr>
          <w:p w14:paraId="51D761BA"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1200</w:t>
            </w:r>
            <w:r w:rsidRPr="00B37A02">
              <w:rPr>
                <w:rFonts w:ascii="Times New Roman" w:hAnsi="Times New Roman" w:cs="Times New Roman"/>
                <w:sz w:val="24"/>
                <w:vertAlign w:val="superscript"/>
              </w:rPr>
              <w:t>**</w:t>
            </w:r>
          </w:p>
        </w:tc>
        <w:tc>
          <w:tcPr>
            <w:tcW w:w="1229" w:type="dxa"/>
            <w:tcBorders>
              <w:top w:val="single" w:sz="4" w:space="0" w:color="auto"/>
              <w:left w:val="single" w:sz="4" w:space="0" w:color="auto"/>
              <w:bottom w:val="single" w:sz="4" w:space="0" w:color="auto"/>
              <w:right w:val="single" w:sz="4" w:space="0" w:color="auto"/>
            </w:tcBorders>
            <w:hideMark/>
          </w:tcPr>
          <w:p w14:paraId="4ECCEDF1"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Nav piemērojams</w:t>
            </w:r>
          </w:p>
        </w:tc>
        <w:tc>
          <w:tcPr>
            <w:tcW w:w="1229" w:type="dxa"/>
            <w:tcBorders>
              <w:top w:val="single" w:sz="4" w:space="0" w:color="auto"/>
              <w:left w:val="single" w:sz="4" w:space="0" w:color="auto"/>
              <w:bottom w:val="single" w:sz="4" w:space="0" w:color="auto"/>
              <w:right w:val="single" w:sz="4" w:space="0" w:color="auto"/>
            </w:tcBorders>
            <w:hideMark/>
          </w:tcPr>
          <w:p w14:paraId="26D11A6F"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Nav piemērojams</w:t>
            </w:r>
          </w:p>
        </w:tc>
        <w:tc>
          <w:tcPr>
            <w:tcW w:w="3651" w:type="dxa"/>
            <w:tcBorders>
              <w:top w:val="single" w:sz="4" w:space="0" w:color="auto"/>
              <w:left w:val="single" w:sz="4" w:space="0" w:color="auto"/>
              <w:bottom w:val="single" w:sz="4" w:space="0" w:color="auto"/>
              <w:right w:val="single" w:sz="4" w:space="0" w:color="auto"/>
            </w:tcBorders>
            <w:hideMark/>
          </w:tcPr>
          <w:p w14:paraId="3EEFCCAC"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Nav piemērojams</w:t>
            </w:r>
          </w:p>
        </w:tc>
      </w:tr>
      <w:tr w:rsidR="00BC5BDF" w:rsidRPr="00B37A02" w14:paraId="4CBEBC60" w14:textId="77777777" w:rsidTr="007878F6">
        <w:tc>
          <w:tcPr>
            <w:tcW w:w="1951" w:type="dxa"/>
            <w:tcBorders>
              <w:top w:val="single" w:sz="4" w:space="0" w:color="auto"/>
              <w:left w:val="single" w:sz="4" w:space="0" w:color="auto"/>
              <w:bottom w:val="single" w:sz="4" w:space="0" w:color="auto"/>
              <w:right w:val="single" w:sz="4" w:space="0" w:color="auto"/>
            </w:tcBorders>
            <w:hideMark/>
          </w:tcPr>
          <w:p w14:paraId="596EA8B9"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Spānija</w:t>
            </w:r>
          </w:p>
        </w:tc>
        <w:tc>
          <w:tcPr>
            <w:tcW w:w="1228" w:type="dxa"/>
            <w:tcBorders>
              <w:top w:val="single" w:sz="4" w:space="0" w:color="auto"/>
              <w:left w:val="single" w:sz="4" w:space="0" w:color="auto"/>
              <w:bottom w:val="single" w:sz="4" w:space="0" w:color="auto"/>
              <w:right w:val="single" w:sz="4" w:space="0" w:color="auto"/>
            </w:tcBorders>
            <w:hideMark/>
          </w:tcPr>
          <w:p w14:paraId="054BA7CA"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617</w:t>
            </w:r>
          </w:p>
        </w:tc>
        <w:tc>
          <w:tcPr>
            <w:tcW w:w="1229" w:type="dxa"/>
            <w:tcBorders>
              <w:top w:val="single" w:sz="4" w:space="0" w:color="auto"/>
              <w:left w:val="single" w:sz="4" w:space="0" w:color="auto"/>
              <w:bottom w:val="single" w:sz="4" w:space="0" w:color="auto"/>
              <w:right w:val="single" w:sz="4" w:space="0" w:color="auto"/>
            </w:tcBorders>
            <w:hideMark/>
          </w:tcPr>
          <w:p w14:paraId="4270970C"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631</w:t>
            </w:r>
          </w:p>
        </w:tc>
        <w:tc>
          <w:tcPr>
            <w:tcW w:w="1229" w:type="dxa"/>
            <w:tcBorders>
              <w:top w:val="single" w:sz="4" w:space="0" w:color="auto"/>
              <w:left w:val="single" w:sz="4" w:space="0" w:color="auto"/>
              <w:bottom w:val="single" w:sz="4" w:space="0" w:color="auto"/>
              <w:right w:val="single" w:sz="4" w:space="0" w:color="auto"/>
            </w:tcBorders>
            <w:hideMark/>
          </w:tcPr>
          <w:p w14:paraId="745F76B5"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237</w:t>
            </w:r>
          </w:p>
        </w:tc>
        <w:tc>
          <w:tcPr>
            <w:tcW w:w="3651" w:type="dxa"/>
            <w:tcBorders>
              <w:top w:val="single" w:sz="4" w:space="0" w:color="auto"/>
              <w:left w:val="single" w:sz="4" w:space="0" w:color="auto"/>
              <w:bottom w:val="single" w:sz="4" w:space="0" w:color="auto"/>
              <w:right w:val="single" w:sz="4" w:space="0" w:color="auto"/>
            </w:tcBorders>
            <w:hideMark/>
          </w:tcPr>
          <w:p w14:paraId="0D59E54F" w14:textId="77777777" w:rsidR="00BC5BDF" w:rsidRPr="00B37A02" w:rsidRDefault="00BC5BDF" w:rsidP="00C97F66">
            <w:pPr>
              <w:widowControl w:val="0"/>
              <w:jc w:val="center"/>
              <w:rPr>
                <w:rFonts w:ascii="Times New Roman" w:hAnsi="Times New Roman" w:cs="Times New Roman"/>
                <w:sz w:val="24"/>
                <w:szCs w:val="20"/>
              </w:rPr>
            </w:pPr>
            <w:r w:rsidRPr="00B37A02">
              <w:rPr>
                <w:rFonts w:ascii="Times New Roman" w:hAnsi="Times New Roman" w:cs="Times New Roman"/>
                <w:sz w:val="24"/>
              </w:rPr>
              <w:t>Nav piemērojams</w:t>
            </w:r>
          </w:p>
        </w:tc>
      </w:tr>
    </w:tbl>
    <w:p w14:paraId="4C4D7CF3" w14:textId="77777777" w:rsidR="00BC5BDF" w:rsidRPr="00B37A02" w:rsidRDefault="00BC5BDF" w:rsidP="00C97F66">
      <w:pPr>
        <w:widowControl w:val="0"/>
        <w:spacing w:after="0" w:line="240" w:lineRule="auto"/>
        <w:jc w:val="both"/>
        <w:rPr>
          <w:rFonts w:ascii="Times New Roman" w:hAnsi="Times New Roman" w:cs="Times New Roman"/>
          <w:sz w:val="20"/>
          <w:szCs w:val="16"/>
        </w:rPr>
      </w:pPr>
      <w:r w:rsidRPr="00B37A02">
        <w:rPr>
          <w:rFonts w:ascii="Times New Roman" w:hAnsi="Times New Roman" w:cs="Times New Roman"/>
          <w:sz w:val="20"/>
        </w:rPr>
        <w:t>Piezīmes. * ietver visus elementus, izņemot eksāmenus/maksas un transportu, “bezmaksas” finansiālo atbalstu un kafejnīcas apmeklējumus (izņemot maltītes); ** ietver skolas maltītes. Avots: Study on the economic implementing framework of a possible EU Child Guarantee Scheme including its financial foundation. Draft Final Report.</w:t>
      </w:r>
    </w:p>
    <w:p w14:paraId="53BF5A75" w14:textId="67C2DC6E" w:rsidR="00BC5BDF" w:rsidRPr="00B37A02" w:rsidRDefault="00BC5BDF" w:rsidP="00C97F66">
      <w:pPr>
        <w:widowControl w:val="0"/>
        <w:spacing w:after="0" w:line="240" w:lineRule="auto"/>
        <w:jc w:val="both"/>
        <w:rPr>
          <w:rFonts w:ascii="Times New Roman" w:hAnsi="Times New Roman" w:cs="Times New Roman"/>
          <w:sz w:val="24"/>
        </w:rPr>
      </w:pPr>
    </w:p>
    <w:p w14:paraId="6EFE0EB9" w14:textId="77777777" w:rsidR="00BC5BDF" w:rsidRPr="00B37A02" w:rsidRDefault="00BC5BDF" w:rsidP="00C97F66">
      <w:pPr>
        <w:pStyle w:val="Caption"/>
        <w:widowControl w:val="0"/>
        <w:spacing w:after="0"/>
        <w:jc w:val="both"/>
        <w:rPr>
          <w:rFonts w:ascii="Times New Roman" w:hAnsi="Times New Roman" w:cs="Times New Roman"/>
          <w:sz w:val="24"/>
          <w:szCs w:val="24"/>
        </w:rPr>
      </w:pPr>
      <w:r w:rsidRPr="00B37A02">
        <w:rPr>
          <w:rFonts w:ascii="Times New Roman" w:hAnsi="Times New Roman" w:cs="Times New Roman"/>
          <w:sz w:val="24"/>
        </w:rPr>
        <w:t>B11. attēls. Izglītības izdevumi (EUR uz katru tūkstoti eiro no mājsaimniecības patēriņa, 2015. gads)</w:t>
      </w:r>
    </w:p>
    <w:p w14:paraId="2387AF58" w14:textId="0E0AEBB6" w:rsidR="00BC5BDF" w:rsidRPr="00B37A02" w:rsidRDefault="00BC5BDF" w:rsidP="00C97F66">
      <w:pPr>
        <w:widowControl w:val="0"/>
        <w:spacing w:after="0" w:line="240" w:lineRule="auto"/>
        <w:jc w:val="both"/>
        <w:rPr>
          <w:rFonts w:ascii="Times New Roman" w:hAnsi="Times New Roman" w:cs="Times New Roman"/>
          <w:sz w:val="20"/>
          <w:szCs w:val="18"/>
        </w:rPr>
      </w:pPr>
      <w:r w:rsidRPr="00B37A02">
        <w:rPr>
          <w:rFonts w:ascii="Times New Roman" w:hAnsi="Times New Roman" w:cs="Times New Roman"/>
          <w:noProof/>
          <w:sz w:val="24"/>
        </w:rPr>
        <w:drawing>
          <wp:inline distT="0" distB="0" distL="0" distR="0" wp14:anchorId="66F4AF31" wp14:editId="55E69B19">
            <wp:extent cx="6112510" cy="2895600"/>
            <wp:effectExtent l="0" t="0" r="2540" b="0"/>
            <wp:docPr id="33" name="Chart 33">
              <a:extLst xmlns:a="http://schemas.openxmlformats.org/drawingml/2006/main">
                <a:ext uri="{FF2B5EF4-FFF2-40B4-BE49-F238E27FC236}">
                  <a16:creationId xmlns:a16="http://schemas.microsoft.com/office/drawing/2014/main" id="{18100D17-4D34-4765-803C-A8EB8496FD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Pr="00B37A02">
        <w:rPr>
          <w:rFonts w:ascii="Times New Roman" w:hAnsi="Times New Roman" w:cs="Times New Roman"/>
          <w:sz w:val="20"/>
        </w:rPr>
        <w:t xml:space="preserve">Avots: </w:t>
      </w:r>
      <w:r w:rsidRPr="00B37A02">
        <w:rPr>
          <w:rFonts w:ascii="Times New Roman" w:hAnsi="Times New Roman" w:cs="Times New Roman"/>
          <w:i/>
          <w:iCs/>
          <w:sz w:val="20"/>
        </w:rPr>
        <w:t>Eurostat</w:t>
      </w:r>
      <w:r w:rsidRPr="00B37A02">
        <w:rPr>
          <w:rFonts w:ascii="Times New Roman" w:hAnsi="Times New Roman" w:cs="Times New Roman"/>
          <w:sz w:val="20"/>
        </w:rPr>
        <w:t xml:space="preserve"> [hbs_str_t224].</w:t>
      </w:r>
    </w:p>
    <w:p w14:paraId="4C207600" w14:textId="77777777" w:rsidR="007878F6" w:rsidRPr="00B37A02" w:rsidRDefault="007878F6" w:rsidP="00C97F66">
      <w:pPr>
        <w:pStyle w:val="Caption"/>
        <w:widowControl w:val="0"/>
        <w:spacing w:after="0"/>
        <w:jc w:val="both"/>
        <w:rPr>
          <w:rFonts w:ascii="Times New Roman" w:hAnsi="Times New Roman" w:cs="Times New Roman"/>
          <w:sz w:val="24"/>
          <w:szCs w:val="24"/>
        </w:rPr>
      </w:pPr>
    </w:p>
    <w:p w14:paraId="275E783F" w14:textId="07199C25" w:rsidR="00BC5BDF" w:rsidRPr="00B37A02" w:rsidRDefault="00BC5BDF" w:rsidP="008A0221">
      <w:pPr>
        <w:pStyle w:val="Caption"/>
        <w:keepNext/>
        <w:keepLines/>
        <w:widowControl w:val="0"/>
        <w:spacing w:after="0"/>
        <w:jc w:val="both"/>
        <w:rPr>
          <w:rFonts w:ascii="Times New Roman" w:hAnsi="Times New Roman" w:cs="Times New Roman"/>
          <w:sz w:val="24"/>
          <w:szCs w:val="24"/>
        </w:rPr>
      </w:pPr>
      <w:r w:rsidRPr="00B37A02">
        <w:rPr>
          <w:rFonts w:ascii="Times New Roman" w:hAnsi="Times New Roman" w:cs="Times New Roman"/>
          <w:sz w:val="24"/>
        </w:rPr>
        <w:lastRenderedPageBreak/>
        <w:t>B12. attēls. Līdzdalība (%) neformālajā izglītībā un mācībās pēdējo 4 nedēļu laikā</w:t>
      </w:r>
      <w:r w:rsidR="004F3818">
        <w:rPr>
          <w:rFonts w:ascii="Times New Roman" w:hAnsi="Times New Roman" w:cs="Times New Roman"/>
          <w:sz w:val="24"/>
        </w:rPr>
        <w:t xml:space="preserve"> </w:t>
      </w:r>
      <w:r w:rsidRPr="00B37A02">
        <w:rPr>
          <w:rFonts w:ascii="Times New Roman" w:hAnsi="Times New Roman" w:cs="Times New Roman"/>
          <w:sz w:val="24"/>
        </w:rPr>
        <w:t>attiecībā uz jauniešiem vecumā no 15 līdz 19 gadiem, 2019. gads</w:t>
      </w:r>
    </w:p>
    <w:p w14:paraId="6E37C1FB" w14:textId="77777777" w:rsidR="00BC5BDF" w:rsidRPr="00B37A02" w:rsidRDefault="00BC5BDF" w:rsidP="008A0221">
      <w:pPr>
        <w:keepNext/>
        <w:keepLines/>
        <w:widowControl w:val="0"/>
        <w:spacing w:after="0" w:line="240" w:lineRule="auto"/>
        <w:jc w:val="both"/>
        <w:rPr>
          <w:rFonts w:ascii="Times New Roman" w:hAnsi="Times New Roman" w:cs="Times New Roman"/>
          <w:sz w:val="20"/>
          <w:szCs w:val="16"/>
        </w:rPr>
      </w:pPr>
      <w:r w:rsidRPr="00B37A02">
        <w:rPr>
          <w:rFonts w:ascii="Times New Roman" w:hAnsi="Times New Roman" w:cs="Times New Roman"/>
          <w:noProof/>
          <w:sz w:val="24"/>
        </w:rPr>
        <w:drawing>
          <wp:inline distT="0" distB="0" distL="0" distR="0" wp14:anchorId="0172A6D1" wp14:editId="3428D236">
            <wp:extent cx="5740400" cy="2571750"/>
            <wp:effectExtent l="0" t="0" r="12700"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B37A02">
        <w:rPr>
          <w:rFonts w:ascii="Times New Roman" w:hAnsi="Times New Roman" w:cs="Times New Roman"/>
          <w:sz w:val="20"/>
        </w:rPr>
        <w:t xml:space="preserve">Avots: </w:t>
      </w:r>
      <w:r w:rsidRPr="00B37A02">
        <w:rPr>
          <w:rFonts w:ascii="Times New Roman" w:hAnsi="Times New Roman" w:cs="Times New Roman"/>
          <w:i/>
          <w:iCs/>
          <w:sz w:val="20"/>
        </w:rPr>
        <w:t>Eurostat</w:t>
      </w:r>
      <w:r w:rsidRPr="00B37A02">
        <w:rPr>
          <w:rFonts w:ascii="Times New Roman" w:hAnsi="Times New Roman" w:cs="Times New Roman"/>
          <w:sz w:val="20"/>
        </w:rPr>
        <w:t xml:space="preserve"> [yth_educ_060], *) liecina par zemu datu ticamības līmeni.</w:t>
      </w:r>
    </w:p>
    <w:p w14:paraId="6C19A3C1" w14:textId="77777777" w:rsidR="00BC5BDF" w:rsidRPr="00B37A02" w:rsidRDefault="00BC5BDF" w:rsidP="00C97F66">
      <w:pPr>
        <w:widowControl w:val="0"/>
        <w:spacing w:after="0" w:line="240" w:lineRule="auto"/>
        <w:jc w:val="both"/>
        <w:rPr>
          <w:rFonts w:ascii="Times New Roman" w:hAnsi="Times New Roman" w:cs="Times New Roman"/>
          <w:sz w:val="24"/>
        </w:rPr>
      </w:pPr>
      <w:bookmarkStart w:id="443" w:name="_Toc62823458"/>
      <w:bookmarkStart w:id="444" w:name="_Toc62823546"/>
      <w:bookmarkStart w:id="445" w:name="_Toc62833146"/>
      <w:bookmarkStart w:id="446" w:name="_Toc62841487"/>
      <w:bookmarkStart w:id="447" w:name="_Toc62942410"/>
      <w:bookmarkStart w:id="448" w:name="_Toc63178128"/>
      <w:bookmarkStart w:id="449" w:name="_Toc63258881"/>
      <w:bookmarkStart w:id="450" w:name="_Toc63269684"/>
      <w:bookmarkStart w:id="451" w:name="_Toc63692792"/>
      <w:bookmarkStart w:id="452" w:name="_Toc63712871"/>
      <w:bookmarkStart w:id="453" w:name="_Toc63850178"/>
      <w:bookmarkStart w:id="454" w:name="_Toc63850321"/>
      <w:bookmarkStart w:id="455" w:name="_Toc63862453"/>
      <w:bookmarkStart w:id="456" w:name="_Toc64476370"/>
      <w:r w:rsidRPr="00B37A02">
        <w:rPr>
          <w:rFonts w:ascii="Times New Roman" w:hAnsi="Times New Roman" w:cs="Times New Roman"/>
        </w:rPr>
        <w:br w:type="page"/>
      </w:r>
    </w:p>
    <w:p w14:paraId="105627C8" w14:textId="145BBE49" w:rsidR="00EC5DE2" w:rsidRPr="00B37A02" w:rsidRDefault="00BC5BDF" w:rsidP="00C97F66">
      <w:pPr>
        <w:pStyle w:val="Heading2"/>
        <w:keepNext w:val="0"/>
        <w:keepLines w:val="0"/>
        <w:widowControl w:val="0"/>
        <w:spacing w:before="0" w:line="240" w:lineRule="auto"/>
        <w:jc w:val="both"/>
        <w:rPr>
          <w:rFonts w:cs="Times New Roman"/>
          <w:sz w:val="24"/>
        </w:rPr>
      </w:pPr>
      <w:r w:rsidRPr="00B37A02">
        <w:rPr>
          <w:rFonts w:cs="Times New Roman"/>
          <w:sz w:val="24"/>
        </w:rPr>
        <w:lastRenderedPageBreak/>
        <w:t>Veselības aprūpe</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p>
    <w:p w14:paraId="1E9FB9A8" w14:textId="77777777" w:rsidR="007878F6" w:rsidRPr="00B37A02" w:rsidRDefault="007878F6" w:rsidP="00C97F66">
      <w:pPr>
        <w:spacing w:after="0" w:line="240" w:lineRule="auto"/>
        <w:rPr>
          <w:rFonts w:ascii="Times New Roman" w:hAnsi="Times New Roman" w:cs="Times New Roman"/>
        </w:rPr>
      </w:pPr>
    </w:p>
    <w:p w14:paraId="1C71F092" w14:textId="6C9E4F54" w:rsidR="00BC5BDF" w:rsidRPr="00B37A02" w:rsidRDefault="00BC5BDF" w:rsidP="00C97F66">
      <w:pPr>
        <w:pStyle w:val="Caption"/>
        <w:widowControl w:val="0"/>
        <w:spacing w:after="0"/>
        <w:jc w:val="both"/>
        <w:rPr>
          <w:rFonts w:ascii="Times New Roman" w:hAnsi="Times New Roman" w:cs="Times New Roman"/>
          <w:sz w:val="24"/>
          <w:szCs w:val="24"/>
        </w:rPr>
      </w:pPr>
      <w:r w:rsidRPr="00B37A02">
        <w:rPr>
          <w:rFonts w:ascii="Times New Roman" w:hAnsi="Times New Roman" w:cs="Times New Roman"/>
          <w:sz w:val="24"/>
        </w:rPr>
        <w:t>B13. tabula. Mājsaimniecības ar bērniem, kuru medicīniskās un zobārstniecības vajadzības nav apmierinātas (%), 2017. gads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969"/>
        <w:gridCol w:w="585"/>
        <w:gridCol w:w="623"/>
        <w:gridCol w:w="482"/>
        <w:gridCol w:w="727"/>
        <w:gridCol w:w="482"/>
        <w:gridCol w:w="727"/>
        <w:gridCol w:w="805"/>
        <w:gridCol w:w="805"/>
        <w:gridCol w:w="681"/>
        <w:gridCol w:w="805"/>
        <w:gridCol w:w="623"/>
        <w:gridCol w:w="747"/>
      </w:tblGrid>
      <w:tr w:rsidR="004A565E" w:rsidRPr="00B37A02" w14:paraId="77C2178A" w14:textId="77777777" w:rsidTr="00C85DBE">
        <w:tc>
          <w:tcPr>
            <w:tcW w:w="535" w:type="pct"/>
            <w:vMerge w:val="restart"/>
            <w:shd w:val="clear" w:color="auto" w:fill="99CCFF"/>
            <w:noWrap/>
            <w:vAlign w:val="bottom"/>
          </w:tcPr>
          <w:p w14:paraId="5A26E40F" w14:textId="77777777"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 </w:t>
            </w:r>
          </w:p>
        </w:tc>
        <w:tc>
          <w:tcPr>
            <w:tcW w:w="2001" w:type="pct"/>
            <w:gridSpan w:val="6"/>
            <w:shd w:val="clear" w:color="auto" w:fill="99CCFF"/>
            <w:noWrap/>
            <w:vAlign w:val="center"/>
          </w:tcPr>
          <w:p w14:paraId="2107F72E" w14:textId="77777777"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Visas mājsaimniecības ar bērniem</w:t>
            </w:r>
          </w:p>
        </w:tc>
        <w:tc>
          <w:tcPr>
            <w:tcW w:w="2464" w:type="pct"/>
            <w:gridSpan w:val="6"/>
            <w:shd w:val="clear" w:color="auto" w:fill="99CCFF"/>
            <w:noWrap/>
            <w:vAlign w:val="center"/>
          </w:tcPr>
          <w:p w14:paraId="49A2707C" w14:textId="77777777"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Mājsaimniecības, kurās dzīvo viens pieaugušais ar apgādājamu(-iem) bērnu(-iem)</w:t>
            </w:r>
          </w:p>
        </w:tc>
      </w:tr>
      <w:tr w:rsidR="00C85DBE" w:rsidRPr="00B37A02" w14:paraId="3E91DB46" w14:textId="77777777" w:rsidTr="00C85DBE">
        <w:tc>
          <w:tcPr>
            <w:tcW w:w="535" w:type="pct"/>
            <w:vMerge/>
            <w:shd w:val="clear" w:color="000000" w:fill="99CCFF"/>
            <w:noWrap/>
            <w:vAlign w:val="bottom"/>
          </w:tcPr>
          <w:p w14:paraId="6C0E08CF" w14:textId="77777777" w:rsidR="00BC5BDF" w:rsidRPr="00B37A02" w:rsidRDefault="00BC5BDF" w:rsidP="00C97F66">
            <w:pPr>
              <w:widowControl w:val="0"/>
              <w:spacing w:after="0" w:line="240" w:lineRule="auto"/>
              <w:jc w:val="both"/>
              <w:rPr>
                <w:rFonts w:ascii="Times New Roman" w:eastAsia="Times New Roman" w:hAnsi="Times New Roman" w:cs="Times New Roman"/>
                <w:sz w:val="24"/>
                <w:szCs w:val="20"/>
                <w:lang w:eastAsia="en-GB"/>
              </w:rPr>
            </w:pPr>
          </w:p>
        </w:tc>
        <w:tc>
          <w:tcPr>
            <w:tcW w:w="667" w:type="pct"/>
            <w:gridSpan w:val="2"/>
            <w:shd w:val="clear" w:color="auto" w:fill="99CCFF"/>
            <w:noWrap/>
            <w:vAlign w:val="center"/>
            <w:hideMark/>
          </w:tcPr>
          <w:p w14:paraId="7174DAD1" w14:textId="77777777"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i/>
                <w:iCs/>
                <w:sz w:val="24"/>
              </w:rPr>
              <w:t>AROP</w:t>
            </w:r>
            <w:r w:rsidRPr="00B37A02">
              <w:rPr>
                <w:rFonts w:ascii="Times New Roman" w:hAnsi="Times New Roman" w:cs="Times New Roman"/>
                <w:sz w:val="24"/>
              </w:rPr>
              <w:t>*</w:t>
            </w:r>
          </w:p>
        </w:tc>
        <w:tc>
          <w:tcPr>
            <w:tcW w:w="667" w:type="pct"/>
            <w:gridSpan w:val="2"/>
            <w:shd w:val="clear" w:color="auto" w:fill="99CCFF"/>
            <w:noWrap/>
            <w:vAlign w:val="center"/>
            <w:hideMark/>
          </w:tcPr>
          <w:p w14:paraId="2AFB7A3D" w14:textId="77777777"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 xml:space="preserve">Bez </w:t>
            </w:r>
            <w:r w:rsidRPr="00B37A02">
              <w:rPr>
                <w:rFonts w:ascii="Times New Roman" w:hAnsi="Times New Roman" w:cs="Times New Roman"/>
                <w:i/>
                <w:iCs/>
                <w:sz w:val="24"/>
              </w:rPr>
              <w:t>AROP</w:t>
            </w:r>
            <w:r w:rsidRPr="00B37A02">
              <w:rPr>
                <w:rFonts w:ascii="Times New Roman" w:hAnsi="Times New Roman" w:cs="Times New Roman"/>
                <w:sz w:val="24"/>
              </w:rPr>
              <w:t>*</w:t>
            </w:r>
          </w:p>
        </w:tc>
        <w:tc>
          <w:tcPr>
            <w:tcW w:w="667" w:type="pct"/>
            <w:gridSpan w:val="2"/>
            <w:shd w:val="clear" w:color="auto" w:fill="99CCFF"/>
            <w:noWrap/>
            <w:vAlign w:val="center"/>
            <w:hideMark/>
          </w:tcPr>
          <w:p w14:paraId="0C8D48CF" w14:textId="77777777"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Kopā</w:t>
            </w:r>
          </w:p>
        </w:tc>
        <w:tc>
          <w:tcPr>
            <w:tcW w:w="887" w:type="pct"/>
            <w:gridSpan w:val="2"/>
            <w:shd w:val="clear" w:color="auto" w:fill="99CCFF"/>
            <w:noWrap/>
            <w:vAlign w:val="center"/>
            <w:hideMark/>
          </w:tcPr>
          <w:p w14:paraId="232EEE17" w14:textId="77777777"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i/>
                <w:iCs/>
                <w:sz w:val="24"/>
              </w:rPr>
              <w:t>AROP</w:t>
            </w:r>
            <w:r w:rsidRPr="00B37A02">
              <w:rPr>
                <w:rFonts w:ascii="Times New Roman" w:hAnsi="Times New Roman" w:cs="Times New Roman"/>
                <w:sz w:val="24"/>
              </w:rPr>
              <w:t>*</w:t>
            </w:r>
          </w:p>
        </w:tc>
        <w:tc>
          <w:tcPr>
            <w:tcW w:w="820" w:type="pct"/>
            <w:gridSpan w:val="2"/>
            <w:shd w:val="clear" w:color="auto" w:fill="99CCFF"/>
            <w:noWrap/>
            <w:vAlign w:val="center"/>
            <w:hideMark/>
          </w:tcPr>
          <w:p w14:paraId="5A70A75E" w14:textId="77777777"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 xml:space="preserve">Bez </w:t>
            </w:r>
            <w:r w:rsidRPr="00B37A02">
              <w:rPr>
                <w:rFonts w:ascii="Times New Roman" w:hAnsi="Times New Roman" w:cs="Times New Roman"/>
                <w:i/>
                <w:iCs/>
                <w:sz w:val="24"/>
              </w:rPr>
              <w:t>AROP</w:t>
            </w:r>
            <w:r w:rsidRPr="00B37A02">
              <w:rPr>
                <w:rFonts w:ascii="Times New Roman" w:hAnsi="Times New Roman" w:cs="Times New Roman"/>
                <w:sz w:val="24"/>
              </w:rPr>
              <w:t>*</w:t>
            </w:r>
          </w:p>
        </w:tc>
        <w:tc>
          <w:tcPr>
            <w:tcW w:w="753" w:type="pct"/>
            <w:gridSpan w:val="2"/>
            <w:shd w:val="clear" w:color="auto" w:fill="99CCFF"/>
            <w:noWrap/>
            <w:vAlign w:val="center"/>
            <w:hideMark/>
          </w:tcPr>
          <w:p w14:paraId="2ED1B823" w14:textId="77777777"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Kopā</w:t>
            </w:r>
          </w:p>
        </w:tc>
      </w:tr>
      <w:tr w:rsidR="008C0775" w:rsidRPr="00B37A02" w14:paraId="79CAF0F4" w14:textId="77777777" w:rsidTr="00C85DBE">
        <w:trPr>
          <w:cantSplit/>
          <w:trHeight w:val="898"/>
        </w:trPr>
        <w:tc>
          <w:tcPr>
            <w:tcW w:w="535" w:type="pct"/>
            <w:vMerge/>
            <w:shd w:val="clear" w:color="000000" w:fill="99CCFF"/>
            <w:noWrap/>
            <w:vAlign w:val="bottom"/>
            <w:hideMark/>
          </w:tcPr>
          <w:p w14:paraId="7C95EDFC" w14:textId="77777777" w:rsidR="00BC5BDF" w:rsidRPr="00B37A02" w:rsidRDefault="00BC5BDF" w:rsidP="00C97F66">
            <w:pPr>
              <w:widowControl w:val="0"/>
              <w:spacing w:after="0" w:line="240" w:lineRule="auto"/>
              <w:jc w:val="both"/>
              <w:rPr>
                <w:rFonts w:ascii="Times New Roman" w:eastAsia="Times New Roman" w:hAnsi="Times New Roman" w:cs="Times New Roman"/>
                <w:sz w:val="24"/>
                <w:szCs w:val="20"/>
                <w:lang w:eastAsia="en-GB"/>
              </w:rPr>
            </w:pPr>
          </w:p>
        </w:tc>
        <w:tc>
          <w:tcPr>
            <w:tcW w:w="323" w:type="pct"/>
            <w:shd w:val="clear" w:color="auto" w:fill="99CCFF"/>
            <w:noWrap/>
            <w:vAlign w:val="center"/>
            <w:hideMark/>
          </w:tcPr>
          <w:p w14:paraId="1ED7C96C" w14:textId="77777777" w:rsidR="00BC5BDF" w:rsidRPr="00D327BF" w:rsidRDefault="00BC5BDF" w:rsidP="00C97F66">
            <w:pPr>
              <w:widowControl w:val="0"/>
              <w:spacing w:after="0" w:line="240" w:lineRule="auto"/>
              <w:jc w:val="both"/>
              <w:rPr>
                <w:rFonts w:ascii="Times New Roman" w:eastAsia="Times New Roman" w:hAnsi="Times New Roman" w:cs="Times New Roman"/>
                <w:sz w:val="24"/>
              </w:rPr>
            </w:pPr>
            <w:r w:rsidRPr="00D327BF">
              <w:rPr>
                <w:rFonts w:ascii="Times New Roman" w:hAnsi="Times New Roman" w:cs="Times New Roman"/>
                <w:sz w:val="24"/>
              </w:rPr>
              <w:t>medicīna</w:t>
            </w:r>
          </w:p>
        </w:tc>
        <w:tc>
          <w:tcPr>
            <w:tcW w:w="344" w:type="pct"/>
            <w:shd w:val="clear" w:color="auto" w:fill="99CCFF"/>
            <w:noWrap/>
            <w:vAlign w:val="center"/>
            <w:hideMark/>
          </w:tcPr>
          <w:p w14:paraId="5756E4DD" w14:textId="77777777" w:rsidR="00BC5BDF" w:rsidRPr="00D327BF" w:rsidRDefault="00BC5BDF" w:rsidP="00C97F66">
            <w:pPr>
              <w:widowControl w:val="0"/>
              <w:spacing w:after="0" w:line="240" w:lineRule="auto"/>
              <w:jc w:val="both"/>
              <w:rPr>
                <w:rFonts w:ascii="Times New Roman" w:eastAsia="Times New Roman" w:hAnsi="Times New Roman" w:cs="Times New Roman"/>
                <w:sz w:val="24"/>
              </w:rPr>
            </w:pPr>
            <w:r w:rsidRPr="00D327BF">
              <w:rPr>
                <w:rFonts w:ascii="Times New Roman" w:hAnsi="Times New Roman" w:cs="Times New Roman"/>
                <w:sz w:val="24"/>
              </w:rPr>
              <w:t>zobārstniecība</w:t>
            </w:r>
          </w:p>
        </w:tc>
        <w:tc>
          <w:tcPr>
            <w:tcW w:w="266" w:type="pct"/>
            <w:shd w:val="clear" w:color="auto" w:fill="99CCFF"/>
            <w:noWrap/>
            <w:vAlign w:val="center"/>
            <w:hideMark/>
          </w:tcPr>
          <w:p w14:paraId="3B96C7B4" w14:textId="77777777" w:rsidR="00BC5BDF" w:rsidRPr="00D327BF" w:rsidRDefault="00BC5BDF" w:rsidP="00C97F66">
            <w:pPr>
              <w:widowControl w:val="0"/>
              <w:spacing w:after="0" w:line="240" w:lineRule="auto"/>
              <w:jc w:val="both"/>
              <w:rPr>
                <w:rFonts w:ascii="Times New Roman" w:eastAsia="Times New Roman" w:hAnsi="Times New Roman" w:cs="Times New Roman"/>
                <w:sz w:val="24"/>
              </w:rPr>
            </w:pPr>
            <w:r w:rsidRPr="00D327BF">
              <w:rPr>
                <w:rFonts w:ascii="Times New Roman" w:hAnsi="Times New Roman" w:cs="Times New Roman"/>
                <w:sz w:val="24"/>
              </w:rPr>
              <w:t>medicīna</w:t>
            </w:r>
          </w:p>
        </w:tc>
        <w:tc>
          <w:tcPr>
            <w:tcW w:w="401" w:type="pct"/>
            <w:shd w:val="clear" w:color="auto" w:fill="99CCFF"/>
            <w:noWrap/>
            <w:vAlign w:val="center"/>
            <w:hideMark/>
          </w:tcPr>
          <w:p w14:paraId="227820EE" w14:textId="77777777" w:rsidR="00BC5BDF" w:rsidRPr="00D327BF" w:rsidRDefault="00BC5BDF" w:rsidP="00C97F66">
            <w:pPr>
              <w:widowControl w:val="0"/>
              <w:spacing w:after="0" w:line="240" w:lineRule="auto"/>
              <w:jc w:val="both"/>
              <w:rPr>
                <w:rFonts w:ascii="Times New Roman" w:eastAsia="Times New Roman" w:hAnsi="Times New Roman" w:cs="Times New Roman"/>
                <w:sz w:val="24"/>
              </w:rPr>
            </w:pPr>
            <w:r w:rsidRPr="00D327BF">
              <w:rPr>
                <w:rFonts w:ascii="Times New Roman" w:hAnsi="Times New Roman" w:cs="Times New Roman"/>
                <w:sz w:val="24"/>
              </w:rPr>
              <w:t>zobārstniecība</w:t>
            </w:r>
          </w:p>
        </w:tc>
        <w:tc>
          <w:tcPr>
            <w:tcW w:w="266" w:type="pct"/>
            <w:shd w:val="clear" w:color="auto" w:fill="99CCFF"/>
            <w:noWrap/>
            <w:vAlign w:val="center"/>
            <w:hideMark/>
          </w:tcPr>
          <w:p w14:paraId="75940A72" w14:textId="77777777" w:rsidR="00BC5BDF" w:rsidRPr="00D327BF" w:rsidRDefault="00BC5BDF" w:rsidP="00C97F66">
            <w:pPr>
              <w:widowControl w:val="0"/>
              <w:spacing w:after="0" w:line="240" w:lineRule="auto"/>
              <w:jc w:val="both"/>
              <w:rPr>
                <w:rFonts w:ascii="Times New Roman" w:eastAsia="Times New Roman" w:hAnsi="Times New Roman" w:cs="Times New Roman"/>
                <w:sz w:val="24"/>
              </w:rPr>
            </w:pPr>
            <w:r w:rsidRPr="00D327BF">
              <w:rPr>
                <w:rFonts w:ascii="Times New Roman" w:hAnsi="Times New Roman" w:cs="Times New Roman"/>
                <w:sz w:val="24"/>
              </w:rPr>
              <w:t>medicīna</w:t>
            </w:r>
          </w:p>
        </w:tc>
        <w:tc>
          <w:tcPr>
            <w:tcW w:w="401" w:type="pct"/>
            <w:shd w:val="clear" w:color="auto" w:fill="99CCFF"/>
            <w:noWrap/>
            <w:vAlign w:val="center"/>
            <w:hideMark/>
          </w:tcPr>
          <w:p w14:paraId="4B61BC43" w14:textId="77777777" w:rsidR="00BC5BDF" w:rsidRPr="00D327BF" w:rsidRDefault="00BC5BDF" w:rsidP="00C97F66">
            <w:pPr>
              <w:widowControl w:val="0"/>
              <w:spacing w:after="0" w:line="240" w:lineRule="auto"/>
              <w:jc w:val="both"/>
              <w:rPr>
                <w:rFonts w:ascii="Times New Roman" w:eastAsia="Times New Roman" w:hAnsi="Times New Roman" w:cs="Times New Roman"/>
                <w:sz w:val="24"/>
              </w:rPr>
            </w:pPr>
            <w:r w:rsidRPr="00D327BF">
              <w:rPr>
                <w:rFonts w:ascii="Times New Roman" w:hAnsi="Times New Roman" w:cs="Times New Roman"/>
                <w:sz w:val="24"/>
              </w:rPr>
              <w:t>zobārstniecība</w:t>
            </w:r>
          </w:p>
        </w:tc>
        <w:tc>
          <w:tcPr>
            <w:tcW w:w="444" w:type="pct"/>
            <w:shd w:val="clear" w:color="auto" w:fill="99CCFF"/>
            <w:noWrap/>
            <w:vAlign w:val="center"/>
            <w:hideMark/>
          </w:tcPr>
          <w:p w14:paraId="7F803220" w14:textId="77777777" w:rsidR="00BC5BDF" w:rsidRPr="00D327BF" w:rsidRDefault="00BC5BDF" w:rsidP="00C97F66">
            <w:pPr>
              <w:widowControl w:val="0"/>
              <w:spacing w:after="0" w:line="240" w:lineRule="auto"/>
              <w:jc w:val="both"/>
              <w:rPr>
                <w:rFonts w:ascii="Times New Roman" w:eastAsia="Times New Roman" w:hAnsi="Times New Roman" w:cs="Times New Roman"/>
                <w:sz w:val="24"/>
              </w:rPr>
            </w:pPr>
            <w:r w:rsidRPr="00D327BF">
              <w:rPr>
                <w:rFonts w:ascii="Times New Roman" w:hAnsi="Times New Roman" w:cs="Times New Roman"/>
                <w:sz w:val="24"/>
              </w:rPr>
              <w:t>medicīna</w:t>
            </w:r>
          </w:p>
        </w:tc>
        <w:tc>
          <w:tcPr>
            <w:tcW w:w="444" w:type="pct"/>
            <w:shd w:val="clear" w:color="auto" w:fill="99CCFF"/>
            <w:noWrap/>
            <w:vAlign w:val="center"/>
            <w:hideMark/>
          </w:tcPr>
          <w:p w14:paraId="740FE304" w14:textId="77777777" w:rsidR="00BC5BDF" w:rsidRPr="00D327BF" w:rsidRDefault="00BC5BDF" w:rsidP="00C97F66">
            <w:pPr>
              <w:widowControl w:val="0"/>
              <w:spacing w:after="0" w:line="240" w:lineRule="auto"/>
              <w:jc w:val="both"/>
              <w:rPr>
                <w:rFonts w:ascii="Times New Roman" w:eastAsia="Times New Roman" w:hAnsi="Times New Roman" w:cs="Times New Roman"/>
                <w:sz w:val="24"/>
              </w:rPr>
            </w:pPr>
            <w:r w:rsidRPr="00D327BF">
              <w:rPr>
                <w:rFonts w:ascii="Times New Roman" w:hAnsi="Times New Roman" w:cs="Times New Roman"/>
                <w:sz w:val="24"/>
              </w:rPr>
              <w:t>zobārstniecība</w:t>
            </w:r>
          </w:p>
        </w:tc>
        <w:tc>
          <w:tcPr>
            <w:tcW w:w="376" w:type="pct"/>
            <w:shd w:val="clear" w:color="auto" w:fill="99CCFF"/>
            <w:noWrap/>
            <w:vAlign w:val="center"/>
            <w:hideMark/>
          </w:tcPr>
          <w:p w14:paraId="20851827" w14:textId="77777777" w:rsidR="00BC5BDF" w:rsidRPr="00D327BF" w:rsidRDefault="00BC5BDF" w:rsidP="00C97F66">
            <w:pPr>
              <w:widowControl w:val="0"/>
              <w:spacing w:after="0" w:line="240" w:lineRule="auto"/>
              <w:jc w:val="both"/>
              <w:rPr>
                <w:rFonts w:ascii="Times New Roman" w:eastAsia="Times New Roman" w:hAnsi="Times New Roman" w:cs="Times New Roman"/>
                <w:sz w:val="24"/>
              </w:rPr>
            </w:pPr>
            <w:r w:rsidRPr="00D327BF">
              <w:rPr>
                <w:rFonts w:ascii="Times New Roman" w:hAnsi="Times New Roman" w:cs="Times New Roman"/>
                <w:sz w:val="24"/>
              </w:rPr>
              <w:t>medicīna</w:t>
            </w:r>
          </w:p>
        </w:tc>
        <w:tc>
          <w:tcPr>
            <w:tcW w:w="444" w:type="pct"/>
            <w:shd w:val="clear" w:color="auto" w:fill="99CCFF"/>
            <w:noWrap/>
            <w:vAlign w:val="center"/>
            <w:hideMark/>
          </w:tcPr>
          <w:p w14:paraId="2CFC41D9" w14:textId="77777777" w:rsidR="00BC5BDF" w:rsidRPr="00D327BF" w:rsidRDefault="00BC5BDF" w:rsidP="00C97F66">
            <w:pPr>
              <w:widowControl w:val="0"/>
              <w:spacing w:after="0" w:line="240" w:lineRule="auto"/>
              <w:jc w:val="both"/>
              <w:rPr>
                <w:rFonts w:ascii="Times New Roman" w:eastAsia="Times New Roman" w:hAnsi="Times New Roman" w:cs="Times New Roman"/>
                <w:sz w:val="24"/>
              </w:rPr>
            </w:pPr>
            <w:r w:rsidRPr="00D327BF">
              <w:rPr>
                <w:rFonts w:ascii="Times New Roman" w:hAnsi="Times New Roman" w:cs="Times New Roman"/>
                <w:sz w:val="24"/>
              </w:rPr>
              <w:t>zobārstniecība</w:t>
            </w:r>
          </w:p>
        </w:tc>
        <w:tc>
          <w:tcPr>
            <w:tcW w:w="344" w:type="pct"/>
            <w:shd w:val="clear" w:color="auto" w:fill="99CCFF"/>
            <w:noWrap/>
            <w:vAlign w:val="center"/>
            <w:hideMark/>
          </w:tcPr>
          <w:p w14:paraId="6476E5B7" w14:textId="77777777" w:rsidR="00BC5BDF" w:rsidRPr="00D327BF" w:rsidRDefault="00BC5BDF" w:rsidP="00C97F66">
            <w:pPr>
              <w:widowControl w:val="0"/>
              <w:spacing w:after="0" w:line="240" w:lineRule="auto"/>
              <w:jc w:val="both"/>
              <w:rPr>
                <w:rFonts w:ascii="Times New Roman" w:eastAsia="Times New Roman" w:hAnsi="Times New Roman" w:cs="Times New Roman"/>
                <w:sz w:val="24"/>
              </w:rPr>
            </w:pPr>
            <w:r w:rsidRPr="00D327BF">
              <w:rPr>
                <w:rFonts w:ascii="Times New Roman" w:hAnsi="Times New Roman" w:cs="Times New Roman"/>
                <w:sz w:val="24"/>
              </w:rPr>
              <w:t>medicīna</w:t>
            </w:r>
          </w:p>
        </w:tc>
        <w:tc>
          <w:tcPr>
            <w:tcW w:w="413" w:type="pct"/>
            <w:shd w:val="clear" w:color="auto" w:fill="99CCFF"/>
            <w:noWrap/>
            <w:vAlign w:val="center"/>
            <w:hideMark/>
          </w:tcPr>
          <w:p w14:paraId="40578D0D" w14:textId="77777777" w:rsidR="00BC5BDF" w:rsidRPr="00D327BF" w:rsidRDefault="00BC5BDF" w:rsidP="00C97F66">
            <w:pPr>
              <w:widowControl w:val="0"/>
              <w:spacing w:after="0" w:line="240" w:lineRule="auto"/>
              <w:jc w:val="both"/>
              <w:rPr>
                <w:rFonts w:ascii="Times New Roman" w:eastAsia="Times New Roman" w:hAnsi="Times New Roman" w:cs="Times New Roman"/>
                <w:sz w:val="24"/>
              </w:rPr>
            </w:pPr>
            <w:r w:rsidRPr="00D327BF">
              <w:rPr>
                <w:rFonts w:ascii="Times New Roman" w:hAnsi="Times New Roman" w:cs="Times New Roman"/>
                <w:sz w:val="24"/>
              </w:rPr>
              <w:t>zobārstniecība</w:t>
            </w:r>
          </w:p>
        </w:tc>
      </w:tr>
      <w:tr w:rsidR="00D10407" w:rsidRPr="00B37A02" w14:paraId="15CA0E3B" w14:textId="77777777" w:rsidTr="00C85DBE">
        <w:tc>
          <w:tcPr>
            <w:tcW w:w="535" w:type="pct"/>
            <w:shd w:val="clear" w:color="auto" w:fill="99CCFF"/>
            <w:noWrap/>
            <w:vAlign w:val="bottom"/>
            <w:hideMark/>
          </w:tcPr>
          <w:p w14:paraId="798ABA8C" w14:textId="77777777"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27 ES dalībvalstis</w:t>
            </w:r>
          </w:p>
        </w:tc>
        <w:tc>
          <w:tcPr>
            <w:tcW w:w="323" w:type="pct"/>
            <w:shd w:val="clear" w:color="auto" w:fill="auto"/>
            <w:noWrap/>
            <w:vAlign w:val="bottom"/>
            <w:hideMark/>
          </w:tcPr>
          <w:p w14:paraId="5A237B14"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3,0</w:t>
            </w:r>
          </w:p>
        </w:tc>
        <w:tc>
          <w:tcPr>
            <w:tcW w:w="344" w:type="pct"/>
            <w:shd w:val="clear" w:color="auto" w:fill="auto"/>
            <w:noWrap/>
            <w:vAlign w:val="bottom"/>
            <w:hideMark/>
          </w:tcPr>
          <w:p w14:paraId="1E358F9A"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7,8</w:t>
            </w:r>
          </w:p>
        </w:tc>
        <w:tc>
          <w:tcPr>
            <w:tcW w:w="266" w:type="pct"/>
            <w:shd w:val="clear" w:color="auto" w:fill="auto"/>
            <w:noWrap/>
            <w:vAlign w:val="bottom"/>
            <w:hideMark/>
          </w:tcPr>
          <w:p w14:paraId="07D2B88D"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1,3</w:t>
            </w:r>
          </w:p>
        </w:tc>
        <w:tc>
          <w:tcPr>
            <w:tcW w:w="401" w:type="pct"/>
            <w:shd w:val="clear" w:color="auto" w:fill="auto"/>
            <w:noWrap/>
            <w:vAlign w:val="bottom"/>
            <w:hideMark/>
          </w:tcPr>
          <w:p w14:paraId="39FEB624"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1,3</w:t>
            </w:r>
          </w:p>
        </w:tc>
        <w:tc>
          <w:tcPr>
            <w:tcW w:w="266" w:type="pct"/>
            <w:shd w:val="clear" w:color="auto" w:fill="auto"/>
            <w:noWrap/>
            <w:vAlign w:val="bottom"/>
            <w:hideMark/>
          </w:tcPr>
          <w:p w14:paraId="7B9E5067"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1,6</w:t>
            </w:r>
          </w:p>
        </w:tc>
        <w:tc>
          <w:tcPr>
            <w:tcW w:w="401" w:type="pct"/>
            <w:shd w:val="clear" w:color="auto" w:fill="auto"/>
            <w:noWrap/>
            <w:vAlign w:val="bottom"/>
            <w:hideMark/>
          </w:tcPr>
          <w:p w14:paraId="037F6AA5"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2,6</w:t>
            </w:r>
          </w:p>
        </w:tc>
        <w:tc>
          <w:tcPr>
            <w:tcW w:w="444" w:type="pct"/>
            <w:shd w:val="clear" w:color="auto" w:fill="auto"/>
            <w:noWrap/>
            <w:vAlign w:val="bottom"/>
            <w:hideMark/>
          </w:tcPr>
          <w:p w14:paraId="4A2AECB8"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1,6</w:t>
            </w:r>
          </w:p>
        </w:tc>
        <w:tc>
          <w:tcPr>
            <w:tcW w:w="444" w:type="pct"/>
            <w:shd w:val="clear" w:color="auto" w:fill="auto"/>
            <w:noWrap/>
            <w:vAlign w:val="bottom"/>
            <w:hideMark/>
          </w:tcPr>
          <w:p w14:paraId="6BC83232"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6,6</w:t>
            </w:r>
          </w:p>
        </w:tc>
        <w:tc>
          <w:tcPr>
            <w:tcW w:w="376" w:type="pct"/>
            <w:shd w:val="clear" w:color="auto" w:fill="auto"/>
            <w:noWrap/>
            <w:vAlign w:val="bottom"/>
            <w:hideMark/>
          </w:tcPr>
          <w:p w14:paraId="7A3AA2D2"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1,5</w:t>
            </w:r>
          </w:p>
        </w:tc>
        <w:tc>
          <w:tcPr>
            <w:tcW w:w="444" w:type="pct"/>
            <w:shd w:val="clear" w:color="auto" w:fill="auto"/>
            <w:noWrap/>
            <w:vAlign w:val="bottom"/>
            <w:hideMark/>
          </w:tcPr>
          <w:p w14:paraId="36853977"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1,9</w:t>
            </w:r>
          </w:p>
        </w:tc>
        <w:tc>
          <w:tcPr>
            <w:tcW w:w="344" w:type="pct"/>
            <w:shd w:val="clear" w:color="auto" w:fill="auto"/>
            <w:noWrap/>
            <w:vAlign w:val="bottom"/>
            <w:hideMark/>
          </w:tcPr>
          <w:p w14:paraId="2FFA68B7"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1,5</w:t>
            </w:r>
          </w:p>
        </w:tc>
        <w:tc>
          <w:tcPr>
            <w:tcW w:w="413" w:type="pct"/>
            <w:shd w:val="clear" w:color="auto" w:fill="auto"/>
            <w:noWrap/>
            <w:vAlign w:val="bottom"/>
            <w:hideMark/>
          </w:tcPr>
          <w:p w14:paraId="34901032"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3,6</w:t>
            </w:r>
          </w:p>
        </w:tc>
      </w:tr>
      <w:tr w:rsidR="00D10407" w:rsidRPr="00B37A02" w14:paraId="6B719B5E" w14:textId="77777777" w:rsidTr="00C85DBE">
        <w:tc>
          <w:tcPr>
            <w:tcW w:w="535" w:type="pct"/>
            <w:shd w:val="clear" w:color="auto" w:fill="99CCFF"/>
            <w:noWrap/>
            <w:vAlign w:val="bottom"/>
            <w:hideMark/>
          </w:tcPr>
          <w:p w14:paraId="0390AC87" w14:textId="77777777"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Austrija</w:t>
            </w:r>
          </w:p>
        </w:tc>
        <w:tc>
          <w:tcPr>
            <w:tcW w:w="323" w:type="pct"/>
            <w:shd w:val="clear" w:color="auto" w:fill="auto"/>
            <w:noWrap/>
            <w:vAlign w:val="bottom"/>
            <w:hideMark/>
          </w:tcPr>
          <w:p w14:paraId="60376845"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c>
          <w:tcPr>
            <w:tcW w:w="344" w:type="pct"/>
            <w:shd w:val="clear" w:color="auto" w:fill="auto"/>
            <w:noWrap/>
            <w:vAlign w:val="bottom"/>
            <w:hideMark/>
          </w:tcPr>
          <w:p w14:paraId="48A805DE"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26,6</w:t>
            </w:r>
          </w:p>
        </w:tc>
        <w:tc>
          <w:tcPr>
            <w:tcW w:w="266" w:type="pct"/>
            <w:shd w:val="clear" w:color="auto" w:fill="auto"/>
            <w:noWrap/>
            <w:vAlign w:val="bottom"/>
            <w:hideMark/>
          </w:tcPr>
          <w:p w14:paraId="70F5F794"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c>
          <w:tcPr>
            <w:tcW w:w="401" w:type="pct"/>
            <w:shd w:val="clear" w:color="auto" w:fill="auto"/>
            <w:noWrap/>
            <w:vAlign w:val="bottom"/>
            <w:hideMark/>
          </w:tcPr>
          <w:p w14:paraId="2727D21E"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4,4</w:t>
            </w:r>
          </w:p>
        </w:tc>
        <w:tc>
          <w:tcPr>
            <w:tcW w:w="266" w:type="pct"/>
            <w:shd w:val="clear" w:color="auto" w:fill="auto"/>
            <w:noWrap/>
            <w:vAlign w:val="bottom"/>
            <w:hideMark/>
          </w:tcPr>
          <w:p w14:paraId="3DB48B5C"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c>
          <w:tcPr>
            <w:tcW w:w="401" w:type="pct"/>
            <w:shd w:val="clear" w:color="auto" w:fill="auto"/>
            <w:noWrap/>
            <w:vAlign w:val="bottom"/>
            <w:hideMark/>
          </w:tcPr>
          <w:p w14:paraId="525326AE"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7,8</w:t>
            </w:r>
          </w:p>
        </w:tc>
        <w:tc>
          <w:tcPr>
            <w:tcW w:w="444" w:type="pct"/>
            <w:shd w:val="clear" w:color="auto" w:fill="auto"/>
            <w:noWrap/>
            <w:vAlign w:val="bottom"/>
            <w:hideMark/>
          </w:tcPr>
          <w:p w14:paraId="5AFFCE61"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c>
          <w:tcPr>
            <w:tcW w:w="444" w:type="pct"/>
            <w:shd w:val="clear" w:color="auto" w:fill="auto"/>
            <w:noWrap/>
            <w:vAlign w:val="bottom"/>
            <w:hideMark/>
          </w:tcPr>
          <w:p w14:paraId="229D5208"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24,0</w:t>
            </w:r>
          </w:p>
        </w:tc>
        <w:tc>
          <w:tcPr>
            <w:tcW w:w="376" w:type="pct"/>
            <w:shd w:val="clear" w:color="auto" w:fill="auto"/>
            <w:noWrap/>
            <w:vAlign w:val="bottom"/>
            <w:hideMark/>
          </w:tcPr>
          <w:p w14:paraId="0860BAE0"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0,5</w:t>
            </w:r>
          </w:p>
        </w:tc>
        <w:tc>
          <w:tcPr>
            <w:tcW w:w="444" w:type="pct"/>
            <w:shd w:val="clear" w:color="auto" w:fill="auto"/>
            <w:noWrap/>
            <w:vAlign w:val="bottom"/>
            <w:hideMark/>
          </w:tcPr>
          <w:p w14:paraId="01EDDF2C"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6,8</w:t>
            </w:r>
          </w:p>
        </w:tc>
        <w:tc>
          <w:tcPr>
            <w:tcW w:w="344" w:type="pct"/>
            <w:shd w:val="clear" w:color="auto" w:fill="auto"/>
            <w:noWrap/>
            <w:vAlign w:val="bottom"/>
            <w:hideMark/>
          </w:tcPr>
          <w:p w14:paraId="1D974C84"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0,3</w:t>
            </w:r>
          </w:p>
        </w:tc>
        <w:tc>
          <w:tcPr>
            <w:tcW w:w="413" w:type="pct"/>
            <w:shd w:val="clear" w:color="auto" w:fill="auto"/>
            <w:noWrap/>
            <w:vAlign w:val="bottom"/>
            <w:hideMark/>
          </w:tcPr>
          <w:p w14:paraId="505F19E7"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14,2</w:t>
            </w:r>
          </w:p>
        </w:tc>
      </w:tr>
      <w:tr w:rsidR="00D10407" w:rsidRPr="00B37A02" w14:paraId="673B07A6" w14:textId="77777777" w:rsidTr="00C85DBE">
        <w:tc>
          <w:tcPr>
            <w:tcW w:w="535" w:type="pct"/>
            <w:shd w:val="clear" w:color="auto" w:fill="99CCFF"/>
            <w:noWrap/>
            <w:vAlign w:val="bottom"/>
            <w:hideMark/>
          </w:tcPr>
          <w:p w14:paraId="006246EF" w14:textId="77777777"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Beļģija</w:t>
            </w:r>
          </w:p>
        </w:tc>
        <w:tc>
          <w:tcPr>
            <w:tcW w:w="323" w:type="pct"/>
            <w:shd w:val="clear" w:color="auto" w:fill="auto"/>
            <w:noWrap/>
            <w:vAlign w:val="bottom"/>
            <w:hideMark/>
          </w:tcPr>
          <w:p w14:paraId="5547F3F3"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7,8</w:t>
            </w:r>
          </w:p>
        </w:tc>
        <w:tc>
          <w:tcPr>
            <w:tcW w:w="344" w:type="pct"/>
            <w:shd w:val="clear" w:color="auto" w:fill="auto"/>
            <w:noWrap/>
            <w:vAlign w:val="bottom"/>
            <w:hideMark/>
          </w:tcPr>
          <w:p w14:paraId="446682CD"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7,5</w:t>
            </w:r>
          </w:p>
        </w:tc>
        <w:tc>
          <w:tcPr>
            <w:tcW w:w="266" w:type="pct"/>
            <w:shd w:val="clear" w:color="auto" w:fill="auto"/>
            <w:noWrap/>
            <w:vAlign w:val="bottom"/>
            <w:hideMark/>
          </w:tcPr>
          <w:p w14:paraId="2BB4CC50"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1,4</w:t>
            </w:r>
          </w:p>
        </w:tc>
        <w:tc>
          <w:tcPr>
            <w:tcW w:w="401" w:type="pct"/>
            <w:shd w:val="clear" w:color="auto" w:fill="auto"/>
            <w:noWrap/>
            <w:vAlign w:val="bottom"/>
            <w:hideMark/>
          </w:tcPr>
          <w:p w14:paraId="520EEABC"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0,8</w:t>
            </w:r>
          </w:p>
        </w:tc>
        <w:tc>
          <w:tcPr>
            <w:tcW w:w="266" w:type="pct"/>
            <w:shd w:val="clear" w:color="auto" w:fill="auto"/>
            <w:noWrap/>
            <w:vAlign w:val="bottom"/>
            <w:hideMark/>
          </w:tcPr>
          <w:p w14:paraId="215007B0"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2,5</w:t>
            </w:r>
          </w:p>
        </w:tc>
        <w:tc>
          <w:tcPr>
            <w:tcW w:w="401" w:type="pct"/>
            <w:shd w:val="clear" w:color="auto" w:fill="auto"/>
            <w:noWrap/>
            <w:vAlign w:val="bottom"/>
            <w:hideMark/>
          </w:tcPr>
          <w:p w14:paraId="1643B92A"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2,4</w:t>
            </w:r>
          </w:p>
        </w:tc>
        <w:tc>
          <w:tcPr>
            <w:tcW w:w="444" w:type="pct"/>
            <w:shd w:val="clear" w:color="auto" w:fill="auto"/>
            <w:noWrap/>
            <w:vAlign w:val="bottom"/>
            <w:hideMark/>
          </w:tcPr>
          <w:p w14:paraId="3F234C03"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3,9</w:t>
            </w:r>
          </w:p>
        </w:tc>
        <w:tc>
          <w:tcPr>
            <w:tcW w:w="444" w:type="pct"/>
            <w:shd w:val="clear" w:color="auto" w:fill="auto"/>
            <w:noWrap/>
            <w:vAlign w:val="bottom"/>
            <w:hideMark/>
          </w:tcPr>
          <w:p w14:paraId="4827DB11"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Nav piemērojams</w:t>
            </w:r>
          </w:p>
        </w:tc>
        <w:tc>
          <w:tcPr>
            <w:tcW w:w="376" w:type="pct"/>
            <w:shd w:val="clear" w:color="auto" w:fill="auto"/>
            <w:noWrap/>
            <w:vAlign w:val="bottom"/>
            <w:hideMark/>
          </w:tcPr>
          <w:p w14:paraId="3C0BFC0F"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3,3</w:t>
            </w:r>
          </w:p>
        </w:tc>
        <w:tc>
          <w:tcPr>
            <w:tcW w:w="444" w:type="pct"/>
            <w:shd w:val="clear" w:color="auto" w:fill="auto"/>
            <w:noWrap/>
            <w:vAlign w:val="bottom"/>
            <w:hideMark/>
          </w:tcPr>
          <w:p w14:paraId="32D19FF8"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c>
          <w:tcPr>
            <w:tcW w:w="344" w:type="pct"/>
            <w:shd w:val="clear" w:color="auto" w:fill="auto"/>
            <w:noWrap/>
            <w:vAlign w:val="bottom"/>
            <w:hideMark/>
          </w:tcPr>
          <w:p w14:paraId="2EF2C2BD"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3,6</w:t>
            </w:r>
          </w:p>
        </w:tc>
        <w:tc>
          <w:tcPr>
            <w:tcW w:w="413" w:type="pct"/>
            <w:shd w:val="clear" w:color="auto" w:fill="auto"/>
            <w:noWrap/>
            <w:vAlign w:val="bottom"/>
            <w:hideMark/>
          </w:tcPr>
          <w:p w14:paraId="322597BD"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2,3</w:t>
            </w:r>
          </w:p>
        </w:tc>
      </w:tr>
      <w:tr w:rsidR="00D10407" w:rsidRPr="00B37A02" w14:paraId="49CCB86B" w14:textId="77777777" w:rsidTr="00C85DBE">
        <w:tc>
          <w:tcPr>
            <w:tcW w:w="535" w:type="pct"/>
            <w:shd w:val="clear" w:color="auto" w:fill="99CCFF"/>
            <w:noWrap/>
            <w:vAlign w:val="bottom"/>
            <w:hideMark/>
          </w:tcPr>
          <w:p w14:paraId="5EA14AE9" w14:textId="77777777"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Bulgārija</w:t>
            </w:r>
          </w:p>
        </w:tc>
        <w:tc>
          <w:tcPr>
            <w:tcW w:w="323" w:type="pct"/>
            <w:shd w:val="clear" w:color="auto" w:fill="auto"/>
            <w:noWrap/>
            <w:vAlign w:val="bottom"/>
            <w:hideMark/>
          </w:tcPr>
          <w:p w14:paraId="6CC3C427"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4,7</w:t>
            </w:r>
          </w:p>
        </w:tc>
        <w:tc>
          <w:tcPr>
            <w:tcW w:w="344" w:type="pct"/>
            <w:shd w:val="clear" w:color="auto" w:fill="auto"/>
            <w:noWrap/>
            <w:vAlign w:val="bottom"/>
            <w:hideMark/>
          </w:tcPr>
          <w:p w14:paraId="2D490182"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5,8</w:t>
            </w:r>
          </w:p>
        </w:tc>
        <w:tc>
          <w:tcPr>
            <w:tcW w:w="266" w:type="pct"/>
            <w:shd w:val="clear" w:color="auto" w:fill="auto"/>
            <w:noWrap/>
            <w:vAlign w:val="bottom"/>
            <w:hideMark/>
          </w:tcPr>
          <w:p w14:paraId="64CB9D15"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0,9</w:t>
            </w:r>
          </w:p>
        </w:tc>
        <w:tc>
          <w:tcPr>
            <w:tcW w:w="401" w:type="pct"/>
            <w:shd w:val="clear" w:color="auto" w:fill="auto"/>
            <w:noWrap/>
            <w:vAlign w:val="bottom"/>
            <w:hideMark/>
          </w:tcPr>
          <w:p w14:paraId="72562C0E"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1,6</w:t>
            </w:r>
          </w:p>
        </w:tc>
        <w:tc>
          <w:tcPr>
            <w:tcW w:w="266" w:type="pct"/>
            <w:shd w:val="clear" w:color="auto" w:fill="auto"/>
            <w:noWrap/>
            <w:vAlign w:val="bottom"/>
            <w:hideMark/>
          </w:tcPr>
          <w:p w14:paraId="6EE517D5"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2,0</w:t>
            </w:r>
          </w:p>
        </w:tc>
        <w:tc>
          <w:tcPr>
            <w:tcW w:w="401" w:type="pct"/>
            <w:shd w:val="clear" w:color="auto" w:fill="auto"/>
            <w:noWrap/>
            <w:vAlign w:val="bottom"/>
            <w:hideMark/>
          </w:tcPr>
          <w:p w14:paraId="65D0453B"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2,0</w:t>
            </w:r>
          </w:p>
        </w:tc>
        <w:tc>
          <w:tcPr>
            <w:tcW w:w="444" w:type="pct"/>
            <w:shd w:val="clear" w:color="auto" w:fill="auto"/>
            <w:noWrap/>
            <w:vAlign w:val="bottom"/>
            <w:hideMark/>
          </w:tcPr>
          <w:p w14:paraId="01FCD635"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9,3</w:t>
            </w:r>
          </w:p>
        </w:tc>
        <w:tc>
          <w:tcPr>
            <w:tcW w:w="444" w:type="pct"/>
            <w:shd w:val="clear" w:color="auto" w:fill="auto"/>
            <w:noWrap/>
            <w:vAlign w:val="bottom"/>
            <w:hideMark/>
          </w:tcPr>
          <w:p w14:paraId="5BB266B3"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6,4</w:t>
            </w:r>
          </w:p>
        </w:tc>
        <w:tc>
          <w:tcPr>
            <w:tcW w:w="376" w:type="pct"/>
            <w:shd w:val="clear" w:color="auto" w:fill="auto"/>
            <w:noWrap/>
            <w:vAlign w:val="bottom"/>
            <w:hideMark/>
          </w:tcPr>
          <w:p w14:paraId="661ACAC0"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17,9</w:t>
            </w:r>
          </w:p>
        </w:tc>
        <w:tc>
          <w:tcPr>
            <w:tcW w:w="444" w:type="pct"/>
            <w:shd w:val="clear" w:color="auto" w:fill="auto"/>
            <w:noWrap/>
            <w:vAlign w:val="bottom"/>
            <w:hideMark/>
          </w:tcPr>
          <w:p w14:paraId="2CE123E8"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0,5</w:t>
            </w:r>
          </w:p>
        </w:tc>
        <w:tc>
          <w:tcPr>
            <w:tcW w:w="344" w:type="pct"/>
            <w:shd w:val="clear" w:color="auto" w:fill="auto"/>
            <w:noWrap/>
            <w:vAlign w:val="bottom"/>
            <w:hideMark/>
          </w:tcPr>
          <w:p w14:paraId="542B544C"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14,7</w:t>
            </w:r>
          </w:p>
        </w:tc>
        <w:tc>
          <w:tcPr>
            <w:tcW w:w="413" w:type="pct"/>
            <w:shd w:val="clear" w:color="auto" w:fill="auto"/>
            <w:noWrap/>
            <w:vAlign w:val="bottom"/>
            <w:hideMark/>
          </w:tcPr>
          <w:p w14:paraId="1D4DB95C"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2,7</w:t>
            </w:r>
          </w:p>
        </w:tc>
      </w:tr>
      <w:tr w:rsidR="00D10407" w:rsidRPr="00B37A02" w14:paraId="2240D7D3" w14:textId="77777777" w:rsidTr="00C85DBE">
        <w:tc>
          <w:tcPr>
            <w:tcW w:w="535" w:type="pct"/>
            <w:shd w:val="clear" w:color="auto" w:fill="99CCFF"/>
            <w:noWrap/>
            <w:vAlign w:val="bottom"/>
            <w:hideMark/>
          </w:tcPr>
          <w:p w14:paraId="4DCBAAFA" w14:textId="77777777"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Horvātija</w:t>
            </w:r>
          </w:p>
        </w:tc>
        <w:tc>
          <w:tcPr>
            <w:tcW w:w="323" w:type="pct"/>
            <w:shd w:val="clear" w:color="auto" w:fill="auto"/>
            <w:noWrap/>
            <w:vAlign w:val="bottom"/>
            <w:hideMark/>
          </w:tcPr>
          <w:p w14:paraId="196B04F3"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0,4</w:t>
            </w:r>
          </w:p>
        </w:tc>
        <w:tc>
          <w:tcPr>
            <w:tcW w:w="344" w:type="pct"/>
            <w:shd w:val="clear" w:color="auto" w:fill="auto"/>
            <w:noWrap/>
            <w:vAlign w:val="bottom"/>
            <w:hideMark/>
          </w:tcPr>
          <w:p w14:paraId="39A9A6BC"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c>
          <w:tcPr>
            <w:tcW w:w="266" w:type="pct"/>
            <w:shd w:val="clear" w:color="auto" w:fill="auto"/>
            <w:noWrap/>
            <w:vAlign w:val="bottom"/>
            <w:hideMark/>
          </w:tcPr>
          <w:p w14:paraId="3C6E4693"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0,5</w:t>
            </w:r>
          </w:p>
        </w:tc>
        <w:tc>
          <w:tcPr>
            <w:tcW w:w="401" w:type="pct"/>
            <w:shd w:val="clear" w:color="auto" w:fill="auto"/>
            <w:noWrap/>
            <w:vAlign w:val="bottom"/>
            <w:hideMark/>
          </w:tcPr>
          <w:p w14:paraId="6D964BCB"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0,5</w:t>
            </w:r>
          </w:p>
        </w:tc>
        <w:tc>
          <w:tcPr>
            <w:tcW w:w="266" w:type="pct"/>
            <w:shd w:val="clear" w:color="auto" w:fill="auto"/>
            <w:noWrap/>
            <w:vAlign w:val="bottom"/>
            <w:hideMark/>
          </w:tcPr>
          <w:p w14:paraId="39E69525"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0,4</w:t>
            </w:r>
          </w:p>
        </w:tc>
        <w:tc>
          <w:tcPr>
            <w:tcW w:w="401" w:type="pct"/>
            <w:shd w:val="clear" w:color="auto" w:fill="auto"/>
            <w:noWrap/>
            <w:vAlign w:val="bottom"/>
            <w:hideMark/>
          </w:tcPr>
          <w:p w14:paraId="5DF48395"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0,5</w:t>
            </w:r>
          </w:p>
        </w:tc>
        <w:tc>
          <w:tcPr>
            <w:tcW w:w="444" w:type="pct"/>
            <w:shd w:val="clear" w:color="auto" w:fill="auto"/>
            <w:noWrap/>
            <w:vAlign w:val="bottom"/>
            <w:hideMark/>
          </w:tcPr>
          <w:p w14:paraId="0868CE7D"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c>
          <w:tcPr>
            <w:tcW w:w="444" w:type="pct"/>
            <w:shd w:val="clear" w:color="auto" w:fill="auto"/>
            <w:noWrap/>
            <w:vAlign w:val="bottom"/>
            <w:hideMark/>
          </w:tcPr>
          <w:p w14:paraId="37C63F58"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c>
          <w:tcPr>
            <w:tcW w:w="376" w:type="pct"/>
            <w:shd w:val="clear" w:color="auto" w:fill="auto"/>
            <w:noWrap/>
            <w:vAlign w:val="bottom"/>
            <w:hideMark/>
          </w:tcPr>
          <w:p w14:paraId="4B78D3B5"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c>
          <w:tcPr>
            <w:tcW w:w="444" w:type="pct"/>
            <w:shd w:val="clear" w:color="auto" w:fill="auto"/>
            <w:noWrap/>
            <w:vAlign w:val="bottom"/>
            <w:hideMark/>
          </w:tcPr>
          <w:p w14:paraId="755E9E31"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2,2</w:t>
            </w:r>
          </w:p>
        </w:tc>
        <w:tc>
          <w:tcPr>
            <w:tcW w:w="344" w:type="pct"/>
            <w:shd w:val="clear" w:color="auto" w:fill="auto"/>
            <w:noWrap/>
            <w:vAlign w:val="bottom"/>
            <w:hideMark/>
          </w:tcPr>
          <w:p w14:paraId="49E7BD07"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c>
          <w:tcPr>
            <w:tcW w:w="413" w:type="pct"/>
            <w:shd w:val="clear" w:color="auto" w:fill="auto"/>
            <w:noWrap/>
            <w:vAlign w:val="bottom"/>
            <w:hideMark/>
          </w:tcPr>
          <w:p w14:paraId="5A4B9FDD"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1,5</w:t>
            </w:r>
          </w:p>
        </w:tc>
      </w:tr>
      <w:tr w:rsidR="00D10407" w:rsidRPr="00B37A02" w14:paraId="1BAD17CE" w14:textId="77777777" w:rsidTr="00C85DBE">
        <w:tc>
          <w:tcPr>
            <w:tcW w:w="535" w:type="pct"/>
            <w:shd w:val="clear" w:color="auto" w:fill="99CCFF"/>
            <w:noWrap/>
            <w:vAlign w:val="bottom"/>
            <w:hideMark/>
          </w:tcPr>
          <w:p w14:paraId="2CA47AC4" w14:textId="77777777"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Kipra</w:t>
            </w:r>
          </w:p>
        </w:tc>
        <w:tc>
          <w:tcPr>
            <w:tcW w:w="323" w:type="pct"/>
            <w:shd w:val="clear" w:color="auto" w:fill="auto"/>
            <w:noWrap/>
            <w:vAlign w:val="bottom"/>
            <w:hideMark/>
          </w:tcPr>
          <w:p w14:paraId="3D068520"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4,1</w:t>
            </w:r>
          </w:p>
        </w:tc>
        <w:tc>
          <w:tcPr>
            <w:tcW w:w="344" w:type="pct"/>
            <w:shd w:val="clear" w:color="auto" w:fill="auto"/>
            <w:noWrap/>
            <w:vAlign w:val="bottom"/>
            <w:hideMark/>
          </w:tcPr>
          <w:p w14:paraId="3E2DE0E3"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2,5</w:t>
            </w:r>
          </w:p>
        </w:tc>
        <w:tc>
          <w:tcPr>
            <w:tcW w:w="266" w:type="pct"/>
            <w:shd w:val="clear" w:color="auto" w:fill="auto"/>
            <w:noWrap/>
            <w:vAlign w:val="bottom"/>
            <w:hideMark/>
          </w:tcPr>
          <w:p w14:paraId="01192A27"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0,8</w:t>
            </w:r>
          </w:p>
        </w:tc>
        <w:tc>
          <w:tcPr>
            <w:tcW w:w="401" w:type="pct"/>
            <w:shd w:val="clear" w:color="auto" w:fill="auto"/>
            <w:noWrap/>
            <w:vAlign w:val="bottom"/>
            <w:hideMark/>
          </w:tcPr>
          <w:p w14:paraId="3D72CACC"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2,9</w:t>
            </w:r>
          </w:p>
        </w:tc>
        <w:tc>
          <w:tcPr>
            <w:tcW w:w="266" w:type="pct"/>
            <w:shd w:val="clear" w:color="auto" w:fill="auto"/>
            <w:noWrap/>
            <w:vAlign w:val="bottom"/>
            <w:hideMark/>
          </w:tcPr>
          <w:p w14:paraId="77DAC987"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1,4</w:t>
            </w:r>
          </w:p>
        </w:tc>
        <w:tc>
          <w:tcPr>
            <w:tcW w:w="401" w:type="pct"/>
            <w:shd w:val="clear" w:color="auto" w:fill="auto"/>
            <w:noWrap/>
            <w:vAlign w:val="bottom"/>
            <w:hideMark/>
          </w:tcPr>
          <w:p w14:paraId="1F72280C"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2,8</w:t>
            </w:r>
          </w:p>
        </w:tc>
        <w:tc>
          <w:tcPr>
            <w:tcW w:w="444" w:type="pct"/>
            <w:shd w:val="clear" w:color="auto" w:fill="auto"/>
            <w:noWrap/>
            <w:vAlign w:val="bottom"/>
            <w:hideMark/>
          </w:tcPr>
          <w:p w14:paraId="79770C54"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21,6</w:t>
            </w:r>
          </w:p>
        </w:tc>
        <w:tc>
          <w:tcPr>
            <w:tcW w:w="444" w:type="pct"/>
            <w:shd w:val="clear" w:color="auto" w:fill="auto"/>
            <w:noWrap/>
            <w:vAlign w:val="bottom"/>
            <w:hideMark/>
          </w:tcPr>
          <w:p w14:paraId="6720E6A7"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5,7</w:t>
            </w:r>
          </w:p>
        </w:tc>
        <w:tc>
          <w:tcPr>
            <w:tcW w:w="376" w:type="pct"/>
            <w:shd w:val="clear" w:color="auto" w:fill="auto"/>
            <w:noWrap/>
            <w:vAlign w:val="bottom"/>
            <w:hideMark/>
          </w:tcPr>
          <w:p w14:paraId="743D837C"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2,6</w:t>
            </w:r>
          </w:p>
        </w:tc>
        <w:tc>
          <w:tcPr>
            <w:tcW w:w="444" w:type="pct"/>
            <w:shd w:val="clear" w:color="auto" w:fill="auto"/>
            <w:noWrap/>
            <w:vAlign w:val="bottom"/>
            <w:hideMark/>
          </w:tcPr>
          <w:p w14:paraId="76EA1EAF"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0,9</w:t>
            </w:r>
          </w:p>
        </w:tc>
        <w:tc>
          <w:tcPr>
            <w:tcW w:w="344" w:type="pct"/>
            <w:shd w:val="clear" w:color="auto" w:fill="auto"/>
            <w:noWrap/>
            <w:vAlign w:val="bottom"/>
            <w:hideMark/>
          </w:tcPr>
          <w:p w14:paraId="0EA81C7C"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7,4</w:t>
            </w:r>
          </w:p>
        </w:tc>
        <w:tc>
          <w:tcPr>
            <w:tcW w:w="413" w:type="pct"/>
            <w:shd w:val="clear" w:color="auto" w:fill="auto"/>
            <w:noWrap/>
            <w:vAlign w:val="bottom"/>
            <w:hideMark/>
          </w:tcPr>
          <w:p w14:paraId="62596CBA"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2,1</w:t>
            </w:r>
          </w:p>
        </w:tc>
      </w:tr>
      <w:tr w:rsidR="00D10407" w:rsidRPr="00B37A02" w14:paraId="5E7B30FA" w14:textId="77777777" w:rsidTr="00C85DBE">
        <w:tc>
          <w:tcPr>
            <w:tcW w:w="535" w:type="pct"/>
            <w:shd w:val="clear" w:color="auto" w:fill="99CCFF"/>
            <w:noWrap/>
            <w:vAlign w:val="bottom"/>
            <w:hideMark/>
          </w:tcPr>
          <w:p w14:paraId="5A76F374" w14:textId="77777777"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Čehija</w:t>
            </w:r>
          </w:p>
        </w:tc>
        <w:tc>
          <w:tcPr>
            <w:tcW w:w="323" w:type="pct"/>
            <w:shd w:val="clear" w:color="auto" w:fill="auto"/>
            <w:noWrap/>
            <w:vAlign w:val="bottom"/>
            <w:hideMark/>
          </w:tcPr>
          <w:p w14:paraId="20669D22"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2,4</w:t>
            </w:r>
          </w:p>
        </w:tc>
        <w:tc>
          <w:tcPr>
            <w:tcW w:w="344" w:type="pct"/>
            <w:shd w:val="clear" w:color="auto" w:fill="auto"/>
            <w:noWrap/>
            <w:vAlign w:val="bottom"/>
            <w:hideMark/>
          </w:tcPr>
          <w:p w14:paraId="1BA6DBB9"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6,0</w:t>
            </w:r>
          </w:p>
        </w:tc>
        <w:tc>
          <w:tcPr>
            <w:tcW w:w="266" w:type="pct"/>
            <w:shd w:val="clear" w:color="auto" w:fill="auto"/>
            <w:noWrap/>
            <w:vAlign w:val="bottom"/>
            <w:hideMark/>
          </w:tcPr>
          <w:p w14:paraId="6B480ECA"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2,8</w:t>
            </w:r>
          </w:p>
        </w:tc>
        <w:tc>
          <w:tcPr>
            <w:tcW w:w="401" w:type="pct"/>
            <w:shd w:val="clear" w:color="auto" w:fill="auto"/>
            <w:noWrap/>
            <w:vAlign w:val="bottom"/>
            <w:hideMark/>
          </w:tcPr>
          <w:p w14:paraId="466C3945"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4,0</w:t>
            </w:r>
          </w:p>
        </w:tc>
        <w:tc>
          <w:tcPr>
            <w:tcW w:w="266" w:type="pct"/>
            <w:shd w:val="clear" w:color="auto" w:fill="auto"/>
            <w:noWrap/>
            <w:vAlign w:val="bottom"/>
            <w:hideMark/>
          </w:tcPr>
          <w:p w14:paraId="40DDD678"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2,7</w:t>
            </w:r>
          </w:p>
        </w:tc>
        <w:tc>
          <w:tcPr>
            <w:tcW w:w="401" w:type="pct"/>
            <w:shd w:val="clear" w:color="auto" w:fill="auto"/>
            <w:noWrap/>
            <w:vAlign w:val="bottom"/>
            <w:hideMark/>
          </w:tcPr>
          <w:p w14:paraId="1979A199"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4,4</w:t>
            </w:r>
          </w:p>
        </w:tc>
        <w:tc>
          <w:tcPr>
            <w:tcW w:w="444" w:type="pct"/>
            <w:shd w:val="clear" w:color="auto" w:fill="auto"/>
            <w:noWrap/>
            <w:vAlign w:val="bottom"/>
            <w:hideMark/>
          </w:tcPr>
          <w:p w14:paraId="6A39228D"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3,6</w:t>
            </w:r>
          </w:p>
        </w:tc>
        <w:tc>
          <w:tcPr>
            <w:tcW w:w="444" w:type="pct"/>
            <w:shd w:val="clear" w:color="auto" w:fill="auto"/>
            <w:noWrap/>
            <w:vAlign w:val="bottom"/>
            <w:hideMark/>
          </w:tcPr>
          <w:p w14:paraId="2CEF6F5D"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23,1</w:t>
            </w:r>
          </w:p>
        </w:tc>
        <w:tc>
          <w:tcPr>
            <w:tcW w:w="376" w:type="pct"/>
            <w:shd w:val="clear" w:color="auto" w:fill="auto"/>
            <w:noWrap/>
            <w:vAlign w:val="bottom"/>
            <w:hideMark/>
          </w:tcPr>
          <w:p w14:paraId="78900B16"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4,0</w:t>
            </w:r>
          </w:p>
        </w:tc>
        <w:tc>
          <w:tcPr>
            <w:tcW w:w="444" w:type="pct"/>
            <w:shd w:val="clear" w:color="auto" w:fill="auto"/>
            <w:noWrap/>
            <w:vAlign w:val="bottom"/>
            <w:hideMark/>
          </w:tcPr>
          <w:p w14:paraId="4906560F"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3,9</w:t>
            </w:r>
          </w:p>
        </w:tc>
        <w:tc>
          <w:tcPr>
            <w:tcW w:w="344" w:type="pct"/>
            <w:shd w:val="clear" w:color="auto" w:fill="auto"/>
            <w:noWrap/>
            <w:vAlign w:val="bottom"/>
            <w:hideMark/>
          </w:tcPr>
          <w:p w14:paraId="13205C16"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3,8</w:t>
            </w:r>
          </w:p>
        </w:tc>
        <w:tc>
          <w:tcPr>
            <w:tcW w:w="413" w:type="pct"/>
            <w:shd w:val="clear" w:color="auto" w:fill="auto"/>
            <w:noWrap/>
            <w:vAlign w:val="bottom"/>
            <w:hideMark/>
          </w:tcPr>
          <w:p w14:paraId="5B797B47"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9,8</w:t>
            </w:r>
          </w:p>
        </w:tc>
      </w:tr>
      <w:tr w:rsidR="00D10407" w:rsidRPr="00B37A02" w14:paraId="36863B5C" w14:textId="77777777" w:rsidTr="00C85DBE">
        <w:tc>
          <w:tcPr>
            <w:tcW w:w="535" w:type="pct"/>
            <w:shd w:val="clear" w:color="auto" w:fill="99CCFF"/>
            <w:noWrap/>
            <w:vAlign w:val="bottom"/>
            <w:hideMark/>
          </w:tcPr>
          <w:p w14:paraId="3712CD06" w14:textId="77777777"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Igaunija</w:t>
            </w:r>
          </w:p>
        </w:tc>
        <w:tc>
          <w:tcPr>
            <w:tcW w:w="323" w:type="pct"/>
            <w:shd w:val="clear" w:color="auto" w:fill="auto"/>
            <w:noWrap/>
            <w:vAlign w:val="bottom"/>
            <w:hideMark/>
          </w:tcPr>
          <w:p w14:paraId="67502FBA"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3,5</w:t>
            </w:r>
          </w:p>
        </w:tc>
        <w:tc>
          <w:tcPr>
            <w:tcW w:w="344" w:type="pct"/>
            <w:shd w:val="clear" w:color="auto" w:fill="auto"/>
            <w:noWrap/>
            <w:vAlign w:val="bottom"/>
            <w:hideMark/>
          </w:tcPr>
          <w:p w14:paraId="0A43D687"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17,2</w:t>
            </w:r>
          </w:p>
        </w:tc>
        <w:tc>
          <w:tcPr>
            <w:tcW w:w="266" w:type="pct"/>
            <w:shd w:val="clear" w:color="auto" w:fill="auto"/>
            <w:noWrap/>
            <w:vAlign w:val="bottom"/>
            <w:hideMark/>
          </w:tcPr>
          <w:p w14:paraId="6789B85B"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1,5</w:t>
            </w:r>
          </w:p>
        </w:tc>
        <w:tc>
          <w:tcPr>
            <w:tcW w:w="401" w:type="pct"/>
            <w:shd w:val="clear" w:color="auto" w:fill="auto"/>
            <w:noWrap/>
            <w:vAlign w:val="bottom"/>
            <w:hideMark/>
          </w:tcPr>
          <w:p w14:paraId="2972678E"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1,2</w:t>
            </w:r>
          </w:p>
        </w:tc>
        <w:tc>
          <w:tcPr>
            <w:tcW w:w="266" w:type="pct"/>
            <w:shd w:val="clear" w:color="auto" w:fill="auto"/>
            <w:noWrap/>
            <w:vAlign w:val="bottom"/>
            <w:hideMark/>
          </w:tcPr>
          <w:p w14:paraId="24FB8D07"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1,8</w:t>
            </w:r>
          </w:p>
        </w:tc>
        <w:tc>
          <w:tcPr>
            <w:tcW w:w="401" w:type="pct"/>
            <w:shd w:val="clear" w:color="auto" w:fill="auto"/>
            <w:noWrap/>
            <w:vAlign w:val="bottom"/>
            <w:hideMark/>
          </w:tcPr>
          <w:p w14:paraId="615E023C"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5,7</w:t>
            </w:r>
          </w:p>
        </w:tc>
        <w:tc>
          <w:tcPr>
            <w:tcW w:w="444" w:type="pct"/>
            <w:shd w:val="clear" w:color="auto" w:fill="auto"/>
            <w:noWrap/>
            <w:vAlign w:val="bottom"/>
            <w:hideMark/>
          </w:tcPr>
          <w:p w14:paraId="6E889694"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7,3</w:t>
            </w:r>
          </w:p>
        </w:tc>
        <w:tc>
          <w:tcPr>
            <w:tcW w:w="444" w:type="pct"/>
            <w:shd w:val="clear" w:color="auto" w:fill="auto"/>
            <w:noWrap/>
            <w:vAlign w:val="bottom"/>
            <w:hideMark/>
          </w:tcPr>
          <w:p w14:paraId="0905A35B"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20,8</w:t>
            </w:r>
          </w:p>
        </w:tc>
        <w:tc>
          <w:tcPr>
            <w:tcW w:w="376" w:type="pct"/>
            <w:shd w:val="clear" w:color="auto" w:fill="auto"/>
            <w:noWrap/>
            <w:vAlign w:val="bottom"/>
            <w:hideMark/>
          </w:tcPr>
          <w:p w14:paraId="385889A4"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1,6</w:t>
            </w:r>
          </w:p>
        </w:tc>
        <w:tc>
          <w:tcPr>
            <w:tcW w:w="444" w:type="pct"/>
            <w:shd w:val="clear" w:color="auto" w:fill="auto"/>
            <w:noWrap/>
            <w:vAlign w:val="bottom"/>
            <w:hideMark/>
          </w:tcPr>
          <w:p w14:paraId="37A5192B"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c>
          <w:tcPr>
            <w:tcW w:w="344" w:type="pct"/>
            <w:shd w:val="clear" w:color="auto" w:fill="auto"/>
            <w:noWrap/>
            <w:vAlign w:val="bottom"/>
            <w:hideMark/>
          </w:tcPr>
          <w:p w14:paraId="53C35020"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3,4</w:t>
            </w:r>
          </w:p>
        </w:tc>
        <w:tc>
          <w:tcPr>
            <w:tcW w:w="413" w:type="pct"/>
            <w:shd w:val="clear" w:color="auto" w:fill="auto"/>
            <w:noWrap/>
            <w:vAlign w:val="bottom"/>
            <w:hideMark/>
          </w:tcPr>
          <w:p w14:paraId="06E5BCBC"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9,8</w:t>
            </w:r>
          </w:p>
        </w:tc>
      </w:tr>
      <w:tr w:rsidR="00D10407" w:rsidRPr="00B37A02" w14:paraId="1DCB7E38" w14:textId="77777777" w:rsidTr="00C85DBE">
        <w:tc>
          <w:tcPr>
            <w:tcW w:w="535" w:type="pct"/>
            <w:shd w:val="clear" w:color="auto" w:fill="99CCFF"/>
            <w:noWrap/>
            <w:vAlign w:val="bottom"/>
            <w:hideMark/>
          </w:tcPr>
          <w:p w14:paraId="56A001B3" w14:textId="77777777"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Francija</w:t>
            </w:r>
          </w:p>
        </w:tc>
        <w:tc>
          <w:tcPr>
            <w:tcW w:w="323" w:type="pct"/>
            <w:shd w:val="clear" w:color="auto" w:fill="auto"/>
            <w:noWrap/>
            <w:vAlign w:val="bottom"/>
            <w:hideMark/>
          </w:tcPr>
          <w:p w14:paraId="536E2298"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1,8</w:t>
            </w:r>
          </w:p>
        </w:tc>
        <w:tc>
          <w:tcPr>
            <w:tcW w:w="344" w:type="pct"/>
            <w:shd w:val="clear" w:color="auto" w:fill="auto"/>
            <w:noWrap/>
            <w:vAlign w:val="bottom"/>
            <w:hideMark/>
          </w:tcPr>
          <w:p w14:paraId="4331F0A5"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2,7</w:t>
            </w:r>
          </w:p>
        </w:tc>
        <w:tc>
          <w:tcPr>
            <w:tcW w:w="266" w:type="pct"/>
            <w:shd w:val="clear" w:color="auto" w:fill="auto"/>
            <w:noWrap/>
            <w:vAlign w:val="bottom"/>
            <w:hideMark/>
          </w:tcPr>
          <w:p w14:paraId="6DE9B218"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1,5</w:t>
            </w:r>
          </w:p>
        </w:tc>
        <w:tc>
          <w:tcPr>
            <w:tcW w:w="401" w:type="pct"/>
            <w:shd w:val="clear" w:color="auto" w:fill="auto"/>
            <w:noWrap/>
            <w:vAlign w:val="bottom"/>
            <w:hideMark/>
          </w:tcPr>
          <w:p w14:paraId="39623FDA"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0,6</w:t>
            </w:r>
          </w:p>
        </w:tc>
        <w:tc>
          <w:tcPr>
            <w:tcW w:w="266" w:type="pct"/>
            <w:shd w:val="clear" w:color="auto" w:fill="auto"/>
            <w:noWrap/>
            <w:vAlign w:val="bottom"/>
            <w:hideMark/>
          </w:tcPr>
          <w:p w14:paraId="09384EDD"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1,6</w:t>
            </w:r>
          </w:p>
        </w:tc>
        <w:tc>
          <w:tcPr>
            <w:tcW w:w="401" w:type="pct"/>
            <w:shd w:val="clear" w:color="auto" w:fill="auto"/>
            <w:noWrap/>
            <w:vAlign w:val="bottom"/>
            <w:hideMark/>
          </w:tcPr>
          <w:p w14:paraId="50361E65"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0,9</w:t>
            </w:r>
          </w:p>
        </w:tc>
        <w:tc>
          <w:tcPr>
            <w:tcW w:w="444" w:type="pct"/>
            <w:shd w:val="clear" w:color="auto" w:fill="auto"/>
            <w:noWrap/>
            <w:vAlign w:val="bottom"/>
            <w:hideMark/>
          </w:tcPr>
          <w:p w14:paraId="4738E5AD"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0,6</w:t>
            </w:r>
          </w:p>
        </w:tc>
        <w:tc>
          <w:tcPr>
            <w:tcW w:w="444" w:type="pct"/>
            <w:shd w:val="clear" w:color="auto" w:fill="auto"/>
            <w:noWrap/>
            <w:vAlign w:val="bottom"/>
            <w:hideMark/>
          </w:tcPr>
          <w:p w14:paraId="6CD007A5"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4,1</w:t>
            </w:r>
          </w:p>
        </w:tc>
        <w:tc>
          <w:tcPr>
            <w:tcW w:w="376" w:type="pct"/>
            <w:shd w:val="clear" w:color="auto" w:fill="auto"/>
            <w:noWrap/>
            <w:vAlign w:val="bottom"/>
            <w:hideMark/>
          </w:tcPr>
          <w:p w14:paraId="03C23111"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1,7</w:t>
            </w:r>
          </w:p>
        </w:tc>
        <w:tc>
          <w:tcPr>
            <w:tcW w:w="444" w:type="pct"/>
            <w:shd w:val="clear" w:color="auto" w:fill="auto"/>
            <w:noWrap/>
            <w:vAlign w:val="bottom"/>
            <w:hideMark/>
          </w:tcPr>
          <w:p w14:paraId="4BE110D9"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1,0</w:t>
            </w:r>
          </w:p>
        </w:tc>
        <w:tc>
          <w:tcPr>
            <w:tcW w:w="344" w:type="pct"/>
            <w:shd w:val="clear" w:color="auto" w:fill="auto"/>
            <w:noWrap/>
            <w:vAlign w:val="bottom"/>
            <w:hideMark/>
          </w:tcPr>
          <w:p w14:paraId="14502D1A"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1,3</w:t>
            </w:r>
          </w:p>
        </w:tc>
        <w:tc>
          <w:tcPr>
            <w:tcW w:w="413" w:type="pct"/>
            <w:shd w:val="clear" w:color="auto" w:fill="auto"/>
            <w:noWrap/>
            <w:vAlign w:val="bottom"/>
            <w:hideMark/>
          </w:tcPr>
          <w:p w14:paraId="62DEF0DF"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2,1</w:t>
            </w:r>
          </w:p>
        </w:tc>
      </w:tr>
      <w:tr w:rsidR="00D10407" w:rsidRPr="00B37A02" w14:paraId="55C6B1B0" w14:textId="77777777" w:rsidTr="00C85DBE">
        <w:tc>
          <w:tcPr>
            <w:tcW w:w="535" w:type="pct"/>
            <w:shd w:val="clear" w:color="auto" w:fill="99CCFF"/>
            <w:noWrap/>
            <w:vAlign w:val="bottom"/>
            <w:hideMark/>
          </w:tcPr>
          <w:p w14:paraId="22B5F0B4" w14:textId="77777777"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 xml:space="preserve">Vācija </w:t>
            </w:r>
          </w:p>
        </w:tc>
        <w:tc>
          <w:tcPr>
            <w:tcW w:w="323" w:type="pct"/>
            <w:shd w:val="clear" w:color="auto" w:fill="auto"/>
            <w:noWrap/>
            <w:vAlign w:val="bottom"/>
            <w:hideMark/>
          </w:tcPr>
          <w:p w14:paraId="38DFF25F"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0,7</w:t>
            </w:r>
          </w:p>
        </w:tc>
        <w:tc>
          <w:tcPr>
            <w:tcW w:w="344" w:type="pct"/>
            <w:shd w:val="clear" w:color="auto" w:fill="auto"/>
            <w:noWrap/>
            <w:vAlign w:val="bottom"/>
            <w:hideMark/>
          </w:tcPr>
          <w:p w14:paraId="0261FD35"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0,6</w:t>
            </w:r>
          </w:p>
        </w:tc>
        <w:tc>
          <w:tcPr>
            <w:tcW w:w="266" w:type="pct"/>
            <w:shd w:val="clear" w:color="auto" w:fill="auto"/>
            <w:noWrap/>
            <w:vAlign w:val="bottom"/>
            <w:hideMark/>
          </w:tcPr>
          <w:p w14:paraId="043B93CE"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c>
          <w:tcPr>
            <w:tcW w:w="401" w:type="pct"/>
            <w:shd w:val="clear" w:color="auto" w:fill="auto"/>
            <w:noWrap/>
            <w:vAlign w:val="bottom"/>
            <w:hideMark/>
          </w:tcPr>
          <w:p w14:paraId="7CA1E621"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0,3</w:t>
            </w:r>
          </w:p>
        </w:tc>
        <w:tc>
          <w:tcPr>
            <w:tcW w:w="266" w:type="pct"/>
            <w:shd w:val="clear" w:color="auto" w:fill="auto"/>
            <w:noWrap/>
            <w:vAlign w:val="bottom"/>
            <w:hideMark/>
          </w:tcPr>
          <w:p w14:paraId="6A067BD5"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0,1</w:t>
            </w:r>
          </w:p>
        </w:tc>
        <w:tc>
          <w:tcPr>
            <w:tcW w:w="401" w:type="pct"/>
            <w:shd w:val="clear" w:color="auto" w:fill="auto"/>
            <w:noWrap/>
            <w:vAlign w:val="bottom"/>
            <w:hideMark/>
          </w:tcPr>
          <w:p w14:paraId="15C9950A"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0,4</w:t>
            </w:r>
          </w:p>
        </w:tc>
        <w:tc>
          <w:tcPr>
            <w:tcW w:w="444" w:type="pct"/>
            <w:shd w:val="clear" w:color="auto" w:fill="auto"/>
            <w:noWrap/>
            <w:vAlign w:val="bottom"/>
            <w:hideMark/>
          </w:tcPr>
          <w:p w14:paraId="7167615E"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c>
          <w:tcPr>
            <w:tcW w:w="444" w:type="pct"/>
            <w:shd w:val="clear" w:color="auto" w:fill="auto"/>
            <w:noWrap/>
            <w:vAlign w:val="bottom"/>
            <w:hideMark/>
          </w:tcPr>
          <w:p w14:paraId="260F50F4"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1,0</w:t>
            </w:r>
          </w:p>
        </w:tc>
        <w:tc>
          <w:tcPr>
            <w:tcW w:w="376" w:type="pct"/>
            <w:shd w:val="clear" w:color="auto" w:fill="auto"/>
            <w:noWrap/>
            <w:vAlign w:val="bottom"/>
            <w:hideMark/>
          </w:tcPr>
          <w:p w14:paraId="34A17995"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c>
          <w:tcPr>
            <w:tcW w:w="444" w:type="pct"/>
            <w:shd w:val="clear" w:color="auto" w:fill="auto"/>
            <w:noWrap/>
            <w:vAlign w:val="bottom"/>
            <w:hideMark/>
          </w:tcPr>
          <w:p w14:paraId="31C213E9"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c>
          <w:tcPr>
            <w:tcW w:w="344" w:type="pct"/>
            <w:shd w:val="clear" w:color="auto" w:fill="auto"/>
            <w:noWrap/>
            <w:vAlign w:val="bottom"/>
            <w:hideMark/>
          </w:tcPr>
          <w:p w14:paraId="7D828FC2"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c>
          <w:tcPr>
            <w:tcW w:w="413" w:type="pct"/>
            <w:shd w:val="clear" w:color="auto" w:fill="auto"/>
            <w:noWrap/>
            <w:vAlign w:val="bottom"/>
            <w:hideMark/>
          </w:tcPr>
          <w:p w14:paraId="14D1F592"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0,5</w:t>
            </w:r>
          </w:p>
        </w:tc>
      </w:tr>
      <w:tr w:rsidR="00D10407" w:rsidRPr="00B37A02" w14:paraId="767A7153" w14:textId="77777777" w:rsidTr="00C85DBE">
        <w:tc>
          <w:tcPr>
            <w:tcW w:w="535" w:type="pct"/>
            <w:shd w:val="clear" w:color="auto" w:fill="99CCFF"/>
            <w:noWrap/>
            <w:vAlign w:val="bottom"/>
            <w:hideMark/>
          </w:tcPr>
          <w:p w14:paraId="429B8A00" w14:textId="77777777"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Grieķija</w:t>
            </w:r>
          </w:p>
        </w:tc>
        <w:tc>
          <w:tcPr>
            <w:tcW w:w="323" w:type="pct"/>
            <w:shd w:val="clear" w:color="auto" w:fill="auto"/>
            <w:noWrap/>
            <w:vAlign w:val="bottom"/>
            <w:hideMark/>
          </w:tcPr>
          <w:p w14:paraId="6409EC67"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4,5</w:t>
            </w:r>
          </w:p>
        </w:tc>
        <w:tc>
          <w:tcPr>
            <w:tcW w:w="344" w:type="pct"/>
            <w:shd w:val="clear" w:color="auto" w:fill="auto"/>
            <w:noWrap/>
            <w:vAlign w:val="bottom"/>
            <w:hideMark/>
          </w:tcPr>
          <w:p w14:paraId="6BBF136B"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4,2</w:t>
            </w:r>
          </w:p>
        </w:tc>
        <w:tc>
          <w:tcPr>
            <w:tcW w:w="266" w:type="pct"/>
            <w:shd w:val="clear" w:color="auto" w:fill="auto"/>
            <w:noWrap/>
            <w:vAlign w:val="bottom"/>
            <w:hideMark/>
          </w:tcPr>
          <w:p w14:paraId="1C58CE35"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1,9</w:t>
            </w:r>
          </w:p>
        </w:tc>
        <w:tc>
          <w:tcPr>
            <w:tcW w:w="401" w:type="pct"/>
            <w:shd w:val="clear" w:color="auto" w:fill="auto"/>
            <w:noWrap/>
            <w:vAlign w:val="bottom"/>
            <w:hideMark/>
          </w:tcPr>
          <w:p w14:paraId="15EB951B"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1,0</w:t>
            </w:r>
          </w:p>
        </w:tc>
        <w:tc>
          <w:tcPr>
            <w:tcW w:w="266" w:type="pct"/>
            <w:shd w:val="clear" w:color="auto" w:fill="auto"/>
            <w:noWrap/>
            <w:vAlign w:val="bottom"/>
            <w:hideMark/>
          </w:tcPr>
          <w:p w14:paraId="09C3FC16"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2,4</w:t>
            </w:r>
          </w:p>
        </w:tc>
        <w:tc>
          <w:tcPr>
            <w:tcW w:w="401" w:type="pct"/>
            <w:shd w:val="clear" w:color="auto" w:fill="auto"/>
            <w:noWrap/>
            <w:vAlign w:val="bottom"/>
            <w:hideMark/>
          </w:tcPr>
          <w:p w14:paraId="3EAA9236"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1,7</w:t>
            </w:r>
          </w:p>
        </w:tc>
        <w:tc>
          <w:tcPr>
            <w:tcW w:w="444" w:type="pct"/>
            <w:shd w:val="clear" w:color="auto" w:fill="auto"/>
            <w:noWrap/>
            <w:vAlign w:val="bottom"/>
            <w:hideMark/>
          </w:tcPr>
          <w:p w14:paraId="30B800A1"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4,1</w:t>
            </w:r>
          </w:p>
        </w:tc>
        <w:tc>
          <w:tcPr>
            <w:tcW w:w="444" w:type="pct"/>
            <w:shd w:val="clear" w:color="auto" w:fill="auto"/>
            <w:noWrap/>
            <w:vAlign w:val="bottom"/>
            <w:hideMark/>
          </w:tcPr>
          <w:p w14:paraId="1DFCE041"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c>
          <w:tcPr>
            <w:tcW w:w="376" w:type="pct"/>
            <w:shd w:val="clear" w:color="auto" w:fill="auto"/>
            <w:noWrap/>
            <w:vAlign w:val="bottom"/>
            <w:hideMark/>
          </w:tcPr>
          <w:p w14:paraId="0933E732"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7,3</w:t>
            </w:r>
          </w:p>
        </w:tc>
        <w:tc>
          <w:tcPr>
            <w:tcW w:w="444" w:type="pct"/>
            <w:shd w:val="clear" w:color="auto" w:fill="auto"/>
            <w:noWrap/>
            <w:vAlign w:val="bottom"/>
            <w:hideMark/>
          </w:tcPr>
          <w:p w14:paraId="27392AE1"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5,8</w:t>
            </w:r>
          </w:p>
        </w:tc>
        <w:tc>
          <w:tcPr>
            <w:tcW w:w="344" w:type="pct"/>
            <w:shd w:val="clear" w:color="auto" w:fill="auto"/>
            <w:noWrap/>
            <w:vAlign w:val="bottom"/>
            <w:hideMark/>
          </w:tcPr>
          <w:p w14:paraId="572EB8AD"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6,3</w:t>
            </w:r>
          </w:p>
        </w:tc>
        <w:tc>
          <w:tcPr>
            <w:tcW w:w="413" w:type="pct"/>
            <w:shd w:val="clear" w:color="auto" w:fill="auto"/>
            <w:noWrap/>
            <w:vAlign w:val="bottom"/>
            <w:hideMark/>
          </w:tcPr>
          <w:p w14:paraId="366FB4DE"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3,2</w:t>
            </w:r>
          </w:p>
        </w:tc>
      </w:tr>
      <w:tr w:rsidR="00D10407" w:rsidRPr="00B37A02" w14:paraId="456552F8" w14:textId="77777777" w:rsidTr="00C85DBE">
        <w:tc>
          <w:tcPr>
            <w:tcW w:w="535" w:type="pct"/>
            <w:shd w:val="clear" w:color="auto" w:fill="99CCFF"/>
            <w:noWrap/>
            <w:vAlign w:val="bottom"/>
            <w:hideMark/>
          </w:tcPr>
          <w:p w14:paraId="525A84B2" w14:textId="77777777"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Ungārija</w:t>
            </w:r>
          </w:p>
        </w:tc>
        <w:tc>
          <w:tcPr>
            <w:tcW w:w="323" w:type="pct"/>
            <w:shd w:val="clear" w:color="auto" w:fill="auto"/>
            <w:noWrap/>
            <w:vAlign w:val="bottom"/>
            <w:hideMark/>
          </w:tcPr>
          <w:p w14:paraId="75A19121"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c>
          <w:tcPr>
            <w:tcW w:w="344" w:type="pct"/>
            <w:shd w:val="clear" w:color="auto" w:fill="auto"/>
            <w:noWrap/>
            <w:vAlign w:val="bottom"/>
            <w:hideMark/>
          </w:tcPr>
          <w:p w14:paraId="5249917A"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9,9</w:t>
            </w:r>
          </w:p>
        </w:tc>
        <w:tc>
          <w:tcPr>
            <w:tcW w:w="266" w:type="pct"/>
            <w:shd w:val="clear" w:color="auto" w:fill="auto"/>
            <w:noWrap/>
            <w:vAlign w:val="bottom"/>
            <w:hideMark/>
          </w:tcPr>
          <w:p w14:paraId="6B5EE423"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0,3</w:t>
            </w:r>
          </w:p>
        </w:tc>
        <w:tc>
          <w:tcPr>
            <w:tcW w:w="401" w:type="pct"/>
            <w:shd w:val="clear" w:color="auto" w:fill="auto"/>
            <w:noWrap/>
            <w:vAlign w:val="bottom"/>
            <w:hideMark/>
          </w:tcPr>
          <w:p w14:paraId="3263055B"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2,0</w:t>
            </w:r>
          </w:p>
        </w:tc>
        <w:tc>
          <w:tcPr>
            <w:tcW w:w="266" w:type="pct"/>
            <w:shd w:val="clear" w:color="auto" w:fill="auto"/>
            <w:noWrap/>
            <w:vAlign w:val="bottom"/>
            <w:hideMark/>
          </w:tcPr>
          <w:p w14:paraId="1BD14A9A"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0,2</w:t>
            </w:r>
          </w:p>
        </w:tc>
        <w:tc>
          <w:tcPr>
            <w:tcW w:w="401" w:type="pct"/>
            <w:shd w:val="clear" w:color="auto" w:fill="auto"/>
            <w:noWrap/>
            <w:vAlign w:val="bottom"/>
            <w:hideMark/>
          </w:tcPr>
          <w:p w14:paraId="4727C7EB"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3,1</w:t>
            </w:r>
          </w:p>
        </w:tc>
        <w:tc>
          <w:tcPr>
            <w:tcW w:w="444" w:type="pct"/>
            <w:shd w:val="clear" w:color="auto" w:fill="auto"/>
            <w:noWrap/>
            <w:vAlign w:val="bottom"/>
            <w:hideMark/>
          </w:tcPr>
          <w:p w14:paraId="5C2D5145"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c>
          <w:tcPr>
            <w:tcW w:w="444" w:type="pct"/>
            <w:shd w:val="clear" w:color="auto" w:fill="auto"/>
            <w:noWrap/>
            <w:vAlign w:val="bottom"/>
            <w:hideMark/>
          </w:tcPr>
          <w:p w14:paraId="5193A82B"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Nav piemērojams</w:t>
            </w:r>
          </w:p>
        </w:tc>
        <w:tc>
          <w:tcPr>
            <w:tcW w:w="376" w:type="pct"/>
            <w:shd w:val="clear" w:color="auto" w:fill="auto"/>
            <w:noWrap/>
            <w:vAlign w:val="bottom"/>
            <w:hideMark/>
          </w:tcPr>
          <w:p w14:paraId="28A76D3D"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0,7</w:t>
            </w:r>
          </w:p>
        </w:tc>
        <w:tc>
          <w:tcPr>
            <w:tcW w:w="444" w:type="pct"/>
            <w:shd w:val="clear" w:color="auto" w:fill="auto"/>
            <w:noWrap/>
            <w:vAlign w:val="bottom"/>
            <w:hideMark/>
          </w:tcPr>
          <w:p w14:paraId="3A167B0D"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3,5</w:t>
            </w:r>
          </w:p>
        </w:tc>
        <w:tc>
          <w:tcPr>
            <w:tcW w:w="344" w:type="pct"/>
            <w:shd w:val="clear" w:color="auto" w:fill="auto"/>
            <w:noWrap/>
            <w:vAlign w:val="bottom"/>
            <w:hideMark/>
          </w:tcPr>
          <w:p w14:paraId="0B7B7CEA"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0,5</w:t>
            </w:r>
          </w:p>
        </w:tc>
        <w:tc>
          <w:tcPr>
            <w:tcW w:w="413" w:type="pct"/>
            <w:shd w:val="clear" w:color="auto" w:fill="auto"/>
            <w:noWrap/>
            <w:vAlign w:val="bottom"/>
            <w:hideMark/>
          </w:tcPr>
          <w:p w14:paraId="1B73D2A9"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6,8</w:t>
            </w:r>
          </w:p>
        </w:tc>
      </w:tr>
      <w:tr w:rsidR="00D10407" w:rsidRPr="00B37A02" w14:paraId="3600C7D6" w14:textId="77777777" w:rsidTr="00C85DBE">
        <w:tc>
          <w:tcPr>
            <w:tcW w:w="535" w:type="pct"/>
            <w:shd w:val="clear" w:color="auto" w:fill="99CCFF"/>
            <w:noWrap/>
            <w:vAlign w:val="bottom"/>
            <w:hideMark/>
          </w:tcPr>
          <w:p w14:paraId="5B2CC910" w14:textId="77777777"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Itālija</w:t>
            </w:r>
          </w:p>
        </w:tc>
        <w:tc>
          <w:tcPr>
            <w:tcW w:w="323" w:type="pct"/>
            <w:shd w:val="clear" w:color="auto" w:fill="auto"/>
            <w:noWrap/>
            <w:vAlign w:val="bottom"/>
            <w:hideMark/>
          </w:tcPr>
          <w:p w14:paraId="602A43E7"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4,6</w:t>
            </w:r>
          </w:p>
        </w:tc>
        <w:tc>
          <w:tcPr>
            <w:tcW w:w="344" w:type="pct"/>
            <w:shd w:val="clear" w:color="auto" w:fill="auto"/>
            <w:noWrap/>
            <w:vAlign w:val="bottom"/>
            <w:hideMark/>
          </w:tcPr>
          <w:p w14:paraId="507BCDA2"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9,6</w:t>
            </w:r>
          </w:p>
        </w:tc>
        <w:tc>
          <w:tcPr>
            <w:tcW w:w="266" w:type="pct"/>
            <w:shd w:val="clear" w:color="auto" w:fill="auto"/>
            <w:noWrap/>
            <w:vAlign w:val="bottom"/>
            <w:hideMark/>
          </w:tcPr>
          <w:p w14:paraId="388C9C17"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1,0</w:t>
            </w:r>
          </w:p>
        </w:tc>
        <w:tc>
          <w:tcPr>
            <w:tcW w:w="401" w:type="pct"/>
            <w:shd w:val="clear" w:color="auto" w:fill="auto"/>
            <w:noWrap/>
            <w:vAlign w:val="bottom"/>
            <w:hideMark/>
          </w:tcPr>
          <w:p w14:paraId="054CE8D7"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6,9</w:t>
            </w:r>
          </w:p>
        </w:tc>
        <w:tc>
          <w:tcPr>
            <w:tcW w:w="266" w:type="pct"/>
            <w:shd w:val="clear" w:color="auto" w:fill="auto"/>
            <w:noWrap/>
            <w:vAlign w:val="bottom"/>
            <w:hideMark/>
          </w:tcPr>
          <w:p w14:paraId="728D2258"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1,7</w:t>
            </w:r>
          </w:p>
        </w:tc>
        <w:tc>
          <w:tcPr>
            <w:tcW w:w="401" w:type="pct"/>
            <w:shd w:val="clear" w:color="auto" w:fill="auto"/>
            <w:noWrap/>
            <w:vAlign w:val="bottom"/>
            <w:hideMark/>
          </w:tcPr>
          <w:p w14:paraId="2B6B8A8C"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7,3</w:t>
            </w:r>
          </w:p>
        </w:tc>
        <w:tc>
          <w:tcPr>
            <w:tcW w:w="444" w:type="pct"/>
            <w:shd w:val="clear" w:color="auto" w:fill="auto"/>
            <w:noWrap/>
            <w:vAlign w:val="bottom"/>
            <w:hideMark/>
          </w:tcPr>
          <w:p w14:paraId="57AEEB02"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6,7</w:t>
            </w:r>
          </w:p>
        </w:tc>
        <w:tc>
          <w:tcPr>
            <w:tcW w:w="444" w:type="pct"/>
            <w:shd w:val="clear" w:color="auto" w:fill="auto"/>
            <w:noWrap/>
            <w:vAlign w:val="bottom"/>
            <w:hideMark/>
          </w:tcPr>
          <w:p w14:paraId="6C7A96DF"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7,5</w:t>
            </w:r>
          </w:p>
        </w:tc>
        <w:tc>
          <w:tcPr>
            <w:tcW w:w="376" w:type="pct"/>
            <w:shd w:val="clear" w:color="auto" w:fill="auto"/>
            <w:noWrap/>
            <w:vAlign w:val="bottom"/>
            <w:hideMark/>
          </w:tcPr>
          <w:p w14:paraId="35FADF79"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1,8</w:t>
            </w:r>
          </w:p>
        </w:tc>
        <w:tc>
          <w:tcPr>
            <w:tcW w:w="444" w:type="pct"/>
            <w:shd w:val="clear" w:color="auto" w:fill="auto"/>
            <w:noWrap/>
            <w:vAlign w:val="bottom"/>
            <w:hideMark/>
          </w:tcPr>
          <w:p w14:paraId="745C0589"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7,3</w:t>
            </w:r>
          </w:p>
        </w:tc>
        <w:tc>
          <w:tcPr>
            <w:tcW w:w="344" w:type="pct"/>
            <w:shd w:val="clear" w:color="auto" w:fill="auto"/>
            <w:noWrap/>
            <w:vAlign w:val="bottom"/>
            <w:hideMark/>
          </w:tcPr>
          <w:p w14:paraId="094D5E25"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3,9</w:t>
            </w:r>
          </w:p>
        </w:tc>
        <w:tc>
          <w:tcPr>
            <w:tcW w:w="413" w:type="pct"/>
            <w:shd w:val="clear" w:color="auto" w:fill="auto"/>
            <w:noWrap/>
            <w:vAlign w:val="bottom"/>
            <w:hideMark/>
          </w:tcPr>
          <w:p w14:paraId="78217134"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7,4</w:t>
            </w:r>
          </w:p>
        </w:tc>
      </w:tr>
      <w:tr w:rsidR="00D10407" w:rsidRPr="00B37A02" w14:paraId="3190D92F" w14:textId="77777777" w:rsidTr="00C85DBE">
        <w:tc>
          <w:tcPr>
            <w:tcW w:w="535" w:type="pct"/>
            <w:shd w:val="clear" w:color="auto" w:fill="99CCFF"/>
            <w:noWrap/>
            <w:vAlign w:val="bottom"/>
            <w:hideMark/>
          </w:tcPr>
          <w:p w14:paraId="56FF1E9A" w14:textId="77777777"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Latvija</w:t>
            </w:r>
          </w:p>
        </w:tc>
        <w:tc>
          <w:tcPr>
            <w:tcW w:w="323" w:type="pct"/>
            <w:shd w:val="clear" w:color="auto" w:fill="auto"/>
            <w:noWrap/>
            <w:vAlign w:val="bottom"/>
            <w:hideMark/>
          </w:tcPr>
          <w:p w14:paraId="1445ED30"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4,8</w:t>
            </w:r>
          </w:p>
        </w:tc>
        <w:tc>
          <w:tcPr>
            <w:tcW w:w="344" w:type="pct"/>
            <w:shd w:val="clear" w:color="auto" w:fill="auto"/>
            <w:noWrap/>
            <w:vAlign w:val="bottom"/>
            <w:hideMark/>
          </w:tcPr>
          <w:p w14:paraId="59A90BD9"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1,1</w:t>
            </w:r>
          </w:p>
        </w:tc>
        <w:tc>
          <w:tcPr>
            <w:tcW w:w="266" w:type="pct"/>
            <w:shd w:val="clear" w:color="auto" w:fill="auto"/>
            <w:noWrap/>
            <w:vAlign w:val="bottom"/>
            <w:hideMark/>
          </w:tcPr>
          <w:p w14:paraId="453873A0"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1,9</w:t>
            </w:r>
          </w:p>
        </w:tc>
        <w:tc>
          <w:tcPr>
            <w:tcW w:w="401" w:type="pct"/>
            <w:shd w:val="clear" w:color="auto" w:fill="auto"/>
            <w:noWrap/>
            <w:vAlign w:val="bottom"/>
            <w:hideMark/>
          </w:tcPr>
          <w:p w14:paraId="21B89B44"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4,4</w:t>
            </w:r>
          </w:p>
        </w:tc>
        <w:tc>
          <w:tcPr>
            <w:tcW w:w="266" w:type="pct"/>
            <w:shd w:val="clear" w:color="auto" w:fill="auto"/>
            <w:noWrap/>
            <w:vAlign w:val="bottom"/>
            <w:hideMark/>
          </w:tcPr>
          <w:p w14:paraId="422946E3"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2,4</w:t>
            </w:r>
          </w:p>
        </w:tc>
        <w:tc>
          <w:tcPr>
            <w:tcW w:w="401" w:type="pct"/>
            <w:shd w:val="clear" w:color="auto" w:fill="auto"/>
            <w:noWrap/>
            <w:vAlign w:val="bottom"/>
            <w:hideMark/>
          </w:tcPr>
          <w:p w14:paraId="44913B5F"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3,6</w:t>
            </w:r>
          </w:p>
        </w:tc>
        <w:tc>
          <w:tcPr>
            <w:tcW w:w="444" w:type="pct"/>
            <w:shd w:val="clear" w:color="auto" w:fill="auto"/>
            <w:noWrap/>
            <w:vAlign w:val="bottom"/>
            <w:hideMark/>
          </w:tcPr>
          <w:p w14:paraId="129F7B3D"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2,3</w:t>
            </w:r>
          </w:p>
        </w:tc>
        <w:tc>
          <w:tcPr>
            <w:tcW w:w="444" w:type="pct"/>
            <w:shd w:val="clear" w:color="auto" w:fill="auto"/>
            <w:noWrap/>
            <w:vAlign w:val="bottom"/>
            <w:hideMark/>
          </w:tcPr>
          <w:p w14:paraId="0B4790D4"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0,9</w:t>
            </w:r>
          </w:p>
        </w:tc>
        <w:tc>
          <w:tcPr>
            <w:tcW w:w="376" w:type="pct"/>
            <w:shd w:val="clear" w:color="auto" w:fill="auto"/>
            <w:noWrap/>
            <w:vAlign w:val="bottom"/>
            <w:hideMark/>
          </w:tcPr>
          <w:p w14:paraId="538BDB4C"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1,9</w:t>
            </w:r>
          </w:p>
        </w:tc>
        <w:tc>
          <w:tcPr>
            <w:tcW w:w="444" w:type="pct"/>
            <w:shd w:val="clear" w:color="auto" w:fill="auto"/>
            <w:noWrap/>
            <w:vAlign w:val="bottom"/>
            <w:hideMark/>
          </w:tcPr>
          <w:p w14:paraId="3768DAFC"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0,7</w:t>
            </w:r>
          </w:p>
        </w:tc>
        <w:tc>
          <w:tcPr>
            <w:tcW w:w="344" w:type="pct"/>
            <w:shd w:val="clear" w:color="auto" w:fill="auto"/>
            <w:noWrap/>
            <w:vAlign w:val="bottom"/>
            <w:hideMark/>
          </w:tcPr>
          <w:p w14:paraId="4CA5D05C"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2,0</w:t>
            </w:r>
          </w:p>
        </w:tc>
        <w:tc>
          <w:tcPr>
            <w:tcW w:w="413" w:type="pct"/>
            <w:shd w:val="clear" w:color="auto" w:fill="auto"/>
            <w:noWrap/>
            <w:vAlign w:val="bottom"/>
            <w:hideMark/>
          </w:tcPr>
          <w:p w14:paraId="103738F5"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0,8</w:t>
            </w:r>
          </w:p>
        </w:tc>
      </w:tr>
      <w:tr w:rsidR="00D10407" w:rsidRPr="00B37A02" w14:paraId="2445B33F" w14:textId="77777777" w:rsidTr="00C85DBE">
        <w:tc>
          <w:tcPr>
            <w:tcW w:w="535" w:type="pct"/>
            <w:shd w:val="clear" w:color="auto" w:fill="99CCFF"/>
            <w:noWrap/>
            <w:vAlign w:val="bottom"/>
            <w:hideMark/>
          </w:tcPr>
          <w:p w14:paraId="1CE8B32C" w14:textId="77777777"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Lietuva</w:t>
            </w:r>
          </w:p>
        </w:tc>
        <w:tc>
          <w:tcPr>
            <w:tcW w:w="323" w:type="pct"/>
            <w:shd w:val="clear" w:color="auto" w:fill="auto"/>
            <w:noWrap/>
            <w:vAlign w:val="bottom"/>
            <w:hideMark/>
          </w:tcPr>
          <w:p w14:paraId="262E6352"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4,2</w:t>
            </w:r>
          </w:p>
        </w:tc>
        <w:tc>
          <w:tcPr>
            <w:tcW w:w="344" w:type="pct"/>
            <w:shd w:val="clear" w:color="auto" w:fill="auto"/>
            <w:noWrap/>
            <w:vAlign w:val="bottom"/>
            <w:hideMark/>
          </w:tcPr>
          <w:p w14:paraId="5CA50D70"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1,6</w:t>
            </w:r>
          </w:p>
        </w:tc>
        <w:tc>
          <w:tcPr>
            <w:tcW w:w="266" w:type="pct"/>
            <w:shd w:val="clear" w:color="auto" w:fill="auto"/>
            <w:noWrap/>
            <w:vAlign w:val="bottom"/>
            <w:hideMark/>
          </w:tcPr>
          <w:p w14:paraId="43017AEC"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1,7</w:t>
            </w:r>
          </w:p>
        </w:tc>
        <w:tc>
          <w:tcPr>
            <w:tcW w:w="401" w:type="pct"/>
            <w:shd w:val="clear" w:color="auto" w:fill="auto"/>
            <w:noWrap/>
            <w:vAlign w:val="bottom"/>
            <w:hideMark/>
          </w:tcPr>
          <w:p w14:paraId="2AD58587"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0,5</w:t>
            </w:r>
          </w:p>
        </w:tc>
        <w:tc>
          <w:tcPr>
            <w:tcW w:w="266" w:type="pct"/>
            <w:shd w:val="clear" w:color="auto" w:fill="auto"/>
            <w:noWrap/>
            <w:vAlign w:val="bottom"/>
            <w:hideMark/>
          </w:tcPr>
          <w:p w14:paraId="5C70650E"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2,3</w:t>
            </w:r>
          </w:p>
        </w:tc>
        <w:tc>
          <w:tcPr>
            <w:tcW w:w="401" w:type="pct"/>
            <w:shd w:val="clear" w:color="auto" w:fill="auto"/>
            <w:noWrap/>
            <w:vAlign w:val="bottom"/>
            <w:hideMark/>
          </w:tcPr>
          <w:p w14:paraId="5EE1C232"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0,7</w:t>
            </w:r>
          </w:p>
        </w:tc>
        <w:tc>
          <w:tcPr>
            <w:tcW w:w="444" w:type="pct"/>
            <w:shd w:val="clear" w:color="auto" w:fill="auto"/>
            <w:noWrap/>
            <w:vAlign w:val="bottom"/>
            <w:hideMark/>
          </w:tcPr>
          <w:p w14:paraId="15E3D886"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c>
          <w:tcPr>
            <w:tcW w:w="444" w:type="pct"/>
            <w:shd w:val="clear" w:color="auto" w:fill="auto"/>
            <w:noWrap/>
            <w:vAlign w:val="bottom"/>
            <w:hideMark/>
          </w:tcPr>
          <w:p w14:paraId="60F656C8"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10,5</w:t>
            </w:r>
          </w:p>
        </w:tc>
        <w:tc>
          <w:tcPr>
            <w:tcW w:w="376" w:type="pct"/>
            <w:shd w:val="clear" w:color="auto" w:fill="auto"/>
            <w:noWrap/>
            <w:vAlign w:val="bottom"/>
            <w:hideMark/>
          </w:tcPr>
          <w:p w14:paraId="656C2925"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c>
          <w:tcPr>
            <w:tcW w:w="444" w:type="pct"/>
            <w:shd w:val="clear" w:color="auto" w:fill="auto"/>
            <w:noWrap/>
            <w:vAlign w:val="bottom"/>
            <w:hideMark/>
          </w:tcPr>
          <w:p w14:paraId="01735F44"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c>
          <w:tcPr>
            <w:tcW w:w="344" w:type="pct"/>
            <w:shd w:val="clear" w:color="auto" w:fill="auto"/>
            <w:noWrap/>
            <w:vAlign w:val="bottom"/>
            <w:hideMark/>
          </w:tcPr>
          <w:p w14:paraId="421A599E"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c>
          <w:tcPr>
            <w:tcW w:w="413" w:type="pct"/>
            <w:shd w:val="clear" w:color="auto" w:fill="auto"/>
            <w:noWrap/>
            <w:vAlign w:val="bottom"/>
            <w:hideMark/>
          </w:tcPr>
          <w:p w14:paraId="07ECD8CC"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5,1</w:t>
            </w:r>
          </w:p>
        </w:tc>
      </w:tr>
      <w:tr w:rsidR="00D10407" w:rsidRPr="00B37A02" w14:paraId="52B7CB33" w14:textId="77777777" w:rsidTr="00C85DBE">
        <w:tc>
          <w:tcPr>
            <w:tcW w:w="535" w:type="pct"/>
            <w:shd w:val="clear" w:color="auto" w:fill="99CCFF"/>
            <w:noWrap/>
            <w:vAlign w:val="bottom"/>
            <w:hideMark/>
          </w:tcPr>
          <w:p w14:paraId="20FA4703" w14:textId="77777777"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Luksemburga</w:t>
            </w:r>
          </w:p>
        </w:tc>
        <w:tc>
          <w:tcPr>
            <w:tcW w:w="323" w:type="pct"/>
            <w:shd w:val="clear" w:color="auto" w:fill="auto"/>
            <w:noWrap/>
            <w:vAlign w:val="bottom"/>
            <w:hideMark/>
          </w:tcPr>
          <w:p w14:paraId="3C8310BC"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1,8</w:t>
            </w:r>
          </w:p>
        </w:tc>
        <w:tc>
          <w:tcPr>
            <w:tcW w:w="344" w:type="pct"/>
            <w:shd w:val="clear" w:color="auto" w:fill="auto"/>
            <w:noWrap/>
            <w:vAlign w:val="bottom"/>
            <w:hideMark/>
          </w:tcPr>
          <w:p w14:paraId="0B25E38D"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1,8</w:t>
            </w:r>
          </w:p>
        </w:tc>
        <w:tc>
          <w:tcPr>
            <w:tcW w:w="266" w:type="pct"/>
            <w:shd w:val="clear" w:color="auto" w:fill="auto"/>
            <w:noWrap/>
            <w:vAlign w:val="bottom"/>
            <w:hideMark/>
          </w:tcPr>
          <w:p w14:paraId="4797573D"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0,9</w:t>
            </w:r>
          </w:p>
        </w:tc>
        <w:tc>
          <w:tcPr>
            <w:tcW w:w="401" w:type="pct"/>
            <w:shd w:val="clear" w:color="auto" w:fill="auto"/>
            <w:noWrap/>
            <w:vAlign w:val="bottom"/>
            <w:hideMark/>
          </w:tcPr>
          <w:p w14:paraId="13FA8FC9"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c>
          <w:tcPr>
            <w:tcW w:w="266" w:type="pct"/>
            <w:shd w:val="clear" w:color="auto" w:fill="auto"/>
            <w:noWrap/>
            <w:vAlign w:val="bottom"/>
            <w:hideMark/>
          </w:tcPr>
          <w:p w14:paraId="0E6AD695"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1,1</w:t>
            </w:r>
          </w:p>
        </w:tc>
        <w:tc>
          <w:tcPr>
            <w:tcW w:w="401" w:type="pct"/>
            <w:shd w:val="clear" w:color="auto" w:fill="auto"/>
            <w:noWrap/>
            <w:vAlign w:val="bottom"/>
            <w:hideMark/>
          </w:tcPr>
          <w:p w14:paraId="33B6CD53"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0,3</w:t>
            </w:r>
          </w:p>
        </w:tc>
        <w:tc>
          <w:tcPr>
            <w:tcW w:w="444" w:type="pct"/>
            <w:shd w:val="clear" w:color="auto" w:fill="auto"/>
            <w:noWrap/>
            <w:vAlign w:val="bottom"/>
            <w:hideMark/>
          </w:tcPr>
          <w:p w14:paraId="06EFAFAA"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9,7</w:t>
            </w:r>
          </w:p>
        </w:tc>
        <w:tc>
          <w:tcPr>
            <w:tcW w:w="444" w:type="pct"/>
            <w:shd w:val="clear" w:color="auto" w:fill="auto"/>
            <w:noWrap/>
            <w:vAlign w:val="bottom"/>
            <w:hideMark/>
          </w:tcPr>
          <w:p w14:paraId="3432BD50"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c>
          <w:tcPr>
            <w:tcW w:w="376" w:type="pct"/>
            <w:shd w:val="clear" w:color="auto" w:fill="auto"/>
            <w:noWrap/>
            <w:vAlign w:val="bottom"/>
            <w:hideMark/>
          </w:tcPr>
          <w:p w14:paraId="19957484"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15,4</w:t>
            </w:r>
          </w:p>
        </w:tc>
        <w:tc>
          <w:tcPr>
            <w:tcW w:w="444" w:type="pct"/>
            <w:shd w:val="clear" w:color="auto" w:fill="auto"/>
            <w:noWrap/>
            <w:vAlign w:val="bottom"/>
            <w:hideMark/>
          </w:tcPr>
          <w:p w14:paraId="15A3A640"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c>
          <w:tcPr>
            <w:tcW w:w="344" w:type="pct"/>
            <w:shd w:val="clear" w:color="auto" w:fill="auto"/>
            <w:noWrap/>
            <w:vAlign w:val="bottom"/>
            <w:hideMark/>
          </w:tcPr>
          <w:p w14:paraId="422DA4DD"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12,6</w:t>
            </w:r>
          </w:p>
        </w:tc>
        <w:tc>
          <w:tcPr>
            <w:tcW w:w="413" w:type="pct"/>
            <w:shd w:val="clear" w:color="auto" w:fill="auto"/>
            <w:noWrap/>
            <w:vAlign w:val="bottom"/>
            <w:hideMark/>
          </w:tcPr>
          <w:p w14:paraId="6C1A944A"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r>
      <w:tr w:rsidR="00D10407" w:rsidRPr="00B37A02" w14:paraId="0320CD87" w14:textId="77777777" w:rsidTr="00C85DBE">
        <w:tc>
          <w:tcPr>
            <w:tcW w:w="535" w:type="pct"/>
            <w:shd w:val="clear" w:color="auto" w:fill="99CCFF"/>
            <w:noWrap/>
            <w:vAlign w:val="bottom"/>
            <w:hideMark/>
          </w:tcPr>
          <w:p w14:paraId="6FFB4827" w14:textId="77777777"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Malta</w:t>
            </w:r>
          </w:p>
        </w:tc>
        <w:tc>
          <w:tcPr>
            <w:tcW w:w="323" w:type="pct"/>
            <w:shd w:val="clear" w:color="auto" w:fill="auto"/>
            <w:noWrap/>
            <w:vAlign w:val="bottom"/>
            <w:hideMark/>
          </w:tcPr>
          <w:p w14:paraId="160BFE33"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c>
          <w:tcPr>
            <w:tcW w:w="344" w:type="pct"/>
            <w:shd w:val="clear" w:color="auto" w:fill="auto"/>
            <w:noWrap/>
            <w:vAlign w:val="bottom"/>
            <w:hideMark/>
          </w:tcPr>
          <w:p w14:paraId="6523B215"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9,7</w:t>
            </w:r>
          </w:p>
        </w:tc>
        <w:tc>
          <w:tcPr>
            <w:tcW w:w="266" w:type="pct"/>
            <w:shd w:val="clear" w:color="auto" w:fill="auto"/>
            <w:noWrap/>
            <w:vAlign w:val="bottom"/>
            <w:hideMark/>
          </w:tcPr>
          <w:p w14:paraId="2573BB61"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0,7</w:t>
            </w:r>
          </w:p>
        </w:tc>
        <w:tc>
          <w:tcPr>
            <w:tcW w:w="401" w:type="pct"/>
            <w:shd w:val="clear" w:color="auto" w:fill="auto"/>
            <w:noWrap/>
            <w:vAlign w:val="bottom"/>
            <w:hideMark/>
          </w:tcPr>
          <w:p w14:paraId="63E8335B"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1,1</w:t>
            </w:r>
          </w:p>
        </w:tc>
        <w:tc>
          <w:tcPr>
            <w:tcW w:w="266" w:type="pct"/>
            <w:shd w:val="clear" w:color="auto" w:fill="auto"/>
            <w:noWrap/>
            <w:vAlign w:val="bottom"/>
            <w:hideMark/>
          </w:tcPr>
          <w:p w14:paraId="5E070FF6"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0,6</w:t>
            </w:r>
          </w:p>
        </w:tc>
        <w:tc>
          <w:tcPr>
            <w:tcW w:w="401" w:type="pct"/>
            <w:shd w:val="clear" w:color="auto" w:fill="auto"/>
            <w:noWrap/>
            <w:vAlign w:val="bottom"/>
            <w:hideMark/>
          </w:tcPr>
          <w:p w14:paraId="4FFC2B68"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2,8</w:t>
            </w:r>
          </w:p>
        </w:tc>
        <w:tc>
          <w:tcPr>
            <w:tcW w:w="444" w:type="pct"/>
            <w:shd w:val="clear" w:color="auto" w:fill="auto"/>
            <w:noWrap/>
            <w:vAlign w:val="bottom"/>
            <w:hideMark/>
          </w:tcPr>
          <w:p w14:paraId="181A02DC"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c>
          <w:tcPr>
            <w:tcW w:w="444" w:type="pct"/>
            <w:shd w:val="clear" w:color="auto" w:fill="auto"/>
            <w:noWrap/>
            <w:vAlign w:val="bottom"/>
            <w:hideMark/>
          </w:tcPr>
          <w:p w14:paraId="38EC6FBD"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Nav piemērojams</w:t>
            </w:r>
          </w:p>
        </w:tc>
        <w:tc>
          <w:tcPr>
            <w:tcW w:w="376" w:type="pct"/>
            <w:shd w:val="clear" w:color="auto" w:fill="auto"/>
            <w:noWrap/>
            <w:vAlign w:val="bottom"/>
            <w:hideMark/>
          </w:tcPr>
          <w:p w14:paraId="618779E1"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c>
          <w:tcPr>
            <w:tcW w:w="444" w:type="pct"/>
            <w:shd w:val="clear" w:color="auto" w:fill="auto"/>
            <w:noWrap/>
            <w:vAlign w:val="bottom"/>
            <w:hideMark/>
          </w:tcPr>
          <w:p w14:paraId="255B8CE0"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Nav piemērojams</w:t>
            </w:r>
          </w:p>
        </w:tc>
        <w:tc>
          <w:tcPr>
            <w:tcW w:w="344" w:type="pct"/>
            <w:shd w:val="clear" w:color="auto" w:fill="auto"/>
            <w:noWrap/>
            <w:vAlign w:val="bottom"/>
            <w:hideMark/>
          </w:tcPr>
          <w:p w14:paraId="44382293"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c>
          <w:tcPr>
            <w:tcW w:w="413" w:type="pct"/>
            <w:shd w:val="clear" w:color="auto" w:fill="auto"/>
            <w:noWrap/>
            <w:vAlign w:val="bottom"/>
            <w:hideMark/>
          </w:tcPr>
          <w:p w14:paraId="389339E5"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18,0</w:t>
            </w:r>
          </w:p>
        </w:tc>
      </w:tr>
      <w:tr w:rsidR="00D10407" w:rsidRPr="00B37A02" w14:paraId="76254000" w14:textId="77777777" w:rsidTr="00C85DBE">
        <w:tc>
          <w:tcPr>
            <w:tcW w:w="535" w:type="pct"/>
            <w:shd w:val="clear" w:color="auto" w:fill="99CCFF"/>
            <w:noWrap/>
            <w:vAlign w:val="bottom"/>
            <w:hideMark/>
          </w:tcPr>
          <w:p w14:paraId="1C796486" w14:textId="77777777"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Polija</w:t>
            </w:r>
          </w:p>
        </w:tc>
        <w:tc>
          <w:tcPr>
            <w:tcW w:w="323" w:type="pct"/>
            <w:shd w:val="clear" w:color="auto" w:fill="auto"/>
            <w:noWrap/>
            <w:vAlign w:val="bottom"/>
            <w:hideMark/>
          </w:tcPr>
          <w:p w14:paraId="78123029"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0,8</w:t>
            </w:r>
          </w:p>
        </w:tc>
        <w:tc>
          <w:tcPr>
            <w:tcW w:w="344" w:type="pct"/>
            <w:shd w:val="clear" w:color="auto" w:fill="auto"/>
            <w:noWrap/>
            <w:vAlign w:val="bottom"/>
            <w:hideMark/>
          </w:tcPr>
          <w:p w14:paraId="6CCE90AC"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3,1</w:t>
            </w:r>
          </w:p>
        </w:tc>
        <w:tc>
          <w:tcPr>
            <w:tcW w:w="266" w:type="pct"/>
            <w:shd w:val="clear" w:color="auto" w:fill="auto"/>
            <w:noWrap/>
            <w:vAlign w:val="bottom"/>
            <w:hideMark/>
          </w:tcPr>
          <w:p w14:paraId="4B911962"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2,1</w:t>
            </w:r>
          </w:p>
        </w:tc>
        <w:tc>
          <w:tcPr>
            <w:tcW w:w="401" w:type="pct"/>
            <w:shd w:val="clear" w:color="auto" w:fill="auto"/>
            <w:noWrap/>
            <w:vAlign w:val="bottom"/>
            <w:hideMark/>
          </w:tcPr>
          <w:p w14:paraId="1887AB08"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0,2</w:t>
            </w:r>
          </w:p>
        </w:tc>
        <w:tc>
          <w:tcPr>
            <w:tcW w:w="266" w:type="pct"/>
            <w:shd w:val="clear" w:color="auto" w:fill="auto"/>
            <w:noWrap/>
            <w:vAlign w:val="bottom"/>
            <w:hideMark/>
          </w:tcPr>
          <w:p w14:paraId="27B910FF"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1,9</w:t>
            </w:r>
          </w:p>
        </w:tc>
        <w:tc>
          <w:tcPr>
            <w:tcW w:w="401" w:type="pct"/>
            <w:shd w:val="clear" w:color="auto" w:fill="auto"/>
            <w:noWrap/>
            <w:vAlign w:val="bottom"/>
            <w:hideMark/>
          </w:tcPr>
          <w:p w14:paraId="01CDDE3B"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0,9</w:t>
            </w:r>
          </w:p>
        </w:tc>
        <w:tc>
          <w:tcPr>
            <w:tcW w:w="444" w:type="pct"/>
            <w:shd w:val="clear" w:color="auto" w:fill="auto"/>
            <w:noWrap/>
            <w:vAlign w:val="bottom"/>
            <w:hideMark/>
          </w:tcPr>
          <w:p w14:paraId="51D33DDF"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6,5</w:t>
            </w:r>
          </w:p>
        </w:tc>
        <w:tc>
          <w:tcPr>
            <w:tcW w:w="444" w:type="pct"/>
            <w:shd w:val="clear" w:color="auto" w:fill="auto"/>
            <w:noWrap/>
            <w:vAlign w:val="bottom"/>
            <w:hideMark/>
          </w:tcPr>
          <w:p w14:paraId="2FF975F2"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c>
          <w:tcPr>
            <w:tcW w:w="376" w:type="pct"/>
            <w:shd w:val="clear" w:color="auto" w:fill="auto"/>
            <w:noWrap/>
            <w:vAlign w:val="bottom"/>
            <w:hideMark/>
          </w:tcPr>
          <w:p w14:paraId="102E9EE8"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1,7</w:t>
            </w:r>
          </w:p>
        </w:tc>
        <w:tc>
          <w:tcPr>
            <w:tcW w:w="444" w:type="pct"/>
            <w:shd w:val="clear" w:color="auto" w:fill="auto"/>
            <w:noWrap/>
            <w:vAlign w:val="bottom"/>
            <w:hideMark/>
          </w:tcPr>
          <w:p w14:paraId="6792E386"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c>
          <w:tcPr>
            <w:tcW w:w="344" w:type="pct"/>
            <w:shd w:val="clear" w:color="auto" w:fill="auto"/>
            <w:noWrap/>
            <w:vAlign w:val="bottom"/>
            <w:hideMark/>
          </w:tcPr>
          <w:p w14:paraId="092F8332"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2,8</w:t>
            </w:r>
          </w:p>
        </w:tc>
        <w:tc>
          <w:tcPr>
            <w:tcW w:w="413" w:type="pct"/>
            <w:shd w:val="clear" w:color="auto" w:fill="auto"/>
            <w:noWrap/>
            <w:vAlign w:val="bottom"/>
            <w:hideMark/>
          </w:tcPr>
          <w:p w14:paraId="7EC8BDC6"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r>
      <w:tr w:rsidR="00D10407" w:rsidRPr="00B37A02" w14:paraId="20305FE5" w14:textId="77777777" w:rsidTr="00C85DBE">
        <w:tc>
          <w:tcPr>
            <w:tcW w:w="535" w:type="pct"/>
            <w:shd w:val="clear" w:color="auto" w:fill="99CCFF"/>
            <w:noWrap/>
            <w:vAlign w:val="bottom"/>
            <w:hideMark/>
          </w:tcPr>
          <w:p w14:paraId="0E152F92" w14:textId="77777777"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Portugāle</w:t>
            </w:r>
          </w:p>
        </w:tc>
        <w:tc>
          <w:tcPr>
            <w:tcW w:w="323" w:type="pct"/>
            <w:shd w:val="clear" w:color="auto" w:fill="auto"/>
            <w:noWrap/>
            <w:vAlign w:val="bottom"/>
            <w:hideMark/>
          </w:tcPr>
          <w:p w14:paraId="5DCEB959"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3,7</w:t>
            </w:r>
          </w:p>
        </w:tc>
        <w:tc>
          <w:tcPr>
            <w:tcW w:w="344" w:type="pct"/>
            <w:shd w:val="clear" w:color="auto" w:fill="auto"/>
            <w:noWrap/>
            <w:vAlign w:val="bottom"/>
            <w:hideMark/>
          </w:tcPr>
          <w:p w14:paraId="5EA965D8"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2,3</w:t>
            </w:r>
          </w:p>
        </w:tc>
        <w:tc>
          <w:tcPr>
            <w:tcW w:w="266" w:type="pct"/>
            <w:shd w:val="clear" w:color="auto" w:fill="auto"/>
            <w:noWrap/>
            <w:vAlign w:val="bottom"/>
            <w:hideMark/>
          </w:tcPr>
          <w:p w14:paraId="23B4F97F"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0,3</w:t>
            </w:r>
          </w:p>
        </w:tc>
        <w:tc>
          <w:tcPr>
            <w:tcW w:w="401" w:type="pct"/>
            <w:shd w:val="clear" w:color="auto" w:fill="auto"/>
            <w:noWrap/>
            <w:vAlign w:val="bottom"/>
            <w:hideMark/>
          </w:tcPr>
          <w:p w14:paraId="70D4316F"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1,9</w:t>
            </w:r>
          </w:p>
        </w:tc>
        <w:tc>
          <w:tcPr>
            <w:tcW w:w="266" w:type="pct"/>
            <w:shd w:val="clear" w:color="auto" w:fill="auto"/>
            <w:noWrap/>
            <w:vAlign w:val="bottom"/>
            <w:hideMark/>
          </w:tcPr>
          <w:p w14:paraId="1779674A"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0,9</w:t>
            </w:r>
          </w:p>
        </w:tc>
        <w:tc>
          <w:tcPr>
            <w:tcW w:w="401" w:type="pct"/>
            <w:shd w:val="clear" w:color="auto" w:fill="auto"/>
            <w:noWrap/>
            <w:vAlign w:val="bottom"/>
            <w:hideMark/>
          </w:tcPr>
          <w:p w14:paraId="277C2E04"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2,0</w:t>
            </w:r>
          </w:p>
        </w:tc>
        <w:tc>
          <w:tcPr>
            <w:tcW w:w="444" w:type="pct"/>
            <w:shd w:val="clear" w:color="auto" w:fill="auto"/>
            <w:noWrap/>
            <w:vAlign w:val="bottom"/>
            <w:hideMark/>
          </w:tcPr>
          <w:p w14:paraId="61FE28C4"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0,8</w:t>
            </w:r>
          </w:p>
        </w:tc>
        <w:tc>
          <w:tcPr>
            <w:tcW w:w="444" w:type="pct"/>
            <w:shd w:val="clear" w:color="auto" w:fill="auto"/>
            <w:noWrap/>
            <w:vAlign w:val="bottom"/>
            <w:hideMark/>
          </w:tcPr>
          <w:p w14:paraId="6E6ED4D2"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10,9</w:t>
            </w:r>
          </w:p>
        </w:tc>
        <w:tc>
          <w:tcPr>
            <w:tcW w:w="376" w:type="pct"/>
            <w:shd w:val="clear" w:color="auto" w:fill="auto"/>
            <w:noWrap/>
            <w:vAlign w:val="bottom"/>
            <w:hideMark/>
          </w:tcPr>
          <w:p w14:paraId="2CE77287"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c>
          <w:tcPr>
            <w:tcW w:w="444" w:type="pct"/>
            <w:shd w:val="clear" w:color="auto" w:fill="auto"/>
            <w:noWrap/>
            <w:vAlign w:val="bottom"/>
            <w:hideMark/>
          </w:tcPr>
          <w:p w14:paraId="462170CC"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2,1</w:t>
            </w:r>
          </w:p>
        </w:tc>
        <w:tc>
          <w:tcPr>
            <w:tcW w:w="344" w:type="pct"/>
            <w:shd w:val="clear" w:color="auto" w:fill="auto"/>
            <w:noWrap/>
            <w:vAlign w:val="bottom"/>
            <w:hideMark/>
          </w:tcPr>
          <w:p w14:paraId="0BF10E17"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0,3</w:t>
            </w:r>
          </w:p>
        </w:tc>
        <w:tc>
          <w:tcPr>
            <w:tcW w:w="413" w:type="pct"/>
            <w:shd w:val="clear" w:color="auto" w:fill="auto"/>
            <w:noWrap/>
            <w:vAlign w:val="bottom"/>
            <w:hideMark/>
          </w:tcPr>
          <w:p w14:paraId="39B642E0"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3,8</w:t>
            </w:r>
          </w:p>
        </w:tc>
      </w:tr>
      <w:tr w:rsidR="00D10407" w:rsidRPr="00B37A02" w14:paraId="667BF156" w14:textId="77777777" w:rsidTr="00C85DBE">
        <w:tc>
          <w:tcPr>
            <w:tcW w:w="535" w:type="pct"/>
            <w:shd w:val="clear" w:color="auto" w:fill="99CCFF"/>
            <w:noWrap/>
            <w:vAlign w:val="bottom"/>
            <w:hideMark/>
          </w:tcPr>
          <w:p w14:paraId="7ADBA9D5" w14:textId="77777777"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Rumānija</w:t>
            </w:r>
          </w:p>
        </w:tc>
        <w:tc>
          <w:tcPr>
            <w:tcW w:w="323" w:type="pct"/>
            <w:shd w:val="clear" w:color="auto" w:fill="auto"/>
            <w:noWrap/>
            <w:vAlign w:val="bottom"/>
            <w:hideMark/>
          </w:tcPr>
          <w:p w14:paraId="580F41D2"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11,7</w:t>
            </w:r>
          </w:p>
        </w:tc>
        <w:tc>
          <w:tcPr>
            <w:tcW w:w="344" w:type="pct"/>
            <w:shd w:val="clear" w:color="auto" w:fill="auto"/>
            <w:noWrap/>
            <w:vAlign w:val="bottom"/>
            <w:hideMark/>
          </w:tcPr>
          <w:p w14:paraId="5C5CEF6D"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18,8</w:t>
            </w:r>
          </w:p>
        </w:tc>
        <w:tc>
          <w:tcPr>
            <w:tcW w:w="266" w:type="pct"/>
            <w:shd w:val="clear" w:color="auto" w:fill="auto"/>
            <w:noWrap/>
            <w:vAlign w:val="bottom"/>
            <w:hideMark/>
          </w:tcPr>
          <w:p w14:paraId="745A1624"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5,3</w:t>
            </w:r>
          </w:p>
        </w:tc>
        <w:tc>
          <w:tcPr>
            <w:tcW w:w="401" w:type="pct"/>
            <w:shd w:val="clear" w:color="auto" w:fill="auto"/>
            <w:noWrap/>
            <w:vAlign w:val="bottom"/>
            <w:hideMark/>
          </w:tcPr>
          <w:p w14:paraId="3F105259"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2,8</w:t>
            </w:r>
          </w:p>
        </w:tc>
        <w:tc>
          <w:tcPr>
            <w:tcW w:w="266" w:type="pct"/>
            <w:shd w:val="clear" w:color="auto" w:fill="auto"/>
            <w:noWrap/>
            <w:vAlign w:val="bottom"/>
            <w:hideMark/>
          </w:tcPr>
          <w:p w14:paraId="7033F021"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7,4</w:t>
            </w:r>
          </w:p>
        </w:tc>
        <w:tc>
          <w:tcPr>
            <w:tcW w:w="401" w:type="pct"/>
            <w:shd w:val="clear" w:color="auto" w:fill="auto"/>
            <w:noWrap/>
            <w:vAlign w:val="bottom"/>
            <w:hideMark/>
          </w:tcPr>
          <w:p w14:paraId="13900CFD"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6,0</w:t>
            </w:r>
          </w:p>
        </w:tc>
        <w:tc>
          <w:tcPr>
            <w:tcW w:w="444" w:type="pct"/>
            <w:shd w:val="clear" w:color="auto" w:fill="auto"/>
            <w:noWrap/>
            <w:vAlign w:val="bottom"/>
            <w:hideMark/>
          </w:tcPr>
          <w:p w14:paraId="184F0813"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Nav piemērojams</w:t>
            </w:r>
          </w:p>
        </w:tc>
        <w:tc>
          <w:tcPr>
            <w:tcW w:w="444" w:type="pct"/>
            <w:shd w:val="clear" w:color="auto" w:fill="auto"/>
            <w:noWrap/>
            <w:vAlign w:val="bottom"/>
            <w:hideMark/>
          </w:tcPr>
          <w:p w14:paraId="2AF5834A"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11,4</w:t>
            </w:r>
          </w:p>
        </w:tc>
        <w:tc>
          <w:tcPr>
            <w:tcW w:w="376" w:type="pct"/>
            <w:shd w:val="clear" w:color="auto" w:fill="auto"/>
            <w:noWrap/>
            <w:vAlign w:val="bottom"/>
            <w:hideMark/>
          </w:tcPr>
          <w:p w14:paraId="27BA852D"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2,2</w:t>
            </w:r>
          </w:p>
        </w:tc>
        <w:tc>
          <w:tcPr>
            <w:tcW w:w="444" w:type="pct"/>
            <w:shd w:val="clear" w:color="auto" w:fill="auto"/>
            <w:noWrap/>
            <w:vAlign w:val="bottom"/>
            <w:hideMark/>
          </w:tcPr>
          <w:p w14:paraId="3993DA47"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6,0</w:t>
            </w:r>
          </w:p>
        </w:tc>
        <w:tc>
          <w:tcPr>
            <w:tcW w:w="344" w:type="pct"/>
            <w:shd w:val="clear" w:color="auto" w:fill="auto"/>
            <w:noWrap/>
            <w:vAlign w:val="bottom"/>
            <w:hideMark/>
          </w:tcPr>
          <w:p w14:paraId="7829A1D8"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1,7</w:t>
            </w:r>
          </w:p>
        </w:tc>
        <w:tc>
          <w:tcPr>
            <w:tcW w:w="413" w:type="pct"/>
            <w:shd w:val="clear" w:color="auto" w:fill="auto"/>
            <w:noWrap/>
            <w:vAlign w:val="bottom"/>
            <w:hideMark/>
          </w:tcPr>
          <w:p w14:paraId="7032C351"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8,1</w:t>
            </w:r>
          </w:p>
        </w:tc>
      </w:tr>
      <w:tr w:rsidR="00D10407" w:rsidRPr="00B37A02" w14:paraId="79CA9D96" w14:textId="77777777" w:rsidTr="00C85DBE">
        <w:tc>
          <w:tcPr>
            <w:tcW w:w="535" w:type="pct"/>
            <w:shd w:val="clear" w:color="auto" w:fill="99CCFF"/>
            <w:noWrap/>
            <w:vAlign w:val="bottom"/>
            <w:hideMark/>
          </w:tcPr>
          <w:p w14:paraId="3BE65446" w14:textId="77777777"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Slovākija</w:t>
            </w:r>
          </w:p>
        </w:tc>
        <w:tc>
          <w:tcPr>
            <w:tcW w:w="323" w:type="pct"/>
            <w:shd w:val="clear" w:color="auto" w:fill="auto"/>
            <w:noWrap/>
            <w:vAlign w:val="bottom"/>
            <w:hideMark/>
          </w:tcPr>
          <w:p w14:paraId="0E3BC7B7"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c>
          <w:tcPr>
            <w:tcW w:w="344" w:type="pct"/>
            <w:shd w:val="clear" w:color="auto" w:fill="auto"/>
            <w:noWrap/>
            <w:vAlign w:val="bottom"/>
            <w:hideMark/>
          </w:tcPr>
          <w:p w14:paraId="2669797F"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12,4</w:t>
            </w:r>
          </w:p>
        </w:tc>
        <w:tc>
          <w:tcPr>
            <w:tcW w:w="266" w:type="pct"/>
            <w:shd w:val="clear" w:color="auto" w:fill="auto"/>
            <w:noWrap/>
            <w:vAlign w:val="bottom"/>
            <w:hideMark/>
          </w:tcPr>
          <w:p w14:paraId="3766B196"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0,8</w:t>
            </w:r>
          </w:p>
        </w:tc>
        <w:tc>
          <w:tcPr>
            <w:tcW w:w="401" w:type="pct"/>
            <w:shd w:val="clear" w:color="auto" w:fill="auto"/>
            <w:noWrap/>
            <w:vAlign w:val="bottom"/>
            <w:hideMark/>
          </w:tcPr>
          <w:p w14:paraId="79B7A706"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2,4</w:t>
            </w:r>
          </w:p>
        </w:tc>
        <w:tc>
          <w:tcPr>
            <w:tcW w:w="266" w:type="pct"/>
            <w:shd w:val="clear" w:color="auto" w:fill="auto"/>
            <w:noWrap/>
            <w:vAlign w:val="bottom"/>
            <w:hideMark/>
          </w:tcPr>
          <w:p w14:paraId="158F81BA"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0,6</w:t>
            </w:r>
          </w:p>
        </w:tc>
        <w:tc>
          <w:tcPr>
            <w:tcW w:w="401" w:type="pct"/>
            <w:shd w:val="clear" w:color="auto" w:fill="auto"/>
            <w:noWrap/>
            <w:vAlign w:val="bottom"/>
            <w:hideMark/>
          </w:tcPr>
          <w:p w14:paraId="3D706974"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5,7</w:t>
            </w:r>
          </w:p>
        </w:tc>
        <w:tc>
          <w:tcPr>
            <w:tcW w:w="444" w:type="pct"/>
            <w:shd w:val="clear" w:color="auto" w:fill="auto"/>
            <w:noWrap/>
            <w:vAlign w:val="bottom"/>
            <w:hideMark/>
          </w:tcPr>
          <w:p w14:paraId="1C8A596A"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c>
          <w:tcPr>
            <w:tcW w:w="444" w:type="pct"/>
            <w:shd w:val="clear" w:color="auto" w:fill="auto"/>
            <w:noWrap/>
            <w:vAlign w:val="bottom"/>
            <w:hideMark/>
          </w:tcPr>
          <w:p w14:paraId="0294FBEC"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Nav piemērojams</w:t>
            </w:r>
          </w:p>
        </w:tc>
        <w:tc>
          <w:tcPr>
            <w:tcW w:w="376" w:type="pct"/>
            <w:shd w:val="clear" w:color="auto" w:fill="auto"/>
            <w:noWrap/>
            <w:vAlign w:val="bottom"/>
            <w:hideMark/>
          </w:tcPr>
          <w:p w14:paraId="289139FE"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c>
          <w:tcPr>
            <w:tcW w:w="444" w:type="pct"/>
            <w:shd w:val="clear" w:color="auto" w:fill="auto"/>
            <w:noWrap/>
            <w:vAlign w:val="bottom"/>
            <w:hideMark/>
          </w:tcPr>
          <w:p w14:paraId="666A9406"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c>
          <w:tcPr>
            <w:tcW w:w="344" w:type="pct"/>
            <w:shd w:val="clear" w:color="auto" w:fill="auto"/>
            <w:noWrap/>
            <w:vAlign w:val="bottom"/>
            <w:hideMark/>
          </w:tcPr>
          <w:p w14:paraId="21BD975A"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c>
          <w:tcPr>
            <w:tcW w:w="413" w:type="pct"/>
            <w:shd w:val="clear" w:color="auto" w:fill="auto"/>
            <w:noWrap/>
            <w:vAlign w:val="bottom"/>
            <w:hideMark/>
          </w:tcPr>
          <w:p w14:paraId="01642420"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3,5</w:t>
            </w:r>
          </w:p>
        </w:tc>
      </w:tr>
      <w:tr w:rsidR="00D10407" w:rsidRPr="00B37A02" w14:paraId="15D40F5F" w14:textId="77777777" w:rsidTr="00C85DBE">
        <w:tc>
          <w:tcPr>
            <w:tcW w:w="535" w:type="pct"/>
            <w:shd w:val="clear" w:color="auto" w:fill="99CCFF"/>
            <w:noWrap/>
            <w:vAlign w:val="bottom"/>
            <w:hideMark/>
          </w:tcPr>
          <w:p w14:paraId="6D0C8C03" w14:textId="77777777"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Spānija</w:t>
            </w:r>
          </w:p>
        </w:tc>
        <w:tc>
          <w:tcPr>
            <w:tcW w:w="323" w:type="pct"/>
            <w:shd w:val="clear" w:color="auto" w:fill="auto"/>
            <w:noWrap/>
            <w:vAlign w:val="bottom"/>
            <w:hideMark/>
          </w:tcPr>
          <w:p w14:paraId="15643286"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0,8</w:t>
            </w:r>
          </w:p>
        </w:tc>
        <w:tc>
          <w:tcPr>
            <w:tcW w:w="344" w:type="pct"/>
            <w:shd w:val="clear" w:color="auto" w:fill="auto"/>
            <w:noWrap/>
            <w:vAlign w:val="bottom"/>
            <w:hideMark/>
          </w:tcPr>
          <w:p w14:paraId="3FF2F3A8"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3,4</w:t>
            </w:r>
          </w:p>
        </w:tc>
        <w:tc>
          <w:tcPr>
            <w:tcW w:w="266" w:type="pct"/>
            <w:shd w:val="clear" w:color="auto" w:fill="auto"/>
            <w:noWrap/>
            <w:vAlign w:val="bottom"/>
            <w:hideMark/>
          </w:tcPr>
          <w:p w14:paraId="667A379D"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0,1</w:t>
            </w:r>
          </w:p>
        </w:tc>
        <w:tc>
          <w:tcPr>
            <w:tcW w:w="401" w:type="pct"/>
            <w:shd w:val="clear" w:color="auto" w:fill="auto"/>
            <w:noWrap/>
            <w:vAlign w:val="bottom"/>
            <w:hideMark/>
          </w:tcPr>
          <w:p w14:paraId="79B47C17"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0,3</w:t>
            </w:r>
          </w:p>
        </w:tc>
        <w:tc>
          <w:tcPr>
            <w:tcW w:w="266" w:type="pct"/>
            <w:shd w:val="clear" w:color="auto" w:fill="auto"/>
            <w:noWrap/>
            <w:vAlign w:val="bottom"/>
            <w:hideMark/>
          </w:tcPr>
          <w:p w14:paraId="1C097A70"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0,3</w:t>
            </w:r>
          </w:p>
        </w:tc>
        <w:tc>
          <w:tcPr>
            <w:tcW w:w="401" w:type="pct"/>
            <w:shd w:val="clear" w:color="auto" w:fill="auto"/>
            <w:noWrap/>
            <w:vAlign w:val="bottom"/>
            <w:hideMark/>
          </w:tcPr>
          <w:p w14:paraId="32AAECBC"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0,9</w:t>
            </w:r>
          </w:p>
        </w:tc>
        <w:tc>
          <w:tcPr>
            <w:tcW w:w="444" w:type="pct"/>
            <w:shd w:val="clear" w:color="auto" w:fill="auto"/>
            <w:noWrap/>
            <w:vAlign w:val="bottom"/>
            <w:hideMark/>
          </w:tcPr>
          <w:p w14:paraId="6248BE2A"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c>
          <w:tcPr>
            <w:tcW w:w="444" w:type="pct"/>
            <w:shd w:val="clear" w:color="auto" w:fill="auto"/>
            <w:noWrap/>
            <w:vAlign w:val="bottom"/>
            <w:hideMark/>
          </w:tcPr>
          <w:p w14:paraId="1BB4313E"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c>
          <w:tcPr>
            <w:tcW w:w="376" w:type="pct"/>
            <w:shd w:val="clear" w:color="auto" w:fill="auto"/>
            <w:noWrap/>
            <w:vAlign w:val="bottom"/>
            <w:hideMark/>
          </w:tcPr>
          <w:p w14:paraId="6AD1E526"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c>
          <w:tcPr>
            <w:tcW w:w="444" w:type="pct"/>
            <w:shd w:val="clear" w:color="auto" w:fill="auto"/>
            <w:noWrap/>
            <w:vAlign w:val="bottom"/>
            <w:hideMark/>
          </w:tcPr>
          <w:p w14:paraId="1150C38A"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c>
          <w:tcPr>
            <w:tcW w:w="344" w:type="pct"/>
            <w:shd w:val="clear" w:color="auto" w:fill="auto"/>
            <w:noWrap/>
            <w:vAlign w:val="bottom"/>
            <w:hideMark/>
          </w:tcPr>
          <w:p w14:paraId="626A4BCA"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c>
          <w:tcPr>
            <w:tcW w:w="413" w:type="pct"/>
            <w:shd w:val="clear" w:color="auto" w:fill="auto"/>
            <w:noWrap/>
            <w:vAlign w:val="bottom"/>
            <w:hideMark/>
          </w:tcPr>
          <w:p w14:paraId="22EA693D" w14:textId="77777777" w:rsidR="00BC5BDF" w:rsidRPr="00B37A02" w:rsidRDefault="00BC5BDF" w:rsidP="00C97F66">
            <w:pPr>
              <w:widowControl w:val="0"/>
              <w:spacing w:after="0" w:line="240" w:lineRule="auto"/>
              <w:jc w:val="center"/>
              <w:rPr>
                <w:rFonts w:ascii="Times New Roman" w:eastAsia="Times New Roman" w:hAnsi="Times New Roman" w:cs="Times New Roman"/>
                <w:sz w:val="20"/>
                <w:szCs w:val="16"/>
              </w:rPr>
            </w:pPr>
            <w:r w:rsidRPr="00B37A02">
              <w:rPr>
                <w:rFonts w:ascii="Times New Roman" w:hAnsi="Times New Roman" w:cs="Times New Roman"/>
                <w:sz w:val="20"/>
              </w:rPr>
              <w:t>0,0</w:t>
            </w:r>
          </w:p>
        </w:tc>
      </w:tr>
    </w:tbl>
    <w:p w14:paraId="2C44B17A" w14:textId="77777777" w:rsidR="00EC5DE2" w:rsidRPr="00B37A02" w:rsidRDefault="00BC5BDF" w:rsidP="00D327BF">
      <w:pPr>
        <w:pStyle w:val="BodyText"/>
        <w:keepNext/>
        <w:keepLines/>
        <w:widowControl w:val="0"/>
        <w:spacing w:after="0"/>
        <w:rPr>
          <w:rFonts w:ascii="Times New Roman" w:hAnsi="Times New Roman"/>
          <w:szCs w:val="16"/>
        </w:rPr>
      </w:pPr>
      <w:r w:rsidRPr="00B37A02">
        <w:rPr>
          <w:rFonts w:ascii="Times New Roman" w:hAnsi="Times New Roman"/>
        </w:rPr>
        <w:lastRenderedPageBreak/>
        <w:t xml:space="preserve">Piezīme. * </w:t>
      </w:r>
      <w:r w:rsidRPr="00B37A02">
        <w:rPr>
          <w:rFonts w:ascii="Times New Roman" w:hAnsi="Times New Roman"/>
          <w:i/>
          <w:iCs/>
        </w:rPr>
        <w:t>AROP</w:t>
      </w:r>
      <w:r w:rsidRPr="00B37A02">
        <w:rPr>
          <w:rFonts w:ascii="Times New Roman" w:hAnsi="Times New Roman"/>
        </w:rPr>
        <w:t xml:space="preserve">: [nepietiekamu ienākumu radītas] nabadzības risks. Nav pieejami ticami dati par Dāniju, Somiju, Īriju, Nīderlandi, Slovēniju un Zviedriju. Avots: </w:t>
      </w:r>
      <w:r w:rsidRPr="00B37A02">
        <w:rPr>
          <w:rFonts w:ascii="Times New Roman" w:hAnsi="Times New Roman"/>
          <w:i/>
          <w:iCs/>
        </w:rPr>
        <w:t>Eurostat</w:t>
      </w:r>
      <w:r w:rsidRPr="00B37A02">
        <w:rPr>
          <w:rFonts w:ascii="Times New Roman" w:hAnsi="Times New Roman"/>
        </w:rPr>
        <w:t xml:space="preserve"> [ilc_hch14], dati iegūti 02.12.2020.</w:t>
      </w:r>
    </w:p>
    <w:p w14:paraId="196FBC3D" w14:textId="77777777" w:rsidR="007878F6" w:rsidRPr="00B37A02" w:rsidRDefault="007878F6" w:rsidP="00C97F66">
      <w:pPr>
        <w:pStyle w:val="Heading2"/>
        <w:keepNext w:val="0"/>
        <w:keepLines w:val="0"/>
        <w:widowControl w:val="0"/>
        <w:spacing w:before="0" w:line="240" w:lineRule="auto"/>
        <w:jc w:val="both"/>
        <w:rPr>
          <w:rFonts w:cs="Times New Roman"/>
          <w:sz w:val="24"/>
        </w:rPr>
      </w:pPr>
      <w:bookmarkStart w:id="457" w:name="_Toc62823459"/>
      <w:bookmarkStart w:id="458" w:name="_Toc62823547"/>
      <w:bookmarkStart w:id="459" w:name="_Toc62833147"/>
      <w:bookmarkStart w:id="460" w:name="_Toc62841488"/>
      <w:bookmarkStart w:id="461" w:name="_Toc63269685"/>
      <w:bookmarkStart w:id="462" w:name="_Toc62942411"/>
      <w:bookmarkStart w:id="463" w:name="_Toc63178129"/>
      <w:bookmarkStart w:id="464" w:name="_Toc63258882"/>
      <w:bookmarkStart w:id="465" w:name="_Toc63692793"/>
      <w:bookmarkStart w:id="466" w:name="_Toc63712872"/>
      <w:bookmarkStart w:id="467" w:name="_Toc63850179"/>
      <w:bookmarkStart w:id="468" w:name="_Toc63850322"/>
      <w:bookmarkStart w:id="469" w:name="_Toc63862454"/>
      <w:bookmarkStart w:id="470" w:name="_Toc64476371"/>
    </w:p>
    <w:p w14:paraId="582AA885" w14:textId="6E95401B" w:rsidR="00BC5BDF" w:rsidRPr="00B37A02" w:rsidRDefault="00BC5BDF" w:rsidP="00C97F66">
      <w:pPr>
        <w:pStyle w:val="Heading2"/>
        <w:keepNext w:val="0"/>
        <w:keepLines w:val="0"/>
        <w:widowControl w:val="0"/>
        <w:spacing w:before="0" w:line="240" w:lineRule="auto"/>
        <w:jc w:val="both"/>
        <w:rPr>
          <w:rFonts w:cs="Times New Roman"/>
          <w:sz w:val="24"/>
        </w:rPr>
      </w:pPr>
      <w:r w:rsidRPr="00B37A02">
        <w:rPr>
          <w:rFonts w:cs="Times New Roman"/>
          <w:sz w:val="24"/>
        </w:rPr>
        <w:t>Uzturs</w:t>
      </w:r>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p w14:paraId="6EC944BE" w14:textId="77777777" w:rsidR="007878F6" w:rsidRPr="00B37A02" w:rsidRDefault="007878F6" w:rsidP="00C97F66">
      <w:pPr>
        <w:spacing w:after="0" w:line="240" w:lineRule="auto"/>
        <w:rPr>
          <w:rFonts w:ascii="Times New Roman" w:hAnsi="Times New Roman" w:cs="Times New Roman"/>
        </w:rPr>
      </w:pPr>
    </w:p>
    <w:p w14:paraId="778FD579" w14:textId="77777777" w:rsidR="00BC5BDF" w:rsidRPr="00B37A02" w:rsidRDefault="00BC5BDF" w:rsidP="00C97F66">
      <w:pPr>
        <w:pStyle w:val="Caption"/>
        <w:widowControl w:val="0"/>
        <w:spacing w:after="0"/>
        <w:jc w:val="both"/>
        <w:rPr>
          <w:rFonts w:ascii="Times New Roman" w:hAnsi="Times New Roman" w:cs="Times New Roman"/>
          <w:sz w:val="24"/>
          <w:szCs w:val="24"/>
        </w:rPr>
      </w:pPr>
      <w:r w:rsidRPr="00B37A02">
        <w:rPr>
          <w:rFonts w:ascii="Times New Roman" w:hAnsi="Times New Roman" w:cs="Times New Roman"/>
          <w:sz w:val="24"/>
        </w:rPr>
        <w:t>B14. attēls. Budžeta sadalījums ES skolu augļu, dārzeņu un piena programmai 2020./2021. mācību gadā (miljoni eiro)</w:t>
      </w:r>
    </w:p>
    <w:p w14:paraId="63FD7705" w14:textId="77777777" w:rsidR="00BC5BDF" w:rsidRPr="00B37A02" w:rsidRDefault="00BC5BDF" w:rsidP="00C97F66">
      <w:pPr>
        <w:widowControl w:val="0"/>
        <w:spacing w:after="0" w:line="240" w:lineRule="auto"/>
        <w:jc w:val="both"/>
        <w:rPr>
          <w:rFonts w:ascii="Times New Roman" w:hAnsi="Times New Roman" w:cs="Times New Roman"/>
          <w:sz w:val="20"/>
          <w:szCs w:val="16"/>
        </w:rPr>
      </w:pPr>
      <w:r w:rsidRPr="00B37A02">
        <w:rPr>
          <w:rFonts w:ascii="Times New Roman" w:hAnsi="Times New Roman" w:cs="Times New Roman"/>
          <w:noProof/>
          <w:sz w:val="24"/>
        </w:rPr>
        <w:drawing>
          <wp:inline distT="0" distB="0" distL="0" distR="0" wp14:anchorId="24F461E3" wp14:editId="7F22CCCA">
            <wp:extent cx="5486400" cy="3200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B37A02">
        <w:rPr>
          <w:rFonts w:ascii="Times New Roman" w:hAnsi="Times New Roman" w:cs="Times New Roman"/>
          <w:sz w:val="20"/>
        </w:rPr>
        <w:t>Avots: Komisijas 2020. gada 25. marta Īstenošanas lēmums (ES) 2020/467, ar ko nosaka skolu apgādei ar augļiem un dārzeņiem un skolu apgādei ar pienu paredzētā Savienības atbalsta galīgo piešķīrumu dalībvalstīm periodam no 2020. gada 1. augusta līdz 2021. gada 31. jūlijam.</w:t>
      </w:r>
    </w:p>
    <w:p w14:paraId="0DCBE298" w14:textId="77777777" w:rsidR="00BC5BDF" w:rsidRPr="00B37A02" w:rsidRDefault="00BC5BDF" w:rsidP="00C97F66">
      <w:pPr>
        <w:pStyle w:val="Caption"/>
        <w:widowControl w:val="0"/>
        <w:spacing w:after="0"/>
        <w:jc w:val="both"/>
        <w:rPr>
          <w:rFonts w:ascii="Times New Roman" w:hAnsi="Times New Roman" w:cs="Times New Roman"/>
          <w:sz w:val="24"/>
          <w:szCs w:val="24"/>
        </w:rPr>
      </w:pPr>
    </w:p>
    <w:p w14:paraId="61C0AAA6" w14:textId="77777777" w:rsidR="00BC5BDF" w:rsidRPr="00B37A02" w:rsidRDefault="00BC5BDF" w:rsidP="00C97F66">
      <w:pPr>
        <w:pStyle w:val="Caption"/>
        <w:widowControl w:val="0"/>
        <w:spacing w:after="0"/>
        <w:jc w:val="both"/>
        <w:rPr>
          <w:rFonts w:ascii="Times New Roman" w:hAnsi="Times New Roman" w:cs="Times New Roman"/>
          <w:sz w:val="24"/>
          <w:szCs w:val="24"/>
        </w:rPr>
      </w:pPr>
      <w:r w:rsidRPr="00B37A02">
        <w:rPr>
          <w:rFonts w:ascii="Times New Roman" w:hAnsi="Times New Roman" w:cs="Times New Roman"/>
          <w:sz w:val="24"/>
        </w:rPr>
        <w:t>B15. tabula. Bezmaksas un apmaksātu skolas maltīšu nodrošināšana ES</w:t>
      </w:r>
    </w:p>
    <w:tbl>
      <w:tblPr>
        <w:tblStyle w:val="TableGrid"/>
        <w:tblW w:w="5000" w:type="pct"/>
        <w:tblLook w:val="04A0" w:firstRow="1" w:lastRow="0" w:firstColumn="1" w:lastColumn="0" w:noHBand="0" w:noVBand="1"/>
      </w:tblPr>
      <w:tblGrid>
        <w:gridCol w:w="5429"/>
        <w:gridCol w:w="3632"/>
      </w:tblGrid>
      <w:tr w:rsidR="00BC5BDF" w:rsidRPr="00B37A02" w14:paraId="6028FE7C" w14:textId="77777777" w:rsidTr="00A01AE9">
        <w:tc>
          <w:tcPr>
            <w:tcW w:w="2996" w:type="pct"/>
            <w:tcBorders>
              <w:top w:val="single" w:sz="4" w:space="0" w:color="auto"/>
              <w:left w:val="single" w:sz="4" w:space="0" w:color="auto"/>
              <w:bottom w:val="single" w:sz="4" w:space="0" w:color="auto"/>
              <w:right w:val="single" w:sz="4" w:space="0" w:color="auto"/>
            </w:tcBorders>
            <w:hideMark/>
          </w:tcPr>
          <w:p w14:paraId="375F7C72" w14:textId="77777777" w:rsidR="00BC5BDF" w:rsidRPr="00B37A02" w:rsidRDefault="00BC5BDF" w:rsidP="00C97F66">
            <w:pPr>
              <w:pStyle w:val="Bodytext0"/>
              <w:widowControl w:val="0"/>
              <w:spacing w:before="0" w:after="0" w:line="240" w:lineRule="auto"/>
              <w:rPr>
                <w:rFonts w:ascii="Times New Roman" w:hAnsi="Times New Roman"/>
                <w:b/>
                <w:sz w:val="24"/>
              </w:rPr>
            </w:pPr>
            <w:r w:rsidRPr="00B37A02">
              <w:rPr>
                <w:rFonts w:ascii="Times New Roman" w:hAnsi="Times New Roman"/>
                <w:b/>
                <w:sz w:val="24"/>
              </w:rPr>
              <w:t>1. grupa. Vispārīgas bezmaksas maltītes (vismaz dažām vecuma grupām)</w:t>
            </w:r>
          </w:p>
        </w:tc>
        <w:tc>
          <w:tcPr>
            <w:tcW w:w="2004" w:type="pct"/>
            <w:tcBorders>
              <w:top w:val="single" w:sz="4" w:space="0" w:color="auto"/>
              <w:left w:val="single" w:sz="4" w:space="0" w:color="auto"/>
              <w:bottom w:val="single" w:sz="4" w:space="0" w:color="auto"/>
              <w:right w:val="single" w:sz="4" w:space="0" w:color="auto"/>
            </w:tcBorders>
            <w:hideMark/>
          </w:tcPr>
          <w:p w14:paraId="6535E898" w14:textId="77777777" w:rsidR="00BC5BDF" w:rsidRPr="00B37A02" w:rsidRDefault="00BC5BDF" w:rsidP="00C97F66">
            <w:pPr>
              <w:pStyle w:val="Bodytext0"/>
              <w:widowControl w:val="0"/>
              <w:spacing w:before="0" w:after="0" w:line="240" w:lineRule="auto"/>
              <w:rPr>
                <w:rFonts w:ascii="Times New Roman" w:hAnsi="Times New Roman"/>
                <w:sz w:val="24"/>
              </w:rPr>
            </w:pPr>
            <w:r w:rsidRPr="00B37A02">
              <w:rPr>
                <w:rFonts w:ascii="Times New Roman" w:hAnsi="Times New Roman"/>
                <w:sz w:val="24"/>
              </w:rPr>
              <w:t>EE, FI, LT, LV, SE</w:t>
            </w:r>
          </w:p>
        </w:tc>
      </w:tr>
      <w:tr w:rsidR="00BC5BDF" w:rsidRPr="00B37A02" w14:paraId="27AC1AE3" w14:textId="77777777" w:rsidTr="00A01AE9">
        <w:tc>
          <w:tcPr>
            <w:tcW w:w="2996" w:type="pct"/>
            <w:tcBorders>
              <w:top w:val="single" w:sz="4" w:space="0" w:color="auto"/>
              <w:left w:val="single" w:sz="4" w:space="0" w:color="auto"/>
              <w:bottom w:val="single" w:sz="4" w:space="0" w:color="auto"/>
              <w:right w:val="single" w:sz="4" w:space="0" w:color="auto"/>
            </w:tcBorders>
            <w:hideMark/>
          </w:tcPr>
          <w:p w14:paraId="1FB7D123" w14:textId="77777777" w:rsidR="00BC5BDF" w:rsidRPr="00B37A02" w:rsidRDefault="00BC5BDF" w:rsidP="00C97F66">
            <w:pPr>
              <w:pStyle w:val="Bodytext0"/>
              <w:widowControl w:val="0"/>
              <w:spacing w:before="0" w:after="0" w:line="240" w:lineRule="auto"/>
              <w:rPr>
                <w:rFonts w:ascii="Times New Roman" w:hAnsi="Times New Roman"/>
                <w:b/>
                <w:sz w:val="24"/>
              </w:rPr>
            </w:pPr>
            <w:r w:rsidRPr="00B37A02">
              <w:rPr>
                <w:rFonts w:ascii="Times New Roman" w:hAnsi="Times New Roman"/>
                <w:b/>
                <w:sz w:val="24"/>
              </w:rPr>
              <w:t>2. grupa. Konkrētas bezmaksas maltītes visā valstī</w:t>
            </w:r>
          </w:p>
        </w:tc>
        <w:tc>
          <w:tcPr>
            <w:tcW w:w="2004" w:type="pct"/>
            <w:tcBorders>
              <w:top w:val="single" w:sz="4" w:space="0" w:color="auto"/>
              <w:left w:val="single" w:sz="4" w:space="0" w:color="auto"/>
              <w:bottom w:val="single" w:sz="4" w:space="0" w:color="auto"/>
              <w:right w:val="single" w:sz="4" w:space="0" w:color="auto"/>
            </w:tcBorders>
            <w:hideMark/>
          </w:tcPr>
          <w:p w14:paraId="69DEE961" w14:textId="77777777" w:rsidR="00BC5BDF" w:rsidRPr="00B37A02" w:rsidRDefault="00BC5BDF" w:rsidP="00C97F66">
            <w:pPr>
              <w:pStyle w:val="Bodytext0"/>
              <w:widowControl w:val="0"/>
              <w:spacing w:before="0" w:after="0" w:line="240" w:lineRule="auto"/>
              <w:rPr>
                <w:rFonts w:ascii="Times New Roman" w:hAnsi="Times New Roman"/>
                <w:sz w:val="24"/>
              </w:rPr>
            </w:pPr>
            <w:r w:rsidRPr="00B37A02">
              <w:rPr>
                <w:rFonts w:ascii="Times New Roman" w:hAnsi="Times New Roman"/>
                <w:sz w:val="24"/>
              </w:rPr>
              <w:t>CY, CZ, DE, ES, HU, LU, MT, PT, SI, SK</w:t>
            </w:r>
          </w:p>
        </w:tc>
      </w:tr>
      <w:tr w:rsidR="00BC5BDF" w:rsidRPr="00B37A02" w14:paraId="5727A6E2" w14:textId="77777777" w:rsidTr="00A01AE9">
        <w:tc>
          <w:tcPr>
            <w:tcW w:w="2996" w:type="pct"/>
            <w:tcBorders>
              <w:top w:val="single" w:sz="4" w:space="0" w:color="auto"/>
              <w:left w:val="single" w:sz="4" w:space="0" w:color="auto"/>
              <w:bottom w:val="single" w:sz="4" w:space="0" w:color="auto"/>
              <w:right w:val="single" w:sz="4" w:space="0" w:color="auto"/>
            </w:tcBorders>
            <w:hideMark/>
          </w:tcPr>
          <w:p w14:paraId="1090387B" w14:textId="77777777" w:rsidR="00BC5BDF" w:rsidRPr="00B37A02" w:rsidRDefault="00BC5BDF" w:rsidP="00C97F66">
            <w:pPr>
              <w:pStyle w:val="Bodytext0"/>
              <w:widowControl w:val="0"/>
              <w:spacing w:before="0" w:after="0" w:line="240" w:lineRule="auto"/>
              <w:rPr>
                <w:rFonts w:ascii="Times New Roman" w:hAnsi="Times New Roman"/>
                <w:b/>
                <w:sz w:val="24"/>
              </w:rPr>
            </w:pPr>
            <w:r w:rsidRPr="00B37A02">
              <w:rPr>
                <w:rFonts w:ascii="Times New Roman" w:hAnsi="Times New Roman"/>
                <w:b/>
                <w:sz w:val="24"/>
              </w:rPr>
              <w:t>3. grupa. Apmaksātas maltītes un/vai bezmaksas maltītes, kas neaptver visu valsti</w:t>
            </w:r>
          </w:p>
        </w:tc>
        <w:tc>
          <w:tcPr>
            <w:tcW w:w="2004" w:type="pct"/>
            <w:tcBorders>
              <w:top w:val="single" w:sz="4" w:space="0" w:color="auto"/>
              <w:left w:val="single" w:sz="4" w:space="0" w:color="auto"/>
              <w:bottom w:val="single" w:sz="4" w:space="0" w:color="auto"/>
              <w:right w:val="single" w:sz="4" w:space="0" w:color="auto"/>
            </w:tcBorders>
            <w:hideMark/>
          </w:tcPr>
          <w:p w14:paraId="07D37B23" w14:textId="77777777" w:rsidR="00BC5BDF" w:rsidRPr="00B37A02" w:rsidRDefault="00BC5BDF" w:rsidP="00C97F66">
            <w:pPr>
              <w:pStyle w:val="Bodytext0"/>
              <w:widowControl w:val="0"/>
              <w:spacing w:before="0" w:after="0" w:line="240" w:lineRule="auto"/>
              <w:rPr>
                <w:rFonts w:ascii="Times New Roman" w:hAnsi="Times New Roman"/>
                <w:sz w:val="24"/>
              </w:rPr>
            </w:pPr>
            <w:r w:rsidRPr="00B37A02">
              <w:rPr>
                <w:rFonts w:ascii="Times New Roman" w:hAnsi="Times New Roman"/>
                <w:sz w:val="24"/>
              </w:rPr>
              <w:t>AT, BE, BG, EL, FR, HR, IE, IT, PL, RO</w:t>
            </w:r>
          </w:p>
        </w:tc>
      </w:tr>
      <w:tr w:rsidR="00BC5BDF" w:rsidRPr="00B37A02" w14:paraId="21EC78F8" w14:textId="77777777" w:rsidTr="00A01AE9">
        <w:tc>
          <w:tcPr>
            <w:tcW w:w="2996" w:type="pct"/>
            <w:tcBorders>
              <w:top w:val="single" w:sz="4" w:space="0" w:color="auto"/>
              <w:left w:val="single" w:sz="4" w:space="0" w:color="auto"/>
              <w:bottom w:val="single" w:sz="4" w:space="0" w:color="auto"/>
              <w:right w:val="single" w:sz="4" w:space="0" w:color="auto"/>
            </w:tcBorders>
            <w:hideMark/>
          </w:tcPr>
          <w:p w14:paraId="273A1CA5" w14:textId="77777777" w:rsidR="00BC5BDF" w:rsidRPr="00B37A02" w:rsidRDefault="00BC5BDF" w:rsidP="00C97F66">
            <w:pPr>
              <w:pStyle w:val="Bodytext0"/>
              <w:widowControl w:val="0"/>
              <w:spacing w:before="0" w:after="0" w:line="240" w:lineRule="auto"/>
              <w:rPr>
                <w:rFonts w:ascii="Times New Roman" w:hAnsi="Times New Roman"/>
                <w:b/>
                <w:sz w:val="24"/>
              </w:rPr>
            </w:pPr>
            <w:r w:rsidRPr="00B37A02">
              <w:rPr>
                <w:rFonts w:ascii="Times New Roman" w:hAnsi="Times New Roman"/>
                <w:b/>
                <w:sz w:val="24"/>
              </w:rPr>
              <w:t>4. grupa. Netiek nodrošināts</w:t>
            </w:r>
          </w:p>
        </w:tc>
        <w:tc>
          <w:tcPr>
            <w:tcW w:w="2004" w:type="pct"/>
            <w:tcBorders>
              <w:top w:val="single" w:sz="4" w:space="0" w:color="auto"/>
              <w:left w:val="single" w:sz="4" w:space="0" w:color="auto"/>
              <w:bottom w:val="single" w:sz="4" w:space="0" w:color="auto"/>
              <w:right w:val="single" w:sz="4" w:space="0" w:color="auto"/>
            </w:tcBorders>
            <w:hideMark/>
          </w:tcPr>
          <w:p w14:paraId="7B69B909" w14:textId="77777777" w:rsidR="00BC5BDF" w:rsidRPr="00B37A02" w:rsidRDefault="00BC5BDF" w:rsidP="00C97F66">
            <w:pPr>
              <w:pStyle w:val="Bodytext0"/>
              <w:widowControl w:val="0"/>
              <w:spacing w:before="0" w:after="0" w:line="240" w:lineRule="auto"/>
              <w:rPr>
                <w:rFonts w:ascii="Times New Roman" w:hAnsi="Times New Roman"/>
                <w:sz w:val="24"/>
              </w:rPr>
            </w:pPr>
            <w:r w:rsidRPr="00B37A02">
              <w:rPr>
                <w:rFonts w:ascii="Times New Roman" w:hAnsi="Times New Roman"/>
                <w:sz w:val="24"/>
              </w:rPr>
              <w:t>DK, NL</w:t>
            </w:r>
          </w:p>
        </w:tc>
      </w:tr>
    </w:tbl>
    <w:p w14:paraId="5FFB6D1D" w14:textId="3A5F0D75" w:rsidR="00EC5DE2" w:rsidRPr="00B37A02" w:rsidRDefault="00BC5BDF" w:rsidP="00C97F66">
      <w:pPr>
        <w:widowControl w:val="0"/>
        <w:spacing w:after="0" w:line="240" w:lineRule="auto"/>
        <w:jc w:val="both"/>
        <w:rPr>
          <w:rFonts w:ascii="Times New Roman" w:hAnsi="Times New Roman" w:cs="Times New Roman"/>
          <w:sz w:val="20"/>
          <w:szCs w:val="16"/>
        </w:rPr>
      </w:pPr>
      <w:r w:rsidRPr="00B37A02">
        <w:rPr>
          <w:rFonts w:ascii="Times New Roman" w:hAnsi="Times New Roman" w:cs="Times New Roman"/>
          <w:sz w:val="20"/>
        </w:rPr>
        <w:t>Avots: Study on the economic implementing framework of a possible EU Child Guarantee Scheme including its financial foundation. Final Report.</w:t>
      </w:r>
    </w:p>
    <w:p w14:paraId="6B9412A6" w14:textId="77777777" w:rsidR="007878F6" w:rsidRPr="00B37A02" w:rsidRDefault="007878F6" w:rsidP="00C97F66">
      <w:pPr>
        <w:widowControl w:val="0"/>
        <w:spacing w:after="0" w:line="240" w:lineRule="auto"/>
        <w:jc w:val="both"/>
        <w:rPr>
          <w:rFonts w:ascii="Times New Roman" w:hAnsi="Times New Roman" w:cs="Times New Roman"/>
          <w:sz w:val="24"/>
          <w:szCs w:val="20"/>
        </w:rPr>
      </w:pPr>
    </w:p>
    <w:p w14:paraId="35A57EDB" w14:textId="2A9C5FA5" w:rsidR="00EC5DE2" w:rsidRPr="00B37A02" w:rsidRDefault="00BC5BDF" w:rsidP="00FA0CFC">
      <w:pPr>
        <w:pStyle w:val="Heading2"/>
        <w:widowControl w:val="0"/>
        <w:spacing w:before="0" w:line="240" w:lineRule="auto"/>
        <w:jc w:val="both"/>
        <w:rPr>
          <w:rFonts w:cs="Times New Roman"/>
          <w:sz w:val="24"/>
        </w:rPr>
      </w:pPr>
      <w:bookmarkStart w:id="471" w:name="_Toc63178130"/>
      <w:bookmarkStart w:id="472" w:name="_Toc63258883"/>
      <w:bookmarkStart w:id="473" w:name="_Toc63269686"/>
      <w:bookmarkStart w:id="474" w:name="_Toc63692794"/>
      <w:bookmarkStart w:id="475" w:name="_Toc63712873"/>
      <w:bookmarkStart w:id="476" w:name="_Toc63850180"/>
      <w:bookmarkStart w:id="477" w:name="_Toc63850323"/>
      <w:bookmarkStart w:id="478" w:name="_Toc63862455"/>
      <w:bookmarkStart w:id="479" w:name="_Toc64476372"/>
      <w:r w:rsidRPr="00B37A02">
        <w:rPr>
          <w:rFonts w:cs="Times New Roman"/>
          <w:sz w:val="24"/>
        </w:rPr>
        <w:lastRenderedPageBreak/>
        <w:t>Mājoklis</w:t>
      </w:r>
      <w:bookmarkEnd w:id="471"/>
      <w:bookmarkEnd w:id="472"/>
      <w:bookmarkEnd w:id="473"/>
      <w:bookmarkEnd w:id="474"/>
      <w:bookmarkEnd w:id="475"/>
      <w:bookmarkEnd w:id="476"/>
      <w:bookmarkEnd w:id="477"/>
      <w:bookmarkEnd w:id="478"/>
      <w:bookmarkEnd w:id="479"/>
    </w:p>
    <w:p w14:paraId="4C0E01CD" w14:textId="77777777" w:rsidR="007878F6" w:rsidRPr="00B37A02" w:rsidRDefault="007878F6" w:rsidP="00FA0CFC">
      <w:pPr>
        <w:keepNext/>
        <w:keepLines/>
        <w:spacing w:after="0" w:line="240" w:lineRule="auto"/>
        <w:rPr>
          <w:rFonts w:ascii="Times New Roman" w:hAnsi="Times New Roman" w:cs="Times New Roman"/>
        </w:rPr>
      </w:pPr>
    </w:p>
    <w:p w14:paraId="3647A1C5" w14:textId="554AE7A5" w:rsidR="00BC5BDF" w:rsidRPr="00B37A02" w:rsidRDefault="00BC5BDF" w:rsidP="00FA0CFC">
      <w:pPr>
        <w:pStyle w:val="Caption"/>
        <w:keepNext/>
        <w:keepLines/>
        <w:widowControl w:val="0"/>
        <w:spacing w:after="0"/>
        <w:jc w:val="both"/>
        <w:rPr>
          <w:rFonts w:ascii="Times New Roman" w:hAnsi="Times New Roman" w:cs="Times New Roman"/>
          <w:sz w:val="24"/>
          <w:szCs w:val="24"/>
        </w:rPr>
      </w:pPr>
      <w:r w:rsidRPr="00B37A02">
        <w:rPr>
          <w:rFonts w:ascii="Times New Roman" w:hAnsi="Times New Roman" w:cs="Times New Roman"/>
          <w:sz w:val="24"/>
        </w:rPr>
        <w:t>B16. attēls. Pārapdzīvotības līmenis pēc vecuma un nabadzības pakāpes, 2018.* vai 2019. gads</w:t>
      </w:r>
    </w:p>
    <w:p w14:paraId="2FFDF3CF" w14:textId="77777777" w:rsidR="00EC5DE2" w:rsidRPr="00B37A02" w:rsidRDefault="00BC5BDF" w:rsidP="00FA0CFC">
      <w:pPr>
        <w:keepNext/>
        <w:keepLines/>
        <w:widowControl w:val="0"/>
        <w:spacing w:after="0" w:line="240" w:lineRule="auto"/>
        <w:jc w:val="both"/>
        <w:rPr>
          <w:rFonts w:ascii="Times New Roman" w:hAnsi="Times New Roman" w:cs="Times New Roman"/>
          <w:sz w:val="20"/>
          <w:szCs w:val="16"/>
        </w:rPr>
      </w:pPr>
      <w:r w:rsidRPr="00B37A02">
        <w:rPr>
          <w:rFonts w:ascii="Times New Roman" w:hAnsi="Times New Roman" w:cs="Times New Roman"/>
          <w:noProof/>
          <w:sz w:val="24"/>
        </w:rPr>
        <w:drawing>
          <wp:inline distT="0" distB="0" distL="0" distR="0" wp14:anchorId="39929A7E" wp14:editId="342AFCC8">
            <wp:extent cx="5924724" cy="2847109"/>
            <wp:effectExtent l="0" t="0" r="0" b="1079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B37A02">
        <w:rPr>
          <w:rFonts w:ascii="Times New Roman" w:hAnsi="Times New Roman" w:cs="Times New Roman"/>
          <w:sz w:val="20"/>
        </w:rPr>
        <w:t>Piezīme. Šķirots pēc biežuma nabadzības riskam pakļauto bērnu vidū.</w:t>
      </w:r>
    </w:p>
    <w:p w14:paraId="7515DB94" w14:textId="743F005D" w:rsidR="00BC5BDF" w:rsidRPr="00B37A02" w:rsidRDefault="00BC5BDF" w:rsidP="00C97F66">
      <w:pPr>
        <w:widowControl w:val="0"/>
        <w:spacing w:after="0" w:line="240" w:lineRule="auto"/>
        <w:jc w:val="both"/>
        <w:rPr>
          <w:rFonts w:ascii="Times New Roman" w:hAnsi="Times New Roman" w:cs="Times New Roman"/>
          <w:sz w:val="20"/>
          <w:szCs w:val="16"/>
        </w:rPr>
      </w:pPr>
      <w:r w:rsidRPr="00B37A02">
        <w:rPr>
          <w:rFonts w:ascii="Times New Roman" w:hAnsi="Times New Roman" w:cs="Times New Roman"/>
          <w:sz w:val="20"/>
        </w:rPr>
        <w:t xml:space="preserve">Avots: </w:t>
      </w:r>
      <w:r w:rsidRPr="00B37A02">
        <w:rPr>
          <w:rFonts w:ascii="Times New Roman" w:hAnsi="Times New Roman" w:cs="Times New Roman"/>
          <w:i/>
          <w:iCs/>
          <w:sz w:val="20"/>
        </w:rPr>
        <w:t>EU-SILC.</w:t>
      </w:r>
    </w:p>
    <w:p w14:paraId="3DEA4685" w14:textId="77777777" w:rsidR="007878F6" w:rsidRPr="00B37A02" w:rsidRDefault="007878F6" w:rsidP="00C97F66">
      <w:pPr>
        <w:pStyle w:val="Caption"/>
        <w:widowControl w:val="0"/>
        <w:spacing w:after="0"/>
        <w:jc w:val="both"/>
        <w:rPr>
          <w:rFonts w:ascii="Times New Roman" w:hAnsi="Times New Roman" w:cs="Times New Roman"/>
          <w:sz w:val="24"/>
          <w:szCs w:val="24"/>
        </w:rPr>
      </w:pPr>
    </w:p>
    <w:p w14:paraId="6295B4E0" w14:textId="5067EC8A" w:rsidR="00BC5BDF" w:rsidRPr="00B37A02" w:rsidRDefault="00BC5BDF" w:rsidP="00C97F66">
      <w:pPr>
        <w:pStyle w:val="Caption"/>
        <w:widowControl w:val="0"/>
        <w:spacing w:after="0"/>
        <w:jc w:val="both"/>
        <w:rPr>
          <w:rFonts w:ascii="Times New Roman" w:hAnsi="Times New Roman" w:cs="Times New Roman"/>
          <w:sz w:val="24"/>
          <w:szCs w:val="24"/>
        </w:rPr>
      </w:pPr>
      <w:r w:rsidRPr="00B37A02">
        <w:rPr>
          <w:rFonts w:ascii="Times New Roman" w:hAnsi="Times New Roman" w:cs="Times New Roman"/>
          <w:sz w:val="24"/>
        </w:rPr>
        <w:t>B17. attēls. Nespēja uzturēt mājokli pietiekami siltu</w:t>
      </w:r>
    </w:p>
    <w:p w14:paraId="75339BAE" w14:textId="77777777" w:rsidR="00EC5DE2" w:rsidRPr="00B37A02" w:rsidRDefault="00BC5BDF" w:rsidP="00C97F66">
      <w:pPr>
        <w:widowControl w:val="0"/>
        <w:spacing w:after="0" w:line="240" w:lineRule="auto"/>
        <w:jc w:val="both"/>
        <w:rPr>
          <w:rFonts w:ascii="Times New Roman" w:hAnsi="Times New Roman" w:cs="Times New Roman"/>
          <w:sz w:val="20"/>
          <w:szCs w:val="16"/>
        </w:rPr>
      </w:pPr>
      <w:r w:rsidRPr="00B37A02">
        <w:rPr>
          <w:rFonts w:ascii="Times New Roman" w:hAnsi="Times New Roman" w:cs="Times New Roman"/>
          <w:noProof/>
          <w:sz w:val="24"/>
        </w:rPr>
        <w:drawing>
          <wp:inline distT="0" distB="0" distL="0" distR="0" wp14:anchorId="02960210" wp14:editId="6759BDCB">
            <wp:extent cx="5924724" cy="3200400"/>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Pr="00B37A02">
        <w:rPr>
          <w:rFonts w:ascii="Times New Roman" w:hAnsi="Times New Roman" w:cs="Times New Roman"/>
          <w:sz w:val="20"/>
        </w:rPr>
        <w:t>Piezīme. Dalībvalstis, kas šķirotas pēc kategorijas “</w:t>
      </w:r>
      <w:r w:rsidRPr="00B37A02">
        <w:rPr>
          <w:rFonts w:ascii="Times New Roman" w:hAnsi="Times New Roman" w:cs="Times New Roman"/>
          <w:i/>
          <w:iCs/>
          <w:sz w:val="20"/>
        </w:rPr>
        <w:t>AROP</w:t>
      </w:r>
      <w:r w:rsidRPr="00B37A02">
        <w:rPr>
          <w:rFonts w:ascii="Times New Roman" w:hAnsi="Times New Roman" w:cs="Times New Roman"/>
          <w:sz w:val="20"/>
        </w:rPr>
        <w:t xml:space="preserve"> pakļautās mājsaimniecības ar aprūpējamiem bērniem”.</w:t>
      </w:r>
    </w:p>
    <w:p w14:paraId="2448D5CF" w14:textId="3C7F2823" w:rsidR="00BC5BDF" w:rsidRPr="00B37A02" w:rsidRDefault="00BC5BDF" w:rsidP="00C97F66">
      <w:pPr>
        <w:widowControl w:val="0"/>
        <w:spacing w:after="0" w:line="240" w:lineRule="auto"/>
        <w:jc w:val="both"/>
        <w:rPr>
          <w:rFonts w:ascii="Times New Roman" w:hAnsi="Times New Roman" w:cs="Times New Roman"/>
          <w:sz w:val="20"/>
          <w:szCs w:val="16"/>
        </w:rPr>
      </w:pPr>
      <w:r w:rsidRPr="00B37A02">
        <w:rPr>
          <w:rFonts w:ascii="Times New Roman" w:hAnsi="Times New Roman" w:cs="Times New Roman"/>
          <w:sz w:val="20"/>
        </w:rPr>
        <w:t xml:space="preserve">Avots: </w:t>
      </w:r>
      <w:r w:rsidRPr="00B37A02">
        <w:rPr>
          <w:rFonts w:ascii="Times New Roman" w:hAnsi="Times New Roman" w:cs="Times New Roman"/>
          <w:i/>
          <w:iCs/>
          <w:sz w:val="20"/>
        </w:rPr>
        <w:t>Eurostat</w:t>
      </w:r>
      <w:r w:rsidRPr="00B37A02">
        <w:rPr>
          <w:rFonts w:ascii="Times New Roman" w:hAnsi="Times New Roman" w:cs="Times New Roman"/>
          <w:sz w:val="20"/>
        </w:rPr>
        <w:t xml:space="preserve">, </w:t>
      </w:r>
      <w:r w:rsidRPr="00B37A02">
        <w:rPr>
          <w:rFonts w:ascii="Times New Roman" w:hAnsi="Times New Roman" w:cs="Times New Roman"/>
          <w:i/>
          <w:iCs/>
          <w:sz w:val="20"/>
        </w:rPr>
        <w:t>EU-SILC</w:t>
      </w:r>
      <w:r w:rsidRPr="00B37A02">
        <w:rPr>
          <w:rFonts w:ascii="Times New Roman" w:hAnsi="Times New Roman" w:cs="Times New Roman"/>
          <w:sz w:val="20"/>
        </w:rPr>
        <w:t xml:space="preserve"> [ilc_mdes01]; dati iegūti 28.01.2021.</w:t>
      </w:r>
    </w:p>
    <w:p w14:paraId="2013D0AA" w14:textId="77777777" w:rsidR="007878F6" w:rsidRPr="00B37A02" w:rsidRDefault="007878F6" w:rsidP="00C97F66">
      <w:pPr>
        <w:pStyle w:val="Caption"/>
        <w:widowControl w:val="0"/>
        <w:spacing w:after="0"/>
        <w:jc w:val="both"/>
        <w:rPr>
          <w:rFonts w:ascii="Times New Roman" w:hAnsi="Times New Roman" w:cs="Times New Roman"/>
          <w:sz w:val="24"/>
          <w:szCs w:val="24"/>
        </w:rPr>
      </w:pPr>
    </w:p>
    <w:p w14:paraId="193F3746" w14:textId="5FA034BB" w:rsidR="00BC5BDF" w:rsidRPr="00B37A02" w:rsidRDefault="00BC5BDF" w:rsidP="00E545FD">
      <w:pPr>
        <w:pStyle w:val="Caption"/>
        <w:keepNext/>
        <w:keepLines/>
        <w:widowControl w:val="0"/>
        <w:spacing w:after="0"/>
        <w:jc w:val="both"/>
        <w:rPr>
          <w:rFonts w:ascii="Times New Roman" w:hAnsi="Times New Roman" w:cs="Times New Roman"/>
          <w:sz w:val="24"/>
          <w:szCs w:val="24"/>
        </w:rPr>
      </w:pPr>
      <w:r w:rsidRPr="00B37A02">
        <w:rPr>
          <w:rFonts w:ascii="Times New Roman" w:hAnsi="Times New Roman" w:cs="Times New Roman"/>
          <w:sz w:val="24"/>
        </w:rPr>
        <w:lastRenderedPageBreak/>
        <w:t>B18. attēls. To bērnu īpatsvars (%), kuri saskārās ar dažādiem sliktu sadzīves apstākļu aspektiem 2010. un 2019. gadā, pēc mājsaimniecības ienākumu līmeņa</w:t>
      </w:r>
    </w:p>
    <w:p w14:paraId="08F78F8D" w14:textId="77777777" w:rsidR="00EC5DE2" w:rsidRPr="00B37A02" w:rsidRDefault="00BC5BDF" w:rsidP="00E545FD">
      <w:pPr>
        <w:keepNext/>
        <w:keepLines/>
        <w:widowControl w:val="0"/>
        <w:spacing w:after="0" w:line="240" w:lineRule="auto"/>
        <w:jc w:val="both"/>
        <w:rPr>
          <w:rFonts w:ascii="Times New Roman" w:hAnsi="Times New Roman" w:cs="Times New Roman"/>
          <w:sz w:val="20"/>
          <w:szCs w:val="16"/>
        </w:rPr>
      </w:pPr>
      <w:r w:rsidRPr="00B37A02">
        <w:rPr>
          <w:rFonts w:ascii="Times New Roman" w:hAnsi="Times New Roman" w:cs="Times New Roman"/>
          <w:noProof/>
          <w:sz w:val="24"/>
        </w:rPr>
        <w:drawing>
          <wp:inline distT="0" distB="0" distL="0" distR="0" wp14:anchorId="727D3033" wp14:editId="31EB2D47">
            <wp:extent cx="5748655" cy="5295417"/>
            <wp:effectExtent l="0" t="0" r="4445" b="63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B37A02">
        <w:rPr>
          <w:rFonts w:ascii="Times New Roman" w:hAnsi="Times New Roman" w:cs="Times New Roman"/>
          <w:sz w:val="20"/>
        </w:rPr>
        <w:t>Piezīme. Attēlotas vienīgi vērtības, sākot no 0,3 %.</w:t>
      </w:r>
    </w:p>
    <w:p w14:paraId="29384070" w14:textId="57E861AA" w:rsidR="00BC5BDF" w:rsidRPr="00B37A02" w:rsidRDefault="00BC5BDF" w:rsidP="00C97F66">
      <w:pPr>
        <w:widowControl w:val="0"/>
        <w:spacing w:after="0" w:line="240" w:lineRule="auto"/>
        <w:jc w:val="both"/>
        <w:rPr>
          <w:rFonts w:ascii="Times New Roman" w:hAnsi="Times New Roman" w:cs="Times New Roman"/>
          <w:sz w:val="20"/>
          <w:szCs w:val="16"/>
        </w:rPr>
      </w:pPr>
      <w:r w:rsidRPr="00B37A02">
        <w:rPr>
          <w:rFonts w:ascii="Times New Roman" w:hAnsi="Times New Roman" w:cs="Times New Roman"/>
          <w:sz w:val="20"/>
        </w:rPr>
        <w:t xml:space="preserve">Avots: </w:t>
      </w:r>
      <w:r w:rsidRPr="00B37A02">
        <w:rPr>
          <w:rFonts w:ascii="Times New Roman" w:hAnsi="Times New Roman" w:cs="Times New Roman"/>
          <w:i/>
          <w:iCs/>
          <w:sz w:val="20"/>
        </w:rPr>
        <w:t>EU-SILC</w:t>
      </w:r>
      <w:r w:rsidRPr="00B37A02">
        <w:rPr>
          <w:rFonts w:ascii="Times New Roman" w:hAnsi="Times New Roman" w:cs="Times New Roman"/>
          <w:sz w:val="20"/>
        </w:rPr>
        <w:t xml:space="preserve"> [ilc_mdho01].</w:t>
      </w:r>
    </w:p>
    <w:p w14:paraId="22EB9688" w14:textId="77777777" w:rsidR="007878F6" w:rsidRPr="00B37A02" w:rsidRDefault="007878F6" w:rsidP="00C97F66">
      <w:pPr>
        <w:pStyle w:val="Caption"/>
        <w:widowControl w:val="0"/>
        <w:spacing w:after="0"/>
        <w:jc w:val="both"/>
        <w:rPr>
          <w:rFonts w:ascii="Times New Roman" w:hAnsi="Times New Roman" w:cs="Times New Roman"/>
          <w:sz w:val="24"/>
          <w:szCs w:val="24"/>
        </w:rPr>
      </w:pPr>
    </w:p>
    <w:p w14:paraId="6E0CD184" w14:textId="3338BE5C" w:rsidR="00BC5BDF" w:rsidRPr="00B37A02" w:rsidRDefault="00BC5BDF" w:rsidP="002F1BC6">
      <w:pPr>
        <w:pStyle w:val="Caption"/>
        <w:keepNext/>
        <w:keepLines/>
        <w:widowControl w:val="0"/>
        <w:spacing w:after="0"/>
        <w:jc w:val="both"/>
        <w:rPr>
          <w:rFonts w:ascii="Times New Roman" w:hAnsi="Times New Roman" w:cs="Times New Roman"/>
          <w:sz w:val="24"/>
          <w:szCs w:val="24"/>
        </w:rPr>
      </w:pPr>
      <w:r w:rsidRPr="00B37A02">
        <w:rPr>
          <w:rFonts w:ascii="Times New Roman" w:hAnsi="Times New Roman" w:cs="Times New Roman"/>
          <w:sz w:val="24"/>
        </w:rPr>
        <w:lastRenderedPageBreak/>
        <w:t>B19. attēls. Sociālo/valsts mājokļu īpatsvars kopējā mājokļu fondā (2017. gads) un valsts izdevumi par mājokļa pabalstiem (2018. gads vai pēdējie pieejamie dati)</w:t>
      </w:r>
    </w:p>
    <w:p w14:paraId="06141F5A" w14:textId="77777777" w:rsidR="00EC5DE2" w:rsidRPr="00B37A02" w:rsidRDefault="00BC5BDF" w:rsidP="002F1BC6">
      <w:pPr>
        <w:keepNext/>
        <w:keepLines/>
        <w:widowControl w:val="0"/>
        <w:spacing w:after="0" w:line="240" w:lineRule="auto"/>
        <w:jc w:val="both"/>
        <w:rPr>
          <w:rFonts w:ascii="Times New Roman" w:hAnsi="Times New Roman" w:cs="Times New Roman"/>
          <w:sz w:val="20"/>
          <w:szCs w:val="16"/>
        </w:rPr>
      </w:pPr>
      <w:r w:rsidRPr="00B37A02">
        <w:rPr>
          <w:rFonts w:ascii="Times New Roman" w:hAnsi="Times New Roman" w:cs="Times New Roman"/>
          <w:noProof/>
          <w:sz w:val="24"/>
        </w:rPr>
        <w:drawing>
          <wp:inline distT="0" distB="0" distL="0" distR="0" wp14:anchorId="23731368" wp14:editId="3A90E376">
            <wp:extent cx="5778674" cy="3117273"/>
            <wp:effectExtent l="0" t="0" r="12700" b="6985"/>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B37A02">
        <w:rPr>
          <w:rFonts w:ascii="Times New Roman" w:hAnsi="Times New Roman" w:cs="Times New Roman"/>
          <w:sz w:val="20"/>
        </w:rPr>
        <w:t>Piezīmes. * Saskaņā ar SPC delegātu sniegto informāciju sociālo/valsts mājokļu īpatsvars Nīderlandē sasniedz 32 %, bet Čehijā – 3 %, savukārt to mājsaimniecību īpatsvars, kuras atrodas valsts mājokļos, Zviedrijā sasniedz aptuveni 30 %. Ar ** apzīmētās dalībvalstīs mājokļa pabalsti tiek izmaksāti, taču dati par valsts izdevumiem nav pieejami.</w:t>
      </w:r>
    </w:p>
    <w:p w14:paraId="7CCEA412" w14:textId="0F9945B6" w:rsidR="00BC5BDF" w:rsidRPr="00B37A02" w:rsidRDefault="00BC5BDF" w:rsidP="00C97F66">
      <w:pPr>
        <w:widowControl w:val="0"/>
        <w:spacing w:after="0" w:line="240" w:lineRule="auto"/>
        <w:jc w:val="both"/>
        <w:rPr>
          <w:rFonts w:ascii="Times New Roman" w:hAnsi="Times New Roman" w:cs="Times New Roman"/>
          <w:sz w:val="20"/>
          <w:szCs w:val="20"/>
        </w:rPr>
      </w:pPr>
      <w:r w:rsidRPr="00B37A02">
        <w:rPr>
          <w:rFonts w:ascii="Times New Roman" w:hAnsi="Times New Roman" w:cs="Times New Roman"/>
          <w:sz w:val="20"/>
        </w:rPr>
        <w:t xml:space="preserve">Avoti: Housing Europe, </w:t>
      </w:r>
      <w:r w:rsidRPr="00B37A02">
        <w:rPr>
          <w:rFonts w:ascii="Times New Roman" w:hAnsi="Times New Roman" w:cs="Times New Roman"/>
          <w:i/>
          <w:sz w:val="20"/>
        </w:rPr>
        <w:t xml:space="preserve">The State of Housing in the European Union 2017 </w:t>
      </w:r>
      <w:r w:rsidRPr="00B37A02">
        <w:rPr>
          <w:rFonts w:ascii="Times New Roman" w:hAnsi="Times New Roman" w:cs="Times New Roman"/>
          <w:sz w:val="20"/>
        </w:rPr>
        <w:t xml:space="preserve">for the shares of social/public housing, and OECD </w:t>
      </w:r>
      <w:r w:rsidRPr="00B37A02">
        <w:rPr>
          <w:rFonts w:ascii="Times New Roman" w:hAnsi="Times New Roman" w:cs="Times New Roman"/>
          <w:i/>
          <w:sz w:val="20"/>
        </w:rPr>
        <w:t xml:space="preserve">Questionnaire on Affordable and Social Housing </w:t>
      </w:r>
      <w:r w:rsidRPr="00B37A02">
        <w:rPr>
          <w:rFonts w:ascii="Times New Roman" w:hAnsi="Times New Roman" w:cs="Times New Roman"/>
          <w:sz w:val="20"/>
        </w:rPr>
        <w:t>(2016, 2019) for the public spending on housing allowances.</w:t>
      </w:r>
    </w:p>
    <w:p w14:paraId="1E792EC4" w14:textId="77777777" w:rsidR="00BC5BDF" w:rsidRPr="00B37A02" w:rsidRDefault="00BC5BDF" w:rsidP="00C97F66">
      <w:pPr>
        <w:widowControl w:val="0"/>
        <w:spacing w:after="0" w:line="240" w:lineRule="auto"/>
        <w:jc w:val="both"/>
        <w:rPr>
          <w:rFonts w:ascii="Times New Roman" w:hAnsi="Times New Roman" w:cs="Times New Roman"/>
          <w:sz w:val="24"/>
        </w:rPr>
      </w:pPr>
      <w:r w:rsidRPr="00B37A02">
        <w:rPr>
          <w:rFonts w:ascii="Times New Roman" w:hAnsi="Times New Roman" w:cs="Times New Roman"/>
        </w:rPr>
        <w:br w:type="page"/>
      </w:r>
    </w:p>
    <w:p w14:paraId="31FD2601" w14:textId="1C81856D" w:rsidR="00EC5DE2" w:rsidRPr="00B37A02" w:rsidRDefault="00BC5BDF" w:rsidP="00C97F66">
      <w:pPr>
        <w:pStyle w:val="Heading1"/>
        <w:keepNext w:val="0"/>
        <w:keepLines w:val="0"/>
        <w:widowControl w:val="0"/>
        <w:spacing w:before="0" w:line="240" w:lineRule="auto"/>
        <w:jc w:val="both"/>
        <w:rPr>
          <w:rFonts w:ascii="Times New Roman" w:hAnsi="Times New Roman" w:cs="Times New Roman"/>
          <w:sz w:val="28"/>
          <w:szCs w:val="36"/>
        </w:rPr>
      </w:pPr>
      <w:bookmarkStart w:id="480" w:name="_Toc63712874"/>
      <w:bookmarkStart w:id="481" w:name="_Toc63850181"/>
      <w:bookmarkStart w:id="482" w:name="_Toc63850324"/>
      <w:bookmarkStart w:id="483" w:name="_Toc63862456"/>
      <w:bookmarkStart w:id="484" w:name="_Toc64476373"/>
      <w:r w:rsidRPr="00B37A02">
        <w:rPr>
          <w:rFonts w:ascii="Times New Roman" w:hAnsi="Times New Roman" w:cs="Times New Roman"/>
          <w:sz w:val="28"/>
        </w:rPr>
        <w:lastRenderedPageBreak/>
        <w:t xml:space="preserve">C PIELIKUMS. </w:t>
      </w:r>
      <w:bookmarkEnd w:id="480"/>
      <w:r w:rsidRPr="00B37A02">
        <w:rPr>
          <w:rFonts w:ascii="Times New Roman" w:hAnsi="Times New Roman" w:cs="Times New Roman"/>
          <w:sz w:val="28"/>
        </w:rPr>
        <w:t>Ziņojums par apspriedi ar ieinteresētajām pusēm</w:t>
      </w:r>
      <w:bookmarkEnd w:id="481"/>
      <w:bookmarkEnd w:id="482"/>
      <w:bookmarkEnd w:id="483"/>
      <w:bookmarkEnd w:id="484"/>
    </w:p>
    <w:p w14:paraId="2FE8592D" w14:textId="77777777" w:rsidR="007878F6" w:rsidRPr="00B37A02" w:rsidRDefault="007878F6" w:rsidP="00C97F66">
      <w:pPr>
        <w:spacing w:after="0" w:line="240" w:lineRule="auto"/>
        <w:rPr>
          <w:rFonts w:ascii="Times New Roman" w:hAnsi="Times New Roman" w:cs="Times New Roman"/>
        </w:rPr>
      </w:pPr>
    </w:p>
    <w:p w14:paraId="7207E0E9" w14:textId="1F4CEE0E" w:rsidR="00BC5BDF" w:rsidRPr="00B37A02" w:rsidRDefault="00BC5BDF" w:rsidP="00C97F66">
      <w:pPr>
        <w:pStyle w:val="Body"/>
        <w:widowControl w:val="0"/>
        <w:spacing w:after="0" w:line="240" w:lineRule="auto"/>
        <w:rPr>
          <w:rFonts w:ascii="Times New Roman" w:hAnsi="Times New Roman" w:cs="Times New Roman"/>
          <w:b/>
          <w:sz w:val="24"/>
          <w:szCs w:val="24"/>
        </w:rPr>
      </w:pPr>
      <w:bookmarkStart w:id="485" w:name="_Toc63850182"/>
      <w:bookmarkStart w:id="486" w:name="_Toc63850325"/>
      <w:r w:rsidRPr="00B37A02">
        <w:rPr>
          <w:rFonts w:ascii="Times New Roman" w:hAnsi="Times New Roman" w:cs="Times New Roman"/>
          <w:b/>
          <w:sz w:val="24"/>
        </w:rPr>
        <w:t>IEVADS</w:t>
      </w:r>
      <w:bookmarkEnd w:id="485"/>
      <w:bookmarkEnd w:id="486"/>
    </w:p>
    <w:p w14:paraId="6555415C" w14:textId="77777777" w:rsidR="007878F6" w:rsidRPr="00B37A02" w:rsidRDefault="007878F6" w:rsidP="00C97F66">
      <w:pPr>
        <w:pStyle w:val="Body"/>
        <w:widowControl w:val="0"/>
        <w:spacing w:after="0" w:line="240" w:lineRule="auto"/>
        <w:rPr>
          <w:rFonts w:ascii="Times New Roman" w:eastAsia="Arial" w:hAnsi="Times New Roman" w:cs="Times New Roman"/>
          <w:b/>
          <w:sz w:val="24"/>
          <w:szCs w:val="24"/>
        </w:rPr>
      </w:pPr>
    </w:p>
    <w:p w14:paraId="68732397" w14:textId="50D3665C" w:rsidR="00EC5DE2" w:rsidRPr="00B37A02" w:rsidRDefault="00BC5BDF" w:rsidP="00C97F66">
      <w:pPr>
        <w:widowControl w:val="0"/>
        <w:spacing w:after="0" w:line="240" w:lineRule="auto"/>
        <w:jc w:val="both"/>
        <w:rPr>
          <w:rFonts w:ascii="Times New Roman" w:eastAsia="Arial" w:hAnsi="Times New Roman" w:cs="Times New Roman"/>
          <w:sz w:val="24"/>
          <w:szCs w:val="24"/>
          <w:u w:color="000000"/>
          <w:bdr w:val="nil"/>
        </w:rPr>
      </w:pPr>
      <w:r w:rsidRPr="00B37A02">
        <w:rPr>
          <w:rFonts w:ascii="Times New Roman" w:hAnsi="Times New Roman" w:cs="Times New Roman"/>
          <w:sz w:val="24"/>
          <w:u w:color="000000"/>
          <w:bdr w:val="nil"/>
        </w:rPr>
        <w:t>Šajā ziņojumā ir sniegts pārskats par plašo apspriešanās procesu, kas notika laika posmā no 2020. gada jūlija līdz novembrim. Apspriedes mērķis bija apkopot un apzināt ieinteresēto pušu viedokļus un prioritātes par galvenajiem elementiem Komisijas priekšlikumā Padomes Ieteikumam, ar ko izveido Eiropas Garantiju bērniem. Šā ziņojuma mērķis ir sniegt pārskatu par apspriešanās darbībām un to rezultātiem, kā arī informēt ieinteresētās puses par to, kā viņu ieguldījums tika ņemts vērā priekšlikuma sagatavošanā. Ieinteresēto pušu saraksts, ar kurām notika apspriedes, ir sniegts ziņojuma beigās.</w:t>
      </w:r>
    </w:p>
    <w:p w14:paraId="334C3651" w14:textId="17E933C1" w:rsidR="00BC5BDF" w:rsidRPr="00B37A02" w:rsidRDefault="00BC5BDF" w:rsidP="00C97F66">
      <w:pPr>
        <w:widowControl w:val="0"/>
        <w:spacing w:after="0" w:line="240" w:lineRule="auto"/>
        <w:jc w:val="both"/>
        <w:rPr>
          <w:rFonts w:ascii="Times New Roman" w:eastAsia="Arial" w:hAnsi="Times New Roman" w:cs="Times New Roman"/>
          <w:sz w:val="24"/>
          <w:szCs w:val="24"/>
          <w:u w:color="000000"/>
          <w:bdr w:val="nil"/>
          <w:lang w:eastAsia="en-GB"/>
        </w:rPr>
      </w:pPr>
    </w:p>
    <w:p w14:paraId="0DCC9C04" w14:textId="462B139D" w:rsidR="00BC5BDF" w:rsidRPr="00B37A02" w:rsidRDefault="00BC5BDF" w:rsidP="00C97F66">
      <w:pPr>
        <w:pStyle w:val="Body"/>
        <w:widowControl w:val="0"/>
        <w:spacing w:after="0" w:line="240" w:lineRule="auto"/>
        <w:rPr>
          <w:rFonts w:ascii="Times New Roman" w:hAnsi="Times New Roman" w:cs="Times New Roman"/>
          <w:b/>
          <w:sz w:val="24"/>
          <w:szCs w:val="24"/>
        </w:rPr>
      </w:pPr>
      <w:bookmarkStart w:id="487" w:name="_Toc63850183"/>
      <w:bookmarkStart w:id="488" w:name="_Toc63850326"/>
      <w:r w:rsidRPr="00B37A02">
        <w:rPr>
          <w:rFonts w:ascii="Times New Roman" w:hAnsi="Times New Roman" w:cs="Times New Roman"/>
          <w:b/>
          <w:sz w:val="24"/>
        </w:rPr>
        <w:t>IEINTERESĒTĀS PUSES, KAS PIEDALĪJĀS APSPRIEDĒS</w:t>
      </w:r>
      <w:bookmarkEnd w:id="487"/>
      <w:bookmarkEnd w:id="488"/>
    </w:p>
    <w:p w14:paraId="6CF381AF" w14:textId="77777777" w:rsidR="007878F6" w:rsidRPr="00B37A02" w:rsidRDefault="007878F6" w:rsidP="00C97F66">
      <w:pPr>
        <w:pStyle w:val="Body"/>
        <w:widowControl w:val="0"/>
        <w:spacing w:after="0" w:line="240" w:lineRule="auto"/>
        <w:rPr>
          <w:rFonts w:ascii="Times New Roman" w:hAnsi="Times New Roman" w:cs="Times New Roman"/>
          <w:b/>
          <w:sz w:val="24"/>
          <w:szCs w:val="24"/>
        </w:rPr>
      </w:pPr>
      <w:bookmarkStart w:id="489" w:name="_Toc63850184"/>
      <w:bookmarkStart w:id="490" w:name="_Toc63850327"/>
    </w:p>
    <w:p w14:paraId="5B946E30" w14:textId="12B9620F" w:rsidR="00EC5DE2" w:rsidRPr="00B37A02" w:rsidRDefault="00BC5BDF" w:rsidP="00C97F66">
      <w:pPr>
        <w:pStyle w:val="Body"/>
        <w:widowControl w:val="0"/>
        <w:spacing w:after="0" w:line="240" w:lineRule="auto"/>
        <w:rPr>
          <w:rFonts w:ascii="Times New Roman" w:hAnsi="Times New Roman" w:cs="Times New Roman"/>
          <w:b/>
          <w:sz w:val="24"/>
          <w:szCs w:val="24"/>
        </w:rPr>
      </w:pPr>
      <w:r w:rsidRPr="00B37A02">
        <w:rPr>
          <w:rFonts w:ascii="Times New Roman" w:hAnsi="Times New Roman" w:cs="Times New Roman"/>
          <w:b/>
          <w:sz w:val="24"/>
        </w:rPr>
        <w:t>Reģionu komiteja</w:t>
      </w:r>
      <w:bookmarkEnd w:id="489"/>
      <w:bookmarkEnd w:id="490"/>
    </w:p>
    <w:p w14:paraId="58AA205B" w14:textId="77777777" w:rsidR="007878F6" w:rsidRPr="00B37A02" w:rsidRDefault="007878F6" w:rsidP="00C97F66">
      <w:pPr>
        <w:widowControl w:val="0"/>
        <w:spacing w:after="0" w:line="240" w:lineRule="auto"/>
        <w:jc w:val="both"/>
        <w:rPr>
          <w:rFonts w:ascii="Times New Roman" w:eastAsia="Times New Roman" w:hAnsi="Times New Roman" w:cs="Times New Roman"/>
          <w:sz w:val="24"/>
          <w:szCs w:val="24"/>
          <w:lang w:eastAsia="en-GB"/>
        </w:rPr>
      </w:pPr>
    </w:p>
    <w:p w14:paraId="542DD017" w14:textId="54C3052B" w:rsidR="00EC5DE2" w:rsidRPr="00B37A02" w:rsidRDefault="00BC5BDF" w:rsidP="00C97F66">
      <w:pPr>
        <w:widowControl w:val="0"/>
        <w:spacing w:after="0" w:line="240" w:lineRule="auto"/>
        <w:jc w:val="both"/>
        <w:rPr>
          <w:rFonts w:ascii="Times New Roman" w:eastAsia="Times New Roman" w:hAnsi="Times New Roman" w:cs="Times New Roman"/>
          <w:sz w:val="24"/>
          <w:szCs w:val="24"/>
        </w:rPr>
      </w:pPr>
      <w:r w:rsidRPr="00B37A02">
        <w:rPr>
          <w:rFonts w:ascii="Times New Roman" w:hAnsi="Times New Roman" w:cs="Times New Roman"/>
          <w:sz w:val="24"/>
        </w:rPr>
        <w:t>Īpašā sēde ar Sociālās politikas, izglītības, nodarbinātības, pētniecības un kultūras komisijas (</w:t>
      </w:r>
      <w:r w:rsidRPr="00B37A02">
        <w:rPr>
          <w:rFonts w:ascii="Times New Roman" w:hAnsi="Times New Roman" w:cs="Times New Roman"/>
          <w:i/>
          <w:iCs/>
          <w:sz w:val="24"/>
        </w:rPr>
        <w:t>SEDEC</w:t>
      </w:r>
      <w:r w:rsidRPr="00B37A02">
        <w:rPr>
          <w:rFonts w:ascii="Times New Roman" w:hAnsi="Times New Roman" w:cs="Times New Roman"/>
          <w:sz w:val="24"/>
        </w:rPr>
        <w:t xml:space="preserve"> komisija) Reģionu komitejas piedalīšanos notika 2020. gada 25. novembrī. Deputāti atzinīgi novērtēja Eiropas Garantijas bērniem koncepciju, atbalstīja paredzēto darbības jomu un uzsvēra Eiropas Sociālā fonda Plus (ESF+) nozīmi priekšlikuma atbalstīšanā. Viņi lūdza stiprināt reģionu integrāciju un līdzdalību Eiropas Garantijas bērniem izstrādē, pārvaldībā un īstenošanā un uzsvēra citu ES iniciatīvu nozīmi, piemēram, priekšlikumu direktīvai par minimālo algu, ko var apvienot ar Eiropas Garantiju bērniem, lai mazinātu bērnu nabadzību.</w:t>
      </w:r>
    </w:p>
    <w:p w14:paraId="7ABF85D5" w14:textId="77777777" w:rsidR="007878F6" w:rsidRPr="00B37A02" w:rsidRDefault="007878F6" w:rsidP="00C97F66">
      <w:pPr>
        <w:pStyle w:val="Body"/>
        <w:widowControl w:val="0"/>
        <w:spacing w:after="0" w:line="240" w:lineRule="auto"/>
        <w:rPr>
          <w:rFonts w:ascii="Times New Roman" w:hAnsi="Times New Roman" w:cs="Times New Roman"/>
          <w:b/>
          <w:sz w:val="24"/>
          <w:szCs w:val="24"/>
        </w:rPr>
      </w:pPr>
      <w:bookmarkStart w:id="491" w:name="_Toc63850185"/>
      <w:bookmarkStart w:id="492" w:name="_Toc63850328"/>
    </w:p>
    <w:p w14:paraId="3E808608" w14:textId="11A825D1" w:rsidR="00BC5BDF" w:rsidRPr="00B37A02" w:rsidRDefault="00BC5BDF" w:rsidP="00C97F66">
      <w:pPr>
        <w:pStyle w:val="Body"/>
        <w:widowControl w:val="0"/>
        <w:spacing w:after="0" w:line="240" w:lineRule="auto"/>
        <w:rPr>
          <w:rFonts w:ascii="Times New Roman" w:hAnsi="Times New Roman" w:cs="Times New Roman"/>
          <w:b/>
          <w:sz w:val="24"/>
          <w:szCs w:val="24"/>
        </w:rPr>
      </w:pPr>
      <w:r w:rsidRPr="00B37A02">
        <w:rPr>
          <w:rFonts w:ascii="Times New Roman" w:hAnsi="Times New Roman" w:cs="Times New Roman"/>
          <w:b/>
          <w:sz w:val="24"/>
        </w:rPr>
        <w:t>Eiropas Ekonomikas un sociālo lietu komiteja</w:t>
      </w:r>
      <w:bookmarkEnd w:id="491"/>
      <w:bookmarkEnd w:id="492"/>
    </w:p>
    <w:p w14:paraId="2714C439" w14:textId="77777777" w:rsidR="007878F6" w:rsidRPr="00B37A02" w:rsidRDefault="007878F6" w:rsidP="00C97F66">
      <w:pPr>
        <w:widowControl w:val="0"/>
        <w:spacing w:after="0" w:line="240" w:lineRule="auto"/>
        <w:jc w:val="both"/>
        <w:rPr>
          <w:rFonts w:ascii="Times New Roman" w:eastAsia="Times New Roman" w:hAnsi="Times New Roman" w:cs="Times New Roman"/>
          <w:sz w:val="24"/>
          <w:szCs w:val="24"/>
          <w:lang w:eastAsia="en-GB"/>
        </w:rPr>
      </w:pPr>
    </w:p>
    <w:p w14:paraId="63A2B6C6" w14:textId="207E4473" w:rsidR="00BC5BDF" w:rsidRPr="00B37A02" w:rsidRDefault="00BC5BDF" w:rsidP="00C97F66">
      <w:pPr>
        <w:widowControl w:val="0"/>
        <w:spacing w:after="0" w:line="240" w:lineRule="auto"/>
        <w:jc w:val="both"/>
        <w:rPr>
          <w:rFonts w:ascii="Times New Roman" w:eastAsia="Times New Roman" w:hAnsi="Times New Roman" w:cs="Times New Roman"/>
          <w:sz w:val="24"/>
          <w:szCs w:val="24"/>
        </w:rPr>
      </w:pPr>
      <w:r w:rsidRPr="00B37A02">
        <w:rPr>
          <w:rFonts w:ascii="Times New Roman" w:hAnsi="Times New Roman" w:cs="Times New Roman"/>
          <w:sz w:val="24"/>
        </w:rPr>
        <w:t>Īpašā sēde ar Eiropas Ekonomikas un sociālo lietu komitejas (turpmāk tekstā – EESK) notika 2020. gada 11. novembrī. Dalībnieki atzinīgi vērtēja iniciatīvu. EESK locekļi uzsvēra holistiskas stratēģijas nozīmi bērnu nabadzības apkarošanā un attiecībā uz finansējumu – nepieciešamību papildus piešķirt valsts līdzekļus, lai papildinātu tos, ko nodrošina Eiropas Savienība. Turklāt sēdē tika apspriesta Covid-19 pandēmijas ietekme, jo īpaši ietekme uz izglītību, veselības aprūpi un mājokļiem.</w:t>
      </w:r>
    </w:p>
    <w:p w14:paraId="5D14B7CD" w14:textId="77777777" w:rsidR="007878F6" w:rsidRPr="00B37A02" w:rsidRDefault="007878F6" w:rsidP="00C97F66">
      <w:pPr>
        <w:pStyle w:val="Body"/>
        <w:widowControl w:val="0"/>
        <w:spacing w:after="0" w:line="240" w:lineRule="auto"/>
        <w:rPr>
          <w:rFonts w:ascii="Times New Roman" w:hAnsi="Times New Roman" w:cs="Times New Roman"/>
          <w:b/>
          <w:sz w:val="24"/>
          <w:szCs w:val="24"/>
        </w:rPr>
      </w:pPr>
      <w:bookmarkStart w:id="493" w:name="_Toc63850186"/>
      <w:bookmarkStart w:id="494" w:name="_Toc63850329"/>
    </w:p>
    <w:p w14:paraId="744AA9E9" w14:textId="62B88D61" w:rsidR="00BC5BDF" w:rsidRPr="00B37A02" w:rsidRDefault="00BC5BDF" w:rsidP="00C97F66">
      <w:pPr>
        <w:pStyle w:val="Body"/>
        <w:widowControl w:val="0"/>
        <w:spacing w:after="0" w:line="240" w:lineRule="auto"/>
        <w:rPr>
          <w:rFonts w:ascii="Times New Roman" w:hAnsi="Times New Roman" w:cs="Times New Roman"/>
          <w:b/>
          <w:sz w:val="24"/>
          <w:szCs w:val="24"/>
        </w:rPr>
      </w:pPr>
      <w:r w:rsidRPr="00B37A02">
        <w:rPr>
          <w:rFonts w:ascii="Times New Roman" w:hAnsi="Times New Roman" w:cs="Times New Roman"/>
          <w:b/>
          <w:sz w:val="24"/>
        </w:rPr>
        <w:t>Sociālās aizsardzības komiteja</w:t>
      </w:r>
      <w:bookmarkEnd w:id="493"/>
      <w:bookmarkEnd w:id="494"/>
    </w:p>
    <w:p w14:paraId="5AEEE81F" w14:textId="77777777" w:rsidR="007878F6" w:rsidRPr="00B37A02" w:rsidRDefault="007878F6" w:rsidP="00C97F66">
      <w:pPr>
        <w:widowControl w:val="0"/>
        <w:spacing w:after="0" w:line="240" w:lineRule="auto"/>
        <w:jc w:val="both"/>
        <w:rPr>
          <w:rFonts w:ascii="Times New Roman" w:eastAsia="Times New Roman" w:hAnsi="Times New Roman" w:cs="Times New Roman"/>
          <w:sz w:val="24"/>
          <w:szCs w:val="24"/>
          <w:lang w:eastAsia="en-GB"/>
        </w:rPr>
      </w:pPr>
    </w:p>
    <w:p w14:paraId="589B0DF4" w14:textId="7EDC0D15" w:rsidR="00EC5DE2" w:rsidRPr="00B37A02" w:rsidRDefault="00BC5BDF" w:rsidP="00C97F66">
      <w:pPr>
        <w:widowControl w:val="0"/>
        <w:spacing w:after="0" w:line="240" w:lineRule="auto"/>
        <w:jc w:val="both"/>
        <w:rPr>
          <w:rFonts w:ascii="Times New Roman" w:eastAsia="Times New Roman" w:hAnsi="Times New Roman" w:cs="Times New Roman"/>
          <w:sz w:val="24"/>
          <w:szCs w:val="24"/>
        </w:rPr>
      </w:pPr>
      <w:r w:rsidRPr="00B37A02">
        <w:rPr>
          <w:rFonts w:ascii="Times New Roman" w:hAnsi="Times New Roman" w:cs="Times New Roman"/>
          <w:sz w:val="24"/>
        </w:rPr>
        <w:t>2020. gada jūnijā Komisija Sociālās aizsardzības komitejai</w:t>
      </w:r>
      <w:r w:rsidRPr="00B37A02">
        <w:rPr>
          <w:rFonts w:ascii="Times New Roman" w:eastAsia="Times New Roman" w:hAnsi="Times New Roman" w:cs="Times New Roman"/>
          <w:sz w:val="24"/>
          <w:szCs w:val="24"/>
          <w:vertAlign w:val="superscript"/>
          <w:lang w:eastAsia="en-GB"/>
        </w:rPr>
        <w:footnoteReference w:id="253"/>
      </w:r>
      <w:r w:rsidRPr="00B37A02">
        <w:rPr>
          <w:rFonts w:ascii="Times New Roman" w:hAnsi="Times New Roman" w:cs="Times New Roman"/>
          <w:sz w:val="24"/>
        </w:rPr>
        <w:t xml:space="preserve"> (turpmāk tekstā – SAK) izplatīja anketu, lūdzot apstiprināt dažus ar bērnu politiku saistītus datus un sniegt papildu informāciju par veiktajiem politikas pasākumiem. Kopumā uz anketu atbildēja 23 dalībvalstis. Atbildes saturēja informāciju par iniciatīvas pierādījumu bāzi un sniedza noderīgu valsts mēroga priekšstatu par dažādiem nelabvēlīgā situācijā nonākušiem bērniem, kā arī valstu centieniem risināt šo problēmu.</w:t>
      </w:r>
    </w:p>
    <w:p w14:paraId="334199A8" w14:textId="77777777" w:rsidR="007878F6" w:rsidRPr="00B37A02" w:rsidRDefault="007878F6" w:rsidP="00C97F66">
      <w:pPr>
        <w:widowControl w:val="0"/>
        <w:spacing w:after="0" w:line="240" w:lineRule="auto"/>
        <w:jc w:val="both"/>
        <w:rPr>
          <w:rFonts w:ascii="Times New Roman" w:eastAsia="Times New Roman" w:hAnsi="Times New Roman" w:cs="Times New Roman"/>
          <w:sz w:val="24"/>
          <w:szCs w:val="24"/>
          <w:lang w:eastAsia="en-GB"/>
        </w:rPr>
      </w:pPr>
    </w:p>
    <w:p w14:paraId="1AE07E96" w14:textId="5F35EFE9" w:rsidR="00BC5BDF" w:rsidRPr="00B37A02" w:rsidRDefault="00BC5BDF" w:rsidP="00E545FD">
      <w:pPr>
        <w:keepNext/>
        <w:keepLines/>
        <w:widowControl w:val="0"/>
        <w:spacing w:after="0" w:line="240" w:lineRule="auto"/>
        <w:jc w:val="both"/>
        <w:rPr>
          <w:rFonts w:ascii="Times New Roman" w:eastAsia="Times New Roman" w:hAnsi="Times New Roman" w:cs="Times New Roman"/>
          <w:sz w:val="24"/>
          <w:szCs w:val="24"/>
        </w:rPr>
      </w:pPr>
      <w:r w:rsidRPr="00B37A02">
        <w:rPr>
          <w:rFonts w:ascii="Times New Roman" w:hAnsi="Times New Roman" w:cs="Times New Roman"/>
          <w:sz w:val="24"/>
        </w:rPr>
        <w:lastRenderedPageBreak/>
        <w:t>Turklāt 2020. gada 20. novembrī SAK notika viedokļu apmaiņa par Komisijas sagatavošanās darbu saistībā ar Eiropas Garantiju bērniem. Delegāti analizēja savus valsts līmeņa izaicinājumus un iespējas saistībā ar bērnu nabadzību un atstumtību, īpašu uzmanību pievēršot bērniem, kam vajadzīga palīdzība, un viņu piekļuvi pakalpojumiem. Delegāti no 16 dalībvalstīm uzstājās un atzina, ka šajā jomā ir jāveic noteikti pasākumi. Priekšsēdētājs nobeigumā apstiprināja, ka SAK ir gatava piedalīties plānotā ieteikuma īstenošanā un uzraudzībā.</w:t>
      </w:r>
    </w:p>
    <w:p w14:paraId="70A9080F" w14:textId="77777777" w:rsidR="007878F6" w:rsidRPr="00B37A02" w:rsidRDefault="007878F6" w:rsidP="00C97F66">
      <w:pPr>
        <w:pStyle w:val="Body"/>
        <w:widowControl w:val="0"/>
        <w:spacing w:after="0" w:line="240" w:lineRule="auto"/>
        <w:rPr>
          <w:rFonts w:ascii="Times New Roman" w:hAnsi="Times New Roman" w:cs="Times New Roman"/>
          <w:b/>
          <w:sz w:val="24"/>
          <w:szCs w:val="24"/>
        </w:rPr>
      </w:pPr>
      <w:bookmarkStart w:id="495" w:name="_Toc63850187"/>
      <w:bookmarkStart w:id="496" w:name="_Toc63850330"/>
    </w:p>
    <w:p w14:paraId="31650727" w14:textId="76B09DF7" w:rsidR="00BC5BDF" w:rsidRPr="00B37A02" w:rsidRDefault="00BC5BDF" w:rsidP="00C97F66">
      <w:pPr>
        <w:pStyle w:val="Body"/>
        <w:widowControl w:val="0"/>
        <w:spacing w:after="0" w:line="240" w:lineRule="auto"/>
        <w:rPr>
          <w:rFonts w:ascii="Times New Roman" w:hAnsi="Times New Roman" w:cs="Times New Roman"/>
          <w:b/>
          <w:sz w:val="24"/>
          <w:szCs w:val="24"/>
        </w:rPr>
      </w:pPr>
      <w:r w:rsidRPr="00B37A02">
        <w:rPr>
          <w:rFonts w:ascii="Times New Roman" w:hAnsi="Times New Roman" w:cs="Times New Roman"/>
          <w:b/>
          <w:sz w:val="24"/>
        </w:rPr>
        <w:t>Eiropas sociālie partneri</w:t>
      </w:r>
      <w:bookmarkEnd w:id="495"/>
      <w:bookmarkEnd w:id="496"/>
    </w:p>
    <w:p w14:paraId="6A920472" w14:textId="77777777" w:rsidR="007878F6" w:rsidRPr="00B37A02" w:rsidRDefault="007878F6" w:rsidP="00C97F66">
      <w:pPr>
        <w:widowControl w:val="0"/>
        <w:autoSpaceDE w:val="0"/>
        <w:autoSpaceDN w:val="0"/>
        <w:spacing w:after="0" w:line="240" w:lineRule="auto"/>
        <w:jc w:val="both"/>
        <w:rPr>
          <w:rFonts w:ascii="Times New Roman" w:eastAsia="Times New Roman" w:hAnsi="Times New Roman" w:cs="Times New Roman"/>
          <w:color w:val="000000"/>
          <w:sz w:val="24"/>
          <w:szCs w:val="24"/>
          <w:lang w:eastAsia="en-GB"/>
        </w:rPr>
      </w:pPr>
    </w:p>
    <w:p w14:paraId="0BD021A9" w14:textId="1FA7270E" w:rsidR="00BC5BDF" w:rsidRPr="00B37A02" w:rsidRDefault="00BC5BDF" w:rsidP="00C97F66">
      <w:pPr>
        <w:widowControl w:val="0"/>
        <w:autoSpaceDE w:val="0"/>
        <w:autoSpaceDN w:val="0"/>
        <w:spacing w:after="0" w:line="240" w:lineRule="auto"/>
        <w:jc w:val="both"/>
        <w:rPr>
          <w:rFonts w:ascii="Times New Roman" w:eastAsia="Times New Roman" w:hAnsi="Times New Roman" w:cs="Times New Roman"/>
          <w:sz w:val="24"/>
          <w:szCs w:val="24"/>
        </w:rPr>
      </w:pPr>
      <w:r w:rsidRPr="00B37A02">
        <w:rPr>
          <w:rFonts w:ascii="Times New Roman" w:hAnsi="Times New Roman" w:cs="Times New Roman"/>
          <w:color w:val="000000"/>
          <w:sz w:val="24"/>
        </w:rPr>
        <w:t xml:space="preserve">Arodbiedrības un darba devēju organizācijas tika aicinātas piedalīties 16. oktobra sēdē, lai pārrunātu izklāstītos izaicinājumus, ar kuriem saskaras bērni, kam vajadzīga palīdzība, piekļuvē apzinātajiem pakalpojumiem, un viņu viedokli par plānoto iniciatīvu. </w:t>
      </w:r>
      <w:r w:rsidRPr="00B37A02">
        <w:rPr>
          <w:rFonts w:ascii="Times New Roman" w:hAnsi="Times New Roman" w:cs="Times New Roman"/>
          <w:sz w:val="24"/>
        </w:rPr>
        <w:t>Sociālie partneri atzinīgi novērtēja Komisijas priekšlikumu par Eiropas Garantiju bērniem un kopumā izvirzīja priekšplānā saikni starp bērnu nabadzību un vecāku nodarbinātības situāciju, jo viens no galvenajiem bērnu nabadzību veicinošajiem faktoriem ir nepietiekami ienākumi mājsaimniecībā. Sociālie partneri uzsvēra kvalitatīvu darba vietu veicināšanas nozīmi, kā arī citus pasākumus, kas uzlabo ģimeņu ar bērniem nodarbinātības situāciju.</w:t>
      </w:r>
    </w:p>
    <w:p w14:paraId="61F46221" w14:textId="77777777" w:rsidR="007878F6" w:rsidRPr="00B37A02" w:rsidRDefault="007878F6" w:rsidP="00C97F66">
      <w:pPr>
        <w:pStyle w:val="Body"/>
        <w:widowControl w:val="0"/>
        <w:spacing w:after="0" w:line="240" w:lineRule="auto"/>
        <w:rPr>
          <w:rFonts w:ascii="Times New Roman" w:hAnsi="Times New Roman" w:cs="Times New Roman"/>
          <w:b/>
          <w:sz w:val="24"/>
          <w:szCs w:val="24"/>
        </w:rPr>
      </w:pPr>
      <w:bookmarkStart w:id="497" w:name="_Toc63850188"/>
      <w:bookmarkStart w:id="498" w:name="_Toc63850331"/>
    </w:p>
    <w:p w14:paraId="4AA8169A" w14:textId="7EC18ABD" w:rsidR="00BC5BDF" w:rsidRPr="00B37A02" w:rsidRDefault="00BC5BDF" w:rsidP="00C97F66">
      <w:pPr>
        <w:pStyle w:val="Body"/>
        <w:widowControl w:val="0"/>
        <w:spacing w:after="0" w:line="240" w:lineRule="auto"/>
        <w:rPr>
          <w:rFonts w:ascii="Times New Roman" w:hAnsi="Times New Roman" w:cs="Times New Roman"/>
          <w:b/>
          <w:sz w:val="24"/>
          <w:szCs w:val="24"/>
        </w:rPr>
      </w:pPr>
      <w:r w:rsidRPr="00B37A02">
        <w:rPr>
          <w:rFonts w:ascii="Times New Roman" w:hAnsi="Times New Roman" w:cs="Times New Roman"/>
          <w:b/>
          <w:sz w:val="24"/>
        </w:rPr>
        <w:t>Pilsētas</w:t>
      </w:r>
      <w:bookmarkEnd w:id="497"/>
      <w:bookmarkEnd w:id="498"/>
    </w:p>
    <w:p w14:paraId="0A2DEE9A" w14:textId="77777777" w:rsidR="007878F6" w:rsidRPr="00B37A02" w:rsidRDefault="007878F6" w:rsidP="00C97F66">
      <w:pPr>
        <w:widowControl w:val="0"/>
        <w:spacing w:after="0" w:line="240" w:lineRule="auto"/>
        <w:jc w:val="both"/>
        <w:rPr>
          <w:rFonts w:ascii="Times New Roman" w:eastAsia="Times New Roman" w:hAnsi="Times New Roman" w:cs="Times New Roman"/>
          <w:sz w:val="24"/>
          <w:szCs w:val="20"/>
          <w:lang w:eastAsia="en-GB"/>
        </w:rPr>
      </w:pPr>
    </w:p>
    <w:p w14:paraId="2D77F35B" w14:textId="7765745C"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Laikā no 2020. gada jūlija līdz septembrim “Eurocities” veica apsekojumu, kurā piedalījās 30 pilsētas 18 dalībvalstīs, kartējot bērnu nabadzību un nosakot tendences, kā pilsētas to risina. Viens no galvenajiem secinājumiem ziņojumā liecina, ka 9 no 10 pilsētām bērnu nabadzības līmenis ir augstāks nekā vidēji attiecīgajā dalībvalstī. Turklāt apsekojuma rezultāti liecina, ka lielākajā daļā pilsētu ir izstrādāta stratēģija bērnu nabadzības samazināšanai. Aptuveni ceturtdaļā pilsētu, kas piedalījās apsekojumā, šādas stratēģijas nav un bērnu nabadzība tiek risināta plašāku nabadzības apkarošanas stratēģiju ietvaros. Lai gan daudzas pilsētas ir gatavas darīt vairāk bērnu labā, tās saskaras ar finansiāliem ierobežojumiem.</w:t>
      </w:r>
    </w:p>
    <w:p w14:paraId="4046A014" w14:textId="77777777" w:rsidR="007878F6" w:rsidRPr="00B37A02" w:rsidRDefault="007878F6" w:rsidP="00C97F66">
      <w:pPr>
        <w:pStyle w:val="Body"/>
        <w:widowControl w:val="0"/>
        <w:spacing w:after="0" w:line="240" w:lineRule="auto"/>
        <w:rPr>
          <w:rFonts w:ascii="Times New Roman" w:hAnsi="Times New Roman" w:cs="Times New Roman"/>
          <w:b/>
          <w:sz w:val="24"/>
          <w:szCs w:val="24"/>
        </w:rPr>
      </w:pPr>
      <w:bookmarkStart w:id="499" w:name="_Toc63850189"/>
      <w:bookmarkStart w:id="500" w:name="_Toc63850332"/>
    </w:p>
    <w:p w14:paraId="6DBFA2A1" w14:textId="1F27431E" w:rsidR="00BC5BDF" w:rsidRPr="00B37A02" w:rsidRDefault="00BC5BDF" w:rsidP="00C97F66">
      <w:pPr>
        <w:pStyle w:val="Body"/>
        <w:widowControl w:val="0"/>
        <w:spacing w:after="0" w:line="240" w:lineRule="auto"/>
        <w:rPr>
          <w:rFonts w:ascii="Times New Roman" w:hAnsi="Times New Roman" w:cs="Times New Roman"/>
          <w:b/>
          <w:sz w:val="24"/>
          <w:szCs w:val="24"/>
        </w:rPr>
      </w:pPr>
      <w:r w:rsidRPr="00B37A02">
        <w:rPr>
          <w:rFonts w:ascii="Times New Roman" w:hAnsi="Times New Roman" w:cs="Times New Roman"/>
          <w:b/>
          <w:sz w:val="24"/>
        </w:rPr>
        <w:t>Pilsoniskās sabiedrības organizācijas</w:t>
      </w:r>
      <w:bookmarkEnd w:id="499"/>
      <w:bookmarkEnd w:id="500"/>
    </w:p>
    <w:p w14:paraId="44999E1F" w14:textId="77777777" w:rsidR="007878F6" w:rsidRPr="00B37A02" w:rsidRDefault="007878F6" w:rsidP="00C97F66">
      <w:pPr>
        <w:widowControl w:val="0"/>
        <w:spacing w:after="0" w:line="240" w:lineRule="auto"/>
        <w:jc w:val="both"/>
        <w:rPr>
          <w:rFonts w:ascii="Times New Roman" w:eastAsia="Times New Roman" w:hAnsi="Times New Roman" w:cs="Times New Roman"/>
          <w:sz w:val="24"/>
          <w:szCs w:val="24"/>
          <w:lang w:eastAsia="en-GB"/>
        </w:rPr>
      </w:pPr>
    </w:p>
    <w:p w14:paraId="47A562CD" w14:textId="7077F25C" w:rsidR="00EC5DE2" w:rsidRPr="00B37A02" w:rsidRDefault="00BC5BDF" w:rsidP="00C97F66">
      <w:pPr>
        <w:widowControl w:val="0"/>
        <w:spacing w:after="0" w:line="240" w:lineRule="auto"/>
        <w:jc w:val="both"/>
        <w:rPr>
          <w:rFonts w:ascii="Times New Roman" w:eastAsia="Times New Roman" w:hAnsi="Times New Roman" w:cs="Times New Roman"/>
          <w:sz w:val="24"/>
          <w:szCs w:val="24"/>
        </w:rPr>
      </w:pPr>
      <w:r w:rsidRPr="00B37A02">
        <w:rPr>
          <w:rFonts w:ascii="Times New Roman" w:hAnsi="Times New Roman" w:cs="Times New Roman"/>
          <w:sz w:val="24"/>
        </w:rPr>
        <w:t>Notika vispusīga apspriede ar pilsoniskās sabiedrības organizācijām, izmantojot tiešsaistes anketu un stratēģisko dialogu.</w:t>
      </w:r>
      <w:r w:rsidRPr="00B37A02">
        <w:rPr>
          <w:rFonts w:ascii="Times New Roman" w:eastAsia="Times New Roman" w:hAnsi="Times New Roman" w:cs="Times New Roman"/>
          <w:sz w:val="24"/>
          <w:szCs w:val="24"/>
          <w:vertAlign w:val="superscript"/>
          <w:lang w:eastAsia="en-GB"/>
        </w:rPr>
        <w:footnoteReference w:id="254"/>
      </w:r>
    </w:p>
    <w:p w14:paraId="2F8EFEE1" w14:textId="77777777" w:rsidR="007878F6" w:rsidRPr="00B37A02" w:rsidRDefault="007878F6" w:rsidP="00C97F66">
      <w:pPr>
        <w:widowControl w:val="0"/>
        <w:spacing w:after="0" w:line="240" w:lineRule="auto"/>
        <w:jc w:val="both"/>
        <w:rPr>
          <w:rFonts w:ascii="Times New Roman" w:eastAsia="Times New Roman" w:hAnsi="Times New Roman" w:cs="Times New Roman"/>
          <w:sz w:val="24"/>
          <w:szCs w:val="24"/>
          <w:lang w:eastAsia="en-GB"/>
        </w:rPr>
      </w:pPr>
    </w:p>
    <w:p w14:paraId="79808327" w14:textId="5453D7EA" w:rsidR="00BC5BDF" w:rsidRPr="00B37A02" w:rsidRDefault="00BC5BDF" w:rsidP="00C97F66">
      <w:pPr>
        <w:widowControl w:val="0"/>
        <w:spacing w:after="0" w:line="240" w:lineRule="auto"/>
        <w:jc w:val="both"/>
        <w:rPr>
          <w:rFonts w:ascii="Times New Roman" w:eastAsia="Times New Roman" w:hAnsi="Times New Roman" w:cs="Times New Roman"/>
          <w:sz w:val="24"/>
          <w:szCs w:val="24"/>
        </w:rPr>
      </w:pPr>
      <w:r w:rsidRPr="00B37A02">
        <w:rPr>
          <w:rFonts w:ascii="Times New Roman" w:hAnsi="Times New Roman" w:cs="Times New Roman"/>
          <w:sz w:val="24"/>
        </w:rPr>
        <w:t>Mērķa anketa bija pieejama tiešsaistē no 2020. gada 20. oktobra līdz 10. novembrim.</w:t>
      </w:r>
      <w:r w:rsidRPr="00B37A02">
        <w:rPr>
          <w:rFonts w:ascii="Times New Roman" w:hAnsi="Times New Roman" w:cs="Times New Roman"/>
          <w:i/>
          <w:sz w:val="24"/>
        </w:rPr>
        <w:t xml:space="preserve"> </w:t>
      </w:r>
      <w:r w:rsidRPr="00B37A02">
        <w:rPr>
          <w:rFonts w:ascii="Times New Roman" w:hAnsi="Times New Roman" w:cs="Times New Roman"/>
          <w:sz w:val="24"/>
        </w:rPr>
        <w:t>Apsekojumā galvenā uzmanība tika pievērsta to šķēršļu apzināšanai, kas liedz bērniem piekļūt noteiktiem pakalpojumiem. Šā apsekojuma mērķis bija apkopot ekspertu viedokli par darbībām, ko varētu veikt ES līmenī, izmantojot Eiropas Garantiju bērniem, lai nodrošinātu, ka dalībvalstis veicina pakalpojumu pieejamību bērniem, kam vajadzīga palīdzība. Anketa tika nosūtīta pilsoniskās sabiedrības organizācijām, kas darbojas sociālās iekļaušanas jomā. Šajās ES galvenajās organizācijās ietilpst fondi un īpašu interešu organizācijas, kas atbalsta bērnus un ģimenes, pievēršoties nabadzībai, bērniem ar īpašām vajadzībām, migrantu izcelsmes bērniem un romu bērniem. Kopumā atbildes sniedza 34 respondenti, kas pārstāvēja pilsoniskās sabiedrības organizācijas. Turklāt Komisija saņēma četrus nostājas dokumentus.</w:t>
      </w:r>
    </w:p>
    <w:p w14:paraId="4EC3E16C" w14:textId="77777777" w:rsidR="007878F6" w:rsidRPr="00B37A02" w:rsidRDefault="007878F6" w:rsidP="00C97F66">
      <w:pPr>
        <w:widowControl w:val="0"/>
        <w:spacing w:after="0" w:line="240" w:lineRule="auto"/>
        <w:jc w:val="both"/>
        <w:rPr>
          <w:rFonts w:ascii="Times New Roman" w:eastAsia="Times New Roman" w:hAnsi="Times New Roman" w:cs="Times New Roman"/>
          <w:sz w:val="24"/>
          <w:szCs w:val="20"/>
          <w:lang w:eastAsia="en-GB"/>
        </w:rPr>
      </w:pPr>
    </w:p>
    <w:p w14:paraId="523464E1" w14:textId="1BD4D389" w:rsidR="00BC5BDF" w:rsidRPr="00B37A02" w:rsidRDefault="00BC5BDF" w:rsidP="00E545FD">
      <w:pPr>
        <w:keepNext/>
        <w:keepLines/>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lastRenderedPageBreak/>
        <w:t>Stratēģiskais dialogs notika 26. novembrī, piedaloties 60 ES līmeņa pilsoniskās sabiedrības organizācijām, kas nodarbojas ar sociālajiem jautājumiem, jo īpaši saistībā ar bērniem un ģimeni. Tikšanās laikā Komisija informēja dalībniekus par galvenajiem mērķtiecīgās apspriedes rezultātiem. “Alliance for Investing in Children”, Eiropas Sociālais tīkls un “Eurocities” atzinīgi novērtēja iniciatīvu Padomes ieteikuma priekšlikuma veidā un lūdza izstrādāt integrētu pieeju, lai nodrošinātu bērniem piekļuvi pakalpojumiem. Viņi uzstāja, ka dalībvalstīm katru gadu jāziņo Komisijai par ieteikuma īstenošanas gaitu un ka šis ziņojums ir jāņem vērā Eiropas pusgada procesā. Stratēģiskais dialogs arī ļāva ieinteresētajām pusēm uzsvērt turpmākos ierosinājumus iniciatīvai, piemēram, attiecībā uz uzlabotu bērnu līdzdalību tādas politikas izstrādē, kas vērsta uz bērniem.</w:t>
      </w:r>
    </w:p>
    <w:p w14:paraId="779AFC5A" w14:textId="77777777" w:rsidR="007878F6" w:rsidRPr="00B37A02" w:rsidRDefault="007878F6" w:rsidP="00C97F66">
      <w:pPr>
        <w:pStyle w:val="Body"/>
        <w:widowControl w:val="0"/>
        <w:spacing w:after="0" w:line="240" w:lineRule="auto"/>
        <w:rPr>
          <w:rFonts w:ascii="Times New Roman" w:hAnsi="Times New Roman" w:cs="Times New Roman"/>
          <w:b/>
          <w:sz w:val="24"/>
          <w:szCs w:val="24"/>
        </w:rPr>
      </w:pPr>
      <w:bookmarkStart w:id="501" w:name="_Toc63850190"/>
      <w:bookmarkStart w:id="502" w:name="_Toc63850333"/>
    </w:p>
    <w:p w14:paraId="3F0EF35D" w14:textId="6B780D16" w:rsidR="00BC5BDF" w:rsidRPr="00B37A02" w:rsidRDefault="00BC5BDF" w:rsidP="00C97F66">
      <w:pPr>
        <w:pStyle w:val="Body"/>
        <w:widowControl w:val="0"/>
        <w:spacing w:after="0" w:line="240" w:lineRule="auto"/>
        <w:rPr>
          <w:rFonts w:ascii="Times New Roman" w:hAnsi="Times New Roman" w:cs="Times New Roman"/>
          <w:b/>
          <w:sz w:val="24"/>
          <w:szCs w:val="24"/>
        </w:rPr>
      </w:pPr>
      <w:r w:rsidRPr="00B37A02">
        <w:rPr>
          <w:rFonts w:ascii="Times New Roman" w:hAnsi="Times New Roman" w:cs="Times New Roman"/>
          <w:b/>
          <w:sz w:val="24"/>
        </w:rPr>
        <w:t>Bērni</w:t>
      </w:r>
      <w:bookmarkEnd w:id="501"/>
      <w:bookmarkEnd w:id="502"/>
    </w:p>
    <w:p w14:paraId="373D9BFB" w14:textId="77777777" w:rsidR="007878F6" w:rsidRPr="00B37A02" w:rsidRDefault="007878F6" w:rsidP="00C97F66">
      <w:pPr>
        <w:widowControl w:val="0"/>
        <w:autoSpaceDE w:val="0"/>
        <w:autoSpaceDN w:val="0"/>
        <w:spacing w:after="0" w:line="240" w:lineRule="auto"/>
        <w:jc w:val="both"/>
        <w:rPr>
          <w:rFonts w:ascii="Times New Roman" w:eastAsia="Times New Roman" w:hAnsi="Times New Roman" w:cs="Times New Roman"/>
          <w:sz w:val="24"/>
          <w:szCs w:val="20"/>
          <w:lang w:eastAsia="en-GB"/>
        </w:rPr>
      </w:pPr>
    </w:p>
    <w:p w14:paraId="653C9780" w14:textId="0FCFF02D" w:rsidR="00EC5DE2" w:rsidRPr="00B37A02" w:rsidRDefault="00BC5BDF" w:rsidP="00C97F66">
      <w:pPr>
        <w:widowControl w:val="0"/>
        <w:autoSpaceDE w:val="0"/>
        <w:autoSpaceDN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Laikā no 2020. gada 25. septembra līdz 2. novembrim UNICEF, “Eurochild”, “Save the Children”, “World Vision” un “Child Fund Alliance” noturēja kopīgu apspriedi, kas bija vērsta uz bērniem (ES un ārpus tās), kopīgi apspriežot ES Bērnu tiesību stratēģiju 2021.–2024. gadam (tiks ieviesta turpmāk) un Eiropas Garantiju bērniem. Šo apspriedi veidoja divas daļas: 1) tiešsaistes apsekojums ar 51 jautājumu saistībā ar bērniem vecumā no 11 līdz 17 gadiem un 2) mērķgrupu intervijas (tiešsaistē un personīgi).</w:t>
      </w:r>
      <w:r w:rsidRPr="00B37A02">
        <w:rPr>
          <w:rFonts w:ascii="Times New Roman" w:eastAsia="Times New Roman" w:hAnsi="Times New Roman" w:cs="Times New Roman"/>
          <w:sz w:val="24"/>
          <w:szCs w:val="20"/>
          <w:vertAlign w:val="superscript"/>
          <w:lang w:eastAsia="en-GB"/>
        </w:rPr>
        <w:footnoteReference w:id="255"/>
      </w:r>
      <w:r w:rsidRPr="00B37A02">
        <w:rPr>
          <w:rFonts w:ascii="Times New Roman" w:hAnsi="Times New Roman" w:cs="Times New Roman"/>
          <w:sz w:val="24"/>
        </w:rPr>
        <w:t xml:space="preserve"> Kopumā tika aptaujāti vairāk nekā 10 000 bērnu, no kuriem aptuveni 82 % dzīvoja ES.</w:t>
      </w:r>
      <w:r w:rsidRPr="00B37A02">
        <w:rPr>
          <w:rFonts w:ascii="Times New Roman" w:eastAsia="Times New Roman" w:hAnsi="Times New Roman" w:cs="Times New Roman"/>
          <w:sz w:val="24"/>
          <w:szCs w:val="20"/>
          <w:vertAlign w:val="superscript"/>
          <w:lang w:eastAsia="en-GB"/>
        </w:rPr>
        <w:footnoteReference w:id="256"/>
      </w:r>
    </w:p>
    <w:p w14:paraId="77AA1F11" w14:textId="77777777" w:rsidR="007878F6" w:rsidRPr="00B37A02" w:rsidRDefault="007878F6" w:rsidP="00C97F66">
      <w:pPr>
        <w:widowControl w:val="0"/>
        <w:autoSpaceDE w:val="0"/>
        <w:autoSpaceDN w:val="0"/>
        <w:spacing w:after="0" w:line="240" w:lineRule="auto"/>
        <w:jc w:val="both"/>
        <w:rPr>
          <w:rFonts w:ascii="Times New Roman" w:eastAsia="Times New Roman" w:hAnsi="Times New Roman" w:cs="Times New Roman"/>
          <w:sz w:val="24"/>
          <w:szCs w:val="20"/>
          <w:lang w:eastAsia="en-GB"/>
        </w:rPr>
      </w:pPr>
    </w:p>
    <w:p w14:paraId="04CAFF25" w14:textId="5195B769" w:rsidR="00EC5DE2" w:rsidRPr="00B37A02" w:rsidRDefault="00BC5BDF" w:rsidP="00C97F66">
      <w:pPr>
        <w:widowControl w:val="0"/>
        <w:autoSpaceDE w:val="0"/>
        <w:autoSpaceDN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Daži no galvenajiem šīs apspriedes secinājumiem ir saistīti ar diskrimināciju un atstumtību, ar ko saskaras bērni, piemēram, saistībā ar piekļuvi pamatpakalpojumiem, neapmierinātām bērnu gaidām skolā, vardarbības situācijām bērnu dzīvē un bērnu viedokļa neievērošanu. Kopumā šīs problēmas īpaši skar visvairāk atstumtās bērnu grupas.</w:t>
      </w:r>
    </w:p>
    <w:p w14:paraId="6C9FB253" w14:textId="77777777" w:rsidR="007878F6" w:rsidRPr="00B37A02" w:rsidRDefault="007878F6" w:rsidP="00C97F66">
      <w:pPr>
        <w:pStyle w:val="Body"/>
        <w:widowControl w:val="0"/>
        <w:spacing w:after="0" w:line="240" w:lineRule="auto"/>
        <w:rPr>
          <w:rFonts w:ascii="Times New Roman" w:hAnsi="Times New Roman" w:cs="Times New Roman"/>
          <w:b/>
          <w:sz w:val="24"/>
          <w:szCs w:val="24"/>
        </w:rPr>
      </w:pPr>
    </w:p>
    <w:p w14:paraId="359B09D6" w14:textId="5476CCE8" w:rsidR="00EC5DE2" w:rsidRPr="00B37A02" w:rsidRDefault="00BC5BDF" w:rsidP="00C97F66">
      <w:pPr>
        <w:pStyle w:val="Body"/>
        <w:widowControl w:val="0"/>
        <w:spacing w:after="0" w:line="240" w:lineRule="auto"/>
        <w:rPr>
          <w:rFonts w:ascii="Times New Roman" w:hAnsi="Times New Roman" w:cs="Times New Roman"/>
          <w:b/>
          <w:sz w:val="24"/>
          <w:szCs w:val="24"/>
        </w:rPr>
      </w:pPr>
      <w:r w:rsidRPr="00B37A02">
        <w:rPr>
          <w:rFonts w:ascii="Times New Roman" w:hAnsi="Times New Roman" w:cs="Times New Roman"/>
          <w:b/>
          <w:sz w:val="24"/>
        </w:rPr>
        <w:t>Konsultācijas par rīcības plānu Eiropas sociālo tiesību pīlāra īstenošanai</w:t>
      </w:r>
    </w:p>
    <w:p w14:paraId="372C8DBC" w14:textId="77777777" w:rsidR="007878F6" w:rsidRPr="00B37A02" w:rsidRDefault="007878F6" w:rsidP="00C97F66">
      <w:pPr>
        <w:widowControl w:val="0"/>
        <w:spacing w:after="0" w:line="240" w:lineRule="auto"/>
        <w:jc w:val="both"/>
        <w:rPr>
          <w:rFonts w:ascii="Times New Roman" w:eastAsia="Times New Roman" w:hAnsi="Times New Roman" w:cs="Times New Roman"/>
          <w:sz w:val="24"/>
          <w:szCs w:val="20"/>
          <w:lang w:eastAsia="en-GB"/>
        </w:rPr>
      </w:pPr>
    </w:p>
    <w:p w14:paraId="6B8A87DF" w14:textId="45891662" w:rsidR="00EC5DE2"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2020. gada janvārī Komisija uzsāka plašu publisku diskusiju, kas skāra Eiropas sociālo tiesību pīlāra rīcības plānu, ar ko īsteno pīlāru. Komisija aicināja plašu ieinteresēto pušu loku līdz 2020. gada 30. novembrim izteikt viedokli par turpmākajām nepieciešamajām darbībām un apņemties īstenot Eiropas sociālo tiesību pīlāru.</w:t>
      </w:r>
    </w:p>
    <w:p w14:paraId="56D745CE" w14:textId="05FD9003" w:rsidR="00BC5BDF" w:rsidRPr="00B37A02" w:rsidRDefault="00BC5BDF" w:rsidP="00C97F66">
      <w:pPr>
        <w:widowControl w:val="0"/>
        <w:spacing w:after="0" w:line="240" w:lineRule="auto"/>
        <w:jc w:val="both"/>
        <w:rPr>
          <w:rFonts w:ascii="Times New Roman" w:eastAsia="Arial" w:hAnsi="Times New Roman" w:cs="Times New Roman"/>
          <w:sz w:val="24"/>
        </w:rPr>
      </w:pPr>
      <w:r w:rsidRPr="00B37A02">
        <w:rPr>
          <w:rFonts w:ascii="Times New Roman" w:hAnsi="Times New Roman" w:cs="Times New Roman"/>
          <w:sz w:val="24"/>
        </w:rPr>
        <w:t>Tā kā Eiropas Garantija bērniem ir ļoti svarīga pīlāra 11. principa (“Bērnu aprūpe un atbalsts bērniem”) īstenošanai, šī apspriede sniedza arī attiecīgu atgriezenisko saiti priekšlikuma izstrādei.</w:t>
      </w:r>
    </w:p>
    <w:p w14:paraId="79331069" w14:textId="77777777" w:rsidR="007878F6" w:rsidRPr="00B37A02" w:rsidRDefault="007878F6" w:rsidP="00C97F66">
      <w:pPr>
        <w:widowControl w:val="0"/>
        <w:spacing w:after="0" w:line="240" w:lineRule="auto"/>
        <w:jc w:val="both"/>
        <w:rPr>
          <w:rFonts w:ascii="Times New Roman" w:eastAsia="Times New Roman" w:hAnsi="Times New Roman" w:cs="Times New Roman"/>
          <w:sz w:val="24"/>
          <w:szCs w:val="20"/>
          <w:lang w:eastAsia="en-GB"/>
        </w:rPr>
      </w:pPr>
    </w:p>
    <w:p w14:paraId="1B9DD01F" w14:textId="434640DC"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 xml:space="preserve">Eiropas Parlaments, vairākas dalībvalstis, reģionālās un vietējās valdības un pilsoniskās sabiedrības organizācijas stingri atbalsta Komisijas nodomu ierosināt Eiropas Garantiju bērniem. Vairums pilsoniskās sabiedrības organizāciju sagaida, ka turpmākais ieteikums būs </w:t>
      </w:r>
      <w:r w:rsidRPr="00B37A02">
        <w:rPr>
          <w:rFonts w:ascii="Times New Roman" w:hAnsi="Times New Roman" w:cs="Times New Roman"/>
          <w:sz w:val="24"/>
        </w:rPr>
        <w:lastRenderedPageBreak/>
        <w:t xml:space="preserve">balstīts uz trīs pīlāriem, kas noteikti Komisijas 2013. gada Ieteikumā par ieguldījumu bērnos. Tās lūdza izstrādāt daudzgadu valsts un reģionālā līmeņa stratēģijas, tostarp mērķus, rādītājus, plānoto budžetu un uzraudzības mehānismu. Grieķijā bērni jāuzskata par neatkarīgiem sociālo tiesību subjektiem, jo īpaši attiecībā uz cenas ziņā pieņemamu un pieejamu izglītību un aprūpi (tostarp </w:t>
      </w:r>
      <w:r w:rsidRPr="00B37A02">
        <w:rPr>
          <w:rFonts w:ascii="Times New Roman" w:hAnsi="Times New Roman" w:cs="Times New Roman"/>
          <w:i/>
          <w:iCs/>
          <w:sz w:val="24"/>
        </w:rPr>
        <w:t>ECEC</w:t>
      </w:r>
      <w:r w:rsidRPr="00B37A02">
        <w:rPr>
          <w:rFonts w:ascii="Times New Roman" w:hAnsi="Times New Roman" w:cs="Times New Roman"/>
          <w:sz w:val="24"/>
        </w:rPr>
        <w:t>). Ieguldījumi bērnos ir visefektīvākie ilgtermiņa ieguldījumi. Igaunija un Itālija saskatīja nepieciešamību izstrādāt integrētu pieeju bērniem ar sarežģītām problēmām un aicināja izstrādāt jaunu stratēģiju par bērnu tiesībām, par prioritāti nosakot pret bērniem vērstās vardarbības izbeigšanu un drošas vides garantēšanu bērniem.</w:t>
      </w:r>
    </w:p>
    <w:p w14:paraId="019403F4" w14:textId="77777777" w:rsidR="007878F6" w:rsidRPr="00B37A02" w:rsidRDefault="007878F6" w:rsidP="00C97F66">
      <w:pPr>
        <w:pStyle w:val="Body"/>
        <w:widowControl w:val="0"/>
        <w:spacing w:after="0" w:line="240" w:lineRule="auto"/>
        <w:rPr>
          <w:rFonts w:ascii="Times New Roman" w:hAnsi="Times New Roman" w:cs="Times New Roman"/>
          <w:b/>
          <w:sz w:val="24"/>
          <w:szCs w:val="24"/>
        </w:rPr>
      </w:pPr>
      <w:bookmarkStart w:id="503" w:name="_Toc63850192"/>
      <w:bookmarkStart w:id="504" w:name="_Toc63850335"/>
    </w:p>
    <w:p w14:paraId="1045F867" w14:textId="370979D7" w:rsidR="00BC5BDF" w:rsidRPr="00B37A02" w:rsidRDefault="00BC5BDF" w:rsidP="00C97F66">
      <w:pPr>
        <w:pStyle w:val="Body"/>
        <w:widowControl w:val="0"/>
        <w:spacing w:after="0" w:line="240" w:lineRule="auto"/>
        <w:rPr>
          <w:rFonts w:ascii="Times New Roman" w:hAnsi="Times New Roman" w:cs="Times New Roman"/>
          <w:b/>
          <w:sz w:val="24"/>
          <w:szCs w:val="24"/>
        </w:rPr>
      </w:pPr>
      <w:r w:rsidRPr="00B37A02">
        <w:rPr>
          <w:rFonts w:ascii="Times New Roman" w:hAnsi="Times New Roman" w:cs="Times New Roman"/>
          <w:b/>
          <w:sz w:val="24"/>
        </w:rPr>
        <w:t>Apspriede par Eiropas Garantijas bērniem ceļvedi</w:t>
      </w:r>
      <w:bookmarkEnd w:id="503"/>
      <w:bookmarkEnd w:id="504"/>
    </w:p>
    <w:p w14:paraId="09BC1F43" w14:textId="77777777" w:rsidR="007878F6" w:rsidRPr="00B37A02" w:rsidRDefault="007878F6" w:rsidP="00C97F66">
      <w:pPr>
        <w:widowControl w:val="0"/>
        <w:spacing w:after="0" w:line="240" w:lineRule="auto"/>
        <w:jc w:val="both"/>
        <w:rPr>
          <w:rFonts w:ascii="Times New Roman" w:eastAsia="Times New Roman" w:hAnsi="Times New Roman" w:cs="Times New Roman"/>
          <w:sz w:val="24"/>
          <w:lang w:eastAsia="en-GB"/>
        </w:rPr>
      </w:pPr>
    </w:p>
    <w:p w14:paraId="6757314D" w14:textId="266848C3"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Apspriedē, kas tika uzsākta saistībā ar Eiropas Garantijas bērniem ceļvedi, no 2020. gada 19. augusta līdz 7. oktobrim varēja iesniegt tiešsaistes komentārus. Apspriedes gaitā Komisija saņēma 83 atbildes, tostarp no astoņām valsts iestādēm, trīs akadēmiskām iestādēm un vienas uzņēmējdarbības organizācijas, 31 valsts iestāžu pārstāvja (valsts, reģionālā vai vietējā līmenī) un akadēmiskās pētniecības grupas pārstāvja. Turklāt Starptautiskā Migrācijas organizācija atbildēja uz ceļvedi un mērķorientēto tiešsaistes anketu. Apvienoto Nāciju Organizācijas augstā komisāra bēgļu jautājumos (</w:t>
      </w:r>
      <w:r w:rsidRPr="00B37A02">
        <w:rPr>
          <w:rFonts w:ascii="Times New Roman" w:hAnsi="Times New Roman" w:cs="Times New Roman"/>
          <w:i/>
          <w:iCs/>
          <w:sz w:val="24"/>
        </w:rPr>
        <w:t>UNHCR</w:t>
      </w:r>
      <w:r w:rsidRPr="00B37A02">
        <w:rPr>
          <w:rFonts w:ascii="Times New Roman" w:hAnsi="Times New Roman" w:cs="Times New Roman"/>
          <w:sz w:val="24"/>
        </w:rPr>
        <w:t xml:space="preserve">) birojs atbildēja uz mērķorientēto tiešsaistes anketu. Starptautiskā Darba organizācija (turpmāk tekstā – SDO) iesniedza </w:t>
      </w:r>
      <w:r w:rsidRPr="00B37A02">
        <w:rPr>
          <w:rFonts w:ascii="Times New Roman" w:hAnsi="Times New Roman" w:cs="Times New Roman"/>
          <w:i/>
          <w:iCs/>
          <w:sz w:val="24"/>
        </w:rPr>
        <w:t>ad hoc</w:t>
      </w:r>
      <w:r w:rsidRPr="00B37A02">
        <w:rPr>
          <w:rFonts w:ascii="Times New Roman" w:hAnsi="Times New Roman" w:cs="Times New Roman"/>
          <w:sz w:val="24"/>
        </w:rPr>
        <w:t xml:space="preserve"> komentāru, kurā tā atkārtoti apstiprināja apņemšanos stiprināt koordināciju un politikas saskaņotību visos aspektos, kas saistīti ar pienācīgu darbu, tostarp sociālo aizsardzību. SDO atzinīgi novērtēja Eiropas Garantijas bērniem koncepciju.</w:t>
      </w:r>
    </w:p>
    <w:p w14:paraId="78D0EDA7" w14:textId="77777777" w:rsidR="007878F6" w:rsidRPr="00B37A02" w:rsidRDefault="007878F6" w:rsidP="00C97F66">
      <w:pPr>
        <w:widowControl w:val="0"/>
        <w:spacing w:after="0" w:line="240" w:lineRule="auto"/>
        <w:jc w:val="both"/>
        <w:rPr>
          <w:rFonts w:ascii="Times New Roman" w:eastAsia="Times New Roman" w:hAnsi="Times New Roman" w:cs="Times New Roman"/>
          <w:sz w:val="24"/>
          <w:szCs w:val="20"/>
          <w:lang w:eastAsia="en-GB"/>
        </w:rPr>
      </w:pPr>
    </w:p>
    <w:p w14:paraId="170B456B" w14:textId="1107F1B9"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Arī plašāka sabiedrība varētu sniegt atsauksmes par Eiropas Garantijas bērniem (turpmāk tekstā – EGB) ceļvedi. Kopumā septiņas atbildes uz ceļveža anketu sniedza individuāli ES pilsoņi.</w:t>
      </w:r>
    </w:p>
    <w:p w14:paraId="2672E9AC" w14:textId="77777777" w:rsidR="00BC5BDF" w:rsidRPr="00B37A02" w:rsidRDefault="00BC5BDF" w:rsidP="00C97F66">
      <w:pPr>
        <w:widowControl w:val="0"/>
        <w:spacing w:after="0" w:line="240" w:lineRule="auto"/>
        <w:jc w:val="both"/>
        <w:rPr>
          <w:rFonts w:ascii="Times New Roman" w:eastAsia="Times New Roman" w:hAnsi="Times New Roman" w:cs="Times New Roman"/>
          <w:sz w:val="24"/>
          <w:szCs w:val="20"/>
          <w:lang w:eastAsia="en-GB"/>
        </w:rPr>
      </w:pPr>
    </w:p>
    <w:p w14:paraId="217B301F" w14:textId="0BAA66DE" w:rsidR="00BC5BDF" w:rsidRPr="00B37A02" w:rsidRDefault="00BC5BDF" w:rsidP="00C97F66">
      <w:pPr>
        <w:pStyle w:val="Body"/>
        <w:widowControl w:val="0"/>
        <w:spacing w:after="0" w:line="240" w:lineRule="auto"/>
        <w:rPr>
          <w:rFonts w:ascii="Times New Roman" w:hAnsi="Times New Roman" w:cs="Times New Roman"/>
          <w:b/>
          <w:sz w:val="24"/>
          <w:szCs w:val="24"/>
        </w:rPr>
      </w:pPr>
      <w:bookmarkStart w:id="505" w:name="_Toc63850193"/>
      <w:bookmarkStart w:id="506" w:name="_Toc63850336"/>
      <w:r w:rsidRPr="00B37A02">
        <w:rPr>
          <w:rFonts w:ascii="Times New Roman" w:hAnsi="Times New Roman" w:cs="Times New Roman"/>
          <w:b/>
          <w:sz w:val="24"/>
        </w:rPr>
        <w:t>REZULTĀTU KOPSAVILKUMS</w:t>
      </w:r>
      <w:bookmarkEnd w:id="505"/>
      <w:bookmarkEnd w:id="506"/>
    </w:p>
    <w:p w14:paraId="2338FB6A" w14:textId="77777777" w:rsidR="007878F6" w:rsidRPr="00B37A02" w:rsidRDefault="007878F6" w:rsidP="00C97F66">
      <w:pPr>
        <w:pStyle w:val="Body"/>
        <w:widowControl w:val="0"/>
        <w:spacing w:after="0" w:line="240" w:lineRule="auto"/>
        <w:rPr>
          <w:rFonts w:ascii="Times New Roman" w:hAnsi="Times New Roman" w:cs="Times New Roman"/>
          <w:b/>
          <w:sz w:val="24"/>
          <w:szCs w:val="24"/>
        </w:rPr>
      </w:pPr>
    </w:p>
    <w:p w14:paraId="0DF1D76D" w14:textId="5C11D4C8" w:rsidR="00BC5BDF" w:rsidRPr="00B37A02" w:rsidRDefault="00BC5BDF" w:rsidP="00C97F66">
      <w:pPr>
        <w:pStyle w:val="Body"/>
        <w:widowControl w:val="0"/>
        <w:spacing w:after="0" w:line="240" w:lineRule="auto"/>
        <w:rPr>
          <w:rFonts w:ascii="Times New Roman" w:hAnsi="Times New Roman" w:cs="Times New Roman"/>
          <w:b/>
          <w:sz w:val="24"/>
          <w:szCs w:val="24"/>
        </w:rPr>
      </w:pPr>
      <w:bookmarkStart w:id="507" w:name="_Toc63850194"/>
      <w:bookmarkStart w:id="508" w:name="_Toc63850337"/>
      <w:r w:rsidRPr="00B37A02">
        <w:rPr>
          <w:rFonts w:ascii="Times New Roman" w:hAnsi="Times New Roman" w:cs="Times New Roman"/>
          <w:b/>
          <w:sz w:val="24"/>
        </w:rPr>
        <w:t>Vispārēji viedokļi par iniciatīvu</w:t>
      </w:r>
      <w:bookmarkEnd w:id="507"/>
      <w:bookmarkEnd w:id="508"/>
    </w:p>
    <w:p w14:paraId="331CF1F5" w14:textId="77777777" w:rsidR="007878F6" w:rsidRPr="00B37A02" w:rsidRDefault="007878F6" w:rsidP="00C97F66">
      <w:pPr>
        <w:pStyle w:val="Body"/>
        <w:widowControl w:val="0"/>
        <w:spacing w:after="0" w:line="240" w:lineRule="auto"/>
        <w:rPr>
          <w:rFonts w:ascii="Times New Roman" w:hAnsi="Times New Roman" w:cs="Times New Roman"/>
          <w:b/>
          <w:sz w:val="24"/>
          <w:szCs w:val="24"/>
        </w:rPr>
      </w:pPr>
    </w:p>
    <w:p w14:paraId="11E232FD" w14:textId="77777777" w:rsidR="00BC5BDF" w:rsidRPr="00B37A02" w:rsidRDefault="00BC5BDF" w:rsidP="00C97F66">
      <w:pPr>
        <w:widowControl w:val="0"/>
        <w:tabs>
          <w:tab w:val="left" w:pos="5245"/>
        </w:tabs>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Kopumā Eiropas Garantija bērniem ir apsveicama iniciatīva, un ieinteresētās puses uzsvēra to, cik svarīgi ir visiem bērniem nodrošināt piekļuvi bezmaksas veselības aprūpei, bezmaksas izglītībai, cenas ziņā pieejamai agrīnajai pirmsskolas izglītībai un aprūpei (</w:t>
      </w:r>
      <w:r w:rsidRPr="00B37A02">
        <w:rPr>
          <w:rFonts w:ascii="Times New Roman" w:hAnsi="Times New Roman" w:cs="Times New Roman"/>
          <w:i/>
          <w:iCs/>
          <w:sz w:val="24"/>
        </w:rPr>
        <w:t>ECEC</w:t>
      </w:r>
      <w:r w:rsidRPr="00B37A02">
        <w:rPr>
          <w:rFonts w:ascii="Times New Roman" w:hAnsi="Times New Roman" w:cs="Times New Roman"/>
          <w:sz w:val="24"/>
        </w:rPr>
        <w:t>), pienācīgam mājoklim, atbilstošam uzturam, kā arī rotaļām un atpūtas pasākumiem. Ieinteresētās puses uzsvēra, cik svarīgi ir nodrošināt piekļuvi visiem bērniem, lai izvairītos no bērnu, kam vajadzīga palīdzība, stigmatizācijas un diskriminācijas. Turklāt ieinteresētās puses uzsvēra, ka iniciatīvai ir jārisina atstumtības un diskriminācijas problēma. Kopumā bērnu aizsardzībai pret diskrimināciju ir jākļūst par Eiropas Garantijas bērniem prioritāti.</w:t>
      </w:r>
    </w:p>
    <w:p w14:paraId="282D91E4" w14:textId="77777777" w:rsidR="007878F6" w:rsidRPr="00B37A02" w:rsidRDefault="007878F6" w:rsidP="00C97F66">
      <w:pPr>
        <w:widowControl w:val="0"/>
        <w:spacing w:after="0" w:line="240" w:lineRule="auto"/>
        <w:jc w:val="both"/>
        <w:rPr>
          <w:rFonts w:ascii="Times New Roman" w:eastAsia="Times New Roman" w:hAnsi="Times New Roman" w:cs="Times New Roman"/>
          <w:sz w:val="24"/>
          <w:szCs w:val="20"/>
          <w:lang w:eastAsia="en-GB"/>
        </w:rPr>
      </w:pPr>
    </w:p>
    <w:p w14:paraId="5E71CAF9" w14:textId="5D9B4186" w:rsidR="00EC5DE2"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Ieinteresētās puses kopumā atzinīgi novērtēja Komisijas pieeju, saskaņā ar kuru iniciatīva jāparedz kā priekšlikums Padomes ieteikumam. Tomēr darba devēju organizācijas apšaubīja Padomes ieteikuma efektivitāti saistībā ar šīs politikas iniciatīvas efektīvu ieviešanu praksē.</w:t>
      </w:r>
    </w:p>
    <w:p w14:paraId="50347201" w14:textId="77777777" w:rsidR="007878F6" w:rsidRPr="00B37A02" w:rsidRDefault="007878F6" w:rsidP="00C97F66">
      <w:pPr>
        <w:widowControl w:val="0"/>
        <w:spacing w:after="0" w:line="240" w:lineRule="auto"/>
        <w:jc w:val="both"/>
        <w:rPr>
          <w:rFonts w:ascii="Times New Roman" w:eastAsia="Times New Roman" w:hAnsi="Times New Roman" w:cs="Times New Roman"/>
          <w:sz w:val="24"/>
          <w:szCs w:val="20"/>
          <w:lang w:eastAsia="en-GB"/>
        </w:rPr>
      </w:pPr>
    </w:p>
    <w:p w14:paraId="56EE3708" w14:textId="774293FE" w:rsidR="00BC5BDF" w:rsidRPr="00B37A02" w:rsidRDefault="00BC5BDF" w:rsidP="00E545FD">
      <w:pPr>
        <w:keepNext/>
        <w:keepLines/>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lastRenderedPageBreak/>
        <w:t>Ieinteresētās puses uzsvēra, ka ir jāsamazina birokrātija pakalpojumu sniegšanā bērniem un jāvienkāršo procedūras valsts, reģionālā un vietējā līmenī. Tāpat daudzas ieinteresētās puses atsaucās uz Komisijas 2013. gada Ieteikumu “Ieguldījums bērnos: nabadzības apburtā loka pārraušana” un Eiropas sociālo tiesību pīlāru kā pamatu, uz kura jāveido Eiropas Garantija bērniem. Eiropas Garantija bērniem arī ir jāiekļauj integrētajā pieejā, kuras pamatā ir trīs iepriekš minētā Komisijas ieteikuma pīlāri.</w:t>
      </w:r>
      <w:r w:rsidRPr="00B37A02">
        <w:rPr>
          <w:rFonts w:ascii="Times New Roman" w:eastAsia="Times New Roman" w:hAnsi="Times New Roman" w:cs="Times New Roman"/>
          <w:sz w:val="24"/>
          <w:szCs w:val="20"/>
          <w:vertAlign w:val="superscript"/>
          <w:lang w:eastAsia="en-GB"/>
        </w:rPr>
        <w:footnoteReference w:id="257"/>
      </w:r>
    </w:p>
    <w:p w14:paraId="1F32FB63" w14:textId="77777777" w:rsidR="007878F6" w:rsidRPr="00B37A02" w:rsidRDefault="007878F6" w:rsidP="00C97F66">
      <w:pPr>
        <w:pStyle w:val="Body"/>
        <w:widowControl w:val="0"/>
        <w:spacing w:after="0" w:line="240" w:lineRule="auto"/>
        <w:rPr>
          <w:rFonts w:ascii="Times New Roman" w:hAnsi="Times New Roman" w:cs="Times New Roman"/>
          <w:b/>
          <w:sz w:val="24"/>
          <w:szCs w:val="24"/>
        </w:rPr>
      </w:pPr>
      <w:bookmarkStart w:id="509" w:name="_Toc63850195"/>
      <w:bookmarkStart w:id="510" w:name="_Toc63850338"/>
    </w:p>
    <w:p w14:paraId="0DBA5781" w14:textId="07067E96" w:rsidR="00EC5DE2" w:rsidRPr="00B37A02" w:rsidRDefault="00BC5BDF" w:rsidP="00C97F66">
      <w:pPr>
        <w:pStyle w:val="Body"/>
        <w:widowControl w:val="0"/>
        <w:spacing w:after="0" w:line="240" w:lineRule="auto"/>
        <w:rPr>
          <w:rFonts w:ascii="Times New Roman" w:hAnsi="Times New Roman" w:cs="Times New Roman"/>
          <w:b/>
          <w:sz w:val="24"/>
          <w:szCs w:val="24"/>
        </w:rPr>
      </w:pPr>
      <w:r w:rsidRPr="00B37A02">
        <w:rPr>
          <w:rFonts w:ascii="Times New Roman" w:hAnsi="Times New Roman" w:cs="Times New Roman"/>
          <w:b/>
          <w:sz w:val="24"/>
        </w:rPr>
        <w:t>Integrēta pieeja</w:t>
      </w:r>
      <w:bookmarkEnd w:id="509"/>
      <w:bookmarkEnd w:id="510"/>
    </w:p>
    <w:p w14:paraId="763725C4" w14:textId="77777777" w:rsidR="007878F6" w:rsidRPr="00B37A02" w:rsidRDefault="007878F6" w:rsidP="00C97F66">
      <w:pPr>
        <w:widowControl w:val="0"/>
        <w:spacing w:after="0" w:line="240" w:lineRule="auto"/>
        <w:jc w:val="both"/>
        <w:rPr>
          <w:rFonts w:ascii="Times New Roman" w:eastAsia="Times New Roman" w:hAnsi="Times New Roman" w:cs="Times New Roman"/>
          <w:sz w:val="24"/>
          <w:szCs w:val="20"/>
          <w:lang w:eastAsia="en-GB"/>
        </w:rPr>
      </w:pPr>
    </w:p>
    <w:p w14:paraId="315ED1A4" w14:textId="01E2D5F7"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 xml:space="preserve">Ieinteresētās puses uzsvēra, cik svarīgi ir izstrādāt un īstenot integrētas stratēģijas, lai cīnītos pret nabadzību un pārrautu no paaudzes paaudzē pārmantoto nabadzības apburto loku, koncentrējoties ne tikai uz bērnu vajadzībām, bet arī atbalstot visas ģimenes. Tādējādi tās lūdza izstrādāt integrētu pieeju Eiropas Garantijai bērniem kopā ar citām ES darbībām attiecībā uz dzimumu, rases un </w:t>
      </w:r>
      <w:r w:rsidRPr="00B37A02">
        <w:rPr>
          <w:rFonts w:ascii="Times New Roman" w:hAnsi="Times New Roman" w:cs="Times New Roman"/>
          <w:i/>
          <w:iCs/>
          <w:sz w:val="24"/>
        </w:rPr>
        <w:t>LGBTIQ</w:t>
      </w:r>
      <w:r w:rsidRPr="00B37A02">
        <w:rPr>
          <w:rFonts w:ascii="Times New Roman" w:hAnsi="Times New Roman" w:cs="Times New Roman"/>
          <w:sz w:val="24"/>
        </w:rPr>
        <w:t xml:space="preserve"> līdztiesības stratēģijām, personu ar invaliditāti iekļaušanu, palīdzību bezpajumtniekiem un minimālajiem ienākumiem. Ieinteresētās puses bija vienisprātis, ka bērnu apzināšanai ir nepieciešama divu paaudžu pieeja, nodrošinot pamatnostādnes, kas paredz atbalstu gan bērniem, gan viņu ģimenēm. Šai politikai ir jāgarantē darba un privātās dzīves līdzsvars, pienācīgi apmaksāta maternitātes, paternitātes un bērna kopšanas vai aprūpētāja atvaļinājuma izmantošana, atbalsta pakalpojumi, elastīgi darba noteikumi un ģimenei draudzīgas darba vietas. Ieinteresētās puses arī atzina, ka darba un privātās dzīves līdzsvara uzlabošana un sieviešu līdzdalība darba tirgū ir svarīgas tēmas, jo bērni gūst labumu no cīņas pret bērnu vecāku bezdarbu.</w:t>
      </w:r>
    </w:p>
    <w:p w14:paraId="6449A4B3" w14:textId="77777777" w:rsidR="007878F6" w:rsidRPr="00B37A02" w:rsidRDefault="007878F6" w:rsidP="00C97F66">
      <w:pPr>
        <w:pStyle w:val="Body"/>
        <w:widowControl w:val="0"/>
        <w:spacing w:after="0" w:line="240" w:lineRule="auto"/>
        <w:rPr>
          <w:rFonts w:ascii="Times New Roman" w:hAnsi="Times New Roman" w:cs="Times New Roman"/>
          <w:b/>
          <w:sz w:val="24"/>
          <w:szCs w:val="24"/>
        </w:rPr>
      </w:pPr>
      <w:bookmarkStart w:id="511" w:name="_Toc63850196"/>
      <w:bookmarkStart w:id="512" w:name="_Toc63850339"/>
    </w:p>
    <w:p w14:paraId="1D9D50FB" w14:textId="3CB0C385" w:rsidR="00BC5BDF" w:rsidRPr="00B37A02" w:rsidRDefault="00BC5BDF" w:rsidP="00C97F66">
      <w:pPr>
        <w:pStyle w:val="Body"/>
        <w:widowControl w:val="0"/>
        <w:spacing w:after="0" w:line="240" w:lineRule="auto"/>
        <w:rPr>
          <w:rFonts w:ascii="Times New Roman" w:hAnsi="Times New Roman" w:cs="Times New Roman"/>
          <w:b/>
          <w:sz w:val="24"/>
          <w:szCs w:val="24"/>
        </w:rPr>
      </w:pPr>
      <w:r w:rsidRPr="00B37A02">
        <w:rPr>
          <w:rFonts w:ascii="Times New Roman" w:hAnsi="Times New Roman" w:cs="Times New Roman"/>
          <w:b/>
          <w:sz w:val="24"/>
        </w:rPr>
        <w:t>Mērķgrupas</w:t>
      </w:r>
      <w:bookmarkEnd w:id="511"/>
      <w:bookmarkEnd w:id="512"/>
    </w:p>
    <w:p w14:paraId="5555A730" w14:textId="77777777" w:rsidR="007878F6" w:rsidRPr="00B37A02" w:rsidRDefault="007878F6" w:rsidP="00C97F66">
      <w:pPr>
        <w:widowControl w:val="0"/>
        <w:spacing w:after="0" w:line="240" w:lineRule="auto"/>
        <w:jc w:val="both"/>
        <w:rPr>
          <w:rFonts w:ascii="Times New Roman" w:eastAsia="Times New Roman" w:hAnsi="Times New Roman" w:cs="Times New Roman"/>
          <w:sz w:val="24"/>
          <w:szCs w:val="20"/>
          <w:lang w:eastAsia="en-GB"/>
        </w:rPr>
      </w:pPr>
    </w:p>
    <w:p w14:paraId="37385CD7" w14:textId="784049A1"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Ieinteresētās puses uzsvēra, cik svarīgi ir iekļaut īpašas bērnu grupas Eiropas Garantijas bērniem mērķgrupā, neaizmirstot nevienu bērnu. Šajā kontekstā tika minēti romu bērni, bērni ar neredzamām vai neinfekciozām slimībām, nepavadīti bērni, bērni bezpajumtnieki un gados jauni aprūpētāji. Papildus šīm konkrētajām grupām ieinteresētās puses ierosināja vērst iniciatīvu arī uz bērniem no daudzbērnu ģimenēm (t. i., ar trim un vairāk bērniem) un pagarināt iniciatīvas labumu guvēju maksimālo vecuma ierobežojumu līdz 21 gadam. Stratēģiskā dialoga laikā dažas ieinteresētās puses apmainījās ar viedokļiem par to, ka dalībvalstīm ir jāparedz lielāka rīcības brīvība mērķgrupu noteikšanā. Daži dalībnieki apgalvoja, ka valdības spēj labāk saprast, kuriem bērniem palīdzība un atbalsts ir vairāk nepieciešams. Savukārt citi apgalvoja, ka lielākas autonomijas paredzēšana dalībvalstīm radītu risku, ka neaizsargātākie bērni būs atstāti ārpus ar iniciatīvu saistītajiem politikas pasākumiem.</w:t>
      </w:r>
    </w:p>
    <w:p w14:paraId="42F97788" w14:textId="77777777" w:rsidR="007878F6" w:rsidRPr="00B37A02" w:rsidRDefault="007878F6" w:rsidP="00C97F66">
      <w:pPr>
        <w:pStyle w:val="Body"/>
        <w:widowControl w:val="0"/>
        <w:spacing w:after="0" w:line="240" w:lineRule="auto"/>
        <w:rPr>
          <w:rFonts w:ascii="Times New Roman" w:hAnsi="Times New Roman" w:cs="Times New Roman"/>
          <w:b/>
          <w:sz w:val="24"/>
          <w:szCs w:val="24"/>
        </w:rPr>
      </w:pPr>
      <w:bookmarkStart w:id="513" w:name="_Toc63850197"/>
      <w:bookmarkStart w:id="514" w:name="_Toc63850340"/>
    </w:p>
    <w:p w14:paraId="084E6BAA" w14:textId="51FBC676" w:rsidR="00BC5BDF" w:rsidRPr="00B37A02" w:rsidRDefault="00BC5BDF" w:rsidP="00C97F66">
      <w:pPr>
        <w:pStyle w:val="Body"/>
        <w:widowControl w:val="0"/>
        <w:spacing w:after="0" w:line="240" w:lineRule="auto"/>
        <w:rPr>
          <w:rFonts w:ascii="Times New Roman" w:hAnsi="Times New Roman" w:cs="Times New Roman"/>
          <w:b/>
          <w:sz w:val="24"/>
          <w:szCs w:val="24"/>
        </w:rPr>
      </w:pPr>
      <w:r w:rsidRPr="00B37A02">
        <w:rPr>
          <w:rFonts w:ascii="Times New Roman" w:hAnsi="Times New Roman" w:cs="Times New Roman"/>
          <w:b/>
          <w:sz w:val="24"/>
        </w:rPr>
        <w:t>Covid-19 pandēmijas ietekme</w:t>
      </w:r>
      <w:bookmarkEnd w:id="513"/>
      <w:bookmarkEnd w:id="514"/>
    </w:p>
    <w:p w14:paraId="6F67EEC8" w14:textId="77777777" w:rsidR="007878F6" w:rsidRPr="00B37A02" w:rsidRDefault="007878F6" w:rsidP="00C97F66">
      <w:pPr>
        <w:widowControl w:val="0"/>
        <w:spacing w:after="0" w:line="240" w:lineRule="auto"/>
        <w:jc w:val="both"/>
        <w:rPr>
          <w:rFonts w:ascii="Times New Roman" w:eastAsia="Times New Roman" w:hAnsi="Times New Roman" w:cs="Times New Roman"/>
          <w:sz w:val="24"/>
          <w:szCs w:val="20"/>
          <w:lang w:eastAsia="en-GB"/>
        </w:rPr>
      </w:pPr>
    </w:p>
    <w:p w14:paraId="003F6C58" w14:textId="2DD786D3" w:rsidR="00EC5DE2"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 xml:space="preserve">Aspekts, kas tiek uzskatīts par būtisku Eiropas Garantijas bērniem definēšanai, attiecas uz Covid-19 pandēmijas ietekmi. Lai gan bērniem ir vismazākā iespēja saslimt ar šo slimību, paredzams, ka viņi cietīs no ilgtermiņa sekām. Covid-19 pandēmija ietekmēja arī visus tos bērnus, kuri paļāvās uz skolas maltītēm, proti, daudziem no viņiem nav pieejama pienācīga maltīte dienā, jo skolas un dienas aprūpes iestādes ir slēgtas. Ieinteresētās puses lūdza paredzēt pasākumus, lai mazinātu pieaugošās nabadzības un nevienlīdzības problēmu. Attiecībā uz finansējumu ieinteresētās puses lūdza apsvērt Covid-19 pandēmijas radītās steidzamās problēmas, piemēram, </w:t>
      </w:r>
      <w:r w:rsidR="00347521">
        <w:rPr>
          <w:rFonts w:ascii="Times New Roman" w:hAnsi="Times New Roman" w:cs="Times New Roman"/>
          <w:sz w:val="24"/>
        </w:rPr>
        <w:t>attālinātajām mācībām</w:t>
      </w:r>
      <w:r w:rsidRPr="00B37A02">
        <w:rPr>
          <w:rFonts w:ascii="Times New Roman" w:hAnsi="Times New Roman" w:cs="Times New Roman"/>
          <w:sz w:val="24"/>
        </w:rPr>
        <w:t xml:space="preserve"> nepieciešamā IKT aprīkojuma trūkumu, un tās </w:t>
      </w:r>
      <w:r w:rsidRPr="00B37A02">
        <w:rPr>
          <w:rFonts w:ascii="Times New Roman" w:hAnsi="Times New Roman" w:cs="Times New Roman"/>
          <w:sz w:val="24"/>
        </w:rPr>
        <w:lastRenderedPageBreak/>
        <w:t>risināt. Tās lūdza izstrādāt bērnu nabadzības apkarošanas pasākumus, izmantojot finanšu instrumentus Covid-19 pandēmijas atveseļošanai un ES budžetu 2021.–2027. gadam.</w:t>
      </w:r>
    </w:p>
    <w:p w14:paraId="1ECA4C9B" w14:textId="77777777" w:rsidR="007878F6" w:rsidRPr="00B37A02" w:rsidRDefault="007878F6" w:rsidP="00C97F66">
      <w:pPr>
        <w:pStyle w:val="Body"/>
        <w:widowControl w:val="0"/>
        <w:spacing w:after="0" w:line="240" w:lineRule="auto"/>
        <w:rPr>
          <w:rFonts w:ascii="Times New Roman" w:hAnsi="Times New Roman" w:cs="Times New Roman"/>
          <w:b/>
          <w:sz w:val="24"/>
          <w:szCs w:val="24"/>
        </w:rPr>
      </w:pPr>
      <w:bookmarkStart w:id="515" w:name="_Toc63850198"/>
      <w:bookmarkStart w:id="516" w:name="_Toc63850341"/>
    </w:p>
    <w:p w14:paraId="64E22C8F" w14:textId="0140675F" w:rsidR="00BC5BDF" w:rsidRPr="00B37A02" w:rsidRDefault="00BC5BDF" w:rsidP="00C97F66">
      <w:pPr>
        <w:pStyle w:val="Body"/>
        <w:widowControl w:val="0"/>
        <w:spacing w:after="0" w:line="240" w:lineRule="auto"/>
        <w:rPr>
          <w:rFonts w:ascii="Times New Roman" w:hAnsi="Times New Roman" w:cs="Times New Roman"/>
          <w:b/>
          <w:sz w:val="24"/>
          <w:szCs w:val="24"/>
        </w:rPr>
      </w:pPr>
      <w:r w:rsidRPr="00B37A02">
        <w:rPr>
          <w:rFonts w:ascii="Times New Roman" w:hAnsi="Times New Roman" w:cs="Times New Roman"/>
          <w:b/>
          <w:sz w:val="24"/>
        </w:rPr>
        <w:t>Izaicinājumi, ar kuriem saskaras bērni, kam vajadzīga palīdzība</w:t>
      </w:r>
      <w:bookmarkEnd w:id="515"/>
      <w:bookmarkEnd w:id="516"/>
    </w:p>
    <w:p w14:paraId="59F07151" w14:textId="77777777" w:rsidR="00D27BEB" w:rsidRDefault="00D27BEB" w:rsidP="00C97F66">
      <w:pPr>
        <w:widowControl w:val="0"/>
        <w:spacing w:after="0" w:line="240" w:lineRule="auto"/>
        <w:jc w:val="both"/>
        <w:rPr>
          <w:rFonts w:ascii="Times New Roman" w:eastAsia="Times New Roman" w:hAnsi="Times New Roman" w:cs="Times New Roman"/>
          <w:noProof/>
          <w:sz w:val="24"/>
          <w:szCs w:val="20"/>
          <w:lang w:eastAsia="en-GB"/>
        </w:rPr>
      </w:pPr>
    </w:p>
    <w:p w14:paraId="06D66704" w14:textId="5F0B9217" w:rsidR="007878F6" w:rsidRPr="00B37A02" w:rsidRDefault="00D27BEB" w:rsidP="00C97F66">
      <w:pPr>
        <w:widowControl w:val="0"/>
        <w:spacing w:after="0" w:line="240" w:lineRule="auto"/>
        <w:jc w:val="both"/>
        <w:rPr>
          <w:rFonts w:ascii="Times New Roman" w:eastAsia="Times New Roman" w:hAnsi="Times New Roman" w:cs="Times New Roman"/>
          <w:sz w:val="24"/>
          <w:szCs w:val="20"/>
          <w:lang w:eastAsia="en-GB"/>
        </w:rPr>
      </w:pPr>
      <w:r>
        <w:rPr>
          <w:rFonts w:ascii="Times New Roman" w:eastAsia="Times New Roman" w:hAnsi="Times New Roman" w:cs="Times New Roman"/>
          <w:noProof/>
          <w:sz w:val="24"/>
          <w:szCs w:val="20"/>
          <w:lang w:eastAsia="en-GB"/>
        </w:rPr>
        <w:drawing>
          <wp:inline distT="0" distB="0" distL="0" distR="0" wp14:anchorId="17921F42" wp14:editId="53A68C22">
            <wp:extent cx="5881688" cy="2571750"/>
            <wp:effectExtent l="0" t="0" r="5080" b="0"/>
            <wp:docPr id="73278895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788950" name="Picture 1" descr="A screenshot of a computer&#10;&#10;Description automatically generated"/>
                    <pic:cNvPicPr/>
                  </pic:nvPicPr>
                  <pic:blipFill rotWithShape="1">
                    <a:blip r:embed="rId38">
                      <a:extLst>
                        <a:ext uri="{28A0092B-C50C-407E-A947-70E740481C1C}">
                          <a14:useLocalDpi xmlns:a14="http://schemas.microsoft.com/office/drawing/2010/main" val="0"/>
                        </a:ext>
                      </a:extLst>
                    </a:blip>
                    <a:srcRect r="18312" b="66488"/>
                    <a:stretch/>
                  </pic:blipFill>
                  <pic:spPr bwMode="auto">
                    <a:xfrm>
                      <a:off x="0" y="0"/>
                      <a:ext cx="5887913" cy="2574472"/>
                    </a:xfrm>
                    <a:prstGeom prst="rect">
                      <a:avLst/>
                    </a:prstGeom>
                    <a:ln>
                      <a:noFill/>
                    </a:ln>
                    <a:extLst>
                      <a:ext uri="{53640926-AAD7-44D8-BBD7-CCE9431645EC}">
                        <a14:shadowObscured xmlns:a14="http://schemas.microsoft.com/office/drawing/2010/main"/>
                      </a:ext>
                    </a:extLst>
                  </pic:spPr>
                </pic:pic>
              </a:graphicData>
            </a:graphic>
          </wp:inline>
        </w:drawing>
      </w:r>
    </w:p>
    <w:p w14:paraId="445690D6" w14:textId="51E9866A" w:rsidR="00EC5DE2"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Visā apspriešanās procesā bija iespējams novērot dažādu ieinteresēto pušu vispārēju vienprātību, ka piekļuve konkrētiem pakalpojumiem ir būtisks izaicinājums bērniem, kam vajadzīga palīdzība. Ieinteresētās puses piekrita arī tādu šķēršļu apzināšanai, kas kavē piekļuvi konkrētiem pakalpojumiem, kā noteikts mērķorientētajā tiešsaistes apspriedē.</w:t>
      </w:r>
    </w:p>
    <w:p w14:paraId="6ADCC98D" w14:textId="77777777" w:rsidR="007878F6" w:rsidRPr="00B37A02" w:rsidRDefault="007878F6" w:rsidP="00C97F66">
      <w:pPr>
        <w:widowControl w:val="0"/>
        <w:spacing w:after="0" w:line="240" w:lineRule="auto"/>
        <w:jc w:val="both"/>
        <w:rPr>
          <w:rFonts w:ascii="Times New Roman" w:eastAsia="Times New Roman" w:hAnsi="Times New Roman" w:cs="Times New Roman"/>
          <w:sz w:val="24"/>
          <w:szCs w:val="20"/>
          <w:lang w:eastAsia="en-GB"/>
        </w:rPr>
      </w:pPr>
    </w:p>
    <w:p w14:paraId="1308393C" w14:textId="678548E5"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Mērķorientētajā tiešsaistes apspriedē Komisija lūdza ieinteresētajām pusēm noskaidrot, cik grūti dažādām bērnu, kam vajadzīga palīdzība, apakšgrupām ir piekļūt dažādiem pakalpojumiem. Turpmāk redzamajos grafikos ir apkopotas atbildes – kopumā bērniem, kas dzīvo ekonomiski nestabilās ģimenēs, ir visgrūtāk piekļūt pakalpojumiem. Tajā pašā laikā pienācīgs mājoklis tiek uzskatīts par visgrūtāk pieejamo pakalpojumu visiem bērniem, kam vajadzīga palīdzība, neatkarīgi no tā, kādiem nelabvēlīgiem apstākļiem viņi ir pakļauti.</w:t>
      </w:r>
    </w:p>
    <w:p w14:paraId="7619C115" w14:textId="77777777" w:rsidR="007878F6" w:rsidRPr="00B37A02" w:rsidRDefault="007878F6" w:rsidP="00C97F66">
      <w:pPr>
        <w:widowControl w:val="0"/>
        <w:spacing w:after="0" w:line="240" w:lineRule="auto"/>
        <w:jc w:val="both"/>
        <w:rPr>
          <w:rFonts w:ascii="Times New Roman" w:hAnsi="Times New Roman" w:cs="Times New Roman"/>
          <w:sz w:val="24"/>
          <w:szCs w:val="24"/>
        </w:rPr>
      </w:pPr>
    </w:p>
    <w:p w14:paraId="3D8880DF" w14:textId="3045855B" w:rsidR="00BC5BDF" w:rsidRPr="00B37A02" w:rsidRDefault="00BC5BDF" w:rsidP="00C97F66">
      <w:pPr>
        <w:widowControl w:val="0"/>
        <w:spacing w:after="0" w:line="240" w:lineRule="auto"/>
        <w:jc w:val="both"/>
        <w:rPr>
          <w:rFonts w:ascii="Times New Roman" w:hAnsi="Times New Roman" w:cs="Times New Roman"/>
          <w:sz w:val="24"/>
          <w:szCs w:val="24"/>
        </w:rPr>
      </w:pPr>
      <w:r w:rsidRPr="00B37A02">
        <w:rPr>
          <w:rFonts w:ascii="Times New Roman" w:hAnsi="Times New Roman" w:cs="Times New Roman"/>
          <w:sz w:val="24"/>
        </w:rPr>
        <w:t xml:space="preserve">Mērķorientētajā tiešsaistes anketā Komisija lūdza ieinteresētajām pusēm norādīt, cik lielā mērā apzinātie šķēršļi kavē pakalpojumu pieejamību bērniem, kam vajadzīga palīdzība. Lielākā daļa ieinteresēto pušu atsaucās uz pakalpojumu pieņemamību cenas ziņā un pieejamību kā diviem galvenajiem šķēršļiem, lai piekļūtu anketā uzskaitītajiem pakalpojumiem. Kopumā 70 % aptaujāto uzskatīja, ka izmaksas ir galvenais šķērslis, lai piekļūtu pienācīgam mājoklim. Attiecībā uz citiem pakalpojumiem pieejamības cenas ziņā īpatsvars kā galvenais šķērslis svārstās no 39 % līdz 58 %. Pieejamība tika minēta kā šķērslis, jo īpaši attiecībā uz </w:t>
      </w:r>
      <w:r w:rsidRPr="00B37A02">
        <w:rPr>
          <w:rFonts w:ascii="Times New Roman" w:hAnsi="Times New Roman" w:cs="Times New Roman"/>
          <w:i/>
          <w:iCs/>
          <w:sz w:val="24"/>
        </w:rPr>
        <w:t>ECEC</w:t>
      </w:r>
      <w:r w:rsidRPr="00B37A02">
        <w:rPr>
          <w:rFonts w:ascii="Times New Roman" w:hAnsi="Times New Roman" w:cs="Times New Roman"/>
          <w:sz w:val="24"/>
        </w:rPr>
        <w:t xml:space="preserve"> pakalpojumiem (54 %). Tas liecina, ka vairumā dalībvalstu joprojām trūkst formālu bērnu aprūpes pakalpojumu. Kā norādījuši 50 % respondentu, pienācīgu mājokli ietekmē arī mājokļu nepietiekamā pieejamība. Ieinteresētās puses uzsvēra, ka pakalpojumu pieņemamība cenas ziņā un pieejamība ir jāapsver kopīgi, nevis atsevišķi. Tā kā pieņemamība cenas ziņā ir atkarīga no ienākumu līmeņa, tas galvenokārt skar bērnus maznodrošinātās ģimenēs, un viņiem jābūt prioritārai grupai, apsverot iejaukšanos.</w:t>
      </w:r>
    </w:p>
    <w:p w14:paraId="4A0504F6" w14:textId="77777777" w:rsidR="00C97F66" w:rsidRPr="00B37A02" w:rsidRDefault="00C97F66" w:rsidP="00C97F66">
      <w:pPr>
        <w:widowControl w:val="0"/>
        <w:spacing w:after="0" w:line="240" w:lineRule="auto"/>
        <w:jc w:val="both"/>
        <w:rPr>
          <w:rFonts w:ascii="Times New Roman" w:eastAsia="Times New Roman" w:hAnsi="Times New Roman" w:cs="Times New Roman"/>
          <w:sz w:val="24"/>
          <w:szCs w:val="20"/>
          <w:lang w:eastAsia="en-GB"/>
        </w:rPr>
      </w:pPr>
    </w:p>
    <w:p w14:paraId="1908CBDB" w14:textId="45B19DF1" w:rsidR="00EC5DE2" w:rsidRPr="00B37A02" w:rsidRDefault="00BC5BDF" w:rsidP="00D27BEB">
      <w:pPr>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 xml:space="preserve">Arī attiecībā uz citiem šķēršļiem diskriminācija tika minēta diezgan bieži, galvenokārt saistībā ar piekļuvi kvalitatīvai izglītībai (44 %), pienācīgu mājokli (34 %) un </w:t>
      </w:r>
      <w:r w:rsidRPr="00B37A02">
        <w:rPr>
          <w:rFonts w:ascii="Times New Roman" w:hAnsi="Times New Roman" w:cs="Times New Roman"/>
          <w:i/>
          <w:iCs/>
          <w:sz w:val="24"/>
        </w:rPr>
        <w:t>ECEC</w:t>
      </w:r>
      <w:r w:rsidRPr="00B37A02">
        <w:rPr>
          <w:rFonts w:ascii="Times New Roman" w:hAnsi="Times New Roman" w:cs="Times New Roman"/>
          <w:sz w:val="24"/>
        </w:rPr>
        <w:t xml:space="preserve"> (29 %). Kā trešais galvenais šķērslis piekļuvei pienācīgam uzturam (33 %) un veselības aprūpei (33 %) tika minēts informētības trūkums vai nepietiekama informācija. Turklāt 35 % atbilžu bija norādīts, ka </w:t>
      </w:r>
      <w:r w:rsidRPr="00B37A02">
        <w:rPr>
          <w:rFonts w:ascii="Times New Roman" w:hAnsi="Times New Roman" w:cs="Times New Roman"/>
          <w:sz w:val="24"/>
        </w:rPr>
        <w:lastRenderedPageBreak/>
        <w:t>izglītības pakalpojumi nav pielāgoti bērnu vajadzībām. Fiziskā piekļuve pakalpojumiem ir šķērslis dalībai rotaļās, atpūtā, sporta un kultūras pasākumos (31 %).</w:t>
      </w:r>
    </w:p>
    <w:p w14:paraId="714D5F04" w14:textId="27B9AC04"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Visas apspriedes laikā ieinteresētās puses konstatēja arī citus šķēršļus papildus tiem, kas uzskaitīti mērķorientētajā anketā. Ierobežots budžets un nepietiekami līdzekļi bieži vien ierobežo pakalpojumu pieejamību un dažkārt ietekmē to kvalitāti. Tajā pašā laikā transporta līdzekļu trūkums (īpaši lauku apvidos) un valodas atbalsta trūkums ietekmē bērnu piekļuvi nepieciešamajiem pakalpojumiem. Pirmajā gadījumā bērniem var nebūt iespējas sasniegt pakalpojumus, kas atrodas fiziski tālu no viņu dzīvesvietas. Pievēršoties valodas jautājumam, ieinteresētās puses ir konstatējušas problēmas galvenokārt skolās, kur migrantu izcelsmes bērniem ir grūti apmeklēt nodarbības, jo viņi atpaliek no mācībām. Tas pats attiecas uz nedzirdīgiem bērniem, kuriem rodas problēmas, jo viņiem netiek nodrošināts papildu valodas atbalsts (zīmju valoda).</w:t>
      </w:r>
    </w:p>
    <w:p w14:paraId="2A6EEAB9" w14:textId="77777777" w:rsidR="00C97F66" w:rsidRPr="00B37A02" w:rsidRDefault="00C97F66" w:rsidP="00C97F66">
      <w:pPr>
        <w:pStyle w:val="Body"/>
        <w:widowControl w:val="0"/>
        <w:spacing w:after="0" w:line="240" w:lineRule="auto"/>
        <w:rPr>
          <w:rFonts w:ascii="Times New Roman" w:hAnsi="Times New Roman" w:cs="Times New Roman"/>
          <w:b/>
          <w:sz w:val="24"/>
          <w:szCs w:val="24"/>
        </w:rPr>
      </w:pPr>
      <w:bookmarkStart w:id="517" w:name="_Toc63850199"/>
      <w:bookmarkStart w:id="518" w:name="_Toc63850342"/>
    </w:p>
    <w:p w14:paraId="404322F3" w14:textId="789CB2DF" w:rsidR="00BC5BDF" w:rsidRPr="00B37A02" w:rsidRDefault="00BC5BDF" w:rsidP="00C97F66">
      <w:pPr>
        <w:pStyle w:val="Body"/>
        <w:widowControl w:val="0"/>
        <w:spacing w:after="0" w:line="240" w:lineRule="auto"/>
        <w:rPr>
          <w:rFonts w:ascii="Times New Roman" w:hAnsi="Times New Roman" w:cs="Times New Roman"/>
          <w:b/>
          <w:sz w:val="24"/>
          <w:szCs w:val="24"/>
        </w:rPr>
      </w:pPr>
      <w:r w:rsidRPr="00B37A02">
        <w:rPr>
          <w:rFonts w:ascii="Times New Roman" w:hAnsi="Times New Roman" w:cs="Times New Roman"/>
          <w:b/>
          <w:sz w:val="24"/>
        </w:rPr>
        <w:t>Ieteicamās darbības, kas jāiekļauj Eiropas Garantijā bērniem</w:t>
      </w:r>
      <w:bookmarkEnd w:id="517"/>
      <w:bookmarkEnd w:id="518"/>
    </w:p>
    <w:p w14:paraId="2E871B6F" w14:textId="77777777" w:rsidR="00C97F66" w:rsidRPr="00B37A02" w:rsidRDefault="00C97F66" w:rsidP="00C97F66">
      <w:pPr>
        <w:pStyle w:val="Body"/>
        <w:widowControl w:val="0"/>
        <w:spacing w:after="0" w:line="240" w:lineRule="auto"/>
        <w:rPr>
          <w:rFonts w:ascii="Times New Roman" w:hAnsi="Times New Roman" w:cs="Times New Roman"/>
          <w:b/>
          <w:sz w:val="24"/>
          <w:szCs w:val="24"/>
        </w:rPr>
      </w:pPr>
    </w:p>
    <w:p w14:paraId="6AA09FEA" w14:textId="77777777"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Ieinteresētās puses lūdza atvēlēt tiešus ES finanšu resursus un valstu budžetus, lai stiprinātu valsts veselības aprūpes, izglītības un sociālās aprūpes pakalpojumus un struktūras, nodrošinot, ka bērniem neaizsargātās situācijās ir pieejama bezmaksas veselības aprūpe un kopienā balstīts garīgās veselības un psihosociālais atbalsts. Turklāt ir svarīgi, lai šie bērni bez ierobežojumiem varētu piekļūt Eiropas Garantijai bērniem visās ES dalībvalstīs.</w:t>
      </w:r>
    </w:p>
    <w:p w14:paraId="44652DD9" w14:textId="77777777" w:rsidR="00C97F66" w:rsidRPr="00B37A02" w:rsidRDefault="00C97F66" w:rsidP="00C97F66">
      <w:pPr>
        <w:widowControl w:val="0"/>
        <w:spacing w:after="0" w:line="240" w:lineRule="auto"/>
        <w:jc w:val="both"/>
        <w:rPr>
          <w:rFonts w:ascii="Times New Roman" w:eastAsia="Times New Roman" w:hAnsi="Times New Roman" w:cs="Times New Roman"/>
          <w:b/>
          <w:sz w:val="24"/>
          <w:szCs w:val="20"/>
          <w:lang w:eastAsia="en-GB"/>
        </w:rPr>
      </w:pPr>
    </w:p>
    <w:p w14:paraId="2F23B378" w14:textId="10344612" w:rsidR="00BC5BDF" w:rsidRPr="00B37A02" w:rsidRDefault="00BC5BDF" w:rsidP="00C97F66">
      <w:pPr>
        <w:widowControl w:val="0"/>
        <w:spacing w:after="0" w:line="240" w:lineRule="auto"/>
        <w:jc w:val="both"/>
        <w:rPr>
          <w:rFonts w:ascii="Times New Roman" w:eastAsia="Times New Roman" w:hAnsi="Times New Roman" w:cs="Times New Roman"/>
          <w:b/>
          <w:sz w:val="24"/>
          <w:szCs w:val="20"/>
        </w:rPr>
      </w:pPr>
      <w:r w:rsidRPr="00B37A02">
        <w:rPr>
          <w:rFonts w:ascii="Times New Roman" w:hAnsi="Times New Roman" w:cs="Times New Roman"/>
          <w:b/>
          <w:sz w:val="24"/>
        </w:rPr>
        <w:t>Izglītība</w:t>
      </w:r>
    </w:p>
    <w:p w14:paraId="4070E4B9" w14:textId="77777777" w:rsidR="00C97F66" w:rsidRPr="00B37A02" w:rsidRDefault="00C97F66" w:rsidP="00C97F66">
      <w:pPr>
        <w:widowControl w:val="0"/>
        <w:spacing w:after="0" w:line="240" w:lineRule="auto"/>
        <w:jc w:val="both"/>
        <w:rPr>
          <w:rFonts w:ascii="Times New Roman" w:eastAsia="Times New Roman" w:hAnsi="Times New Roman" w:cs="Times New Roman"/>
          <w:b/>
          <w:sz w:val="24"/>
          <w:szCs w:val="20"/>
          <w:lang w:eastAsia="en-GB"/>
        </w:rPr>
      </w:pPr>
    </w:p>
    <w:p w14:paraId="5E63C8CE" w14:textId="77777777" w:rsidR="00EC5DE2" w:rsidRPr="00B37A02" w:rsidRDefault="00BC5BDF" w:rsidP="00C97F66">
      <w:pPr>
        <w:widowControl w:val="0"/>
        <w:spacing w:after="0" w:line="240" w:lineRule="auto"/>
        <w:jc w:val="both"/>
        <w:rPr>
          <w:rFonts w:ascii="Times New Roman" w:eastAsia="Times New Roman" w:hAnsi="Times New Roman" w:cs="Times New Roman"/>
          <w:b/>
          <w:sz w:val="24"/>
          <w:szCs w:val="20"/>
        </w:rPr>
      </w:pPr>
      <w:r w:rsidRPr="00B37A02">
        <w:rPr>
          <w:rFonts w:ascii="Times New Roman" w:hAnsi="Times New Roman" w:cs="Times New Roman"/>
          <w:sz w:val="24"/>
        </w:rPr>
        <w:t xml:space="preserve">Covid-19 pandēmijas dēļ daudzi bērni ir palikuši bez izglītības. Bērni nevar piedalīties tiešsaistes nodarbībās, jo viņiem nav pietiekama aprīkojuma, tāda nav vispār vai nav piekļuves internetam. Tādējādi ieinteresētās puses ierosināja ES ieguldīt līdzekļus e-pieejamībā un digitālajās prasmēs ikvienam, atbalstot un finansējot visu ģimeņu piekļuvi platjoslas internetam (mājās vai publiski pieejamās piekļuves vietās). Tās arī ierosināja nodrošināt bezmaksas piekļuvi skolai, lai atvieglotu uzņemšanu, kā arī vienlīdzīgu piekļuvi kvalitatīvai un iekļaujošai izglītībai, kas jānodrošina visiem bērniem bez šķirošanas. Turklāt sociālekonomiski nelabvēlīgā situācijā esošiem bērniem, tostarp bēgļiem, migrantiem un romiem, jāsniedz efektīvs mērķorientēts atbalsts. Ieinteresētās puses arī aicināja izveidot kvalitatīvas izglītības atbalsta struktūras visiem bērniem, kuri atrodas stacionārās aprūpes iestādēs, piemēram, slimnīcās un īslaicīgās aprūpes iestādēs, lai palīdzētu viņiem pārvarēt izglītības nepilnības. </w:t>
      </w:r>
      <w:r w:rsidRPr="00B37A02">
        <w:rPr>
          <w:rFonts w:ascii="Times New Roman" w:hAnsi="Times New Roman" w:cs="Times New Roman"/>
          <w:sz w:val="24"/>
        </w:rPr>
        <w:cr/>
      </w:r>
    </w:p>
    <w:p w14:paraId="07A8C5CF" w14:textId="46037249" w:rsidR="00BC5BDF" w:rsidRPr="00B37A02" w:rsidRDefault="00BC5BDF" w:rsidP="00C97F66">
      <w:pPr>
        <w:widowControl w:val="0"/>
        <w:spacing w:after="0" w:line="240" w:lineRule="auto"/>
        <w:jc w:val="both"/>
        <w:rPr>
          <w:rFonts w:ascii="Times New Roman" w:eastAsia="Times New Roman" w:hAnsi="Times New Roman" w:cs="Times New Roman"/>
          <w:b/>
          <w:sz w:val="24"/>
          <w:szCs w:val="20"/>
        </w:rPr>
      </w:pPr>
      <w:r w:rsidRPr="00B37A02">
        <w:rPr>
          <w:rFonts w:ascii="Times New Roman" w:hAnsi="Times New Roman" w:cs="Times New Roman"/>
          <w:b/>
          <w:sz w:val="24"/>
        </w:rPr>
        <w:t>Agrīnā pirmsskolas izglītība un aprūpe (</w:t>
      </w:r>
      <w:r w:rsidRPr="00B37A02">
        <w:rPr>
          <w:rFonts w:ascii="Times New Roman" w:hAnsi="Times New Roman" w:cs="Times New Roman"/>
          <w:b/>
          <w:i/>
          <w:iCs/>
          <w:sz w:val="24"/>
        </w:rPr>
        <w:t>ECEC</w:t>
      </w:r>
      <w:r w:rsidRPr="00B37A02">
        <w:rPr>
          <w:rFonts w:ascii="Times New Roman" w:hAnsi="Times New Roman" w:cs="Times New Roman"/>
          <w:b/>
          <w:sz w:val="24"/>
        </w:rPr>
        <w:t>)</w:t>
      </w:r>
    </w:p>
    <w:p w14:paraId="0D4435A3" w14:textId="77777777" w:rsidR="00C97F66" w:rsidRPr="00B37A02" w:rsidRDefault="00C97F66" w:rsidP="00C97F66">
      <w:pPr>
        <w:widowControl w:val="0"/>
        <w:spacing w:after="0" w:line="240" w:lineRule="auto"/>
        <w:jc w:val="both"/>
        <w:rPr>
          <w:rFonts w:ascii="Times New Roman" w:eastAsia="Times New Roman" w:hAnsi="Times New Roman" w:cs="Times New Roman"/>
          <w:b/>
          <w:sz w:val="24"/>
          <w:szCs w:val="20"/>
          <w:lang w:eastAsia="en-GB"/>
        </w:rPr>
      </w:pPr>
    </w:p>
    <w:p w14:paraId="70B9470D" w14:textId="77777777"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 xml:space="preserve">Attiecībā uz </w:t>
      </w:r>
      <w:r w:rsidRPr="00B37A02">
        <w:rPr>
          <w:rFonts w:ascii="Times New Roman" w:hAnsi="Times New Roman" w:cs="Times New Roman"/>
          <w:i/>
          <w:iCs/>
          <w:sz w:val="24"/>
        </w:rPr>
        <w:t>ECEC</w:t>
      </w:r>
      <w:r w:rsidRPr="00B37A02">
        <w:rPr>
          <w:rFonts w:ascii="Times New Roman" w:hAnsi="Times New Roman" w:cs="Times New Roman"/>
          <w:sz w:val="24"/>
        </w:rPr>
        <w:t xml:space="preserve"> ieinteresētās puses uzsvēra, ka tai ir jābūt ne tikai pieejamai visiem bērniem, bet arī piemērotai bērniem ar īpašām vajadzībām, invaliditāti, traumatisku pieredzi un citiem īpašiem izaicinājumiem visā viņu izglītošanās laikā. Turklāt ieinteresētās puses aicināja nodrošināt </w:t>
      </w:r>
      <w:r w:rsidRPr="00B37A02">
        <w:rPr>
          <w:rFonts w:ascii="Times New Roman" w:hAnsi="Times New Roman" w:cs="Times New Roman"/>
          <w:i/>
          <w:iCs/>
          <w:sz w:val="24"/>
        </w:rPr>
        <w:t>ECEC</w:t>
      </w:r>
      <w:r w:rsidRPr="00B37A02">
        <w:rPr>
          <w:rFonts w:ascii="Times New Roman" w:hAnsi="Times New Roman" w:cs="Times New Roman"/>
          <w:sz w:val="24"/>
        </w:rPr>
        <w:t xml:space="preserve"> iesaistītajam personālam pienācīgu atalgojumu un taisnīgus darba apstākļus, jo kvalitatīvu, uz bērniem vērstu pakalpojumu sniegšanai ir nepieciešami augsti kvalificēti un labi atalgoti profesionāli darbinieki.</w:t>
      </w:r>
    </w:p>
    <w:p w14:paraId="4A5A9D40" w14:textId="77777777" w:rsidR="00C97F66" w:rsidRPr="00B37A02" w:rsidRDefault="00C97F66" w:rsidP="00C97F66">
      <w:pPr>
        <w:widowControl w:val="0"/>
        <w:spacing w:after="0" w:line="240" w:lineRule="auto"/>
        <w:jc w:val="both"/>
        <w:rPr>
          <w:rFonts w:ascii="Times New Roman" w:eastAsia="Times New Roman" w:hAnsi="Times New Roman" w:cs="Times New Roman"/>
          <w:b/>
          <w:sz w:val="24"/>
          <w:szCs w:val="20"/>
          <w:lang w:eastAsia="en-GB"/>
        </w:rPr>
      </w:pPr>
    </w:p>
    <w:p w14:paraId="0EE7A80D" w14:textId="0CCA5CE6" w:rsidR="00BC5BDF" w:rsidRPr="00B37A02" w:rsidRDefault="00BC5BDF" w:rsidP="00C97F66">
      <w:pPr>
        <w:widowControl w:val="0"/>
        <w:spacing w:after="0" w:line="240" w:lineRule="auto"/>
        <w:jc w:val="both"/>
        <w:rPr>
          <w:rFonts w:ascii="Times New Roman" w:eastAsia="Times New Roman" w:hAnsi="Times New Roman" w:cs="Times New Roman"/>
          <w:b/>
          <w:sz w:val="24"/>
          <w:szCs w:val="20"/>
        </w:rPr>
      </w:pPr>
      <w:r w:rsidRPr="00B37A02">
        <w:rPr>
          <w:rFonts w:ascii="Times New Roman" w:hAnsi="Times New Roman" w:cs="Times New Roman"/>
          <w:b/>
          <w:sz w:val="24"/>
        </w:rPr>
        <w:t>Spēlēšanās, atpūta, sporta un kultūras pasākumi</w:t>
      </w:r>
    </w:p>
    <w:p w14:paraId="30425F15" w14:textId="77777777" w:rsidR="00C97F66" w:rsidRPr="00B37A02" w:rsidRDefault="00C97F66" w:rsidP="00C97F66">
      <w:pPr>
        <w:widowControl w:val="0"/>
        <w:spacing w:after="0" w:line="240" w:lineRule="auto"/>
        <w:jc w:val="both"/>
        <w:rPr>
          <w:rFonts w:ascii="Times New Roman" w:eastAsia="Times New Roman" w:hAnsi="Times New Roman" w:cs="Times New Roman"/>
          <w:sz w:val="24"/>
          <w:szCs w:val="20"/>
          <w:lang w:eastAsia="en-GB"/>
        </w:rPr>
      </w:pPr>
    </w:p>
    <w:p w14:paraId="0098F5DD" w14:textId="114F74D9" w:rsidR="00EC5DE2"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Ieinteresētās puses uzsvēra, ka brīvā laika pavadīšanas aktivitātes brīvā dabā ir ļoti svarīgas bērnu fiziskajai un emocionālajai labklājībai. Proti, tās uzsvēra, cik svarīgs ir ieguldījums zaļajās zonās, drošos rotaļu laukumos un aktīvās mobilitātes programmās, kas ir svarīgi faktori bērnu veselībai. Ieinteresētās puses arī lūdza, lai spēlēšanās un atpūtas pasākumi būtu iekļaujoši un atbilstoši visu vecumu bērniem, kam vajadzīga palīdzība.</w:t>
      </w:r>
    </w:p>
    <w:p w14:paraId="1233A7DC" w14:textId="77777777" w:rsidR="00C97F66" w:rsidRPr="00B37A02" w:rsidRDefault="00C97F66" w:rsidP="00C97F66">
      <w:pPr>
        <w:widowControl w:val="0"/>
        <w:spacing w:after="0" w:line="240" w:lineRule="auto"/>
        <w:jc w:val="both"/>
        <w:rPr>
          <w:rFonts w:ascii="Times New Roman" w:eastAsia="Times New Roman" w:hAnsi="Times New Roman" w:cs="Times New Roman"/>
          <w:b/>
          <w:sz w:val="24"/>
          <w:szCs w:val="20"/>
          <w:lang w:eastAsia="en-GB"/>
        </w:rPr>
      </w:pPr>
    </w:p>
    <w:p w14:paraId="2D85BCC1" w14:textId="7D466F95" w:rsidR="00BC5BDF" w:rsidRPr="00B37A02" w:rsidRDefault="00BC5BDF" w:rsidP="00C97F66">
      <w:pPr>
        <w:widowControl w:val="0"/>
        <w:spacing w:after="0" w:line="240" w:lineRule="auto"/>
        <w:jc w:val="both"/>
        <w:rPr>
          <w:rFonts w:ascii="Times New Roman" w:eastAsia="Times New Roman" w:hAnsi="Times New Roman" w:cs="Times New Roman"/>
          <w:b/>
          <w:sz w:val="24"/>
          <w:szCs w:val="20"/>
        </w:rPr>
      </w:pPr>
      <w:r w:rsidRPr="00B37A02">
        <w:rPr>
          <w:rFonts w:ascii="Times New Roman" w:hAnsi="Times New Roman" w:cs="Times New Roman"/>
          <w:b/>
          <w:sz w:val="24"/>
        </w:rPr>
        <w:t>Veselības aprūpe</w:t>
      </w:r>
    </w:p>
    <w:p w14:paraId="484A5497" w14:textId="77777777" w:rsidR="00C97F66" w:rsidRPr="00B37A02" w:rsidRDefault="00C97F66" w:rsidP="00C97F66">
      <w:pPr>
        <w:widowControl w:val="0"/>
        <w:spacing w:after="0" w:line="240" w:lineRule="auto"/>
        <w:jc w:val="both"/>
        <w:rPr>
          <w:rFonts w:ascii="Times New Roman" w:eastAsia="Times New Roman" w:hAnsi="Times New Roman" w:cs="Times New Roman"/>
          <w:sz w:val="24"/>
          <w:szCs w:val="20"/>
          <w:lang w:eastAsia="en-GB"/>
        </w:rPr>
      </w:pPr>
    </w:p>
    <w:p w14:paraId="7EA707E9" w14:textId="62BB58CB"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Attiecībā uz veselības aprūpes pakalpojumiem ieinteresētās puses aicināja īstenot īpašas veselības aprūpes speciālistu mācības, lai uzlabotu bērnu slimnīcās strādājošo veselības speciālistu prasmes. Tas palīdzētu apzināt un novērst bērnu ļaunprātīgu izmantošanu, kas izpaužas kā nolaidība, kas var būt saistīta ar veselību, izglītību, emocionālo attīstību, uzturu, pajumti un drošiem dzīves apstākļiem, kā arī noteikt skaidru rīcību, lai bērnam palīdzētu. Apmēram trīs ceturtdaļas respondentu par ļoti efektīvu politikas risinājumu uzskata bezmaksas garīgās veselības un rehabilitācijas pakalpojumu sniegšanu gan bērniem, kam vajadzīga palīdzība, gan viņu vecākiem vai aizbildņiem.</w:t>
      </w:r>
    </w:p>
    <w:p w14:paraId="06F1A216" w14:textId="77777777" w:rsidR="00C97F66" w:rsidRPr="00B37A02" w:rsidRDefault="00C97F66" w:rsidP="00C97F66">
      <w:pPr>
        <w:widowControl w:val="0"/>
        <w:spacing w:after="0" w:line="240" w:lineRule="auto"/>
        <w:jc w:val="both"/>
        <w:rPr>
          <w:rFonts w:ascii="Times New Roman" w:eastAsia="Times New Roman" w:hAnsi="Times New Roman" w:cs="Times New Roman"/>
          <w:b/>
          <w:sz w:val="24"/>
          <w:szCs w:val="20"/>
          <w:lang w:eastAsia="en-GB"/>
        </w:rPr>
      </w:pPr>
    </w:p>
    <w:p w14:paraId="68E760A4" w14:textId="669BED75" w:rsidR="00BC5BDF" w:rsidRPr="00B37A02" w:rsidRDefault="00BC5BDF" w:rsidP="00C97F66">
      <w:pPr>
        <w:widowControl w:val="0"/>
        <w:spacing w:after="0" w:line="240" w:lineRule="auto"/>
        <w:jc w:val="both"/>
        <w:rPr>
          <w:rFonts w:ascii="Times New Roman" w:eastAsia="Times New Roman" w:hAnsi="Times New Roman" w:cs="Times New Roman"/>
          <w:b/>
          <w:sz w:val="24"/>
          <w:szCs w:val="20"/>
        </w:rPr>
      </w:pPr>
      <w:r w:rsidRPr="00B37A02">
        <w:rPr>
          <w:rFonts w:ascii="Times New Roman" w:hAnsi="Times New Roman" w:cs="Times New Roman"/>
          <w:b/>
          <w:sz w:val="24"/>
        </w:rPr>
        <w:t>Uzturs</w:t>
      </w:r>
    </w:p>
    <w:p w14:paraId="045A3672" w14:textId="77777777" w:rsidR="00C97F66" w:rsidRPr="00B37A02" w:rsidRDefault="00C97F66" w:rsidP="00C97F66">
      <w:pPr>
        <w:widowControl w:val="0"/>
        <w:spacing w:after="0" w:line="240" w:lineRule="auto"/>
        <w:jc w:val="both"/>
        <w:rPr>
          <w:rFonts w:ascii="Times New Roman" w:eastAsia="Times New Roman" w:hAnsi="Times New Roman" w:cs="Times New Roman"/>
          <w:sz w:val="24"/>
          <w:szCs w:val="20"/>
          <w:lang w:eastAsia="en-GB"/>
        </w:rPr>
      </w:pPr>
    </w:p>
    <w:p w14:paraId="0F735C1B" w14:textId="7EE3CDC7"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 xml:space="preserve">Daudzas ieinteresētās puses bija vienisprātis, ka Eiropas Garantijai bērniem jāaicina dalībvalstis nodrošināt veselīgas skolas maltītes un/vai augļus un dārzeņus bez maksas visos izglītības līmeņos (t. i., no </w:t>
      </w:r>
      <w:r w:rsidRPr="00B37A02">
        <w:rPr>
          <w:rFonts w:ascii="Times New Roman" w:hAnsi="Times New Roman" w:cs="Times New Roman"/>
          <w:i/>
          <w:iCs/>
          <w:sz w:val="24"/>
        </w:rPr>
        <w:t>ECEC</w:t>
      </w:r>
      <w:r w:rsidRPr="00B37A02">
        <w:rPr>
          <w:rFonts w:ascii="Times New Roman" w:hAnsi="Times New Roman" w:cs="Times New Roman"/>
          <w:sz w:val="24"/>
        </w:rPr>
        <w:t xml:space="preserve"> līdz vidusskolai). Četri no pieciem respondentiem uzsvēra veselīgu ēšanas paradumu veicināšanas nozīmi, tostarp ierobežojot neveselīgas pārtikas reklāmu un aizliedzot to tirdzniecību skolas teritorijā.</w:t>
      </w:r>
    </w:p>
    <w:p w14:paraId="5F426774" w14:textId="77777777" w:rsidR="00BC5BDF" w:rsidRPr="00B37A02" w:rsidRDefault="00BC5BDF" w:rsidP="00C97F66">
      <w:pPr>
        <w:widowControl w:val="0"/>
        <w:spacing w:after="0" w:line="240" w:lineRule="auto"/>
        <w:jc w:val="both"/>
        <w:rPr>
          <w:rFonts w:ascii="Times New Roman" w:eastAsia="Times New Roman" w:hAnsi="Times New Roman" w:cs="Times New Roman"/>
          <w:b/>
          <w:sz w:val="24"/>
          <w:szCs w:val="20"/>
          <w:lang w:eastAsia="en-GB"/>
        </w:rPr>
      </w:pPr>
    </w:p>
    <w:p w14:paraId="1187BE6F" w14:textId="77777777" w:rsidR="00BC5BDF" w:rsidRPr="00B37A02" w:rsidRDefault="00BC5BDF" w:rsidP="00C97F66">
      <w:pPr>
        <w:widowControl w:val="0"/>
        <w:spacing w:after="0" w:line="240" w:lineRule="auto"/>
        <w:jc w:val="both"/>
        <w:rPr>
          <w:rFonts w:ascii="Times New Roman" w:eastAsia="Times New Roman" w:hAnsi="Times New Roman" w:cs="Times New Roman"/>
          <w:b/>
          <w:sz w:val="24"/>
          <w:szCs w:val="20"/>
        </w:rPr>
      </w:pPr>
      <w:r w:rsidRPr="00B37A02">
        <w:rPr>
          <w:rFonts w:ascii="Times New Roman" w:hAnsi="Times New Roman" w:cs="Times New Roman"/>
          <w:b/>
          <w:sz w:val="24"/>
        </w:rPr>
        <w:t>Mājoklis</w:t>
      </w:r>
    </w:p>
    <w:p w14:paraId="2DF31B0E" w14:textId="77777777" w:rsidR="00C97F66" w:rsidRPr="00B37A02" w:rsidRDefault="00C97F66" w:rsidP="00C97F66">
      <w:pPr>
        <w:widowControl w:val="0"/>
        <w:spacing w:after="0" w:line="240" w:lineRule="auto"/>
        <w:jc w:val="both"/>
        <w:rPr>
          <w:rFonts w:ascii="Times New Roman" w:eastAsia="Times New Roman" w:hAnsi="Times New Roman" w:cs="Times New Roman"/>
          <w:sz w:val="24"/>
          <w:szCs w:val="20"/>
          <w:lang w:eastAsia="en-GB"/>
        </w:rPr>
      </w:pPr>
    </w:p>
    <w:p w14:paraId="74253823" w14:textId="13E75D4D" w:rsidR="00EC5DE2"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Apspriedē iesaistītās ieinteresētās puses sliecas vienoties, ka labi izstrādāti un mērķorientēti mājokļa pabalsti ir visefektīvākā politika, lai atbalstītu bērnu piekļuvi atbilstošam mājoklim. Stratēģiskā dialoga laikā ieinteresētās puses uzsvēra, ka iniciatīvas darbības jomas noteikšanā ir jāņem vērā mājoklis un visi ar to saistītie aspekti (mājokļu atstumtība, pārapdzīvotība, pārmērīgs mājokļa izmaksu slogs). Vispārīgāk runājot, tās aicināja veicināt sociālos mājokļus nenodalītās teritorijās, par prioritāti izvirzot ģimenes ar bērniem. Ieinteresētās puses aicināja nodrošināt, ka vecāki ar bērniem, kuriem draud izlikšana vai kuri jau ir zaudējuši pajumti, netiek ievietoti bezpajumtnieku patversmēs, bet gan pagaidu mītnēs, kas atgādinās ģimenes vidi, līdz tiks rasts pastāvīgs risinājums.</w:t>
      </w:r>
    </w:p>
    <w:p w14:paraId="59D84419" w14:textId="77777777" w:rsidR="00C97F66" w:rsidRPr="00B37A02" w:rsidRDefault="00C97F66" w:rsidP="00C97F66">
      <w:pPr>
        <w:pStyle w:val="Body"/>
        <w:widowControl w:val="0"/>
        <w:spacing w:after="0" w:line="240" w:lineRule="auto"/>
        <w:rPr>
          <w:rFonts w:ascii="Times New Roman" w:hAnsi="Times New Roman" w:cs="Times New Roman"/>
          <w:b/>
          <w:sz w:val="24"/>
          <w:szCs w:val="24"/>
        </w:rPr>
      </w:pPr>
      <w:bookmarkStart w:id="519" w:name="_Toc63850200"/>
      <w:bookmarkStart w:id="520" w:name="_Toc63850343"/>
    </w:p>
    <w:p w14:paraId="0FFA6EBB" w14:textId="6261B7E2" w:rsidR="00BC5BDF" w:rsidRPr="00B37A02" w:rsidRDefault="00BC5BDF" w:rsidP="00C97F66">
      <w:pPr>
        <w:pStyle w:val="Body"/>
        <w:widowControl w:val="0"/>
        <w:spacing w:after="0" w:line="240" w:lineRule="auto"/>
        <w:rPr>
          <w:rFonts w:ascii="Times New Roman" w:hAnsi="Times New Roman" w:cs="Times New Roman"/>
          <w:b/>
          <w:sz w:val="24"/>
          <w:szCs w:val="24"/>
        </w:rPr>
      </w:pPr>
      <w:r w:rsidRPr="00B37A02">
        <w:rPr>
          <w:rFonts w:ascii="Times New Roman" w:hAnsi="Times New Roman" w:cs="Times New Roman"/>
          <w:b/>
          <w:sz w:val="24"/>
        </w:rPr>
        <w:t>ES un valsts fondi, lai atbalstītu Eiropas Garantiju bērniem</w:t>
      </w:r>
      <w:bookmarkEnd w:id="519"/>
      <w:bookmarkEnd w:id="520"/>
    </w:p>
    <w:p w14:paraId="59FC320F" w14:textId="77777777" w:rsidR="00C97F66" w:rsidRPr="00B37A02" w:rsidRDefault="00C97F66" w:rsidP="00C97F66">
      <w:pPr>
        <w:widowControl w:val="0"/>
        <w:spacing w:after="0" w:line="240" w:lineRule="auto"/>
        <w:jc w:val="both"/>
        <w:rPr>
          <w:rFonts w:ascii="Times New Roman" w:eastAsia="Times New Roman" w:hAnsi="Times New Roman" w:cs="Times New Roman"/>
          <w:sz w:val="24"/>
          <w:szCs w:val="20"/>
          <w:lang w:eastAsia="en-GB"/>
        </w:rPr>
      </w:pPr>
    </w:p>
    <w:p w14:paraId="1576A5F9" w14:textId="58B95B9B"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Ieinteresētās puses atzinīgi novērtēja ES fondu izmantošanu saistībā ar iniciatīvu. Turklāt tika uzsvērts, cik svarīgi ES ir koncentrēties uz līdzekļu piešķiršanu iespēju vienlīdzības nodrošināšanai, lai ikvienam bērnam būtu nodrošināta vienlīdzīga piekļuve visiem pakalpojumiem.</w:t>
      </w:r>
    </w:p>
    <w:p w14:paraId="3818B527" w14:textId="77777777" w:rsidR="00C97F66" w:rsidRPr="00B37A02" w:rsidRDefault="00C97F66" w:rsidP="00C97F66">
      <w:pPr>
        <w:widowControl w:val="0"/>
        <w:spacing w:after="0" w:line="240" w:lineRule="auto"/>
        <w:jc w:val="both"/>
        <w:rPr>
          <w:rFonts w:ascii="Times New Roman" w:eastAsia="Times New Roman" w:hAnsi="Times New Roman" w:cs="Times New Roman"/>
          <w:sz w:val="24"/>
          <w:szCs w:val="20"/>
          <w:lang w:eastAsia="en-GB"/>
        </w:rPr>
      </w:pPr>
    </w:p>
    <w:p w14:paraId="03C9F11E" w14:textId="6433F3B1"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Šajā kontekstā ieinteresētās puses lūdza Komisiju aicināt dalībvalstis izmantot ES fondus stratēģiski un saskaņā ar saviem Eiropas Garantijas bērniem valsts rīcības plāniem, kā arī ieteikt valstu valdībām paredzēt 5 % no ESF+ līdzekļiem bērnu nabadzības apkarošanai valsts līmenī. Tomēr dažas ieinteresētās puses atzina, ka ar 5 % no ESF+ piešķiršanu nepietiktu, lai sasniegtu iniciatīvas mērķi. Kopumā ieinteresētās puses ieteica dalībvalstīm papildināt valsts līdzekļus ar ES finansējumu. Turklāt ieinteresētās puses aicina ES iekļaut arī citus finansēšanas instrumentus, piemēram, ES kohēzijas politiku un Atveseļošanas un noturības mehānismu.</w:t>
      </w:r>
    </w:p>
    <w:p w14:paraId="52D583F3" w14:textId="77777777" w:rsidR="00C97F66" w:rsidRPr="00B37A02" w:rsidRDefault="00C97F66" w:rsidP="00C97F66">
      <w:pPr>
        <w:pStyle w:val="Body"/>
        <w:widowControl w:val="0"/>
        <w:spacing w:after="0" w:line="240" w:lineRule="auto"/>
        <w:rPr>
          <w:rFonts w:ascii="Times New Roman" w:hAnsi="Times New Roman" w:cs="Times New Roman"/>
          <w:b/>
          <w:sz w:val="24"/>
          <w:szCs w:val="24"/>
        </w:rPr>
      </w:pPr>
      <w:bookmarkStart w:id="521" w:name="_Toc63850201"/>
      <w:bookmarkStart w:id="522" w:name="_Toc63850344"/>
    </w:p>
    <w:p w14:paraId="7533AD17" w14:textId="3B1940BE" w:rsidR="00BC5BDF" w:rsidRPr="00B37A02" w:rsidRDefault="00BC5BDF" w:rsidP="00C97F66">
      <w:pPr>
        <w:pStyle w:val="Body"/>
        <w:widowControl w:val="0"/>
        <w:spacing w:after="0" w:line="240" w:lineRule="auto"/>
        <w:rPr>
          <w:rFonts w:ascii="Times New Roman" w:hAnsi="Times New Roman" w:cs="Times New Roman"/>
          <w:b/>
          <w:sz w:val="24"/>
          <w:szCs w:val="24"/>
        </w:rPr>
      </w:pPr>
      <w:r w:rsidRPr="00B37A02">
        <w:rPr>
          <w:rFonts w:ascii="Times New Roman" w:hAnsi="Times New Roman" w:cs="Times New Roman"/>
          <w:b/>
          <w:sz w:val="24"/>
        </w:rPr>
        <w:t>Pārvaldība un uzraudzība</w:t>
      </w:r>
      <w:bookmarkEnd w:id="521"/>
      <w:bookmarkEnd w:id="522"/>
    </w:p>
    <w:p w14:paraId="09E0B5B2" w14:textId="77777777" w:rsidR="00C97F66" w:rsidRPr="00B37A02" w:rsidRDefault="00C97F66" w:rsidP="00C97F66">
      <w:pPr>
        <w:widowControl w:val="0"/>
        <w:spacing w:after="0" w:line="240" w:lineRule="auto"/>
        <w:jc w:val="both"/>
        <w:rPr>
          <w:rFonts w:ascii="Times New Roman" w:eastAsia="Times New Roman" w:hAnsi="Times New Roman" w:cs="Times New Roman"/>
          <w:sz w:val="24"/>
          <w:szCs w:val="20"/>
          <w:lang w:eastAsia="en-GB"/>
        </w:rPr>
      </w:pPr>
    </w:p>
    <w:p w14:paraId="5A84371A" w14:textId="26EA6991"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 xml:space="preserve">Ieinteresētās puses uzsvēra, ka ir nepieciešami izmērāmi un saistoši mērķi, ar kuru palīdzību dalībvalstis un Komisija varētu uzraudzīt valsts un reģionālā/vietējā līmenī nodrošinātos </w:t>
      </w:r>
      <w:r w:rsidRPr="00B37A02">
        <w:rPr>
          <w:rFonts w:ascii="Times New Roman" w:hAnsi="Times New Roman" w:cs="Times New Roman"/>
          <w:sz w:val="24"/>
        </w:rPr>
        <w:lastRenderedPageBreak/>
        <w:t>uzlabojumus. Ieinteresētās puses uzsvēra, cik svarīgi ir valsts līmenī apkopot atbilstošākus un ticamākus datus par bērniem, kam vajadzīga palīdzība, jo tas ļautu vieglāk un ātrāk šos bērnus apzināt. Ar bērnu veselību, labklājību un sociālo iekļaušanu saistīto datu kvalitātes uzlabošana palīdzētu uzraudzīt, salīdzināt un novērtēt progresu, kas panākts, lai samazinātu bērnu veselības nevienlīdzību, bērnu nabadzību un neaizsargātību. Turklāt ieinteresētās puses arī apgalvoja, ka valstu valdībām ir jāziņo ES par to, kā tās virzās uz bērnu un ģimeņu nabadzības izskaušanu, ņemot vērā konkrētus aspektus. Šie dalībvalstu ziņojumi jāparedz Eiropas pusgada procesā un tā rīcības plāna uzraudzībā, ar ko īsteno sociālo tiesību pīlāru.</w:t>
      </w:r>
    </w:p>
    <w:p w14:paraId="05B19118" w14:textId="77777777" w:rsidR="00C97F66" w:rsidRPr="00B37A02" w:rsidRDefault="00C97F66" w:rsidP="00C97F66">
      <w:pPr>
        <w:pStyle w:val="Body"/>
        <w:widowControl w:val="0"/>
        <w:spacing w:after="0" w:line="240" w:lineRule="auto"/>
        <w:rPr>
          <w:rFonts w:ascii="Times New Roman" w:hAnsi="Times New Roman" w:cs="Times New Roman"/>
          <w:b/>
          <w:sz w:val="24"/>
          <w:szCs w:val="24"/>
        </w:rPr>
      </w:pPr>
      <w:bookmarkStart w:id="523" w:name="_Toc63850202"/>
      <w:bookmarkStart w:id="524" w:name="_Toc63850345"/>
    </w:p>
    <w:p w14:paraId="1D42C214" w14:textId="0CA73539" w:rsidR="00BC5BDF" w:rsidRPr="00B37A02" w:rsidRDefault="00BC5BDF" w:rsidP="00C97F66">
      <w:pPr>
        <w:pStyle w:val="Body"/>
        <w:widowControl w:val="0"/>
        <w:spacing w:after="0" w:line="240" w:lineRule="auto"/>
        <w:rPr>
          <w:rFonts w:ascii="Times New Roman" w:hAnsi="Times New Roman" w:cs="Times New Roman"/>
          <w:b/>
          <w:sz w:val="24"/>
          <w:szCs w:val="24"/>
        </w:rPr>
      </w:pPr>
      <w:r w:rsidRPr="00B37A02">
        <w:rPr>
          <w:rFonts w:ascii="Times New Roman" w:hAnsi="Times New Roman" w:cs="Times New Roman"/>
          <w:b/>
          <w:sz w:val="24"/>
        </w:rPr>
        <w:t>Bērnu, pilsoniskās sabiedrības un pilsētu iesaiste</w:t>
      </w:r>
      <w:bookmarkEnd w:id="523"/>
      <w:bookmarkEnd w:id="524"/>
    </w:p>
    <w:p w14:paraId="1BE4F7A6" w14:textId="77777777" w:rsidR="00C97F66" w:rsidRPr="00B37A02" w:rsidRDefault="00C97F66" w:rsidP="00C97F66">
      <w:pPr>
        <w:widowControl w:val="0"/>
        <w:spacing w:after="0" w:line="240" w:lineRule="auto"/>
        <w:jc w:val="both"/>
        <w:rPr>
          <w:rFonts w:ascii="Times New Roman" w:eastAsia="Times New Roman" w:hAnsi="Times New Roman" w:cs="Times New Roman"/>
          <w:sz w:val="24"/>
          <w:szCs w:val="20"/>
          <w:lang w:eastAsia="en-GB"/>
        </w:rPr>
      </w:pPr>
    </w:p>
    <w:p w14:paraId="0F0E66CE" w14:textId="081800D7" w:rsidR="00EC5DE2"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Daudzas ieinteresētās puses uzsvēra, cik svarīgi ir aktīvāk iesaistīt bērnus tādu pamatnostādņu lēmumu pieņemšanas procesā, kas viņus tieši ietekmē gan Eiropas, gan valstu līmenī. Līdz ar to jāparedz, ka iesaistās un dialogā par bērnu iekļaušanu dalībvalstu līmenī piedalās pilsoniskā sabiedrība, lai pilsoniskās sabiedrības organizācijas un pakalpojumu sniedzēji varētu komentēt un apspriest politikas iespējas, tieši iesaistot nelabvēlīgā situācijā nonākušus bērnus un jauniešus. Bērni, jo īpaši tie, kas nonākuši neaizsargātā situācijā, ir jāiesaista valsts rīcības plānu un daudzgadu bērnu nabadzības novēršanas stratēģiju uzraudzībā un novērtēšanā.</w:t>
      </w:r>
    </w:p>
    <w:p w14:paraId="45F21E42" w14:textId="77777777" w:rsidR="00C97F66" w:rsidRPr="00B37A02" w:rsidRDefault="00C97F66" w:rsidP="00C97F66">
      <w:pPr>
        <w:widowControl w:val="0"/>
        <w:spacing w:after="0" w:line="240" w:lineRule="auto"/>
        <w:jc w:val="both"/>
        <w:rPr>
          <w:rFonts w:ascii="Times New Roman" w:eastAsia="Times New Roman" w:hAnsi="Times New Roman" w:cs="Times New Roman"/>
          <w:sz w:val="24"/>
          <w:szCs w:val="20"/>
          <w:lang w:eastAsia="en-GB"/>
        </w:rPr>
      </w:pPr>
    </w:p>
    <w:p w14:paraId="48D2B9D2" w14:textId="39FD4FFB" w:rsidR="00BC5BDF" w:rsidRPr="00B37A02" w:rsidRDefault="00BC5BDF" w:rsidP="00C97F66">
      <w:pPr>
        <w:widowControl w:val="0"/>
        <w:spacing w:after="0" w:line="240" w:lineRule="auto"/>
        <w:jc w:val="both"/>
        <w:rPr>
          <w:rFonts w:ascii="Times New Roman" w:eastAsia="Times New Roman" w:hAnsi="Times New Roman" w:cs="Times New Roman"/>
          <w:sz w:val="24"/>
          <w:szCs w:val="20"/>
        </w:rPr>
      </w:pPr>
      <w:r w:rsidRPr="00B37A02">
        <w:rPr>
          <w:rFonts w:ascii="Times New Roman" w:hAnsi="Times New Roman" w:cs="Times New Roman"/>
          <w:sz w:val="24"/>
        </w:rPr>
        <w:t>Turklāt pilsētu pārstāvji uzsvēra pilsētu lomu EGB veidošanā visos līmeņos (ES, valsts, reģionālā un vietējā līmenī), lai pielāgotu EGB vietējām vajadzībām un kontekstam. Pilsētām jau pašā sākumā jāiesaistās valsts stratēģiju un darbības virzienu noteikšanā bērnu nabadzības apkarošanai, jo pilsētas cilvēkiem ir daudz sasniedzamākas, turklāt tās ir labāk informētas par bērnu vajadzībām, kā arī valsts līmenī var dalīties ar labo praksi cīņā pret bērnu nabadzību.</w:t>
      </w:r>
    </w:p>
    <w:p w14:paraId="614908C0" w14:textId="77777777" w:rsidR="00C97F66" w:rsidRPr="00B37A02" w:rsidRDefault="00C97F66" w:rsidP="00C97F66">
      <w:pPr>
        <w:widowControl w:val="0"/>
        <w:spacing w:after="0" w:line="240" w:lineRule="auto"/>
        <w:jc w:val="both"/>
        <w:rPr>
          <w:rFonts w:ascii="Times New Roman" w:hAnsi="Times New Roman" w:cs="Times New Roman"/>
          <w:b/>
          <w:i/>
          <w:sz w:val="24"/>
          <w:szCs w:val="24"/>
        </w:rPr>
      </w:pPr>
    </w:p>
    <w:p w14:paraId="572F7C1D" w14:textId="49E18DE2" w:rsidR="00BC5BDF" w:rsidRPr="00B37A02" w:rsidRDefault="00BC5BDF" w:rsidP="00C97F66">
      <w:pPr>
        <w:widowControl w:val="0"/>
        <w:spacing w:after="0" w:line="240" w:lineRule="auto"/>
        <w:jc w:val="both"/>
        <w:rPr>
          <w:rFonts w:ascii="Times New Roman" w:hAnsi="Times New Roman" w:cs="Times New Roman"/>
          <w:b/>
          <w:i/>
          <w:sz w:val="24"/>
          <w:szCs w:val="24"/>
        </w:rPr>
      </w:pPr>
      <w:r w:rsidRPr="00B37A02">
        <w:rPr>
          <w:rFonts w:ascii="Times New Roman" w:hAnsi="Times New Roman" w:cs="Times New Roman"/>
          <w:b/>
          <w:i/>
          <w:sz w:val="24"/>
        </w:rPr>
        <w:t>Pārskats par apspriešanās procesu</w:t>
      </w:r>
    </w:p>
    <w:p w14:paraId="6D0CF2A9" w14:textId="77777777" w:rsidR="00C97F66" w:rsidRPr="00B37A02" w:rsidRDefault="00C97F66" w:rsidP="00C97F66">
      <w:pPr>
        <w:widowControl w:val="0"/>
        <w:spacing w:after="0" w:line="240" w:lineRule="auto"/>
        <w:jc w:val="both"/>
        <w:rPr>
          <w:rFonts w:ascii="Times New Roman" w:hAnsi="Times New Roman" w:cs="Times New Roman"/>
          <w:b/>
          <w:i/>
          <w:sz w:val="24"/>
          <w:szCs w:val="24"/>
        </w:rPr>
      </w:pPr>
    </w:p>
    <w:tbl>
      <w:tblPr>
        <w:tblStyle w:val="TableGrid"/>
        <w:tblW w:w="5000" w:type="pct"/>
        <w:jc w:val="center"/>
        <w:tblCellMar>
          <w:top w:w="28" w:type="dxa"/>
          <w:left w:w="28" w:type="dxa"/>
          <w:bottom w:w="28" w:type="dxa"/>
          <w:right w:w="28" w:type="dxa"/>
        </w:tblCellMar>
        <w:tblLook w:val="04A0" w:firstRow="1" w:lastRow="0" w:firstColumn="1" w:lastColumn="0" w:noHBand="0" w:noVBand="1"/>
      </w:tblPr>
      <w:tblGrid>
        <w:gridCol w:w="2388"/>
        <w:gridCol w:w="3398"/>
        <w:gridCol w:w="3275"/>
      </w:tblGrid>
      <w:tr w:rsidR="00BC5BDF" w:rsidRPr="00B37A02" w14:paraId="2BC43C66" w14:textId="77777777" w:rsidTr="00C97F66">
        <w:trPr>
          <w:jc w:val="center"/>
        </w:trPr>
        <w:tc>
          <w:tcPr>
            <w:tcW w:w="1318" w:type="pct"/>
            <w:shd w:val="clear" w:color="auto" w:fill="D9D9D9" w:themeFill="background1" w:themeFillShade="D9"/>
            <w:vAlign w:val="center"/>
          </w:tcPr>
          <w:p w14:paraId="53B941AC" w14:textId="77777777" w:rsidR="00BC5BDF" w:rsidRPr="00B37A02" w:rsidRDefault="00BC5BDF" w:rsidP="00C97F66">
            <w:pPr>
              <w:widowControl w:val="0"/>
              <w:jc w:val="both"/>
              <w:rPr>
                <w:rFonts w:ascii="Times New Roman" w:eastAsia="Arial" w:hAnsi="Times New Roman" w:cs="Times New Roman"/>
                <w:sz w:val="24"/>
                <w:szCs w:val="24"/>
                <w:u w:color="000000"/>
                <w:bdr w:val="nil"/>
              </w:rPr>
            </w:pPr>
            <w:r w:rsidRPr="00B37A02">
              <w:rPr>
                <w:rFonts w:ascii="Times New Roman" w:hAnsi="Times New Roman" w:cs="Times New Roman"/>
                <w:sz w:val="24"/>
                <w:u w:color="000000"/>
                <w:bdr w:val="nil"/>
              </w:rPr>
              <w:t>Apspriešanās periods</w:t>
            </w:r>
          </w:p>
        </w:tc>
        <w:tc>
          <w:tcPr>
            <w:tcW w:w="1875" w:type="pct"/>
            <w:shd w:val="clear" w:color="auto" w:fill="D9D9D9" w:themeFill="background1" w:themeFillShade="D9"/>
            <w:vAlign w:val="center"/>
          </w:tcPr>
          <w:p w14:paraId="051934DC" w14:textId="77777777" w:rsidR="00BC5BDF" w:rsidRPr="00B37A02" w:rsidRDefault="00BC5BDF" w:rsidP="00C97F66">
            <w:pPr>
              <w:widowControl w:val="0"/>
              <w:jc w:val="both"/>
              <w:rPr>
                <w:rFonts w:ascii="Times New Roman" w:eastAsia="Arial" w:hAnsi="Times New Roman" w:cs="Times New Roman"/>
                <w:sz w:val="24"/>
                <w:szCs w:val="24"/>
                <w:u w:color="000000"/>
                <w:bdr w:val="nil"/>
              </w:rPr>
            </w:pPr>
            <w:r w:rsidRPr="00B37A02">
              <w:rPr>
                <w:rFonts w:ascii="Times New Roman" w:hAnsi="Times New Roman" w:cs="Times New Roman"/>
                <w:sz w:val="24"/>
                <w:u w:color="000000"/>
                <w:bdr w:val="nil"/>
              </w:rPr>
              <w:t>Iesaistītās ieinteresētās puses</w:t>
            </w:r>
          </w:p>
        </w:tc>
        <w:tc>
          <w:tcPr>
            <w:tcW w:w="1807" w:type="pct"/>
            <w:shd w:val="clear" w:color="auto" w:fill="D9D9D9" w:themeFill="background1" w:themeFillShade="D9"/>
            <w:vAlign w:val="center"/>
          </w:tcPr>
          <w:p w14:paraId="330D9970" w14:textId="77777777" w:rsidR="00BC5BDF" w:rsidRPr="00B37A02" w:rsidRDefault="00BC5BDF" w:rsidP="00C97F66">
            <w:pPr>
              <w:widowControl w:val="0"/>
              <w:jc w:val="both"/>
              <w:rPr>
                <w:rFonts w:ascii="Times New Roman" w:eastAsia="Arial" w:hAnsi="Times New Roman" w:cs="Times New Roman"/>
                <w:sz w:val="24"/>
                <w:szCs w:val="24"/>
                <w:u w:color="000000"/>
                <w:bdr w:val="nil"/>
              </w:rPr>
            </w:pPr>
            <w:r w:rsidRPr="00B37A02">
              <w:rPr>
                <w:rFonts w:ascii="Times New Roman" w:hAnsi="Times New Roman" w:cs="Times New Roman"/>
                <w:sz w:val="24"/>
                <w:u w:color="000000"/>
                <w:bdr w:val="nil"/>
              </w:rPr>
              <w:t>Apspriešanās metode</w:t>
            </w:r>
          </w:p>
        </w:tc>
      </w:tr>
      <w:tr w:rsidR="00BC5BDF" w:rsidRPr="00B37A02" w14:paraId="5913A3E5" w14:textId="77777777" w:rsidTr="00C97F66">
        <w:trPr>
          <w:jc w:val="center"/>
        </w:trPr>
        <w:tc>
          <w:tcPr>
            <w:tcW w:w="1318" w:type="pct"/>
            <w:vAlign w:val="center"/>
          </w:tcPr>
          <w:p w14:paraId="224DDF50" w14:textId="77777777" w:rsidR="00BC5BDF" w:rsidRPr="00B37A02" w:rsidRDefault="00BC5BDF" w:rsidP="00C97F66">
            <w:pPr>
              <w:widowControl w:val="0"/>
              <w:jc w:val="both"/>
              <w:rPr>
                <w:rFonts w:ascii="Times New Roman" w:eastAsia="Arial" w:hAnsi="Times New Roman" w:cs="Times New Roman"/>
                <w:sz w:val="24"/>
                <w:szCs w:val="24"/>
                <w:u w:color="000000"/>
                <w:bdr w:val="nil"/>
              </w:rPr>
            </w:pPr>
            <w:r w:rsidRPr="00B37A02">
              <w:rPr>
                <w:rFonts w:ascii="Times New Roman" w:hAnsi="Times New Roman" w:cs="Times New Roman"/>
                <w:sz w:val="24"/>
                <w:u w:color="000000"/>
                <w:bdr w:val="nil"/>
              </w:rPr>
              <w:t>2020. gada jūlijs–septembris</w:t>
            </w:r>
          </w:p>
        </w:tc>
        <w:tc>
          <w:tcPr>
            <w:tcW w:w="1875" w:type="pct"/>
            <w:vAlign w:val="center"/>
          </w:tcPr>
          <w:p w14:paraId="207CB3C4" w14:textId="77777777" w:rsidR="00BC5BDF" w:rsidRPr="00B37A02" w:rsidRDefault="00BC5BDF" w:rsidP="00C97F66">
            <w:pPr>
              <w:widowControl w:val="0"/>
              <w:jc w:val="both"/>
              <w:rPr>
                <w:rFonts w:ascii="Times New Roman" w:hAnsi="Times New Roman" w:cs="Times New Roman"/>
                <w:sz w:val="24"/>
                <w:szCs w:val="24"/>
                <w:bdr w:val="nil"/>
              </w:rPr>
            </w:pPr>
            <w:r w:rsidRPr="00B37A02">
              <w:rPr>
                <w:rFonts w:ascii="Times New Roman" w:hAnsi="Times New Roman" w:cs="Times New Roman"/>
                <w:sz w:val="24"/>
                <w:bdr w:val="nil"/>
              </w:rPr>
              <w:t>Pilsētas</w:t>
            </w:r>
          </w:p>
        </w:tc>
        <w:tc>
          <w:tcPr>
            <w:tcW w:w="1807" w:type="pct"/>
            <w:vAlign w:val="center"/>
          </w:tcPr>
          <w:p w14:paraId="6B09266A" w14:textId="77777777" w:rsidR="00BC5BDF" w:rsidRPr="00B37A02" w:rsidRDefault="00BC5BDF" w:rsidP="00C97F66">
            <w:pPr>
              <w:widowControl w:val="0"/>
              <w:jc w:val="both"/>
              <w:rPr>
                <w:rFonts w:ascii="Times New Roman" w:hAnsi="Times New Roman" w:cs="Times New Roman"/>
                <w:sz w:val="24"/>
                <w:szCs w:val="24"/>
              </w:rPr>
            </w:pPr>
            <w:r w:rsidRPr="00B37A02">
              <w:rPr>
                <w:rFonts w:ascii="Times New Roman" w:hAnsi="Times New Roman" w:cs="Times New Roman"/>
                <w:sz w:val="24"/>
              </w:rPr>
              <w:t>“Eurocities” organizētas tiešsaistes aptaujas</w:t>
            </w:r>
          </w:p>
        </w:tc>
      </w:tr>
      <w:tr w:rsidR="00BC5BDF" w:rsidRPr="00B37A02" w14:paraId="59D0F12F" w14:textId="77777777" w:rsidTr="00C97F66">
        <w:trPr>
          <w:jc w:val="center"/>
        </w:trPr>
        <w:tc>
          <w:tcPr>
            <w:tcW w:w="1318" w:type="pct"/>
            <w:vAlign w:val="center"/>
          </w:tcPr>
          <w:p w14:paraId="61837DE7" w14:textId="77777777" w:rsidR="00BC5BDF" w:rsidRPr="00B37A02" w:rsidRDefault="00BC5BDF" w:rsidP="00C97F66">
            <w:pPr>
              <w:widowControl w:val="0"/>
              <w:jc w:val="both"/>
              <w:rPr>
                <w:rFonts w:ascii="Times New Roman" w:eastAsia="Arial" w:hAnsi="Times New Roman" w:cs="Times New Roman"/>
                <w:sz w:val="24"/>
                <w:szCs w:val="24"/>
                <w:u w:color="000000"/>
                <w:bdr w:val="nil"/>
              </w:rPr>
            </w:pPr>
            <w:r w:rsidRPr="00B37A02">
              <w:rPr>
                <w:rFonts w:ascii="Times New Roman" w:hAnsi="Times New Roman" w:cs="Times New Roman"/>
                <w:sz w:val="24"/>
                <w:u w:color="000000"/>
                <w:bdr w:val="nil"/>
              </w:rPr>
              <w:t>2020. gada 25. septembris–2. novembris</w:t>
            </w:r>
          </w:p>
        </w:tc>
        <w:tc>
          <w:tcPr>
            <w:tcW w:w="1875" w:type="pct"/>
            <w:vAlign w:val="center"/>
          </w:tcPr>
          <w:p w14:paraId="0C81EE79" w14:textId="77777777" w:rsidR="00BC5BDF" w:rsidRPr="00B37A02" w:rsidRDefault="00BC5BDF" w:rsidP="00C97F66">
            <w:pPr>
              <w:widowControl w:val="0"/>
              <w:jc w:val="both"/>
              <w:rPr>
                <w:rFonts w:ascii="Times New Roman" w:eastAsia="Arial" w:hAnsi="Times New Roman" w:cs="Times New Roman"/>
                <w:sz w:val="24"/>
                <w:szCs w:val="24"/>
                <w:u w:color="000000"/>
                <w:bdr w:val="nil"/>
              </w:rPr>
            </w:pPr>
            <w:r w:rsidRPr="00B37A02">
              <w:rPr>
                <w:rFonts w:ascii="Times New Roman" w:hAnsi="Times New Roman" w:cs="Times New Roman"/>
                <w:sz w:val="24"/>
                <w:u w:color="000000"/>
                <w:bdr w:val="nil"/>
              </w:rPr>
              <w:t>Bērni</w:t>
            </w:r>
          </w:p>
        </w:tc>
        <w:tc>
          <w:tcPr>
            <w:tcW w:w="1807" w:type="pct"/>
            <w:vAlign w:val="center"/>
          </w:tcPr>
          <w:p w14:paraId="6FA64C7B" w14:textId="77777777" w:rsidR="00BC5BDF" w:rsidRPr="00B37A02" w:rsidRDefault="00BC5BDF" w:rsidP="00C97F66">
            <w:pPr>
              <w:widowControl w:val="0"/>
              <w:jc w:val="both"/>
              <w:rPr>
                <w:rFonts w:ascii="Times New Roman" w:eastAsia="Arial" w:hAnsi="Times New Roman" w:cs="Times New Roman"/>
                <w:sz w:val="24"/>
                <w:szCs w:val="24"/>
                <w:u w:color="000000"/>
                <w:bdr w:val="nil"/>
              </w:rPr>
            </w:pPr>
            <w:r w:rsidRPr="00B37A02">
              <w:rPr>
                <w:rFonts w:ascii="Times New Roman" w:hAnsi="Times New Roman" w:cs="Times New Roman"/>
                <w:sz w:val="24"/>
                <w:u w:color="000000"/>
                <w:bdr w:val="nil"/>
              </w:rPr>
              <w:t>UNICEF, “Eurochild”, “Save the Children”, “World Vision” un “Child Fund Alliance” organizēta tiešsaistes aptauja un mērķgrupas</w:t>
            </w:r>
          </w:p>
        </w:tc>
      </w:tr>
      <w:tr w:rsidR="00BC5BDF" w:rsidRPr="00B37A02" w14:paraId="73C617E6" w14:textId="77777777" w:rsidTr="00C97F66">
        <w:trPr>
          <w:jc w:val="center"/>
        </w:trPr>
        <w:tc>
          <w:tcPr>
            <w:tcW w:w="1318" w:type="pct"/>
            <w:vAlign w:val="center"/>
          </w:tcPr>
          <w:p w14:paraId="3FC1847F" w14:textId="77777777" w:rsidR="00BC5BDF" w:rsidRPr="00B37A02" w:rsidRDefault="00BC5BDF" w:rsidP="00C97F66">
            <w:pPr>
              <w:widowControl w:val="0"/>
              <w:jc w:val="both"/>
              <w:rPr>
                <w:rFonts w:ascii="Times New Roman" w:eastAsia="Arial" w:hAnsi="Times New Roman" w:cs="Times New Roman"/>
                <w:sz w:val="24"/>
                <w:szCs w:val="24"/>
                <w:u w:color="000000"/>
                <w:bdr w:val="nil"/>
              </w:rPr>
            </w:pPr>
            <w:r w:rsidRPr="00B37A02">
              <w:rPr>
                <w:rFonts w:ascii="Times New Roman" w:hAnsi="Times New Roman" w:cs="Times New Roman"/>
                <w:sz w:val="24"/>
                <w:u w:color="000000"/>
                <w:bdr w:val="nil"/>
              </w:rPr>
              <w:t>2020. gada 19. augusts–30. novembris</w:t>
            </w:r>
          </w:p>
        </w:tc>
        <w:tc>
          <w:tcPr>
            <w:tcW w:w="1875" w:type="pct"/>
            <w:vAlign w:val="center"/>
          </w:tcPr>
          <w:p w14:paraId="7E04CF9A" w14:textId="77777777" w:rsidR="00BC5BDF" w:rsidRPr="00B37A02" w:rsidRDefault="00BC5BDF" w:rsidP="00C97F66">
            <w:pPr>
              <w:widowControl w:val="0"/>
              <w:jc w:val="both"/>
              <w:rPr>
                <w:rFonts w:ascii="Times New Roman" w:eastAsia="Arial" w:hAnsi="Times New Roman" w:cs="Times New Roman"/>
                <w:sz w:val="24"/>
                <w:szCs w:val="24"/>
                <w:u w:color="000000"/>
                <w:bdr w:val="nil"/>
              </w:rPr>
            </w:pPr>
            <w:r w:rsidRPr="00B37A02">
              <w:rPr>
                <w:rFonts w:ascii="Times New Roman" w:hAnsi="Times New Roman" w:cs="Times New Roman"/>
                <w:sz w:val="24"/>
                <w:u w:color="000000"/>
                <w:bdr w:val="nil"/>
              </w:rPr>
              <w:t>Plašāka sabiedrība</w:t>
            </w:r>
          </w:p>
          <w:p w14:paraId="199D547D" w14:textId="77777777" w:rsidR="00BC5BDF" w:rsidRPr="00B37A02" w:rsidRDefault="00BC5BDF" w:rsidP="00C97F66">
            <w:pPr>
              <w:widowControl w:val="0"/>
              <w:jc w:val="both"/>
              <w:rPr>
                <w:rFonts w:ascii="Times New Roman" w:eastAsia="Arial" w:hAnsi="Times New Roman" w:cs="Times New Roman"/>
                <w:sz w:val="24"/>
                <w:szCs w:val="24"/>
                <w:u w:color="000000"/>
                <w:bdr w:val="nil"/>
              </w:rPr>
            </w:pPr>
            <w:r w:rsidRPr="00B37A02">
              <w:rPr>
                <w:rFonts w:ascii="Times New Roman" w:hAnsi="Times New Roman" w:cs="Times New Roman"/>
                <w:sz w:val="24"/>
                <w:u w:color="000000"/>
                <w:bdr w:val="nil"/>
              </w:rPr>
              <w:t>Pilsoniskās sabiedrības organizācijas</w:t>
            </w:r>
          </w:p>
          <w:p w14:paraId="43BEF788" w14:textId="77777777" w:rsidR="00BC5BDF" w:rsidRPr="00B37A02" w:rsidRDefault="00BC5BDF" w:rsidP="00C97F66">
            <w:pPr>
              <w:widowControl w:val="0"/>
              <w:jc w:val="both"/>
              <w:rPr>
                <w:rFonts w:ascii="Times New Roman" w:eastAsia="Arial" w:hAnsi="Times New Roman" w:cs="Times New Roman"/>
                <w:sz w:val="24"/>
                <w:szCs w:val="24"/>
                <w:u w:color="000000"/>
                <w:bdr w:val="nil"/>
              </w:rPr>
            </w:pPr>
            <w:r w:rsidRPr="00B37A02">
              <w:rPr>
                <w:rFonts w:ascii="Times New Roman" w:hAnsi="Times New Roman" w:cs="Times New Roman"/>
                <w:sz w:val="24"/>
                <w:u w:color="000000"/>
                <w:bdr w:val="nil"/>
              </w:rPr>
              <w:t>Valsts iestādes</w:t>
            </w:r>
          </w:p>
          <w:p w14:paraId="102AF81F" w14:textId="77777777" w:rsidR="00BC5BDF" w:rsidRPr="00B37A02" w:rsidRDefault="00BC5BDF" w:rsidP="00C97F66">
            <w:pPr>
              <w:widowControl w:val="0"/>
              <w:jc w:val="both"/>
              <w:rPr>
                <w:rFonts w:ascii="Times New Roman" w:eastAsia="Arial" w:hAnsi="Times New Roman" w:cs="Times New Roman"/>
                <w:sz w:val="24"/>
                <w:szCs w:val="24"/>
                <w:u w:color="000000"/>
                <w:bdr w:val="nil"/>
              </w:rPr>
            </w:pPr>
            <w:r w:rsidRPr="00B37A02">
              <w:rPr>
                <w:rFonts w:ascii="Times New Roman" w:hAnsi="Times New Roman" w:cs="Times New Roman"/>
                <w:sz w:val="24"/>
                <w:u w:color="000000"/>
                <w:bdr w:val="nil"/>
              </w:rPr>
              <w:t>Starptautiskās organizācijas</w:t>
            </w:r>
          </w:p>
          <w:p w14:paraId="5B7D7D53" w14:textId="77777777" w:rsidR="00BC5BDF" w:rsidRPr="00B37A02" w:rsidRDefault="00BC5BDF" w:rsidP="00C97F66">
            <w:pPr>
              <w:widowControl w:val="0"/>
              <w:jc w:val="both"/>
              <w:rPr>
                <w:rFonts w:ascii="Times New Roman" w:eastAsia="Arial" w:hAnsi="Times New Roman" w:cs="Times New Roman"/>
                <w:sz w:val="24"/>
                <w:szCs w:val="24"/>
                <w:u w:color="000000"/>
                <w:bdr w:val="nil"/>
              </w:rPr>
            </w:pPr>
            <w:r w:rsidRPr="00B37A02">
              <w:rPr>
                <w:rFonts w:ascii="Times New Roman" w:hAnsi="Times New Roman" w:cs="Times New Roman"/>
                <w:sz w:val="24"/>
                <w:u w:color="000000"/>
                <w:bdr w:val="nil"/>
              </w:rPr>
              <w:t>Pētnieki</w:t>
            </w:r>
          </w:p>
        </w:tc>
        <w:tc>
          <w:tcPr>
            <w:tcW w:w="1807" w:type="pct"/>
            <w:vAlign w:val="center"/>
          </w:tcPr>
          <w:p w14:paraId="783DBE9A" w14:textId="77777777" w:rsidR="00BC5BDF" w:rsidRPr="00B37A02" w:rsidRDefault="00BC5BDF" w:rsidP="00C97F66">
            <w:pPr>
              <w:widowControl w:val="0"/>
              <w:jc w:val="both"/>
              <w:rPr>
                <w:rFonts w:ascii="Times New Roman" w:eastAsia="Arial" w:hAnsi="Times New Roman" w:cs="Times New Roman"/>
                <w:sz w:val="24"/>
                <w:szCs w:val="24"/>
                <w:u w:color="000000"/>
                <w:bdr w:val="nil"/>
              </w:rPr>
            </w:pPr>
            <w:r w:rsidRPr="00B37A02">
              <w:rPr>
                <w:rFonts w:ascii="Times New Roman" w:hAnsi="Times New Roman" w:cs="Times New Roman"/>
                <w:sz w:val="24"/>
                <w:u w:color="000000"/>
                <w:bdr w:val="nil"/>
              </w:rPr>
              <w:t>Atgriezeniskā saite par ceļvedi un aicinājums sniegt ieguldījumu rīcības plānā, ar ko īsteno Eiropas sociālo tiesību pīlāru</w:t>
            </w:r>
          </w:p>
        </w:tc>
      </w:tr>
      <w:tr w:rsidR="00BC5BDF" w:rsidRPr="00B37A02" w14:paraId="6C0E6EBE" w14:textId="77777777" w:rsidTr="00C97F66">
        <w:trPr>
          <w:jc w:val="center"/>
        </w:trPr>
        <w:tc>
          <w:tcPr>
            <w:tcW w:w="1318" w:type="pct"/>
            <w:vAlign w:val="center"/>
          </w:tcPr>
          <w:p w14:paraId="118FB96F" w14:textId="77777777" w:rsidR="00BC5BDF" w:rsidRPr="00B37A02" w:rsidRDefault="00BC5BDF" w:rsidP="00C97F66">
            <w:pPr>
              <w:widowControl w:val="0"/>
              <w:jc w:val="both"/>
              <w:rPr>
                <w:rFonts w:ascii="Times New Roman" w:eastAsia="Arial" w:hAnsi="Times New Roman" w:cs="Times New Roman"/>
                <w:sz w:val="24"/>
                <w:szCs w:val="24"/>
                <w:u w:color="000000"/>
                <w:bdr w:val="nil"/>
              </w:rPr>
            </w:pPr>
            <w:r w:rsidRPr="00B37A02">
              <w:rPr>
                <w:rFonts w:ascii="Times New Roman" w:hAnsi="Times New Roman" w:cs="Times New Roman"/>
                <w:sz w:val="24"/>
                <w:u w:color="000000"/>
                <w:bdr w:val="nil"/>
              </w:rPr>
              <w:t>2020. gada 16. oktobris</w:t>
            </w:r>
          </w:p>
        </w:tc>
        <w:tc>
          <w:tcPr>
            <w:tcW w:w="1875" w:type="pct"/>
            <w:vAlign w:val="center"/>
          </w:tcPr>
          <w:p w14:paraId="51C999EF" w14:textId="77777777" w:rsidR="00BC5BDF" w:rsidRPr="00B37A02" w:rsidRDefault="00BC5BDF" w:rsidP="00C97F66">
            <w:pPr>
              <w:widowControl w:val="0"/>
              <w:jc w:val="both"/>
              <w:rPr>
                <w:rFonts w:ascii="Times New Roman" w:eastAsia="Arial" w:hAnsi="Times New Roman" w:cs="Times New Roman"/>
                <w:sz w:val="24"/>
                <w:szCs w:val="24"/>
                <w:u w:color="000000"/>
                <w:bdr w:val="nil"/>
              </w:rPr>
            </w:pPr>
            <w:r w:rsidRPr="00B37A02">
              <w:rPr>
                <w:rFonts w:ascii="Times New Roman" w:hAnsi="Times New Roman" w:cs="Times New Roman"/>
                <w:sz w:val="24"/>
                <w:u w:color="000000"/>
                <w:bdr w:val="nil"/>
              </w:rPr>
              <w:t>Eiropas sociālie partneri</w:t>
            </w:r>
          </w:p>
        </w:tc>
        <w:tc>
          <w:tcPr>
            <w:tcW w:w="1807" w:type="pct"/>
            <w:vAlign w:val="center"/>
          </w:tcPr>
          <w:p w14:paraId="3E235205" w14:textId="77777777" w:rsidR="00BC5BDF" w:rsidRPr="00B37A02" w:rsidRDefault="00BC5BDF" w:rsidP="00C97F66">
            <w:pPr>
              <w:widowControl w:val="0"/>
              <w:jc w:val="both"/>
              <w:rPr>
                <w:rFonts w:ascii="Times New Roman" w:eastAsia="Arial" w:hAnsi="Times New Roman" w:cs="Times New Roman"/>
                <w:sz w:val="24"/>
                <w:szCs w:val="24"/>
                <w:u w:color="000000"/>
                <w:bdr w:val="nil"/>
              </w:rPr>
            </w:pPr>
            <w:r w:rsidRPr="00B37A02">
              <w:rPr>
                <w:rFonts w:ascii="Times New Roman" w:hAnsi="Times New Roman" w:cs="Times New Roman"/>
                <w:sz w:val="24"/>
                <w:u w:color="000000"/>
                <w:bdr w:val="nil"/>
              </w:rPr>
              <w:t>Īpaša sēde</w:t>
            </w:r>
          </w:p>
        </w:tc>
      </w:tr>
      <w:tr w:rsidR="00BC5BDF" w:rsidRPr="00B37A02" w14:paraId="636543F3" w14:textId="77777777" w:rsidTr="00C97F66">
        <w:trPr>
          <w:jc w:val="center"/>
        </w:trPr>
        <w:tc>
          <w:tcPr>
            <w:tcW w:w="1318" w:type="pct"/>
            <w:vAlign w:val="center"/>
          </w:tcPr>
          <w:p w14:paraId="00BB6291" w14:textId="77777777" w:rsidR="00BC5BDF" w:rsidRPr="00B37A02" w:rsidRDefault="00BC5BDF" w:rsidP="00C97F66">
            <w:pPr>
              <w:widowControl w:val="0"/>
              <w:jc w:val="both"/>
              <w:rPr>
                <w:rFonts w:ascii="Times New Roman" w:eastAsia="Arial" w:hAnsi="Times New Roman" w:cs="Times New Roman"/>
                <w:sz w:val="24"/>
                <w:szCs w:val="24"/>
                <w:u w:color="000000"/>
                <w:bdr w:val="nil"/>
              </w:rPr>
            </w:pPr>
            <w:r w:rsidRPr="00B37A02">
              <w:rPr>
                <w:rFonts w:ascii="Times New Roman" w:hAnsi="Times New Roman" w:cs="Times New Roman"/>
                <w:sz w:val="24"/>
                <w:u w:color="000000"/>
                <w:bdr w:val="nil"/>
              </w:rPr>
              <w:t>2020. gada 20. oktobris–10. novembris</w:t>
            </w:r>
          </w:p>
          <w:p w14:paraId="2FC10BC0" w14:textId="77777777" w:rsidR="00BC5BDF" w:rsidRPr="00B37A02" w:rsidRDefault="00BC5BDF" w:rsidP="00C97F66">
            <w:pPr>
              <w:widowControl w:val="0"/>
              <w:jc w:val="both"/>
              <w:rPr>
                <w:rFonts w:ascii="Times New Roman" w:eastAsia="Arial" w:hAnsi="Times New Roman" w:cs="Times New Roman"/>
                <w:sz w:val="24"/>
                <w:szCs w:val="24"/>
                <w:u w:color="000000"/>
                <w:bdr w:val="nil"/>
              </w:rPr>
            </w:pPr>
          </w:p>
        </w:tc>
        <w:tc>
          <w:tcPr>
            <w:tcW w:w="1875" w:type="pct"/>
            <w:vAlign w:val="center"/>
          </w:tcPr>
          <w:p w14:paraId="1BEC8BA3" w14:textId="77777777" w:rsidR="00BC5BDF" w:rsidRPr="00B37A02" w:rsidRDefault="00BC5BDF" w:rsidP="00C97F66">
            <w:pPr>
              <w:widowControl w:val="0"/>
              <w:jc w:val="both"/>
              <w:rPr>
                <w:rFonts w:ascii="Times New Roman" w:eastAsia="Arial" w:hAnsi="Times New Roman" w:cs="Times New Roman"/>
                <w:sz w:val="24"/>
                <w:szCs w:val="24"/>
                <w:u w:color="000000"/>
                <w:bdr w:val="nil"/>
              </w:rPr>
            </w:pPr>
            <w:r w:rsidRPr="00B37A02">
              <w:rPr>
                <w:rFonts w:ascii="Times New Roman" w:hAnsi="Times New Roman" w:cs="Times New Roman"/>
                <w:sz w:val="24"/>
                <w:u w:color="000000"/>
                <w:bdr w:val="nil"/>
              </w:rPr>
              <w:t>Valsts iestādes (valsts, reģionālā un vietējā līmenī)</w:t>
            </w:r>
          </w:p>
          <w:p w14:paraId="286F15E7" w14:textId="77777777" w:rsidR="00EC5DE2" w:rsidRPr="00B37A02" w:rsidRDefault="00BC5BDF" w:rsidP="00C97F66">
            <w:pPr>
              <w:widowControl w:val="0"/>
              <w:jc w:val="both"/>
              <w:rPr>
                <w:rFonts w:ascii="Times New Roman" w:eastAsia="Arial" w:hAnsi="Times New Roman" w:cs="Times New Roman"/>
                <w:sz w:val="24"/>
                <w:szCs w:val="24"/>
                <w:u w:color="000000"/>
                <w:bdr w:val="nil"/>
              </w:rPr>
            </w:pPr>
            <w:r w:rsidRPr="00B37A02">
              <w:rPr>
                <w:rFonts w:ascii="Times New Roman" w:hAnsi="Times New Roman" w:cs="Times New Roman"/>
                <w:sz w:val="24"/>
                <w:u w:color="000000"/>
                <w:bdr w:val="nil"/>
              </w:rPr>
              <w:t>Pilsoniskās sabiedrības organizācijas</w:t>
            </w:r>
          </w:p>
          <w:p w14:paraId="7F4A762D" w14:textId="77777777" w:rsidR="00EC5DE2" w:rsidRPr="00B37A02" w:rsidRDefault="00BC5BDF" w:rsidP="00C97F66">
            <w:pPr>
              <w:widowControl w:val="0"/>
              <w:jc w:val="both"/>
              <w:rPr>
                <w:rFonts w:ascii="Times New Roman" w:eastAsia="Arial" w:hAnsi="Times New Roman" w:cs="Times New Roman"/>
                <w:sz w:val="24"/>
                <w:szCs w:val="24"/>
                <w:u w:color="000000"/>
                <w:bdr w:val="nil"/>
              </w:rPr>
            </w:pPr>
            <w:r w:rsidRPr="00B37A02">
              <w:rPr>
                <w:rFonts w:ascii="Times New Roman" w:hAnsi="Times New Roman" w:cs="Times New Roman"/>
                <w:sz w:val="24"/>
                <w:u w:color="000000"/>
                <w:bdr w:val="nil"/>
              </w:rPr>
              <w:t>Starptautiskās organizācijas</w:t>
            </w:r>
          </w:p>
          <w:p w14:paraId="64F4876D" w14:textId="1A6712D7" w:rsidR="00BC5BDF" w:rsidRPr="00B37A02" w:rsidRDefault="00BC5BDF" w:rsidP="00C97F66">
            <w:pPr>
              <w:widowControl w:val="0"/>
              <w:jc w:val="both"/>
              <w:rPr>
                <w:rFonts w:ascii="Times New Roman" w:eastAsia="Arial" w:hAnsi="Times New Roman" w:cs="Times New Roman"/>
                <w:sz w:val="24"/>
                <w:szCs w:val="24"/>
                <w:u w:color="000000"/>
                <w:bdr w:val="nil"/>
              </w:rPr>
            </w:pPr>
            <w:r w:rsidRPr="00B37A02">
              <w:rPr>
                <w:rFonts w:ascii="Times New Roman" w:hAnsi="Times New Roman" w:cs="Times New Roman"/>
                <w:sz w:val="24"/>
                <w:u w:color="000000"/>
                <w:bdr w:val="nil"/>
              </w:rPr>
              <w:t>Akadēmiskie pētnieki</w:t>
            </w:r>
          </w:p>
        </w:tc>
        <w:tc>
          <w:tcPr>
            <w:tcW w:w="1807" w:type="pct"/>
            <w:vAlign w:val="center"/>
          </w:tcPr>
          <w:p w14:paraId="13FC57D0" w14:textId="77777777" w:rsidR="00BC5BDF" w:rsidRPr="00B37A02" w:rsidRDefault="00BC5BDF" w:rsidP="00C97F66">
            <w:pPr>
              <w:widowControl w:val="0"/>
              <w:jc w:val="both"/>
              <w:rPr>
                <w:rFonts w:ascii="Times New Roman" w:eastAsia="Arial" w:hAnsi="Times New Roman" w:cs="Times New Roman"/>
                <w:sz w:val="24"/>
                <w:szCs w:val="24"/>
                <w:u w:color="000000"/>
                <w:bdr w:val="nil"/>
              </w:rPr>
            </w:pPr>
            <w:r w:rsidRPr="00B37A02">
              <w:rPr>
                <w:rFonts w:ascii="Times New Roman" w:hAnsi="Times New Roman" w:cs="Times New Roman"/>
                <w:sz w:val="24"/>
                <w:u w:color="000000"/>
                <w:bdr w:val="nil"/>
              </w:rPr>
              <w:t>Mērķorientēta tiešsaistes aptauja</w:t>
            </w:r>
          </w:p>
          <w:p w14:paraId="52C179AA" w14:textId="77777777" w:rsidR="00BC5BDF" w:rsidRPr="00B37A02" w:rsidRDefault="00BC5BDF" w:rsidP="00C97F66">
            <w:pPr>
              <w:widowControl w:val="0"/>
              <w:jc w:val="both"/>
              <w:rPr>
                <w:rFonts w:ascii="Times New Roman" w:eastAsia="Arial" w:hAnsi="Times New Roman" w:cs="Times New Roman"/>
                <w:sz w:val="24"/>
                <w:szCs w:val="24"/>
                <w:u w:color="000000"/>
                <w:bdr w:val="nil"/>
              </w:rPr>
            </w:pPr>
          </w:p>
        </w:tc>
      </w:tr>
      <w:tr w:rsidR="00BC5BDF" w:rsidRPr="00B37A02" w14:paraId="22E5F9BB" w14:textId="77777777" w:rsidTr="00C97F66">
        <w:trPr>
          <w:jc w:val="center"/>
        </w:trPr>
        <w:tc>
          <w:tcPr>
            <w:tcW w:w="1318" w:type="pct"/>
            <w:vAlign w:val="center"/>
          </w:tcPr>
          <w:p w14:paraId="3EECAF46" w14:textId="77777777" w:rsidR="00BC5BDF" w:rsidRPr="00B37A02" w:rsidRDefault="00BC5BDF" w:rsidP="00C97F66">
            <w:pPr>
              <w:widowControl w:val="0"/>
              <w:jc w:val="both"/>
              <w:rPr>
                <w:rFonts w:ascii="Times New Roman" w:eastAsia="Arial" w:hAnsi="Times New Roman" w:cs="Times New Roman"/>
                <w:sz w:val="24"/>
                <w:szCs w:val="24"/>
                <w:u w:color="000000"/>
                <w:bdr w:val="nil"/>
              </w:rPr>
            </w:pPr>
            <w:r w:rsidRPr="00B37A02">
              <w:rPr>
                <w:rFonts w:ascii="Times New Roman" w:hAnsi="Times New Roman" w:cs="Times New Roman"/>
                <w:sz w:val="24"/>
                <w:u w:color="000000"/>
                <w:bdr w:val="nil"/>
              </w:rPr>
              <w:t>2020. gada 11. novembris</w:t>
            </w:r>
          </w:p>
        </w:tc>
        <w:tc>
          <w:tcPr>
            <w:tcW w:w="1875" w:type="pct"/>
            <w:vAlign w:val="center"/>
          </w:tcPr>
          <w:p w14:paraId="190CDCC9" w14:textId="77777777" w:rsidR="00BC5BDF" w:rsidRPr="00B37A02" w:rsidRDefault="00BC5BDF" w:rsidP="00C97F66">
            <w:pPr>
              <w:widowControl w:val="0"/>
              <w:jc w:val="both"/>
              <w:rPr>
                <w:rFonts w:ascii="Times New Roman" w:eastAsia="Arial" w:hAnsi="Times New Roman" w:cs="Times New Roman"/>
                <w:sz w:val="24"/>
                <w:szCs w:val="24"/>
                <w:u w:color="000000"/>
                <w:bdr w:val="nil"/>
              </w:rPr>
            </w:pPr>
            <w:r w:rsidRPr="00B37A02">
              <w:rPr>
                <w:rFonts w:ascii="Times New Roman" w:hAnsi="Times New Roman" w:cs="Times New Roman"/>
                <w:sz w:val="24"/>
                <w:u w:color="000000"/>
                <w:bdr w:val="nil"/>
              </w:rPr>
              <w:t>Eiropas Ekonomikas un sociālo lietu komiteja</w:t>
            </w:r>
          </w:p>
        </w:tc>
        <w:tc>
          <w:tcPr>
            <w:tcW w:w="1807" w:type="pct"/>
            <w:vAlign w:val="center"/>
          </w:tcPr>
          <w:p w14:paraId="1D7EC205" w14:textId="77777777" w:rsidR="00BC5BDF" w:rsidRPr="00B37A02" w:rsidRDefault="00BC5BDF" w:rsidP="00C97F66">
            <w:pPr>
              <w:widowControl w:val="0"/>
              <w:jc w:val="both"/>
              <w:rPr>
                <w:rFonts w:ascii="Times New Roman" w:eastAsia="Arial" w:hAnsi="Times New Roman" w:cs="Times New Roman"/>
                <w:sz w:val="24"/>
                <w:szCs w:val="24"/>
                <w:u w:color="000000"/>
                <w:bdr w:val="nil"/>
              </w:rPr>
            </w:pPr>
            <w:r w:rsidRPr="00B37A02">
              <w:rPr>
                <w:rFonts w:ascii="Times New Roman" w:hAnsi="Times New Roman" w:cs="Times New Roman"/>
                <w:sz w:val="24"/>
                <w:u w:color="000000"/>
                <w:bdr w:val="nil"/>
              </w:rPr>
              <w:t>Īpaša sēde</w:t>
            </w:r>
          </w:p>
        </w:tc>
      </w:tr>
      <w:tr w:rsidR="00BC5BDF" w:rsidRPr="00B37A02" w14:paraId="43B2BD0E" w14:textId="77777777" w:rsidTr="00C97F66">
        <w:trPr>
          <w:jc w:val="center"/>
        </w:trPr>
        <w:tc>
          <w:tcPr>
            <w:tcW w:w="1318" w:type="pct"/>
            <w:vAlign w:val="center"/>
          </w:tcPr>
          <w:p w14:paraId="6BAA5273" w14:textId="77777777" w:rsidR="00BC5BDF" w:rsidRPr="00B37A02" w:rsidRDefault="00BC5BDF" w:rsidP="00C97F66">
            <w:pPr>
              <w:widowControl w:val="0"/>
              <w:jc w:val="both"/>
              <w:rPr>
                <w:rFonts w:ascii="Times New Roman" w:eastAsia="Arial" w:hAnsi="Times New Roman" w:cs="Times New Roman"/>
                <w:sz w:val="24"/>
                <w:szCs w:val="24"/>
                <w:u w:color="000000"/>
                <w:bdr w:val="nil"/>
              </w:rPr>
            </w:pPr>
            <w:r w:rsidRPr="00B37A02">
              <w:rPr>
                <w:rFonts w:ascii="Times New Roman" w:hAnsi="Times New Roman" w:cs="Times New Roman"/>
                <w:sz w:val="24"/>
                <w:u w:color="000000"/>
                <w:bdr w:val="nil"/>
              </w:rPr>
              <w:lastRenderedPageBreak/>
              <w:t>2020. gada 20. novembris</w:t>
            </w:r>
          </w:p>
        </w:tc>
        <w:tc>
          <w:tcPr>
            <w:tcW w:w="1875" w:type="pct"/>
            <w:vAlign w:val="center"/>
          </w:tcPr>
          <w:p w14:paraId="0029E59D" w14:textId="77777777" w:rsidR="00BC5BDF" w:rsidRPr="00B37A02" w:rsidRDefault="00BC5BDF" w:rsidP="00C97F66">
            <w:pPr>
              <w:widowControl w:val="0"/>
              <w:jc w:val="both"/>
              <w:rPr>
                <w:rFonts w:ascii="Times New Roman" w:eastAsia="Arial" w:hAnsi="Times New Roman" w:cs="Times New Roman"/>
                <w:sz w:val="24"/>
                <w:szCs w:val="24"/>
                <w:u w:color="000000"/>
                <w:bdr w:val="nil"/>
              </w:rPr>
            </w:pPr>
            <w:r w:rsidRPr="00B37A02">
              <w:rPr>
                <w:rFonts w:ascii="Times New Roman" w:hAnsi="Times New Roman" w:cs="Times New Roman"/>
                <w:sz w:val="24"/>
                <w:u w:color="000000"/>
                <w:bdr w:val="nil"/>
              </w:rPr>
              <w:t xml:space="preserve">Sociālās aizsardzības komiteja </w:t>
            </w:r>
          </w:p>
        </w:tc>
        <w:tc>
          <w:tcPr>
            <w:tcW w:w="1807" w:type="pct"/>
            <w:vAlign w:val="center"/>
          </w:tcPr>
          <w:p w14:paraId="625A77CC" w14:textId="77777777" w:rsidR="00BC5BDF" w:rsidRPr="00B37A02" w:rsidRDefault="00BC5BDF" w:rsidP="00C97F66">
            <w:pPr>
              <w:widowControl w:val="0"/>
              <w:jc w:val="both"/>
              <w:rPr>
                <w:rFonts w:ascii="Times New Roman" w:eastAsia="Arial" w:hAnsi="Times New Roman" w:cs="Times New Roman"/>
                <w:sz w:val="24"/>
                <w:szCs w:val="24"/>
                <w:u w:color="000000"/>
                <w:bdr w:val="nil"/>
              </w:rPr>
            </w:pPr>
            <w:r w:rsidRPr="00B37A02">
              <w:rPr>
                <w:rFonts w:ascii="Times New Roman" w:hAnsi="Times New Roman" w:cs="Times New Roman"/>
                <w:sz w:val="24"/>
                <w:u w:color="000000"/>
                <w:bdr w:val="nil"/>
              </w:rPr>
              <w:t xml:space="preserve">Īpaša sēde </w:t>
            </w:r>
          </w:p>
        </w:tc>
      </w:tr>
      <w:tr w:rsidR="00BC5BDF" w:rsidRPr="00B37A02" w14:paraId="02CEB4E0" w14:textId="77777777" w:rsidTr="00C97F66">
        <w:trPr>
          <w:jc w:val="center"/>
        </w:trPr>
        <w:tc>
          <w:tcPr>
            <w:tcW w:w="1318" w:type="pct"/>
            <w:vAlign w:val="center"/>
          </w:tcPr>
          <w:p w14:paraId="3B0B922F" w14:textId="77777777" w:rsidR="00BC5BDF" w:rsidRPr="00B37A02" w:rsidRDefault="00BC5BDF" w:rsidP="00C97F66">
            <w:pPr>
              <w:widowControl w:val="0"/>
              <w:jc w:val="both"/>
              <w:rPr>
                <w:rFonts w:ascii="Times New Roman" w:eastAsia="Arial" w:hAnsi="Times New Roman" w:cs="Times New Roman"/>
                <w:sz w:val="24"/>
                <w:szCs w:val="24"/>
                <w:u w:color="000000"/>
                <w:bdr w:val="nil"/>
              </w:rPr>
            </w:pPr>
            <w:r w:rsidRPr="00B37A02">
              <w:rPr>
                <w:rFonts w:ascii="Times New Roman" w:hAnsi="Times New Roman" w:cs="Times New Roman"/>
                <w:sz w:val="24"/>
                <w:u w:color="000000"/>
                <w:bdr w:val="nil"/>
              </w:rPr>
              <w:t>2020. gada 25. novembris</w:t>
            </w:r>
          </w:p>
        </w:tc>
        <w:tc>
          <w:tcPr>
            <w:tcW w:w="1875" w:type="pct"/>
            <w:vAlign w:val="center"/>
          </w:tcPr>
          <w:p w14:paraId="45F3F595" w14:textId="77777777" w:rsidR="00BC5BDF" w:rsidRPr="00B37A02" w:rsidRDefault="00BC5BDF" w:rsidP="00C97F66">
            <w:pPr>
              <w:widowControl w:val="0"/>
              <w:jc w:val="both"/>
              <w:rPr>
                <w:rFonts w:ascii="Times New Roman" w:eastAsia="Arial" w:hAnsi="Times New Roman" w:cs="Times New Roman"/>
                <w:sz w:val="24"/>
                <w:szCs w:val="24"/>
                <w:u w:color="000000"/>
                <w:bdr w:val="nil"/>
              </w:rPr>
            </w:pPr>
            <w:r w:rsidRPr="00B37A02">
              <w:rPr>
                <w:rFonts w:ascii="Times New Roman" w:hAnsi="Times New Roman" w:cs="Times New Roman"/>
                <w:sz w:val="24"/>
                <w:u w:color="000000"/>
                <w:bdr w:val="nil"/>
              </w:rPr>
              <w:t>Reģionu komiteja</w:t>
            </w:r>
          </w:p>
        </w:tc>
        <w:tc>
          <w:tcPr>
            <w:tcW w:w="1807" w:type="pct"/>
            <w:vAlign w:val="center"/>
          </w:tcPr>
          <w:p w14:paraId="3B212D2C" w14:textId="77777777" w:rsidR="00BC5BDF" w:rsidRPr="00B37A02" w:rsidRDefault="00BC5BDF" w:rsidP="00C97F66">
            <w:pPr>
              <w:widowControl w:val="0"/>
              <w:jc w:val="both"/>
              <w:rPr>
                <w:rFonts w:ascii="Times New Roman" w:eastAsia="Arial" w:hAnsi="Times New Roman" w:cs="Times New Roman"/>
                <w:sz w:val="24"/>
                <w:szCs w:val="24"/>
                <w:u w:color="000000"/>
                <w:bdr w:val="nil"/>
              </w:rPr>
            </w:pPr>
            <w:r w:rsidRPr="00B37A02">
              <w:rPr>
                <w:rFonts w:ascii="Times New Roman" w:hAnsi="Times New Roman" w:cs="Times New Roman"/>
                <w:sz w:val="24"/>
                <w:u w:color="000000"/>
                <w:bdr w:val="nil"/>
              </w:rPr>
              <w:t>Īpaša sēde</w:t>
            </w:r>
          </w:p>
        </w:tc>
      </w:tr>
      <w:tr w:rsidR="00BC5BDF" w:rsidRPr="00B37A02" w14:paraId="17FEC34B" w14:textId="77777777" w:rsidTr="00C97F66">
        <w:trPr>
          <w:jc w:val="center"/>
        </w:trPr>
        <w:tc>
          <w:tcPr>
            <w:tcW w:w="1318" w:type="pct"/>
            <w:vAlign w:val="center"/>
          </w:tcPr>
          <w:p w14:paraId="4EFD9837" w14:textId="77777777" w:rsidR="00BC5BDF" w:rsidRPr="00B37A02" w:rsidRDefault="00BC5BDF" w:rsidP="00C97F66">
            <w:pPr>
              <w:widowControl w:val="0"/>
              <w:jc w:val="both"/>
              <w:rPr>
                <w:rFonts w:ascii="Times New Roman" w:eastAsia="Arial" w:hAnsi="Times New Roman" w:cs="Times New Roman"/>
                <w:sz w:val="24"/>
                <w:szCs w:val="24"/>
                <w:u w:color="000000"/>
                <w:bdr w:val="nil"/>
              </w:rPr>
            </w:pPr>
            <w:r w:rsidRPr="00B37A02">
              <w:rPr>
                <w:rFonts w:ascii="Times New Roman" w:hAnsi="Times New Roman" w:cs="Times New Roman"/>
                <w:sz w:val="24"/>
                <w:u w:color="000000"/>
                <w:bdr w:val="nil"/>
              </w:rPr>
              <w:t>2020. gada 25. novembris</w:t>
            </w:r>
          </w:p>
        </w:tc>
        <w:tc>
          <w:tcPr>
            <w:tcW w:w="1875" w:type="pct"/>
            <w:vAlign w:val="center"/>
          </w:tcPr>
          <w:p w14:paraId="71C56194" w14:textId="77777777" w:rsidR="00BC5BDF" w:rsidRPr="00B37A02" w:rsidRDefault="00BC5BDF" w:rsidP="00C97F66">
            <w:pPr>
              <w:widowControl w:val="0"/>
              <w:jc w:val="both"/>
              <w:rPr>
                <w:rFonts w:ascii="Times New Roman" w:eastAsia="Arial" w:hAnsi="Times New Roman" w:cs="Times New Roman"/>
                <w:sz w:val="24"/>
                <w:szCs w:val="24"/>
                <w:u w:color="000000"/>
                <w:bdr w:val="nil"/>
              </w:rPr>
            </w:pPr>
            <w:r w:rsidRPr="00B37A02">
              <w:rPr>
                <w:rFonts w:ascii="Times New Roman" w:hAnsi="Times New Roman" w:cs="Times New Roman"/>
                <w:sz w:val="24"/>
                <w:u w:color="000000"/>
                <w:bdr w:val="nil"/>
              </w:rPr>
              <w:t>Starptautiskā Darba organizācija</w:t>
            </w:r>
          </w:p>
        </w:tc>
        <w:tc>
          <w:tcPr>
            <w:tcW w:w="1807" w:type="pct"/>
            <w:vAlign w:val="center"/>
          </w:tcPr>
          <w:p w14:paraId="3C3D5550" w14:textId="77777777" w:rsidR="00BC5BDF" w:rsidRPr="00B37A02" w:rsidRDefault="00BC5BDF" w:rsidP="00C97F66">
            <w:pPr>
              <w:widowControl w:val="0"/>
              <w:jc w:val="both"/>
              <w:rPr>
                <w:rFonts w:ascii="Times New Roman" w:eastAsia="Arial" w:hAnsi="Times New Roman" w:cs="Times New Roman"/>
                <w:sz w:val="24"/>
                <w:szCs w:val="24"/>
                <w:u w:color="000000"/>
                <w:bdr w:val="nil"/>
              </w:rPr>
            </w:pPr>
            <w:r w:rsidRPr="00B37A02">
              <w:rPr>
                <w:rFonts w:ascii="Times New Roman" w:hAnsi="Times New Roman" w:cs="Times New Roman"/>
                <w:i/>
                <w:iCs/>
                <w:sz w:val="24"/>
                <w:u w:color="000000"/>
                <w:bdr w:val="nil"/>
              </w:rPr>
              <w:t>Ad hoc</w:t>
            </w:r>
            <w:r w:rsidRPr="00B37A02">
              <w:rPr>
                <w:rFonts w:ascii="Times New Roman" w:hAnsi="Times New Roman" w:cs="Times New Roman"/>
                <w:sz w:val="24"/>
                <w:u w:color="000000"/>
                <w:bdr w:val="nil"/>
              </w:rPr>
              <w:t xml:space="preserve"> komentārs </w:t>
            </w:r>
          </w:p>
        </w:tc>
      </w:tr>
      <w:tr w:rsidR="00BC5BDF" w:rsidRPr="00B37A02" w14:paraId="3B264360" w14:textId="77777777" w:rsidTr="00C97F66">
        <w:trPr>
          <w:jc w:val="center"/>
        </w:trPr>
        <w:tc>
          <w:tcPr>
            <w:tcW w:w="1318" w:type="pct"/>
            <w:vAlign w:val="center"/>
          </w:tcPr>
          <w:p w14:paraId="2396D6EF" w14:textId="77777777" w:rsidR="00BC5BDF" w:rsidRPr="00B37A02" w:rsidRDefault="00BC5BDF" w:rsidP="00C97F66">
            <w:pPr>
              <w:widowControl w:val="0"/>
              <w:jc w:val="both"/>
              <w:rPr>
                <w:rFonts w:ascii="Times New Roman" w:eastAsia="Arial" w:hAnsi="Times New Roman" w:cs="Times New Roman"/>
                <w:sz w:val="24"/>
                <w:szCs w:val="24"/>
                <w:u w:color="000000"/>
                <w:bdr w:val="nil"/>
              </w:rPr>
            </w:pPr>
            <w:r w:rsidRPr="00B37A02">
              <w:rPr>
                <w:rFonts w:ascii="Times New Roman" w:hAnsi="Times New Roman" w:cs="Times New Roman"/>
                <w:sz w:val="24"/>
                <w:u w:color="000000"/>
                <w:bdr w:val="nil"/>
              </w:rPr>
              <w:t>2020. gada 26. novembris</w:t>
            </w:r>
          </w:p>
        </w:tc>
        <w:tc>
          <w:tcPr>
            <w:tcW w:w="1875" w:type="pct"/>
            <w:vAlign w:val="center"/>
          </w:tcPr>
          <w:p w14:paraId="6CC05BA0" w14:textId="77777777" w:rsidR="00BC5BDF" w:rsidRPr="00B37A02" w:rsidRDefault="00BC5BDF" w:rsidP="00C97F66">
            <w:pPr>
              <w:widowControl w:val="0"/>
              <w:jc w:val="both"/>
              <w:rPr>
                <w:rFonts w:ascii="Times New Roman" w:eastAsia="Arial" w:hAnsi="Times New Roman" w:cs="Times New Roman"/>
                <w:sz w:val="24"/>
                <w:szCs w:val="24"/>
                <w:u w:color="000000"/>
                <w:bdr w:val="nil"/>
              </w:rPr>
            </w:pPr>
            <w:r w:rsidRPr="00B37A02">
              <w:rPr>
                <w:rFonts w:ascii="Times New Roman" w:hAnsi="Times New Roman" w:cs="Times New Roman"/>
                <w:sz w:val="24"/>
                <w:u w:color="000000"/>
                <w:bdr w:val="nil"/>
              </w:rPr>
              <w:t>Pilsoniskās sabiedrības organizācijas</w:t>
            </w:r>
          </w:p>
        </w:tc>
        <w:tc>
          <w:tcPr>
            <w:tcW w:w="1807" w:type="pct"/>
            <w:vAlign w:val="center"/>
          </w:tcPr>
          <w:p w14:paraId="2A87E9EF" w14:textId="77777777" w:rsidR="00BC5BDF" w:rsidRPr="00B37A02" w:rsidRDefault="00BC5BDF" w:rsidP="00C97F66">
            <w:pPr>
              <w:widowControl w:val="0"/>
              <w:jc w:val="both"/>
              <w:rPr>
                <w:rFonts w:ascii="Times New Roman" w:eastAsia="Arial" w:hAnsi="Times New Roman" w:cs="Times New Roman"/>
                <w:sz w:val="24"/>
                <w:szCs w:val="24"/>
                <w:u w:color="000000"/>
                <w:bdr w:val="nil"/>
              </w:rPr>
            </w:pPr>
            <w:r w:rsidRPr="00B37A02">
              <w:rPr>
                <w:rFonts w:ascii="Times New Roman" w:hAnsi="Times New Roman" w:cs="Times New Roman"/>
                <w:sz w:val="24"/>
                <w:u w:color="000000"/>
                <w:bdr w:val="nil"/>
              </w:rPr>
              <w:t>Stratēģiskā dialoga sanāksme</w:t>
            </w:r>
          </w:p>
        </w:tc>
      </w:tr>
    </w:tbl>
    <w:p w14:paraId="45F393A4" w14:textId="77777777" w:rsidR="00BC5BDF" w:rsidRPr="00B37A02" w:rsidRDefault="00BC5BDF" w:rsidP="00C97F66">
      <w:pPr>
        <w:pStyle w:val="BodyText"/>
        <w:widowControl w:val="0"/>
        <w:spacing w:after="0"/>
        <w:rPr>
          <w:rFonts w:ascii="Times New Roman" w:hAnsi="Times New Roman"/>
          <w:sz w:val="24"/>
          <w:szCs w:val="24"/>
          <w:shd w:val="clear" w:color="auto" w:fill="FFFFFF"/>
        </w:rPr>
      </w:pPr>
    </w:p>
    <w:sectPr w:rsidR="00BC5BDF" w:rsidRPr="00B37A02" w:rsidSect="00C12DE6">
      <w:headerReference w:type="default" r:id="rId39"/>
      <w:footerReference w:type="default" r:id="rId40"/>
      <w:headerReference w:type="first" r:id="rId41"/>
      <w:footerReference w:type="first" r:id="rId42"/>
      <w:pgSz w:w="11906" w:h="16838"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F38BF" w14:textId="77777777" w:rsidR="00C12DE6" w:rsidRPr="00BC5BDF" w:rsidRDefault="00C12DE6">
      <w:pPr>
        <w:spacing w:after="0" w:line="240" w:lineRule="auto"/>
        <w:rPr>
          <w:noProof/>
          <w:lang w:val="en-US"/>
        </w:rPr>
      </w:pPr>
      <w:r w:rsidRPr="00BC5BDF">
        <w:rPr>
          <w:noProof/>
          <w:lang w:val="en-US"/>
        </w:rPr>
        <w:separator/>
      </w:r>
    </w:p>
  </w:endnote>
  <w:endnote w:type="continuationSeparator" w:id="0">
    <w:p w14:paraId="4F0D3162" w14:textId="77777777" w:rsidR="00C12DE6" w:rsidRPr="00BC5BDF" w:rsidRDefault="00C12DE6">
      <w:pPr>
        <w:spacing w:after="0" w:line="240" w:lineRule="auto"/>
        <w:rPr>
          <w:noProof/>
          <w:lang w:val="en-US"/>
        </w:rPr>
      </w:pPr>
      <w:r w:rsidRPr="00BC5BDF">
        <w:rPr>
          <w:noProof/>
          <w:lang w:val="en-US"/>
        </w:rPr>
        <w:continuationSeparator/>
      </w:r>
    </w:p>
  </w:endnote>
  <w:endnote w:type="continuationNotice" w:id="1">
    <w:p w14:paraId="6886F883" w14:textId="77777777" w:rsidR="00C12DE6" w:rsidRDefault="00C12D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0CEFC" w14:textId="77777777" w:rsidR="00C35CB0" w:rsidRPr="009C04EC" w:rsidRDefault="00C35CB0" w:rsidP="00C35CB0">
    <w:pPr>
      <w:pStyle w:val="Header"/>
      <w:tabs>
        <w:tab w:val="left" w:pos="9072"/>
      </w:tabs>
      <w:rPr>
        <w:rStyle w:val="PageNumber"/>
        <w:rFonts w:ascii="Times New Roman" w:hAnsi="Times New Roman" w:cs="Times New Roman"/>
        <w:noProof/>
        <w:sz w:val="20"/>
        <w:szCs w:val="20"/>
        <w:u w:val="single"/>
        <w:lang w:val="en-US"/>
      </w:rPr>
    </w:pPr>
  </w:p>
  <w:p w14:paraId="19C14B27" w14:textId="77777777" w:rsidR="00C35CB0" w:rsidRPr="009C04EC" w:rsidRDefault="00C35CB0" w:rsidP="00C35CB0">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276CD416" w14:textId="77777777" w:rsidR="00C35CB0" w:rsidRPr="009C04EC" w:rsidRDefault="00C35CB0" w:rsidP="00C35CB0">
    <w:pPr>
      <w:pStyle w:val="Header"/>
      <w:tabs>
        <w:tab w:val="right" w:pos="9072"/>
      </w:tabs>
      <w:rPr>
        <w:rStyle w:val="PageNumber"/>
        <w:rFonts w:ascii="Times New Roman" w:hAnsi="Times New Roman" w:cs="Times New Roman"/>
        <w:noProof/>
        <w:sz w:val="20"/>
        <w:szCs w:val="20"/>
        <w:u w:val="single"/>
        <w:lang w:val="en-US"/>
      </w:rPr>
    </w:pPr>
  </w:p>
  <w:p w14:paraId="45026173" w14:textId="0550F697" w:rsidR="00DB51D6" w:rsidRPr="00C35CB0" w:rsidRDefault="00C35CB0" w:rsidP="00C35CB0">
    <w:pPr>
      <w:pStyle w:val="Footer"/>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2023</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AECD3" w14:textId="77777777" w:rsidR="00CA0CAD" w:rsidRPr="009C04EC" w:rsidRDefault="00CA0CAD" w:rsidP="00CA0CAD">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467BFBC5" w14:textId="77777777" w:rsidR="00CA0CAD" w:rsidRPr="009C04EC" w:rsidRDefault="00CA0CAD" w:rsidP="00CA0CAD">
    <w:pPr>
      <w:pStyle w:val="Header"/>
      <w:tabs>
        <w:tab w:val="left" w:pos="9072"/>
      </w:tabs>
      <w:rPr>
        <w:rStyle w:val="PageNumber"/>
        <w:rFonts w:ascii="Times New Roman" w:hAnsi="Times New Roman" w:cs="Times New Roman"/>
        <w:noProof/>
        <w:sz w:val="20"/>
        <w:szCs w:val="20"/>
        <w:u w:val="single"/>
        <w:lang w:val="en-US"/>
      </w:rPr>
    </w:pPr>
  </w:p>
  <w:p w14:paraId="4E9F4632" w14:textId="5B2BAA9C" w:rsidR="00DB51D6" w:rsidRPr="00CA0CAD" w:rsidRDefault="00CA0CAD">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94D9D" w14:textId="77777777" w:rsidR="00C12DE6" w:rsidRPr="00BC5BDF" w:rsidRDefault="00C12DE6">
      <w:pPr>
        <w:spacing w:after="0" w:line="240" w:lineRule="auto"/>
        <w:rPr>
          <w:noProof/>
          <w:lang w:val="en-US"/>
        </w:rPr>
      </w:pPr>
      <w:r w:rsidRPr="00BC5BDF">
        <w:rPr>
          <w:noProof/>
          <w:lang w:val="en-US"/>
        </w:rPr>
        <w:separator/>
      </w:r>
    </w:p>
  </w:footnote>
  <w:footnote w:type="continuationSeparator" w:id="0">
    <w:p w14:paraId="7FA40509" w14:textId="77777777" w:rsidR="00C12DE6" w:rsidRPr="00BC5BDF" w:rsidRDefault="00C12DE6">
      <w:pPr>
        <w:spacing w:after="0" w:line="240" w:lineRule="auto"/>
        <w:rPr>
          <w:noProof/>
          <w:lang w:val="en-US"/>
        </w:rPr>
      </w:pPr>
      <w:r w:rsidRPr="00BC5BDF">
        <w:rPr>
          <w:noProof/>
          <w:lang w:val="en-US"/>
        </w:rPr>
        <w:continuationSeparator/>
      </w:r>
    </w:p>
  </w:footnote>
  <w:footnote w:type="continuationNotice" w:id="1">
    <w:p w14:paraId="1C9F434A" w14:textId="77777777" w:rsidR="00C12DE6" w:rsidRDefault="00C12DE6">
      <w:pPr>
        <w:spacing w:after="0" w:line="240" w:lineRule="auto"/>
      </w:pPr>
    </w:p>
  </w:footnote>
  <w:footnote w:id="2">
    <w:p w14:paraId="7FF70B81" w14:textId="66364139"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Jo īpaši 1. principu “Vispārīgā un profesionālā izglītība un mūžizglītība”, 3. principu “Vienādas iespējas”, 11. principu “Bērnu aprūpe un atbalsts bērniem”, 14. principu “Minimālie ienākumi”, 16. principu “Veselības aprūpe”, 17. principu “Personu ar invaliditāti iekļaušana” un 19. principu “Mājokļi un palīdzība bezpajumtniekiem”.</w:t>
      </w:r>
    </w:p>
  </w:footnote>
  <w:footnote w:id="3">
    <w:p w14:paraId="43814B4D" w14:textId="20A91BB6"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Komisijas 2021. gada 4. marta paziņojums Eiropas Parlamentam, Padomei, Eiropas Ekonomikas un sociālo lietu komitejai un Reģionu komitejai “Eiropas sociālo tiesību pīlāra rīcības plāns”, COM(2021) 102 final.</w:t>
      </w:r>
    </w:p>
  </w:footnote>
  <w:footnote w:id="4">
    <w:p w14:paraId="52329121"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Komisijas 2013. gada 20. februāra Ieteikums 2013/112/ES “Ieguldījums bērnos: nabadzības apburtā loka pārraušana”.</w:t>
      </w:r>
    </w:p>
  </w:footnote>
  <w:footnote w:id="5">
    <w:p w14:paraId="78F675C1"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Komisijas paziņojums Eiropas Parlamentam, Padomei, Eiropas Ekonomikas un sociālo lietu komitejai un Reģionu komitejai “ES stratēģija par bērna tiesībām”, COM(2021) 142.</w:t>
      </w:r>
    </w:p>
  </w:footnote>
  <w:footnote w:id="6">
    <w:p w14:paraId="221053FE" w14:textId="77777777" w:rsidR="00BC5BDF" w:rsidRPr="00CA35DB" w:rsidRDefault="00BC5BDF" w:rsidP="00CA35DB">
      <w:pPr>
        <w:pStyle w:val="NoSpacing"/>
        <w:rPr>
          <w:noProof/>
          <w:sz w:val="20"/>
          <w:szCs w:val="20"/>
        </w:rPr>
      </w:pPr>
      <w:r>
        <w:rPr>
          <w:rStyle w:val="FootnoteReference"/>
          <w:noProof/>
          <w:sz w:val="20"/>
          <w:szCs w:val="20"/>
          <w:lang w:val="en-US"/>
        </w:rPr>
        <w:footnoteRef/>
      </w:r>
      <w:r>
        <w:rPr>
          <w:sz w:val="20"/>
        </w:rPr>
        <w:t xml:space="preserve"> Skat. Komisijas paziņojumu “Virzība uz solidāru Eiropu: cīņas pret sociālo atstumtību pastiprināšana un integrācijas sekmēšana”, COM(92) 531, un Padomes 1989. gada Rezolūciju “Sociālās atstumtības apkarošana. Sociālās atstumtības daudzdimensionāla analīze”.</w:t>
      </w:r>
    </w:p>
  </w:footnote>
  <w:footnote w:id="7">
    <w:p w14:paraId="6F0A3E07" w14:textId="77777777" w:rsidR="00EC5DE2"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Piemēram, 2018. gadā S80/S20 kvintiļu attiecības indekss, mērot kopējo ienākumu sadales nevienlīdzību, ASV bija 8,4, savukārt 27 ES dalībvalstīs – tikai 5,05. Citās vadošajās valstīs vai nu trūka aktuālu un ticamu datu (šis aptuvenais rādītājs Ķīnā 2011. gadā bija 28,3), vai arī šis rādītājs pārsniedza Eiropas Savienības līmeni (Apvienotajā Karalistē – 5,6, savukārt Japānā – 6,2). Lai gan kopējais tautas attīstības indekss ir nedaudz pazeminājies (2019. gadā ASV – 0,920, savukārt 27 ES dalībvalstīs – 0,894), vidusmēra eiropietis dzīvo par 2,4 gadiem ilgāk nekā vidusmēra amerikānis (paredzamais dzīves ilgums Eiropā 2018. gadā bija 80,9 gadi, savukārt ASV – 78,5 gadi).</w:t>
      </w:r>
    </w:p>
    <w:p w14:paraId="6772F9E2" w14:textId="6192F339" w:rsidR="00BC5BDF" w:rsidRPr="00CA35DB" w:rsidRDefault="00BC5BDF" w:rsidP="00CA35DB">
      <w:pPr>
        <w:pStyle w:val="FootnoteText"/>
        <w:jc w:val="both"/>
        <w:rPr>
          <w:rFonts w:ascii="Times New Roman" w:hAnsi="Times New Roman" w:cs="Times New Roman"/>
          <w:noProof/>
          <w:lang w:val="en-US"/>
        </w:rPr>
      </w:pPr>
    </w:p>
  </w:footnote>
  <w:footnote w:id="8">
    <w:p w14:paraId="40E93F4C" w14:textId="05DC5353"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Komisijas 2013. gada 20. februāra paziņojumu Eiropas Parlamentam, Padomei, Eiropas Ekonomikas un sociālo lietu komitejai un Reģionu komitejai “Sociālie ieguldījumi izaugsmei un kohēzijai, tostarp Eiropas Sociālā fonda īstenošana 2014.–2020. gadā”, COM(2013)83 final (to dēvē arī par Sociālo ieguldījumu paketi).</w:t>
      </w:r>
    </w:p>
  </w:footnote>
  <w:footnote w:id="9">
    <w:p w14:paraId="4F2E2B8A" w14:textId="0C27A1E0"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Hemerijck, A., Burgoon, B., di Pietro, A., Vydra, S., </w:t>
      </w:r>
      <w:r>
        <w:rPr>
          <w:rFonts w:ascii="Times New Roman" w:hAnsi="Times New Roman"/>
          <w:i/>
        </w:rPr>
        <w:t>Assessing Social Investment Synergies (ASIS)</w:t>
      </w:r>
      <w:r>
        <w:rPr>
          <w:rFonts w:ascii="Times New Roman" w:hAnsi="Times New Roman"/>
        </w:rPr>
        <w:t>, European Commission, Brussels, 2016.</w:t>
      </w:r>
    </w:p>
  </w:footnote>
  <w:footnote w:id="10">
    <w:p w14:paraId="39491A4F"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D'Addio, A., </w:t>
      </w:r>
      <w:r>
        <w:rPr>
          <w:rFonts w:ascii="Times New Roman" w:hAnsi="Times New Roman"/>
          <w:i/>
        </w:rPr>
        <w:t>Intergenerational Transmission of Disadvantage: Mobility or Immobility Across Generations?</w:t>
      </w:r>
      <w:r>
        <w:rPr>
          <w:rFonts w:ascii="Times New Roman" w:hAnsi="Times New Roman"/>
        </w:rPr>
        <w:t>, OECD Publishing, Paris 2007.</w:t>
      </w:r>
    </w:p>
  </w:footnote>
  <w:footnote w:id="11">
    <w:p w14:paraId="448325FC" w14:textId="2CAA8FCE"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Feasibility study for a child guarantee. Final report, p. 58, pieejams: https://op.europa.eu/en/publication-detail/-/publication/c312c468-c7e0-11ea-adf7-01aa75ed71a1/language-en. Neapmierinātu zobārstniecības vajadzību biežums ir vairāk nekā divas reizes lielāks, skat. B. pielikuma B11. tabulu.</w:t>
      </w:r>
    </w:p>
  </w:footnote>
  <w:footnote w:id="12">
    <w:p w14:paraId="765513DA"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Papildu informācijai skat. B pielikuma B2. attēlu.</w:t>
      </w:r>
    </w:p>
  </w:footnote>
  <w:footnote w:id="13">
    <w:p w14:paraId="38E79432"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Feasibility study for a child guarantee. Final report.</w:t>
      </w:r>
    </w:p>
  </w:footnote>
  <w:footnote w:id="14">
    <w:p w14:paraId="272D21B3" w14:textId="11B179B9"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“Mēreni ienākumi” tiek definēti kā 67 % no vidējās algas. Feasibility study for a child guarantee. Final report, p. 58, skat. arī ESAO datus par 2019. gadu.</w:t>
      </w:r>
    </w:p>
  </w:footnote>
  <w:footnote w:id="15">
    <w:p w14:paraId="09729A36"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Līdz 2019. gadam 12 dalībvalstis bija sasniegušas noteikto mērķi attiecībā uz bērniem, kuri ir jaunāki par 3 gadiem (33 % no visiem </w:t>
      </w:r>
      <w:r>
        <w:rPr>
          <w:rFonts w:ascii="Times New Roman" w:hAnsi="Times New Roman"/>
          <w:i/>
          <w:iCs/>
        </w:rPr>
        <w:t>ECEC</w:t>
      </w:r>
      <w:r>
        <w:rPr>
          <w:rFonts w:ascii="Times New Roman" w:hAnsi="Times New Roman"/>
        </w:rPr>
        <w:t xml:space="preserve"> uzņemtajiem iedzīvotājiem), savukārt 13 dalībvalstis – noteikto mērķi attiecībā uz vecāka gadagājuma grupu (vecumā no 3 gadiem līdz obligātajam skolas vecumam, 90 % no uzņemtajiem iedzīvotājiem). Skat. B pielikuma B1. attēlu.</w:t>
      </w:r>
    </w:p>
  </w:footnote>
  <w:footnote w:id="16">
    <w:p w14:paraId="0C92B65A"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w:t>
      </w:r>
      <w:r>
        <w:rPr>
          <w:rFonts w:ascii="Times New Roman" w:hAnsi="Times New Roman"/>
          <w:shd w:val="clear" w:color="auto" w:fill="FFFFFF"/>
        </w:rPr>
        <w:t>Beļģija, Igaunija, Francija, Slovākija</w:t>
      </w:r>
      <w:r>
        <w:rPr>
          <w:rFonts w:ascii="Times New Roman" w:hAnsi="Times New Roman"/>
        </w:rPr>
        <w:t>. Feasibility study for a child guarantee. Final report, p. 59.</w:t>
      </w:r>
    </w:p>
  </w:footnote>
  <w:footnote w:id="17">
    <w:p w14:paraId="736A5F07"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Feasibility study for a child guarantee. Final report, p. 67–68. </w:t>
      </w:r>
      <w:r>
        <w:rPr>
          <w:rFonts w:ascii="Times New Roman" w:hAnsi="Times New Roman"/>
          <w:shd w:val="clear" w:color="auto" w:fill="FFFFFF"/>
        </w:rPr>
        <w:t>Šis īpatsvars dalībvalstīs bija ļoti atšķirīgs, svārstoties no 1 % līdz 42 %.</w:t>
      </w:r>
    </w:p>
  </w:footnote>
  <w:footnote w:id="18">
    <w:p w14:paraId="52CC828F"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w:t>
      </w:r>
      <w:r>
        <w:rPr>
          <w:rFonts w:ascii="Times New Roman" w:hAnsi="Times New Roman"/>
          <w:shd w:val="clear" w:color="auto" w:fill="FFFFFF"/>
        </w:rPr>
        <w:t>Rumānija, Ungārija, Latvija, Bulgārija, Lietuva un Polija.</w:t>
      </w:r>
    </w:p>
  </w:footnote>
  <w:footnote w:id="19">
    <w:p w14:paraId="0AB97AE6" w14:textId="06C34560" w:rsidR="00BC5BDF" w:rsidRPr="00CA35DB" w:rsidRDefault="00BC5BDF" w:rsidP="00CA35DB">
      <w:pPr>
        <w:pStyle w:val="FootnoteText"/>
        <w:jc w:val="both"/>
        <w:rPr>
          <w:rFonts w:ascii="Times New Roman" w:hAnsi="Times New Roman" w:cs="Times New Roman"/>
          <w:noProof/>
          <w:shd w:val="clear" w:color="auto" w:fill="FFFFFF"/>
        </w:rPr>
      </w:pPr>
      <w:r>
        <w:rPr>
          <w:rStyle w:val="FootnoteReference"/>
          <w:rFonts w:ascii="Times New Roman" w:hAnsi="Times New Roman" w:cs="Times New Roman"/>
          <w:noProof/>
          <w:lang w:val="en-US"/>
        </w:rPr>
        <w:footnoteRef/>
      </w:r>
      <w:r>
        <w:rPr>
          <w:rFonts w:ascii="Times New Roman" w:hAnsi="Times New Roman"/>
        </w:rPr>
        <w:t xml:space="preserve"> Feasibility study for a child guarantee. Final report, Figure. 3.1, p. 51. </w:t>
      </w:r>
      <w:r>
        <w:rPr>
          <w:rFonts w:ascii="Times New Roman" w:hAnsi="Times New Roman"/>
          <w:shd w:val="clear" w:color="auto" w:fill="FFFFFF"/>
        </w:rPr>
        <w:t>Ar ļoti sliktiem sadzīves apstākļiem saprot pārapdzīvotību apvienojumā ar vismaz vienu no šiem sliktu sadzīves apstākļu elementiem: i) caurs jumts, mitras sienas/grīda/pamati vai logu rāmju vai grīdas puve; ii) mājoklī nav vannas vai dušas; iii) nav ūdensklozeta tualetes iekštelpās tikai attiecīgās mājsaimniecības vajadzībām; iv) nepietiekami daudz gaismas. Personu uzskata par tādu, kas dzīvo pārapdzīvotā mājsaimniecībā, ja mājsaimniecības rīcībā nav šāda minimālā istabu skaita: i) viena istaba mājsaimniecībai; ii) viena istaba katram pārim mājsaimniecībā; iii) viena istaba katrai personai vecumā no 18 gadiem; iv) viena istaba divām viena dzimuma personām vecumā no 12 līdz 17 gadiem; v) viena istaba katrai personai vecumā no 12 līdz 17 gadiem, kas nav minēta iepriekš norādītajās kategorijās; vi) viena istaba diviem bērniem, kas jaunāki par 12 gadiem.</w:t>
      </w:r>
    </w:p>
  </w:footnote>
  <w:footnote w:id="20">
    <w:p w14:paraId="08AC7FF5" w14:textId="317928F9"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European Commission Annual Review 2019 on Employment and Social Developments in Europe, ‘Sustainable Growth for all: choices for the future of social Europe’, pieejams vietnē: https://ec.europa.eu/social/main.jsp?catId=738&amp;langId=en&amp;pubId=8219, 1.5. punkts.</w:t>
      </w:r>
    </w:p>
  </w:footnote>
  <w:footnote w:id="21">
    <w:p w14:paraId="5CB58888" w14:textId="54B8B368"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Padomes 2021. gada 15. martā pieņemtais ziņojums “Joint Employment Report 2021” [Vienotais nodarbinātības ziņojums].</w:t>
      </w:r>
    </w:p>
  </w:footnote>
  <w:footnote w:id="22">
    <w:p w14:paraId="3B43C1E4"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t xml:space="preserve"> </w:t>
      </w:r>
      <w:r>
        <w:rPr>
          <w:rFonts w:ascii="Times New Roman" w:hAnsi="Times New Roman"/>
        </w:rPr>
        <w:t>European Commission Annual Review 2020 on Employment and Social Developments in Europe, Leaving no one behind and striving for more: fairness and solidarity in the European social market economy, p. 15.</w:t>
      </w:r>
    </w:p>
  </w:footnote>
  <w:footnote w:id="23">
    <w:p w14:paraId="317224AA"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Eurofound (2021), </w:t>
      </w:r>
      <w:r>
        <w:rPr>
          <w:rFonts w:ascii="Times New Roman" w:hAnsi="Times New Roman"/>
          <w:i/>
        </w:rPr>
        <w:t>Education, healthcare and housing: How access changed for children and families in 2020.</w:t>
      </w:r>
    </w:p>
  </w:footnote>
  <w:footnote w:id="24">
    <w:p w14:paraId="02F569A0"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Di Pietro, G., Biagi, F., Costa, P., Karpiński Z., Mazza, J, </w:t>
      </w:r>
      <w:r>
        <w:rPr>
          <w:rFonts w:ascii="Times New Roman" w:hAnsi="Times New Roman"/>
          <w:i/>
        </w:rPr>
        <w:t>The likely impact of COVID-19 on education: Reflections based on the existing literature and international datasets</w:t>
      </w:r>
      <w:r>
        <w:rPr>
          <w:rFonts w:ascii="Times New Roman" w:hAnsi="Times New Roman"/>
        </w:rPr>
        <w:t>, Publications Office of the European Union, Luxembourg, 2020.</w:t>
      </w:r>
    </w:p>
  </w:footnote>
  <w:footnote w:id="25">
    <w:p w14:paraId="1BE1C6C4"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Ziņojumu par apspriedi ar ieinteresētajām pusēm C pielikumā.</w:t>
      </w:r>
    </w:p>
  </w:footnote>
  <w:footnote w:id="26">
    <w:p w14:paraId="3F93040E"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w:t>
      </w:r>
      <w:r>
        <w:rPr>
          <w:rFonts w:ascii="Times New Roman" w:hAnsi="Times New Roman"/>
          <w:i/>
          <w:iCs/>
        </w:rPr>
        <w:t>AROPE</w:t>
      </w:r>
      <w:r>
        <w:rPr>
          <w:rFonts w:ascii="Times New Roman" w:hAnsi="Times New Roman"/>
        </w:rPr>
        <w:t xml:space="preserve"> rādītājs norāda to iedzīvotāju kopskaita daļu, kuri ir pakļauti nabadzības vai sociālās atstumtības riskam, un tas ir galvenais rādītājs stratēģijā “Eiropa 2020” noteiktā nabadzības apkarošanas mērķa uzraudzībai.</w:t>
      </w:r>
    </w:p>
  </w:footnote>
  <w:footnote w:id="27">
    <w:p w14:paraId="060F5612"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Ar to saprot situāciju, kad mājsaimniecības rīcībā esošie ienākumi (t. i., ienākumi pēc nodokļu atskaitīšanas un sociālie transferti) atbilstoši mājsaimniecības lielumam nepārsniedz 60 % no valsts vidējiem ekvivalentajiem rīcībā esošajiem ienākumiem. 60 % no vidējiem rīcībā esošajiem ienākumiem ir ES noteiktais nabadzības slieksnis, taču ir pieejama informācija arī par citiem sliekšņiem (40 %, 50 % un 70 % no vidējiem rīcībā esošajiem ienākumiem). Jāatzīmē, ka ienākumu statistisko korekciju atbilstoši mājsaimniecības lielumam veic, attiecinot vērtību uz visiem mājsaimniecības locekļiem, proti, 1,0 – uz pirmo pieaugušo, 0,5 – uz otro pieaugušo un katru nākamo personu no 14 gadu vecuma un 0,3 – uz katru bērnu, kurš ir jaunāks par 14 gadiem. Tas nozīmē, ka, saglabājot nemainīgu ienākumu līmeni, mājsaimniecība var noslīdēt zemāk par nabadzības slieksni ne tikai tad, kad ģimenē ienāk jaundzimušais, bet arī tad, kad mainās bērna statistiskā vērtība, viņam sasniedzot 14 gadu vecumu.</w:t>
      </w:r>
    </w:p>
  </w:footnote>
  <w:footnote w:id="28">
    <w:p w14:paraId="1565A0DF"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Ar to saprot nespēju samaksāt par vismaz četrām no deviņām turpmāk minētajām vienībām: 1) maksāt īri, hipotēku vai komunālo pakalpojumu rēķinus; 2) pietiekami apsildīt mājokli; 3) apmaksāt neparedzētus izdevumus; 4) regulāri ēst gaļu vai uzņemt proteīnus; 5) pavadīt brīvdienas ārpus dzīvesvietas; 6) iegādāties televizoru; 7) iegādāties veļas mazgājamo mašīnu; 8) iegādāties automašīnu; 9) iegādāties telefonu.</w:t>
      </w:r>
    </w:p>
  </w:footnote>
  <w:footnote w:id="29">
    <w:p w14:paraId="76D9448E"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Ar to saprot situāciju, kad mājsaimniecībā dzīvojošie pieaugušie darbspējas vecumā pēdējo 12 mēnešu laikā strādājuši mazāk par 20 % no sava darba potenciāla.</w:t>
      </w:r>
    </w:p>
  </w:footnote>
  <w:footnote w:id="30">
    <w:p w14:paraId="0827E89C"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Dalībvalstu kontekstā lielākais nabadzības riskam vai sociālajai atstumtībai pakļauto bērnu skaits novērojams Francijā (3,0 miljoni salīdzinājumā ar 3,1 miljoniem 2018. gadā), kā arī Itālijā, Spānijā, Vācijā, Rumānijā un Polijā. Papildu informācijai skat. A pielikuma A1. attēlu.</w:t>
      </w:r>
    </w:p>
  </w:footnote>
  <w:footnote w:id="31">
    <w:p w14:paraId="7E13673C"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Dati par 2019. gadu. </w:t>
      </w:r>
      <w:r>
        <w:rPr>
          <w:rFonts w:ascii="Times New Roman" w:hAnsi="Times New Roman"/>
          <w:i/>
          <w:iCs/>
        </w:rPr>
        <w:t>Eurostat</w:t>
      </w:r>
      <w:r>
        <w:rPr>
          <w:rFonts w:ascii="Times New Roman" w:hAnsi="Times New Roman"/>
        </w:rPr>
        <w:t xml:space="preserve">, </w:t>
      </w:r>
      <w:r>
        <w:rPr>
          <w:rFonts w:ascii="Times New Roman" w:hAnsi="Times New Roman"/>
          <w:i/>
          <w:iCs/>
        </w:rPr>
        <w:t>SILC</w:t>
      </w:r>
      <w:r>
        <w:rPr>
          <w:rStyle w:val="rightside"/>
          <w:rFonts w:ascii="Times New Roman" w:hAnsi="Times New Roman"/>
        </w:rPr>
        <w:t xml:space="preserve"> [ilc_li02]; dati iegūti 09.12.2020.</w:t>
      </w:r>
    </w:p>
  </w:footnote>
  <w:footnote w:id="32">
    <w:p w14:paraId="496C5C56"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Relatīvā vidējā nabadzības riska plaisa, kas ļauj noteikt nabadzības pakāpi, un tā tiek aprēķināta kā starpība starp personu, kas atrodas zem nabadzības riska sliekšņa, vidējiem ekvivalentajiem ienākumiem un nabadzības slieksni un izteikta procentos no nabadzības riska sliekšņa.</w:t>
      </w:r>
    </w:p>
  </w:footnote>
  <w:footnote w:id="33">
    <w:p w14:paraId="5D1F2CAD"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Pastāvīgas nabadzības rādītājs ir to personu īpatsvars, kas dzīvo mājsaimniecībās, kuru ekvivalentie rīcībā esošie ienākumi ir zemāki par nabadzības slieksni kārtējā gadā un vismaz divos gados no iepriekšējiem trim gadiem.</w:t>
      </w:r>
    </w:p>
  </w:footnote>
  <w:footnote w:id="34">
    <w:p w14:paraId="1001D619" w14:textId="77777777" w:rsidR="00BC5BDF" w:rsidRPr="00CA35DB" w:rsidRDefault="00BC5BDF" w:rsidP="00CA35DB">
      <w:pPr>
        <w:spacing w:after="0" w:line="240" w:lineRule="auto"/>
        <w:jc w:val="both"/>
        <w:rPr>
          <w:rFonts w:ascii="Times New Roman" w:hAnsi="Times New Roman" w:cs="Times New Roman"/>
          <w:noProof/>
          <w:sz w:val="20"/>
          <w:szCs w:val="20"/>
        </w:rPr>
      </w:pPr>
      <w:r>
        <w:rPr>
          <w:rStyle w:val="FootnoteReference"/>
          <w:rFonts w:ascii="Times New Roman" w:hAnsi="Times New Roman" w:cs="Times New Roman"/>
          <w:noProof/>
          <w:sz w:val="20"/>
          <w:szCs w:val="20"/>
          <w:lang w:val="en-US"/>
        </w:rPr>
        <w:footnoteRef/>
      </w:r>
      <w:r>
        <w:rPr>
          <w:rFonts w:ascii="Times New Roman" w:hAnsi="Times New Roman"/>
          <w:sz w:val="20"/>
        </w:rPr>
        <w:t xml:space="preserve"> Salovey P., Sluyter, D. J., (Eds.), </w:t>
      </w:r>
      <w:r>
        <w:rPr>
          <w:rStyle w:val="Emphasis"/>
          <w:rFonts w:ascii="Times New Roman" w:hAnsi="Times New Roman"/>
          <w:sz w:val="20"/>
        </w:rPr>
        <w:t>Emotional development and emotional intelligence: Educational implications</w:t>
      </w:r>
      <w:r>
        <w:rPr>
          <w:rFonts w:ascii="Times New Roman" w:hAnsi="Times New Roman"/>
          <w:sz w:val="20"/>
        </w:rPr>
        <w:t>, Basic Books, 1997; Duncan, G. J., et al. ‘The Importance of Early Childhood Poverty’</w:t>
      </w:r>
      <w:r>
        <w:rPr>
          <w:rFonts w:ascii="Times New Roman" w:hAnsi="Times New Roman"/>
          <w:i/>
          <w:sz w:val="20"/>
        </w:rPr>
        <w:t xml:space="preserve"> Social Indicators Research</w:t>
      </w:r>
      <w:r>
        <w:rPr>
          <w:rFonts w:ascii="Times New Roman" w:hAnsi="Times New Roman"/>
          <w:sz w:val="20"/>
        </w:rPr>
        <w:t xml:space="preserve">, August 2012; Thévenon, O. et al., </w:t>
      </w:r>
      <w:r>
        <w:rPr>
          <w:rFonts w:ascii="Times New Roman" w:hAnsi="Times New Roman"/>
          <w:i/>
          <w:sz w:val="20"/>
        </w:rPr>
        <w:t>Child poverty in the OECD: Trends, determinants and policies to tackle it</w:t>
      </w:r>
      <w:r>
        <w:rPr>
          <w:rFonts w:ascii="Times New Roman" w:hAnsi="Times New Roman"/>
          <w:sz w:val="20"/>
        </w:rPr>
        <w:t>, OECD Publishing, Paris 2018.</w:t>
      </w:r>
    </w:p>
  </w:footnote>
  <w:footnote w:id="35">
    <w:p w14:paraId="317F2A1D"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FEANTSA 2019, Homeless in Europe Autumn 2019.</w:t>
      </w:r>
    </w:p>
  </w:footnote>
  <w:footnote w:id="36">
    <w:p w14:paraId="767F7ABD"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Saskaņā ar Eiropas bezpajumtniecības un mājokļu trūkuma tipoloģiju (turpmāk tekstā – </w:t>
      </w:r>
      <w:r>
        <w:rPr>
          <w:rFonts w:ascii="Times New Roman" w:hAnsi="Times New Roman"/>
          <w:i/>
          <w:iCs/>
        </w:rPr>
        <w:t>ETHOS</w:t>
      </w:r>
      <w:r>
        <w:rPr>
          <w:rFonts w:ascii="Times New Roman" w:hAnsi="Times New Roman"/>
        </w:rPr>
        <w:t xml:space="preserve">) ir izveidots satvars bezpajumtniecības definēšanai Eiropā, ņemot vērā trīs aspektus saistībā ar dzīvošanu mājoklī, proti, fizisko, sociālo un juridisko aspektu. Saskaņā ar </w:t>
      </w:r>
      <w:r>
        <w:rPr>
          <w:rFonts w:ascii="Times New Roman" w:hAnsi="Times New Roman"/>
          <w:i/>
          <w:iCs/>
        </w:rPr>
        <w:t>ETHOS</w:t>
      </w:r>
      <w:r>
        <w:rPr>
          <w:rFonts w:ascii="Times New Roman" w:hAnsi="Times New Roman"/>
        </w:rPr>
        <w:t xml:space="preserve"> izšķir šādus bezpajumtniecības veidus: i) dzīvošana bez pajumtes, t. i., nakšņošana neatbilstošos apstākļos ārpus mājokļa, uz ielas vai nakts patversmē; ii) bezpajumtniecība, t. i., nakšņošana pagaidu naktsmītnē, kādā iestādē vai patversmē; iii) dzīvošana nestabilos apstākļos vai nu tādēļ, ka persona mājoklī dzīvo pretlikumīgi, vai arī tādēļ, ka tā ir pakļauta izlikšanas vai vardarbības ģimenē riskam, un iv) dzīvošana neatbilstošā mājoklī (piemēram, nepiemērotā mājoklī vai pārmērīgas pārapdzīvotības apstākļos).</w:t>
      </w:r>
    </w:p>
  </w:footnote>
  <w:footnote w:id="37">
    <w:p w14:paraId="1394AD8F"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Komisijas dienestu darba dokuments “Bezpajumtniecības problēmas risināšana Eiropas Savienībā”, Sociālo ieguldījumu pakete, 2013. gads.</w:t>
      </w:r>
    </w:p>
  </w:footnote>
  <w:footnote w:id="38">
    <w:p w14:paraId="49D2F508" w14:textId="77777777" w:rsidR="00BC5BDF" w:rsidRPr="00CA35DB" w:rsidRDefault="00BC5BDF" w:rsidP="00CA35DB">
      <w:pPr>
        <w:spacing w:after="0" w:line="240" w:lineRule="auto"/>
        <w:jc w:val="both"/>
        <w:rPr>
          <w:rFonts w:ascii="Times New Roman" w:hAnsi="Times New Roman" w:cs="Times New Roman"/>
          <w:i/>
          <w:noProof/>
          <w:sz w:val="20"/>
          <w:szCs w:val="20"/>
        </w:rPr>
      </w:pPr>
      <w:r>
        <w:rPr>
          <w:rStyle w:val="FootnoteReference"/>
          <w:rFonts w:ascii="Times New Roman" w:hAnsi="Times New Roman" w:cs="Times New Roman"/>
          <w:noProof/>
          <w:sz w:val="20"/>
          <w:szCs w:val="20"/>
          <w:lang w:val="en-US"/>
        </w:rPr>
        <w:footnoteRef/>
      </w:r>
      <w:r>
        <w:rPr>
          <w:rFonts w:ascii="Times New Roman" w:hAnsi="Times New Roman"/>
          <w:sz w:val="20"/>
        </w:rPr>
        <w:t xml:space="preserve"> Skat. Study on the economic implementing framework of a possible EU Child Guarantee Scheme including its financial foundation. Final Report, pieejams vietnē: http://ec.europa.eu/social/BlobServlet?docId=23764&amp;langId=en.</w:t>
      </w:r>
    </w:p>
  </w:footnote>
  <w:footnote w:id="39">
    <w:p w14:paraId="3D0F0295"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A pielikuma A3. tabulu. Šie dati tika apkopoti laikā no 2018. līdz 2020. gadam, un tie attiecas vienīgi uz konkrētām bezpajumtniecības kategorijām noteiktās 27 ES dalībvalstu pilsētās un dalībvalstīs. Tādēļ tie nav uzskatāmi par visaptverošiem.</w:t>
      </w:r>
    </w:p>
  </w:footnote>
  <w:footnote w:id="40">
    <w:p w14:paraId="03E2DD55" w14:textId="4CFFAF6A"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Child homelessness in Europe – an overview of emerging trends, FEANTSA 2007.</w:t>
      </w:r>
    </w:p>
  </w:footnote>
  <w:footnote w:id="41">
    <w:p w14:paraId="3151B922"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FEANTSA 2007, p. 22.</w:t>
      </w:r>
    </w:p>
  </w:footnote>
  <w:footnote w:id="42">
    <w:p w14:paraId="27380A1F"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A pielikuma A3. tabulu.</w:t>
      </w:r>
    </w:p>
  </w:footnote>
  <w:footnote w:id="43">
    <w:p w14:paraId="2BE906A7"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Vairums bērnu, kuri ir kļuvuši par cilvēku tirdzniecības upuriem ES, ir ES dalībvalstu pilsoņi (75 %) un meitenes (78 %). Bērnu tirdzniecības mērķis ir galvenokārt seksuālā izmantošana (60 %), kā arī darba ekspluatācija (6 %), piespiedu noziedzība (kabatu un veikalu zādzības), ubagošana, ar narkotikām saistīta noziedzība, piemēram, kaņepju audzēšana, kā arī bērnu un fiktīvās laulības. Papildu informācijai par bērnu tirdzniecību un politikas pasākumiem skat. </w:t>
      </w:r>
      <w:r>
        <w:rPr>
          <w:rStyle w:val="Strong"/>
          <w:rFonts w:ascii="Times New Roman" w:hAnsi="Times New Roman"/>
          <w:b w:val="0"/>
        </w:rPr>
        <w:t>Eiropas Parlamenta un Padomes 2011. gada 5. aprīļa Direktīvu 2011/36/ES par cilvēku tirdzniecības novēršanu un apkarošanu un cietušo aizsardzību, un ar kuru aizstāj Padomes Pamatlēmumu</w:t>
      </w:r>
      <w:r>
        <w:rPr>
          <w:rFonts w:ascii="Times New Roman" w:hAnsi="Times New Roman"/>
        </w:rPr>
        <w:t xml:space="preserve"> 2002/629/TI (OV, L 101, 15.04.2011., 1. lpp.).</w:t>
      </w:r>
    </w:p>
  </w:footnote>
  <w:footnote w:id="44">
    <w:p w14:paraId="125A72B6" w14:textId="77777777" w:rsidR="008F7A09" w:rsidRDefault="00BC5BDF" w:rsidP="00CA35DB">
      <w:pPr>
        <w:pStyle w:val="FootnoteText"/>
        <w:jc w:val="both"/>
        <w:rPr>
          <w:rStyle w:val="Strong"/>
          <w:rFonts w:ascii="Times New Roman" w:hAnsi="Times New Roman"/>
          <w:b w:val="0"/>
        </w:rPr>
      </w:pPr>
      <w:r>
        <w:rPr>
          <w:rStyle w:val="Strong"/>
          <w:rFonts w:ascii="Times New Roman" w:hAnsi="Times New Roman" w:cs="Times New Roman"/>
          <w:b w:val="0"/>
          <w:noProof/>
          <w:vertAlign w:val="superscript"/>
          <w:lang w:val="en-US"/>
        </w:rPr>
        <w:footnoteRef/>
      </w:r>
      <w:r>
        <w:rPr>
          <w:rStyle w:val="Strong"/>
          <w:rFonts w:ascii="Times New Roman" w:hAnsi="Times New Roman"/>
          <w:b w:val="0"/>
        </w:rPr>
        <w:t xml:space="preserve"> ES izmanto Konvencijas par personu ar invaliditāti tiesībām noteikto pieeju, saskaņā ar kuru pie personām ar invaliditāti “pieder personas, kurām ir ilgstoši fiziski, garīgi, intelektuāli vai maņu traucējumi, kas mijiedarbībā ar dažādiem šķēršļiem var apgrūtināt to pilnvērtīgu un efektīvu līdzdalību sabiedrības dzīvē vienlīdzīgi ar citiem”. Papildu informācijai par situāciju attiecībā uz bērniem ar invaliditāti un ES atbildes pasākumiem šajā jomā skat. Komisijas paziņojumu “Savienība, kurā valda līdztiesība: personu ar invaliditāti tiesību stratēģija</w:t>
      </w:r>
    </w:p>
    <w:p w14:paraId="25B101C5" w14:textId="76F0E3A7" w:rsidR="00BC5BDF" w:rsidRPr="00CA35DB" w:rsidRDefault="00BC5BDF" w:rsidP="00CA35DB">
      <w:pPr>
        <w:pStyle w:val="FootnoteText"/>
        <w:jc w:val="both"/>
        <w:rPr>
          <w:rFonts w:ascii="Times New Roman" w:hAnsi="Times New Roman" w:cs="Times New Roman"/>
          <w:bCs/>
          <w:noProof/>
        </w:rPr>
      </w:pPr>
      <w:r>
        <w:rPr>
          <w:rStyle w:val="Strong"/>
          <w:rFonts w:ascii="Times New Roman" w:hAnsi="Times New Roman"/>
          <w:b w:val="0"/>
        </w:rPr>
        <w:t>2021.–2030. gadam”, COM(2021) 101 final.</w:t>
      </w:r>
    </w:p>
  </w:footnote>
  <w:footnote w:id="45">
    <w:p w14:paraId="129DB8E3"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A pielikuma A4. attēlu.</w:t>
      </w:r>
    </w:p>
  </w:footnote>
  <w:footnote w:id="46">
    <w:p w14:paraId="47CA9988" w14:textId="4C2234FC"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Kā norādīts arī valstu ziņojumos par Eiropas pusgadu un to konkrētajos ieteikumos.</w:t>
      </w:r>
    </w:p>
  </w:footnote>
  <w:footnote w:id="47">
    <w:p w14:paraId="4270D1AB" w14:textId="70EA5B65" w:rsidR="00BC5BDF" w:rsidRPr="00CA35DB" w:rsidRDefault="00BC5BDF" w:rsidP="00CA35DB">
      <w:pPr>
        <w:pStyle w:val="Heading1"/>
        <w:spacing w:before="0" w:line="240" w:lineRule="auto"/>
        <w:jc w:val="both"/>
        <w:rPr>
          <w:rFonts w:ascii="Times New Roman" w:hAnsi="Times New Roman" w:cs="Times New Roman"/>
          <w:noProof/>
          <w:color w:val="auto"/>
          <w:sz w:val="20"/>
          <w:szCs w:val="20"/>
        </w:rPr>
      </w:pPr>
      <w:r>
        <w:rPr>
          <w:rStyle w:val="FootnoteReference"/>
          <w:rFonts w:ascii="Times New Roman" w:hAnsi="Times New Roman" w:cs="Times New Roman"/>
          <w:noProof/>
          <w:color w:val="auto"/>
          <w:sz w:val="20"/>
          <w:szCs w:val="20"/>
          <w:lang w:val="en-US"/>
        </w:rPr>
        <w:footnoteRef/>
      </w:r>
      <w:r>
        <w:rPr>
          <w:rFonts w:ascii="Times New Roman" w:hAnsi="Times New Roman"/>
          <w:color w:val="auto"/>
          <w:sz w:val="20"/>
        </w:rPr>
        <w:t xml:space="preserve"> Skat. </w:t>
      </w:r>
      <w:r>
        <w:rPr>
          <w:rStyle w:val="field"/>
          <w:rFonts w:ascii="Times New Roman" w:hAnsi="Times New Roman"/>
          <w:color w:val="auto"/>
          <w:sz w:val="20"/>
        </w:rPr>
        <w:t xml:space="preserve">European Agency Statistics on Inclusive Education, pieejams vietnē: </w:t>
      </w:r>
      <w:r>
        <w:rPr>
          <w:rFonts w:ascii="Times New Roman" w:hAnsi="Times New Roman"/>
          <w:color w:val="auto"/>
          <w:sz w:val="20"/>
        </w:rPr>
        <w:t>https://www.european-agency.org/data</w:t>
      </w:r>
      <w:r>
        <w:rPr>
          <w:rStyle w:val="Hyperlink"/>
          <w:rFonts w:ascii="Times New Roman" w:hAnsi="Times New Roman"/>
          <w:color w:val="auto"/>
          <w:sz w:val="20"/>
          <w:u w:val="none"/>
        </w:rPr>
        <w:t>.</w:t>
      </w:r>
    </w:p>
  </w:footnote>
  <w:footnote w:id="48">
    <w:p w14:paraId="1BA978B0"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Style w:val="FootnoteReference"/>
          <w:rFonts w:ascii="Times New Roman" w:hAnsi="Times New Roman"/>
        </w:rPr>
        <w:t xml:space="preserve"> </w:t>
      </w:r>
      <w:r>
        <w:rPr>
          <w:rFonts w:ascii="Times New Roman" w:hAnsi="Times New Roman"/>
        </w:rPr>
        <w:t>Ar iekļaujošām nodarbībām saprot izglītību, kas paredz bērna/izglītojamā ar ĪIV piedalīšanos vispārizglītojošās nodarbībās kopā ar viņu vienaudžiem lielākajā daļā, proti, 80 % vai lielākā apmērā, no skolas nedēļas darba.</w:t>
      </w:r>
    </w:p>
  </w:footnote>
  <w:footnote w:id="49">
    <w:p w14:paraId="7D287019"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Ar oficiālu lēmumu bērns/izglītojamais tiek atzīts par piemērotu papildu izglītības atbalstam, lai apmierinātu viņa izglītības vajadzības.</w:t>
      </w:r>
    </w:p>
  </w:footnote>
  <w:footnote w:id="50">
    <w:p w14:paraId="13616D44" w14:textId="6C8725C8"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Ar īpašām izglītības vajadzībām saprot nepieciešamību pēc papildu atbalsta un adaptīvām pedagoģiskām metodēm, lai piedalītos izglītības programmā un sasniegtu tās mācīšanās rezultātus. Šīm vajadzībām par iemeslu (tostarp) var būt fizisko, uzvedības, intelektuālo, emocionālo un sociālo prasmju trūkums (skat. http://uis.unesco.org/en/glossary-term/special-needs-education). Tādēļ ĪIV un invaliditāte nenozīmē vienu un to pašu, bet gan to, ka vairumā gadījumu bērni ar invaliditāti tiek atzīti par personām ar īpašām izglītības vajadzībām.</w:t>
      </w:r>
    </w:p>
  </w:footnote>
  <w:footnote w:id="51">
    <w:p w14:paraId="4F87A724"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w:t>
      </w:r>
      <w:r>
        <w:rPr>
          <w:rFonts w:ascii="Times New Roman" w:hAnsi="Times New Roman"/>
          <w:i/>
          <w:iCs/>
        </w:rPr>
        <w:t>EASNIE</w:t>
      </w:r>
      <w:r>
        <w:rPr>
          <w:rFonts w:ascii="Times New Roman" w:hAnsi="Times New Roman"/>
        </w:rPr>
        <w:t xml:space="preserve"> datu kopās ir iekļautas tādas ES neietilpstošas valstis kā Norvēģija, Islande un Apvienotā Karaliste.</w:t>
      </w:r>
    </w:p>
  </w:footnote>
  <w:footnote w:id="52">
    <w:p w14:paraId="2223FA8E"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Vispārējā piezīmē Nr. 4 (2016) par tiesībām uz iekļaujošu izglītību ir norādīts, ka “izglītības iestāžu apņēmīga vadība ir svarīga, lai ieviestu un nostiprinātu kultūru, pamatnostādnes un praksi, kas nepieciešama iekļaujošas izglītības nodrošināšanai visos līmeņos un visās jomās, tostarp saistībā ar klases nodarbībām un attiecībām, valdes sapulcēm, skolotāju uzraudzību, konsultāciju pakalpojumiem un medicīnas aprūpi, skolas ekskursijām, budžeta dotācijām, jebkuru saskari izglītojamo ar invaliditāti vai bez tās vecākiem un, ja atbilstīgi, vietējo kopienu vai plašāku sabiedrību”.</w:t>
      </w:r>
    </w:p>
  </w:footnote>
  <w:footnote w:id="53">
    <w:p w14:paraId="594FD155"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Piemēram, iestādēs dzīvojošās personas nav ietvertas </w:t>
      </w:r>
      <w:r>
        <w:rPr>
          <w:rFonts w:ascii="Times New Roman" w:hAnsi="Times New Roman"/>
          <w:i/>
          <w:iCs/>
        </w:rPr>
        <w:t>EU-SILC</w:t>
      </w:r>
      <w:r>
        <w:rPr>
          <w:rFonts w:ascii="Times New Roman" w:hAnsi="Times New Roman"/>
        </w:rPr>
        <w:t xml:space="preserve"> statistikas datos.</w:t>
      </w:r>
    </w:p>
  </w:footnote>
  <w:footnote w:id="54">
    <w:p w14:paraId="661E891C"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Feasibility Study for a European Child Guarantee Final Report, p. 23.</w:t>
      </w:r>
    </w:p>
  </w:footnote>
  <w:footnote w:id="55">
    <w:p w14:paraId="3C7EF234"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Piemēram, 2014. gada beigās Vācijā, kur bērnu ar invaliditāti īpatsvars salīdzinājumā ar kopējo bērnu skaitu nepārsniedza 5 %, no 95 582 stacionārā aprūpē esošiem bērniem 13 281 bērns (13,9 %) bija ar invaliditāti. 2017. gadā Rumānijā 7,6 % no kopējā bērnu skaita, taču 30 % stacionārā aprūpē esošo bērnu bija bērni ar invaliditāti.</w:t>
      </w:r>
    </w:p>
  </w:footnote>
  <w:footnote w:id="56">
    <w:p w14:paraId="6D1E9878"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Ziņojumu par apspriedi ar ieinteresētajām pusēm C pielikumā.</w:t>
      </w:r>
    </w:p>
  </w:footnote>
  <w:footnote w:id="57">
    <w:p w14:paraId="49CC1CCB" w14:textId="333ECFCD"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“Migrantu izcelsmes bērni” ir trešo valstu pilsoņu bērni neatkarīgi no viņu migrācijas statusa un bērni ar dalībvalsts pilsonību, kuriem ir trešās valsts migrantu izcelsme tāpēc, ka vismaz viens no vecākiem ir dzimis ārvalstīs.</w:t>
      </w:r>
    </w:p>
  </w:footnote>
  <w:footnote w:id="58">
    <w:p w14:paraId="3679727C"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Papildu informācijai skat. A pielikuma A5. tabulu.</w:t>
      </w:r>
    </w:p>
  </w:footnote>
  <w:footnote w:id="59">
    <w:p w14:paraId="6C29D79C"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Papildu informācijai skat. A pielikuma A7. tabulu.</w:t>
      </w:r>
    </w:p>
  </w:footnote>
  <w:footnote w:id="60">
    <w:p w14:paraId="1C417056" w14:textId="54C6AAB8"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Šajā nodaļā jēdziens “imigrants” atbilst </w:t>
      </w:r>
      <w:r>
        <w:rPr>
          <w:rFonts w:ascii="Times New Roman" w:hAnsi="Times New Roman"/>
          <w:i/>
          <w:iCs/>
        </w:rPr>
        <w:t>PISA</w:t>
      </w:r>
      <w:r>
        <w:rPr>
          <w:rFonts w:ascii="Times New Roman" w:hAnsi="Times New Roman"/>
        </w:rPr>
        <w:t xml:space="preserve"> definīcijai un attiecas uz bērniem, kuru abi vecāki ir dzimuši valstī/tautsaimniecībā, kas nav valsts, kurā viņi kārtoja </w:t>
      </w:r>
      <w:r>
        <w:rPr>
          <w:rFonts w:ascii="Times New Roman" w:hAnsi="Times New Roman"/>
          <w:i/>
          <w:iCs/>
        </w:rPr>
        <w:t>PISA</w:t>
      </w:r>
      <w:r>
        <w:rPr>
          <w:rFonts w:ascii="Times New Roman" w:hAnsi="Times New Roman"/>
        </w:rPr>
        <w:t xml:space="preserve"> testu. Saskaņā ar ESAO klasifikāciju katra ES dalībvalsts tiek uzskatīta par atsevišķu valsti/tautsaimniecību. Līdz ar to jēdziens “persona bez imigrantu izcelsmes” attiecas uz bērnu, kuram vismaz viens no vecākiem ir dzimis dalībvalstī, kurā tika kārtots </w:t>
      </w:r>
      <w:r>
        <w:rPr>
          <w:rFonts w:ascii="Times New Roman" w:hAnsi="Times New Roman"/>
          <w:i/>
          <w:iCs/>
        </w:rPr>
        <w:t>PISA</w:t>
      </w:r>
      <w:r>
        <w:rPr>
          <w:rFonts w:ascii="Times New Roman" w:hAnsi="Times New Roman"/>
        </w:rPr>
        <w:t xml:space="preserve"> tests. Skat. OECD 2019, PISA 2018 Results (Volume II) ‘Where All Students Can Succeed’, p. 179.</w:t>
      </w:r>
    </w:p>
  </w:footnote>
  <w:footnote w:id="61">
    <w:p w14:paraId="157F660A"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Austrālijā, Brunejā Darusalamā, Jordānijā, Makao (Ķīna), Panamā, Katarā, Saūda Arābijā, Singapūrā un Apvienotajos Arābu Emirātos.</w:t>
      </w:r>
    </w:p>
  </w:footnote>
  <w:footnote w:id="62">
    <w:p w14:paraId="537A5C75"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w:t>
      </w:r>
      <w:r>
        <w:rPr>
          <w:rStyle w:val="webtitleheader-title"/>
          <w:rFonts w:ascii="Times New Roman" w:hAnsi="Times New Roman"/>
        </w:rPr>
        <w:t>PISA 2018 Results (Volume II) </w:t>
      </w:r>
      <w:r>
        <w:rPr>
          <w:rFonts w:ascii="Times New Roman" w:hAnsi="Times New Roman"/>
        </w:rPr>
        <w:t>‘Where All Students Can Succeed’, p. 186.</w:t>
      </w:r>
    </w:p>
  </w:footnote>
  <w:footnote w:id="63">
    <w:p w14:paraId="1839D1A4"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w:t>
      </w:r>
      <w:r>
        <w:rPr>
          <w:rStyle w:val="webtitleheader-title"/>
          <w:rFonts w:ascii="Times New Roman" w:hAnsi="Times New Roman"/>
        </w:rPr>
        <w:t>PISA 2018 Results (Volume II) </w:t>
      </w:r>
      <w:r>
        <w:rPr>
          <w:rFonts w:ascii="Times New Roman" w:hAnsi="Times New Roman"/>
        </w:rPr>
        <w:t>‘Where All Students Can Succeed’, p. 193.</w:t>
      </w:r>
    </w:p>
  </w:footnote>
  <w:footnote w:id="64">
    <w:p w14:paraId="7D2C51F2"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Papildu informācijai skat. A pielikuma A6. attēlu.</w:t>
      </w:r>
    </w:p>
  </w:footnote>
  <w:footnote w:id="65">
    <w:p w14:paraId="2850BB29"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OECD/European Union, </w:t>
      </w:r>
      <w:r>
        <w:rPr>
          <w:rFonts w:ascii="Times New Roman" w:hAnsi="Times New Roman"/>
          <w:i/>
        </w:rPr>
        <w:t>Settling In 2018: Indicators of Immigrant Integration</w:t>
      </w:r>
      <w:r>
        <w:rPr>
          <w:rFonts w:ascii="Times New Roman" w:hAnsi="Times New Roman"/>
        </w:rPr>
        <w:t>, OECD Publishing, Paris/European Union, Brussels, 2018, p. 186.</w:t>
      </w:r>
    </w:p>
  </w:footnote>
  <w:footnote w:id="66">
    <w:p w14:paraId="3C28CC51"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Ziņojumu par apspriedi ar ieinteresētajām pusēm C pielikumā.</w:t>
      </w:r>
    </w:p>
  </w:footnote>
  <w:footnote w:id="67">
    <w:p w14:paraId="043310A7" w14:textId="5330A864"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Jo īpaši skat. European Union Agency for Fundamental Rights, Fundamental Rights Report 2019, pieejams vietnē: http://fra.europa.eu/en/publication/2019/fundamental-rights-report-2019, un European Union Agency for Fundamental Rights, EU-MIDIS II, Second European Union Minorities and Discrimination Survey Being Black in the EU, Publications Office of the European Union, Luxembourg, 2018, pieejams vietnē: https://fra.europa.eu/en/publication/2018/being-black-eu.</w:t>
      </w:r>
    </w:p>
  </w:footnote>
  <w:footnote w:id="68">
    <w:p w14:paraId="36128640" w14:textId="395E2FB5"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Pamatojoties uz </w:t>
      </w:r>
      <w:r>
        <w:rPr>
          <w:rFonts w:ascii="Times New Roman" w:hAnsi="Times New Roman"/>
          <w:i/>
          <w:iCs/>
        </w:rPr>
        <w:t>EU-MIDIS II</w:t>
      </w:r>
      <w:r>
        <w:rPr>
          <w:rFonts w:ascii="Times New Roman" w:hAnsi="Times New Roman"/>
        </w:rPr>
        <w:t xml:space="preserve"> 2016. gada izdevumu, Second European Union Minorities and Discrimination Survey Being Black in the EU, Publications Office of the European Union, Luxembourg, 2018., p. 57.</w:t>
      </w:r>
    </w:p>
  </w:footnote>
  <w:footnote w:id="69">
    <w:p w14:paraId="7FB505D6"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Turpat, 57. lpp.</w:t>
      </w:r>
    </w:p>
  </w:footnote>
  <w:footnote w:id="70">
    <w:p w14:paraId="5EADD29C"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Turpat, 48. lpp.</w:t>
      </w:r>
    </w:p>
  </w:footnote>
  <w:footnote w:id="71">
    <w:p w14:paraId="4D758BDA" w14:textId="2AD471AB"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Tomēr lielākajā daļā ES dalībvalstu nav pieejami oficiālās skaitīšanas vai statistikas dati par romiem vai romu bērniem. Skat. pielikumā iekļauto A8. tabulu, kurā norādītas Eiropas Padomes aplēses par iedzīvotāju skaitu katrā valstī un dažas norādes uz metodoloģiskiem sarežģījumiem. Skat. https://www.coe.int/en/web/portal/roma un https://ec.europa.eu/info/policies/justice-and-fundamental-rights/combatting-discrimination/roma-and-eu_en</w:t>
      </w:r>
    </w:p>
  </w:footnote>
  <w:footnote w:id="72">
    <w:p w14:paraId="31831A97"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Tas var attiekties uz nabadzīgiem ES romu tautības pilsoņiem, kuri pārvietojas pa ES dalībvalstīm, kā arī romu tautības migrantu izcelsmes iedzīvotājiem, kuri nav ES dalībvalstu pilsoņi un no kuriem daži migrē kopā ar saviem bērniem.</w:t>
      </w:r>
    </w:p>
  </w:footnote>
  <w:footnote w:id="73">
    <w:p w14:paraId="0D9FD805"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Papildu informācijai skat. A pielikuma A9. attēlu.</w:t>
      </w:r>
    </w:p>
  </w:footnote>
  <w:footnote w:id="74">
    <w:p w14:paraId="482EDE08" w14:textId="4A0DAFEF"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Bulgārija, Horvātija, Čehija, Grieķija, Ungārija, Portugāle, Rumānija, Slovākija un Spānija.</w:t>
      </w:r>
    </w:p>
  </w:footnote>
  <w:footnote w:id="75">
    <w:p w14:paraId="4908A4CF"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Beļģija, Francija, Īrija, Nīderlande, Zviedrija un Apvienotā Karaliste.</w:t>
      </w:r>
    </w:p>
  </w:footnote>
  <w:footnote w:id="76">
    <w:p w14:paraId="6BA7731C" w14:textId="77777777" w:rsidR="00BC5BDF" w:rsidRPr="00CA35DB" w:rsidRDefault="00BC5BDF" w:rsidP="00CA35DB">
      <w:pPr>
        <w:spacing w:after="0" w:line="240" w:lineRule="auto"/>
        <w:jc w:val="both"/>
        <w:rPr>
          <w:rFonts w:ascii="Times New Roman" w:hAnsi="Times New Roman" w:cs="Times New Roman"/>
          <w:noProof/>
          <w:sz w:val="20"/>
          <w:szCs w:val="20"/>
        </w:rPr>
      </w:pPr>
      <w:r>
        <w:rPr>
          <w:rStyle w:val="FootnoteReference"/>
          <w:rFonts w:ascii="Times New Roman" w:hAnsi="Times New Roman" w:cs="Times New Roman"/>
          <w:noProof/>
          <w:sz w:val="20"/>
          <w:szCs w:val="20"/>
          <w:lang w:val="en-US"/>
        </w:rPr>
        <w:footnoteRef/>
      </w:r>
      <w:r>
        <w:rPr>
          <w:rFonts w:ascii="Times New Roman" w:hAnsi="Times New Roman"/>
          <w:sz w:val="20"/>
        </w:rPr>
        <w:t xml:space="preserve"> Tam par pamatu vismaz daļēji ir vecāku vēlēšanās pašiem aprūpēt savus bērnus vai uzticēt viņu aprūpi neformāliem aprūpētājiem no pazīstamas sociālās vides. Dažas sociāli neaizsargātas ģimenes noraida </w:t>
      </w:r>
      <w:r>
        <w:rPr>
          <w:rFonts w:ascii="Times New Roman" w:hAnsi="Times New Roman"/>
          <w:i/>
          <w:iCs/>
          <w:sz w:val="20"/>
        </w:rPr>
        <w:t>ECEC</w:t>
      </w:r>
      <w:r>
        <w:rPr>
          <w:rFonts w:ascii="Times New Roman" w:hAnsi="Times New Roman"/>
          <w:sz w:val="20"/>
        </w:rPr>
        <w:t xml:space="preserve"> pakalpojumus formālu iemeslu, piemēram, prasības par regulāru skolas apmeklēšanu, un neformālu iemeslu dēļ. EACEA, Early Childhood Education and Care in Europe: Tackling Social and Cultural Inequalities, Brussels, 2009 p. 135.</w:t>
      </w:r>
    </w:p>
  </w:footnote>
  <w:footnote w:id="77">
    <w:p w14:paraId="11F7F82E" w14:textId="23129E48"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Fundamental Rights Agency, 2020, Coronavirus pandemic in the EU – fundamental rights implications: focus on social rights.</w:t>
      </w:r>
    </w:p>
  </w:footnote>
  <w:footnote w:id="78">
    <w:p w14:paraId="70F8ABB0"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Komisijas dienestu darba dokuments, kas ir pavaddokuments Komisijas paziņojumam Eiropas Parlamentam un Padomei “Savienība, kurā valda līdztiesība: ES romu stratēģiskais satvars līdztiesības, iekļaušanas un līdzdalības jomā un tam pievienotais priekšlikums pārskatītajam Padomes ieteikumam par valsts romu stratēģiskajiem satvariem līdztiesības, iekļaušanas un līdzdalības jomā”, SWD(2020) 530 final, 2. pielikums: ES būtisko rādītāju bāzes līnija.</w:t>
      </w:r>
    </w:p>
  </w:footnote>
  <w:footnote w:id="79">
    <w:p w14:paraId="0EDF7ADF" w14:textId="647CCE5B"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Komisijas paziņojums Eiropas Parlamentam un Padomei “ES programmas attiecībā uz romu integrācijas valsts stratēģijām vidusposma pārskats”, COM (2017) 458 final.</w:t>
      </w:r>
    </w:p>
  </w:footnote>
  <w:footnote w:id="80">
    <w:p w14:paraId="2E798146"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Paredzot aprūpi audžuģimenē, kompetenta iestāde formāli nodod bērnus aprūpei tādas ģimenes vidē, kas nav šo bērnu ģimene. Ar stacionāro aprūpi saprot aprūpi, kas tiek sniegta ārpusģimenes vidē, piemēram, drošības iestādēs, kuras sniedz neatliekamo aprūpi, pagaidu centros ārkārtas situācijās un citās īstermiņa un ilgtermiņa stacionārās aprūpes iestādēs, tostarp grupu mājās.</w:t>
      </w:r>
    </w:p>
  </w:footnote>
  <w:footnote w:id="81">
    <w:p w14:paraId="0661201E"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Feasibility Study for a European Child Guarantee Final Report; plašāku informāciju par šīm aplēsēm skat. A pielikuma A10. tabulā.</w:t>
      </w:r>
    </w:p>
  </w:footnote>
  <w:footnote w:id="82">
    <w:p w14:paraId="5719CF87"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“Eurochild” 2009. gadā veiktie valsts apsekojumi par alternatīvajā aprūpē esošiem bērniem.</w:t>
      </w:r>
    </w:p>
  </w:footnote>
  <w:footnote w:id="83">
    <w:p w14:paraId="143B4377"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Piemēram, sagatavošanās pasākumu ietvaros aplūkotas likumīgās intereses kā faktors, kura dēļ bērni joprojām tiek ievietoti stacionārās aprūpes iestādēs. Feasibility Study for a European Child Guarantee Final Report, p. 121.</w:t>
      </w:r>
    </w:p>
  </w:footnote>
  <w:footnote w:id="84">
    <w:p w14:paraId="4097E267"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SPC advisory report to the European Commission on tackling and preventing child poverty, promoting child well-being, June 2012.</w:t>
      </w:r>
    </w:p>
  </w:footnote>
  <w:footnote w:id="85">
    <w:p w14:paraId="1DD56FC6"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Ir pieejamas dažādas stacionārās aprūpes iestādes bērniem, kas ir vērstas uz dažādām jomām, piemēram, aprūpi, veselību, migrāciju un juridisko jomu.</w:t>
      </w:r>
    </w:p>
  </w:footnote>
  <w:footnote w:id="86">
    <w:p w14:paraId="202DB70E" w14:textId="2D252D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Atbildē uz attiecīgo politiku septiņās dalībvalstīs (Beļģijā, Čehijā, Igaunijā, Vācijā, Ungārijā, Rumānijā un Īrijā) Itālija norāda, ka tā pakāpeniski ievieš mērķorientētu fondu cilvēkiem pēc aprūpes iestādes atstāšanas. Tomēr šķiet, ka vispārējais nodrošinājums šajā jomā kopumā neatbilst attiecīgajām vajadzībām. Skat. Study on the economic implementing framework of a possible EU Child Guarantee Scheme including its financial foundation. Final Report.</w:t>
      </w:r>
    </w:p>
  </w:footnote>
  <w:footnote w:id="87">
    <w:p w14:paraId="14D44970" w14:textId="519A8308"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Eiropas Parlamenta 2020. gada 17. septembra rezolūciju par romu integrācijas valsts stratēģiju īstenošanu: negatīvas attieksmes pret romu izcelsmes cilvēkiem apkarošana Eiropā (2020/2011(INI)), pieejama vietnē: https://www.europarl.europa.eu/doceo/document/TA-9-2020-0229_EN.html, un Komisijas 2020. gada 7. oktobra priekšlikumu par romu līdztiesību, iekļaušanu un līdzdalību, SWD(2020) 530, pieejams vietnē: https://ec.europa.eu/info/sites/info/files/commission_proposal_for_a_draft_council_recommendation_for_roma_equality_inclusion_and_participation_en.pdf</w:t>
      </w:r>
    </w:p>
  </w:footnote>
  <w:footnote w:id="88">
    <w:p w14:paraId="2F120DC1"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Feasibility study for a child guarantee. Final report, p. 27.</w:t>
      </w:r>
    </w:p>
  </w:footnote>
  <w:footnote w:id="89">
    <w:p w14:paraId="62A66433"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Ziņojumu par apspriedi ar ieinteresētajām pusēm C pielikumā.</w:t>
      </w:r>
    </w:p>
  </w:footnote>
  <w:footnote w:id="90">
    <w:p w14:paraId="245EF67C"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2018. gadā vairāk nekā viena astotā daļa (13 %) no visām ES mājsaimniecībām ar bērniem bija vientuļā vecāka mājsaimniecības. Papildu informācijai skat. A pielikuma A11. attēlu.</w:t>
      </w:r>
    </w:p>
  </w:footnote>
  <w:footnote w:id="91">
    <w:p w14:paraId="6A22B37C"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Covid-19 slimību pārcietušie bērni, kuri cieš no slimības ilgtermiņa sekām, atrodas līdzīgā situācijā.</w:t>
      </w:r>
    </w:p>
  </w:footnote>
  <w:footnote w:id="92">
    <w:p w14:paraId="504C7DFA"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Feasibility Study for a Child Guarantee. Target Group Discussion Paper on Children living in Precarious Family Situations, p. 16.</w:t>
      </w:r>
    </w:p>
  </w:footnote>
  <w:footnote w:id="93">
    <w:p w14:paraId="2189C92C" w14:textId="0493B1A4"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European Institute for Gender Equality, 2016, Poverty, gender and lone parents in the EU, pieejams vietnē: https://eige.europa.eu/publications/poverty-gender-and-lone-parents-eu.</w:t>
      </w:r>
    </w:p>
  </w:footnote>
  <w:footnote w:id="94">
    <w:p w14:paraId="3DF75F4C"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Eurocarers Policy Paper Young Carers, 2017, p. 4, https://eurocarers.org/publications/eurocarers-policy-paper-on-young-carers/</w:t>
      </w:r>
    </w:p>
  </w:footnote>
  <w:footnote w:id="95">
    <w:p w14:paraId="560FB6EE" w14:textId="77777777" w:rsidR="00BC5BDF" w:rsidRPr="00CA35DB" w:rsidRDefault="00BC5BDF" w:rsidP="00CA35DB">
      <w:pPr>
        <w:pStyle w:val="FootnoteText"/>
        <w:jc w:val="both"/>
        <w:rPr>
          <w:rFonts w:ascii="Times New Roman" w:hAnsi="Times New Roman" w:cs="Times New Roman"/>
          <w:i/>
          <w:noProof/>
        </w:rPr>
      </w:pPr>
      <w:r>
        <w:rPr>
          <w:rStyle w:val="FootnoteReference"/>
          <w:rFonts w:ascii="Times New Roman" w:hAnsi="Times New Roman" w:cs="Times New Roman"/>
          <w:noProof/>
          <w:lang w:val="en-US"/>
        </w:rPr>
        <w:footnoteRef/>
      </w:r>
      <w:r>
        <w:rPr>
          <w:rFonts w:ascii="Times New Roman" w:hAnsi="Times New Roman"/>
        </w:rPr>
        <w:t xml:space="preserve"> Turpat, 5. lpp.</w:t>
      </w:r>
    </w:p>
  </w:footnote>
  <w:footnote w:id="96">
    <w:p w14:paraId="33E9BDE0" w14:textId="12B1C191"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pētījuma piezīmi “Caring for the mental health of young carers” [Rūpes par gados jauno aprūpētāju garīgo veselību], kas pieejama vietnē: https://ec.europa.eu/research/infocentre/article_en.cfm?&amp;artid=49703&amp;caller=other</w:t>
      </w:r>
      <w:r>
        <w:rPr>
          <w:rStyle w:val="Hyperlink"/>
          <w:rFonts w:ascii="Times New Roman" w:hAnsi="Times New Roman"/>
          <w:color w:val="auto"/>
        </w:rPr>
        <w:t>.</w:t>
      </w:r>
    </w:p>
  </w:footnote>
  <w:footnote w:id="97">
    <w:p w14:paraId="2926060E" w14:textId="5571BA98"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Feasibility study for a child guarantee. Target group discussion paper on children living in precarious family situations, p. 16, pieejams vietnē: https://op.europa.eu/en/publication-detail/-/publication/7027c77d-c7e3-11ea-adf7-01aa75ed71a1/language-en.</w:t>
      </w:r>
    </w:p>
  </w:footnote>
  <w:footnote w:id="98">
    <w:p w14:paraId="32C30C19" w14:textId="6DAFA9F9"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Report of the independent expert for the United Nations study on violence against children (2006), p. 13, ziņojums pieejams vietnē: https://www.ohchr.org/EN/HRBodies/CRC/Study/Pages/StudyViolenceChildren.aspx</w:t>
      </w:r>
      <w:r>
        <w:rPr>
          <w:rStyle w:val="Hyperlink"/>
          <w:rFonts w:ascii="Times New Roman" w:hAnsi="Times New Roman"/>
          <w:color w:val="auto"/>
        </w:rPr>
        <w:t>.</w:t>
      </w:r>
    </w:p>
  </w:footnote>
  <w:footnote w:id="99">
    <w:p w14:paraId="7FB3D9B8" w14:textId="78742302"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Eiropas Padomes Konvenciju par vardarbības pret sievietēm un vardarbības ģimenē novēršanu un apkarošanu.</w:t>
      </w:r>
    </w:p>
  </w:footnote>
  <w:footnote w:id="100">
    <w:p w14:paraId="31B4625A"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Malgesini G., Cesarini Sforza L., Babovic M., </w:t>
      </w:r>
      <w:r>
        <w:rPr>
          <w:rFonts w:ascii="Times New Roman" w:hAnsi="Times New Roman"/>
          <w:i/>
        </w:rPr>
        <w:t>Gender-based Violence and Poverty in Europe</w:t>
      </w:r>
      <w:r>
        <w:rPr>
          <w:rFonts w:ascii="Times New Roman" w:hAnsi="Times New Roman"/>
        </w:rPr>
        <w:t>, EAPN, Brussels, 2018, p. 17.</w:t>
      </w:r>
    </w:p>
  </w:footnote>
  <w:footnote w:id="101">
    <w:p w14:paraId="702DEFEF" w14:textId="6DA61549"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Piemēram, tiek lēsts, ka Francijā vardarbība pret sievietēm pirmajā pārvietošanās ierobežošanas reizē pieauga par 30 %; skat. “Impact of the Covid-19 pandemic on domestic violence” [Covid-19 pandēmijas ietekme uz vardarbību ģimenē]. Francijas Nacionālās Medicīnas akadēmijas informācija presei, pieejama vietnē: https://www.academie-medecine.fr/impact-of-the-covid-19-pandemic-on-domestic-violence/?lang=en</w:t>
      </w:r>
      <w:r>
        <w:rPr>
          <w:rStyle w:val="Hyperlink"/>
          <w:rFonts w:ascii="Times New Roman" w:hAnsi="Times New Roman"/>
          <w:color w:val="auto"/>
        </w:rPr>
        <w:t>.</w:t>
      </w:r>
    </w:p>
  </w:footnote>
  <w:footnote w:id="102">
    <w:p w14:paraId="2D5A8A7A" w14:textId="77777777" w:rsidR="00BC5BDF" w:rsidRPr="00CA35DB" w:rsidRDefault="00BC5BDF" w:rsidP="00CA35DB">
      <w:pPr>
        <w:spacing w:after="0" w:line="240" w:lineRule="auto"/>
        <w:jc w:val="both"/>
        <w:rPr>
          <w:rFonts w:ascii="Times New Roman" w:hAnsi="Times New Roman" w:cs="Times New Roman"/>
          <w:noProof/>
          <w:sz w:val="20"/>
          <w:szCs w:val="20"/>
        </w:rPr>
      </w:pPr>
      <w:r>
        <w:rPr>
          <w:rStyle w:val="FootnoteReference"/>
          <w:rFonts w:ascii="Times New Roman" w:hAnsi="Times New Roman" w:cs="Times New Roman"/>
          <w:noProof/>
          <w:sz w:val="20"/>
          <w:szCs w:val="20"/>
          <w:lang w:val="en-US"/>
        </w:rPr>
        <w:footnoteRef/>
      </w:r>
      <w:r>
        <w:rPr>
          <w:rFonts w:ascii="Times New Roman" w:hAnsi="Times New Roman"/>
          <w:sz w:val="20"/>
        </w:rPr>
        <w:t xml:space="preserve"> Feasibility study for a child guarantee. Final report, p. 44.</w:t>
      </w:r>
    </w:p>
  </w:footnote>
  <w:footnote w:id="103">
    <w:p w14:paraId="057F3E78"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Bulgārijas Politiskās izglītības skolas 2018. gadā veiktais apsekojums, citēts pētījumā “Feasibility study for a child guarantee. Final report”, 45. lpp.</w:t>
      </w:r>
    </w:p>
  </w:footnote>
  <w:footnote w:id="104">
    <w:p w14:paraId="7D8C3464"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Feasibility study for a child guarantee. Target group discussion paper on children living in precarious family situations, p. 11.</w:t>
      </w:r>
    </w:p>
  </w:footnote>
  <w:footnote w:id="105">
    <w:p w14:paraId="06C2E661"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Murray, J. and Farrington, D.P., ‘The Effects of Parental Imprisonment on Children’, </w:t>
      </w:r>
      <w:r>
        <w:rPr>
          <w:rFonts w:ascii="Times New Roman" w:hAnsi="Times New Roman"/>
          <w:i/>
        </w:rPr>
        <w:t>Crime and Justice,</w:t>
      </w:r>
      <w:r>
        <w:rPr>
          <w:rFonts w:ascii="Times New Roman" w:hAnsi="Times New Roman"/>
        </w:rPr>
        <w:t xml:space="preserve"> 2012.</w:t>
      </w:r>
    </w:p>
  </w:footnote>
  <w:footnote w:id="106">
    <w:p w14:paraId="7E0CC910"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Flisi, S., Blasko, Z.: A note on early childhood education and care participation by socio-economic background, Publications Office of the European Union, Luxembourg, 2019.</w:t>
      </w:r>
    </w:p>
  </w:footnote>
  <w:footnote w:id="107">
    <w:p w14:paraId="4B8A62FF" w14:textId="409B7C5A"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OECD, A Broken Social Elevator? How to Promote Social Mobility, OECD Publishing, Paris, 2018.</w:t>
      </w:r>
    </w:p>
  </w:footnote>
  <w:footnote w:id="108">
    <w:p w14:paraId="1704B7F7" w14:textId="5EBDC662"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Fiziskās nodarbības ir īpaši svarīgas bērna veselīgai attīstībai; skat. https://www.euro.who.int/en/health-topics/noncommunicable-diseases/pages/who-european-office-for-the-prevention-and-control-of-noncommunicable-diseases-ncd-office/news/news/2021/2/who-reviews-effect-of-physical-activity-on-enhancing-academic-achievement-at-school</w:t>
      </w:r>
      <w:r>
        <w:rPr>
          <w:rStyle w:val="Hyperlink"/>
          <w:rFonts w:ascii="Times New Roman" w:hAnsi="Times New Roman"/>
          <w:color w:val="auto"/>
        </w:rPr>
        <w:t>.</w:t>
      </w:r>
    </w:p>
  </w:footnote>
  <w:footnote w:id="109">
    <w:p w14:paraId="2B1244B7"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OECD, ‘A Broken Social Elevator? How to Promote Social Mobility’, OECD Publishing, Paris, 2018.</w:t>
      </w:r>
    </w:p>
  </w:footnote>
  <w:footnote w:id="110">
    <w:p w14:paraId="76E2ECFB"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Save the Children, ‘Child poverty and social exclusion in Europe – a matter of children’s rights’, 2014.</w:t>
      </w:r>
    </w:p>
  </w:footnote>
  <w:footnote w:id="111">
    <w:p w14:paraId="7AAA447A" w14:textId="5D3D54D8"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Papildu informācijai par agrīno pirmsskolas izglītību un aprūpi (</w:t>
      </w:r>
      <w:r>
        <w:rPr>
          <w:rFonts w:ascii="Times New Roman" w:hAnsi="Times New Roman"/>
          <w:i/>
          <w:iCs/>
        </w:rPr>
        <w:t>ECEC</w:t>
      </w:r>
      <w:r>
        <w:rPr>
          <w:rFonts w:ascii="Times New Roman" w:hAnsi="Times New Roman"/>
        </w:rPr>
        <w:t>) un Eiropas Savienības pasākumiem šajā politiskajā jomā skat. https://ec.europa.eu/education/policies/early-childhood-education-and-care_en</w:t>
      </w:r>
      <w:r>
        <w:rPr>
          <w:rStyle w:val="Hyperlink"/>
          <w:rFonts w:ascii="Times New Roman" w:hAnsi="Times New Roman"/>
          <w:color w:val="auto"/>
        </w:rPr>
        <w:t>.</w:t>
      </w:r>
    </w:p>
  </w:footnote>
  <w:footnote w:id="112">
    <w:p w14:paraId="711200B7"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Komisijas ziņojums Eiropas Parlamentam, Padomei, Eiropas Ekonomikas un sociālo lietu komitejai un Reģionu komitejai par mazu bērnu aprūpes pakalpojumu attīstību, lai palielinātu sieviešu dalību darba tirgū, līdzsvarotu darba un privāto dzīvi strādājošiem vecākiem un panāktu ilgtspējīgu un iekļaujošu izaugsmi Eiropā (“Barselonas mērķi”), COM(2018) 0273 final.</w:t>
      </w:r>
    </w:p>
  </w:footnote>
  <w:footnote w:id="113">
    <w:p w14:paraId="5AB26B2F"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Padomes Rezolūcija par stratēģisku satvaru Eiropas sadarbībai izglītības un mācību jomā ceļā uz Eiropas izglītības telpu un turpmāk (2021–2030), OV C 66, 26.02.2021., 1.–21. lpp.</w:t>
      </w:r>
    </w:p>
  </w:footnote>
  <w:footnote w:id="114">
    <w:p w14:paraId="09C6C9E9"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Papildu informācijai par uzņemšanu </w:t>
      </w:r>
      <w:r>
        <w:rPr>
          <w:rFonts w:ascii="Times New Roman" w:hAnsi="Times New Roman"/>
          <w:i/>
          <w:iCs/>
        </w:rPr>
        <w:t>ECEC</w:t>
      </w:r>
      <w:r>
        <w:rPr>
          <w:rFonts w:ascii="Times New Roman" w:hAnsi="Times New Roman"/>
        </w:rPr>
        <w:t xml:space="preserve"> un tās pieejamību skat. B pielikuma B4.–B8. attēlu un B9. tabulu.</w:t>
      </w:r>
    </w:p>
  </w:footnote>
  <w:footnote w:id="115">
    <w:p w14:paraId="2A3CAF56"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saistību starp uzņemšanu </w:t>
      </w:r>
      <w:r>
        <w:rPr>
          <w:rFonts w:ascii="Times New Roman" w:hAnsi="Times New Roman"/>
          <w:i/>
          <w:iCs/>
        </w:rPr>
        <w:t>ECEC</w:t>
      </w:r>
      <w:r>
        <w:rPr>
          <w:rFonts w:ascii="Times New Roman" w:hAnsi="Times New Roman"/>
        </w:rPr>
        <w:t xml:space="preserve"> iestādēs un bērnu audzināšanas ietekmi uz nodarbinātību B pielikuma B3. attēlā.</w:t>
      </w:r>
    </w:p>
  </w:footnote>
  <w:footnote w:id="116">
    <w:p w14:paraId="751F38DA"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piemēram, European Commission 2019, Employment and Social Developments in Europe 2019. Sustainable Growth for all: choices for the future of social Europe, Chapter 4.</w:t>
      </w:r>
    </w:p>
  </w:footnote>
  <w:footnote w:id="117">
    <w:p w14:paraId="49D4EF64" w14:textId="63A703FE"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Lazzari, A., Vandenbroeck, M., Literature Review of the Participation of Disadvantaged Children and families in ECEC Services in Europe. In J. Bennett (Ed.), Early childhood education and care (ECEC) for children from disadvantaged backgrounds: Findings from a European literature review and two case studies, European Commission, Brussels, 2013.</w:t>
      </w:r>
    </w:p>
  </w:footnote>
  <w:footnote w:id="118">
    <w:p w14:paraId="08F0B443"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A pielikuma A2. tabulu.</w:t>
      </w:r>
    </w:p>
  </w:footnote>
  <w:footnote w:id="119">
    <w:p w14:paraId="15401528" w14:textId="0F0C86C6" w:rsidR="00BC5BDF" w:rsidRPr="00CA35DB" w:rsidRDefault="00BC5BDF" w:rsidP="00CA35DB">
      <w:pPr>
        <w:pStyle w:val="Default"/>
        <w:jc w:val="both"/>
        <w:rPr>
          <w:noProof/>
          <w:color w:val="auto"/>
          <w:sz w:val="20"/>
          <w:szCs w:val="20"/>
        </w:rPr>
      </w:pPr>
      <w:r>
        <w:rPr>
          <w:rStyle w:val="FootnoteReference"/>
          <w:rFonts w:eastAsiaTheme="majorEastAsia"/>
          <w:noProof/>
          <w:color w:val="auto"/>
          <w:sz w:val="20"/>
          <w:szCs w:val="20"/>
          <w:lang w:val="en-US"/>
        </w:rPr>
        <w:footnoteRef/>
      </w:r>
      <w:r>
        <w:rPr>
          <w:color w:val="auto"/>
          <w:sz w:val="20"/>
        </w:rPr>
        <w:t xml:space="preserve"> Eurydice, Key data on early childhood education and care in Europe - 2019 Edition.</w:t>
      </w:r>
    </w:p>
  </w:footnote>
  <w:footnote w:id="120">
    <w:p w14:paraId="56785674" w14:textId="32F75E03" w:rsidR="00BC5BDF" w:rsidRPr="00CA35DB" w:rsidRDefault="00BC5BDF" w:rsidP="00CA35DB">
      <w:pPr>
        <w:pStyle w:val="FootnoteText"/>
        <w:jc w:val="both"/>
        <w:rPr>
          <w:rFonts w:ascii="Times New Roman" w:hAnsi="Times New Roman" w:cs="Times New Roman"/>
          <w:i/>
          <w:noProof/>
        </w:rPr>
      </w:pPr>
      <w:r>
        <w:rPr>
          <w:rStyle w:val="FootnoteReference"/>
          <w:rFonts w:ascii="Times New Roman" w:hAnsi="Times New Roman" w:cs="Times New Roman"/>
          <w:noProof/>
          <w:lang w:val="en-US"/>
        </w:rPr>
        <w:footnoteRef/>
      </w:r>
      <w:r>
        <w:rPr>
          <w:rFonts w:ascii="Times New Roman" w:hAnsi="Times New Roman"/>
        </w:rPr>
        <w:t xml:space="preserve"> OECD, Is Childcare Affordable? Policy brief on employment, labour and social affairs</w:t>
      </w:r>
      <w:r>
        <w:rPr>
          <w:rFonts w:ascii="Times New Roman" w:hAnsi="Times New Roman"/>
          <w:i/>
        </w:rPr>
        <w:t xml:space="preserve">, </w:t>
      </w:r>
      <w:r>
        <w:rPr>
          <w:rFonts w:ascii="Times New Roman" w:hAnsi="Times New Roman"/>
        </w:rPr>
        <w:t>OECD Publishing, Paris, 2020.</w:t>
      </w:r>
    </w:p>
  </w:footnote>
  <w:footnote w:id="121">
    <w:p w14:paraId="61997F73"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Kopīgā pētniecības centra (</w:t>
      </w:r>
      <w:r>
        <w:rPr>
          <w:rFonts w:ascii="Times New Roman" w:hAnsi="Times New Roman"/>
          <w:i/>
          <w:iCs/>
        </w:rPr>
        <w:t>JRC</w:t>
      </w:r>
      <w:r>
        <w:rPr>
          <w:rFonts w:ascii="Times New Roman" w:hAnsi="Times New Roman"/>
        </w:rPr>
        <w:t xml:space="preserve">) veiktie aprēķini ir balstīti uz </w:t>
      </w:r>
      <w:r>
        <w:rPr>
          <w:rFonts w:ascii="Times New Roman" w:hAnsi="Times New Roman"/>
          <w:i/>
          <w:iCs/>
        </w:rPr>
        <w:t>EU-SILC</w:t>
      </w:r>
      <w:r>
        <w:rPr>
          <w:rFonts w:ascii="Times New Roman" w:hAnsi="Times New Roman"/>
        </w:rPr>
        <w:t xml:space="preserve"> mikrodatiem par 2016. gadu.</w:t>
      </w:r>
    </w:p>
  </w:footnote>
  <w:footnote w:id="122">
    <w:p w14:paraId="58BB3A6A" w14:textId="22219AC0"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SPC advisory report to the European Commission on tackling and preventing child poverty, promoting child well-being, 2012.</w:t>
      </w:r>
    </w:p>
  </w:footnote>
  <w:footnote w:id="123">
    <w:p w14:paraId="21BCD3F8"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piemēram, Eurydice/Cedefop report ‘Tackling early leaving from education and training in Europe’, 2015.</w:t>
      </w:r>
    </w:p>
  </w:footnote>
  <w:footnote w:id="124">
    <w:p w14:paraId="641C944D"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Komisijas dienestu darba dokuments “Progress towards the Common European Objectives in Education and Training. Indicators and benchmarks 2010/2011” [Panākumi kopējo Eiropas mērķu sasniegšanā izglītības un apmācības jomā. Rādītāji un kritēriji. 2010/2011], 2011. gads.</w:t>
      </w:r>
    </w:p>
  </w:footnote>
  <w:footnote w:id="125">
    <w:p w14:paraId="37724B8E"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Šajā dokumentā ar jēdzienu “izglītība” saprot obligātās izglītības (tostarp profesionālās izglītības, turpmāk tekstā – PI) sistēmu, kuras mērķis ir sekmēt bērnu kognitīvo, intelektuālo, sociālo, fizisko un emocionālo attīstību bez maksas un par valsts līdzekļiem. Obligātais skolas vecums svārstās no 3 līdz 7 gadiem, savukārt pāreja uz vidusskolu notiek vecumā no 11 līdz 16 gadiem.</w:t>
      </w:r>
    </w:p>
  </w:footnote>
  <w:footnote w:id="126">
    <w:p w14:paraId="36C94A8C"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izvērstākus statistikas datus par netiešajām ar mācībām saistītajām izmaksām A pielikuma A15. attēlā.</w:t>
      </w:r>
    </w:p>
  </w:footnote>
  <w:footnote w:id="127">
    <w:p w14:paraId="633DAD08"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Avots: </w:t>
      </w:r>
      <w:r>
        <w:rPr>
          <w:rFonts w:ascii="Times New Roman" w:hAnsi="Times New Roman"/>
          <w:i/>
          <w:iCs/>
        </w:rPr>
        <w:t>EU-SILC</w:t>
      </w:r>
      <w:r>
        <w:rPr>
          <w:rFonts w:ascii="Times New Roman" w:hAnsi="Times New Roman"/>
        </w:rPr>
        <w:t xml:space="preserve"> 2016. gada </w:t>
      </w:r>
      <w:r>
        <w:rPr>
          <w:rFonts w:ascii="Times New Roman" w:hAnsi="Times New Roman"/>
          <w:i/>
          <w:iCs/>
        </w:rPr>
        <w:t>ad hoc</w:t>
      </w:r>
      <w:r>
        <w:rPr>
          <w:rFonts w:ascii="Times New Roman" w:hAnsi="Times New Roman"/>
        </w:rPr>
        <w:t xml:space="preserve"> modulis saistībā ar publiskajiem pakalpojumiem, pašu veiktie aprēķini.</w:t>
      </w:r>
    </w:p>
  </w:footnote>
  <w:footnote w:id="128">
    <w:p w14:paraId="5023F362"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Starptautiskā skolēnu novērtēšanas programma (</w:t>
      </w:r>
      <w:r>
        <w:rPr>
          <w:rFonts w:ascii="Times New Roman" w:hAnsi="Times New Roman"/>
          <w:i/>
          <w:iCs/>
        </w:rPr>
        <w:t>PISA</w:t>
      </w:r>
      <w:r>
        <w:rPr>
          <w:rFonts w:ascii="Times New Roman" w:hAnsi="Times New Roman"/>
        </w:rPr>
        <w:t>) un Eiropas Savienības Pamattiesību aģentūra.</w:t>
      </w:r>
    </w:p>
  </w:footnote>
  <w:footnote w:id="129">
    <w:p w14:paraId="0E3CCA86" w14:textId="77777777" w:rsidR="00BC5BDF" w:rsidRPr="00CA35DB" w:rsidRDefault="00BC5BDF" w:rsidP="00CA35DB">
      <w:pPr>
        <w:autoSpaceDE w:val="0"/>
        <w:autoSpaceDN w:val="0"/>
        <w:adjustRightInd w:val="0"/>
        <w:spacing w:after="0" w:line="240" w:lineRule="auto"/>
        <w:jc w:val="both"/>
        <w:rPr>
          <w:rFonts w:ascii="Times New Roman" w:hAnsi="Times New Roman" w:cs="Times New Roman"/>
          <w:noProof/>
          <w:sz w:val="20"/>
          <w:szCs w:val="20"/>
        </w:rPr>
      </w:pPr>
      <w:r>
        <w:rPr>
          <w:rStyle w:val="FootnoteReference"/>
          <w:rFonts w:ascii="Times New Roman" w:hAnsi="Times New Roman" w:cs="Times New Roman"/>
          <w:noProof/>
          <w:sz w:val="20"/>
          <w:szCs w:val="20"/>
          <w:lang w:val="en-US"/>
        </w:rPr>
        <w:footnoteRef/>
      </w:r>
      <w:r>
        <w:rPr>
          <w:rFonts w:ascii="Times New Roman" w:hAnsi="Times New Roman"/>
          <w:sz w:val="20"/>
        </w:rPr>
        <w:t xml:space="preserve"> Blasko, Z., Schnepf, S. V. JRC policy brief ‘Educational inequalities in Europe and physical school closures during Covid-19’, Publications Office of the European Union, Luxembourg, 2020.</w:t>
      </w:r>
    </w:p>
  </w:footnote>
  <w:footnote w:id="130">
    <w:p w14:paraId="4D323AF0" w14:textId="12E8698E"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Komisijas paziņojums Eiropas Parlamentam, Padomei, Eiropas Ekonomikas un sociālo lietu komitejai un Reģionu komitejai “Digitālās izglītības rīcības plāns 2021.–2027. gadam. Izglītības un apmācības pārveide digitālajam laikmetam”, COM(2020) 624 final, pieejams vietnē: https://ec.europa.eu/education/sites/education/files/document-library-docs/deap-communication-sept2020_en.pdf</w:t>
      </w:r>
      <w:r>
        <w:rPr>
          <w:rStyle w:val="Hyperlink"/>
          <w:rFonts w:ascii="Times New Roman" w:hAnsi="Times New Roman"/>
          <w:color w:val="auto"/>
        </w:rPr>
        <w:t>.</w:t>
      </w:r>
    </w:p>
  </w:footnote>
  <w:footnote w:id="131">
    <w:p w14:paraId="1B0BF53D" w14:textId="04D885D0"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piemēram, Catterall, J., Chapleau, R., Iwanaga, J., ‘Involvement in the Arts and Human Development: General Involvement and Intensive Involvement In Music and Theatre Arts”, 2000.</w:t>
      </w:r>
    </w:p>
  </w:footnote>
  <w:footnote w:id="132">
    <w:p w14:paraId="34CBD5CA"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w:t>
      </w:r>
      <w:r>
        <w:rPr>
          <w:rFonts w:ascii="Times New Roman" w:hAnsi="Times New Roman"/>
          <w:i/>
          <w:iCs/>
        </w:rPr>
        <w:t>EU-SILC</w:t>
      </w:r>
      <w:r>
        <w:rPr>
          <w:rFonts w:ascii="Times New Roman" w:hAnsi="Times New Roman"/>
        </w:rPr>
        <w:t xml:space="preserve"> </w:t>
      </w:r>
      <w:r>
        <w:rPr>
          <w:rFonts w:ascii="Times New Roman" w:hAnsi="Times New Roman"/>
          <w:i/>
          <w:iCs/>
        </w:rPr>
        <w:t>ad hoc</w:t>
      </w:r>
      <w:r>
        <w:rPr>
          <w:rFonts w:ascii="Times New Roman" w:hAnsi="Times New Roman"/>
        </w:rPr>
        <w:t xml:space="preserve"> modulis saistībā ar 1–15 gadus vecu bērnu maznodrošinātību.</w:t>
      </w:r>
    </w:p>
  </w:footnote>
  <w:footnote w:id="133">
    <w:p w14:paraId="0AD57BCE"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B pielikuma B10. attēlu.</w:t>
      </w:r>
    </w:p>
  </w:footnote>
  <w:footnote w:id="134">
    <w:p w14:paraId="3AFB4402" w14:textId="0A4FF5E0"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piemēram, “A broken social elevator? How to promote social mobility”, OECD, 2018.</w:t>
      </w:r>
    </w:p>
  </w:footnote>
  <w:footnote w:id="135">
    <w:p w14:paraId="546CE714" w14:textId="77777777" w:rsidR="00BC5BDF" w:rsidRPr="00CA35DB" w:rsidRDefault="00BC5BDF" w:rsidP="00CA35DB">
      <w:pPr>
        <w:spacing w:after="0" w:line="240" w:lineRule="auto"/>
        <w:jc w:val="both"/>
        <w:rPr>
          <w:rFonts w:ascii="Times New Roman" w:hAnsi="Times New Roman" w:cs="Times New Roman"/>
          <w:noProof/>
          <w:sz w:val="20"/>
          <w:szCs w:val="20"/>
        </w:rPr>
      </w:pPr>
      <w:r>
        <w:rPr>
          <w:rStyle w:val="FootnoteReference"/>
          <w:rFonts w:ascii="Times New Roman" w:hAnsi="Times New Roman" w:cs="Times New Roman"/>
          <w:noProof/>
          <w:sz w:val="20"/>
          <w:szCs w:val="20"/>
          <w:lang w:val="en-US"/>
        </w:rPr>
        <w:footnoteRef/>
      </w:r>
      <w:r>
        <w:rPr>
          <w:rFonts w:ascii="Times New Roman" w:hAnsi="Times New Roman"/>
          <w:sz w:val="20"/>
        </w:rPr>
        <w:t xml:space="preserve"> Feasibility study for a child guarantee. Final report.</w:t>
      </w:r>
    </w:p>
  </w:footnote>
  <w:footnote w:id="136">
    <w:p w14:paraId="70E9C8BF" w14:textId="060FCCB2"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B pielikuma B13. tabulu.</w:t>
      </w:r>
    </w:p>
  </w:footnote>
  <w:footnote w:id="137">
    <w:p w14:paraId="53C74976" w14:textId="5742E8B5"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ESPN, Inequalities in access to healthcare, 2018.</w:t>
      </w:r>
    </w:p>
  </w:footnote>
  <w:footnote w:id="138">
    <w:p w14:paraId="1F5A1A4C"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Attiecīgi Francijā un Ungārijā, kā arī Beļģijā.</w:t>
      </w:r>
    </w:p>
  </w:footnote>
  <w:footnote w:id="139">
    <w:p w14:paraId="5EAF94B3" w14:textId="57E31652" w:rsidR="00BC5BDF" w:rsidRPr="00CA35DB" w:rsidRDefault="00BC5BDF" w:rsidP="00CA35DB">
      <w:pPr>
        <w:spacing w:after="0" w:line="240" w:lineRule="auto"/>
        <w:jc w:val="both"/>
        <w:rPr>
          <w:rFonts w:ascii="Times New Roman" w:hAnsi="Times New Roman" w:cs="Times New Roman"/>
          <w:noProof/>
          <w:sz w:val="20"/>
          <w:szCs w:val="20"/>
        </w:rPr>
      </w:pPr>
      <w:r>
        <w:rPr>
          <w:rStyle w:val="FootnoteReference"/>
          <w:rFonts w:ascii="Times New Roman" w:hAnsi="Times New Roman" w:cs="Times New Roman"/>
          <w:noProof/>
          <w:sz w:val="20"/>
          <w:szCs w:val="20"/>
          <w:lang w:val="en-US"/>
        </w:rPr>
        <w:footnoteRef/>
      </w:r>
      <w:r>
        <w:rPr>
          <w:rFonts w:ascii="Times New Roman" w:hAnsi="Times New Roman"/>
          <w:sz w:val="20"/>
        </w:rPr>
        <w:t xml:space="preserve"> Palm, W., Hernandez-Quevedo, C., Klasa, K., van Ginneken, E., ‘Implementation of the right to health care under the UN Convention on the Rights of the Child. Status report for the European Union”, European Observatory on Health Systems and Policies, 2017.</w:t>
      </w:r>
    </w:p>
  </w:footnote>
  <w:footnote w:id="140">
    <w:p w14:paraId="10E86E9F" w14:textId="298A82B3"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Komisijas dienestu darba dokuments “Veselības stāvoklis ES dalībvalstīs: Dokumentam pievienotais 2019. gada ziņojums”, SWD(2019) 377; pieejams vietnē: https://ec.europa.eu/health/state/companion_report_en</w:t>
      </w:r>
      <w:r>
        <w:rPr>
          <w:rStyle w:val="Hyperlink"/>
          <w:rFonts w:ascii="Times New Roman" w:hAnsi="Times New Roman"/>
          <w:color w:val="auto"/>
        </w:rPr>
        <w:t>.</w:t>
      </w:r>
    </w:p>
  </w:footnote>
  <w:footnote w:id="141">
    <w:p w14:paraId="3FE88A33"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Zviedrijā bērni gaida rindā 30 dienas salīdzinājumā ar pieaugušajiem, kuriem rindā jāgaida 90 dienas.</w:t>
      </w:r>
    </w:p>
  </w:footnote>
  <w:footnote w:id="142">
    <w:p w14:paraId="570AA875" w14:textId="48FFB245" w:rsidR="00BC5BDF" w:rsidRPr="00CA35DB" w:rsidRDefault="00BC5BDF" w:rsidP="00CA35DB">
      <w:pPr>
        <w:spacing w:after="0" w:line="240" w:lineRule="auto"/>
        <w:jc w:val="both"/>
        <w:rPr>
          <w:rFonts w:ascii="Times New Roman" w:hAnsi="Times New Roman" w:cs="Times New Roman"/>
          <w:noProof/>
          <w:sz w:val="20"/>
          <w:szCs w:val="20"/>
        </w:rPr>
      </w:pPr>
      <w:r>
        <w:rPr>
          <w:rStyle w:val="FootnoteReference"/>
          <w:rFonts w:ascii="Times New Roman" w:hAnsi="Times New Roman" w:cs="Times New Roman"/>
          <w:noProof/>
          <w:sz w:val="20"/>
          <w:szCs w:val="20"/>
          <w:lang w:val="en-US"/>
        </w:rPr>
        <w:footnoteRef/>
      </w:r>
      <w:r>
        <w:rPr>
          <w:rFonts w:ascii="Times New Roman" w:hAnsi="Times New Roman"/>
          <w:sz w:val="20"/>
        </w:rPr>
        <w:t xml:space="preserve"> Skat. ES labas veselības aprūpes prakses repozitoriju vietnē: https://webgate.ec.europa.eu/dyna/bp-portal/index_search.cfm.</w:t>
      </w:r>
    </w:p>
  </w:footnote>
  <w:footnote w:id="143">
    <w:p w14:paraId="4EED79DA" w14:textId="4FAD75F2"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Garīgās veselības problēmas un psiholoģiskas ciešanas ir viens no visbūtiskākajiem pusaudžu pašnāvības veicinošiem faktoriem. 2017. gadā visā ES no pašnāvības mira vairāk nekā 1000 pusaudžu vecumā no 15 līdz 19 gadiem, no kuriem vairāk nekā 70 % bija zēni. Līdz ar to pašnāvība ir viens no galvenajiem nāves cēloņiem šajā vecuma grupā. OECD 2020, Health at a Glance, https://ec.europa.eu/health/sites/health/files/state/docs/2020_healthatglance_rep_en.pdf, p. 128.</w:t>
      </w:r>
    </w:p>
  </w:footnote>
  <w:footnote w:id="144">
    <w:p w14:paraId="076888E0" w14:textId="0AC3BC91"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European Food Safety Authority, Dietary reference values, pieejams vietnē: http://www.efsa.europa.eu/en/topics/topic/dietary-reference-values.</w:t>
      </w:r>
    </w:p>
  </w:footnote>
  <w:footnote w:id="145">
    <w:p w14:paraId="5057A356"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World Health Organization, 2019, Essential nutrition actions: mainstreaming nutrition through the life-course.</w:t>
      </w:r>
    </w:p>
  </w:footnote>
  <w:footnote w:id="146">
    <w:p w14:paraId="4D21E94B"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Par Maltu un Rumāniju dati nebija pieejami.</w:t>
      </w:r>
    </w:p>
  </w:footnote>
  <w:footnote w:id="147">
    <w:p w14:paraId="28FFADED"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2015. gadā ESAO Starptautiskās studentu novērtēšanas programmas (</w:t>
      </w:r>
      <w:r>
        <w:rPr>
          <w:rFonts w:ascii="Times New Roman" w:hAnsi="Times New Roman"/>
          <w:i/>
          <w:iCs/>
        </w:rPr>
        <w:t>PISA</w:t>
      </w:r>
      <w:r>
        <w:rPr>
          <w:rFonts w:ascii="Times New Roman" w:hAnsi="Times New Roman"/>
        </w:rPr>
        <w:t>) ietvaros veiktajā pētījumā 15 gadus veciem bērniem bija iekļauti jautājumi par to, vai viņi brokasto pirms došanās uz skolu un pusdieno pēc mācību stundu beigām.</w:t>
      </w:r>
    </w:p>
  </w:footnote>
  <w:footnote w:id="148">
    <w:p w14:paraId="73C0221B" w14:textId="77777777" w:rsidR="00BC5BDF" w:rsidRPr="00CA35DB" w:rsidRDefault="00BC5BDF" w:rsidP="00CA35DB">
      <w:pPr>
        <w:autoSpaceDE w:val="0"/>
        <w:autoSpaceDN w:val="0"/>
        <w:adjustRightInd w:val="0"/>
        <w:spacing w:after="0" w:line="240" w:lineRule="auto"/>
        <w:jc w:val="both"/>
        <w:rPr>
          <w:rFonts w:ascii="Times New Roman" w:hAnsi="Times New Roman" w:cs="Times New Roman"/>
          <w:noProof/>
          <w:sz w:val="20"/>
          <w:szCs w:val="20"/>
        </w:rPr>
      </w:pPr>
      <w:r>
        <w:rPr>
          <w:rStyle w:val="FootnoteReference"/>
          <w:rFonts w:ascii="Times New Roman" w:hAnsi="Times New Roman" w:cs="Times New Roman"/>
          <w:noProof/>
          <w:sz w:val="20"/>
          <w:szCs w:val="20"/>
          <w:lang w:val="en-US"/>
        </w:rPr>
        <w:footnoteRef/>
      </w:r>
      <w:r>
        <w:rPr>
          <w:rFonts w:ascii="Times New Roman" w:hAnsi="Times New Roman"/>
          <w:sz w:val="20"/>
        </w:rPr>
        <w:t xml:space="preserve"> OECD, 2017, PISA 2015 Results (Volume III), ‘Students’ Well-Being’. Jo īpaši skat. III.11.11., III.11.12. un III.11.22. tabulu.</w:t>
      </w:r>
    </w:p>
  </w:footnote>
  <w:footnote w:id="149">
    <w:p w14:paraId="2CE94AD0"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2014. gadā apkopotais </w:t>
      </w:r>
      <w:r>
        <w:rPr>
          <w:rFonts w:ascii="Times New Roman" w:hAnsi="Times New Roman"/>
          <w:i/>
          <w:iCs/>
        </w:rPr>
        <w:t>EU-SILC</w:t>
      </w:r>
      <w:r>
        <w:rPr>
          <w:rFonts w:ascii="Times New Roman" w:hAnsi="Times New Roman"/>
        </w:rPr>
        <w:t xml:space="preserve"> </w:t>
      </w:r>
      <w:r>
        <w:rPr>
          <w:rFonts w:ascii="Times New Roman" w:hAnsi="Times New Roman"/>
          <w:i/>
          <w:iCs/>
        </w:rPr>
        <w:t>ad hoc</w:t>
      </w:r>
      <w:r>
        <w:rPr>
          <w:rFonts w:ascii="Times New Roman" w:hAnsi="Times New Roman"/>
        </w:rPr>
        <w:t xml:space="preserve"> modulis saistībā ar bērnu maznodrošinātību sniedz zināmu informāciju par augļu, dārzeņu un proteīnu piespiedu trūkumu bērnu (vecumā no 1 līdz 15 gadiem) uzturā. “Piespiedu trūkums” – trūkums nepietiekamu resursu dēļ un līdz ar to dārdzības problēmas, nevis trūkums, kam par iemeslu ir personas izvēle vai dzīvesveids.</w:t>
      </w:r>
    </w:p>
  </w:footnote>
  <w:footnote w:id="150">
    <w:p w14:paraId="0CE7E1B6" w14:textId="56384FAF"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Eurydice, 2016, School meals in Europe. Report by the Polish Euridyce Unit. Skat. B pielikuma B15. tabulu.</w:t>
      </w:r>
    </w:p>
  </w:footnote>
  <w:footnote w:id="151">
    <w:p w14:paraId="36CAB5EB"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Eiropas Parlamenta un Padomes 2018. gada 14. novembra Direktīva (ES) 2018/1808, ar ko, ņemot vērā mainīgos tirgus apstākļus, groza Direktīvu 2010/13/ES par to, lai koordinētu dažus dalībvalstu normatīvajos un administratīvajos aktos paredzētus noteikumus par audiovizuālo mediju pakalpojumu sniegšanu (Audiovizuālo mediju pakalpojumu direktīva).</w:t>
      </w:r>
    </w:p>
  </w:footnote>
  <w:footnote w:id="152">
    <w:p w14:paraId="19B1D80F" w14:textId="102CEEC6"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European Commission/JRC, 2014, ‘School Food and Nutrition in Europe: policies, interventions and their impact’, pieejams vietnē: https://publications.jrc.ec.europa.eu/repository/bitstream/JRC91433/school%20food%20policy%20workshop%20report%20(online).pdf.</w:t>
      </w:r>
    </w:p>
  </w:footnote>
  <w:footnote w:id="153">
    <w:p w14:paraId="56BA6933"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Dalībvalstis, kurās pamatnostādnes ir obligātas: Bulgārija, Čehija, Igaunija, Grieķija, Francija, Horvātija, Ungārija, Latvija, Lietuva, Rumānija, Slovēnija, Slovākija, Somija un Zviedrija. European Commission/JRC, 2014, ‘Mapping of National School Food Policies across the EU28 plus Norway and Switzerland’, pieejams vietnē: https://publications.jrc.ec.europa.eu/repository/bitstream/JRC90452/lbna26651enn.pdf.</w:t>
      </w:r>
    </w:p>
  </w:footnote>
  <w:footnote w:id="154">
    <w:p w14:paraId="4862BABE" w14:textId="433655D0" w:rsidR="00BC5BDF" w:rsidRPr="00CA35DB" w:rsidRDefault="00BC5BDF" w:rsidP="00CA35DB">
      <w:pPr>
        <w:pStyle w:val="FootnoteText"/>
        <w:jc w:val="both"/>
        <w:rPr>
          <w:rFonts w:ascii="Times New Roman" w:hAnsi="Times New Roman" w:cs="Times New Roman"/>
          <w:i/>
          <w:noProof/>
        </w:rPr>
      </w:pPr>
      <w:r>
        <w:rPr>
          <w:rStyle w:val="FootnoteReference"/>
          <w:rFonts w:ascii="Times New Roman" w:hAnsi="Times New Roman" w:cs="Times New Roman"/>
          <w:noProof/>
          <w:lang w:val="en-US"/>
        </w:rPr>
        <w:footnoteRef/>
      </w:r>
      <w:r>
        <w:rPr>
          <w:rFonts w:ascii="Times New Roman" w:hAnsi="Times New Roman"/>
        </w:rPr>
        <w:t xml:space="preserve"> Turpat.</w:t>
      </w:r>
    </w:p>
  </w:footnote>
  <w:footnote w:id="155">
    <w:p w14:paraId="0EA2F679"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informāciju par budžeta sadali 2020./2021. mācību gadā B pielikuma B12. attēlā.</w:t>
      </w:r>
    </w:p>
  </w:footnote>
  <w:footnote w:id="156">
    <w:p w14:paraId="1CD64591"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Eurochild, ‘Growing up in lockdown: Europe’s children in the age of COVID-19’, Brussels, 2020.</w:t>
      </w:r>
    </w:p>
  </w:footnote>
  <w:footnote w:id="157">
    <w:p w14:paraId="63379BB3"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w:t>
      </w:r>
      <w:r>
        <w:rPr>
          <w:rFonts w:ascii="Times New Roman" w:hAnsi="Times New Roman"/>
          <w:i/>
          <w:iCs/>
        </w:rPr>
        <w:t>Eurostat</w:t>
      </w:r>
      <w:r>
        <w:rPr>
          <w:rFonts w:ascii="Times New Roman" w:hAnsi="Times New Roman"/>
        </w:rPr>
        <w:t xml:space="preserve"> </w:t>
      </w:r>
      <w:r>
        <w:rPr>
          <w:rStyle w:val="rightside"/>
          <w:rFonts w:ascii="Times New Roman" w:hAnsi="Times New Roman"/>
        </w:rPr>
        <w:t xml:space="preserve">[ilc_lvho07a], </w:t>
      </w:r>
      <w:r>
        <w:rPr>
          <w:rFonts w:ascii="Times New Roman" w:hAnsi="Times New Roman"/>
        </w:rPr>
        <w:t>07.07.2020.</w:t>
      </w:r>
    </w:p>
  </w:footnote>
  <w:footnote w:id="158">
    <w:p w14:paraId="675CFB91" w14:textId="77777777" w:rsidR="00BC5BDF" w:rsidRPr="00CA35DB" w:rsidRDefault="00BC5BDF" w:rsidP="00CA35DB">
      <w:pPr>
        <w:spacing w:after="0" w:line="240" w:lineRule="auto"/>
        <w:jc w:val="both"/>
        <w:rPr>
          <w:rFonts w:ascii="Times New Roman" w:hAnsi="Times New Roman" w:cs="Times New Roman"/>
          <w:noProof/>
          <w:sz w:val="20"/>
          <w:szCs w:val="20"/>
        </w:rPr>
      </w:pPr>
      <w:r>
        <w:rPr>
          <w:rStyle w:val="FootnoteReference"/>
          <w:rFonts w:ascii="Times New Roman" w:hAnsi="Times New Roman" w:cs="Times New Roman"/>
          <w:noProof/>
          <w:sz w:val="20"/>
          <w:szCs w:val="20"/>
          <w:lang w:val="en-US"/>
        </w:rPr>
        <w:footnoteRef/>
      </w:r>
      <w:r>
        <w:rPr>
          <w:rFonts w:ascii="Times New Roman" w:hAnsi="Times New Roman"/>
          <w:sz w:val="20"/>
        </w:rPr>
        <w:t xml:space="preserve"> Feasibility study for a child guarantee. Final report, p. 54.</w:t>
      </w:r>
    </w:p>
  </w:footnote>
  <w:footnote w:id="159">
    <w:p w14:paraId="752BC5D6"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A pielikuma A2. attēlu.</w:t>
      </w:r>
    </w:p>
  </w:footnote>
  <w:footnote w:id="160">
    <w:p w14:paraId="2B518C9E"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w:t>
      </w:r>
      <w:r>
        <w:rPr>
          <w:rFonts w:ascii="Times New Roman" w:hAnsi="Times New Roman"/>
          <w:i/>
          <w:iCs/>
        </w:rPr>
        <w:t>EU-SILC</w:t>
      </w:r>
      <w:r>
        <w:rPr>
          <w:rFonts w:ascii="Times New Roman" w:hAnsi="Times New Roman"/>
        </w:rPr>
        <w:t xml:space="preserve"> </w:t>
      </w:r>
      <w:r>
        <w:rPr>
          <w:rFonts w:ascii="Times New Roman" w:hAnsi="Times New Roman"/>
          <w:i/>
          <w:iCs/>
        </w:rPr>
        <w:t>ad hoc</w:t>
      </w:r>
      <w:r>
        <w:rPr>
          <w:rFonts w:ascii="Times New Roman" w:hAnsi="Times New Roman"/>
        </w:rPr>
        <w:t xml:space="preserve"> modulis saistībā ar bērnu maznodrošinātību; skat. Komisijas 2020. gada 14. oktobra Ieteikumu (ES) 2020/1563 par enerģētisko nabadzību.</w:t>
      </w:r>
    </w:p>
  </w:footnote>
  <w:footnote w:id="161">
    <w:p w14:paraId="728C5632" w14:textId="2FB589E6"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Lielākā pārapdzīvotība </w:t>
      </w:r>
      <w:r>
        <w:rPr>
          <w:rFonts w:ascii="Times New Roman" w:hAnsi="Times New Roman"/>
          <w:i/>
          <w:iCs/>
        </w:rPr>
        <w:t>AROP</w:t>
      </w:r>
      <w:r>
        <w:rPr>
          <w:rFonts w:ascii="Times New Roman" w:hAnsi="Times New Roman"/>
        </w:rPr>
        <w:t xml:space="preserve"> pakļauto bērnu vidū bija novērojama Rumānijā (79,7 %) un Bulgārijā (79,1 %). Skat. arī B pielikuma B16. tabulu.</w:t>
      </w:r>
    </w:p>
  </w:footnote>
  <w:footnote w:id="162">
    <w:p w14:paraId="0CD3C357" w14:textId="15E42068"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Papildu informācijai skat. B pielikuma B18. attēlu.</w:t>
      </w:r>
    </w:p>
  </w:footnote>
  <w:footnote w:id="163">
    <w:p w14:paraId="32F987CB"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Papildu informācijai skat. Second overview of housing exclusion in Europe</w:t>
      </w:r>
      <w:r>
        <w:rPr>
          <w:rStyle w:val="Hyperlink"/>
          <w:rFonts w:ascii="Times New Roman" w:hAnsi="Times New Roman"/>
          <w:color w:val="auto"/>
          <w:u w:val="none"/>
        </w:rPr>
        <w:t>, FEANTSA 2017, pieejams vietnē; https://www.feantsa.org/download/gb_housing-exclusion-report_complete_20178613899107250251219.pdf.</w:t>
      </w:r>
    </w:p>
  </w:footnote>
  <w:footnote w:id="164">
    <w:p w14:paraId="29DB5083" w14:textId="4DC33B48"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Feasibility study for a child guarantee. Final report, p. 54.</w:t>
      </w:r>
    </w:p>
  </w:footnote>
  <w:footnote w:id="165">
    <w:p w14:paraId="5DAC7C4B"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B pielikuma B19. attēlu.</w:t>
      </w:r>
    </w:p>
  </w:footnote>
  <w:footnote w:id="166">
    <w:p w14:paraId="3D2926C2"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ESAO cenas ziņā pieejamo mājokļu datubāzi; šajā rādītājā ietvertā informācija ietver pašreizējos politikas pasākumus, par ko valstis ziņojušas, sniedzot atbildes 2019. un 2016. gada ESAO aptaujā par cenas ziņā pieejamu un sociālo mājokli.</w:t>
      </w:r>
    </w:p>
  </w:footnote>
  <w:footnote w:id="167">
    <w:p w14:paraId="6EC0AE53" w14:textId="77777777" w:rsidR="00BC5BDF" w:rsidRPr="00CA35DB" w:rsidRDefault="00BC5BDF" w:rsidP="00CA35DB">
      <w:pPr>
        <w:pStyle w:val="Considrant"/>
        <w:tabs>
          <w:tab w:val="clear" w:pos="1702"/>
          <w:tab w:val="left" w:pos="720"/>
        </w:tabs>
        <w:spacing w:before="0" w:after="0"/>
        <w:ind w:left="0" w:firstLine="0"/>
        <w:rPr>
          <w:noProof/>
          <w:sz w:val="20"/>
          <w:szCs w:val="20"/>
        </w:rPr>
      </w:pPr>
      <w:r>
        <w:rPr>
          <w:rStyle w:val="FootnoteReference"/>
          <w:noProof/>
          <w:sz w:val="20"/>
          <w:szCs w:val="20"/>
          <w:lang w:val="en-US"/>
        </w:rPr>
        <w:footnoteRef/>
      </w:r>
      <w:r>
        <w:rPr>
          <w:sz w:val="20"/>
        </w:rPr>
        <w:t xml:space="preserve"> Eurocities, 2020, Fighting child poverty in European cities. Lessons from cities for the EU Child Guarantee.</w:t>
      </w:r>
    </w:p>
  </w:footnote>
  <w:footnote w:id="168">
    <w:p w14:paraId="70EC9BCA"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Piemēram, Francija, Ungārija un Slovākija.</w:t>
      </w:r>
    </w:p>
  </w:footnote>
  <w:footnote w:id="169">
    <w:p w14:paraId="4021751E"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Jēdziens “reģions ar dominējošu laukos dzīvojošo īpatsvaru” tiek lietots pilsētas un lauku teritoriju tipoloģijā. Tas tiek definēts kā </w:t>
      </w:r>
      <w:r>
        <w:rPr>
          <w:rFonts w:ascii="Times New Roman" w:hAnsi="Times New Roman"/>
          <w:i/>
          <w:iCs/>
        </w:rPr>
        <w:t>NUTS</w:t>
      </w:r>
      <w:r>
        <w:rPr>
          <w:rFonts w:ascii="Times New Roman" w:hAnsi="Times New Roman"/>
        </w:rPr>
        <w:t xml:space="preserve"> 3. līmeņa reģions, kurā vismaz 50 % iedzīvotāju dzīvo lauku apvidus ģeogrāfiskā tīkla kvadrātos (t. i., apvidos, kuros iedzīvotāju blīvums nepārsniedz 300 iedzīvotājus uz kvadrātkilometru un kuri neveido daļu no pilsētvides kopas).</w:t>
      </w:r>
    </w:p>
  </w:footnote>
  <w:footnote w:id="170">
    <w:p w14:paraId="5E96C68E" w14:textId="4FE0137C"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Echazarra, A., Radinger, T., Learning In Rural Schools: Insights From PISA, TALIS and the Literature</w:t>
      </w:r>
      <w:r>
        <w:rPr>
          <w:rFonts w:ascii="Times New Roman" w:hAnsi="Times New Roman"/>
          <w:i/>
        </w:rPr>
        <w:t xml:space="preserve">, </w:t>
      </w:r>
      <w:r>
        <w:rPr>
          <w:rFonts w:ascii="Times New Roman" w:hAnsi="Times New Roman"/>
        </w:rPr>
        <w:t>OECD Publishing, Paris, 2019.</w:t>
      </w:r>
    </w:p>
  </w:footnote>
  <w:footnote w:id="171">
    <w:p w14:paraId="594C1A70"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Ungārijā, Rumānijā, Slovākijā un Portugālē.</w:t>
      </w:r>
    </w:p>
  </w:footnote>
  <w:footnote w:id="172">
    <w:p w14:paraId="579F2742"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European Commission, Education and Training Monitor 2020, p. 45.</w:t>
      </w:r>
    </w:p>
  </w:footnote>
  <w:footnote w:id="173">
    <w:p w14:paraId="0FB1F063"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Saskaņā ar 51. panta 1. punktu Hartas noteikumi attiecas uz dalībvalstīm tikai tad, ja tās īsteno Eiropas Savienības tiesību aktus.</w:t>
      </w:r>
    </w:p>
  </w:footnote>
  <w:footnote w:id="174">
    <w:p w14:paraId="385FBE89"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Saskaņā ar </w:t>
      </w:r>
      <w:r>
        <w:rPr>
          <w:rFonts w:ascii="Times New Roman" w:hAnsi="Times New Roman"/>
          <w:i/>
          <w:iCs/>
        </w:rPr>
        <w:t>UNCRC</w:t>
      </w:r>
      <w:r>
        <w:rPr>
          <w:rFonts w:ascii="Times New Roman" w:hAnsi="Times New Roman"/>
        </w:rPr>
        <w:t xml:space="preserve"> par bērnu tiek uzskatīta ikviena persona, kura nav sasniegusi 18 gadu vecumu. Līdz ar to visi dati par bērniem šajā dokumentā attiecas uz bērniem vecumā līdz 17 gadiem, ja vien nav noteikts citādi. Šī pieeja tika izmantota arī Ieteikumā “Ieguldījums bērnos”.</w:t>
      </w:r>
    </w:p>
  </w:footnote>
  <w:footnote w:id="175">
    <w:p w14:paraId="4C1D6CEE"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Komisijas dienestu darba dokuments “2013. gada Ieteikuma “Ieguldījums bērnos: nabadzības apburtā loka pārraušana” izvērtējums”, SWD(2017) 258 final.</w:t>
      </w:r>
    </w:p>
  </w:footnote>
  <w:footnote w:id="176">
    <w:p w14:paraId="1FE8B42A" w14:textId="5B1B5919"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Eiropas Parlamenta 2015. gada 24. novembra rezolūcija par nevienlīdzības samazināšanu, īpašu uzmanību pievēršot bērnu nabadzības problēmai, 2014/2237(INI).</w:t>
      </w:r>
    </w:p>
  </w:footnote>
  <w:footnote w:id="177">
    <w:p w14:paraId="3D547099" w14:textId="77777777" w:rsidR="00BC5BDF" w:rsidRPr="00CA35DB" w:rsidRDefault="00BC5BDF" w:rsidP="00CA35DB">
      <w:pPr>
        <w:spacing w:after="0" w:line="240" w:lineRule="auto"/>
        <w:jc w:val="both"/>
        <w:rPr>
          <w:rFonts w:ascii="Times New Roman" w:hAnsi="Times New Roman" w:cs="Times New Roman"/>
          <w:noProof/>
          <w:sz w:val="20"/>
          <w:szCs w:val="20"/>
        </w:rPr>
      </w:pPr>
      <w:r>
        <w:rPr>
          <w:rStyle w:val="FootnoteReference"/>
          <w:rFonts w:ascii="Times New Roman" w:hAnsi="Times New Roman" w:cs="Times New Roman"/>
          <w:noProof/>
          <w:sz w:val="20"/>
          <w:szCs w:val="20"/>
          <w:lang w:val="en-US"/>
        </w:rPr>
        <w:footnoteRef/>
      </w:r>
      <w:r>
        <w:rPr>
          <w:rFonts w:ascii="Times New Roman" w:hAnsi="Times New Roman"/>
          <w:sz w:val="20"/>
        </w:rPr>
        <w:t xml:space="preserve"> Feasibility study for a child guarantee. Final report</w:t>
      </w:r>
      <w:r>
        <w:rPr>
          <w:rStyle w:val="Hyperlink"/>
          <w:rFonts w:ascii="Times New Roman" w:hAnsi="Times New Roman"/>
          <w:color w:val="auto"/>
          <w:sz w:val="20"/>
        </w:rPr>
        <w:t>.</w:t>
      </w:r>
    </w:p>
  </w:footnote>
  <w:footnote w:id="178">
    <w:p w14:paraId="6B70600B"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Study on the economic implementing framework of a possible EU Child Guarantee Scheme including its financial foundation. Final Report.</w:t>
      </w:r>
    </w:p>
  </w:footnote>
  <w:footnote w:id="179">
    <w:p w14:paraId="51216441"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Eiropas Parlamenta 2021. gada 11. marta Rezolūcija par bērna tiesībām ES Bērna tiesību stratēģijas kontekstā, 2021/2523(RSP).</w:t>
      </w:r>
    </w:p>
  </w:footnote>
  <w:footnote w:id="180">
    <w:p w14:paraId="090FFEF0"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Padomes secinājumi “Demogrāfiskās problēmas: skatījums uz nākotni”</w:t>
      </w:r>
      <w:r>
        <w:rPr>
          <w:rStyle w:val="Hyperlink"/>
          <w:rFonts w:ascii="Times New Roman" w:hAnsi="Times New Roman"/>
          <w:color w:val="auto"/>
        </w:rPr>
        <w:t>,</w:t>
      </w:r>
      <w:r>
        <w:rPr>
          <w:rFonts w:ascii="Times New Roman" w:hAnsi="Times New Roman"/>
        </w:rPr>
        <w:t xml:space="preserve"> 8668/20.</w:t>
      </w:r>
    </w:p>
  </w:footnote>
  <w:footnote w:id="181">
    <w:p w14:paraId="45B3F130" w14:textId="081A7F39"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Eiropas Revīzijas palātas Īpašais ziņojums Nr. 20/2020 “Bērnu nabadzības izskaušana – mērķorientētāka Komisijas atbalsta nepieciešamība”</w:t>
      </w:r>
      <w:r>
        <w:rPr>
          <w:rStyle w:val="Hyperlink"/>
          <w:rFonts w:ascii="Times New Roman" w:hAnsi="Times New Roman"/>
          <w:color w:val="auto"/>
        </w:rPr>
        <w:t>.</w:t>
      </w:r>
    </w:p>
  </w:footnote>
  <w:footnote w:id="182">
    <w:p w14:paraId="23389A87"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Padomes un Padomē sanākušo dalībvalstu valdību pārstāvju secinājumi par iespēju vairošanu jauniešiem lauku un attālos apgabalos, 8265/20.</w:t>
      </w:r>
    </w:p>
  </w:footnote>
  <w:footnote w:id="183">
    <w:p w14:paraId="4D8CE996" w14:textId="1C0AA101"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‘Report “Our Europe, Our Rights, Our Future”. Children's and young people's contribution to the new EU Strategy on the Rights of the Child and the Child Guarantee’; pieejams vietnē: https://www.unicef.org/eu/reports/report-our-europe-our-rights-our-future</w:t>
      </w:r>
      <w:r>
        <w:rPr>
          <w:rStyle w:val="Hyperlink"/>
          <w:rFonts w:ascii="Times New Roman" w:hAnsi="Times New Roman"/>
          <w:color w:val="auto"/>
        </w:rPr>
        <w:t>.</w:t>
      </w:r>
    </w:p>
  </w:footnote>
  <w:footnote w:id="184">
    <w:p w14:paraId="11FA77CC" w14:textId="77777777" w:rsidR="002E6D8F" w:rsidRDefault="00BC5BDF" w:rsidP="00CA35DB">
      <w:pPr>
        <w:pStyle w:val="FootnoteText"/>
        <w:jc w:val="both"/>
        <w:rPr>
          <w:rFonts w:ascii="Times New Roman" w:hAnsi="Times New Roman"/>
        </w:rPr>
      </w:pPr>
      <w:r>
        <w:rPr>
          <w:rStyle w:val="FootnoteReference"/>
          <w:rFonts w:ascii="Times New Roman" w:hAnsi="Times New Roman" w:cs="Times New Roman"/>
          <w:noProof/>
          <w:lang w:val="en-US"/>
        </w:rPr>
        <w:footnoteRef/>
      </w:r>
      <w:r>
        <w:rPr>
          <w:rFonts w:ascii="Times New Roman" w:hAnsi="Times New Roman"/>
        </w:rPr>
        <w:t xml:space="preserve"> Komisijas paziņojums Eiropas Parlamentam, Padomei, Eiropas Ekonomikas un sociālo lietu komitejai un Reģionu komitejai “Savienība, kurā valda līdztiesība: personu ar invaliditāti tiesību stratēģija</w:t>
      </w:r>
    </w:p>
    <w:p w14:paraId="31E9F057" w14:textId="2C855429" w:rsidR="00BC5BDF" w:rsidRPr="00CA35DB" w:rsidRDefault="00BC5BDF" w:rsidP="00CA35DB">
      <w:pPr>
        <w:pStyle w:val="FootnoteText"/>
        <w:jc w:val="both"/>
        <w:rPr>
          <w:rFonts w:ascii="Times New Roman" w:hAnsi="Times New Roman" w:cs="Times New Roman"/>
          <w:noProof/>
        </w:rPr>
      </w:pPr>
      <w:r>
        <w:rPr>
          <w:rFonts w:ascii="Times New Roman" w:hAnsi="Times New Roman"/>
        </w:rPr>
        <w:t>2021.–2030. gadam”, COM(2021) 101 final.</w:t>
      </w:r>
    </w:p>
  </w:footnote>
  <w:footnote w:id="185">
    <w:p w14:paraId="76B61311"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Padomes 2019. gada 22. maija Ieteikums par kvalitatīvām agrīnās pirmsskolas izglītības un aprūpes sistēmām, 2019/C 189/02</w:t>
      </w:r>
      <w:r>
        <w:rPr>
          <w:rStyle w:val="Hyperlink"/>
          <w:rFonts w:ascii="Times New Roman" w:hAnsi="Times New Roman"/>
          <w:color w:val="auto"/>
        </w:rPr>
        <w:t>.</w:t>
      </w:r>
    </w:p>
  </w:footnote>
  <w:footnote w:id="186">
    <w:p w14:paraId="42066EBC"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Komisijas paziņojums Eiropas Parlamentam, Padomei, Eiropas Ekonomikas un sociālo lietu komitejai un Reģionu komitejai par Eiropas Izglītības telpas izveidi līdz 2025. gadam, COM(2020) 625 final.</w:t>
      </w:r>
    </w:p>
  </w:footnote>
  <w:footnote w:id="187">
    <w:p w14:paraId="0BD2EA02"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Padomes Rezolūcija par stratēģisku satvaru Eiropas sadarbībai izglītības un mācību jomā ceļā uz Eiropas izglītības telpu un turpmāk (2021–2030), 2021/C 66/01.</w:t>
      </w:r>
    </w:p>
  </w:footnote>
  <w:footnote w:id="188">
    <w:p w14:paraId="3567FBAF"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Papildu informācijai par </w:t>
      </w:r>
      <w:r>
        <w:rPr>
          <w:rFonts w:ascii="Times New Roman" w:hAnsi="Times New Roman"/>
          <w:i/>
          <w:iCs/>
        </w:rPr>
        <w:t>ECEC</w:t>
      </w:r>
      <w:r>
        <w:rPr>
          <w:rFonts w:ascii="Times New Roman" w:hAnsi="Times New Roman"/>
        </w:rPr>
        <w:t xml:space="preserve"> skat. B pielikuma B2.–B8. attēlus un tabulas.</w:t>
      </w:r>
    </w:p>
  </w:footnote>
  <w:footnote w:id="189">
    <w:p w14:paraId="712F41D0"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Komisijas paziņojums Eiropas Parlamentam, Padomei, Eiropas Ekonomikas un sociālo lietu komitejai un Reģionu komitejai “Savienība, kurā valda līdztiesība: dzimumu līdztiesības stratēģija 2020.–2025. gadam”, COM(2020) 152 final.</w:t>
      </w:r>
    </w:p>
  </w:footnote>
  <w:footnote w:id="190">
    <w:p w14:paraId="3CFCAF37"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Komisijas paziņojums Eiropas Parlamentam, Padomei, Eiropas Ekonomikas un sociālo lietu komitejai un Reģionu komitejai “Jauniešu nodarbinātības atbalsts – tilts uz darbvietām nākamajai paaudzei”, COM/2020/276 final.</w:t>
      </w:r>
    </w:p>
  </w:footnote>
  <w:footnote w:id="191">
    <w:p w14:paraId="44DAA520"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Padomes 2020. gada 30. oktobra Ieteikums “Tilts uz nodarbinātību – Garantijas jauniešiem pastiprināšana un ar ko aizstāj Padomes 2013. gada 22. aprīļa Ieteikumu par Garantijas jauniešiem izveidi 2020/C 372/01”, 2020/C 372/01.</w:t>
      </w:r>
    </w:p>
  </w:footnote>
  <w:footnote w:id="192">
    <w:p w14:paraId="12FD95CB"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Komisijas paziņojums Eiropas Parlamentam, Padomei, Eiropas Ekonomikas un sociālo lietu komitejai un Reģionu komitejai “Savienība, kurā valda līdztiesība: ES rasisma apkarošanas rīcības plāns 2020.–2025. gadam”, COM(2020) 565 final.</w:t>
      </w:r>
    </w:p>
  </w:footnote>
  <w:footnote w:id="193">
    <w:p w14:paraId="25684611" w14:textId="0FDA8819"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Komisijas paziņojums Eiropas Parlamentam, Padomei, Eiropas Ekonomikas un sociālo lietu komitejai un Reģionu komitejai “Digitālās izglītības rīcības plāns 2021.–2027. gadam. Izglītības un mācību pārveide digitālajam laikmetam”, COM(2020) 624 final.</w:t>
      </w:r>
    </w:p>
  </w:footnote>
  <w:footnote w:id="194">
    <w:p w14:paraId="2C54D24B"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Komisijas paziņojums Eiropas Parlamentam un Padomei “Savienība, kurā valda līdztiesība: ES romu stratēģiskais satvars līdztiesības, iekļaušanas un līdzdalības jomā</w:t>
      </w:r>
      <w:r>
        <w:rPr>
          <w:rFonts w:ascii="Times New Roman" w:hAnsi="Times New Roman"/>
          <w:b/>
          <w:bCs/>
        </w:rPr>
        <w:t xml:space="preserve">”, </w:t>
      </w:r>
      <w:r>
        <w:rPr>
          <w:rFonts w:ascii="Times New Roman" w:hAnsi="Times New Roman"/>
        </w:rPr>
        <w:t>COM(2020) 620 final.</w:t>
      </w:r>
    </w:p>
  </w:footnote>
  <w:footnote w:id="195">
    <w:p w14:paraId="4D145219"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Padomes 2021. gada 12. marta Ieteikums par romu līdztiesību, iekļaušanu un līdzdalību, 2021/C 93/01.</w:t>
      </w:r>
    </w:p>
  </w:footnote>
  <w:footnote w:id="196">
    <w:p w14:paraId="1F9E7488"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Komisijas paziņojums Eiropas Parlamentam, Padomei, Eiropas Ekonomikas un sociālo lietu komitejai un Reģionu komitejai “Eiropas Renovācijas vilnis – par zaļākām ēkām, jaunām darbvietām un labāku dzīvi”, COM(2020) 662 final.</w:t>
      </w:r>
    </w:p>
  </w:footnote>
  <w:footnote w:id="197">
    <w:p w14:paraId="1CE94B04" w14:textId="77777777" w:rsidR="00BC5BDF" w:rsidRPr="00CA35DB" w:rsidRDefault="00BC5BDF" w:rsidP="00CA35DB">
      <w:pPr>
        <w:pStyle w:val="FootnoteText"/>
        <w:jc w:val="both"/>
        <w:rPr>
          <w:rFonts w:ascii="Times New Roman" w:hAnsi="Times New Roman" w:cs="Times New Roman"/>
          <w:noProof/>
        </w:rPr>
      </w:pPr>
      <w:r>
        <w:rPr>
          <w:rFonts w:ascii="Times New Roman" w:hAnsi="Times New Roman" w:cs="Times New Roman"/>
          <w:noProof/>
          <w:vertAlign w:val="superscript"/>
          <w:lang w:val="en-US"/>
        </w:rPr>
        <w:footnoteRef/>
      </w:r>
      <w:r>
        <w:rPr>
          <w:rFonts w:ascii="Times New Roman" w:hAnsi="Times New Roman"/>
        </w:rPr>
        <w:t xml:space="preserve"> Komisijas 2020. gada 14. oktobra Ieteikums (ES) 2020/1563 par enerģētisko nabadzību.</w:t>
      </w:r>
    </w:p>
  </w:footnote>
  <w:footnote w:id="198">
    <w:p w14:paraId="3CEFA87A"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Komisijas paziņojums Eiropas Parlamentam, Padomei, Eiropas Ekonomikas un sociālo lietu komitejai un Reģionu komitejai “Savienība, kurā valda līdztiesība: </w:t>
      </w:r>
      <w:r>
        <w:rPr>
          <w:rFonts w:ascii="Times New Roman" w:hAnsi="Times New Roman"/>
          <w:i/>
          <w:iCs/>
        </w:rPr>
        <w:t>LGBTIQ</w:t>
      </w:r>
      <w:r>
        <w:rPr>
          <w:rFonts w:ascii="Times New Roman" w:hAnsi="Times New Roman"/>
        </w:rPr>
        <w:t xml:space="preserve"> līdztiesības stratēģija 2020.–2025. gadam”, COM(2020) 698 final</w:t>
      </w:r>
    </w:p>
  </w:footnote>
  <w:footnote w:id="199">
    <w:p w14:paraId="511F29DC" w14:textId="6822479C"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Komisijas paziņojums Eiropas Parlamentam, Padomei, Eiropas Ekonomikas un sociālo lietu komitejai un Reģionu komitejai “Rīcības plāns par integrāciju un iekļaušanu 2021.–2027. gadam”, COM(2020) 758 final.</w:t>
      </w:r>
    </w:p>
  </w:footnote>
  <w:footnote w:id="200">
    <w:p w14:paraId="3395B916" w14:textId="77777777" w:rsidR="00BC5BDF" w:rsidRPr="00CA35DB" w:rsidRDefault="00BC5BDF" w:rsidP="00CA35DB">
      <w:pPr>
        <w:pStyle w:val="Default"/>
        <w:jc w:val="both"/>
        <w:rPr>
          <w:noProof/>
          <w:color w:val="auto"/>
          <w:sz w:val="20"/>
          <w:szCs w:val="20"/>
        </w:rPr>
      </w:pPr>
      <w:r>
        <w:rPr>
          <w:noProof/>
          <w:color w:val="auto"/>
          <w:sz w:val="20"/>
          <w:szCs w:val="20"/>
          <w:vertAlign w:val="superscript"/>
          <w:lang w:val="en-US"/>
        </w:rPr>
        <w:footnoteRef/>
      </w:r>
      <w:r>
        <w:rPr>
          <w:color w:val="auto"/>
          <w:sz w:val="20"/>
        </w:rPr>
        <w:t xml:space="preserve"> Eiropas Parlamenta un Padomes 2020. gada 16. decembra Direktīva (ES) 2020/2184 par dzeramā ūdens kvalitāti (pārstrādātā versija).</w:t>
      </w:r>
    </w:p>
  </w:footnote>
  <w:footnote w:id="201">
    <w:p w14:paraId="11EA4481" w14:textId="77777777" w:rsidR="00BC5BDF" w:rsidRPr="00CA35DB" w:rsidRDefault="00BC5BDF" w:rsidP="00CA35DB">
      <w:pPr>
        <w:pStyle w:val="Default"/>
        <w:jc w:val="both"/>
        <w:rPr>
          <w:noProof/>
          <w:color w:val="auto"/>
          <w:sz w:val="20"/>
          <w:szCs w:val="20"/>
        </w:rPr>
      </w:pPr>
      <w:r>
        <w:rPr>
          <w:rStyle w:val="FootnoteReference"/>
          <w:noProof/>
          <w:color w:val="auto"/>
          <w:sz w:val="20"/>
          <w:szCs w:val="20"/>
          <w:lang w:val="en-US"/>
        </w:rPr>
        <w:footnoteRef/>
      </w:r>
      <w:r>
        <w:rPr>
          <w:color w:val="auto"/>
          <w:sz w:val="20"/>
        </w:rPr>
        <w:t xml:space="preserve"> Komisijas paziņojums Eiropas Parlamentam un Padomei “Eiropas Vēža uzveikšanas plāns”, COM(2021) 44 final.</w:t>
      </w:r>
    </w:p>
  </w:footnote>
  <w:footnote w:id="202">
    <w:p w14:paraId="6352D597"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Padomes 2018. gada 7. decembra Ieteikums par pastiprinātu sadarbību, kas vērsta pret vakcīnnovēršamām slimībām, 2018/C 466/01.</w:t>
      </w:r>
    </w:p>
  </w:footnote>
  <w:footnote w:id="203">
    <w:p w14:paraId="7BD8DBB1" w14:textId="7A1E337D"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Komisijas paziņojums “EIROPA 2020. Stratēģija gudrai, ilgtspējīgai un integrējošai izaugsmei”, COM(2010) 2020 final.</w:t>
      </w:r>
    </w:p>
  </w:footnote>
  <w:footnote w:id="204">
    <w:p w14:paraId="49710D56"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Komisijas paziņojums Eiropas Parlamentam, Padomei, Eiropas Ekonomikas un sociālo lietu komitejai un Reģionu komitejai “Priekšlaicīgas mācību pārtraukšanas novēršana – būtisks ieguldījums stratēģijā Eiropa 2020”, COM(2011) 18 final, un Komisijas dienestu darba dokuments “Priekšlaicīgas mācību pārtraukšanas mazināšana. Pavaddokuments dokumentam “Priekšlikums Padomes Ieteikumam par politiku, lai mazinātu mācību priekšlaicīgu pārtraukšanu””, SEC(2011) 96 final.</w:t>
      </w:r>
    </w:p>
  </w:footnote>
  <w:footnote w:id="205">
    <w:p w14:paraId="111975C9"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Padomes 2011. gada 28. jūnija Ieteikums par politiku, lai mazinātu mācību priekšlaicīgu pārtraukšanu, 2011/C 191/01.</w:t>
      </w:r>
    </w:p>
  </w:footnote>
  <w:footnote w:id="206">
    <w:p w14:paraId="18C855D2"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European Commission, ‘Schools policy. A whole school approach to tackling early school leaving’, Publications Office of the European Union, Luxembourg 2015.</w:t>
      </w:r>
    </w:p>
  </w:footnote>
  <w:footnote w:id="207">
    <w:p w14:paraId="58911CCC" w14:textId="45047E74"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https://www.schooleducationgateway.eu/en/pub/resources/toolkitsforschools.htm.</w:t>
      </w:r>
    </w:p>
  </w:footnote>
  <w:footnote w:id="208">
    <w:p w14:paraId="520AB133"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Komisijas 2008. gada 3. oktobra Ieteikums par tādu cilvēku aktīvu integrāciju, kuri ir atstumti no darba tirgus, 2008/867/EK.</w:t>
      </w:r>
    </w:p>
  </w:footnote>
  <w:footnote w:id="209">
    <w:p w14:paraId="7F3CCB5D"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Padomes 2016. gada 15. februāra Ieteikums par ilgstošo bezdarbnieku integrāciju darba tirgū, 2016/C 67/01.</w:t>
      </w:r>
    </w:p>
  </w:footnote>
  <w:footnote w:id="210">
    <w:p w14:paraId="5A52A6D2" w14:textId="77777777" w:rsidR="00BC5BDF" w:rsidRPr="00CA35DB" w:rsidRDefault="00BC5BDF" w:rsidP="00CA35DB">
      <w:pPr>
        <w:pStyle w:val="NormalWeb"/>
        <w:spacing w:before="0" w:beforeAutospacing="0" w:after="0" w:afterAutospacing="0"/>
        <w:jc w:val="both"/>
        <w:rPr>
          <w:noProof/>
          <w:sz w:val="20"/>
          <w:szCs w:val="20"/>
        </w:rPr>
      </w:pPr>
      <w:r>
        <w:rPr>
          <w:rStyle w:val="FootnoteReference"/>
          <w:noProof/>
          <w:sz w:val="20"/>
          <w:szCs w:val="20"/>
          <w:lang w:val="en-US"/>
        </w:rPr>
        <w:footnoteRef/>
      </w:r>
      <w:r>
        <w:rPr>
          <w:sz w:val="20"/>
        </w:rPr>
        <w:t xml:space="preserve"> Eiropas Parlamenta un Padomes 2019. gada 20. jūnija Direktīva (ES) 2019/1158 par darba un privātās dzīves līdzsvaru vecākiem un aprūpētājiem un ar ko atceļ Padomes Direktīvu 2010/18/ES.</w:t>
      </w:r>
    </w:p>
  </w:footnote>
  <w:footnote w:id="211">
    <w:p w14:paraId="2FD69FD4" w14:textId="77777777" w:rsidR="00BC5BDF" w:rsidRPr="00CA35DB" w:rsidRDefault="00BC5BDF" w:rsidP="00CA35DB">
      <w:pPr>
        <w:pStyle w:val="NormalWeb"/>
        <w:spacing w:before="0" w:beforeAutospacing="0" w:after="0" w:afterAutospacing="0"/>
        <w:jc w:val="both"/>
        <w:rPr>
          <w:i/>
          <w:noProof/>
          <w:sz w:val="20"/>
          <w:szCs w:val="20"/>
        </w:rPr>
      </w:pPr>
      <w:r>
        <w:rPr>
          <w:rStyle w:val="FootnoteReference"/>
          <w:noProof/>
          <w:sz w:val="20"/>
          <w:szCs w:val="20"/>
          <w:lang w:val="en-US"/>
        </w:rPr>
        <w:footnoteRef/>
      </w:r>
      <w:r>
        <w:rPr>
          <w:sz w:val="20"/>
        </w:rPr>
        <w:t xml:space="preserve"> Padomes 2019. gada 8. novembra Ieteikums par darbinieku un pašnodarbināto personu piekļuvi sociālajai aizsardzībai, 2019/C 387/01.</w:t>
      </w:r>
    </w:p>
  </w:footnote>
  <w:footnote w:id="212">
    <w:p w14:paraId="57BE642D" w14:textId="77777777" w:rsidR="00BC5BDF" w:rsidRPr="00CA35DB" w:rsidRDefault="00BC5BDF" w:rsidP="00CA35DB">
      <w:pPr>
        <w:pStyle w:val="Default"/>
        <w:jc w:val="both"/>
        <w:rPr>
          <w:noProof/>
          <w:color w:val="auto"/>
          <w:sz w:val="20"/>
          <w:szCs w:val="20"/>
        </w:rPr>
      </w:pPr>
      <w:r>
        <w:rPr>
          <w:rStyle w:val="FootnoteReference"/>
          <w:noProof/>
          <w:color w:val="auto"/>
          <w:sz w:val="20"/>
          <w:szCs w:val="20"/>
          <w:lang w:val="en-US"/>
        </w:rPr>
        <w:footnoteRef/>
      </w:r>
      <w:r>
        <w:rPr>
          <w:color w:val="auto"/>
          <w:sz w:val="20"/>
        </w:rPr>
        <w:t xml:space="preserve"> Komisijas paziņojums Eiropas Parlamentam, Padomei, Eiropas Ekonomikas un sociālo lietu komitejai un Reģionu komitejai “Eiropas Prasmju programma ilgtspējīgai konkurētspējai, sociālajam taisnīgumam un noturībai”, COM(2020) 274 final.</w:t>
      </w:r>
    </w:p>
  </w:footnote>
  <w:footnote w:id="213">
    <w:p w14:paraId="3E15FC39"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Padomes 2020. gada 19. maija Regula (ES) 2020/672, ar ko izveido Eiropas pagaidu atbalsta instrumentu bezdarba risku mazināšanai ārkārtas situācijā (</w:t>
      </w:r>
      <w:r>
        <w:rPr>
          <w:rFonts w:ascii="Times New Roman" w:hAnsi="Times New Roman"/>
          <w:i/>
          <w:iCs/>
        </w:rPr>
        <w:t>SURE</w:t>
      </w:r>
      <w:r>
        <w:rPr>
          <w:rFonts w:ascii="Times New Roman" w:hAnsi="Times New Roman"/>
        </w:rPr>
        <w:t>) pēc Covid-19 uzliesmojuma.</w:t>
      </w:r>
    </w:p>
  </w:footnote>
  <w:footnote w:id="214">
    <w:p w14:paraId="6C79E36E"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Priekšlikums Eiropas Parlamenta un Padomes Direktīvai par adekvātu minimālo algu Eiropas Savienībā, COM/2020/682 final.</w:t>
      </w:r>
    </w:p>
  </w:footnote>
  <w:footnote w:id="215">
    <w:p w14:paraId="1B16F32A"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“Eiropas strukturālie un investīciju fondi” – ESI fondi ir Eiropas Reģionālās attīstības fonds (ERAF), Eiropas Sociālais fonds (ESF) un Kohēzijas fonds, kā arī fonds lauku attīstībai, proti, Eiropas Lauksaimniecības fonds lauku attīstībai (ELFLA), un jūrlietu un zivsaimniecības nozarei, proti, pasākumiem, ko finansē saskaņā ar Eiropas Jūrlietu un zivsaimniecības fondu (EJZF). Skat. Regulu (ES) Nr. 1303/2013.</w:t>
      </w:r>
    </w:p>
  </w:footnote>
  <w:footnote w:id="216">
    <w:p w14:paraId="5A7B6401" w14:textId="50BADDB8"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Regula (ES) Nr. 1304/2013.</w:t>
      </w:r>
    </w:p>
  </w:footnote>
  <w:footnote w:id="217">
    <w:p w14:paraId="4AB85AB9" w14:textId="5DBF9D26"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piemērus ESF tīmekļa vietnē</w:t>
      </w:r>
      <w:r>
        <w:rPr>
          <w:rStyle w:val="Hyperlink"/>
          <w:rFonts w:ascii="Times New Roman" w:hAnsi="Times New Roman"/>
          <w:color w:val="auto"/>
        </w:rPr>
        <w:t>.</w:t>
      </w:r>
    </w:p>
  </w:footnote>
  <w:footnote w:id="218">
    <w:p w14:paraId="1D7D3550"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Eiropas Parlamenta un Padomes Regula (ES) Nr. 1301/2013 (2013. gada 17. decembris) par Eiropas Reģionālās attīstības fondu un īpašiem noteikumiem attiecībā uz mērķi “Investīcijas izaugsmei un nodarbinātībai” un ar ko atceļ Regulu (EK) Nr. 1080/2006.</w:t>
      </w:r>
    </w:p>
  </w:footnote>
  <w:footnote w:id="219">
    <w:p w14:paraId="67730A30" w14:textId="165C2F5D"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Eiropas Parlamenta un Padomes 2013. gada 17. decembra Regula (ES) Nr. 1305/2013 par atbalstu lauku attīstībai no Eiropas Lauksaimniecības fonda lauku attīstībai (ELFLA) un ar ko atceļ Padomes Regulu (EK) Nr. 1698/2005.</w:t>
      </w:r>
    </w:p>
  </w:footnote>
  <w:footnote w:id="220">
    <w:p w14:paraId="435AC242"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Eiropas Parlamenta un Padomes 2014. gada 11. marta Regula (ES) Nr. 223/2014 par Eiropas atbalsta fondu vistrūcīgākajām personām.</w:t>
      </w:r>
    </w:p>
  </w:footnote>
  <w:footnote w:id="221">
    <w:p w14:paraId="0BDB2A42" w14:textId="4FBC8D15"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Ar kopējo budžetu 439,5 miljoni eiro no 2014. līdz 2020. gadam; plašākai informācijai skat. vienoto elektroniskas datu apmaiņas telpu (turpmāk tekstā – </w:t>
      </w:r>
      <w:r>
        <w:rPr>
          <w:rFonts w:ascii="Times New Roman" w:hAnsi="Times New Roman"/>
          <w:i/>
          <w:iCs/>
        </w:rPr>
        <w:t>SEDIA</w:t>
      </w:r>
      <w:r>
        <w:rPr>
          <w:rFonts w:ascii="Times New Roman" w:hAnsi="Times New Roman"/>
        </w:rPr>
        <w:t>).</w:t>
      </w:r>
    </w:p>
  </w:footnote>
  <w:footnote w:id="222">
    <w:p w14:paraId="71F0D601" w14:textId="6112F038" w:rsidR="00BC5BDF" w:rsidRPr="00CA35DB" w:rsidRDefault="00BC5BDF" w:rsidP="00CA35DB">
      <w:pPr>
        <w:pStyle w:val="FootnoteText"/>
        <w:jc w:val="both"/>
        <w:rPr>
          <w:rFonts w:ascii="Times New Roman" w:hAnsi="Times New Roman" w:cs="Times New Roman"/>
          <w:noProof/>
        </w:rPr>
      </w:pPr>
      <w:r>
        <w:rPr>
          <w:rFonts w:ascii="Times New Roman" w:hAnsi="Times New Roman" w:cs="Times New Roman"/>
          <w:noProof/>
          <w:vertAlign w:val="superscript"/>
          <w:lang w:val="en-US"/>
        </w:rPr>
        <w:footnoteRef/>
      </w:r>
      <w:r>
        <w:rPr>
          <w:rFonts w:ascii="Times New Roman" w:hAnsi="Times New Roman"/>
          <w:vertAlign w:val="superscript"/>
        </w:rPr>
        <w:t xml:space="preserve"> </w:t>
      </w:r>
      <w:r>
        <w:rPr>
          <w:rFonts w:ascii="Times New Roman" w:hAnsi="Times New Roman"/>
        </w:rPr>
        <w:t>Eiropas Parlamenta un Padomes 2013. gada 11. decembra Regula (ES) Nr. 1288/2013, ar ko izveido Savienības programmu izglītības, apmācības, jaunatnes un sporta jomā “Erasmus+” un atceļ Lēmumus Nr. 1719/2006/EK, Nr. 1720/2006/EK un Nr. 1298/2008/EK.</w:t>
      </w:r>
    </w:p>
  </w:footnote>
  <w:footnote w:id="223">
    <w:p w14:paraId="3F4ECEC3"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Eiropas Parlamenta un Padomes 2013. gada 11. decembra Regula (ES) Nr. 1296/2013 par Eiropas Savienības Nodarbinātības un sociālās inovācijas programmu (“EaSI”) un ar kuru groza Lēmumu Nr. 283/2010/ES, ar ko izveido Eiropas progresa mikrofinansēšanas instrumentu nodarbinātībai un sociālajai iekļaušanai.</w:t>
      </w:r>
    </w:p>
  </w:footnote>
  <w:footnote w:id="224">
    <w:p w14:paraId="4D5EE5FB" w14:textId="60C1B9B8"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https://ec.europa.eu/info/publications/2019-european-semester-country-reports_en</w:t>
      </w:r>
      <w:r>
        <w:rPr>
          <w:rStyle w:val="Hyperlink"/>
          <w:rFonts w:ascii="Times New Roman" w:hAnsi="Times New Roman"/>
          <w:color w:val="auto"/>
        </w:rPr>
        <w:t>.</w:t>
      </w:r>
    </w:p>
  </w:footnote>
  <w:footnote w:id="225">
    <w:p w14:paraId="4CA9B18A"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Eiropas Parlamenta un Padomes 2021. gada 12. marta Regula, ar ko izveido programmu “InvestEU” un groza Regulu (ES) 2015/1017.</w:t>
      </w:r>
    </w:p>
  </w:footnote>
  <w:footnote w:id="226">
    <w:p w14:paraId="250CCF6E"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Eiropas Parlamenta un Padomes 2021. gada 10. februāra Regula (ES) 2021/240, ar ko izveido tehniskā atbalsta instrumentu.</w:t>
      </w:r>
    </w:p>
  </w:footnote>
  <w:footnote w:id="227">
    <w:p w14:paraId="777E6FB2" w14:textId="6500781F"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https://ec.europa.eu/info/files/guidance-member-states-recovery-and-resilience-plans_en.</w:t>
      </w:r>
    </w:p>
  </w:footnote>
  <w:footnote w:id="228">
    <w:p w14:paraId="488FFD78" w14:textId="23A754F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https://ec.europa.eu/info/horizon-europe_en.</w:t>
      </w:r>
    </w:p>
  </w:footnote>
  <w:footnote w:id="229">
    <w:p w14:paraId="56FBBD88" w14:textId="77777777" w:rsidR="00BC5BDF" w:rsidRPr="00CA35DB" w:rsidRDefault="00BC5BDF" w:rsidP="00CA35DB">
      <w:pPr>
        <w:spacing w:after="0" w:line="240" w:lineRule="auto"/>
        <w:jc w:val="both"/>
        <w:rPr>
          <w:rFonts w:ascii="Times New Roman" w:hAnsi="Times New Roman" w:cs="Times New Roman"/>
          <w:noProof/>
          <w:sz w:val="20"/>
          <w:szCs w:val="20"/>
        </w:rPr>
      </w:pPr>
      <w:r>
        <w:rPr>
          <w:rStyle w:val="FootnoteReference"/>
          <w:rFonts w:ascii="Times New Roman" w:hAnsi="Times New Roman" w:cs="Times New Roman"/>
          <w:noProof/>
          <w:sz w:val="20"/>
          <w:szCs w:val="20"/>
          <w:lang w:val="en-US"/>
        </w:rPr>
        <w:footnoteRef/>
      </w:r>
      <w:r>
        <w:rPr>
          <w:rFonts w:ascii="Times New Roman" w:hAnsi="Times New Roman"/>
          <w:sz w:val="20"/>
        </w:rPr>
        <w:t xml:space="preserve"> Feasibility study for a child guarantee. Final report, p. 121.</w:t>
      </w:r>
    </w:p>
  </w:footnote>
  <w:footnote w:id="230">
    <w:p w14:paraId="12A2FB8D" w14:textId="47152718"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Eiropas pusgads ir ikgadējs ekonomikas un budžeta politikas koordinācijas cikls ES, kurā dalībvalstīm tiek sniegti norādījumi, ņemot vērā to politiskos lēmumus valsts līmenī. Šajos norādījumos ir iekļauti ieteikumi par nodarbinātības un sociālajiem jautājumiem, kas atspoguļo sociālo rezultātu rādītājus, kuri paredzēti dalībvalstu snieguma uzraudzībai saistībā ar Eiropas sociālo tiesību pīlāra principiem.</w:t>
      </w:r>
    </w:p>
  </w:footnote>
  <w:footnote w:id="231">
    <w:p w14:paraId="11990E57" w14:textId="18EE554E"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2018.–2019. gada Eiropas pusgada cikla laikā Padome kopumā izdeva 35 valstīm adresētus ieteikumus par ģimenes ienākumu atbalstu, sociālās aizsardzības efektivitāti, iekļaujošu izglītību, finansiāliem stimuliem (vai kavējošiem faktoriem), lai pieņemtu algotu darbu vientuļajiem un otrajiem pelnītājiem, kā arī par </w:t>
      </w:r>
      <w:r>
        <w:rPr>
          <w:rFonts w:ascii="Times New Roman" w:hAnsi="Times New Roman"/>
          <w:i/>
          <w:iCs/>
        </w:rPr>
        <w:t>ECEC</w:t>
      </w:r>
      <w:r>
        <w:rPr>
          <w:rFonts w:ascii="Times New Roman" w:hAnsi="Times New Roman"/>
        </w:rPr>
        <w:t xml:space="preserve"> un veselības aprūpes pieejamību – visi šie faktori skar bērnus. 2020. pusgada ciklā piekļuve tālmācībai (vai “digitālajām mācībām”) bija minēta ieteikumos četrām dalībvalstīm, savukārt vienlīdzīgas izglītības pieejamības nodrošināšana bija norādīta septiņām citām dalībvalstīm. Plašākā Covid-19 kontekstā sociālās drošības tīklu, tostarp bezdarbnieka pabalstu, stiprināšana tika ieteikta 15 dalībvalstīm. Eiropas Revīzijas palāta savā Īpašajā ziņojumā Nr. 20/2020 iesaka Komisijai stiprināt pusgadu kā līdzekli bērnu nabadzības apkarošanai un apzināt situācijas, kurās valstij, iespējams, tiktu adresēts ieteikums, kas ir tieši saistīts ar bērnu nabadzību.</w:t>
      </w:r>
    </w:p>
  </w:footnote>
  <w:footnote w:id="232">
    <w:p w14:paraId="37C7E956"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piemēram, Social Investment Package, European Commission, 2013.</w:t>
      </w:r>
    </w:p>
  </w:footnote>
  <w:footnote w:id="233">
    <w:p w14:paraId="7DEBA2E3" w14:textId="765B38EF"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i/>
        </w:rPr>
        <w:t xml:space="preserve"> </w:t>
      </w:r>
      <w:r>
        <w:rPr>
          <w:rFonts w:ascii="Times New Roman" w:hAnsi="Times New Roman"/>
        </w:rPr>
        <w:t>Heckman, J.J., The Case for Investing in Disadvantaged Young Children (article in CESifo DICE Report 6(2):3-8), 2008.</w:t>
      </w:r>
    </w:p>
  </w:footnote>
  <w:footnote w:id="234">
    <w:p w14:paraId="53D4CF3B"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Inadequate housing in Europe: Costs and consequences, Eurofound 2016.</w:t>
      </w:r>
    </w:p>
  </w:footnote>
  <w:footnote w:id="235">
    <w:p w14:paraId="261EF283" w14:textId="3DE73254" w:rsidR="00BC5BDF" w:rsidRPr="00CA35DB" w:rsidRDefault="00BC5BDF" w:rsidP="00CA35DB">
      <w:pPr>
        <w:spacing w:after="0" w:line="240" w:lineRule="auto"/>
        <w:jc w:val="both"/>
        <w:rPr>
          <w:rFonts w:ascii="Times New Roman" w:hAnsi="Times New Roman" w:cs="Times New Roman"/>
          <w:noProof/>
          <w:sz w:val="20"/>
          <w:szCs w:val="20"/>
        </w:rPr>
      </w:pPr>
      <w:r>
        <w:rPr>
          <w:rStyle w:val="FootnoteReference"/>
          <w:rFonts w:ascii="Times New Roman" w:hAnsi="Times New Roman" w:cs="Times New Roman"/>
          <w:noProof/>
          <w:sz w:val="20"/>
          <w:szCs w:val="20"/>
          <w:lang w:val="en-US"/>
        </w:rPr>
        <w:footnoteRef/>
      </w:r>
      <w:r>
        <w:rPr>
          <w:rFonts w:ascii="Times New Roman" w:hAnsi="Times New Roman"/>
          <w:sz w:val="20"/>
        </w:rPr>
        <w:t xml:space="preserve"> Mackenbach, J. P., Meerding, W. J., Kunst, A. E., ‘Economic costs of health inequalities in the European Union’, Journal of Epidemiology and Community Health, December 2010.</w:t>
      </w:r>
    </w:p>
  </w:footnote>
  <w:footnote w:id="236">
    <w:p w14:paraId="0C4A4A88" w14:textId="6F7D8971"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piemēram, </w:t>
      </w:r>
      <w:r>
        <w:rPr>
          <w:rFonts w:ascii="Times New Roman" w:hAnsi="Times New Roman"/>
          <w:i/>
        </w:rPr>
        <w:t xml:space="preserve">ECEC for children from disadvantaged backgrounds: findings from a European literature review and two case studies, </w:t>
      </w:r>
      <w:r>
        <w:rPr>
          <w:rFonts w:ascii="Times New Roman" w:hAnsi="Times New Roman"/>
        </w:rPr>
        <w:t>European Commission.</w:t>
      </w:r>
    </w:p>
  </w:footnote>
  <w:footnote w:id="237">
    <w:p w14:paraId="191A0D10" w14:textId="34EAF83F" w:rsidR="00BC5BDF" w:rsidRPr="00CA35DB" w:rsidRDefault="00BC5BDF" w:rsidP="00CA35DB">
      <w:pPr>
        <w:spacing w:after="0" w:line="240" w:lineRule="auto"/>
        <w:jc w:val="both"/>
        <w:rPr>
          <w:rFonts w:ascii="Times New Roman" w:hAnsi="Times New Roman" w:cs="Times New Roman"/>
          <w:noProof/>
          <w:sz w:val="20"/>
          <w:szCs w:val="20"/>
        </w:rPr>
      </w:pPr>
      <w:r>
        <w:rPr>
          <w:rStyle w:val="FootnoteReference"/>
          <w:rFonts w:ascii="Times New Roman" w:hAnsi="Times New Roman" w:cs="Times New Roman"/>
          <w:noProof/>
          <w:sz w:val="20"/>
          <w:szCs w:val="20"/>
          <w:lang w:val="en-US"/>
        </w:rPr>
        <w:footnoteRef/>
      </w:r>
      <w:r>
        <w:rPr>
          <w:rFonts w:ascii="Times New Roman" w:hAnsi="Times New Roman"/>
          <w:sz w:val="20"/>
        </w:rPr>
        <w:t xml:space="preserve"> Skat. OECD research note ‘Investing in high-quality early childhood education and care (ECEC)’; pieejams vietnē: https://www.oecd.org/education/school/48980282.pdf</w:t>
      </w:r>
      <w:r>
        <w:rPr>
          <w:rStyle w:val="Hyperlink"/>
          <w:rFonts w:ascii="Times New Roman" w:hAnsi="Times New Roman"/>
          <w:color w:val="auto"/>
          <w:sz w:val="20"/>
        </w:rPr>
        <w:t>.</w:t>
      </w:r>
    </w:p>
  </w:footnote>
  <w:footnote w:id="238">
    <w:p w14:paraId="1773E77F" w14:textId="6ED5EEC2" w:rsidR="00BC5BDF" w:rsidRPr="00CA35DB" w:rsidRDefault="00BC5BDF" w:rsidP="00CA35DB">
      <w:pPr>
        <w:pStyle w:val="FootnoteText"/>
        <w:jc w:val="both"/>
        <w:rPr>
          <w:rFonts w:ascii="Times New Roman" w:hAnsi="Times New Roman" w:cs="Times New Roman"/>
          <w:i/>
          <w:noProof/>
        </w:rPr>
      </w:pPr>
      <w:r>
        <w:rPr>
          <w:rStyle w:val="FootnoteReference"/>
          <w:rFonts w:ascii="Times New Roman" w:hAnsi="Times New Roman" w:cs="Times New Roman"/>
          <w:noProof/>
          <w:lang w:val="en-US"/>
        </w:rPr>
        <w:footnoteRef/>
      </w:r>
      <w:r>
        <w:rPr>
          <w:rFonts w:ascii="Times New Roman" w:hAnsi="Times New Roman"/>
        </w:rPr>
        <w:t xml:space="preserve"> Turpat.</w:t>
      </w:r>
    </w:p>
  </w:footnote>
  <w:footnote w:id="239">
    <w:p w14:paraId="5484ADF4"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Right in principle and in practice: a review of the social and economic returns to investing in children, UNICEF, June 2012.</w:t>
      </w:r>
    </w:p>
  </w:footnote>
  <w:footnote w:id="240">
    <w:p w14:paraId="01125A0A"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OECD, ‘A broken social elevator? How to promote social mobility’, OECD</w:t>
      </w:r>
      <w:r>
        <w:rPr>
          <w:rFonts w:ascii="Times New Roman" w:hAnsi="Times New Roman"/>
          <w:shd w:val="clear" w:color="auto" w:fill="FFFFFF"/>
        </w:rPr>
        <w:t xml:space="preserve"> Publishing, Paris</w:t>
      </w:r>
      <w:r>
        <w:rPr>
          <w:rFonts w:ascii="Times New Roman" w:hAnsi="Times New Roman"/>
        </w:rPr>
        <w:t>, 2018.</w:t>
      </w:r>
    </w:p>
  </w:footnote>
  <w:footnote w:id="241">
    <w:p w14:paraId="3814D06E" w14:textId="79031389"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w:t>
      </w:r>
      <w:r>
        <w:rPr>
          <w:rFonts w:ascii="Times New Roman" w:hAnsi="Times New Roman"/>
          <w:shd w:val="clear" w:color="auto" w:fill="FFFFFF"/>
        </w:rPr>
        <w:t>OECD/European Union, ‘</w:t>
      </w:r>
      <w:r>
        <w:rPr>
          <w:rFonts w:ascii="Times New Roman" w:hAnsi="Times New Roman"/>
        </w:rPr>
        <w:t>Health at a Glance: Europe 2020: State of Health in the EU’ Cycle</w:t>
      </w:r>
      <w:r>
        <w:rPr>
          <w:rFonts w:ascii="Times New Roman" w:hAnsi="Times New Roman"/>
          <w:shd w:val="clear" w:color="auto" w:fill="FFFFFF"/>
        </w:rPr>
        <w:t>, OECD Publishing, Paris, 2020.</w:t>
      </w:r>
    </w:p>
  </w:footnote>
  <w:footnote w:id="242">
    <w:p w14:paraId="118CD88B"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w:t>
      </w:r>
      <w:r>
        <w:rPr>
          <w:rFonts w:ascii="Times New Roman" w:hAnsi="Times New Roman"/>
          <w:shd w:val="clear" w:color="auto" w:fill="FFFFFF"/>
        </w:rPr>
        <w:t>OECD, ‘</w:t>
      </w:r>
      <w:r>
        <w:rPr>
          <w:rFonts w:ascii="Times New Roman" w:hAnsi="Times New Roman"/>
        </w:rPr>
        <w:t>The Heavy Burden of Obesity: The Economics of Prevention’</w:t>
      </w:r>
      <w:r>
        <w:rPr>
          <w:rFonts w:ascii="Times New Roman" w:hAnsi="Times New Roman"/>
          <w:shd w:val="clear" w:color="auto" w:fill="FFFFFF"/>
        </w:rPr>
        <w:t>, OECD Health Policy Studies, OECD Publishing, Paris, 2019.</w:t>
      </w:r>
    </w:p>
  </w:footnote>
  <w:footnote w:id="243">
    <w:p w14:paraId="635BFD7F"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Study on the economic implementing framework of a possible EU Child Guarantee Scheme including its financial foundation. Final Report.</w:t>
      </w:r>
    </w:p>
  </w:footnote>
  <w:footnote w:id="244">
    <w:p w14:paraId="5B18E965"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Komisijas dienestu darba dokuments “Bezpajumtniecības problēmas risināšana Eiropas Savienībā”, SWD(2013) 42 final.</w:t>
      </w:r>
    </w:p>
  </w:footnote>
  <w:footnote w:id="245">
    <w:p w14:paraId="65BEB5FC" w14:textId="77777777" w:rsidR="00BC5BDF" w:rsidRPr="00CA35DB" w:rsidRDefault="00BC5BDF" w:rsidP="00CA35DB">
      <w:pPr>
        <w:pStyle w:val="FootnoteText"/>
        <w:jc w:val="both"/>
        <w:rPr>
          <w:rFonts w:ascii="Times New Roman" w:hAnsi="Times New Roman" w:cs="Times New Roman"/>
          <w:i/>
          <w:noProof/>
        </w:rPr>
      </w:pPr>
      <w:r>
        <w:rPr>
          <w:rStyle w:val="FootnoteReference"/>
          <w:rFonts w:ascii="Times New Roman" w:hAnsi="Times New Roman" w:cs="Times New Roman"/>
          <w:noProof/>
          <w:lang w:val="en-US"/>
        </w:rPr>
        <w:footnoteRef/>
      </w:r>
      <w:r>
        <w:rPr>
          <w:rFonts w:ascii="Times New Roman" w:hAnsi="Times New Roman"/>
        </w:rPr>
        <w:t xml:space="preserve"> Turpat.</w:t>
      </w:r>
    </w:p>
  </w:footnote>
  <w:footnote w:id="246">
    <w:p w14:paraId="60586CC5"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Pieejams vietnē: http://ec.europa.eu/social/BlobServlet?docId=23764&amp;langId=en.</w:t>
      </w:r>
    </w:p>
  </w:footnote>
  <w:footnote w:id="247">
    <w:p w14:paraId="3B51B4CF"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Feasibility Study for a Child Guarantee Final Report, p. 27.</w:t>
      </w:r>
    </w:p>
  </w:footnote>
  <w:footnote w:id="248">
    <w:p w14:paraId="48922A9D" w14:textId="5D61EB3A"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Skat. Schumacher, G., Loeschner, J. and Sermi, F., ‘Data on Children in Migration’, Publications Office of the European Union, Luxembourg 2019.</w:t>
      </w:r>
    </w:p>
  </w:footnote>
  <w:footnote w:id="249">
    <w:p w14:paraId="2A799277"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European Commission,2016, Statistical Annex to the Annual Report on Immigration and Asylum 2015.</w:t>
      </w:r>
    </w:p>
  </w:footnote>
  <w:footnote w:id="250">
    <w:p w14:paraId="14F4B95F"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Humphries, R. and Sigona, S., ‘Children and unsafe migration in Europe: Data and policy, understanding the evidence base’, </w:t>
      </w:r>
      <w:r>
        <w:rPr>
          <w:rFonts w:ascii="Times New Roman" w:hAnsi="Times New Roman"/>
          <w:i/>
        </w:rPr>
        <w:t>Global Migration Data Analysis Centre Briefing Series</w:t>
      </w:r>
      <w:r>
        <w:rPr>
          <w:rFonts w:ascii="Times New Roman" w:hAnsi="Times New Roman"/>
        </w:rPr>
        <w:t>, Issue 5, 2016.</w:t>
      </w:r>
    </w:p>
  </w:footnote>
  <w:footnote w:id="251">
    <w:p w14:paraId="0B7838B2" w14:textId="77777777" w:rsidR="00BC5BDF" w:rsidRPr="00CA35DB" w:rsidRDefault="00BC5BDF" w:rsidP="00CA35DB">
      <w:pPr>
        <w:spacing w:after="0" w:line="240" w:lineRule="auto"/>
        <w:jc w:val="both"/>
        <w:rPr>
          <w:rFonts w:ascii="Times New Roman" w:hAnsi="Times New Roman" w:cs="Times New Roman"/>
          <w:noProof/>
          <w:sz w:val="20"/>
          <w:szCs w:val="20"/>
        </w:rPr>
      </w:pPr>
      <w:r>
        <w:rPr>
          <w:rStyle w:val="FootnoteReference"/>
          <w:rFonts w:ascii="Times New Roman" w:hAnsi="Times New Roman" w:cs="Times New Roman"/>
          <w:noProof/>
          <w:sz w:val="20"/>
          <w:szCs w:val="20"/>
          <w:lang w:val="en-US"/>
        </w:rPr>
        <w:footnoteRef/>
      </w:r>
      <w:r>
        <w:rPr>
          <w:rFonts w:ascii="Times New Roman" w:hAnsi="Times New Roman"/>
          <w:sz w:val="20"/>
        </w:rPr>
        <w:t xml:space="preserve"> Feasibility study for a child guarantee. Final report, p. 23.</w:t>
      </w:r>
    </w:p>
  </w:footnote>
  <w:footnote w:id="252">
    <w:p w14:paraId="1E23CD92"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Komisijas priekšlikums 2021. gada Vienotajam nodarbinātības ziņojumam.</w:t>
      </w:r>
    </w:p>
  </w:footnote>
  <w:footnote w:id="253">
    <w:p w14:paraId="5E9229C3" w14:textId="63CD8A0D"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Sociālās aizsardzības komiteja (SAK) ir Nodarbinātības un sociālo lietu padomes (turpmāk tekstā – </w:t>
      </w:r>
      <w:r>
        <w:rPr>
          <w:rFonts w:ascii="Times New Roman" w:hAnsi="Times New Roman"/>
          <w:i/>
          <w:iCs/>
        </w:rPr>
        <w:t>EPSCO</w:t>
      </w:r>
      <w:r>
        <w:rPr>
          <w:rFonts w:ascii="Times New Roman" w:hAnsi="Times New Roman"/>
        </w:rPr>
        <w:t>) ministru padomdevēja politikas komiteja. SAK tika izveidota ar Padomes lēmumu saskaņā ar Līguma par ES darbību 160. pantu. Skat. https://ec.europa.eu/social/main.jsp?catId=758</w:t>
      </w:r>
      <w:r>
        <w:rPr>
          <w:rStyle w:val="Hyperlink"/>
          <w:rFonts w:ascii="Times New Roman" w:hAnsi="Times New Roman"/>
          <w:color w:val="auto"/>
        </w:rPr>
        <w:t>.</w:t>
      </w:r>
    </w:p>
  </w:footnote>
  <w:footnote w:id="254">
    <w:p w14:paraId="285901DF" w14:textId="109CD3DA"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Stratēģiskais dialogs ietver viedokļu apmaiņu starp Komisiju un pilsoniskās sabiedrības organizācijām par konkrētu Komisijas iniciatīvu vai darbību.</w:t>
      </w:r>
    </w:p>
  </w:footnote>
  <w:footnote w:id="255">
    <w:p w14:paraId="79A98E4B"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Mērķgrupu intervijas Bulgārijā, Horvātijā, Kiprā, Francijā, Portugālē, Slovēnijā un Spānijā bija vērstas uz dažādām neaizsargātām grupām, piemēram, bērniem ar invaliditāti, romu un citu etnisko minoritāšu bērniem, migrantu un patvēruma meklētāju bērniem, alternatīvajā aprūpē esošiem bērniem, kā arī bērniem, kuri dzīvo nabadzībā. Lielākā daļa bērnu bija vecumā no 9 līdz 17 gadiem.</w:t>
      </w:r>
    </w:p>
  </w:footnote>
  <w:footnote w:id="256">
    <w:p w14:paraId="78C4BB9E" w14:textId="77777777" w:rsidR="00BC5BDF"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Lielākā daļa atbilžu, proti, vairāk nekā 8000, ir no Eiropas Savienības dalībvalstīm, jo ​​īpaši no Lietuvas (1771), Rumānijas (1454), Dānijas (960), Īrijas (902), Vācijas (771), Polijas (632), Spānijas (278), Ungārijas (186), Itālijas (185), Portugāles (165), Francijas (153), Somijas (141) un Slovēnijas (128). Otra lielākā respondentu grupa ir bērni no ārpus ES esošām valstīm (gandrīz 1500). Vairāk nekā divas trešdaļas šo atbilžu ir no Albānijas (1096 respondenti), turklāt vairāki respondenti ir arī no Islandes (205 respondenti), Kosovas (96 respondenti), Šveices (25), Apvienotās Karalistes (17) un Serbijas (15). Tā kā dažas valstis ir pārstāvētas vairāk un citas mazāk, atbildes ir jāuzskata par indikatīvām, nevis reprezentatīvām plašākā Eiropas reģionā. Tiešsaistes aptauja bija pieejama, lai apkopotu atbildes no visām pasaules valstīm. Atsaucās 274 bērni no citām pasaules daļām, jo ​​īpaši no Meksikas (43), ASV (27), Indijas (26), Ugandas (24), Afganistānas (21), Burkinafaso (20) un Paragvajas (13).</w:t>
      </w:r>
    </w:p>
  </w:footnote>
  <w:footnote w:id="257">
    <w:p w14:paraId="3BA746F9" w14:textId="77777777" w:rsidR="00EC5DE2" w:rsidRPr="00CA35DB" w:rsidRDefault="00BC5BDF" w:rsidP="00CA35DB">
      <w:pPr>
        <w:pStyle w:val="FootnoteText"/>
        <w:jc w:val="both"/>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Ieteikumā stratēģija ir balstīta uz šiem pīlāriem: 1) piekļuvi pienācīgiem resursiem; 2) piekļuvi cenas ziņā pieejamiem un kvalitatīviem pakalpojumiem, kā arī 3) bērnu tiesībām uz līdzdalību.</w:t>
      </w:r>
    </w:p>
    <w:p w14:paraId="2E5E9DA7" w14:textId="1C1DBB4D" w:rsidR="00BC5BDF" w:rsidRPr="00CA35DB" w:rsidRDefault="00BC5BDF" w:rsidP="00CA35DB">
      <w:pPr>
        <w:pStyle w:val="FootnoteText"/>
        <w:jc w:val="both"/>
        <w:rPr>
          <w:rFonts w:ascii="Times New Roman" w:hAnsi="Times New Roman" w:cs="Times New Roman"/>
          <w:noProof/>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F0735" w14:textId="77777777" w:rsidR="00FC61A4" w:rsidRPr="009C04EC" w:rsidRDefault="00FC61A4" w:rsidP="00FC61A4">
    <w:pPr>
      <w:pStyle w:val="Header"/>
      <w:rPr>
        <w:rStyle w:val="PageNumber"/>
        <w:noProof/>
        <w:sz w:val="18"/>
        <w:szCs w:val="18"/>
        <w:u w:val="single"/>
        <w:lang w:val="en-US"/>
      </w:rPr>
    </w:pPr>
  </w:p>
  <w:p w14:paraId="38C439D9" w14:textId="77777777" w:rsidR="00FC61A4" w:rsidRPr="009C04EC" w:rsidRDefault="00FC61A4" w:rsidP="00FC61A4">
    <w:pPr>
      <w:pStyle w:val="Header"/>
      <w:tabs>
        <w:tab w:val="clear" w:pos="4513"/>
        <w:tab w:val="center" w:pos="9072"/>
      </w:tabs>
      <w:rPr>
        <w:noProof/>
        <w:sz w:val="18"/>
        <w:szCs w:val="18"/>
        <w:u w:val="single"/>
        <w:lang w:val="en-US"/>
      </w:rPr>
    </w:pPr>
    <w:r w:rsidRPr="009C04EC">
      <w:rPr>
        <w:noProof/>
        <w:sz w:val="18"/>
        <w:szCs w:val="18"/>
        <w:u w:val="single"/>
        <w:lang w:val="en-US"/>
      </w:rPr>
      <w:tab/>
    </w:r>
  </w:p>
  <w:p w14:paraId="7583AAD4" w14:textId="77777777" w:rsidR="00DB51D6" w:rsidRDefault="00DB51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4D8E2" w14:textId="77777777" w:rsidR="00DB51D6" w:rsidRPr="009C04EC" w:rsidRDefault="00DB51D6" w:rsidP="00DB51D6">
    <w:pPr>
      <w:pStyle w:val="Header"/>
      <w:pBdr>
        <w:bottom w:val="single" w:sz="12" w:space="1" w:color="auto"/>
      </w:pBdr>
      <w:rPr>
        <w:noProof/>
        <w:sz w:val="18"/>
        <w:szCs w:val="18"/>
        <w:lang w:val="en-US"/>
      </w:rPr>
    </w:pPr>
  </w:p>
  <w:p w14:paraId="38DF8946" w14:textId="77777777" w:rsidR="00DB51D6" w:rsidRDefault="00DB51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158C0"/>
    <w:multiLevelType w:val="hybridMultilevel"/>
    <w:tmpl w:val="E8629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8B3820"/>
    <w:multiLevelType w:val="hybridMultilevel"/>
    <w:tmpl w:val="ECA64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866FE8"/>
    <w:multiLevelType w:val="multilevel"/>
    <w:tmpl w:val="F94ED718"/>
    <w:lvl w:ilvl="0">
      <w:start w:val="1"/>
      <w:numFmt w:val="decimal"/>
      <w:lvlText w:val="%1."/>
      <w:lvlJc w:val="left"/>
      <w:pPr>
        <w:ind w:left="360" w:hanging="360"/>
      </w:pPr>
      <w:rPr>
        <w:rFonts w:hint="default"/>
      </w:rPr>
    </w:lvl>
    <w:lvl w:ilvl="1">
      <w:start w:val="1"/>
      <w:numFmt w:val="decimal"/>
      <w:lvlText w:val="%1.%2."/>
      <w:lvlJc w:val="left"/>
      <w:pPr>
        <w:ind w:left="1142" w:hanging="432"/>
      </w:pPr>
    </w:lvl>
    <w:lvl w:ilvl="2">
      <w:start w:val="1"/>
      <w:numFmt w:val="decimal"/>
      <w:lvlText w:val="%1.%2.%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B75F8B"/>
    <w:multiLevelType w:val="hybridMultilevel"/>
    <w:tmpl w:val="554CBB58"/>
    <w:lvl w:ilvl="0" w:tplc="AE600DDA">
      <w:start w:val="1"/>
      <w:numFmt w:val="bullet"/>
      <w:lvlText w:val=""/>
      <w:lvlJc w:val="left"/>
      <w:pPr>
        <w:ind w:left="720" w:hanging="360"/>
      </w:pPr>
      <w:rPr>
        <w:rFonts w:ascii="Symbol" w:hAnsi="Symbol" w:hint="default"/>
      </w:rPr>
    </w:lvl>
    <w:lvl w:ilvl="1" w:tplc="DB306722">
      <w:start w:val="1"/>
      <w:numFmt w:val="bullet"/>
      <w:lvlText w:val="o"/>
      <w:lvlJc w:val="left"/>
      <w:pPr>
        <w:ind w:left="1440" w:hanging="360"/>
      </w:pPr>
      <w:rPr>
        <w:rFonts w:ascii="Courier New" w:hAnsi="Courier New" w:hint="default"/>
      </w:rPr>
    </w:lvl>
    <w:lvl w:ilvl="2" w:tplc="16807D76">
      <w:start w:val="1"/>
      <w:numFmt w:val="bullet"/>
      <w:lvlText w:val=""/>
      <w:lvlJc w:val="left"/>
      <w:pPr>
        <w:ind w:left="2160" w:hanging="360"/>
      </w:pPr>
      <w:rPr>
        <w:rFonts w:ascii="Wingdings" w:hAnsi="Wingdings" w:hint="default"/>
      </w:rPr>
    </w:lvl>
    <w:lvl w:ilvl="3" w:tplc="B9B4A51C">
      <w:start w:val="1"/>
      <w:numFmt w:val="bullet"/>
      <w:lvlText w:val=""/>
      <w:lvlJc w:val="left"/>
      <w:pPr>
        <w:ind w:left="2880" w:hanging="360"/>
      </w:pPr>
      <w:rPr>
        <w:rFonts w:ascii="Symbol" w:hAnsi="Symbol" w:hint="default"/>
      </w:rPr>
    </w:lvl>
    <w:lvl w:ilvl="4" w:tplc="C744EFA6">
      <w:start w:val="1"/>
      <w:numFmt w:val="bullet"/>
      <w:lvlText w:val="o"/>
      <w:lvlJc w:val="left"/>
      <w:pPr>
        <w:ind w:left="3600" w:hanging="360"/>
      </w:pPr>
      <w:rPr>
        <w:rFonts w:ascii="Courier New" w:hAnsi="Courier New" w:hint="default"/>
      </w:rPr>
    </w:lvl>
    <w:lvl w:ilvl="5" w:tplc="5760968E">
      <w:start w:val="1"/>
      <w:numFmt w:val="bullet"/>
      <w:lvlText w:val=""/>
      <w:lvlJc w:val="left"/>
      <w:pPr>
        <w:ind w:left="4320" w:hanging="360"/>
      </w:pPr>
      <w:rPr>
        <w:rFonts w:ascii="Wingdings" w:hAnsi="Wingdings" w:hint="default"/>
      </w:rPr>
    </w:lvl>
    <w:lvl w:ilvl="6" w:tplc="717AE020">
      <w:start w:val="1"/>
      <w:numFmt w:val="bullet"/>
      <w:lvlText w:val=""/>
      <w:lvlJc w:val="left"/>
      <w:pPr>
        <w:ind w:left="5040" w:hanging="360"/>
      </w:pPr>
      <w:rPr>
        <w:rFonts w:ascii="Symbol" w:hAnsi="Symbol" w:hint="default"/>
      </w:rPr>
    </w:lvl>
    <w:lvl w:ilvl="7" w:tplc="C1B03672">
      <w:start w:val="1"/>
      <w:numFmt w:val="bullet"/>
      <w:lvlText w:val="o"/>
      <w:lvlJc w:val="left"/>
      <w:pPr>
        <w:ind w:left="5760" w:hanging="360"/>
      </w:pPr>
      <w:rPr>
        <w:rFonts w:ascii="Courier New" w:hAnsi="Courier New" w:hint="default"/>
      </w:rPr>
    </w:lvl>
    <w:lvl w:ilvl="8" w:tplc="06D0C652">
      <w:start w:val="1"/>
      <w:numFmt w:val="bullet"/>
      <w:lvlText w:val=""/>
      <w:lvlJc w:val="left"/>
      <w:pPr>
        <w:ind w:left="6480" w:hanging="360"/>
      </w:pPr>
      <w:rPr>
        <w:rFonts w:ascii="Wingdings" w:hAnsi="Wingdings" w:hint="default"/>
      </w:rPr>
    </w:lvl>
  </w:abstractNum>
  <w:abstractNum w:abstractNumId="4" w15:restartNumberingAfterBreak="0">
    <w:nsid w:val="1C7D1459"/>
    <w:multiLevelType w:val="hybridMultilevel"/>
    <w:tmpl w:val="BCACB3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73E31CA"/>
    <w:multiLevelType w:val="hybridMultilevel"/>
    <w:tmpl w:val="C3983D52"/>
    <w:lvl w:ilvl="0" w:tplc="01C65128">
      <w:start w:val="1"/>
      <w:numFmt w:val="decimal"/>
      <w:lvlText w:val="%1"/>
      <w:lvlJc w:val="left"/>
      <w:pPr>
        <w:ind w:left="830" w:hanging="428"/>
        <w:jc w:val="left"/>
      </w:pPr>
      <w:rPr>
        <w:rFonts w:ascii="Arial" w:eastAsia="Arial" w:hAnsi="Arial" w:hint="default"/>
        <w:w w:val="99"/>
        <w:sz w:val="16"/>
        <w:szCs w:val="16"/>
      </w:rPr>
    </w:lvl>
    <w:lvl w:ilvl="1" w:tplc="FC42F3F0">
      <w:start w:val="1"/>
      <w:numFmt w:val="bullet"/>
      <w:lvlText w:val="•"/>
      <w:lvlJc w:val="left"/>
      <w:pPr>
        <w:ind w:left="1671" w:hanging="428"/>
      </w:pPr>
      <w:rPr>
        <w:rFonts w:hint="default"/>
      </w:rPr>
    </w:lvl>
    <w:lvl w:ilvl="2" w:tplc="F96E8028">
      <w:start w:val="1"/>
      <w:numFmt w:val="bullet"/>
      <w:lvlText w:val="•"/>
      <w:lvlJc w:val="left"/>
      <w:pPr>
        <w:ind w:left="2513" w:hanging="428"/>
      </w:pPr>
      <w:rPr>
        <w:rFonts w:hint="default"/>
      </w:rPr>
    </w:lvl>
    <w:lvl w:ilvl="3" w:tplc="EA149060">
      <w:start w:val="1"/>
      <w:numFmt w:val="bullet"/>
      <w:lvlText w:val="•"/>
      <w:lvlJc w:val="left"/>
      <w:pPr>
        <w:ind w:left="3354" w:hanging="428"/>
      </w:pPr>
      <w:rPr>
        <w:rFonts w:hint="default"/>
      </w:rPr>
    </w:lvl>
    <w:lvl w:ilvl="4" w:tplc="15361372">
      <w:start w:val="1"/>
      <w:numFmt w:val="bullet"/>
      <w:lvlText w:val="•"/>
      <w:lvlJc w:val="left"/>
      <w:pPr>
        <w:ind w:left="4196" w:hanging="428"/>
      </w:pPr>
      <w:rPr>
        <w:rFonts w:hint="default"/>
      </w:rPr>
    </w:lvl>
    <w:lvl w:ilvl="5" w:tplc="41F262B6">
      <w:start w:val="1"/>
      <w:numFmt w:val="bullet"/>
      <w:lvlText w:val="•"/>
      <w:lvlJc w:val="left"/>
      <w:pPr>
        <w:ind w:left="5037" w:hanging="428"/>
      </w:pPr>
      <w:rPr>
        <w:rFonts w:hint="default"/>
      </w:rPr>
    </w:lvl>
    <w:lvl w:ilvl="6" w:tplc="5512E8BA">
      <w:start w:val="1"/>
      <w:numFmt w:val="bullet"/>
      <w:lvlText w:val="•"/>
      <w:lvlJc w:val="left"/>
      <w:pPr>
        <w:ind w:left="5879" w:hanging="428"/>
      </w:pPr>
      <w:rPr>
        <w:rFonts w:hint="default"/>
      </w:rPr>
    </w:lvl>
    <w:lvl w:ilvl="7" w:tplc="E6500868">
      <w:start w:val="1"/>
      <w:numFmt w:val="bullet"/>
      <w:lvlText w:val="•"/>
      <w:lvlJc w:val="left"/>
      <w:pPr>
        <w:ind w:left="6720" w:hanging="428"/>
      </w:pPr>
      <w:rPr>
        <w:rFonts w:hint="default"/>
      </w:rPr>
    </w:lvl>
    <w:lvl w:ilvl="8" w:tplc="E2183368">
      <w:start w:val="1"/>
      <w:numFmt w:val="bullet"/>
      <w:lvlText w:val="•"/>
      <w:lvlJc w:val="left"/>
      <w:pPr>
        <w:ind w:left="7562" w:hanging="428"/>
      </w:pPr>
      <w:rPr>
        <w:rFonts w:hint="default"/>
      </w:rPr>
    </w:lvl>
  </w:abstractNum>
  <w:abstractNum w:abstractNumId="6" w15:restartNumberingAfterBreak="0">
    <w:nsid w:val="2B1E5E71"/>
    <w:multiLevelType w:val="hybridMultilevel"/>
    <w:tmpl w:val="D562C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0378B1"/>
    <w:multiLevelType w:val="hybridMultilevel"/>
    <w:tmpl w:val="4BD81CC2"/>
    <w:lvl w:ilvl="0" w:tplc="40E89A14">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D9018EC"/>
    <w:multiLevelType w:val="hybridMultilevel"/>
    <w:tmpl w:val="EF064150"/>
    <w:styleLink w:val="Stileimportato31"/>
    <w:lvl w:ilvl="0" w:tplc="1F741EA6">
      <w:start w:val="1"/>
      <w:numFmt w:val="bullet"/>
      <w:pStyle w:val="BulletPoint1"/>
      <w:lvlText w:val=""/>
      <w:lvlJc w:val="left"/>
      <w:pPr>
        <w:ind w:left="360" w:hanging="360"/>
      </w:pPr>
      <w:rPr>
        <w:rFonts w:ascii="Symbol" w:hAnsi="Symbol" w:hint="default"/>
        <w:color w:val="E75113"/>
        <w:u w:color="000000" w:themeColor="text1"/>
      </w:rPr>
    </w:lvl>
    <w:lvl w:ilvl="1" w:tplc="4DF2A084">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F503A5D"/>
    <w:multiLevelType w:val="hybridMultilevel"/>
    <w:tmpl w:val="6E08A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0A69E9"/>
    <w:multiLevelType w:val="hybridMultilevel"/>
    <w:tmpl w:val="A67214E6"/>
    <w:lvl w:ilvl="0" w:tplc="D1D2EB48">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480F2B"/>
    <w:multiLevelType w:val="hybridMultilevel"/>
    <w:tmpl w:val="C29EC6EA"/>
    <w:lvl w:ilvl="0" w:tplc="77E86D76">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3FC95189"/>
    <w:multiLevelType w:val="multilevel"/>
    <w:tmpl w:val="8E889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1C177D"/>
    <w:multiLevelType w:val="hybridMultilevel"/>
    <w:tmpl w:val="B0F8BB06"/>
    <w:lvl w:ilvl="0" w:tplc="4A1445E4">
      <w:start w:val="201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D62A1E"/>
    <w:multiLevelType w:val="hybridMultilevel"/>
    <w:tmpl w:val="AE72FCF6"/>
    <w:lvl w:ilvl="0" w:tplc="DAD81BB8">
      <w:start w:val="201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104BB1"/>
    <w:multiLevelType w:val="multilevel"/>
    <w:tmpl w:val="DC94D4D8"/>
    <w:lvl w:ilvl="0">
      <w:start w:val="1"/>
      <w:numFmt w:val="decimal"/>
      <w:lvlText w:val="%1."/>
      <w:lvlJc w:val="left"/>
      <w:pPr>
        <w:ind w:left="360" w:hanging="360"/>
      </w:pPr>
      <w:rPr>
        <w:rFonts w:hint="default"/>
      </w:rPr>
    </w:lvl>
    <w:lvl w:ilvl="1">
      <w:start w:val="1"/>
      <w:numFmt w:val="decimal"/>
      <w:lvlText w:val="%1.%2."/>
      <w:lvlJc w:val="left"/>
      <w:pPr>
        <w:ind w:left="1142" w:hanging="432"/>
      </w:pPr>
      <w:rPr>
        <w:sz w:val="28"/>
        <w:szCs w:val="28"/>
      </w:rPr>
    </w:lvl>
    <w:lvl w:ilvl="2">
      <w:start w:val="1"/>
      <w:numFmt w:val="decimal"/>
      <w:lvlText w:val="%1.%2.%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1190FF1"/>
    <w:multiLevelType w:val="multilevel"/>
    <w:tmpl w:val="F94ED718"/>
    <w:lvl w:ilvl="0">
      <w:start w:val="1"/>
      <w:numFmt w:val="decimal"/>
      <w:lvlText w:val="%1."/>
      <w:lvlJc w:val="left"/>
      <w:pPr>
        <w:ind w:left="360" w:hanging="360"/>
      </w:pPr>
      <w:rPr>
        <w:rFonts w:hint="default"/>
      </w:rPr>
    </w:lvl>
    <w:lvl w:ilvl="1">
      <w:start w:val="1"/>
      <w:numFmt w:val="decimal"/>
      <w:lvlText w:val="%1.%2."/>
      <w:lvlJc w:val="left"/>
      <w:pPr>
        <w:ind w:left="1142" w:hanging="432"/>
      </w:pPr>
    </w:lvl>
    <w:lvl w:ilvl="2">
      <w:start w:val="1"/>
      <w:numFmt w:val="decimal"/>
      <w:lvlText w:val="%1.%2.%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57D1E31"/>
    <w:multiLevelType w:val="multilevel"/>
    <w:tmpl w:val="F2040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65145E"/>
    <w:multiLevelType w:val="multilevel"/>
    <w:tmpl w:val="4418AAA6"/>
    <w:lvl w:ilvl="0">
      <w:start w:val="1"/>
      <w:numFmt w:val="decimal"/>
      <w:lvlText w:val="%1."/>
      <w:lvlJc w:val="left"/>
      <w:pPr>
        <w:tabs>
          <w:tab w:val="num" w:pos="482"/>
        </w:tabs>
        <w:ind w:left="482" w:hanging="482"/>
      </w:pPr>
      <w:rPr>
        <w:b/>
      </w:rPr>
    </w:lvl>
    <w:lvl w:ilvl="1">
      <w:start w:val="1"/>
      <w:numFmt w:val="decimal"/>
      <w:lvlText w:val="%1.%2."/>
      <w:lvlJc w:val="left"/>
      <w:pPr>
        <w:tabs>
          <w:tab w:val="num" w:pos="1004"/>
        </w:tabs>
        <w:ind w:left="1004" w:hanging="720"/>
      </w:pPr>
    </w:lvl>
    <w:lvl w:ilvl="2">
      <w:start w:val="1"/>
      <w:numFmt w:val="decimal"/>
      <w:lvlText w:val="%1.%2.%3."/>
      <w:lvlJc w:val="left"/>
      <w:pPr>
        <w:tabs>
          <w:tab w:val="num" w:pos="2139"/>
        </w:tabs>
        <w:ind w:left="2139" w:hanging="720"/>
      </w:pPr>
    </w:lvl>
    <w:lvl w:ilvl="3">
      <w:start w:val="1"/>
      <w:numFmt w:val="decimal"/>
      <w:lvlText w:val="%1.%2.%3.%4."/>
      <w:lvlJc w:val="left"/>
      <w:pPr>
        <w:tabs>
          <w:tab w:val="num" w:pos="1922"/>
        </w:tabs>
        <w:ind w:left="1922" w:hanging="720"/>
      </w:pPr>
    </w:lvl>
    <w:lvl w:ilvl="4">
      <w:start w:val="1"/>
      <w:numFmt w:val="decimal"/>
      <w:lvlText w:val="%1.%2.%3.%4.%5."/>
      <w:lvlJc w:val="left"/>
      <w:pPr>
        <w:tabs>
          <w:tab w:val="num" w:pos="2880"/>
        </w:tabs>
        <w:ind w:left="3838" w:hanging="958"/>
      </w:pPr>
    </w:lvl>
    <w:lvl w:ilvl="5">
      <w:start w:val="1"/>
      <w:numFmt w:val="decimal"/>
      <w:lvlText w:val="%1.%2.%3.%4.%5.%6."/>
      <w:lvlJc w:val="left"/>
      <w:pPr>
        <w:tabs>
          <w:tab w:val="num" w:pos="2880"/>
        </w:tabs>
        <w:ind w:left="3838" w:hanging="958"/>
      </w:pPr>
    </w:lvl>
    <w:lvl w:ilvl="6">
      <w:start w:val="1"/>
      <w:numFmt w:val="decimal"/>
      <w:lvlText w:val="%1.%2.%3.%4.%5.%6.%7."/>
      <w:lvlJc w:val="left"/>
      <w:pPr>
        <w:tabs>
          <w:tab w:val="num" w:pos="2880"/>
        </w:tabs>
        <w:ind w:left="3838" w:hanging="958"/>
      </w:pPr>
    </w:lvl>
    <w:lvl w:ilvl="7">
      <w:start w:val="1"/>
      <w:numFmt w:val="decimal"/>
      <w:lvlText w:val="%1.%2.%3.%4.%5.%6.%7.%8."/>
      <w:lvlJc w:val="left"/>
      <w:pPr>
        <w:tabs>
          <w:tab w:val="num" w:pos="2880"/>
        </w:tabs>
        <w:ind w:left="3838" w:hanging="958"/>
      </w:pPr>
    </w:lvl>
    <w:lvl w:ilvl="8">
      <w:start w:val="1"/>
      <w:numFmt w:val="decimal"/>
      <w:lvlText w:val="%1.%2.%3.%4.%5.%6.%7.%8.%9."/>
      <w:lvlJc w:val="left"/>
      <w:pPr>
        <w:tabs>
          <w:tab w:val="num" w:pos="2880"/>
        </w:tabs>
        <w:ind w:left="3838" w:hanging="958"/>
      </w:pPr>
    </w:lvl>
  </w:abstractNum>
  <w:abstractNum w:abstractNumId="20" w15:restartNumberingAfterBreak="0">
    <w:nsid w:val="7CBE4812"/>
    <w:multiLevelType w:val="multilevel"/>
    <w:tmpl w:val="9E301C20"/>
    <w:lvl w:ilvl="0">
      <w:start w:val="1"/>
      <w:numFmt w:val="decimal"/>
      <w:lvlText w:val="(%1)"/>
      <w:lvlJc w:val="left"/>
      <w:pPr>
        <w:tabs>
          <w:tab w:val="num" w:pos="1702"/>
        </w:tabs>
        <w:ind w:left="1702" w:hanging="709"/>
      </w:pPr>
    </w:lvl>
    <w:lvl w:ilvl="1">
      <w:start w:val="1"/>
      <w:numFmt w:val="lowerLetter"/>
      <w:lvlText w:val="%2."/>
      <w:lvlJc w:val="left"/>
      <w:pPr>
        <w:ind w:left="1440" w:hanging="360"/>
      </w:pPr>
    </w:lvl>
    <w:lvl w:ilvl="2">
      <w:start w:val="1"/>
      <w:numFmt w:val="upperRoman"/>
      <w:lvlText w:val="%3."/>
      <w:lvlJc w:val="left"/>
      <w:pPr>
        <w:ind w:left="270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1625689">
    <w:abstractNumId w:val="3"/>
  </w:num>
  <w:num w:numId="2" w16cid:durableId="1907837657">
    <w:abstractNumId w:val="8"/>
  </w:num>
  <w:num w:numId="3" w16cid:durableId="279725616">
    <w:abstractNumId w:val="16"/>
  </w:num>
  <w:num w:numId="4" w16cid:durableId="5747087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1515381">
    <w:abstractNumId w:val="6"/>
  </w:num>
  <w:num w:numId="6" w16cid:durableId="4044491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2605351">
    <w:abstractNumId w:val="17"/>
  </w:num>
  <w:num w:numId="8" w16cid:durableId="869293484">
    <w:abstractNumId w:val="2"/>
  </w:num>
  <w:num w:numId="9" w16cid:durableId="1544437214">
    <w:abstractNumId w:val="14"/>
  </w:num>
  <w:num w:numId="10" w16cid:durableId="1536042079">
    <w:abstractNumId w:val="15"/>
  </w:num>
  <w:num w:numId="11" w16cid:durableId="1548225540">
    <w:abstractNumId w:val="7"/>
  </w:num>
  <w:num w:numId="12" w16cid:durableId="1532188588">
    <w:abstractNumId w:val="10"/>
  </w:num>
  <w:num w:numId="13" w16cid:durableId="1821384183">
    <w:abstractNumId w:val="12"/>
  </w:num>
  <w:num w:numId="14" w16cid:durableId="2142385271">
    <w:abstractNumId w:val="9"/>
  </w:num>
  <w:num w:numId="15" w16cid:durableId="164252041">
    <w:abstractNumId w:val="1"/>
  </w:num>
  <w:num w:numId="16" w16cid:durableId="185484769">
    <w:abstractNumId w:val="19"/>
  </w:num>
  <w:num w:numId="17" w16cid:durableId="204099316">
    <w:abstractNumId w:val="0"/>
  </w:num>
  <w:num w:numId="18" w16cid:durableId="1794640736">
    <w:abstractNumId w:val="18"/>
  </w:num>
  <w:num w:numId="19" w16cid:durableId="2001887780">
    <w:abstractNumId w:val="13"/>
  </w:num>
  <w:num w:numId="20" w16cid:durableId="151722053">
    <w:abstractNumId w:val="4"/>
  </w:num>
  <w:num w:numId="21" w16cid:durableId="439225569">
    <w:abstractNumId w:val="11"/>
  </w:num>
  <w:num w:numId="22" w16cid:durableId="92099103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activeWritingStyle w:appName="MSWord" w:lang="fr-BE" w:vendorID="64" w:dllVersion="6" w:nlCheck="1" w:checkStyle="0"/>
  <w:activeWritingStyle w:appName="MSWord" w:lang="en-GB" w:vendorID="64" w:dllVersion="6" w:nlCheck="1" w:checkStyle="1"/>
  <w:activeWritingStyle w:appName="MSWord" w:lang="en-IE" w:vendorID="64" w:dllVersion="6" w:nlCheck="1" w:checkStyle="1"/>
  <w:activeWritingStyle w:appName="MSWord" w:lang="es-ES" w:vendorID="64" w:dllVersion="6" w:nlCheck="1" w:checkStyle="0"/>
  <w:activeWritingStyle w:appName="MSWord" w:lang="en-US" w:vendorID="64" w:dllVersion="6" w:nlCheck="1" w:checkStyle="1"/>
  <w:activeWritingStyle w:appName="MSWord" w:lang="fr-FR" w:vendorID="64" w:dllVersion="6" w:nlCheck="1" w:checkStyle="0"/>
  <w:activeWritingStyle w:appName="MSWord" w:lang="en-AU" w:vendorID="64" w:dllVersion="6" w:nlCheck="1" w:checkStyle="1"/>
  <w:activeWritingStyle w:appName="MSWord" w:lang="pt-PT" w:vendorID="64" w:dllVersion="6" w:nlCheck="1" w:checkStyle="0"/>
  <w:activeWritingStyle w:appName="MSWord" w:lang="de-DE" w:vendorID="64" w:dllVersion="6" w:nlCheck="1" w:checkStyle="0"/>
  <w:activeWritingStyle w:appName="MSWord" w:lang="it-IT" w:vendorID="64" w:dllVersion="6" w:nlCheck="1" w:checkStyle="0"/>
  <w:activeWritingStyle w:appName="MSWord" w:lang="en-IE" w:vendorID="64" w:dllVersion="0" w:nlCheck="1" w:checkStyle="0"/>
  <w:activeWritingStyle w:appName="MSWord" w:lang="en-US" w:vendorID="64" w:dllVersion="0" w:nlCheck="1" w:checkStyle="0"/>
  <w:activeWritingStyle w:appName="MSWord" w:lang="en-GB" w:vendorID="64" w:dllVersion="0" w:nlCheck="1" w:checkStyle="0"/>
  <w:defaultTabStop w:val="720"/>
  <w:hyphenationZone w:val="425"/>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Status" w:val="Green"/>
    <w:docVar w:name="LW_ACCOMPAGNANT.CP" w:val="Accompanying the document"/>
    <w:docVar w:name="LW_CORRIGENDUM" w:val="&lt;UNUSED&gt;"/>
    <w:docVar w:name="LW_COVERPAGE_EXISTS" w:val="True"/>
    <w:docVar w:name="LW_COVERPAGE_GUID" w:val="D7A8BCCE-FA92-42E3-9294-9461B270BC21"/>
    <w:docVar w:name="LW_COVERPAGE_TYPE" w:val="1"/>
    <w:docVar w:name="LW_CROSSREFERENCE" w:val="{COM(2021) 137 final}"/>
    <w:docVar w:name="LW_DocType" w:val="NORMAL"/>
    <w:docVar w:name="LW_EMISSION" w:val="24.3.2021"/>
    <w:docVar w:name="LW_EMISSION_ISODATE" w:val="2021-03-24"/>
    <w:docVar w:name="LW_EMISSION_LOCATION" w:val="BRX"/>
    <w:docVar w:name="LW_EMISSION_PREFIX" w:val="Brussels, "/>
    <w:docVar w:name="LW_EMISSION_SUFFIX" w:val=" "/>
    <w:docVar w:name="LW_ID_DOCTYPE_NONLW" w:val="CP-025"/>
    <w:docVar w:name="LW_LANGUE" w:val="EN"/>
    <w:docVar w:name="LW_LEVEL_OF_SENSITIVITY" w:val="Standard treatment"/>
    <w:docVar w:name="LW_NOM.INST" w:val="EUROPEAN COMMISSION"/>
    <w:docVar w:name="LW_NOM.INST_JOINTDOC" w:val="&lt;EMPTY&gt;"/>
    <w:docVar w:name="LW_OBJETACTEPRINCIPAL.CP" w:val="establishing a European Child Guarantee_x000d__x000d__x000d__x000b_"/>
    <w:docVar w:name="LW_PART_NBR" w:val="1"/>
    <w:docVar w:name="LW_PART_NBR_TOTAL" w:val="1"/>
    <w:docVar w:name="LW_REF.INST.NEW" w:val="SWD"/>
    <w:docVar w:name="LW_REF.INST.NEW_ADOPTED" w:val="final"/>
    <w:docVar w:name="LW_REF.INST.NEW_TEXT" w:val="(2021) 62"/>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 "/>
    <w:docVar w:name="LW_TYPE.DOC.CP" w:val="COMMISSION STAFF WORKING DOCUMENT"/>
    <w:docVar w:name="LW_TYPEACTEPRINCIPAL.CP" w:val="Proposal for a Council Recommendation_x000b_"/>
  </w:docVars>
  <w:rsids>
    <w:rsidRoot w:val="00D02450"/>
    <w:rsid w:val="00017D8B"/>
    <w:rsid w:val="0002413F"/>
    <w:rsid w:val="00024584"/>
    <w:rsid w:val="00024AE4"/>
    <w:rsid w:val="00040E0E"/>
    <w:rsid w:val="00074B2C"/>
    <w:rsid w:val="00091E31"/>
    <w:rsid w:val="0009619A"/>
    <w:rsid w:val="000D152A"/>
    <w:rsid w:val="000D1DC8"/>
    <w:rsid w:val="00113790"/>
    <w:rsid w:val="00130C0C"/>
    <w:rsid w:val="0014015A"/>
    <w:rsid w:val="001401D0"/>
    <w:rsid w:val="001567E0"/>
    <w:rsid w:val="00175452"/>
    <w:rsid w:val="00177579"/>
    <w:rsid w:val="00197166"/>
    <w:rsid w:val="001A1E09"/>
    <w:rsid w:val="001A6D58"/>
    <w:rsid w:val="001B270D"/>
    <w:rsid w:val="001C5774"/>
    <w:rsid w:val="001C6950"/>
    <w:rsid w:val="001D5769"/>
    <w:rsid w:val="001E18B6"/>
    <w:rsid w:val="001F5AD2"/>
    <w:rsid w:val="00224CEC"/>
    <w:rsid w:val="00241FC1"/>
    <w:rsid w:val="002466D1"/>
    <w:rsid w:val="00257A75"/>
    <w:rsid w:val="00266180"/>
    <w:rsid w:val="00273848"/>
    <w:rsid w:val="002814F8"/>
    <w:rsid w:val="0029223B"/>
    <w:rsid w:val="002A7AE8"/>
    <w:rsid w:val="002B661D"/>
    <w:rsid w:val="002C3FBC"/>
    <w:rsid w:val="002C48EC"/>
    <w:rsid w:val="002D0FE8"/>
    <w:rsid w:val="002E1382"/>
    <w:rsid w:val="002E5F6F"/>
    <w:rsid w:val="002E6479"/>
    <w:rsid w:val="002E6D8F"/>
    <w:rsid w:val="002F1BC6"/>
    <w:rsid w:val="002F3AC5"/>
    <w:rsid w:val="0030172C"/>
    <w:rsid w:val="00301938"/>
    <w:rsid w:val="00321FBA"/>
    <w:rsid w:val="00347521"/>
    <w:rsid w:val="00380F27"/>
    <w:rsid w:val="00390476"/>
    <w:rsid w:val="00392ADF"/>
    <w:rsid w:val="003A2BC1"/>
    <w:rsid w:val="003C13B5"/>
    <w:rsid w:val="003D0A5F"/>
    <w:rsid w:val="003D10F4"/>
    <w:rsid w:val="003E52D4"/>
    <w:rsid w:val="00403E96"/>
    <w:rsid w:val="00445097"/>
    <w:rsid w:val="00445511"/>
    <w:rsid w:val="004463A3"/>
    <w:rsid w:val="004619DC"/>
    <w:rsid w:val="00462CE1"/>
    <w:rsid w:val="004739C5"/>
    <w:rsid w:val="00496995"/>
    <w:rsid w:val="004A2667"/>
    <w:rsid w:val="004A4D31"/>
    <w:rsid w:val="004A565E"/>
    <w:rsid w:val="004C40AD"/>
    <w:rsid w:val="004C5BC2"/>
    <w:rsid w:val="004D69A9"/>
    <w:rsid w:val="004E0694"/>
    <w:rsid w:val="004F3818"/>
    <w:rsid w:val="00506133"/>
    <w:rsid w:val="00515A0A"/>
    <w:rsid w:val="00543089"/>
    <w:rsid w:val="005951F4"/>
    <w:rsid w:val="005D7DE1"/>
    <w:rsid w:val="00601A57"/>
    <w:rsid w:val="0064072B"/>
    <w:rsid w:val="006417AA"/>
    <w:rsid w:val="006476D7"/>
    <w:rsid w:val="00650803"/>
    <w:rsid w:val="006642A3"/>
    <w:rsid w:val="00687899"/>
    <w:rsid w:val="006B446C"/>
    <w:rsid w:val="006D4BCD"/>
    <w:rsid w:val="006D55FC"/>
    <w:rsid w:val="0071286D"/>
    <w:rsid w:val="00724DE1"/>
    <w:rsid w:val="00725C6B"/>
    <w:rsid w:val="0073080A"/>
    <w:rsid w:val="00762C7A"/>
    <w:rsid w:val="00765830"/>
    <w:rsid w:val="00775E12"/>
    <w:rsid w:val="007819B9"/>
    <w:rsid w:val="00783EA9"/>
    <w:rsid w:val="007878F6"/>
    <w:rsid w:val="00790562"/>
    <w:rsid w:val="007A01E2"/>
    <w:rsid w:val="007B2D75"/>
    <w:rsid w:val="007C5A6E"/>
    <w:rsid w:val="007C7D1D"/>
    <w:rsid w:val="007D5C25"/>
    <w:rsid w:val="007E37E0"/>
    <w:rsid w:val="007F539D"/>
    <w:rsid w:val="007F6C5D"/>
    <w:rsid w:val="008024E5"/>
    <w:rsid w:val="0080352A"/>
    <w:rsid w:val="00810E32"/>
    <w:rsid w:val="008208A7"/>
    <w:rsid w:val="00820FC7"/>
    <w:rsid w:val="00837438"/>
    <w:rsid w:val="00847E45"/>
    <w:rsid w:val="00861D7D"/>
    <w:rsid w:val="008850B2"/>
    <w:rsid w:val="00885F85"/>
    <w:rsid w:val="00897DF9"/>
    <w:rsid w:val="008A0221"/>
    <w:rsid w:val="008B0989"/>
    <w:rsid w:val="008B4595"/>
    <w:rsid w:val="008B629A"/>
    <w:rsid w:val="008C0775"/>
    <w:rsid w:val="008E037D"/>
    <w:rsid w:val="008F7A09"/>
    <w:rsid w:val="00940647"/>
    <w:rsid w:val="009658E0"/>
    <w:rsid w:val="009908C0"/>
    <w:rsid w:val="00996F88"/>
    <w:rsid w:val="009971B7"/>
    <w:rsid w:val="009A4371"/>
    <w:rsid w:val="009A732F"/>
    <w:rsid w:val="009B41B8"/>
    <w:rsid w:val="009B7960"/>
    <w:rsid w:val="009C3EB5"/>
    <w:rsid w:val="009D4893"/>
    <w:rsid w:val="00A01054"/>
    <w:rsid w:val="00A01AE9"/>
    <w:rsid w:val="00A10861"/>
    <w:rsid w:val="00A120CA"/>
    <w:rsid w:val="00A207F4"/>
    <w:rsid w:val="00A54E38"/>
    <w:rsid w:val="00A5677A"/>
    <w:rsid w:val="00A65308"/>
    <w:rsid w:val="00A712A4"/>
    <w:rsid w:val="00A81A4C"/>
    <w:rsid w:val="00A91226"/>
    <w:rsid w:val="00A91FD9"/>
    <w:rsid w:val="00A96363"/>
    <w:rsid w:val="00AA0DF0"/>
    <w:rsid w:val="00AB09ED"/>
    <w:rsid w:val="00AC3221"/>
    <w:rsid w:val="00AD5CE9"/>
    <w:rsid w:val="00AE7AC4"/>
    <w:rsid w:val="00B00CCE"/>
    <w:rsid w:val="00B227C5"/>
    <w:rsid w:val="00B327F9"/>
    <w:rsid w:val="00B37A02"/>
    <w:rsid w:val="00B52E69"/>
    <w:rsid w:val="00B64624"/>
    <w:rsid w:val="00B65647"/>
    <w:rsid w:val="00B66C46"/>
    <w:rsid w:val="00B755CC"/>
    <w:rsid w:val="00B81164"/>
    <w:rsid w:val="00B83038"/>
    <w:rsid w:val="00B84450"/>
    <w:rsid w:val="00BA5D03"/>
    <w:rsid w:val="00BB764F"/>
    <w:rsid w:val="00BC13E2"/>
    <w:rsid w:val="00BC5BDF"/>
    <w:rsid w:val="00BC7435"/>
    <w:rsid w:val="00BD4379"/>
    <w:rsid w:val="00BD556C"/>
    <w:rsid w:val="00BE4A51"/>
    <w:rsid w:val="00BF3A2A"/>
    <w:rsid w:val="00BF4F6C"/>
    <w:rsid w:val="00BF7FED"/>
    <w:rsid w:val="00C103B1"/>
    <w:rsid w:val="00C12DE6"/>
    <w:rsid w:val="00C212B7"/>
    <w:rsid w:val="00C35CB0"/>
    <w:rsid w:val="00C85DBE"/>
    <w:rsid w:val="00C97F66"/>
    <w:rsid w:val="00CA0CAD"/>
    <w:rsid w:val="00CA35DB"/>
    <w:rsid w:val="00CB471F"/>
    <w:rsid w:val="00CC052E"/>
    <w:rsid w:val="00CC1970"/>
    <w:rsid w:val="00CD621F"/>
    <w:rsid w:val="00CE385E"/>
    <w:rsid w:val="00CE6948"/>
    <w:rsid w:val="00CF276C"/>
    <w:rsid w:val="00D02450"/>
    <w:rsid w:val="00D10407"/>
    <w:rsid w:val="00D13836"/>
    <w:rsid w:val="00D27BEB"/>
    <w:rsid w:val="00D327BF"/>
    <w:rsid w:val="00D377CE"/>
    <w:rsid w:val="00D44209"/>
    <w:rsid w:val="00D44827"/>
    <w:rsid w:val="00D471D8"/>
    <w:rsid w:val="00D83EC9"/>
    <w:rsid w:val="00D92490"/>
    <w:rsid w:val="00D96BB6"/>
    <w:rsid w:val="00DA514F"/>
    <w:rsid w:val="00DB51D6"/>
    <w:rsid w:val="00DC14E0"/>
    <w:rsid w:val="00DD2EE2"/>
    <w:rsid w:val="00DD6B6F"/>
    <w:rsid w:val="00E005B7"/>
    <w:rsid w:val="00E130C4"/>
    <w:rsid w:val="00E27959"/>
    <w:rsid w:val="00E35E81"/>
    <w:rsid w:val="00E44BA6"/>
    <w:rsid w:val="00E500BE"/>
    <w:rsid w:val="00E545FD"/>
    <w:rsid w:val="00E55B3D"/>
    <w:rsid w:val="00E74D2C"/>
    <w:rsid w:val="00E875B7"/>
    <w:rsid w:val="00EA656B"/>
    <w:rsid w:val="00EB6047"/>
    <w:rsid w:val="00EC5DE2"/>
    <w:rsid w:val="00EE2304"/>
    <w:rsid w:val="00EF038C"/>
    <w:rsid w:val="00EF2519"/>
    <w:rsid w:val="00EF6EDF"/>
    <w:rsid w:val="00F27730"/>
    <w:rsid w:val="00F36A95"/>
    <w:rsid w:val="00F46B49"/>
    <w:rsid w:val="00F56829"/>
    <w:rsid w:val="00F649E6"/>
    <w:rsid w:val="00F656DD"/>
    <w:rsid w:val="00F746E2"/>
    <w:rsid w:val="00F80301"/>
    <w:rsid w:val="00F9125B"/>
    <w:rsid w:val="00FA0CFC"/>
    <w:rsid w:val="00FC61A4"/>
    <w:rsid w:val="00FD05B9"/>
    <w:rsid w:val="00FD4F15"/>
    <w:rsid w:val="00FE3001"/>
    <w:rsid w:val="00FE49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3F9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imes New Roman" w:eastAsiaTheme="majorEastAsia" w:hAnsi="Times New Roman" w:cstheme="majorBidi"/>
      <w:color w:val="2E74B5" w:themeColor="accent1" w:themeShade="BF"/>
      <w:sz w:val="28"/>
      <w:szCs w:val="26"/>
    </w:rPr>
  </w:style>
  <w:style w:type="paragraph" w:styleId="Heading3">
    <w:name w:val="heading 3"/>
    <w:basedOn w:val="Normal"/>
    <w:next w:val="Normal"/>
    <w:link w:val="Heading3Char"/>
    <w:uiPriority w:val="1"/>
    <w:unhideWhenUsed/>
    <w:qFormat/>
    <w:pPr>
      <w:keepNext/>
      <w:keepLines/>
      <w:spacing w:before="40" w:after="0"/>
      <w:outlineLvl w:val="2"/>
    </w:pPr>
    <w:rPr>
      <w:rFonts w:ascii="Times New Roman" w:eastAsiaTheme="majorEastAsia" w:hAnsi="Times New Roman" w:cstheme="majorBidi"/>
      <w:color w:val="2E74B5" w:themeColor="accent1" w:themeShade="BF"/>
      <w:sz w:val="24"/>
      <w:szCs w:val="24"/>
    </w:rPr>
  </w:style>
  <w:style w:type="paragraph" w:styleId="Heading4">
    <w:name w:val="heading 4"/>
    <w:basedOn w:val="Normal"/>
    <w:next w:val="Normal"/>
    <w:link w:val="Heading4Char"/>
    <w:uiPriority w:val="1"/>
    <w:unhideWhenUsed/>
    <w:qFormat/>
    <w:pPr>
      <w:keepNext/>
      <w:keepLines/>
      <w:spacing w:before="40" w:after="0" w:line="276" w:lineRule="auto"/>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pPr>
      <w:keepNext/>
      <w:tabs>
        <w:tab w:val="num" w:pos="2880"/>
      </w:tabs>
      <w:spacing w:after="240" w:line="240" w:lineRule="auto"/>
      <w:ind w:left="3838" w:hanging="958"/>
      <w:jc w:val="both"/>
      <w:outlineLvl w:val="4"/>
    </w:pPr>
    <w:rPr>
      <w:rFonts w:ascii="Times New Roman" w:eastAsia="Times New Roman" w:hAnsi="Times New Roman" w:cs="Times New Roman"/>
      <w:sz w:val="24"/>
      <w:szCs w:val="20"/>
      <w:lang w:eastAsia="en-GB"/>
    </w:rPr>
  </w:style>
  <w:style w:type="paragraph" w:styleId="Heading6">
    <w:name w:val="heading 6"/>
    <w:basedOn w:val="Normal"/>
    <w:next w:val="Normal"/>
    <w:link w:val="Heading6Char"/>
    <w:semiHidden/>
    <w:pPr>
      <w:keepNext/>
      <w:tabs>
        <w:tab w:val="num" w:pos="2880"/>
      </w:tabs>
      <w:spacing w:after="240" w:line="240" w:lineRule="auto"/>
      <w:ind w:left="3838" w:hanging="958"/>
      <w:jc w:val="both"/>
      <w:outlineLvl w:val="5"/>
    </w:pPr>
    <w:rPr>
      <w:rFonts w:ascii="Times New Roman" w:eastAsia="Times New Roman" w:hAnsi="Times New Roman" w:cs="Times New Roman"/>
      <w:sz w:val="24"/>
      <w:szCs w:val="20"/>
      <w:lang w:eastAsia="en-GB"/>
    </w:rPr>
  </w:style>
  <w:style w:type="paragraph" w:styleId="Heading7">
    <w:name w:val="heading 7"/>
    <w:basedOn w:val="Normal"/>
    <w:next w:val="Normal"/>
    <w:link w:val="Heading7Char"/>
    <w:semiHidden/>
    <w:pPr>
      <w:keepNext/>
      <w:tabs>
        <w:tab w:val="num" w:pos="2880"/>
      </w:tabs>
      <w:spacing w:after="240" w:line="240" w:lineRule="auto"/>
      <w:ind w:left="3838" w:hanging="958"/>
      <w:jc w:val="both"/>
      <w:outlineLvl w:val="6"/>
    </w:pPr>
    <w:rPr>
      <w:rFonts w:ascii="Times New Roman" w:eastAsia="Times New Roman" w:hAnsi="Times New Roman" w:cs="Times New Roman"/>
      <w:sz w:val="24"/>
      <w:szCs w:val="20"/>
      <w:lang w:eastAsia="en-GB"/>
    </w:rPr>
  </w:style>
  <w:style w:type="paragraph" w:styleId="Heading8">
    <w:name w:val="heading 8"/>
    <w:basedOn w:val="Normal"/>
    <w:next w:val="Normal"/>
    <w:link w:val="Heading8Char"/>
    <w:semiHidden/>
    <w:pPr>
      <w:keepNext/>
      <w:tabs>
        <w:tab w:val="num" w:pos="2880"/>
      </w:tabs>
      <w:spacing w:after="240" w:line="240" w:lineRule="auto"/>
      <w:ind w:left="3838" w:hanging="958"/>
      <w:jc w:val="both"/>
      <w:outlineLvl w:val="7"/>
    </w:pPr>
    <w:rPr>
      <w:rFonts w:ascii="Times New Roman" w:eastAsia="Times New Roman" w:hAnsi="Times New Roman" w:cs="Times New Roman"/>
      <w:sz w:val="24"/>
      <w:szCs w:val="20"/>
      <w:lang w:eastAsia="en-GB"/>
    </w:rPr>
  </w:style>
  <w:style w:type="paragraph" w:styleId="Heading9">
    <w:name w:val="heading 9"/>
    <w:basedOn w:val="Normal"/>
    <w:next w:val="Normal"/>
    <w:link w:val="Heading9Char"/>
    <w:semiHidden/>
    <w:pPr>
      <w:keepNext/>
      <w:tabs>
        <w:tab w:val="num" w:pos="2880"/>
      </w:tabs>
      <w:spacing w:after="240" w:line="240" w:lineRule="auto"/>
      <w:ind w:left="3838" w:hanging="958"/>
      <w:jc w:val="both"/>
      <w:outlineLvl w:val="8"/>
    </w:pPr>
    <w:rPr>
      <w:rFonts w:ascii="Times New Roman" w:eastAsia="Times New Roman" w:hAnsi="Times New Roman"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imes New Roman" w:eastAsiaTheme="majorEastAsia" w:hAnsi="Times New Roman" w:cstheme="majorBidi"/>
      <w:color w:val="2E74B5" w:themeColor="accent1" w:themeShade="BF"/>
      <w:sz w:val="28"/>
      <w:szCs w:val="26"/>
    </w:rPr>
  </w:style>
  <w:style w:type="character" w:customStyle="1" w:styleId="Heading3Char">
    <w:name w:val="Heading 3 Char"/>
    <w:basedOn w:val="DefaultParagraphFont"/>
    <w:link w:val="Heading3"/>
    <w:uiPriority w:val="1"/>
    <w:rPr>
      <w:rFonts w:ascii="Times New Roman" w:eastAsiaTheme="majorEastAsia" w:hAnsi="Times New Roman" w:cstheme="majorBidi"/>
      <w:color w:val="2E74B5" w:themeColor="accent1" w:themeShade="BF"/>
      <w:sz w:val="24"/>
      <w:szCs w:val="24"/>
    </w:rPr>
  </w:style>
  <w:style w:type="character" w:customStyle="1" w:styleId="Heading4Char">
    <w:name w:val="Heading 4 Char"/>
    <w:basedOn w:val="DefaultParagraphFont"/>
    <w:link w:val="Heading4"/>
    <w:uiPriority w:val="1"/>
    <w:rPr>
      <w:rFonts w:asciiTheme="majorHAnsi" w:eastAsiaTheme="majorEastAsia" w:hAnsiTheme="majorHAnsi" w:cstheme="majorBidi"/>
      <w:i/>
      <w:iCs/>
      <w:color w:val="2E74B5" w:themeColor="accent1" w:themeShade="BF"/>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body"/>
    <w:basedOn w:val="Normal"/>
    <w:link w:val="ListParagraphChar"/>
    <w:uiPriority w:val="34"/>
    <w:qFormat/>
    <w:pPr>
      <w:ind w:left="720"/>
      <w:contextualSpacing/>
    </w:pPr>
  </w:style>
  <w:style w:type="paragraph" w:customStyle="1" w:styleId="LegalNumPar">
    <w:name w:val="LegalNumPar"/>
    <w:basedOn w:val="Normal"/>
    <w:pPr>
      <w:numPr>
        <w:numId w:val="2"/>
      </w:numPr>
      <w:spacing w:line="360" w:lineRule="auto"/>
    </w:pPr>
    <w:rPr>
      <w:sz w:val="24"/>
    </w:rPr>
  </w:style>
  <w:style w:type="paragraph" w:customStyle="1" w:styleId="LegalNumPar2">
    <w:name w:val="LegalNumPar2"/>
    <w:basedOn w:val="Normal"/>
    <w:pPr>
      <w:numPr>
        <w:ilvl w:val="1"/>
        <w:numId w:val="2"/>
      </w:numPr>
      <w:spacing w:line="360" w:lineRule="auto"/>
    </w:pPr>
    <w:rPr>
      <w:sz w:val="24"/>
    </w:rPr>
  </w:style>
  <w:style w:type="paragraph" w:customStyle="1" w:styleId="LegalNumPar3">
    <w:name w:val="LegalNumPar3"/>
    <w:basedOn w:val="Normal"/>
    <w:pPr>
      <w:numPr>
        <w:ilvl w:val="2"/>
        <w:numId w:val="2"/>
      </w:numPr>
      <w:spacing w:line="360" w:lineRule="auto"/>
    </w:pPr>
    <w:rPr>
      <w:sz w:val="24"/>
    </w:rPr>
  </w:style>
  <w:style w:type="paragraph" w:styleId="TOCHeading">
    <w:name w:val="TOC Heading"/>
    <w:basedOn w:val="Heading1"/>
    <w:next w:val="Normal"/>
    <w:link w:val="TOCHeadingChar"/>
    <w:uiPriority w:val="39"/>
    <w:unhideWhenUsed/>
    <w:qFormat/>
    <w:pPr>
      <w:outlineLvl w:val="9"/>
    </w:pPr>
  </w:style>
  <w:style w:type="paragraph" w:styleId="TOC1">
    <w:name w:val="toc 1"/>
    <w:basedOn w:val="Normal"/>
    <w:next w:val="Normal"/>
    <w:autoRedefine/>
    <w:uiPriority w:val="39"/>
    <w:unhideWhenUsed/>
    <w:pPr>
      <w:tabs>
        <w:tab w:val="left" w:pos="660"/>
        <w:tab w:val="right" w:leader="dot" w:pos="8931"/>
      </w:tabs>
      <w:spacing w:after="100"/>
    </w:p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paragraph" w:styleId="FootnoteText">
    <w:name w:val="footnote text"/>
    <w:aliases w:val="Fußnotentext arial,Podrozdział,stile 1,Footnote1,Footnote2,Footnote3,Footnote4,Footnote5,Footnote6,Footnote7,Footnote8,Footnote9,Footnote10,Footnote11,Footnote21,Footnote31,Footnote41,Footnote51,Footnote61,Footnote71,ft,o,fn,Fußnotentextf"/>
    <w:basedOn w:val="Normal"/>
    <w:link w:val="FootnoteTextChar"/>
    <w:unhideWhenUsed/>
    <w:qFormat/>
    <w:pPr>
      <w:spacing w:after="0" w:line="240" w:lineRule="auto"/>
    </w:pPr>
    <w:rPr>
      <w:sz w:val="20"/>
      <w:szCs w:val="20"/>
    </w:rPr>
  </w:style>
  <w:style w:type="character" w:customStyle="1" w:styleId="FootnoteTextChar">
    <w:name w:val="Footnote Text Char"/>
    <w:aliases w:val="Fußnotentext arial Char,Podrozdział Char,stile 1 Char,Footnote1 Char,Footnote2 Char,Footnote3 Char,Footnote4 Char,Footnote5 Char,Footnote6 Char,Footnote7 Char,Footnote8 Char,Footnote9 Char,Footnote10 Char,Footnote11 Char,ft Char"/>
    <w:basedOn w:val="DefaultParagraphFont"/>
    <w:link w:val="FootnoteText"/>
    <w:qFormat/>
    <w:rPr>
      <w:sz w:val="20"/>
      <w:szCs w:val="20"/>
    </w:rPr>
  </w:style>
  <w:style w:type="character" w:styleId="FootnoteReference">
    <w:name w:val="footnote reference"/>
    <w:aliases w:val="Footnote symbol,Footnote Reference Superscript,Voetnootverwijzing,Times 10 Point,Exposant 3 Point,Footnote Reference Number,Footnote reference number,Ref,de nota al pie,note TESI,SUPERS,EN Footnote Reference,footnote ref,FR,Footnote s"/>
    <w:basedOn w:val="DefaultParagraphFont"/>
    <w:link w:val="SUPERSCharCharCharCharCharCharCharChar"/>
    <w:uiPriority w:val="99"/>
    <w:unhideWhenUsed/>
    <w:qFormat/>
    <w:rPr>
      <w:vertAlign w:val="superscript"/>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link w:val="FootnoteReference"/>
    <w:uiPriority w:val="99"/>
    <w:pPr>
      <w:tabs>
        <w:tab w:val="left" w:pos="907"/>
      </w:tabs>
      <w:spacing w:before="60" w:line="240" w:lineRule="exact"/>
      <w:jc w:val="both"/>
    </w:pPr>
    <w:rPr>
      <w:vertAlign w:val="superscript"/>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Pr>
      <w:i/>
      <w:iCs/>
    </w:rPr>
  </w:style>
  <w:style w:type="character" w:customStyle="1" w:styleId="Title2">
    <w:name w:val="Title2"/>
    <w:basedOn w:val="DefaultParagraphFont"/>
  </w:style>
  <w:style w:type="paragraph" w:styleId="CommentText">
    <w:name w:val="annotation text"/>
    <w:basedOn w:val="Normal"/>
    <w:link w:val="CommentTextChar"/>
    <w:uiPriority w:val="99"/>
    <w:unhideWhenUsed/>
    <w:pPr>
      <w:spacing w:after="200"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nhideWhenUsed/>
    <w:rPr>
      <w:sz w:val="16"/>
      <w:szCs w:val="16"/>
    </w:rPr>
  </w:style>
  <w:style w:type="paragraph" w:styleId="CommentSubject">
    <w:name w:val="annotation subject"/>
    <w:basedOn w:val="CommentText"/>
    <w:next w:val="CommentText"/>
    <w:link w:val="CommentSubjectChar"/>
    <w:uiPriority w:val="99"/>
    <w:semiHidden/>
    <w:unhideWhenUsed/>
    <w:pPr>
      <w:spacing w:after="160"/>
    </w:pPr>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customStyle="1" w:styleId="LTTTitle2">
    <w:name w:val="LTT Title 2"/>
    <w:basedOn w:val="Normal"/>
    <w:qFormat/>
    <w:pPr>
      <w:pBdr>
        <w:bottom w:val="single" w:sz="6" w:space="1" w:color="auto"/>
      </w:pBdr>
      <w:spacing w:before="480" w:after="320" w:line="240" w:lineRule="auto"/>
    </w:pPr>
    <w:rPr>
      <w:rFonts w:ascii="Calibri" w:eastAsia="Times New Roman" w:hAnsi="Calibri" w:cs="Calibri"/>
      <w:b/>
      <w:sz w:val="24"/>
      <w:szCs w:val="20"/>
      <w:lang w:eastAsia="en-GB"/>
    </w:rPr>
  </w:style>
  <w:style w:type="paragraph" w:customStyle="1" w:styleId="Body">
    <w:name w:val="Body"/>
    <w:basedOn w:val="Normal"/>
    <w:link w:val="BodyChar"/>
    <w:qFormat/>
    <w:pPr>
      <w:spacing w:after="120" w:line="288" w:lineRule="auto"/>
      <w:jc w:val="both"/>
    </w:pPr>
    <w:rPr>
      <w:rFonts w:ascii="Verdana" w:eastAsia="Times New Roman" w:hAnsi="Verdana" w:cs="Arial"/>
      <w:sz w:val="20"/>
      <w:szCs w:val="20"/>
      <w:lang w:eastAsia="de-DE"/>
    </w:rPr>
  </w:style>
  <w:style w:type="character" w:customStyle="1" w:styleId="BodyChar">
    <w:name w:val="Body Char"/>
    <w:link w:val="Body"/>
    <w:rPr>
      <w:rFonts w:ascii="Verdana" w:eastAsia="Times New Roman" w:hAnsi="Verdana" w:cs="Arial"/>
      <w:sz w:val="20"/>
      <w:szCs w:val="20"/>
      <w:lang w:eastAsia="de-DE"/>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style>
  <w:style w:type="paragraph" w:styleId="Caption">
    <w:name w:val="caption"/>
    <w:aliases w:val="Caption (ALL),Caption - Centre Graphic,Caption (all),Inscription,Beschriftung Char Char Char,Beschriftung Char,Caption2,figura,figura1,figura2,ITT d,cp + Justified,Left:  2,5 cm,First ...,cp,ref,Fig &amp; Table Title,CaptionCFMU,Ca,Ch,C"/>
    <w:basedOn w:val="Normal"/>
    <w:next w:val="Normal"/>
    <w:link w:val="CaptionChar"/>
    <w:uiPriority w:val="35"/>
    <w:unhideWhenUsed/>
    <w:qFormat/>
    <w:pPr>
      <w:spacing w:after="200" w:line="240" w:lineRule="auto"/>
    </w:pPr>
    <w:rPr>
      <w:i/>
      <w:iCs/>
      <w:color w:val="44546A" w:themeColor="text2"/>
      <w:sz w:val="18"/>
      <w:szCs w:val="18"/>
    </w:rPr>
  </w:style>
  <w:style w:type="table" w:styleId="TableGrid">
    <w:name w:val="Table Grid"/>
    <w:aliases w:val="Document Table"/>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style>
  <w:style w:type="character" w:customStyle="1" w:styleId="rightside">
    <w:name w:val="right_side"/>
    <w:basedOn w:val="DefaultParagraphFont"/>
  </w:style>
  <w:style w:type="paragraph" w:customStyle="1" w:styleId="Graph-tabletitle">
    <w:name w:val="Graph-table title"/>
    <w:basedOn w:val="Normal"/>
    <w:qFormat/>
    <w:pPr>
      <w:spacing w:before="120" w:after="120" w:line="240" w:lineRule="auto"/>
    </w:pPr>
    <w:rPr>
      <w:rFonts w:ascii="Verdana" w:eastAsia="Times New Roman" w:hAnsi="Verdana" w:cs="Times New Roman"/>
      <w:b/>
      <w:i/>
      <w:sz w:val="19"/>
    </w:rPr>
  </w:style>
  <w:style w:type="character" w:customStyle="1" w:styleId="Marker">
    <w:name w:val="Marker"/>
    <w:basedOn w:val="DefaultParagraphFont"/>
    <w:rPr>
      <w:color w:val="0000FF"/>
      <w:shd w:val="clear" w:color="auto" w:fill="auto"/>
    </w:rPr>
  </w:style>
  <w:style w:type="paragraph" w:styleId="BodyText">
    <w:name w:val="Body Text"/>
    <w:link w:val="BodyTextChar"/>
    <w:qFormat/>
    <w:pPr>
      <w:spacing w:after="120" w:line="240" w:lineRule="auto"/>
      <w:jc w:val="both"/>
    </w:pPr>
    <w:rPr>
      <w:rFonts w:ascii="Verdana" w:eastAsia="Times New Roman" w:hAnsi="Verdana" w:cs="Times New Roman"/>
      <w:sz w:val="20"/>
      <w:szCs w:val="20"/>
    </w:rPr>
  </w:style>
  <w:style w:type="character" w:customStyle="1" w:styleId="BodyTextChar">
    <w:name w:val="Body Text Char"/>
    <w:basedOn w:val="DefaultParagraphFont"/>
    <w:link w:val="BodyText"/>
    <w:rPr>
      <w:rFonts w:ascii="Verdana" w:eastAsia="Times New Roman" w:hAnsi="Verdana" w:cs="Times New Roman"/>
      <w:sz w:val="20"/>
      <w:szCs w:val="20"/>
    </w:rPr>
  </w:style>
  <w:style w:type="paragraph" w:styleId="TOC2">
    <w:name w:val="toc 2"/>
    <w:basedOn w:val="Normal"/>
    <w:next w:val="Normal"/>
    <w:autoRedefine/>
    <w:uiPriority w:val="39"/>
    <w:unhideWhenUsed/>
    <w:pPr>
      <w:tabs>
        <w:tab w:val="left" w:pos="880"/>
        <w:tab w:val="right" w:leader="dot" w:pos="9016"/>
      </w:tabs>
      <w:spacing w:after="100"/>
      <w:ind w:left="220"/>
    </w:pPr>
  </w:style>
  <w:style w:type="character" w:customStyle="1" w:styleId="BodytextChar0">
    <w:name w:val="Bodytext Char"/>
    <w:link w:val="Bodytext0"/>
    <w:locked/>
    <w:rPr>
      <w:rFonts w:ascii="Verdana" w:eastAsia="Times New Roman" w:hAnsi="Verdana" w:cs="Times New Roman"/>
      <w:bCs/>
      <w:sz w:val="20"/>
      <w:szCs w:val="26"/>
    </w:rPr>
  </w:style>
  <w:style w:type="paragraph" w:customStyle="1" w:styleId="Bodytext0">
    <w:name w:val="Bodytext"/>
    <w:link w:val="BodytextChar0"/>
    <w:qFormat/>
    <w:pPr>
      <w:spacing w:before="120" w:after="80" w:line="256" w:lineRule="auto"/>
      <w:jc w:val="both"/>
    </w:pPr>
    <w:rPr>
      <w:rFonts w:ascii="Verdana" w:eastAsia="Times New Roman" w:hAnsi="Verdana" w:cs="Times New Roman"/>
      <w:bCs/>
      <w:sz w:val="20"/>
      <w:szCs w:val="26"/>
    </w:rPr>
  </w:style>
  <w:style w:type="paragraph" w:customStyle="1" w:styleId="Sources">
    <w:name w:val="Sources"/>
    <w:basedOn w:val="Normal"/>
    <w:link w:val="SourcesChar"/>
    <w:qFormat/>
    <w:pPr>
      <w:spacing w:before="60"/>
    </w:pPr>
    <w:rPr>
      <w:rFonts w:ascii="Verdana" w:eastAsia="Times New Roman" w:hAnsi="Verdana" w:cstheme="minorHAnsi"/>
      <w:i/>
      <w:sz w:val="18"/>
      <w:szCs w:val="19"/>
    </w:rPr>
  </w:style>
  <w:style w:type="character" w:customStyle="1" w:styleId="SourcesChar">
    <w:name w:val="Sources Char"/>
    <w:basedOn w:val="DefaultParagraphFont"/>
    <w:link w:val="Sources"/>
    <w:rPr>
      <w:rFonts w:ascii="Verdana" w:eastAsia="Times New Roman" w:hAnsi="Verdana" w:cstheme="minorHAnsi"/>
      <w:i/>
      <w:sz w:val="18"/>
      <w:szCs w:val="19"/>
    </w:rPr>
  </w:style>
  <w:style w:type="character" w:customStyle="1" w:styleId="webtitleheader-title">
    <w:name w:val="web_titleheader-title"/>
    <w:basedOn w:val="DefaultParagraphFont"/>
  </w:style>
  <w:style w:type="paragraph" w:styleId="TOC3">
    <w:name w:val="toc 3"/>
    <w:basedOn w:val="Normal"/>
    <w:next w:val="Normal"/>
    <w:autoRedefine/>
    <w:uiPriority w:val="39"/>
    <w:unhideWhenUsed/>
    <w:pPr>
      <w:spacing w:after="100"/>
      <w:ind w:left="440"/>
    </w:pPr>
  </w:style>
  <w:style w:type="paragraph" w:styleId="Header">
    <w:name w:val="header"/>
    <w:basedOn w:val="Normal"/>
    <w:link w:val="HeaderChar"/>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customStyle="1" w:styleId="Considrant">
    <w:name w:val="Considérant"/>
    <w:basedOn w:val="Normal"/>
    <w:qFormat/>
    <w:pPr>
      <w:tabs>
        <w:tab w:val="num" w:pos="1702"/>
      </w:tabs>
      <w:spacing w:before="120" w:after="120" w:line="240" w:lineRule="auto"/>
      <w:ind w:left="1702" w:hanging="709"/>
      <w:jc w:val="both"/>
    </w:pPr>
    <w:rPr>
      <w:rFonts w:ascii="Times New Roman" w:hAnsi="Times New Roman" w:cs="Times New Roman"/>
      <w:sz w:val="24"/>
    </w:rPr>
  </w:style>
  <w:style w:type="character" w:styleId="FollowedHyperlink">
    <w:name w:val="FollowedHyperlink"/>
    <w:basedOn w:val="DefaultParagraphFont"/>
    <w:uiPriority w:val="99"/>
    <w:semiHidden/>
    <w:unhideWhenUsed/>
    <w:rPr>
      <w:color w:val="954F72" w:themeColor="followedHyperlink"/>
      <w:u w:val="single"/>
    </w:rPr>
  </w:style>
  <w:style w:type="paragraph" w:styleId="Revision">
    <w:name w:val="Revision"/>
    <w:hidden/>
    <w:uiPriority w:val="99"/>
    <w:semiHidden/>
    <w:pPr>
      <w:spacing w:after="0" w:line="240" w:lineRule="auto"/>
    </w:pPr>
  </w:style>
  <w:style w:type="paragraph" w:styleId="TableofFigures">
    <w:name w:val="table of figures"/>
    <w:basedOn w:val="Normal"/>
    <w:next w:val="Normal"/>
    <w:uiPriority w:val="99"/>
    <w:unhideWhenUsed/>
    <w:pPr>
      <w:spacing w:after="0"/>
    </w:p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pPr>
      <w:spacing w:line="240" w:lineRule="exact"/>
      <w:jc w:val="both"/>
    </w:pPr>
    <w:rPr>
      <w:vertAlign w:val="superscript"/>
    </w:rPr>
  </w:style>
  <w:style w:type="paragraph" w:customStyle="1" w:styleId="Text1">
    <w:name w:val="Text 1"/>
    <w:basedOn w:val="Normal"/>
    <w:qFormat/>
    <w:pPr>
      <w:spacing w:after="240" w:line="240" w:lineRule="auto"/>
      <w:ind w:left="482"/>
      <w:jc w:val="both"/>
    </w:pPr>
    <w:rPr>
      <w:rFonts w:ascii="Times New Roman" w:eastAsia="Times New Roman" w:hAnsi="Times New Roman" w:cs="Times New Roman"/>
      <w:sz w:val="24"/>
      <w:szCs w:val="20"/>
    </w:rPr>
  </w:style>
  <w:style w:type="paragraph" w:customStyle="1" w:styleId="BulletPoint1">
    <w:name w:val="Bullet Point 1"/>
    <w:basedOn w:val="Normal"/>
    <w:link w:val="BulletPoint1Char"/>
    <w:qFormat/>
    <w:pPr>
      <w:numPr>
        <w:numId w:val="14"/>
      </w:numPr>
      <w:spacing w:before="20" w:after="40"/>
      <w:jc w:val="both"/>
    </w:pPr>
    <w:rPr>
      <w:rFonts w:ascii="Verdana" w:hAnsi="Verdana"/>
      <w:sz w:val="20"/>
    </w:rPr>
  </w:style>
  <w:style w:type="character" w:customStyle="1" w:styleId="BulletPoint1Char">
    <w:name w:val="Bullet Point 1 Char"/>
    <w:link w:val="BulletPoint1"/>
    <w:rPr>
      <w:rFonts w:ascii="Verdana" w:hAnsi="Verdana"/>
      <w:sz w:val="20"/>
    </w:rPr>
  </w:style>
  <w:style w:type="numbering" w:customStyle="1" w:styleId="Stileimportato31">
    <w:name w:val="Stile importato 31"/>
    <w:pPr>
      <w:numPr>
        <w:numId w:val="14"/>
      </w:numPr>
    </w:pPr>
  </w:style>
  <w:style w:type="table" w:customStyle="1" w:styleId="TableLetterhead">
    <w:name w:val="Table Letterhead"/>
    <w:basedOn w:val="TableNormal"/>
    <w:semiHidden/>
    <w:pPr>
      <w:spacing w:after="0" w:line="240" w:lineRule="auto"/>
    </w:pPr>
    <w:rPr>
      <w:rFonts w:ascii="Times New Roman" w:eastAsia="Times New Roman" w:hAnsi="Times New Roman" w:cs="Times New Roman"/>
      <w:sz w:val="24"/>
      <w:szCs w:val="20"/>
      <w:lang w:eastAsia="en-GB"/>
    </w:rPr>
    <w:tblPr>
      <w:tblCellMar>
        <w:left w:w="0" w:type="dxa"/>
        <w:bottom w:w="340" w:type="dxa"/>
        <w:right w:w="0" w:type="dxa"/>
      </w:tblCellMar>
    </w:tblPr>
  </w:style>
  <w:style w:type="paragraph" w:customStyle="1" w:styleId="References">
    <w:name w:val="References"/>
    <w:basedOn w:val="Normal"/>
    <w:uiPriority w:val="2"/>
    <w:pPr>
      <w:spacing w:after="360" w:line="240" w:lineRule="auto"/>
      <w:ind w:left="5102" w:right="-567"/>
      <w:contextualSpacing/>
    </w:pPr>
    <w:rPr>
      <w:rFonts w:ascii="Times New Roman" w:eastAsia="Times New Roman" w:hAnsi="Times New Roman" w:cs="Times New Roman"/>
      <w:sz w:val="20"/>
      <w:szCs w:val="20"/>
      <w:lang w:eastAsia="en-GB"/>
    </w:rPr>
  </w:style>
  <w:style w:type="paragraph" w:styleId="Date">
    <w:name w:val="Date"/>
    <w:basedOn w:val="Normal"/>
    <w:next w:val="References"/>
    <w:link w:val="DateChar"/>
    <w:uiPriority w:val="1"/>
    <w:pPr>
      <w:spacing w:after="0" w:line="240" w:lineRule="auto"/>
      <w:ind w:left="5102" w:right="-567"/>
    </w:pPr>
    <w:rPr>
      <w:rFonts w:ascii="Times New Roman" w:eastAsia="Times New Roman" w:hAnsi="Times New Roman" w:cs="Times New Roman"/>
      <w:sz w:val="24"/>
      <w:szCs w:val="20"/>
      <w:lang w:eastAsia="en-GB"/>
    </w:rPr>
  </w:style>
  <w:style w:type="character" w:customStyle="1" w:styleId="DateChar">
    <w:name w:val="Date Char"/>
    <w:basedOn w:val="DefaultParagraphFont"/>
    <w:link w:val="Date"/>
    <w:uiPriority w:val="1"/>
    <w:rPr>
      <w:rFonts w:ascii="Times New Roman" w:eastAsia="Times New Roman" w:hAnsi="Times New Roman" w:cs="Times New Roman"/>
      <w:sz w:val="24"/>
      <w:szCs w:val="20"/>
      <w:lang w:eastAsia="en-GB"/>
    </w:rPr>
  </w:style>
  <w:style w:type="character" w:customStyle="1" w:styleId="Heading5Char">
    <w:name w:val="Heading 5 Char"/>
    <w:basedOn w:val="DefaultParagraphFont"/>
    <w:link w:val="Heading5"/>
    <w:semiHidden/>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semiHidden/>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semiHidden/>
    <w:rPr>
      <w:rFonts w:ascii="Times New Roman" w:eastAsia="Times New Roman" w:hAnsi="Times New Roman" w:cs="Times New Roman"/>
      <w:sz w:val="24"/>
      <w:szCs w:val="20"/>
      <w:lang w:eastAsia="en-GB"/>
    </w:rPr>
  </w:style>
  <w:style w:type="character" w:customStyle="1" w:styleId="Heading8Char">
    <w:name w:val="Heading 8 Char"/>
    <w:basedOn w:val="DefaultParagraphFont"/>
    <w:link w:val="Heading8"/>
    <w:semiHidden/>
    <w:rPr>
      <w:rFonts w:ascii="Times New Roman" w:eastAsia="Times New Roman" w:hAnsi="Times New Roman" w:cs="Times New Roman"/>
      <w:sz w:val="24"/>
      <w:szCs w:val="20"/>
      <w:lang w:eastAsia="en-GB"/>
    </w:rPr>
  </w:style>
  <w:style w:type="character" w:customStyle="1" w:styleId="Heading9Char">
    <w:name w:val="Heading 9 Char"/>
    <w:basedOn w:val="DefaultParagraphFont"/>
    <w:link w:val="Heading9"/>
    <w:semiHidden/>
    <w:rPr>
      <w:rFonts w:ascii="Times New Roman" w:eastAsia="Times New Roman" w:hAnsi="Times New Roman" w:cs="Times New Roman"/>
      <w:sz w:val="24"/>
      <w:szCs w:val="20"/>
      <w:lang w:eastAsia="en-GB"/>
    </w:rPr>
  </w:style>
  <w:style w:type="table" w:customStyle="1" w:styleId="TableGrid1">
    <w:name w:val="Table Grid1"/>
    <w:basedOn w:val="TableNormal"/>
    <w:next w:val="TableGrid"/>
    <w:uiPriority w:val="39"/>
    <w:pPr>
      <w:spacing w:after="0" w:line="240" w:lineRule="auto"/>
    </w:pPr>
    <w:rPr>
      <w:rFonts w:ascii="Times New Roman" w:eastAsia="Times New Roman" w:hAnsi="Times New Roman" w:cs="Times New Roman"/>
      <w:sz w:val="24"/>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foboxtext-data">
    <w:name w:val="infobox__text-data"/>
    <w:basedOn w:val="DefaultParagraphFont"/>
  </w:style>
  <w:style w:type="character" w:customStyle="1" w:styleId="sourcenewChar">
    <w:name w:val="source new Char"/>
    <w:basedOn w:val="DefaultParagraphFont"/>
    <w:link w:val="sourcenew"/>
    <w:locked/>
    <w:rPr>
      <w:rFonts w:ascii="Verdana" w:eastAsia="Calibri" w:hAnsi="Verdana" w:cs="Arial"/>
      <w:color w:val="333333"/>
      <w:sz w:val="16"/>
      <w:szCs w:val="16"/>
      <w:lang w:eastAsia="el-GR"/>
    </w:rPr>
  </w:style>
  <w:style w:type="paragraph" w:customStyle="1" w:styleId="sourcenew">
    <w:name w:val="source new"/>
    <w:basedOn w:val="Normal"/>
    <w:link w:val="sourcenewChar"/>
    <w:qFormat/>
    <w:pPr>
      <w:keepNext/>
      <w:suppressAutoHyphens/>
      <w:spacing w:after="0" w:line="240" w:lineRule="auto"/>
    </w:pPr>
    <w:rPr>
      <w:rFonts w:ascii="Verdana" w:eastAsia="Calibri" w:hAnsi="Verdana" w:cs="Arial"/>
      <w:color w:val="333333"/>
      <w:sz w:val="16"/>
      <w:szCs w:val="16"/>
      <w:lang w:eastAsia="el-GR"/>
    </w:rPr>
  </w:style>
  <w:style w:type="paragraph" w:customStyle="1" w:styleId="Briefingtext">
    <w:name w:val="Briefing text"/>
    <w:basedOn w:val="Normal"/>
    <w:link w:val="BriefingtextChar"/>
    <w:qFormat/>
    <w:pPr>
      <w:spacing w:after="240" w:line="240" w:lineRule="auto"/>
      <w:jc w:val="both"/>
    </w:pPr>
    <w:rPr>
      <w:rFonts w:ascii="Arial" w:eastAsia="Times New Roman" w:hAnsi="Arial" w:cs="Arial"/>
      <w:szCs w:val="24"/>
    </w:rPr>
  </w:style>
  <w:style w:type="character" w:customStyle="1" w:styleId="BriefingtextChar">
    <w:name w:val="Briefing text Char"/>
    <w:link w:val="Briefingtext"/>
    <w:qFormat/>
    <w:rPr>
      <w:rFonts w:ascii="Arial" w:eastAsia="Times New Roman" w:hAnsi="Arial" w:cs="Arial"/>
      <w:szCs w:val="24"/>
    </w:rPr>
  </w:style>
  <w:style w:type="paragraph" w:customStyle="1" w:styleId="TableSourceNote">
    <w:name w:val="Table_Source&amp;Note"/>
    <w:basedOn w:val="Normal"/>
    <w:link w:val="TableSourceNoteChar"/>
    <w:qFormat/>
    <w:pPr>
      <w:spacing w:after="240" w:line="240" w:lineRule="auto"/>
      <w:ind w:right="113"/>
    </w:pPr>
    <w:rPr>
      <w:rFonts w:ascii="Verdana" w:eastAsia="Arial Narrow" w:hAnsi="Verdana" w:cs="Arial Narrow"/>
      <w:i/>
      <w:sz w:val="17"/>
      <w:szCs w:val="17"/>
    </w:rPr>
  </w:style>
  <w:style w:type="character" w:customStyle="1" w:styleId="TableSourceNoteChar">
    <w:name w:val="Table_Source&amp;Note Char"/>
    <w:link w:val="TableSourceNote"/>
    <w:rPr>
      <w:rFonts w:ascii="Verdana" w:eastAsia="Arial Narrow" w:hAnsi="Verdana" w:cs="Arial Narrow"/>
      <w:i/>
      <w:sz w:val="17"/>
      <w:szCs w:val="17"/>
    </w:rPr>
  </w:style>
  <w:style w:type="character" w:customStyle="1" w:styleId="CaptionChar">
    <w:name w:val="Caption Char"/>
    <w:aliases w:val="Caption (ALL) Char,Caption - Centre Graphic Char,Caption (all) Char,Inscription Char,Beschriftung Char Char Char Char,Beschriftung Char Char,Caption2 Char,figura Char,figura1 Char,figura2 Char,ITT d Char,cp + Justified Char,Left:  2 Char"/>
    <w:basedOn w:val="DefaultParagraphFont"/>
    <w:link w:val="Caption"/>
    <w:uiPriority w:val="35"/>
    <w:rPr>
      <w:i/>
      <w:iCs/>
      <w:color w:val="44546A" w:themeColor="text2"/>
      <w:sz w:val="18"/>
      <w:szCs w:val="18"/>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TOCHeadingChar">
    <w:name w:val="TOC Heading Char"/>
    <w:basedOn w:val="Heading1Char"/>
    <w:link w:val="TOCHeading"/>
    <w:uiPriority w:val="39"/>
    <w:rPr>
      <w:rFonts w:asciiTheme="majorHAnsi" w:eastAsiaTheme="majorEastAsia" w:hAnsiTheme="majorHAnsi" w:cstheme="majorBidi"/>
      <w:color w:val="2E74B5" w:themeColor="accent1" w:themeShade="BF"/>
      <w:sz w:val="32"/>
      <w:szCs w:val="32"/>
      <w:lang w:val="lv-LV"/>
    </w:rPr>
  </w:style>
  <w:style w:type="character" w:customStyle="1" w:styleId="FooterCoverPageChar">
    <w:name w:val="Footer Cover Page Char"/>
    <w:basedOn w:val="TOCHeadingChar"/>
    <w:link w:val="FooterCoverPage"/>
    <w:rPr>
      <w:rFonts w:ascii="Times New Roman" w:eastAsiaTheme="majorEastAsia" w:hAnsi="Times New Roman" w:cs="Times New Roman"/>
      <w:color w:val="2E74B5" w:themeColor="accent1" w:themeShade="BF"/>
      <w:sz w:val="24"/>
      <w:szCs w:val="32"/>
      <w:lang w:val="lv-LV"/>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TOCHeadingChar"/>
    <w:link w:val="FooterSensitivity"/>
    <w:rPr>
      <w:rFonts w:ascii="Times New Roman" w:eastAsiaTheme="majorEastAsia" w:hAnsi="Times New Roman" w:cs="Times New Roman"/>
      <w:b/>
      <w:color w:val="2E74B5" w:themeColor="accent1" w:themeShade="BF"/>
      <w:sz w:val="32"/>
      <w:szCs w:val="32"/>
      <w:lang w:val="lv-LV"/>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TOCHeadingChar"/>
    <w:link w:val="HeaderCoverPage"/>
    <w:rPr>
      <w:rFonts w:ascii="Times New Roman" w:eastAsiaTheme="majorEastAsia" w:hAnsi="Times New Roman" w:cs="Times New Roman"/>
      <w:color w:val="2E74B5" w:themeColor="accent1" w:themeShade="BF"/>
      <w:sz w:val="24"/>
      <w:szCs w:val="32"/>
      <w:lang w:val="lv-LV"/>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TOCHeadingChar"/>
    <w:link w:val="HeaderSensitivity"/>
    <w:rPr>
      <w:rFonts w:ascii="Times New Roman" w:eastAsiaTheme="majorEastAsia" w:hAnsi="Times New Roman" w:cs="Times New Roman"/>
      <w:b/>
      <w:color w:val="2E74B5" w:themeColor="accent1" w:themeShade="BF"/>
      <w:sz w:val="32"/>
      <w:szCs w:val="32"/>
      <w:lang w:val="lv-LV"/>
    </w:rPr>
  </w:style>
  <w:style w:type="paragraph" w:customStyle="1" w:styleId="HeaderSensitivityRight">
    <w:name w:val="Header Sensitivity Right"/>
    <w:basedOn w:val="Normal"/>
    <w:link w:val="HeaderSensitivityRightChar"/>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TOCHeadingChar"/>
    <w:link w:val="HeaderSensitivityRight"/>
    <w:rPr>
      <w:rFonts w:ascii="Times New Roman" w:eastAsiaTheme="majorEastAsia" w:hAnsi="Times New Roman" w:cs="Times New Roman"/>
      <w:color w:val="2E74B5" w:themeColor="accent1" w:themeShade="BF"/>
      <w:sz w:val="28"/>
      <w:szCs w:val="32"/>
      <w:lang w:val="lv-LV"/>
    </w:r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customStyle="1" w:styleId="SecurityMarking">
    <w:name w:val="SecurityMarking"/>
    <w:basedOn w:val="Normal"/>
    <w:pPr>
      <w:spacing w:after="0" w:line="276" w:lineRule="auto"/>
      <w:ind w:left="5103"/>
    </w:pPr>
    <w:rPr>
      <w:rFonts w:ascii="Times New Roman" w:hAnsi="Times New Roman" w:cs="Times New Roman"/>
      <w:sz w:val="28"/>
    </w:rPr>
  </w:style>
  <w:style w:type="paragraph" w:customStyle="1" w:styleId="DateMarking">
    <w:name w:val="DateMarking"/>
    <w:basedOn w:val="Normal"/>
    <w:pPr>
      <w:spacing w:after="0" w:line="276" w:lineRule="auto"/>
      <w:ind w:left="5103"/>
    </w:pPr>
    <w:rPr>
      <w:rFonts w:ascii="Times New Roman" w:hAnsi="Times New Roman" w:cs="Times New Roman"/>
      <w:i/>
      <w:sz w:val="28"/>
    </w:rPr>
  </w:style>
  <w:style w:type="paragraph" w:customStyle="1" w:styleId="ReleasableTo">
    <w:name w:val="ReleasableTo"/>
    <w:basedOn w:val="Normal"/>
    <w:pPr>
      <w:spacing w:after="0" w:line="276" w:lineRule="auto"/>
      <w:ind w:left="5103"/>
    </w:pPr>
    <w:rPr>
      <w:rFonts w:ascii="Times New Roman" w:hAnsi="Times New Roman" w:cs="Times New Roman"/>
      <w:i/>
      <w:sz w:val="28"/>
    </w:rPr>
  </w:style>
  <w:style w:type="paragraph" w:styleId="NoSpacing">
    <w:name w:val="No Spacing"/>
    <w:uiPriority w:val="1"/>
    <w:qFormat/>
    <w:pPr>
      <w:spacing w:after="0" w:line="240" w:lineRule="auto"/>
      <w:jc w:val="both"/>
    </w:pPr>
    <w:rPr>
      <w:rFonts w:ascii="Times New Roman" w:hAnsi="Times New Roman" w:cs="Times New Roman"/>
      <w:sz w:val="24"/>
    </w:rPr>
  </w:style>
  <w:style w:type="character" w:customStyle="1" w:styleId="field">
    <w:name w:val="field"/>
    <w:basedOn w:val="DefaultParagraphFont"/>
  </w:style>
  <w:style w:type="character" w:styleId="PageNumber">
    <w:name w:val="page number"/>
    <w:basedOn w:val="DefaultParagraphFont"/>
    <w:semiHidden/>
    <w:rsid w:val="00CA0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58948">
      <w:bodyDiv w:val="1"/>
      <w:marLeft w:val="0"/>
      <w:marRight w:val="0"/>
      <w:marTop w:val="0"/>
      <w:marBottom w:val="0"/>
      <w:divBdr>
        <w:top w:val="none" w:sz="0" w:space="0" w:color="auto"/>
        <w:left w:val="none" w:sz="0" w:space="0" w:color="auto"/>
        <w:bottom w:val="none" w:sz="0" w:space="0" w:color="auto"/>
        <w:right w:val="none" w:sz="0" w:space="0" w:color="auto"/>
      </w:divBdr>
    </w:div>
    <w:div w:id="301693062">
      <w:bodyDiv w:val="1"/>
      <w:marLeft w:val="0"/>
      <w:marRight w:val="0"/>
      <w:marTop w:val="0"/>
      <w:marBottom w:val="0"/>
      <w:divBdr>
        <w:top w:val="none" w:sz="0" w:space="0" w:color="auto"/>
        <w:left w:val="none" w:sz="0" w:space="0" w:color="auto"/>
        <w:bottom w:val="none" w:sz="0" w:space="0" w:color="auto"/>
        <w:right w:val="none" w:sz="0" w:space="0" w:color="auto"/>
      </w:divBdr>
    </w:div>
    <w:div w:id="426972533">
      <w:bodyDiv w:val="1"/>
      <w:marLeft w:val="0"/>
      <w:marRight w:val="0"/>
      <w:marTop w:val="0"/>
      <w:marBottom w:val="0"/>
      <w:divBdr>
        <w:top w:val="none" w:sz="0" w:space="0" w:color="auto"/>
        <w:left w:val="none" w:sz="0" w:space="0" w:color="auto"/>
        <w:bottom w:val="none" w:sz="0" w:space="0" w:color="auto"/>
        <w:right w:val="none" w:sz="0" w:space="0" w:color="auto"/>
      </w:divBdr>
    </w:div>
    <w:div w:id="460728840">
      <w:bodyDiv w:val="1"/>
      <w:marLeft w:val="0"/>
      <w:marRight w:val="0"/>
      <w:marTop w:val="0"/>
      <w:marBottom w:val="0"/>
      <w:divBdr>
        <w:top w:val="none" w:sz="0" w:space="0" w:color="auto"/>
        <w:left w:val="none" w:sz="0" w:space="0" w:color="auto"/>
        <w:bottom w:val="none" w:sz="0" w:space="0" w:color="auto"/>
        <w:right w:val="none" w:sz="0" w:space="0" w:color="auto"/>
      </w:divBdr>
    </w:div>
    <w:div w:id="673384481">
      <w:bodyDiv w:val="1"/>
      <w:marLeft w:val="0"/>
      <w:marRight w:val="0"/>
      <w:marTop w:val="0"/>
      <w:marBottom w:val="0"/>
      <w:divBdr>
        <w:top w:val="none" w:sz="0" w:space="0" w:color="auto"/>
        <w:left w:val="none" w:sz="0" w:space="0" w:color="auto"/>
        <w:bottom w:val="none" w:sz="0" w:space="0" w:color="auto"/>
        <w:right w:val="none" w:sz="0" w:space="0" w:color="auto"/>
      </w:divBdr>
    </w:div>
    <w:div w:id="1018846479">
      <w:bodyDiv w:val="1"/>
      <w:marLeft w:val="0"/>
      <w:marRight w:val="0"/>
      <w:marTop w:val="0"/>
      <w:marBottom w:val="0"/>
      <w:divBdr>
        <w:top w:val="none" w:sz="0" w:space="0" w:color="auto"/>
        <w:left w:val="none" w:sz="0" w:space="0" w:color="auto"/>
        <w:bottom w:val="none" w:sz="0" w:space="0" w:color="auto"/>
        <w:right w:val="none" w:sz="0" w:space="0" w:color="auto"/>
      </w:divBdr>
    </w:div>
    <w:div w:id="1027172770">
      <w:bodyDiv w:val="1"/>
      <w:marLeft w:val="0"/>
      <w:marRight w:val="0"/>
      <w:marTop w:val="0"/>
      <w:marBottom w:val="0"/>
      <w:divBdr>
        <w:top w:val="none" w:sz="0" w:space="0" w:color="auto"/>
        <w:left w:val="none" w:sz="0" w:space="0" w:color="auto"/>
        <w:bottom w:val="none" w:sz="0" w:space="0" w:color="auto"/>
        <w:right w:val="none" w:sz="0" w:space="0" w:color="auto"/>
      </w:divBdr>
      <w:divsChild>
        <w:div w:id="2140341183">
          <w:marLeft w:val="0"/>
          <w:marRight w:val="0"/>
          <w:marTop w:val="0"/>
          <w:marBottom w:val="0"/>
          <w:divBdr>
            <w:top w:val="none" w:sz="0" w:space="0" w:color="auto"/>
            <w:left w:val="none" w:sz="0" w:space="0" w:color="auto"/>
            <w:bottom w:val="none" w:sz="0" w:space="0" w:color="auto"/>
            <w:right w:val="none" w:sz="0" w:space="0" w:color="auto"/>
          </w:divBdr>
        </w:div>
      </w:divsChild>
    </w:div>
    <w:div w:id="1450658094">
      <w:bodyDiv w:val="1"/>
      <w:marLeft w:val="0"/>
      <w:marRight w:val="0"/>
      <w:marTop w:val="0"/>
      <w:marBottom w:val="0"/>
      <w:divBdr>
        <w:top w:val="none" w:sz="0" w:space="0" w:color="auto"/>
        <w:left w:val="none" w:sz="0" w:space="0" w:color="auto"/>
        <w:bottom w:val="none" w:sz="0" w:space="0" w:color="auto"/>
        <w:right w:val="none" w:sz="0" w:space="0" w:color="auto"/>
      </w:divBdr>
    </w:div>
    <w:div w:id="1815297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image" Target="media/image9.png"/><Relationship Id="rId39" Type="http://schemas.openxmlformats.org/officeDocument/2006/relationships/header" Target="header1.xml"/><Relationship Id="rId21" Type="http://schemas.openxmlformats.org/officeDocument/2006/relationships/chart" Target="charts/chart4.xml"/><Relationship Id="rId34" Type="http://schemas.openxmlformats.org/officeDocument/2006/relationships/chart" Target="charts/chart11.xml"/><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image" Target="media/image7.png"/><Relationship Id="rId29" Type="http://schemas.openxmlformats.org/officeDocument/2006/relationships/hyperlink" Target="http://ec.europa.eu/social/BlobServlet?docId=23764&amp;langId=en"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7.xml"/><Relationship Id="rId32" Type="http://schemas.openxmlformats.org/officeDocument/2006/relationships/chart" Target="charts/chart9.xml"/><Relationship Id="rId37" Type="http://schemas.openxmlformats.org/officeDocument/2006/relationships/chart" Target="charts/chart14.xm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chart" Target="charts/chart6.xml"/><Relationship Id="rId28" Type="http://schemas.openxmlformats.org/officeDocument/2006/relationships/hyperlink" Target="http://ec.europa.eu/social/BlobServlet?docId=23764&amp;langId=en" TargetMode="External"/><Relationship Id="rId36" Type="http://schemas.openxmlformats.org/officeDocument/2006/relationships/chart" Target="charts/chart13.xml"/><Relationship Id="rId10" Type="http://schemas.openxmlformats.org/officeDocument/2006/relationships/endnotes" Target="endnotes.xml"/><Relationship Id="rId19" Type="http://schemas.openxmlformats.org/officeDocument/2006/relationships/chart" Target="charts/chart3.xml"/><Relationship Id="rId31" Type="http://schemas.openxmlformats.org/officeDocument/2006/relationships/chart" Target="charts/chart8.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chart" Target="charts/chart5.xml"/><Relationship Id="rId27" Type="http://schemas.openxmlformats.org/officeDocument/2006/relationships/image" Target="media/image10.png"/><Relationship Id="rId30" Type="http://schemas.openxmlformats.org/officeDocument/2006/relationships/image" Target="media/image11.png"/><Relationship Id="rId35" Type="http://schemas.openxmlformats.org/officeDocument/2006/relationships/chart" Target="charts/chart12.xm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8.png"/><Relationship Id="rId33" Type="http://schemas.openxmlformats.org/officeDocument/2006/relationships/chart" Target="charts/chart10.xml"/><Relationship Id="rId38" Type="http://schemas.openxmlformats.org/officeDocument/2006/relationships/image" Target="media/image12.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3.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124160722145757"/>
          <c:y val="1.1909599290576193E-2"/>
          <c:w val="0.82386273920728847"/>
          <c:h val="0.70358575216510233"/>
        </c:manualLayout>
      </c:layout>
      <c:barChart>
        <c:barDir val="bar"/>
        <c:grouping val="stacked"/>
        <c:varyColors val="0"/>
        <c:ser>
          <c:idx val="0"/>
          <c:order val="0"/>
          <c:tx>
            <c:strRef>
              <c:f>Sheet1!$B$1</c:f>
              <c:strCache>
                <c:ptCount val="1"/>
                <c:pt idx="0">
                  <c:v>... (tikai) nabadzības risks</c:v>
                </c:pt>
              </c:strCache>
            </c:strRef>
          </c:tx>
          <c:spPr>
            <a:solidFill>
              <a:srgbClr val="9BBB59">
                <a:lumMod val="40000"/>
                <a:lumOff val="60000"/>
              </a:srgbClr>
            </a:solidFill>
            <a:ln>
              <a:noFill/>
            </a:ln>
            <a:effectLst/>
          </c:spPr>
          <c:invertIfNegative val="0"/>
          <c:cat>
            <c:strRef>
              <c:f>Sheet1!$A$2:$A$29</c:f>
              <c:strCache>
                <c:ptCount val="28"/>
                <c:pt idx="0">
                  <c:v>Slovēnija</c:v>
                </c:pt>
                <c:pt idx="1">
                  <c:v>Čehija</c:v>
                </c:pt>
                <c:pt idx="2">
                  <c:v>Dānija</c:v>
                </c:pt>
                <c:pt idx="3">
                  <c:v>Somija</c:v>
                </c:pt>
                <c:pt idx="4">
                  <c:v>Vācija </c:v>
                </c:pt>
                <c:pt idx="5">
                  <c:v>Nīderlande</c:v>
                </c:pt>
                <c:pt idx="6">
                  <c:v>Polija</c:v>
                </c:pt>
                <c:pt idx="7">
                  <c:v>Latvija</c:v>
                </c:pt>
                <c:pt idx="8">
                  <c:v>Austrija</c:v>
                </c:pt>
                <c:pt idx="9">
                  <c:v>Igaunija</c:v>
                </c:pt>
                <c:pt idx="10">
                  <c:v>Horvātija</c:v>
                </c:pt>
                <c:pt idx="11">
                  <c:v>Slovākija</c:v>
                </c:pt>
                <c:pt idx="12">
                  <c:v>27 ES dalībvalstis</c:v>
                </c:pt>
                <c:pt idx="13">
                  <c:v>Beļģija</c:v>
                </c:pt>
                <c:pt idx="14">
                  <c:v>Portugāle</c:v>
                </c:pt>
                <c:pt idx="15">
                  <c:v>Ungārija</c:v>
                </c:pt>
                <c:pt idx="16">
                  <c:v>Francija</c:v>
                </c:pt>
                <c:pt idx="17">
                  <c:v>Kipra</c:v>
                </c:pt>
                <c:pt idx="18">
                  <c:v>Zviedrija</c:v>
                </c:pt>
                <c:pt idx="19">
                  <c:v>Īrija</c:v>
                </c:pt>
                <c:pt idx="20">
                  <c:v>Malta</c:v>
                </c:pt>
                <c:pt idx="21">
                  <c:v>Luksemburga</c:v>
                </c:pt>
                <c:pt idx="22">
                  <c:v>Lietuva</c:v>
                </c:pt>
                <c:pt idx="23">
                  <c:v>Itālija</c:v>
                </c:pt>
                <c:pt idx="24">
                  <c:v>Spānija</c:v>
                </c:pt>
                <c:pt idx="25">
                  <c:v>Grieķija</c:v>
                </c:pt>
                <c:pt idx="26">
                  <c:v>Bulgārija</c:v>
                </c:pt>
                <c:pt idx="27">
                  <c:v>Rumānija</c:v>
                </c:pt>
              </c:strCache>
            </c:strRef>
          </c:cat>
          <c:val>
            <c:numRef>
              <c:f>Sheet1!$B$2:$B$29</c:f>
              <c:numCache>
                <c:formatCode>#,##0</c:formatCode>
                <c:ptCount val="28"/>
                <c:pt idx="0">
                  <c:v>8</c:v>
                </c:pt>
                <c:pt idx="1">
                  <c:v>7.3</c:v>
                </c:pt>
                <c:pt idx="2">
                  <c:v>6.3</c:v>
                </c:pt>
                <c:pt idx="3">
                  <c:v>6.2</c:v>
                </c:pt>
                <c:pt idx="4" formatCode="General">
                  <c:v>8.8000000000000007</c:v>
                </c:pt>
                <c:pt idx="5" formatCode="General">
                  <c:v>7.9</c:v>
                </c:pt>
                <c:pt idx="6" formatCode="General">
                  <c:v>10.6</c:v>
                </c:pt>
                <c:pt idx="7" formatCode="General">
                  <c:v>8.9</c:v>
                </c:pt>
                <c:pt idx="8" formatCode="General">
                  <c:v>9.9</c:v>
                </c:pt>
                <c:pt idx="9" formatCode="General">
                  <c:v>14.1</c:v>
                </c:pt>
                <c:pt idx="10" formatCode="General">
                  <c:v>9.8000000000000007</c:v>
                </c:pt>
                <c:pt idx="11" formatCode="General">
                  <c:v>10.6</c:v>
                </c:pt>
                <c:pt idx="12" formatCode="General">
                  <c:v>11.9</c:v>
                </c:pt>
                <c:pt idx="13" formatCode="General">
                  <c:v>9.6999999999999993</c:v>
                </c:pt>
                <c:pt idx="14" formatCode="General">
                  <c:v>13</c:v>
                </c:pt>
                <c:pt idx="15" formatCode="General">
                  <c:v>7.3</c:v>
                </c:pt>
                <c:pt idx="16" formatCode="General">
                  <c:v>11.9</c:v>
                </c:pt>
                <c:pt idx="17" formatCode="General">
                  <c:v>8.9</c:v>
                </c:pt>
                <c:pt idx="18" formatCode="General">
                  <c:v>12.6</c:v>
                </c:pt>
                <c:pt idx="19" formatCode="General">
                  <c:v>5.4</c:v>
                </c:pt>
                <c:pt idx="20" formatCode="General">
                  <c:v>14.6</c:v>
                </c:pt>
                <c:pt idx="21" formatCode="General">
                  <c:v>20.100000000000001</c:v>
                </c:pt>
                <c:pt idx="22" formatCode="General">
                  <c:v>13.6</c:v>
                </c:pt>
                <c:pt idx="23" formatCode="General">
                  <c:v>17.2</c:v>
                </c:pt>
                <c:pt idx="24" formatCode="General">
                  <c:v>18.399999999999999</c:v>
                </c:pt>
                <c:pt idx="25" formatCode="General">
                  <c:v>9.6999999999999993</c:v>
                </c:pt>
                <c:pt idx="26" formatCode="General">
                  <c:v>10.9</c:v>
                </c:pt>
                <c:pt idx="27" formatCode="General">
                  <c:v>15.9</c:v>
                </c:pt>
              </c:numCache>
            </c:numRef>
          </c:val>
          <c:extLst>
            <c:ext xmlns:c16="http://schemas.microsoft.com/office/drawing/2014/chart" uri="{C3380CC4-5D6E-409C-BE32-E72D297353CC}">
              <c16:uniqueId val="{00000000-1363-48D8-AB4C-2E102AAD9FA7}"/>
            </c:ext>
          </c:extLst>
        </c:ser>
        <c:ser>
          <c:idx val="1"/>
          <c:order val="1"/>
          <c:tx>
            <c:strRef>
              <c:f>Sheet1!$C$1</c:f>
              <c:strCache>
                <c:ptCount val="1"/>
                <c:pt idx="0">
                  <c:v>... ļoti zema nodarbinātības intensitāte un nabadzības risks</c:v>
                </c:pt>
              </c:strCache>
            </c:strRef>
          </c:tx>
          <c:spPr>
            <a:solidFill>
              <a:srgbClr val="FFFF00"/>
            </a:solidFill>
            <a:ln>
              <a:noFill/>
            </a:ln>
            <a:effectLst/>
          </c:spPr>
          <c:invertIfNegative val="0"/>
          <c:cat>
            <c:strRef>
              <c:f>Sheet1!$A$2:$A$29</c:f>
              <c:strCache>
                <c:ptCount val="28"/>
                <c:pt idx="0">
                  <c:v>Slovēnija</c:v>
                </c:pt>
                <c:pt idx="1">
                  <c:v>Čehija</c:v>
                </c:pt>
                <c:pt idx="2">
                  <c:v>Dānija</c:v>
                </c:pt>
                <c:pt idx="3">
                  <c:v>Somija</c:v>
                </c:pt>
                <c:pt idx="4">
                  <c:v>Vācija </c:v>
                </c:pt>
                <c:pt idx="5">
                  <c:v>Nīderlande</c:v>
                </c:pt>
                <c:pt idx="6">
                  <c:v>Polija</c:v>
                </c:pt>
                <c:pt idx="7">
                  <c:v>Latvija</c:v>
                </c:pt>
                <c:pt idx="8">
                  <c:v>Austrija</c:v>
                </c:pt>
                <c:pt idx="9">
                  <c:v>Igaunija</c:v>
                </c:pt>
                <c:pt idx="10">
                  <c:v>Horvātija</c:v>
                </c:pt>
                <c:pt idx="11">
                  <c:v>Slovākija</c:v>
                </c:pt>
                <c:pt idx="12">
                  <c:v>27 ES dalībvalstis</c:v>
                </c:pt>
                <c:pt idx="13">
                  <c:v>Beļģija</c:v>
                </c:pt>
                <c:pt idx="14">
                  <c:v>Portugāle</c:v>
                </c:pt>
                <c:pt idx="15">
                  <c:v>Ungārija</c:v>
                </c:pt>
                <c:pt idx="16">
                  <c:v>Francija</c:v>
                </c:pt>
                <c:pt idx="17">
                  <c:v>Kipra</c:v>
                </c:pt>
                <c:pt idx="18">
                  <c:v>Zviedrija</c:v>
                </c:pt>
                <c:pt idx="19">
                  <c:v>Īrija</c:v>
                </c:pt>
                <c:pt idx="20">
                  <c:v>Malta</c:v>
                </c:pt>
                <c:pt idx="21">
                  <c:v>Luksemburga</c:v>
                </c:pt>
                <c:pt idx="22">
                  <c:v>Lietuva</c:v>
                </c:pt>
                <c:pt idx="23">
                  <c:v>Itālija</c:v>
                </c:pt>
                <c:pt idx="24">
                  <c:v>Spānija</c:v>
                </c:pt>
                <c:pt idx="25">
                  <c:v>Grieķija</c:v>
                </c:pt>
                <c:pt idx="26">
                  <c:v>Bulgārija</c:v>
                </c:pt>
                <c:pt idx="27">
                  <c:v>Rumānija</c:v>
                </c:pt>
              </c:strCache>
            </c:strRef>
          </c:cat>
          <c:val>
            <c:numRef>
              <c:f>Sheet1!$C$2:$C$29</c:f>
              <c:numCache>
                <c:formatCode>General</c:formatCode>
                <c:ptCount val="28"/>
                <c:pt idx="0">
                  <c:v>1.6</c:v>
                </c:pt>
                <c:pt idx="1">
                  <c:v>2.2000000000000002</c:v>
                </c:pt>
                <c:pt idx="2">
                  <c:v>2.2000000000000002</c:v>
                </c:pt>
                <c:pt idx="3">
                  <c:v>3.2</c:v>
                </c:pt>
                <c:pt idx="4">
                  <c:v>2.5</c:v>
                </c:pt>
                <c:pt idx="5">
                  <c:v>3.8</c:v>
                </c:pt>
                <c:pt idx="6">
                  <c:v>1.5</c:v>
                </c:pt>
                <c:pt idx="7">
                  <c:v>2.9</c:v>
                </c:pt>
                <c:pt idx="8">
                  <c:v>3.6</c:v>
                </c:pt>
                <c:pt idx="9">
                  <c:v>1.5</c:v>
                </c:pt>
                <c:pt idx="10">
                  <c:v>3.9</c:v>
                </c:pt>
                <c:pt idx="11">
                  <c:v>2.2000000000000002</c:v>
                </c:pt>
                <c:pt idx="12">
                  <c:v>3.1</c:v>
                </c:pt>
                <c:pt idx="13">
                  <c:v>5.3</c:v>
                </c:pt>
                <c:pt idx="14">
                  <c:v>2.2999999999999998</c:v>
                </c:pt>
                <c:pt idx="15">
                  <c:v>0.8</c:v>
                </c:pt>
                <c:pt idx="16">
                  <c:v>3.4</c:v>
                </c:pt>
                <c:pt idx="17">
                  <c:v>1</c:v>
                </c:pt>
                <c:pt idx="18">
                  <c:v>6.6</c:v>
                </c:pt>
                <c:pt idx="19">
                  <c:v>5.0999999999999996</c:v>
                </c:pt>
                <c:pt idx="20">
                  <c:v>3.2</c:v>
                </c:pt>
                <c:pt idx="21">
                  <c:v>3.4</c:v>
                </c:pt>
                <c:pt idx="22">
                  <c:v>3.6</c:v>
                </c:pt>
                <c:pt idx="23">
                  <c:v>3.4</c:v>
                </c:pt>
                <c:pt idx="24">
                  <c:v>4.0999999999999996</c:v>
                </c:pt>
                <c:pt idx="25">
                  <c:v>1.6</c:v>
                </c:pt>
                <c:pt idx="26">
                  <c:v>3.2</c:v>
                </c:pt>
                <c:pt idx="27">
                  <c:v>1.9</c:v>
                </c:pt>
              </c:numCache>
            </c:numRef>
          </c:val>
          <c:extLst>
            <c:ext xmlns:c16="http://schemas.microsoft.com/office/drawing/2014/chart" uri="{C3380CC4-5D6E-409C-BE32-E72D297353CC}">
              <c16:uniqueId val="{00000001-1363-48D8-AB4C-2E102AAD9FA7}"/>
            </c:ext>
          </c:extLst>
        </c:ser>
        <c:ser>
          <c:idx val="2"/>
          <c:order val="2"/>
          <c:tx>
            <c:strRef>
              <c:f>Sheet1!$D$1</c:f>
              <c:strCache>
                <c:ptCount val="1"/>
                <c:pt idx="0">
                  <c:v>... nabadzības risks un smagas materiālās nenodrošinātības apstākļi</c:v>
                </c:pt>
              </c:strCache>
            </c:strRef>
          </c:tx>
          <c:spPr>
            <a:solidFill>
              <a:srgbClr val="FF9000"/>
            </a:solidFill>
            <a:ln>
              <a:noFill/>
            </a:ln>
            <a:effectLst/>
          </c:spPr>
          <c:invertIfNegative val="0"/>
          <c:cat>
            <c:strRef>
              <c:f>Sheet1!$A$2:$A$29</c:f>
              <c:strCache>
                <c:ptCount val="28"/>
                <c:pt idx="0">
                  <c:v>Slovēnija</c:v>
                </c:pt>
                <c:pt idx="1">
                  <c:v>Čehija</c:v>
                </c:pt>
                <c:pt idx="2">
                  <c:v>Dānija</c:v>
                </c:pt>
                <c:pt idx="3">
                  <c:v>Somija</c:v>
                </c:pt>
                <c:pt idx="4">
                  <c:v>Vācija </c:v>
                </c:pt>
                <c:pt idx="5">
                  <c:v>Nīderlande</c:v>
                </c:pt>
                <c:pt idx="6">
                  <c:v>Polija</c:v>
                </c:pt>
                <c:pt idx="7">
                  <c:v>Latvija</c:v>
                </c:pt>
                <c:pt idx="8">
                  <c:v>Austrija</c:v>
                </c:pt>
                <c:pt idx="9">
                  <c:v>Igaunija</c:v>
                </c:pt>
                <c:pt idx="10">
                  <c:v>Horvātija</c:v>
                </c:pt>
                <c:pt idx="11">
                  <c:v>Slovākija</c:v>
                </c:pt>
                <c:pt idx="12">
                  <c:v>27 ES dalībvalstis</c:v>
                </c:pt>
                <c:pt idx="13">
                  <c:v>Beļģija</c:v>
                </c:pt>
                <c:pt idx="14">
                  <c:v>Portugāle</c:v>
                </c:pt>
                <c:pt idx="15">
                  <c:v>Ungārija</c:v>
                </c:pt>
                <c:pt idx="16">
                  <c:v>Francija</c:v>
                </c:pt>
                <c:pt idx="17">
                  <c:v>Kipra</c:v>
                </c:pt>
                <c:pt idx="18">
                  <c:v>Zviedrija</c:v>
                </c:pt>
                <c:pt idx="19">
                  <c:v>Īrija</c:v>
                </c:pt>
                <c:pt idx="20">
                  <c:v>Malta</c:v>
                </c:pt>
                <c:pt idx="21">
                  <c:v>Luksemburga</c:v>
                </c:pt>
                <c:pt idx="22">
                  <c:v>Lietuva</c:v>
                </c:pt>
                <c:pt idx="23">
                  <c:v>Itālija</c:v>
                </c:pt>
                <c:pt idx="24">
                  <c:v>Spānija</c:v>
                </c:pt>
                <c:pt idx="25">
                  <c:v>Grieķija</c:v>
                </c:pt>
                <c:pt idx="26">
                  <c:v>Bulgārija</c:v>
                </c:pt>
                <c:pt idx="27">
                  <c:v>Rumānija</c:v>
                </c:pt>
              </c:strCache>
            </c:strRef>
          </c:cat>
          <c:val>
            <c:numRef>
              <c:f>Sheet1!$D$2:$D$29</c:f>
              <c:numCache>
                <c:formatCode>General</c:formatCode>
                <c:ptCount val="28"/>
                <c:pt idx="0">
                  <c:v>0.4</c:v>
                </c:pt>
                <c:pt idx="1">
                  <c:v>1.1000000000000001</c:v>
                </c:pt>
                <c:pt idx="2">
                  <c:v>0.5</c:v>
                </c:pt>
                <c:pt idx="3">
                  <c:v>0.3</c:v>
                </c:pt>
                <c:pt idx="4">
                  <c:v>0.4</c:v>
                </c:pt>
                <c:pt idx="5">
                  <c:v>0.4</c:v>
                </c:pt>
                <c:pt idx="6">
                  <c:v>0.8</c:v>
                </c:pt>
                <c:pt idx="7">
                  <c:v>1.2</c:v>
                </c:pt>
                <c:pt idx="8">
                  <c:v>0.8</c:v>
                </c:pt>
                <c:pt idx="9">
                  <c:v>1.3</c:v>
                </c:pt>
                <c:pt idx="10">
                  <c:v>1.9</c:v>
                </c:pt>
                <c:pt idx="11">
                  <c:v>2.2000000000000002</c:v>
                </c:pt>
                <c:pt idx="12">
                  <c:v>1.9</c:v>
                </c:pt>
                <c:pt idx="13">
                  <c:v>1</c:v>
                </c:pt>
                <c:pt idx="14">
                  <c:v>1.9</c:v>
                </c:pt>
                <c:pt idx="15">
                  <c:v>1.9</c:v>
                </c:pt>
                <c:pt idx="16">
                  <c:v>1.4</c:v>
                </c:pt>
                <c:pt idx="17">
                  <c:v>4.5999999999999996</c:v>
                </c:pt>
                <c:pt idx="18">
                  <c:v>0.6</c:v>
                </c:pt>
                <c:pt idx="19">
                  <c:v>0.9</c:v>
                </c:pt>
                <c:pt idx="20">
                  <c:v>2</c:v>
                </c:pt>
                <c:pt idx="21">
                  <c:v>0.6</c:v>
                </c:pt>
                <c:pt idx="22">
                  <c:v>2.9</c:v>
                </c:pt>
                <c:pt idx="23">
                  <c:v>1.9</c:v>
                </c:pt>
                <c:pt idx="24">
                  <c:v>2.7</c:v>
                </c:pt>
                <c:pt idx="25">
                  <c:v>5.5</c:v>
                </c:pt>
                <c:pt idx="26">
                  <c:v>7.2</c:v>
                </c:pt>
                <c:pt idx="27">
                  <c:v>10</c:v>
                </c:pt>
              </c:numCache>
            </c:numRef>
          </c:val>
          <c:extLst>
            <c:ext xmlns:c16="http://schemas.microsoft.com/office/drawing/2014/chart" uri="{C3380CC4-5D6E-409C-BE32-E72D297353CC}">
              <c16:uniqueId val="{00000002-1363-48D8-AB4C-2E102AAD9FA7}"/>
            </c:ext>
          </c:extLst>
        </c:ser>
        <c:ser>
          <c:idx val="3"/>
          <c:order val="3"/>
          <c:tx>
            <c:strRef>
              <c:f>Sheet1!$E$1</c:f>
              <c:strCache>
                <c:ptCount val="1"/>
                <c:pt idx="0">
                  <c:v>... nabadzības risks un smagas materiālās nenodrošinātības apstākļi, kā arī ļoti zema nodarbinātības intensitāte</c:v>
                </c:pt>
              </c:strCache>
            </c:strRef>
          </c:tx>
          <c:spPr>
            <a:solidFill>
              <a:srgbClr val="C00000"/>
            </a:solidFill>
            <a:ln>
              <a:noFill/>
            </a:ln>
            <a:effectLst/>
          </c:spPr>
          <c:invertIfNegative val="0"/>
          <c:cat>
            <c:strRef>
              <c:f>Sheet1!$A$2:$A$29</c:f>
              <c:strCache>
                <c:ptCount val="28"/>
                <c:pt idx="0">
                  <c:v>Slovēnija</c:v>
                </c:pt>
                <c:pt idx="1">
                  <c:v>Čehija</c:v>
                </c:pt>
                <c:pt idx="2">
                  <c:v>Dānija</c:v>
                </c:pt>
                <c:pt idx="3">
                  <c:v>Somija</c:v>
                </c:pt>
                <c:pt idx="4">
                  <c:v>Vācija </c:v>
                </c:pt>
                <c:pt idx="5">
                  <c:v>Nīderlande</c:v>
                </c:pt>
                <c:pt idx="6">
                  <c:v>Polija</c:v>
                </c:pt>
                <c:pt idx="7">
                  <c:v>Latvija</c:v>
                </c:pt>
                <c:pt idx="8">
                  <c:v>Austrija</c:v>
                </c:pt>
                <c:pt idx="9">
                  <c:v>Igaunija</c:v>
                </c:pt>
                <c:pt idx="10">
                  <c:v>Horvātija</c:v>
                </c:pt>
                <c:pt idx="11">
                  <c:v>Slovākija</c:v>
                </c:pt>
                <c:pt idx="12">
                  <c:v>27 ES dalībvalstis</c:v>
                </c:pt>
                <c:pt idx="13">
                  <c:v>Beļģija</c:v>
                </c:pt>
                <c:pt idx="14">
                  <c:v>Portugāle</c:v>
                </c:pt>
                <c:pt idx="15">
                  <c:v>Ungārija</c:v>
                </c:pt>
                <c:pt idx="16">
                  <c:v>Francija</c:v>
                </c:pt>
                <c:pt idx="17">
                  <c:v>Kipra</c:v>
                </c:pt>
                <c:pt idx="18">
                  <c:v>Zviedrija</c:v>
                </c:pt>
                <c:pt idx="19">
                  <c:v>Īrija</c:v>
                </c:pt>
                <c:pt idx="20">
                  <c:v>Malta</c:v>
                </c:pt>
                <c:pt idx="21">
                  <c:v>Luksemburga</c:v>
                </c:pt>
                <c:pt idx="22">
                  <c:v>Lietuva</c:v>
                </c:pt>
                <c:pt idx="23">
                  <c:v>Itālija</c:v>
                </c:pt>
                <c:pt idx="24">
                  <c:v>Spānija</c:v>
                </c:pt>
                <c:pt idx="25">
                  <c:v>Grieķija</c:v>
                </c:pt>
                <c:pt idx="26">
                  <c:v>Bulgārija</c:v>
                </c:pt>
                <c:pt idx="27">
                  <c:v>Rumānija</c:v>
                </c:pt>
              </c:strCache>
            </c:strRef>
          </c:cat>
          <c:val>
            <c:numRef>
              <c:f>Sheet1!$E$2:$E$29</c:f>
              <c:numCache>
                <c:formatCode>General</c:formatCode>
                <c:ptCount val="28"/>
                <c:pt idx="0">
                  <c:v>0.5</c:v>
                </c:pt>
                <c:pt idx="1">
                  <c:v>0.7</c:v>
                </c:pt>
                <c:pt idx="2">
                  <c:v>1.3</c:v>
                </c:pt>
                <c:pt idx="3">
                  <c:v>0.6</c:v>
                </c:pt>
                <c:pt idx="4">
                  <c:v>0.4</c:v>
                </c:pt>
                <c:pt idx="5">
                  <c:v>1.5</c:v>
                </c:pt>
                <c:pt idx="6">
                  <c:v>0.5</c:v>
                </c:pt>
                <c:pt idx="7">
                  <c:v>1.6</c:v>
                </c:pt>
                <c:pt idx="8">
                  <c:v>0.6</c:v>
                </c:pt>
                <c:pt idx="9">
                  <c:v>0.2</c:v>
                </c:pt>
                <c:pt idx="10">
                  <c:v>1.6</c:v>
                </c:pt>
                <c:pt idx="11">
                  <c:v>4</c:v>
                </c:pt>
                <c:pt idx="12">
                  <c:v>1.6</c:v>
                </c:pt>
                <c:pt idx="13">
                  <c:v>3</c:v>
                </c:pt>
                <c:pt idx="14">
                  <c:v>1.2</c:v>
                </c:pt>
                <c:pt idx="15">
                  <c:v>1.5</c:v>
                </c:pt>
                <c:pt idx="16">
                  <c:v>1.5</c:v>
                </c:pt>
                <c:pt idx="17">
                  <c:v>2.1</c:v>
                </c:pt>
                <c:pt idx="18">
                  <c:v>1.8</c:v>
                </c:pt>
                <c:pt idx="19">
                  <c:v>2.6</c:v>
                </c:pt>
                <c:pt idx="20">
                  <c:v>0.8</c:v>
                </c:pt>
                <c:pt idx="21">
                  <c:v>0.7</c:v>
                </c:pt>
                <c:pt idx="22">
                  <c:v>2.6</c:v>
                </c:pt>
                <c:pt idx="23">
                  <c:v>1.9</c:v>
                </c:pt>
                <c:pt idx="24">
                  <c:v>2.2999999999999998</c:v>
                </c:pt>
                <c:pt idx="25">
                  <c:v>4.3</c:v>
                </c:pt>
                <c:pt idx="26">
                  <c:v>6.2</c:v>
                </c:pt>
                <c:pt idx="27">
                  <c:v>3.1</c:v>
                </c:pt>
              </c:numCache>
            </c:numRef>
          </c:val>
          <c:extLst>
            <c:ext xmlns:c16="http://schemas.microsoft.com/office/drawing/2014/chart" uri="{C3380CC4-5D6E-409C-BE32-E72D297353CC}">
              <c16:uniqueId val="{00000003-1363-48D8-AB4C-2E102AAD9FA7}"/>
            </c:ext>
          </c:extLst>
        </c:ser>
        <c:ser>
          <c:idx val="4"/>
          <c:order val="4"/>
          <c:tx>
            <c:strRef>
              <c:f>Sheet1!$F$1</c:f>
              <c:strCache>
                <c:ptCount val="1"/>
                <c:pt idx="0">
                  <c:v>... smagas materiālās nenodrošinātības apstākļi un ļoti zema nodarbinātības intensitāte</c:v>
                </c:pt>
              </c:strCache>
            </c:strRef>
          </c:tx>
          <c:spPr>
            <a:solidFill>
              <a:srgbClr val="FF0066"/>
            </a:solidFill>
            <a:ln>
              <a:noFill/>
            </a:ln>
            <a:effectLst/>
          </c:spPr>
          <c:invertIfNegative val="0"/>
          <c:cat>
            <c:strRef>
              <c:f>Sheet1!$A$2:$A$29</c:f>
              <c:strCache>
                <c:ptCount val="28"/>
                <c:pt idx="0">
                  <c:v>Slovēnija</c:v>
                </c:pt>
                <c:pt idx="1">
                  <c:v>Čehija</c:v>
                </c:pt>
                <c:pt idx="2">
                  <c:v>Dānija</c:v>
                </c:pt>
                <c:pt idx="3">
                  <c:v>Somija</c:v>
                </c:pt>
                <c:pt idx="4">
                  <c:v>Vācija </c:v>
                </c:pt>
                <c:pt idx="5">
                  <c:v>Nīderlande</c:v>
                </c:pt>
                <c:pt idx="6">
                  <c:v>Polija</c:v>
                </c:pt>
                <c:pt idx="7">
                  <c:v>Latvija</c:v>
                </c:pt>
                <c:pt idx="8">
                  <c:v>Austrija</c:v>
                </c:pt>
                <c:pt idx="9">
                  <c:v>Igaunija</c:v>
                </c:pt>
                <c:pt idx="10">
                  <c:v>Horvātija</c:v>
                </c:pt>
                <c:pt idx="11">
                  <c:v>Slovākija</c:v>
                </c:pt>
                <c:pt idx="12">
                  <c:v>27 ES dalībvalstis</c:v>
                </c:pt>
                <c:pt idx="13">
                  <c:v>Beļģija</c:v>
                </c:pt>
                <c:pt idx="14">
                  <c:v>Portugāle</c:v>
                </c:pt>
                <c:pt idx="15">
                  <c:v>Ungārija</c:v>
                </c:pt>
                <c:pt idx="16">
                  <c:v>Francija</c:v>
                </c:pt>
                <c:pt idx="17">
                  <c:v>Kipra</c:v>
                </c:pt>
                <c:pt idx="18">
                  <c:v>Zviedrija</c:v>
                </c:pt>
                <c:pt idx="19">
                  <c:v>Īrija</c:v>
                </c:pt>
                <c:pt idx="20">
                  <c:v>Malta</c:v>
                </c:pt>
                <c:pt idx="21">
                  <c:v>Luksemburga</c:v>
                </c:pt>
                <c:pt idx="22">
                  <c:v>Lietuva</c:v>
                </c:pt>
                <c:pt idx="23">
                  <c:v>Itālija</c:v>
                </c:pt>
                <c:pt idx="24">
                  <c:v>Spānija</c:v>
                </c:pt>
                <c:pt idx="25">
                  <c:v>Grieķija</c:v>
                </c:pt>
                <c:pt idx="26">
                  <c:v>Bulgārija</c:v>
                </c:pt>
                <c:pt idx="27">
                  <c:v>Rumānija</c:v>
                </c:pt>
              </c:strCache>
            </c:strRef>
          </c:cat>
          <c:val>
            <c:numRef>
              <c:f>Sheet1!$F$2:$F$29</c:f>
              <c:numCache>
                <c:formatCode>General</c:formatCode>
                <c:ptCount val="28"/>
                <c:pt idx="0">
                  <c:v>0.1</c:v>
                </c:pt>
                <c:pt idx="1">
                  <c:v>0.2</c:v>
                </c:pt>
                <c:pt idx="2">
                  <c:v>0.1</c:v>
                </c:pt>
                <c:pt idx="3">
                  <c:v>0.4</c:v>
                </c:pt>
                <c:pt idx="4">
                  <c:v>0.5</c:v>
                </c:pt>
                <c:pt idx="5">
                  <c:v>0.1</c:v>
                </c:pt>
                <c:pt idx="6">
                  <c:v>0.1</c:v>
                </c:pt>
                <c:pt idx="7">
                  <c:v>0.3</c:v>
                </c:pt>
                <c:pt idx="8">
                  <c:v>1.1000000000000001</c:v>
                </c:pt>
                <c:pt idx="9">
                  <c:v>0.1</c:v>
                </c:pt>
                <c:pt idx="10">
                  <c:v>0</c:v>
                </c:pt>
                <c:pt idx="11">
                  <c:v>0.2</c:v>
                </c:pt>
                <c:pt idx="12">
                  <c:v>0.3</c:v>
                </c:pt>
                <c:pt idx="13">
                  <c:v>0.3</c:v>
                </c:pt>
                <c:pt idx="14">
                  <c:v>0.2</c:v>
                </c:pt>
                <c:pt idx="15">
                  <c:v>0.9</c:v>
                </c:pt>
                <c:pt idx="16">
                  <c:v>0.3</c:v>
                </c:pt>
                <c:pt idx="17">
                  <c:v>0.9</c:v>
                </c:pt>
                <c:pt idx="18">
                  <c:v>0</c:v>
                </c:pt>
                <c:pt idx="19">
                  <c:v>1.3</c:v>
                </c:pt>
                <c:pt idx="20">
                  <c:v>0.1</c:v>
                </c:pt>
                <c:pt idx="21">
                  <c:v>0</c:v>
                </c:pt>
                <c:pt idx="22">
                  <c:v>0.2</c:v>
                </c:pt>
                <c:pt idx="23">
                  <c:v>0.1</c:v>
                </c:pt>
                <c:pt idx="24">
                  <c:v>0.1</c:v>
                </c:pt>
                <c:pt idx="25">
                  <c:v>0.4</c:v>
                </c:pt>
                <c:pt idx="26">
                  <c:v>0.7</c:v>
                </c:pt>
                <c:pt idx="27">
                  <c:v>0</c:v>
                </c:pt>
              </c:numCache>
            </c:numRef>
          </c:val>
          <c:extLst>
            <c:ext xmlns:c16="http://schemas.microsoft.com/office/drawing/2014/chart" uri="{C3380CC4-5D6E-409C-BE32-E72D297353CC}">
              <c16:uniqueId val="{00000004-1363-48D8-AB4C-2E102AAD9FA7}"/>
            </c:ext>
          </c:extLst>
        </c:ser>
        <c:ser>
          <c:idx val="5"/>
          <c:order val="5"/>
          <c:tx>
            <c:strRef>
              <c:f>Sheet1!$G$1</c:f>
              <c:strCache>
                <c:ptCount val="1"/>
                <c:pt idx="0">
                  <c:v>... (tikai) smagas materiālās nenodrošinātības apstākļi</c:v>
                </c:pt>
              </c:strCache>
            </c:strRef>
          </c:tx>
          <c:spPr>
            <a:solidFill>
              <a:schemeClr val="accent4">
                <a:lumMod val="75000"/>
              </a:schemeClr>
            </a:solidFill>
            <a:ln>
              <a:noFill/>
            </a:ln>
            <a:effectLst/>
          </c:spPr>
          <c:invertIfNegative val="0"/>
          <c:cat>
            <c:strRef>
              <c:f>Sheet1!$A$2:$A$29</c:f>
              <c:strCache>
                <c:ptCount val="28"/>
                <c:pt idx="0">
                  <c:v>Slovēnija</c:v>
                </c:pt>
                <c:pt idx="1">
                  <c:v>Čehija</c:v>
                </c:pt>
                <c:pt idx="2">
                  <c:v>Dānija</c:v>
                </c:pt>
                <c:pt idx="3">
                  <c:v>Somija</c:v>
                </c:pt>
                <c:pt idx="4">
                  <c:v>Vācija </c:v>
                </c:pt>
                <c:pt idx="5">
                  <c:v>Nīderlande</c:v>
                </c:pt>
                <c:pt idx="6">
                  <c:v>Polija</c:v>
                </c:pt>
                <c:pt idx="7">
                  <c:v>Latvija</c:v>
                </c:pt>
                <c:pt idx="8">
                  <c:v>Austrija</c:v>
                </c:pt>
                <c:pt idx="9">
                  <c:v>Igaunija</c:v>
                </c:pt>
                <c:pt idx="10">
                  <c:v>Horvātija</c:v>
                </c:pt>
                <c:pt idx="11">
                  <c:v>Slovākija</c:v>
                </c:pt>
                <c:pt idx="12">
                  <c:v>27 ES dalībvalstis</c:v>
                </c:pt>
                <c:pt idx="13">
                  <c:v>Beļģija</c:v>
                </c:pt>
                <c:pt idx="14">
                  <c:v>Portugāle</c:v>
                </c:pt>
                <c:pt idx="15">
                  <c:v>Ungārija</c:v>
                </c:pt>
                <c:pt idx="16">
                  <c:v>Francija</c:v>
                </c:pt>
                <c:pt idx="17">
                  <c:v>Kipra</c:v>
                </c:pt>
                <c:pt idx="18">
                  <c:v>Zviedrija</c:v>
                </c:pt>
                <c:pt idx="19">
                  <c:v>Īrija</c:v>
                </c:pt>
                <c:pt idx="20">
                  <c:v>Malta</c:v>
                </c:pt>
                <c:pt idx="21">
                  <c:v>Luksemburga</c:v>
                </c:pt>
                <c:pt idx="22">
                  <c:v>Lietuva</c:v>
                </c:pt>
                <c:pt idx="23">
                  <c:v>Itālija</c:v>
                </c:pt>
                <c:pt idx="24">
                  <c:v>Spānija</c:v>
                </c:pt>
                <c:pt idx="25">
                  <c:v>Grieķija</c:v>
                </c:pt>
                <c:pt idx="26">
                  <c:v>Bulgārija</c:v>
                </c:pt>
                <c:pt idx="27">
                  <c:v>Rumānija</c:v>
                </c:pt>
              </c:strCache>
            </c:strRef>
          </c:cat>
          <c:val>
            <c:numRef>
              <c:f>Sheet1!$G$2:$G$29</c:f>
              <c:numCache>
                <c:formatCode>General</c:formatCode>
                <c:ptCount val="28"/>
                <c:pt idx="0">
                  <c:v>0.8</c:v>
                </c:pt>
                <c:pt idx="1">
                  <c:v>0.9</c:v>
                </c:pt>
                <c:pt idx="2">
                  <c:v>1.2</c:v>
                </c:pt>
                <c:pt idx="3">
                  <c:v>1.1000000000000001</c:v>
                </c:pt>
                <c:pt idx="4">
                  <c:v>0.8</c:v>
                </c:pt>
                <c:pt idx="5">
                  <c:v>0.5</c:v>
                </c:pt>
                <c:pt idx="6">
                  <c:v>1.2</c:v>
                </c:pt>
                <c:pt idx="7">
                  <c:v>3</c:v>
                </c:pt>
                <c:pt idx="8">
                  <c:v>1.1000000000000001</c:v>
                </c:pt>
                <c:pt idx="9">
                  <c:v>1.5</c:v>
                </c:pt>
                <c:pt idx="10">
                  <c:v>2.1</c:v>
                </c:pt>
                <c:pt idx="11">
                  <c:v>2.2999999999999998</c:v>
                </c:pt>
                <c:pt idx="12">
                  <c:v>1.9</c:v>
                </c:pt>
                <c:pt idx="13">
                  <c:v>1.2</c:v>
                </c:pt>
                <c:pt idx="14">
                  <c:v>2.2000000000000002</c:v>
                </c:pt>
                <c:pt idx="15">
                  <c:v>8.6999999999999993</c:v>
                </c:pt>
                <c:pt idx="16">
                  <c:v>2</c:v>
                </c:pt>
                <c:pt idx="17">
                  <c:v>4.0999999999999996</c:v>
                </c:pt>
                <c:pt idx="18">
                  <c:v>0.7</c:v>
                </c:pt>
                <c:pt idx="19">
                  <c:v>2.1</c:v>
                </c:pt>
                <c:pt idx="20">
                  <c:v>1.9</c:v>
                </c:pt>
                <c:pt idx="21">
                  <c:v>0</c:v>
                </c:pt>
                <c:pt idx="22">
                  <c:v>2.5</c:v>
                </c:pt>
                <c:pt idx="23">
                  <c:v>2.5</c:v>
                </c:pt>
                <c:pt idx="24">
                  <c:v>0.9</c:v>
                </c:pt>
                <c:pt idx="25">
                  <c:v>7.3</c:v>
                </c:pt>
                <c:pt idx="26">
                  <c:v>4.8</c:v>
                </c:pt>
                <c:pt idx="27">
                  <c:v>4.7</c:v>
                </c:pt>
              </c:numCache>
            </c:numRef>
          </c:val>
          <c:extLst>
            <c:ext xmlns:c16="http://schemas.microsoft.com/office/drawing/2014/chart" uri="{C3380CC4-5D6E-409C-BE32-E72D297353CC}">
              <c16:uniqueId val="{00000005-1363-48D8-AB4C-2E102AAD9FA7}"/>
            </c:ext>
          </c:extLst>
        </c:ser>
        <c:ser>
          <c:idx val="6"/>
          <c:order val="6"/>
          <c:tx>
            <c:strRef>
              <c:f>Sheet1!$H$1</c:f>
              <c:strCache>
                <c:ptCount val="1"/>
                <c:pt idx="0">
                  <c:v>... (tikai) ļoti zema nodarbinātības intensitāte</c:v>
                </c:pt>
              </c:strCache>
            </c:strRef>
          </c:tx>
          <c:spPr>
            <a:solidFill>
              <a:schemeClr val="bg1">
                <a:lumMod val="85000"/>
              </a:schemeClr>
            </a:solidFill>
            <a:ln>
              <a:noFill/>
            </a:ln>
            <a:effectLst/>
          </c:spPr>
          <c:invertIfNegative val="0"/>
          <c:cat>
            <c:strRef>
              <c:f>Sheet1!$A$2:$A$29</c:f>
              <c:strCache>
                <c:ptCount val="28"/>
                <c:pt idx="0">
                  <c:v>Slovēnija</c:v>
                </c:pt>
                <c:pt idx="1">
                  <c:v>Čehija</c:v>
                </c:pt>
                <c:pt idx="2">
                  <c:v>Dānija</c:v>
                </c:pt>
                <c:pt idx="3">
                  <c:v>Somija</c:v>
                </c:pt>
                <c:pt idx="4">
                  <c:v>Vācija </c:v>
                </c:pt>
                <c:pt idx="5">
                  <c:v>Nīderlande</c:v>
                </c:pt>
                <c:pt idx="6">
                  <c:v>Polija</c:v>
                </c:pt>
                <c:pt idx="7">
                  <c:v>Latvija</c:v>
                </c:pt>
                <c:pt idx="8">
                  <c:v>Austrija</c:v>
                </c:pt>
                <c:pt idx="9">
                  <c:v>Igaunija</c:v>
                </c:pt>
                <c:pt idx="10">
                  <c:v>Horvātija</c:v>
                </c:pt>
                <c:pt idx="11">
                  <c:v>Slovākija</c:v>
                </c:pt>
                <c:pt idx="12">
                  <c:v>27 ES dalībvalstis</c:v>
                </c:pt>
                <c:pt idx="13">
                  <c:v>Beļģija</c:v>
                </c:pt>
                <c:pt idx="14">
                  <c:v>Portugāle</c:v>
                </c:pt>
                <c:pt idx="15">
                  <c:v>Ungārija</c:v>
                </c:pt>
                <c:pt idx="16">
                  <c:v>Francija</c:v>
                </c:pt>
                <c:pt idx="17">
                  <c:v>Kipra</c:v>
                </c:pt>
                <c:pt idx="18">
                  <c:v>Zviedrija</c:v>
                </c:pt>
                <c:pt idx="19">
                  <c:v>Īrija</c:v>
                </c:pt>
                <c:pt idx="20">
                  <c:v>Malta</c:v>
                </c:pt>
                <c:pt idx="21">
                  <c:v>Luksemburga</c:v>
                </c:pt>
                <c:pt idx="22">
                  <c:v>Lietuva</c:v>
                </c:pt>
                <c:pt idx="23">
                  <c:v>Itālija</c:v>
                </c:pt>
                <c:pt idx="24">
                  <c:v>Spānija</c:v>
                </c:pt>
                <c:pt idx="25">
                  <c:v>Grieķija</c:v>
                </c:pt>
                <c:pt idx="26">
                  <c:v>Bulgārija</c:v>
                </c:pt>
                <c:pt idx="27">
                  <c:v>Rumānija</c:v>
                </c:pt>
              </c:strCache>
            </c:strRef>
          </c:cat>
          <c:val>
            <c:numRef>
              <c:f>Sheet1!$H$2:$H$29</c:f>
              <c:numCache>
                <c:formatCode>General</c:formatCode>
                <c:ptCount val="28"/>
                <c:pt idx="0">
                  <c:v>0.2</c:v>
                </c:pt>
                <c:pt idx="1">
                  <c:v>0.7</c:v>
                </c:pt>
                <c:pt idx="2">
                  <c:v>1.6</c:v>
                </c:pt>
                <c:pt idx="3">
                  <c:v>2.5</c:v>
                </c:pt>
                <c:pt idx="4">
                  <c:v>1.6</c:v>
                </c:pt>
                <c:pt idx="5">
                  <c:v>1.3</c:v>
                </c:pt>
                <c:pt idx="6">
                  <c:v>1.3</c:v>
                </c:pt>
                <c:pt idx="7">
                  <c:v>1.1000000000000001</c:v>
                </c:pt>
                <c:pt idx="8">
                  <c:v>2.4</c:v>
                </c:pt>
                <c:pt idx="9">
                  <c:v>1.6</c:v>
                </c:pt>
                <c:pt idx="10">
                  <c:v>1.4</c:v>
                </c:pt>
                <c:pt idx="11">
                  <c:v>0.5</c:v>
                </c:pt>
                <c:pt idx="12">
                  <c:v>1.5</c:v>
                </c:pt>
                <c:pt idx="13">
                  <c:v>1.9</c:v>
                </c:pt>
                <c:pt idx="14">
                  <c:v>1.4</c:v>
                </c:pt>
                <c:pt idx="15">
                  <c:v>1.3</c:v>
                </c:pt>
                <c:pt idx="16">
                  <c:v>2</c:v>
                </c:pt>
                <c:pt idx="17">
                  <c:v>1.4</c:v>
                </c:pt>
                <c:pt idx="18">
                  <c:v>0.8</c:v>
                </c:pt>
                <c:pt idx="19">
                  <c:v>5.7</c:v>
                </c:pt>
                <c:pt idx="20">
                  <c:v>1</c:v>
                </c:pt>
                <c:pt idx="21">
                  <c:v>0.6</c:v>
                </c:pt>
                <c:pt idx="22">
                  <c:v>1.2</c:v>
                </c:pt>
                <c:pt idx="23">
                  <c:v>0.7</c:v>
                </c:pt>
                <c:pt idx="24">
                  <c:v>1.8</c:v>
                </c:pt>
                <c:pt idx="25">
                  <c:v>1.7</c:v>
                </c:pt>
                <c:pt idx="26">
                  <c:v>0.9</c:v>
                </c:pt>
                <c:pt idx="27">
                  <c:v>0.3</c:v>
                </c:pt>
              </c:numCache>
            </c:numRef>
          </c:val>
          <c:extLst>
            <c:ext xmlns:c16="http://schemas.microsoft.com/office/drawing/2014/chart" uri="{C3380CC4-5D6E-409C-BE32-E72D297353CC}">
              <c16:uniqueId val="{00000006-1363-48D8-AB4C-2E102AAD9FA7}"/>
            </c:ext>
          </c:extLst>
        </c:ser>
        <c:dLbls>
          <c:showLegendKey val="0"/>
          <c:showVal val="0"/>
          <c:showCatName val="0"/>
          <c:showSerName val="0"/>
          <c:showPercent val="0"/>
          <c:showBubbleSize val="0"/>
        </c:dLbls>
        <c:gapWidth val="150"/>
        <c:overlap val="100"/>
        <c:axId val="106141568"/>
        <c:axId val="106143104"/>
      </c:barChart>
      <c:catAx>
        <c:axId val="10614156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06143104"/>
        <c:crosses val="autoZero"/>
        <c:auto val="1"/>
        <c:lblAlgn val="ctr"/>
        <c:lblOffset val="100"/>
        <c:noMultiLvlLbl val="0"/>
      </c:catAx>
      <c:valAx>
        <c:axId val="106143104"/>
        <c:scaling>
          <c:orientation val="minMax"/>
          <c:max val="37"/>
          <c:min val="0"/>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low"/>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141568"/>
        <c:crosses val="autoZero"/>
        <c:crossBetween val="between"/>
      </c:valAx>
      <c:spPr>
        <a:noFill/>
        <a:ln>
          <a:noFill/>
        </a:ln>
        <a:effectLst/>
      </c:spPr>
    </c:plotArea>
    <c:legend>
      <c:legendPos val="b"/>
      <c:layout>
        <c:manualLayout>
          <c:xMode val="edge"/>
          <c:yMode val="edge"/>
          <c:x val="1.1685262944615126E-4"/>
          <c:y val="0.76396604393720946"/>
          <c:w val="0.96649211550419556"/>
          <c:h val="0.23603395606279048"/>
        </c:manualLayout>
      </c:layout>
      <c:overlay val="0"/>
      <c:spPr>
        <a:solidFill>
          <a:schemeClr val="bg1"/>
        </a:solidFill>
        <a:ln>
          <a:noFill/>
        </a:ln>
        <a:effectLst/>
      </c:spPr>
      <c:txPr>
        <a:bodyPr rot="0" spcFirstLastPara="1" vertOverflow="ellipsis" vert="horz" wrap="square" anchor="b" anchorCtr="0"/>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Skolu apgādei ar augļiem un dārzeņiem paredzētais galīgais piešķīrums</c:v>
                </c:pt>
              </c:strCache>
            </c:strRef>
          </c:tx>
          <c:spPr>
            <a:solidFill>
              <a:srgbClr val="00B050"/>
            </a:solidFill>
            <a:ln>
              <a:noFill/>
            </a:ln>
            <a:effectLst/>
          </c:spPr>
          <c:invertIfNegative val="0"/>
          <c:cat>
            <c:strRef>
              <c:f>Sheet1!$A$2:$A$29</c:f>
              <c:strCache>
                <c:ptCount val="28"/>
                <c:pt idx="0">
                  <c:v>Beļģija</c:v>
                </c:pt>
                <c:pt idx="1">
                  <c:v>Bulgārija</c:v>
                </c:pt>
                <c:pt idx="2">
                  <c:v>Čehija</c:v>
                </c:pt>
                <c:pt idx="3">
                  <c:v>Dānija</c:v>
                </c:pt>
                <c:pt idx="4">
                  <c:v>Vācija</c:v>
                </c:pt>
                <c:pt idx="5">
                  <c:v>Igaunija</c:v>
                </c:pt>
                <c:pt idx="6">
                  <c:v>Īrija</c:v>
                </c:pt>
                <c:pt idx="7">
                  <c:v>Grieķija</c:v>
                </c:pt>
                <c:pt idx="8">
                  <c:v>Spānija</c:v>
                </c:pt>
                <c:pt idx="9">
                  <c:v>Francija</c:v>
                </c:pt>
                <c:pt idx="10">
                  <c:v>Horvātija</c:v>
                </c:pt>
                <c:pt idx="11">
                  <c:v>Itālija</c:v>
                </c:pt>
                <c:pt idx="12">
                  <c:v>Kipra</c:v>
                </c:pt>
                <c:pt idx="13">
                  <c:v>Latvija</c:v>
                </c:pt>
                <c:pt idx="14">
                  <c:v>Lietuva</c:v>
                </c:pt>
                <c:pt idx="15">
                  <c:v>Luksemburga</c:v>
                </c:pt>
                <c:pt idx="16">
                  <c:v>Ungārija</c:v>
                </c:pt>
                <c:pt idx="17">
                  <c:v>Malta</c:v>
                </c:pt>
                <c:pt idx="18">
                  <c:v>Nīderlande</c:v>
                </c:pt>
                <c:pt idx="19">
                  <c:v>Austrija</c:v>
                </c:pt>
                <c:pt idx="20">
                  <c:v>Polija</c:v>
                </c:pt>
                <c:pt idx="21">
                  <c:v>Portugāle</c:v>
                </c:pt>
                <c:pt idx="22">
                  <c:v>Rumānija</c:v>
                </c:pt>
                <c:pt idx="23">
                  <c:v>Slovēnija</c:v>
                </c:pt>
                <c:pt idx="24">
                  <c:v>Slovākija</c:v>
                </c:pt>
                <c:pt idx="25">
                  <c:v>Somija</c:v>
                </c:pt>
                <c:pt idx="26">
                  <c:v>Zviedrija</c:v>
                </c:pt>
                <c:pt idx="27">
                  <c:v>AK</c:v>
                </c:pt>
              </c:strCache>
            </c:strRef>
          </c:cat>
          <c:val>
            <c:numRef>
              <c:f>Sheet1!$B$2:$B$29</c:f>
              <c:numCache>
                <c:formatCode>General</c:formatCode>
                <c:ptCount val="28"/>
                <c:pt idx="0">
                  <c:v>3405459</c:v>
                </c:pt>
                <c:pt idx="1">
                  <c:v>2562226</c:v>
                </c:pt>
                <c:pt idx="2">
                  <c:v>3918810</c:v>
                </c:pt>
                <c:pt idx="3">
                  <c:v>2249220</c:v>
                </c:pt>
                <c:pt idx="4">
                  <c:v>24582347</c:v>
                </c:pt>
                <c:pt idx="5">
                  <c:v>542176</c:v>
                </c:pt>
                <c:pt idx="6">
                  <c:v>2238463</c:v>
                </c:pt>
                <c:pt idx="7">
                  <c:v>3218885</c:v>
                </c:pt>
                <c:pt idx="8">
                  <c:v>16237995</c:v>
                </c:pt>
                <c:pt idx="9">
                  <c:v>17990469</c:v>
                </c:pt>
                <c:pt idx="10">
                  <c:v>1636896</c:v>
                </c:pt>
                <c:pt idx="11">
                  <c:v>20493267</c:v>
                </c:pt>
                <c:pt idx="12">
                  <c:v>390044</c:v>
                </c:pt>
                <c:pt idx="13">
                  <c:v>769194</c:v>
                </c:pt>
                <c:pt idx="14">
                  <c:v>1089604</c:v>
                </c:pt>
                <c:pt idx="15">
                  <c:v>333895</c:v>
                </c:pt>
                <c:pt idx="16">
                  <c:v>3666098</c:v>
                </c:pt>
                <c:pt idx="17">
                  <c:v>319478</c:v>
                </c:pt>
                <c:pt idx="18">
                  <c:v>6683866</c:v>
                </c:pt>
                <c:pt idx="19">
                  <c:v>2796946</c:v>
                </c:pt>
                <c:pt idx="20">
                  <c:v>14394215</c:v>
                </c:pt>
                <c:pt idx="21">
                  <c:v>3283397</c:v>
                </c:pt>
                <c:pt idx="22">
                  <c:v>7866848</c:v>
                </c:pt>
                <c:pt idx="23">
                  <c:v>701580</c:v>
                </c:pt>
                <c:pt idx="24">
                  <c:v>2098537</c:v>
                </c:pt>
                <c:pt idx="25">
                  <c:v>1599047</c:v>
                </c:pt>
                <c:pt idx="26">
                  <c:v>0</c:v>
                </c:pt>
                <c:pt idx="27">
                  <c:v>0</c:v>
                </c:pt>
              </c:numCache>
            </c:numRef>
          </c:val>
          <c:extLst>
            <c:ext xmlns:c16="http://schemas.microsoft.com/office/drawing/2014/chart" uri="{C3380CC4-5D6E-409C-BE32-E72D297353CC}">
              <c16:uniqueId val="{00000000-A8E2-41BF-B97B-40A648A858AB}"/>
            </c:ext>
          </c:extLst>
        </c:ser>
        <c:ser>
          <c:idx val="1"/>
          <c:order val="1"/>
          <c:tx>
            <c:strRef>
              <c:f>Sheet1!$C$1</c:f>
              <c:strCache>
                <c:ptCount val="1"/>
                <c:pt idx="0">
                  <c:v>Skolu apgādei ar pienu paredzētais galīgais piešķīrums</c:v>
                </c:pt>
              </c:strCache>
            </c:strRef>
          </c:tx>
          <c:spPr>
            <a:solidFill>
              <a:schemeClr val="accent1">
                <a:lumMod val="40000"/>
                <a:lumOff val="60000"/>
              </a:schemeClr>
            </a:solidFill>
            <a:ln>
              <a:noFill/>
            </a:ln>
            <a:effectLst/>
          </c:spPr>
          <c:invertIfNegative val="0"/>
          <c:cat>
            <c:strRef>
              <c:f>Sheet1!$A$2:$A$29</c:f>
              <c:strCache>
                <c:ptCount val="28"/>
                <c:pt idx="0">
                  <c:v>Beļģija</c:v>
                </c:pt>
                <c:pt idx="1">
                  <c:v>Bulgārija</c:v>
                </c:pt>
                <c:pt idx="2">
                  <c:v>Čehija</c:v>
                </c:pt>
                <c:pt idx="3">
                  <c:v>Dānija</c:v>
                </c:pt>
                <c:pt idx="4">
                  <c:v>Vācija</c:v>
                </c:pt>
                <c:pt idx="5">
                  <c:v>Igaunija</c:v>
                </c:pt>
                <c:pt idx="6">
                  <c:v>Īrija</c:v>
                </c:pt>
                <c:pt idx="7">
                  <c:v>Grieķija</c:v>
                </c:pt>
                <c:pt idx="8">
                  <c:v>Spānija</c:v>
                </c:pt>
                <c:pt idx="9">
                  <c:v>Francija</c:v>
                </c:pt>
                <c:pt idx="10">
                  <c:v>Horvātija</c:v>
                </c:pt>
                <c:pt idx="11">
                  <c:v>Itālija</c:v>
                </c:pt>
                <c:pt idx="12">
                  <c:v>Kipra</c:v>
                </c:pt>
                <c:pt idx="13">
                  <c:v>Latvija</c:v>
                </c:pt>
                <c:pt idx="14">
                  <c:v>Lietuva</c:v>
                </c:pt>
                <c:pt idx="15">
                  <c:v>Luksemburga</c:v>
                </c:pt>
                <c:pt idx="16">
                  <c:v>Ungārija</c:v>
                </c:pt>
                <c:pt idx="17">
                  <c:v>Malta</c:v>
                </c:pt>
                <c:pt idx="18">
                  <c:v>Nīderlande</c:v>
                </c:pt>
                <c:pt idx="19">
                  <c:v>Austrija</c:v>
                </c:pt>
                <c:pt idx="20">
                  <c:v>Polija</c:v>
                </c:pt>
                <c:pt idx="21">
                  <c:v>Portugāle</c:v>
                </c:pt>
                <c:pt idx="22">
                  <c:v>Rumānija</c:v>
                </c:pt>
                <c:pt idx="23">
                  <c:v>Slovēnija</c:v>
                </c:pt>
                <c:pt idx="24">
                  <c:v>Slovākija</c:v>
                </c:pt>
                <c:pt idx="25">
                  <c:v>Somija</c:v>
                </c:pt>
                <c:pt idx="26">
                  <c:v>Zviedrija</c:v>
                </c:pt>
                <c:pt idx="27">
                  <c:v>AK</c:v>
                </c:pt>
              </c:strCache>
            </c:strRef>
          </c:cat>
          <c:val>
            <c:numRef>
              <c:f>Sheet1!$C$2:$C$29</c:f>
              <c:numCache>
                <c:formatCode>General</c:formatCode>
                <c:ptCount val="28"/>
                <c:pt idx="0">
                  <c:v>1613200</c:v>
                </c:pt>
                <c:pt idx="1">
                  <c:v>1145871</c:v>
                </c:pt>
                <c:pt idx="2">
                  <c:v>1813713</c:v>
                </c:pt>
                <c:pt idx="3">
                  <c:v>1578867</c:v>
                </c:pt>
                <c:pt idx="4">
                  <c:v>10712157</c:v>
                </c:pt>
                <c:pt idx="5">
                  <c:v>727890</c:v>
                </c:pt>
                <c:pt idx="6">
                  <c:v>1029094</c:v>
                </c:pt>
                <c:pt idx="7">
                  <c:v>1550685</c:v>
                </c:pt>
                <c:pt idx="8">
                  <c:v>6302784</c:v>
                </c:pt>
                <c:pt idx="9">
                  <c:v>17123194</c:v>
                </c:pt>
                <c:pt idx="10">
                  <c:v>874426</c:v>
                </c:pt>
                <c:pt idx="11">
                  <c:v>9016105</c:v>
                </c:pt>
                <c:pt idx="12">
                  <c:v>400177</c:v>
                </c:pt>
                <c:pt idx="13">
                  <c:v>736593</c:v>
                </c:pt>
                <c:pt idx="14">
                  <c:v>1082982</c:v>
                </c:pt>
                <c:pt idx="15">
                  <c:v>204752</c:v>
                </c:pt>
                <c:pt idx="16">
                  <c:v>1927193</c:v>
                </c:pt>
                <c:pt idx="17">
                  <c:v>200892</c:v>
                </c:pt>
                <c:pt idx="18">
                  <c:v>2401061</c:v>
                </c:pt>
                <c:pt idx="19">
                  <c:v>1250119</c:v>
                </c:pt>
                <c:pt idx="20">
                  <c:v>10941915</c:v>
                </c:pt>
                <c:pt idx="21">
                  <c:v>2220981</c:v>
                </c:pt>
                <c:pt idx="22">
                  <c:v>10771254</c:v>
                </c:pt>
                <c:pt idx="23">
                  <c:v>359649</c:v>
                </c:pt>
                <c:pt idx="24">
                  <c:v>1004766</c:v>
                </c:pt>
                <c:pt idx="25">
                  <c:v>3824689</c:v>
                </c:pt>
                <c:pt idx="26">
                  <c:v>9217369</c:v>
                </c:pt>
                <c:pt idx="27">
                  <c:v>4898661</c:v>
                </c:pt>
              </c:numCache>
            </c:numRef>
          </c:val>
          <c:extLst>
            <c:ext xmlns:c16="http://schemas.microsoft.com/office/drawing/2014/chart" uri="{C3380CC4-5D6E-409C-BE32-E72D297353CC}">
              <c16:uniqueId val="{00000001-A8E2-41BF-B97B-40A648A858AB}"/>
            </c:ext>
          </c:extLst>
        </c:ser>
        <c:dLbls>
          <c:showLegendKey val="0"/>
          <c:showVal val="0"/>
          <c:showCatName val="0"/>
          <c:showSerName val="0"/>
          <c:showPercent val="0"/>
          <c:showBubbleSize val="0"/>
        </c:dLbls>
        <c:gapWidth val="219"/>
        <c:overlap val="-27"/>
        <c:axId val="108679168"/>
        <c:axId val="108680704"/>
      </c:barChart>
      <c:catAx>
        <c:axId val="108679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08680704"/>
        <c:crosses val="autoZero"/>
        <c:auto val="1"/>
        <c:lblAlgn val="ctr"/>
        <c:lblOffset val="100"/>
        <c:noMultiLvlLbl val="0"/>
      </c:catAx>
      <c:valAx>
        <c:axId val="108680704"/>
        <c:scaling>
          <c:orientation val="minMax"/>
          <c:max val="2500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679168"/>
        <c:crosses val="autoZero"/>
        <c:crossBetween val="between"/>
        <c:dispUnits>
          <c:builtInUnit val="millions"/>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1585352110766633E-2"/>
          <c:y val="4.7190047190047192E-2"/>
          <c:w val="0.92474091497198385"/>
          <c:h val="0.65356729057516461"/>
        </c:manualLayout>
      </c:layout>
      <c:barChart>
        <c:barDir val="col"/>
        <c:grouping val="clustered"/>
        <c:varyColors val="0"/>
        <c:ser>
          <c:idx val="0"/>
          <c:order val="0"/>
          <c:tx>
            <c:strRef>
              <c:f>Sheet1!$B$1</c:f>
              <c:strCache>
                <c:ptCount val="1"/>
                <c:pt idx="0">
                  <c:v>Kopējais iedzīvotāju skaits</c:v>
                </c:pt>
              </c:strCache>
            </c:strRef>
          </c:tx>
          <c:spPr>
            <a:solidFill>
              <a:schemeClr val="bg1">
                <a:lumMod val="75000"/>
              </a:schemeClr>
            </a:solidFill>
            <a:ln>
              <a:noFill/>
            </a:ln>
            <a:effectLst/>
          </c:spPr>
          <c:invertIfNegative val="0"/>
          <c:cat>
            <c:strRef>
              <c:f>Sheet1!$A$2:$A$29</c:f>
              <c:strCache>
                <c:ptCount val="28"/>
                <c:pt idx="0">
                  <c:v>Rumānija</c:v>
                </c:pt>
                <c:pt idx="1">
                  <c:v>Bulgārija</c:v>
                </c:pt>
                <c:pt idx="2">
                  <c:v>Horvātija</c:v>
                </c:pt>
                <c:pt idx="3">
                  <c:v>Latvija</c:v>
                </c:pt>
                <c:pt idx="4">
                  <c:v>Slovākija</c:v>
                </c:pt>
                <c:pt idx="5">
                  <c:v>Grieķija</c:v>
                </c:pt>
                <c:pt idx="6">
                  <c:v>Zviedrija</c:v>
                </c:pt>
                <c:pt idx="7">
                  <c:v>Polija</c:v>
                </c:pt>
                <c:pt idx="8">
                  <c:v>Itālija*</c:v>
                </c:pt>
                <c:pt idx="9">
                  <c:v>Lietuva</c:v>
                </c:pt>
                <c:pt idx="10">
                  <c:v>Ungārija</c:v>
                </c:pt>
                <c:pt idx="11">
                  <c:v>Austrija</c:v>
                </c:pt>
                <c:pt idx="12">
                  <c:v>Čehija</c:v>
                </c:pt>
                <c:pt idx="13">
                  <c:v>27 ES dalībvalstis</c:v>
                </c:pt>
                <c:pt idx="14">
                  <c:v>Portugāle</c:v>
                </c:pt>
                <c:pt idx="15">
                  <c:v>Igaunija</c:v>
                </c:pt>
                <c:pt idx="16">
                  <c:v>Slovēnija</c:v>
                </c:pt>
                <c:pt idx="17">
                  <c:v>Francija*</c:v>
                </c:pt>
                <c:pt idx="18">
                  <c:v>Beļģija</c:v>
                </c:pt>
                <c:pt idx="19">
                  <c:v>Somija</c:v>
                </c:pt>
                <c:pt idx="20">
                  <c:v>Dānija</c:v>
                </c:pt>
                <c:pt idx="21">
                  <c:v>Vācija </c:v>
                </c:pt>
                <c:pt idx="22">
                  <c:v>Luksemburga</c:v>
                </c:pt>
                <c:pt idx="23">
                  <c:v>Spānija</c:v>
                </c:pt>
                <c:pt idx="24">
                  <c:v>Nīderlande</c:v>
                </c:pt>
                <c:pt idx="25">
                  <c:v>Malta</c:v>
                </c:pt>
                <c:pt idx="26">
                  <c:v>Kipra</c:v>
                </c:pt>
                <c:pt idx="27">
                  <c:v>Īrija*</c:v>
                </c:pt>
              </c:strCache>
            </c:strRef>
          </c:cat>
          <c:val>
            <c:numRef>
              <c:f>Sheet1!$B$2:$B$29</c:f>
              <c:numCache>
                <c:formatCode>#.##0.0</c:formatCode>
                <c:ptCount val="28"/>
                <c:pt idx="0">
                  <c:v>45.8</c:v>
                </c:pt>
                <c:pt idx="1">
                  <c:v>41.1</c:v>
                </c:pt>
                <c:pt idx="2">
                  <c:v>38.5</c:v>
                </c:pt>
                <c:pt idx="3">
                  <c:v>42.2</c:v>
                </c:pt>
                <c:pt idx="4">
                  <c:v>35.5</c:v>
                </c:pt>
                <c:pt idx="5">
                  <c:v>28.7</c:v>
                </c:pt>
                <c:pt idx="6">
                  <c:v>15.6</c:v>
                </c:pt>
                <c:pt idx="7">
                  <c:v>37.6</c:v>
                </c:pt>
                <c:pt idx="8">
                  <c:v>27.8</c:v>
                </c:pt>
                <c:pt idx="9">
                  <c:v>22.9</c:v>
                </c:pt>
                <c:pt idx="10">
                  <c:v>20.3</c:v>
                </c:pt>
                <c:pt idx="11">
                  <c:v>15.1</c:v>
                </c:pt>
                <c:pt idx="12">
                  <c:v>15.4</c:v>
                </c:pt>
                <c:pt idx="13">
                  <c:v>17.100000000000001</c:v>
                </c:pt>
                <c:pt idx="14">
                  <c:v>9.5</c:v>
                </c:pt>
                <c:pt idx="15">
                  <c:v>13.9</c:v>
                </c:pt>
                <c:pt idx="16">
                  <c:v>11.6</c:v>
                </c:pt>
                <c:pt idx="17" formatCode="General">
                  <c:v>8.1999999999999993</c:v>
                </c:pt>
                <c:pt idx="18">
                  <c:v>8.1</c:v>
                </c:pt>
                <c:pt idx="19">
                  <c:v>7.7</c:v>
                </c:pt>
                <c:pt idx="20">
                  <c:v>10</c:v>
                </c:pt>
                <c:pt idx="21">
                  <c:v>7.8</c:v>
                </c:pt>
                <c:pt idx="22">
                  <c:v>7.1</c:v>
                </c:pt>
                <c:pt idx="23">
                  <c:v>5.9</c:v>
                </c:pt>
                <c:pt idx="24">
                  <c:v>4.8</c:v>
                </c:pt>
                <c:pt idx="25">
                  <c:v>3.7</c:v>
                </c:pt>
                <c:pt idx="26">
                  <c:v>2.2000000000000002</c:v>
                </c:pt>
                <c:pt idx="27">
                  <c:v>2.7</c:v>
                </c:pt>
              </c:numCache>
            </c:numRef>
          </c:val>
          <c:extLst>
            <c:ext xmlns:c16="http://schemas.microsoft.com/office/drawing/2014/chart" uri="{C3380CC4-5D6E-409C-BE32-E72D297353CC}">
              <c16:uniqueId val="{00000000-9DE9-45F0-8A71-9315F7E04585}"/>
            </c:ext>
          </c:extLst>
        </c:ser>
        <c:ser>
          <c:idx val="1"/>
          <c:order val="1"/>
          <c:tx>
            <c:strRef>
              <c:f>Sheet1!$C$1</c:f>
              <c:strCache>
                <c:ptCount val="1"/>
                <c:pt idx="0">
                  <c:v>Bērni</c:v>
                </c:pt>
              </c:strCache>
            </c:strRef>
          </c:tx>
          <c:spPr>
            <a:solidFill>
              <a:schemeClr val="accent1">
                <a:lumMod val="60000"/>
                <a:lumOff val="40000"/>
              </a:schemeClr>
            </a:solidFill>
            <a:ln>
              <a:noFill/>
            </a:ln>
            <a:effectLst/>
          </c:spPr>
          <c:invertIfNegative val="0"/>
          <c:dPt>
            <c:idx val="13"/>
            <c:invertIfNegative val="0"/>
            <c:bubble3D val="0"/>
            <c:spPr>
              <a:solidFill>
                <a:schemeClr val="accent4">
                  <a:lumMod val="40000"/>
                  <a:lumOff val="60000"/>
                </a:schemeClr>
              </a:solidFill>
              <a:ln>
                <a:noFill/>
              </a:ln>
              <a:effectLst/>
            </c:spPr>
            <c:extLst>
              <c:ext xmlns:c16="http://schemas.microsoft.com/office/drawing/2014/chart" uri="{C3380CC4-5D6E-409C-BE32-E72D297353CC}">
                <c16:uniqueId val="{00000002-9DE9-45F0-8A71-9315F7E04585}"/>
              </c:ext>
            </c:extLst>
          </c:dPt>
          <c:cat>
            <c:strRef>
              <c:f>Sheet1!$A$2:$A$29</c:f>
              <c:strCache>
                <c:ptCount val="28"/>
                <c:pt idx="0">
                  <c:v>Rumānija</c:v>
                </c:pt>
                <c:pt idx="1">
                  <c:v>Bulgārija</c:v>
                </c:pt>
                <c:pt idx="2">
                  <c:v>Horvātija</c:v>
                </c:pt>
                <c:pt idx="3">
                  <c:v>Latvija</c:v>
                </c:pt>
                <c:pt idx="4">
                  <c:v>Slovākija</c:v>
                </c:pt>
                <c:pt idx="5">
                  <c:v>Grieķija</c:v>
                </c:pt>
                <c:pt idx="6">
                  <c:v>Zviedrija</c:v>
                </c:pt>
                <c:pt idx="7">
                  <c:v>Polija</c:v>
                </c:pt>
                <c:pt idx="8">
                  <c:v>Itālija*</c:v>
                </c:pt>
                <c:pt idx="9">
                  <c:v>Lietuva</c:v>
                </c:pt>
                <c:pt idx="10">
                  <c:v>Ungārija</c:v>
                </c:pt>
                <c:pt idx="11">
                  <c:v>Austrija</c:v>
                </c:pt>
                <c:pt idx="12">
                  <c:v>Čehija</c:v>
                </c:pt>
                <c:pt idx="13">
                  <c:v>27 ES dalībvalstis</c:v>
                </c:pt>
                <c:pt idx="14">
                  <c:v>Portugāle</c:v>
                </c:pt>
                <c:pt idx="15">
                  <c:v>Igaunija</c:v>
                </c:pt>
                <c:pt idx="16">
                  <c:v>Slovēnija</c:v>
                </c:pt>
                <c:pt idx="17">
                  <c:v>Francija*</c:v>
                </c:pt>
                <c:pt idx="18">
                  <c:v>Beļģija</c:v>
                </c:pt>
                <c:pt idx="19">
                  <c:v>Somija</c:v>
                </c:pt>
                <c:pt idx="20">
                  <c:v>Dānija</c:v>
                </c:pt>
                <c:pt idx="21">
                  <c:v>Vācija </c:v>
                </c:pt>
                <c:pt idx="22">
                  <c:v>Luksemburga</c:v>
                </c:pt>
                <c:pt idx="23">
                  <c:v>Spānija</c:v>
                </c:pt>
                <c:pt idx="24">
                  <c:v>Nīderlande</c:v>
                </c:pt>
                <c:pt idx="25">
                  <c:v>Malta</c:v>
                </c:pt>
                <c:pt idx="26">
                  <c:v>Kipra</c:v>
                </c:pt>
                <c:pt idx="27">
                  <c:v>Īrija*</c:v>
                </c:pt>
              </c:strCache>
            </c:strRef>
          </c:cat>
          <c:val>
            <c:numRef>
              <c:f>Sheet1!$C$2:$C$29</c:f>
              <c:numCache>
                <c:formatCode>#.##0.0</c:formatCode>
                <c:ptCount val="28"/>
                <c:pt idx="0">
                  <c:v>66.3</c:v>
                </c:pt>
                <c:pt idx="1">
                  <c:v>61.2</c:v>
                </c:pt>
                <c:pt idx="2">
                  <c:v>53.5</c:v>
                </c:pt>
                <c:pt idx="3">
                  <c:v>57.7</c:v>
                </c:pt>
                <c:pt idx="4">
                  <c:v>45.5</c:v>
                </c:pt>
                <c:pt idx="5">
                  <c:v>42.8</c:v>
                </c:pt>
                <c:pt idx="6">
                  <c:v>22.8</c:v>
                </c:pt>
                <c:pt idx="7">
                  <c:v>48.8</c:v>
                </c:pt>
                <c:pt idx="8">
                  <c:v>41.9</c:v>
                </c:pt>
                <c:pt idx="9">
                  <c:v>37.299999999999997</c:v>
                </c:pt>
                <c:pt idx="10">
                  <c:v>38.1</c:v>
                </c:pt>
                <c:pt idx="11">
                  <c:v>24.1</c:v>
                </c:pt>
                <c:pt idx="12">
                  <c:v>24.1</c:v>
                </c:pt>
                <c:pt idx="13">
                  <c:v>24.5</c:v>
                </c:pt>
                <c:pt idx="14">
                  <c:v>16.2</c:v>
                </c:pt>
                <c:pt idx="15">
                  <c:v>21.4</c:v>
                </c:pt>
                <c:pt idx="16">
                  <c:v>17.600000000000001</c:v>
                </c:pt>
                <c:pt idx="17" formatCode="General">
                  <c:v>9.9</c:v>
                </c:pt>
                <c:pt idx="18">
                  <c:v>13.6</c:v>
                </c:pt>
                <c:pt idx="19">
                  <c:v>9.6999999999999993</c:v>
                </c:pt>
                <c:pt idx="20">
                  <c:v>10.8</c:v>
                </c:pt>
                <c:pt idx="21">
                  <c:v>12</c:v>
                </c:pt>
                <c:pt idx="22">
                  <c:v>9.1</c:v>
                </c:pt>
                <c:pt idx="23">
                  <c:v>9.6999999999999993</c:v>
                </c:pt>
                <c:pt idx="24">
                  <c:v>6</c:v>
                </c:pt>
                <c:pt idx="25">
                  <c:v>5.0999999999999996</c:v>
                </c:pt>
                <c:pt idx="26">
                  <c:v>2.7</c:v>
                </c:pt>
                <c:pt idx="27">
                  <c:v>4.2</c:v>
                </c:pt>
              </c:numCache>
            </c:numRef>
          </c:val>
          <c:extLst>
            <c:ext xmlns:c16="http://schemas.microsoft.com/office/drawing/2014/chart" uri="{C3380CC4-5D6E-409C-BE32-E72D297353CC}">
              <c16:uniqueId val="{00000003-9DE9-45F0-8A71-9315F7E04585}"/>
            </c:ext>
          </c:extLst>
        </c:ser>
        <c:ser>
          <c:idx val="2"/>
          <c:order val="2"/>
          <c:tx>
            <c:strRef>
              <c:f>Sheet1!$D$1</c:f>
              <c:strCache>
                <c:ptCount val="1"/>
                <c:pt idx="0">
                  <c:v>Visas nabadzības riskam pakļautās personas</c:v>
                </c:pt>
              </c:strCache>
            </c:strRef>
          </c:tx>
          <c:spPr>
            <a:solidFill>
              <a:srgbClr val="00B050"/>
            </a:solidFill>
            <a:ln>
              <a:noFill/>
            </a:ln>
            <a:effectLst/>
          </c:spPr>
          <c:invertIfNegative val="0"/>
          <c:dPt>
            <c:idx val="13"/>
            <c:invertIfNegative val="0"/>
            <c:bubble3D val="0"/>
            <c:spPr>
              <a:solidFill>
                <a:srgbClr val="00EE6C"/>
              </a:solidFill>
              <a:ln>
                <a:noFill/>
              </a:ln>
              <a:effectLst/>
            </c:spPr>
            <c:extLst>
              <c:ext xmlns:c16="http://schemas.microsoft.com/office/drawing/2014/chart" uri="{C3380CC4-5D6E-409C-BE32-E72D297353CC}">
                <c16:uniqueId val="{00000005-9DE9-45F0-8A71-9315F7E04585}"/>
              </c:ext>
            </c:extLst>
          </c:dPt>
          <c:cat>
            <c:strRef>
              <c:f>Sheet1!$A$2:$A$29</c:f>
              <c:strCache>
                <c:ptCount val="28"/>
                <c:pt idx="0">
                  <c:v>Rumānija</c:v>
                </c:pt>
                <c:pt idx="1">
                  <c:v>Bulgārija</c:v>
                </c:pt>
                <c:pt idx="2">
                  <c:v>Horvātija</c:v>
                </c:pt>
                <c:pt idx="3">
                  <c:v>Latvija</c:v>
                </c:pt>
                <c:pt idx="4">
                  <c:v>Slovākija</c:v>
                </c:pt>
                <c:pt idx="5">
                  <c:v>Grieķija</c:v>
                </c:pt>
                <c:pt idx="6">
                  <c:v>Zviedrija</c:v>
                </c:pt>
                <c:pt idx="7">
                  <c:v>Polija</c:v>
                </c:pt>
                <c:pt idx="8">
                  <c:v>Itālija*</c:v>
                </c:pt>
                <c:pt idx="9">
                  <c:v>Lietuva</c:v>
                </c:pt>
                <c:pt idx="10">
                  <c:v>Ungārija</c:v>
                </c:pt>
                <c:pt idx="11">
                  <c:v>Austrija</c:v>
                </c:pt>
                <c:pt idx="12">
                  <c:v>Čehija</c:v>
                </c:pt>
                <c:pt idx="13">
                  <c:v>27 ES dalībvalstis</c:v>
                </c:pt>
                <c:pt idx="14">
                  <c:v>Portugāle</c:v>
                </c:pt>
                <c:pt idx="15">
                  <c:v>Igaunija</c:v>
                </c:pt>
                <c:pt idx="16">
                  <c:v>Slovēnija</c:v>
                </c:pt>
                <c:pt idx="17">
                  <c:v>Francija*</c:v>
                </c:pt>
                <c:pt idx="18">
                  <c:v>Beļģija</c:v>
                </c:pt>
                <c:pt idx="19">
                  <c:v>Somija</c:v>
                </c:pt>
                <c:pt idx="20">
                  <c:v>Dānija</c:v>
                </c:pt>
                <c:pt idx="21">
                  <c:v>Vācija </c:v>
                </c:pt>
                <c:pt idx="22">
                  <c:v>Luksemburga</c:v>
                </c:pt>
                <c:pt idx="23">
                  <c:v>Spānija</c:v>
                </c:pt>
                <c:pt idx="24">
                  <c:v>Nīderlande</c:v>
                </c:pt>
                <c:pt idx="25">
                  <c:v>Malta</c:v>
                </c:pt>
                <c:pt idx="26">
                  <c:v>Kipra</c:v>
                </c:pt>
                <c:pt idx="27">
                  <c:v>Īrija*</c:v>
                </c:pt>
              </c:strCache>
            </c:strRef>
          </c:cat>
          <c:val>
            <c:numRef>
              <c:f>Sheet1!$D$2:$D$29</c:f>
              <c:numCache>
                <c:formatCode>#.##0.0</c:formatCode>
                <c:ptCount val="28"/>
                <c:pt idx="0">
                  <c:v>54.4</c:v>
                </c:pt>
                <c:pt idx="1">
                  <c:v>46.5</c:v>
                </c:pt>
                <c:pt idx="2">
                  <c:v>42.3</c:v>
                </c:pt>
                <c:pt idx="3">
                  <c:v>40.4</c:v>
                </c:pt>
                <c:pt idx="4">
                  <c:v>54.9</c:v>
                </c:pt>
                <c:pt idx="5">
                  <c:v>45.7</c:v>
                </c:pt>
                <c:pt idx="6">
                  <c:v>40.9</c:v>
                </c:pt>
                <c:pt idx="7">
                  <c:v>45.2</c:v>
                </c:pt>
                <c:pt idx="8">
                  <c:v>38</c:v>
                </c:pt>
                <c:pt idx="9">
                  <c:v>27.3</c:v>
                </c:pt>
                <c:pt idx="10">
                  <c:v>26.7</c:v>
                </c:pt>
                <c:pt idx="11">
                  <c:v>33</c:v>
                </c:pt>
                <c:pt idx="12">
                  <c:v>30</c:v>
                </c:pt>
                <c:pt idx="13">
                  <c:v>29.5</c:v>
                </c:pt>
                <c:pt idx="14">
                  <c:v>18.2</c:v>
                </c:pt>
                <c:pt idx="15">
                  <c:v>17.7</c:v>
                </c:pt>
                <c:pt idx="16">
                  <c:v>17.8</c:v>
                </c:pt>
                <c:pt idx="17" formatCode="General">
                  <c:v>24.3</c:v>
                </c:pt>
                <c:pt idx="18">
                  <c:v>18.100000000000001</c:v>
                </c:pt>
                <c:pt idx="19">
                  <c:v>20.6</c:v>
                </c:pt>
                <c:pt idx="20">
                  <c:v>30.5</c:v>
                </c:pt>
                <c:pt idx="21">
                  <c:v>20.5</c:v>
                </c:pt>
                <c:pt idx="22">
                  <c:v>19.600000000000001</c:v>
                </c:pt>
                <c:pt idx="23">
                  <c:v>14.6</c:v>
                </c:pt>
                <c:pt idx="24">
                  <c:v>13.6</c:v>
                </c:pt>
                <c:pt idx="25">
                  <c:v>6.6</c:v>
                </c:pt>
                <c:pt idx="26">
                  <c:v>5.4</c:v>
                </c:pt>
                <c:pt idx="27">
                  <c:v>4.2</c:v>
                </c:pt>
              </c:numCache>
            </c:numRef>
          </c:val>
          <c:extLst>
            <c:ext xmlns:c16="http://schemas.microsoft.com/office/drawing/2014/chart" uri="{C3380CC4-5D6E-409C-BE32-E72D297353CC}">
              <c16:uniqueId val="{00000006-9DE9-45F0-8A71-9315F7E04585}"/>
            </c:ext>
          </c:extLst>
        </c:ser>
        <c:ser>
          <c:idx val="3"/>
          <c:order val="3"/>
          <c:tx>
            <c:strRef>
              <c:f>Sheet1!$E$1</c:f>
              <c:strCache>
                <c:ptCount val="1"/>
                <c:pt idx="0">
                  <c:v>Nabadzības riskam pakļautie bērni</c:v>
                </c:pt>
              </c:strCache>
            </c:strRef>
          </c:tx>
          <c:spPr>
            <a:solidFill>
              <a:schemeClr val="accent1">
                <a:lumMod val="75000"/>
              </a:schemeClr>
            </a:solidFill>
            <a:ln>
              <a:noFill/>
            </a:ln>
            <a:effectLst/>
          </c:spPr>
          <c:invertIfNegative val="0"/>
          <c:dPt>
            <c:idx val="13"/>
            <c:invertIfNegative val="0"/>
            <c:bubble3D val="0"/>
            <c:spPr>
              <a:solidFill>
                <a:schemeClr val="accent4">
                  <a:lumMod val="75000"/>
                </a:schemeClr>
              </a:solidFill>
              <a:ln>
                <a:noFill/>
              </a:ln>
              <a:effectLst/>
            </c:spPr>
            <c:extLst>
              <c:ext xmlns:c16="http://schemas.microsoft.com/office/drawing/2014/chart" uri="{C3380CC4-5D6E-409C-BE32-E72D297353CC}">
                <c16:uniqueId val="{00000008-9DE9-45F0-8A71-9315F7E04585}"/>
              </c:ext>
            </c:extLst>
          </c:dPt>
          <c:cat>
            <c:strRef>
              <c:f>Sheet1!$A$2:$A$29</c:f>
              <c:strCache>
                <c:ptCount val="28"/>
                <c:pt idx="0">
                  <c:v>Rumānija</c:v>
                </c:pt>
                <c:pt idx="1">
                  <c:v>Bulgārija</c:v>
                </c:pt>
                <c:pt idx="2">
                  <c:v>Horvātija</c:v>
                </c:pt>
                <c:pt idx="3">
                  <c:v>Latvija</c:v>
                </c:pt>
                <c:pt idx="4">
                  <c:v>Slovākija</c:v>
                </c:pt>
                <c:pt idx="5">
                  <c:v>Grieķija</c:v>
                </c:pt>
                <c:pt idx="6">
                  <c:v>Zviedrija</c:v>
                </c:pt>
                <c:pt idx="7">
                  <c:v>Polija</c:v>
                </c:pt>
                <c:pt idx="8">
                  <c:v>Itālija*</c:v>
                </c:pt>
                <c:pt idx="9">
                  <c:v>Lietuva</c:v>
                </c:pt>
                <c:pt idx="10">
                  <c:v>Ungārija</c:v>
                </c:pt>
                <c:pt idx="11">
                  <c:v>Austrija</c:v>
                </c:pt>
                <c:pt idx="12">
                  <c:v>Čehija</c:v>
                </c:pt>
                <c:pt idx="13">
                  <c:v>27 ES dalībvalstis</c:v>
                </c:pt>
                <c:pt idx="14">
                  <c:v>Portugāle</c:v>
                </c:pt>
                <c:pt idx="15">
                  <c:v>Igaunija</c:v>
                </c:pt>
                <c:pt idx="16">
                  <c:v>Slovēnija</c:v>
                </c:pt>
                <c:pt idx="17">
                  <c:v>Francija*</c:v>
                </c:pt>
                <c:pt idx="18">
                  <c:v>Beļģija</c:v>
                </c:pt>
                <c:pt idx="19">
                  <c:v>Somija</c:v>
                </c:pt>
                <c:pt idx="20">
                  <c:v>Dānija</c:v>
                </c:pt>
                <c:pt idx="21">
                  <c:v>Vācija </c:v>
                </c:pt>
                <c:pt idx="22">
                  <c:v>Luksemburga</c:v>
                </c:pt>
                <c:pt idx="23">
                  <c:v>Spānija</c:v>
                </c:pt>
                <c:pt idx="24">
                  <c:v>Nīderlande</c:v>
                </c:pt>
                <c:pt idx="25">
                  <c:v>Malta</c:v>
                </c:pt>
                <c:pt idx="26">
                  <c:v>Kipra</c:v>
                </c:pt>
                <c:pt idx="27">
                  <c:v>Īrija*</c:v>
                </c:pt>
              </c:strCache>
            </c:strRef>
          </c:cat>
          <c:val>
            <c:numRef>
              <c:f>Sheet1!$E$2:$E$29</c:f>
              <c:numCache>
                <c:formatCode>#.##0.0</c:formatCode>
                <c:ptCount val="28"/>
                <c:pt idx="0">
                  <c:v>79.7</c:v>
                </c:pt>
                <c:pt idx="1">
                  <c:v>79.099999999999994</c:v>
                </c:pt>
                <c:pt idx="2">
                  <c:v>72.2</c:v>
                </c:pt>
                <c:pt idx="3">
                  <c:v>67</c:v>
                </c:pt>
                <c:pt idx="4">
                  <c:v>64.599999999999994</c:v>
                </c:pt>
                <c:pt idx="5">
                  <c:v>63.2</c:v>
                </c:pt>
                <c:pt idx="6">
                  <c:v>57.7</c:v>
                </c:pt>
                <c:pt idx="7">
                  <c:v>57.6</c:v>
                </c:pt>
                <c:pt idx="8">
                  <c:v>52.4</c:v>
                </c:pt>
                <c:pt idx="9">
                  <c:v>50.2</c:v>
                </c:pt>
                <c:pt idx="10">
                  <c:v>49.2</c:v>
                </c:pt>
                <c:pt idx="11">
                  <c:v>48.1</c:v>
                </c:pt>
                <c:pt idx="12">
                  <c:v>46.9</c:v>
                </c:pt>
                <c:pt idx="13">
                  <c:v>41.3</c:v>
                </c:pt>
                <c:pt idx="14">
                  <c:v>34.700000000000003</c:v>
                </c:pt>
                <c:pt idx="15">
                  <c:v>33.9</c:v>
                </c:pt>
                <c:pt idx="16">
                  <c:v>32.299999999999997</c:v>
                </c:pt>
                <c:pt idx="17" formatCode="General">
                  <c:v>30.8</c:v>
                </c:pt>
                <c:pt idx="18">
                  <c:v>29.3</c:v>
                </c:pt>
                <c:pt idx="19">
                  <c:v>29</c:v>
                </c:pt>
                <c:pt idx="20">
                  <c:v>26.6</c:v>
                </c:pt>
                <c:pt idx="21">
                  <c:v>25.9</c:v>
                </c:pt>
                <c:pt idx="22">
                  <c:v>22.4</c:v>
                </c:pt>
                <c:pt idx="23">
                  <c:v>22.2</c:v>
                </c:pt>
                <c:pt idx="24">
                  <c:v>18.899999999999999</c:v>
                </c:pt>
                <c:pt idx="25">
                  <c:v>11.3</c:v>
                </c:pt>
                <c:pt idx="26">
                  <c:v>8.8000000000000007</c:v>
                </c:pt>
                <c:pt idx="27">
                  <c:v>7.9</c:v>
                </c:pt>
              </c:numCache>
            </c:numRef>
          </c:val>
          <c:extLst>
            <c:ext xmlns:c16="http://schemas.microsoft.com/office/drawing/2014/chart" uri="{C3380CC4-5D6E-409C-BE32-E72D297353CC}">
              <c16:uniqueId val="{00000009-9DE9-45F0-8A71-9315F7E04585}"/>
            </c:ext>
          </c:extLst>
        </c:ser>
        <c:dLbls>
          <c:showLegendKey val="0"/>
          <c:showVal val="0"/>
          <c:showCatName val="0"/>
          <c:showSerName val="0"/>
          <c:showPercent val="0"/>
          <c:showBubbleSize val="0"/>
        </c:dLbls>
        <c:gapWidth val="219"/>
        <c:overlap val="-27"/>
        <c:axId val="106550016"/>
        <c:axId val="106551552"/>
      </c:barChart>
      <c:catAx>
        <c:axId val="106550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06551552"/>
        <c:crosses val="autoZero"/>
        <c:auto val="1"/>
        <c:lblAlgn val="ctr"/>
        <c:lblOffset val="100"/>
        <c:noMultiLvlLbl val="0"/>
      </c:catAx>
      <c:valAx>
        <c:axId val="106551552"/>
        <c:scaling>
          <c:orientation val="minMax"/>
          <c:max val="8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550016"/>
        <c:crosses val="autoZero"/>
        <c:crossBetween val="between"/>
      </c:valAx>
      <c:spPr>
        <a:noFill/>
        <a:ln>
          <a:noFill/>
        </a:ln>
        <a:effectLst/>
      </c:spPr>
    </c:plotArea>
    <c:legend>
      <c:legendPos val="b"/>
      <c:layout>
        <c:manualLayout>
          <c:xMode val="edge"/>
          <c:yMode val="edge"/>
          <c:x val="7.8918091764947115E-2"/>
          <c:y val="0.91750125587760345"/>
          <c:w val="0.84216364700888235"/>
          <c:h val="8.249874412239657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463121753829709E-2"/>
          <c:y val="4.3650793650793648E-2"/>
          <c:w val="0.90706524309600345"/>
          <c:h val="0.64953506355972568"/>
        </c:manualLayout>
      </c:layout>
      <c:barChart>
        <c:barDir val="col"/>
        <c:grouping val="clustered"/>
        <c:varyColors val="0"/>
        <c:ser>
          <c:idx val="0"/>
          <c:order val="0"/>
          <c:tx>
            <c:strRef>
              <c:f>Sheet1!$B$1</c:f>
              <c:strCache>
                <c:ptCount val="1"/>
                <c:pt idx="0">
                  <c:v>Visas mājsaimniecības bez AROP</c:v>
                </c:pt>
              </c:strCache>
            </c:strRef>
          </c:tx>
          <c:spPr>
            <a:solidFill>
              <a:schemeClr val="bg1">
                <a:lumMod val="75000"/>
              </a:schemeClr>
            </a:solidFill>
            <a:ln>
              <a:noFill/>
            </a:ln>
            <a:effectLst/>
          </c:spPr>
          <c:invertIfNegative val="0"/>
          <c:cat>
            <c:strRef>
              <c:f>Sheet1!$A$2:$A$29</c:f>
              <c:strCache>
                <c:ptCount val="28"/>
                <c:pt idx="0">
                  <c:v>Kipra</c:v>
                </c:pt>
                <c:pt idx="1">
                  <c:v>Bulgārija</c:v>
                </c:pt>
                <c:pt idx="2">
                  <c:v>Lietuva</c:v>
                </c:pt>
                <c:pt idx="3">
                  <c:v>Grieķija</c:v>
                </c:pt>
                <c:pt idx="4">
                  <c:v>Portugāle</c:v>
                </c:pt>
                <c:pt idx="5">
                  <c:v>Slovākija</c:v>
                </c:pt>
                <c:pt idx="6">
                  <c:v>Itālija</c:v>
                </c:pt>
                <c:pt idx="7">
                  <c:v>Spānija</c:v>
                </c:pt>
                <c:pt idx="8">
                  <c:v>Rumānija</c:v>
                </c:pt>
                <c:pt idx="9">
                  <c:v>27 ES dalībvalstis</c:v>
                </c:pt>
                <c:pt idx="10">
                  <c:v>Īrija</c:v>
                </c:pt>
                <c:pt idx="11">
                  <c:v>Francija</c:v>
                </c:pt>
                <c:pt idx="12">
                  <c:v>Horvātija</c:v>
                </c:pt>
                <c:pt idx="13">
                  <c:v>Beļģija</c:v>
                </c:pt>
                <c:pt idx="14">
                  <c:v>Latvija</c:v>
                </c:pt>
                <c:pt idx="15">
                  <c:v>Dānija</c:v>
                </c:pt>
                <c:pt idx="16">
                  <c:v>Nīderlande</c:v>
                </c:pt>
                <c:pt idx="17">
                  <c:v>Malta</c:v>
                </c:pt>
                <c:pt idx="18">
                  <c:v>Čehija</c:v>
                </c:pt>
                <c:pt idx="19">
                  <c:v>Ungārija</c:v>
                </c:pt>
                <c:pt idx="20">
                  <c:v>Vācija</c:v>
                </c:pt>
                <c:pt idx="21">
                  <c:v>Somija</c:v>
                </c:pt>
                <c:pt idx="22">
                  <c:v>Polija</c:v>
                </c:pt>
                <c:pt idx="23">
                  <c:v>Zviedrija</c:v>
                </c:pt>
                <c:pt idx="24">
                  <c:v>Slovēnija</c:v>
                </c:pt>
                <c:pt idx="25">
                  <c:v>Luksemburga</c:v>
                </c:pt>
                <c:pt idx="26">
                  <c:v>Austrija</c:v>
                </c:pt>
                <c:pt idx="27">
                  <c:v>Igaunija</c:v>
                </c:pt>
              </c:strCache>
            </c:strRef>
          </c:cat>
          <c:val>
            <c:numRef>
              <c:f>Sheet1!$B$2:$B$29</c:f>
              <c:numCache>
                <c:formatCode>#.##0.0</c:formatCode>
                <c:ptCount val="28"/>
                <c:pt idx="0">
                  <c:v>16.5</c:v>
                </c:pt>
                <c:pt idx="1">
                  <c:v>23.9</c:v>
                </c:pt>
                <c:pt idx="2">
                  <c:v>23.7</c:v>
                </c:pt>
                <c:pt idx="3">
                  <c:v>14.4</c:v>
                </c:pt>
                <c:pt idx="4">
                  <c:v>15</c:v>
                </c:pt>
                <c:pt idx="5">
                  <c:v>5</c:v>
                </c:pt>
                <c:pt idx="6">
                  <c:v>7.3</c:v>
                </c:pt>
                <c:pt idx="7">
                  <c:v>4.4000000000000004</c:v>
                </c:pt>
                <c:pt idx="8">
                  <c:v>6</c:v>
                </c:pt>
                <c:pt idx="9">
                  <c:v>4.5999999999999996</c:v>
                </c:pt>
                <c:pt idx="10">
                  <c:v>3.4</c:v>
                </c:pt>
                <c:pt idx="11">
                  <c:v>4.4000000000000004</c:v>
                </c:pt>
                <c:pt idx="12">
                  <c:v>3.8</c:v>
                </c:pt>
                <c:pt idx="13">
                  <c:v>2.2999999999999998</c:v>
                </c:pt>
                <c:pt idx="14">
                  <c:v>5.7</c:v>
                </c:pt>
                <c:pt idx="15">
                  <c:v>2</c:v>
                </c:pt>
                <c:pt idx="16">
                  <c:v>1.7</c:v>
                </c:pt>
                <c:pt idx="17">
                  <c:v>6.5</c:v>
                </c:pt>
                <c:pt idx="18">
                  <c:v>2.1</c:v>
                </c:pt>
                <c:pt idx="19">
                  <c:v>4.3</c:v>
                </c:pt>
                <c:pt idx="20">
                  <c:v>1.5</c:v>
                </c:pt>
                <c:pt idx="21">
                  <c:v>1.5</c:v>
                </c:pt>
                <c:pt idx="22">
                  <c:v>2.9</c:v>
                </c:pt>
                <c:pt idx="23">
                  <c:v>1.2</c:v>
                </c:pt>
                <c:pt idx="24">
                  <c:v>1.5</c:v>
                </c:pt>
                <c:pt idx="25">
                  <c:v>2</c:v>
                </c:pt>
                <c:pt idx="26">
                  <c:v>1.3</c:v>
                </c:pt>
                <c:pt idx="27">
                  <c:v>1.5</c:v>
                </c:pt>
              </c:numCache>
            </c:numRef>
          </c:val>
          <c:extLst>
            <c:ext xmlns:c16="http://schemas.microsoft.com/office/drawing/2014/chart" uri="{C3380CC4-5D6E-409C-BE32-E72D297353CC}">
              <c16:uniqueId val="{00000000-0C6D-4972-8663-61394C1A7D4D}"/>
            </c:ext>
          </c:extLst>
        </c:ser>
        <c:ser>
          <c:idx val="1"/>
          <c:order val="1"/>
          <c:tx>
            <c:strRef>
              <c:f>Sheet1!$C$1</c:f>
              <c:strCache>
                <c:ptCount val="1"/>
                <c:pt idx="0">
                  <c:v>Visas AROP pakļautās mājsaimniecības</c:v>
                </c:pt>
              </c:strCache>
            </c:strRef>
          </c:tx>
          <c:spPr>
            <a:solidFill>
              <a:schemeClr val="accent2"/>
            </a:solidFill>
            <a:ln>
              <a:noFill/>
            </a:ln>
            <a:effectLst/>
          </c:spPr>
          <c:invertIfNegative val="0"/>
          <c:dPt>
            <c:idx val="9"/>
            <c:invertIfNegative val="0"/>
            <c:bubble3D val="0"/>
            <c:spPr>
              <a:solidFill>
                <a:srgbClr val="00B0F0"/>
              </a:solidFill>
              <a:ln>
                <a:noFill/>
              </a:ln>
              <a:effectLst/>
            </c:spPr>
            <c:extLst>
              <c:ext xmlns:c16="http://schemas.microsoft.com/office/drawing/2014/chart" uri="{C3380CC4-5D6E-409C-BE32-E72D297353CC}">
                <c16:uniqueId val="{00000002-0C6D-4972-8663-61394C1A7D4D}"/>
              </c:ext>
            </c:extLst>
          </c:dPt>
          <c:cat>
            <c:strRef>
              <c:f>Sheet1!$A$2:$A$29</c:f>
              <c:strCache>
                <c:ptCount val="28"/>
                <c:pt idx="0">
                  <c:v>Kipra</c:v>
                </c:pt>
                <c:pt idx="1">
                  <c:v>Bulgārija</c:v>
                </c:pt>
                <c:pt idx="2">
                  <c:v>Lietuva</c:v>
                </c:pt>
                <c:pt idx="3">
                  <c:v>Grieķija</c:v>
                </c:pt>
                <c:pt idx="4">
                  <c:v>Portugāle</c:v>
                </c:pt>
                <c:pt idx="5">
                  <c:v>Slovākija</c:v>
                </c:pt>
                <c:pt idx="6">
                  <c:v>Itālija</c:v>
                </c:pt>
                <c:pt idx="7">
                  <c:v>Spānija</c:v>
                </c:pt>
                <c:pt idx="8">
                  <c:v>Rumānija</c:v>
                </c:pt>
                <c:pt idx="9">
                  <c:v>27 ES dalībvalstis</c:v>
                </c:pt>
                <c:pt idx="10">
                  <c:v>Īrija</c:v>
                </c:pt>
                <c:pt idx="11">
                  <c:v>Francija</c:v>
                </c:pt>
                <c:pt idx="12">
                  <c:v>Horvātija</c:v>
                </c:pt>
                <c:pt idx="13">
                  <c:v>Beļģija</c:v>
                </c:pt>
                <c:pt idx="14">
                  <c:v>Latvija</c:v>
                </c:pt>
                <c:pt idx="15">
                  <c:v>Dānija</c:v>
                </c:pt>
                <c:pt idx="16">
                  <c:v>Nīderlande</c:v>
                </c:pt>
                <c:pt idx="17">
                  <c:v>Malta</c:v>
                </c:pt>
                <c:pt idx="18">
                  <c:v>Čehija</c:v>
                </c:pt>
                <c:pt idx="19">
                  <c:v>Ungārija</c:v>
                </c:pt>
                <c:pt idx="20">
                  <c:v>Vācija</c:v>
                </c:pt>
                <c:pt idx="21">
                  <c:v>Somija</c:v>
                </c:pt>
                <c:pt idx="22">
                  <c:v>Polija</c:v>
                </c:pt>
                <c:pt idx="23">
                  <c:v>Zviedrija</c:v>
                </c:pt>
                <c:pt idx="24">
                  <c:v>Slovēnija</c:v>
                </c:pt>
                <c:pt idx="25">
                  <c:v>Luksemburga</c:v>
                </c:pt>
                <c:pt idx="26">
                  <c:v>Austrija</c:v>
                </c:pt>
                <c:pt idx="27">
                  <c:v>Igaunija</c:v>
                </c:pt>
              </c:strCache>
            </c:strRef>
          </c:cat>
          <c:val>
            <c:numRef>
              <c:f>Sheet1!$C$2:$C$29</c:f>
              <c:numCache>
                <c:formatCode>#.##0.0</c:formatCode>
                <c:ptCount val="28"/>
                <c:pt idx="0">
                  <c:v>47.5</c:v>
                </c:pt>
                <c:pt idx="1">
                  <c:v>51.1</c:v>
                </c:pt>
                <c:pt idx="2">
                  <c:v>38.4</c:v>
                </c:pt>
                <c:pt idx="3">
                  <c:v>34.4</c:v>
                </c:pt>
                <c:pt idx="4">
                  <c:v>38</c:v>
                </c:pt>
                <c:pt idx="5">
                  <c:v>28.6</c:v>
                </c:pt>
                <c:pt idx="6">
                  <c:v>26.3</c:v>
                </c:pt>
                <c:pt idx="7">
                  <c:v>19.600000000000001</c:v>
                </c:pt>
                <c:pt idx="8">
                  <c:v>19.899999999999999</c:v>
                </c:pt>
                <c:pt idx="9">
                  <c:v>18.2</c:v>
                </c:pt>
                <c:pt idx="10">
                  <c:v>15.2</c:v>
                </c:pt>
                <c:pt idx="11">
                  <c:v>17.8</c:v>
                </c:pt>
                <c:pt idx="12">
                  <c:v>19.100000000000001</c:v>
                </c:pt>
                <c:pt idx="13">
                  <c:v>13.2</c:v>
                </c:pt>
                <c:pt idx="14">
                  <c:v>15.9</c:v>
                </c:pt>
                <c:pt idx="15">
                  <c:v>8.4</c:v>
                </c:pt>
                <c:pt idx="16">
                  <c:v>11.3</c:v>
                </c:pt>
                <c:pt idx="17">
                  <c:v>13.9</c:v>
                </c:pt>
                <c:pt idx="18">
                  <c:v>9</c:v>
                </c:pt>
                <c:pt idx="19">
                  <c:v>14</c:v>
                </c:pt>
                <c:pt idx="20">
                  <c:v>8.1999999999999993</c:v>
                </c:pt>
                <c:pt idx="21">
                  <c:v>4.3</c:v>
                </c:pt>
                <c:pt idx="22">
                  <c:v>11.5</c:v>
                </c:pt>
                <c:pt idx="23">
                  <c:v>4.9000000000000004</c:v>
                </c:pt>
                <c:pt idx="24">
                  <c:v>8.1999999999999993</c:v>
                </c:pt>
                <c:pt idx="25">
                  <c:v>4.5</c:v>
                </c:pt>
                <c:pt idx="26">
                  <c:v>4.9000000000000004</c:v>
                </c:pt>
                <c:pt idx="27">
                  <c:v>6.2</c:v>
                </c:pt>
              </c:numCache>
            </c:numRef>
          </c:val>
          <c:extLst>
            <c:ext xmlns:c16="http://schemas.microsoft.com/office/drawing/2014/chart" uri="{C3380CC4-5D6E-409C-BE32-E72D297353CC}">
              <c16:uniqueId val="{00000003-0C6D-4972-8663-61394C1A7D4D}"/>
            </c:ext>
          </c:extLst>
        </c:ser>
        <c:ser>
          <c:idx val="2"/>
          <c:order val="2"/>
          <c:tx>
            <c:strRef>
              <c:f>Sheet1!$D$1</c:f>
              <c:strCache>
                <c:ptCount val="1"/>
                <c:pt idx="0">
                  <c:v>AROP pakļautās vienas personas mājsaimniecības ar aprūpējamiem bērniem</c:v>
                </c:pt>
              </c:strCache>
            </c:strRef>
          </c:tx>
          <c:spPr>
            <a:solidFill>
              <a:srgbClr val="C00000"/>
            </a:solidFill>
            <a:ln>
              <a:noFill/>
            </a:ln>
            <a:effectLst/>
          </c:spPr>
          <c:invertIfNegative val="0"/>
          <c:dPt>
            <c:idx val="9"/>
            <c:invertIfNegative val="0"/>
            <c:bubble3D val="0"/>
            <c:spPr>
              <a:solidFill>
                <a:srgbClr val="0070C0"/>
              </a:solidFill>
              <a:ln>
                <a:noFill/>
              </a:ln>
              <a:effectLst/>
            </c:spPr>
            <c:extLst>
              <c:ext xmlns:c16="http://schemas.microsoft.com/office/drawing/2014/chart" uri="{C3380CC4-5D6E-409C-BE32-E72D297353CC}">
                <c16:uniqueId val="{00000005-0C6D-4972-8663-61394C1A7D4D}"/>
              </c:ext>
            </c:extLst>
          </c:dPt>
          <c:cat>
            <c:strRef>
              <c:f>Sheet1!$A$2:$A$29</c:f>
              <c:strCache>
                <c:ptCount val="28"/>
                <c:pt idx="0">
                  <c:v>Kipra</c:v>
                </c:pt>
                <c:pt idx="1">
                  <c:v>Bulgārija</c:v>
                </c:pt>
                <c:pt idx="2">
                  <c:v>Lietuva</c:v>
                </c:pt>
                <c:pt idx="3">
                  <c:v>Grieķija</c:v>
                </c:pt>
                <c:pt idx="4">
                  <c:v>Portugāle</c:v>
                </c:pt>
                <c:pt idx="5">
                  <c:v>Slovākija</c:v>
                </c:pt>
                <c:pt idx="6">
                  <c:v>Itālija</c:v>
                </c:pt>
                <c:pt idx="7">
                  <c:v>Spānija</c:v>
                </c:pt>
                <c:pt idx="8">
                  <c:v>Rumānija</c:v>
                </c:pt>
                <c:pt idx="9">
                  <c:v>27 ES dalībvalstis</c:v>
                </c:pt>
                <c:pt idx="10">
                  <c:v>Īrija</c:v>
                </c:pt>
                <c:pt idx="11">
                  <c:v>Francija</c:v>
                </c:pt>
                <c:pt idx="12">
                  <c:v>Horvātija</c:v>
                </c:pt>
                <c:pt idx="13">
                  <c:v>Beļģija</c:v>
                </c:pt>
                <c:pt idx="14">
                  <c:v>Latvija</c:v>
                </c:pt>
                <c:pt idx="15">
                  <c:v>Dānija</c:v>
                </c:pt>
                <c:pt idx="16">
                  <c:v>Nīderlande</c:v>
                </c:pt>
                <c:pt idx="17">
                  <c:v>Malta</c:v>
                </c:pt>
                <c:pt idx="18">
                  <c:v>Čehija</c:v>
                </c:pt>
                <c:pt idx="19">
                  <c:v>Ungārija</c:v>
                </c:pt>
                <c:pt idx="20">
                  <c:v>Vācija</c:v>
                </c:pt>
                <c:pt idx="21">
                  <c:v>Somija</c:v>
                </c:pt>
                <c:pt idx="22">
                  <c:v>Polija</c:v>
                </c:pt>
                <c:pt idx="23">
                  <c:v>Zviedrija</c:v>
                </c:pt>
                <c:pt idx="24">
                  <c:v>Slovēnija</c:v>
                </c:pt>
                <c:pt idx="25">
                  <c:v>Luksemburga</c:v>
                </c:pt>
                <c:pt idx="26">
                  <c:v>Austrija</c:v>
                </c:pt>
                <c:pt idx="27">
                  <c:v>Igaunija</c:v>
                </c:pt>
              </c:strCache>
            </c:strRef>
          </c:cat>
          <c:val>
            <c:numRef>
              <c:f>Sheet1!$D$2:$D$29</c:f>
              <c:numCache>
                <c:formatCode>#.##0.0</c:formatCode>
                <c:ptCount val="28"/>
                <c:pt idx="0">
                  <c:v>66.900000000000006</c:v>
                </c:pt>
                <c:pt idx="1">
                  <c:v>47.4</c:v>
                </c:pt>
                <c:pt idx="2">
                  <c:v>41.8</c:v>
                </c:pt>
                <c:pt idx="3">
                  <c:v>49.5</c:v>
                </c:pt>
                <c:pt idx="4">
                  <c:v>36</c:v>
                </c:pt>
                <c:pt idx="5">
                  <c:v>22.9</c:v>
                </c:pt>
                <c:pt idx="6">
                  <c:v>24.1</c:v>
                </c:pt>
                <c:pt idx="7">
                  <c:v>16.7</c:v>
                </c:pt>
                <c:pt idx="8">
                  <c:v>23.6</c:v>
                </c:pt>
                <c:pt idx="9">
                  <c:v>18.399999999999999</c:v>
                </c:pt>
                <c:pt idx="10">
                  <c:v>10.8</c:v>
                </c:pt>
                <c:pt idx="11">
                  <c:v>19.600000000000001</c:v>
                </c:pt>
                <c:pt idx="12">
                  <c:v>39.4</c:v>
                </c:pt>
                <c:pt idx="13">
                  <c:v>15.7</c:v>
                </c:pt>
                <c:pt idx="14">
                  <c:v>18.899999999999999</c:v>
                </c:pt>
                <c:pt idx="15">
                  <c:v>22.1</c:v>
                </c:pt>
                <c:pt idx="16">
                  <c:v>19.3</c:v>
                </c:pt>
                <c:pt idx="17">
                  <c:v>21.9</c:v>
                </c:pt>
                <c:pt idx="18">
                  <c:v>10.1</c:v>
                </c:pt>
                <c:pt idx="19">
                  <c:v>14.1</c:v>
                </c:pt>
                <c:pt idx="20">
                  <c:v>12</c:v>
                </c:pt>
                <c:pt idx="21">
                  <c:v>3.3</c:v>
                </c:pt>
                <c:pt idx="22">
                  <c:v>10.4</c:v>
                </c:pt>
                <c:pt idx="23">
                  <c:v>4.8</c:v>
                </c:pt>
                <c:pt idx="24">
                  <c:v>8.3000000000000007</c:v>
                </c:pt>
                <c:pt idx="25">
                  <c:v>7.5</c:v>
                </c:pt>
                <c:pt idx="26">
                  <c:v>16.399999999999999</c:v>
                </c:pt>
                <c:pt idx="27">
                  <c:v>3.4</c:v>
                </c:pt>
              </c:numCache>
            </c:numRef>
          </c:val>
          <c:extLst>
            <c:ext xmlns:c16="http://schemas.microsoft.com/office/drawing/2014/chart" uri="{C3380CC4-5D6E-409C-BE32-E72D297353CC}">
              <c16:uniqueId val="{00000006-0C6D-4972-8663-61394C1A7D4D}"/>
            </c:ext>
          </c:extLst>
        </c:ser>
        <c:ser>
          <c:idx val="3"/>
          <c:order val="3"/>
          <c:tx>
            <c:strRef>
              <c:f>Sheet1!$E$1</c:f>
              <c:strCache>
                <c:ptCount val="1"/>
                <c:pt idx="0">
                  <c:v>AROP pakļautās mājsaimniecības ar aprūpējamiem bērniem</c:v>
                </c:pt>
              </c:strCache>
            </c:strRef>
          </c:tx>
          <c:spPr>
            <a:solidFill>
              <a:schemeClr val="accent4"/>
            </a:solidFill>
            <a:ln>
              <a:noFill/>
            </a:ln>
            <a:effectLst/>
          </c:spPr>
          <c:invertIfNegative val="0"/>
          <c:dPt>
            <c:idx val="9"/>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8-0C6D-4972-8663-61394C1A7D4D}"/>
              </c:ext>
            </c:extLst>
          </c:dPt>
          <c:cat>
            <c:strRef>
              <c:f>Sheet1!$A$2:$A$29</c:f>
              <c:strCache>
                <c:ptCount val="28"/>
                <c:pt idx="0">
                  <c:v>Kipra</c:v>
                </c:pt>
                <c:pt idx="1">
                  <c:v>Bulgārija</c:v>
                </c:pt>
                <c:pt idx="2">
                  <c:v>Lietuva</c:v>
                </c:pt>
                <c:pt idx="3">
                  <c:v>Grieķija</c:v>
                </c:pt>
                <c:pt idx="4">
                  <c:v>Portugāle</c:v>
                </c:pt>
                <c:pt idx="5">
                  <c:v>Slovākija</c:v>
                </c:pt>
                <c:pt idx="6">
                  <c:v>Itālija</c:v>
                </c:pt>
                <c:pt idx="7">
                  <c:v>Spānija</c:v>
                </c:pt>
                <c:pt idx="8">
                  <c:v>Rumānija</c:v>
                </c:pt>
                <c:pt idx="9">
                  <c:v>27 ES dalībvalstis</c:v>
                </c:pt>
                <c:pt idx="10">
                  <c:v>Īrija</c:v>
                </c:pt>
                <c:pt idx="11">
                  <c:v>Francija</c:v>
                </c:pt>
                <c:pt idx="12">
                  <c:v>Horvātija</c:v>
                </c:pt>
                <c:pt idx="13">
                  <c:v>Beļģija</c:v>
                </c:pt>
                <c:pt idx="14">
                  <c:v>Latvija</c:v>
                </c:pt>
                <c:pt idx="15">
                  <c:v>Dānija</c:v>
                </c:pt>
                <c:pt idx="16">
                  <c:v>Nīderlande</c:v>
                </c:pt>
                <c:pt idx="17">
                  <c:v>Malta</c:v>
                </c:pt>
                <c:pt idx="18">
                  <c:v>Čehija</c:v>
                </c:pt>
                <c:pt idx="19">
                  <c:v>Ungārija</c:v>
                </c:pt>
                <c:pt idx="20">
                  <c:v>Vācija</c:v>
                </c:pt>
                <c:pt idx="21">
                  <c:v>Somija</c:v>
                </c:pt>
                <c:pt idx="22">
                  <c:v>Polija</c:v>
                </c:pt>
                <c:pt idx="23">
                  <c:v>Zviedrija</c:v>
                </c:pt>
                <c:pt idx="24">
                  <c:v>Slovēnija</c:v>
                </c:pt>
                <c:pt idx="25">
                  <c:v>Luksemburga</c:v>
                </c:pt>
                <c:pt idx="26">
                  <c:v>Austrija</c:v>
                </c:pt>
                <c:pt idx="27">
                  <c:v>Igaunija</c:v>
                </c:pt>
              </c:strCache>
            </c:strRef>
          </c:cat>
          <c:val>
            <c:numRef>
              <c:f>Sheet1!$E$2:$E$29</c:f>
              <c:numCache>
                <c:formatCode>#.##0.0</c:formatCode>
                <c:ptCount val="28"/>
                <c:pt idx="0">
                  <c:v>55.9</c:v>
                </c:pt>
                <c:pt idx="1">
                  <c:v>48.1</c:v>
                </c:pt>
                <c:pt idx="2">
                  <c:v>35</c:v>
                </c:pt>
                <c:pt idx="3">
                  <c:v>34.9</c:v>
                </c:pt>
                <c:pt idx="4">
                  <c:v>34.299999999999997</c:v>
                </c:pt>
                <c:pt idx="5">
                  <c:v>26</c:v>
                </c:pt>
                <c:pt idx="6">
                  <c:v>23.7</c:v>
                </c:pt>
                <c:pt idx="7">
                  <c:v>21.5</c:v>
                </c:pt>
                <c:pt idx="8">
                  <c:v>21</c:v>
                </c:pt>
                <c:pt idx="9">
                  <c:v>18.399999999999999</c:v>
                </c:pt>
                <c:pt idx="10">
                  <c:v>16.600000000000001</c:v>
                </c:pt>
                <c:pt idx="11">
                  <c:v>15.7</c:v>
                </c:pt>
                <c:pt idx="12">
                  <c:v>15.6</c:v>
                </c:pt>
                <c:pt idx="13">
                  <c:v>15.5</c:v>
                </c:pt>
                <c:pt idx="14">
                  <c:v>15.5</c:v>
                </c:pt>
                <c:pt idx="15">
                  <c:v>14.8</c:v>
                </c:pt>
                <c:pt idx="16">
                  <c:v>14.6</c:v>
                </c:pt>
                <c:pt idx="17">
                  <c:v>13.9</c:v>
                </c:pt>
                <c:pt idx="18">
                  <c:v>10.3</c:v>
                </c:pt>
                <c:pt idx="19">
                  <c:v>9.5</c:v>
                </c:pt>
                <c:pt idx="20">
                  <c:v>7.4</c:v>
                </c:pt>
                <c:pt idx="21">
                  <c:v>7.3</c:v>
                </c:pt>
                <c:pt idx="22">
                  <c:v>6.9</c:v>
                </c:pt>
                <c:pt idx="23">
                  <c:v>6.7</c:v>
                </c:pt>
                <c:pt idx="24">
                  <c:v>5.7</c:v>
                </c:pt>
                <c:pt idx="25">
                  <c:v>5</c:v>
                </c:pt>
                <c:pt idx="26">
                  <c:v>3.2</c:v>
                </c:pt>
                <c:pt idx="27">
                  <c:v>2.6</c:v>
                </c:pt>
              </c:numCache>
            </c:numRef>
          </c:val>
          <c:extLst>
            <c:ext xmlns:c16="http://schemas.microsoft.com/office/drawing/2014/chart" uri="{C3380CC4-5D6E-409C-BE32-E72D297353CC}">
              <c16:uniqueId val="{00000009-0C6D-4972-8663-61394C1A7D4D}"/>
            </c:ext>
          </c:extLst>
        </c:ser>
        <c:dLbls>
          <c:showLegendKey val="0"/>
          <c:showVal val="0"/>
          <c:showCatName val="0"/>
          <c:showSerName val="0"/>
          <c:showPercent val="0"/>
          <c:showBubbleSize val="0"/>
        </c:dLbls>
        <c:gapWidth val="219"/>
        <c:overlap val="-27"/>
        <c:axId val="108425600"/>
        <c:axId val="108427136"/>
      </c:barChart>
      <c:catAx>
        <c:axId val="108425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08427136"/>
        <c:crosses val="autoZero"/>
        <c:auto val="1"/>
        <c:lblAlgn val="ctr"/>
        <c:lblOffset val="100"/>
        <c:noMultiLvlLbl val="0"/>
      </c:catAx>
      <c:valAx>
        <c:axId val="108427136"/>
        <c:scaling>
          <c:orientation val="minMax"/>
          <c:max val="8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425600"/>
        <c:crosses val="autoZero"/>
        <c:crossBetween val="between"/>
      </c:valAx>
      <c:spPr>
        <a:noFill/>
        <a:ln>
          <a:noFill/>
        </a:ln>
        <a:effectLst/>
      </c:spPr>
    </c:plotArea>
    <c:legend>
      <c:legendPos val="b"/>
      <c:layout>
        <c:manualLayout>
          <c:xMode val="edge"/>
          <c:yMode val="edge"/>
          <c:x val="0"/>
          <c:y val="0.89682352205974258"/>
          <c:w val="0.99972743117900031"/>
          <c:h val="9.1271716035495568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236512102653832E-2"/>
          <c:y val="3.2386279994111589E-2"/>
          <c:w val="0.90330052493438318"/>
          <c:h val="0.54752408221699567"/>
        </c:manualLayout>
      </c:layout>
      <c:lineChart>
        <c:grouping val="standard"/>
        <c:varyColors val="0"/>
        <c:ser>
          <c:idx val="0"/>
          <c:order val="0"/>
          <c:tx>
            <c:strRef>
              <c:f>Sheet1!$B$1</c:f>
              <c:strCache>
                <c:ptCount val="1"/>
                <c:pt idx="0">
                  <c:v>Nav tualetes iekštelpās, 2010</c:v>
                </c:pt>
              </c:strCache>
            </c:strRef>
          </c:tx>
          <c:spPr>
            <a:ln w="28575" cap="rnd">
              <a:noFill/>
              <a:round/>
            </a:ln>
            <a:effectLst/>
          </c:spPr>
          <c:marker>
            <c:symbol val="circle"/>
            <c:size val="5"/>
            <c:spPr>
              <a:noFill/>
              <a:ln w="9525">
                <a:solidFill>
                  <a:srgbClr val="FF0000"/>
                </a:solidFill>
              </a:ln>
              <a:effectLst/>
            </c:spPr>
          </c:marker>
          <c:cat>
            <c:strRef>
              <c:f>Sheet1!$A$2:$A$29</c:f>
              <c:strCache>
                <c:ptCount val="28"/>
                <c:pt idx="0">
                  <c:v>27 ES dalībvalstis</c:v>
                </c:pt>
                <c:pt idx="1">
                  <c:v>Beļģija</c:v>
                </c:pt>
                <c:pt idx="2">
                  <c:v>Bulgārija</c:v>
                </c:pt>
                <c:pt idx="3">
                  <c:v>Čehija</c:v>
                </c:pt>
                <c:pt idx="4">
                  <c:v>Dānija</c:v>
                </c:pt>
                <c:pt idx="5">
                  <c:v>Vācija</c:v>
                </c:pt>
                <c:pt idx="6">
                  <c:v>Igaunija</c:v>
                </c:pt>
                <c:pt idx="7">
                  <c:v>Īrija</c:v>
                </c:pt>
                <c:pt idx="8">
                  <c:v>Grieķija</c:v>
                </c:pt>
                <c:pt idx="9">
                  <c:v>Spānija</c:v>
                </c:pt>
                <c:pt idx="10">
                  <c:v>Francija</c:v>
                </c:pt>
                <c:pt idx="11">
                  <c:v>Horvātija</c:v>
                </c:pt>
                <c:pt idx="12">
                  <c:v>Itālija</c:v>
                </c:pt>
                <c:pt idx="13">
                  <c:v>Kipra</c:v>
                </c:pt>
                <c:pt idx="14">
                  <c:v>Latvija</c:v>
                </c:pt>
                <c:pt idx="15">
                  <c:v>Lietuva</c:v>
                </c:pt>
                <c:pt idx="16">
                  <c:v>Luksemburga</c:v>
                </c:pt>
                <c:pt idx="17">
                  <c:v>Ungārija</c:v>
                </c:pt>
                <c:pt idx="18">
                  <c:v>Malta</c:v>
                </c:pt>
                <c:pt idx="19">
                  <c:v>Nīderlande</c:v>
                </c:pt>
                <c:pt idx="20">
                  <c:v>Austrija</c:v>
                </c:pt>
                <c:pt idx="21">
                  <c:v>Polija</c:v>
                </c:pt>
                <c:pt idx="22">
                  <c:v>Portugāle</c:v>
                </c:pt>
                <c:pt idx="23">
                  <c:v>Rumānija</c:v>
                </c:pt>
                <c:pt idx="24">
                  <c:v>Slovēnija</c:v>
                </c:pt>
                <c:pt idx="25">
                  <c:v>Slovākija</c:v>
                </c:pt>
                <c:pt idx="26">
                  <c:v>Somija</c:v>
                </c:pt>
                <c:pt idx="27">
                  <c:v>Zviedrija</c:v>
                </c:pt>
              </c:strCache>
            </c:strRef>
          </c:cat>
          <c:val>
            <c:numRef>
              <c:f>Sheet1!$B$2:$B$29</c:f>
              <c:numCache>
                <c:formatCode>General</c:formatCode>
                <c:ptCount val="28"/>
                <c:pt idx="0" formatCode="#.##0.0">
                  <c:v>3.7</c:v>
                </c:pt>
                <c:pt idx="2" formatCode="#.##0.0">
                  <c:v>28.4</c:v>
                </c:pt>
                <c:pt idx="3" formatCode="#.##0.0">
                  <c:v>0.3</c:v>
                </c:pt>
                <c:pt idx="5" formatCode="#.##0.0">
                  <c:v>1.3</c:v>
                </c:pt>
                <c:pt idx="6" formatCode="#.##0.0">
                  <c:v>9.1999999999999993</c:v>
                </c:pt>
                <c:pt idx="8" formatCode="#.##0.0">
                  <c:v>1</c:v>
                </c:pt>
                <c:pt idx="10" formatCode="#.##0.0">
                  <c:v>0.3</c:v>
                </c:pt>
                <c:pt idx="11" formatCode="#.##0.0">
                  <c:v>0.6</c:v>
                </c:pt>
                <c:pt idx="14" formatCode="#.##0.0">
                  <c:v>17.2</c:v>
                </c:pt>
                <c:pt idx="15" formatCode="#.##0.0">
                  <c:v>13.5</c:v>
                </c:pt>
                <c:pt idx="16" formatCode="#.##0.0">
                  <c:v>0.3</c:v>
                </c:pt>
                <c:pt idx="17" formatCode="#.##0.0">
                  <c:v>8.5</c:v>
                </c:pt>
                <c:pt idx="20" formatCode="#.##0.0">
                  <c:v>0.3</c:v>
                </c:pt>
                <c:pt idx="21" formatCode="#.##0.0">
                  <c:v>3.4</c:v>
                </c:pt>
                <c:pt idx="22" formatCode="#.##0.0">
                  <c:v>0.6</c:v>
                </c:pt>
                <c:pt idx="23" formatCode="#.##0.0">
                  <c:v>45.9</c:v>
                </c:pt>
                <c:pt idx="25" formatCode="#.##0.0">
                  <c:v>1.2</c:v>
                </c:pt>
              </c:numCache>
            </c:numRef>
          </c:val>
          <c:smooth val="0"/>
          <c:extLst>
            <c:ext xmlns:c16="http://schemas.microsoft.com/office/drawing/2014/chart" uri="{C3380CC4-5D6E-409C-BE32-E72D297353CC}">
              <c16:uniqueId val="{00000000-61B9-4B15-AF7E-F15DC84BB382}"/>
            </c:ext>
          </c:extLst>
        </c:ser>
        <c:ser>
          <c:idx val="1"/>
          <c:order val="1"/>
          <c:tx>
            <c:strRef>
              <c:f>Sheet1!$C$1</c:f>
              <c:strCache>
                <c:ptCount val="1"/>
                <c:pt idx="0">
                  <c:v>Nav tualetes iekštelpās, 2019</c:v>
                </c:pt>
              </c:strCache>
            </c:strRef>
          </c:tx>
          <c:spPr>
            <a:ln w="28575" cap="rnd">
              <a:noFill/>
              <a:round/>
            </a:ln>
            <a:effectLst/>
          </c:spPr>
          <c:marker>
            <c:symbol val="circle"/>
            <c:size val="5"/>
            <c:spPr>
              <a:solidFill>
                <a:srgbClr val="FF0000">
                  <a:alpha val="59000"/>
                </a:srgbClr>
              </a:solidFill>
              <a:ln w="9525">
                <a:solidFill>
                  <a:srgbClr val="FF0000"/>
                </a:solidFill>
              </a:ln>
              <a:effectLst/>
            </c:spPr>
          </c:marker>
          <c:cat>
            <c:strRef>
              <c:f>Sheet1!$A$2:$A$29</c:f>
              <c:strCache>
                <c:ptCount val="28"/>
                <c:pt idx="0">
                  <c:v>27 ES dalībvalstis</c:v>
                </c:pt>
                <c:pt idx="1">
                  <c:v>Beļģija</c:v>
                </c:pt>
                <c:pt idx="2">
                  <c:v>Bulgārija</c:v>
                </c:pt>
                <c:pt idx="3">
                  <c:v>Čehija</c:v>
                </c:pt>
                <c:pt idx="4">
                  <c:v>Dānija</c:v>
                </c:pt>
                <c:pt idx="5">
                  <c:v>Vācija</c:v>
                </c:pt>
                <c:pt idx="6">
                  <c:v>Igaunija</c:v>
                </c:pt>
                <c:pt idx="7">
                  <c:v>Īrija</c:v>
                </c:pt>
                <c:pt idx="8">
                  <c:v>Grieķija</c:v>
                </c:pt>
                <c:pt idx="9">
                  <c:v>Spānija</c:v>
                </c:pt>
                <c:pt idx="10">
                  <c:v>Francija</c:v>
                </c:pt>
                <c:pt idx="11">
                  <c:v>Horvātija</c:v>
                </c:pt>
                <c:pt idx="12">
                  <c:v>Itālija</c:v>
                </c:pt>
                <c:pt idx="13">
                  <c:v>Kipra</c:v>
                </c:pt>
                <c:pt idx="14">
                  <c:v>Latvija</c:v>
                </c:pt>
                <c:pt idx="15">
                  <c:v>Lietuva</c:v>
                </c:pt>
                <c:pt idx="16">
                  <c:v>Luksemburga</c:v>
                </c:pt>
                <c:pt idx="17">
                  <c:v>Ungārija</c:v>
                </c:pt>
                <c:pt idx="18">
                  <c:v>Malta</c:v>
                </c:pt>
                <c:pt idx="19">
                  <c:v>Nīderlande</c:v>
                </c:pt>
                <c:pt idx="20">
                  <c:v>Austrija</c:v>
                </c:pt>
                <c:pt idx="21">
                  <c:v>Polija</c:v>
                </c:pt>
                <c:pt idx="22">
                  <c:v>Portugāle</c:v>
                </c:pt>
                <c:pt idx="23">
                  <c:v>Rumānija</c:v>
                </c:pt>
                <c:pt idx="24">
                  <c:v>Slovēnija</c:v>
                </c:pt>
                <c:pt idx="25">
                  <c:v>Slovākija</c:v>
                </c:pt>
                <c:pt idx="26">
                  <c:v>Somija</c:v>
                </c:pt>
                <c:pt idx="27">
                  <c:v>Zviedrija</c:v>
                </c:pt>
              </c:strCache>
            </c:strRef>
          </c:cat>
          <c:val>
            <c:numRef>
              <c:f>Sheet1!$C$2:$C$29</c:f>
              <c:numCache>
                <c:formatCode>#.##0.0</c:formatCode>
                <c:ptCount val="28"/>
                <c:pt idx="0">
                  <c:v>2</c:v>
                </c:pt>
                <c:pt idx="1">
                  <c:v>0.3</c:v>
                </c:pt>
                <c:pt idx="2">
                  <c:v>16.2</c:v>
                </c:pt>
                <c:pt idx="3">
                  <c:v>0.3</c:v>
                </c:pt>
                <c:pt idx="6">
                  <c:v>1.6</c:v>
                </c:pt>
                <c:pt idx="8">
                  <c:v>0.4</c:v>
                </c:pt>
                <c:pt idx="9">
                  <c:v>0.4</c:v>
                </c:pt>
                <c:pt idx="10">
                  <c:v>0.4</c:v>
                </c:pt>
                <c:pt idx="11">
                  <c:v>0.7</c:v>
                </c:pt>
                <c:pt idx="12">
                  <c:v>0.7</c:v>
                </c:pt>
                <c:pt idx="14">
                  <c:v>6.1</c:v>
                </c:pt>
                <c:pt idx="15">
                  <c:v>10.5</c:v>
                </c:pt>
                <c:pt idx="17">
                  <c:v>4.8</c:v>
                </c:pt>
                <c:pt idx="21">
                  <c:v>1.1000000000000001</c:v>
                </c:pt>
                <c:pt idx="22">
                  <c:v>0.4</c:v>
                </c:pt>
                <c:pt idx="23">
                  <c:v>26.5</c:v>
                </c:pt>
                <c:pt idx="25">
                  <c:v>2.4</c:v>
                </c:pt>
              </c:numCache>
            </c:numRef>
          </c:val>
          <c:smooth val="0"/>
          <c:extLst>
            <c:ext xmlns:c16="http://schemas.microsoft.com/office/drawing/2014/chart" uri="{C3380CC4-5D6E-409C-BE32-E72D297353CC}">
              <c16:uniqueId val="{00000001-61B9-4B15-AF7E-F15DC84BB382}"/>
            </c:ext>
          </c:extLst>
        </c:ser>
        <c:ser>
          <c:idx val="2"/>
          <c:order val="2"/>
          <c:tx>
            <c:strRef>
              <c:f>Sheet1!$D$1</c:f>
              <c:strCache>
                <c:ptCount val="1"/>
                <c:pt idx="0">
                  <c:v>Nav ne vannas, ne dušas, 2010</c:v>
                </c:pt>
              </c:strCache>
            </c:strRef>
          </c:tx>
          <c:spPr>
            <a:ln w="28575" cap="rnd">
              <a:noFill/>
              <a:round/>
            </a:ln>
            <a:effectLst/>
          </c:spPr>
          <c:marker>
            <c:symbol val="circle"/>
            <c:size val="5"/>
            <c:spPr>
              <a:noFill/>
              <a:ln w="9525">
                <a:solidFill>
                  <a:srgbClr val="00B0F0"/>
                </a:solidFill>
              </a:ln>
              <a:effectLst/>
            </c:spPr>
          </c:marker>
          <c:cat>
            <c:strRef>
              <c:f>Sheet1!$A$2:$A$29</c:f>
              <c:strCache>
                <c:ptCount val="28"/>
                <c:pt idx="0">
                  <c:v>27 ES dalībvalstis</c:v>
                </c:pt>
                <c:pt idx="1">
                  <c:v>Beļģija</c:v>
                </c:pt>
                <c:pt idx="2">
                  <c:v>Bulgārija</c:v>
                </c:pt>
                <c:pt idx="3">
                  <c:v>Čehija</c:v>
                </c:pt>
                <c:pt idx="4">
                  <c:v>Dānija</c:v>
                </c:pt>
                <c:pt idx="5">
                  <c:v>Vācija</c:v>
                </c:pt>
                <c:pt idx="6">
                  <c:v>Igaunija</c:v>
                </c:pt>
                <c:pt idx="7">
                  <c:v>Īrija</c:v>
                </c:pt>
                <c:pt idx="8">
                  <c:v>Grieķija</c:v>
                </c:pt>
                <c:pt idx="9">
                  <c:v>Spānija</c:v>
                </c:pt>
                <c:pt idx="10">
                  <c:v>Francija</c:v>
                </c:pt>
                <c:pt idx="11">
                  <c:v>Horvātija</c:v>
                </c:pt>
                <c:pt idx="12">
                  <c:v>Itālija</c:v>
                </c:pt>
                <c:pt idx="13">
                  <c:v>Kipra</c:v>
                </c:pt>
                <c:pt idx="14">
                  <c:v>Latvija</c:v>
                </c:pt>
                <c:pt idx="15">
                  <c:v>Lietuva</c:v>
                </c:pt>
                <c:pt idx="16">
                  <c:v>Luksemburga</c:v>
                </c:pt>
                <c:pt idx="17">
                  <c:v>Ungārija</c:v>
                </c:pt>
                <c:pt idx="18">
                  <c:v>Malta</c:v>
                </c:pt>
                <c:pt idx="19">
                  <c:v>Nīderlande</c:v>
                </c:pt>
                <c:pt idx="20">
                  <c:v>Austrija</c:v>
                </c:pt>
                <c:pt idx="21">
                  <c:v>Polija</c:v>
                </c:pt>
                <c:pt idx="22">
                  <c:v>Portugāle</c:v>
                </c:pt>
                <c:pt idx="23">
                  <c:v>Rumānija</c:v>
                </c:pt>
                <c:pt idx="24">
                  <c:v>Slovēnija</c:v>
                </c:pt>
                <c:pt idx="25">
                  <c:v>Slovākija</c:v>
                </c:pt>
                <c:pt idx="26">
                  <c:v>Somija</c:v>
                </c:pt>
                <c:pt idx="27">
                  <c:v>Zviedrija</c:v>
                </c:pt>
              </c:strCache>
            </c:strRef>
          </c:cat>
          <c:val>
            <c:numRef>
              <c:f>Sheet1!$D$2:$D$29</c:f>
              <c:numCache>
                <c:formatCode>General</c:formatCode>
                <c:ptCount val="28"/>
                <c:pt idx="0" formatCode="#.##0.0">
                  <c:v>3.3</c:v>
                </c:pt>
                <c:pt idx="2" formatCode="#.##0.0">
                  <c:v>19.8</c:v>
                </c:pt>
                <c:pt idx="3" formatCode="#.##0.0">
                  <c:v>0.3</c:v>
                </c:pt>
                <c:pt idx="4" formatCode="#.##0.0">
                  <c:v>0.4</c:v>
                </c:pt>
                <c:pt idx="5" formatCode="#.##0.0">
                  <c:v>0.3</c:v>
                </c:pt>
                <c:pt idx="6" formatCode="#.##0.0">
                  <c:v>9.6</c:v>
                </c:pt>
                <c:pt idx="7" formatCode="#.##0.0">
                  <c:v>1.2</c:v>
                </c:pt>
                <c:pt idx="8" formatCode="#.##0.0">
                  <c:v>0.4</c:v>
                </c:pt>
                <c:pt idx="10" formatCode="#.##0.0">
                  <c:v>0.3</c:v>
                </c:pt>
                <c:pt idx="14" formatCode="#.##0.0">
                  <c:v>20.100000000000001</c:v>
                </c:pt>
                <c:pt idx="15" formatCode="#.##0.0">
                  <c:v>13.1</c:v>
                </c:pt>
                <c:pt idx="17" formatCode="#.##0.0">
                  <c:v>6</c:v>
                </c:pt>
                <c:pt idx="21" formatCode="#.##0.0">
                  <c:v>3.8</c:v>
                </c:pt>
                <c:pt idx="22" formatCode="#.##0.0">
                  <c:v>0.8</c:v>
                </c:pt>
                <c:pt idx="23" formatCode="#.##0.0">
                  <c:v>43.7</c:v>
                </c:pt>
                <c:pt idx="25" formatCode="#.##0.0">
                  <c:v>0.4</c:v>
                </c:pt>
                <c:pt idx="26" formatCode="#.##0.0">
                  <c:v>0.3</c:v>
                </c:pt>
                <c:pt idx="27" formatCode="#.##0.0">
                  <c:v>0.5</c:v>
                </c:pt>
              </c:numCache>
            </c:numRef>
          </c:val>
          <c:smooth val="0"/>
          <c:extLst>
            <c:ext xmlns:c16="http://schemas.microsoft.com/office/drawing/2014/chart" uri="{C3380CC4-5D6E-409C-BE32-E72D297353CC}">
              <c16:uniqueId val="{00000002-61B9-4B15-AF7E-F15DC84BB382}"/>
            </c:ext>
          </c:extLst>
        </c:ser>
        <c:ser>
          <c:idx val="3"/>
          <c:order val="3"/>
          <c:tx>
            <c:strRef>
              <c:f>Sheet1!$E$1</c:f>
              <c:strCache>
                <c:ptCount val="1"/>
                <c:pt idx="0">
                  <c:v>Nav ne vannas, ne dušas, 2019</c:v>
                </c:pt>
              </c:strCache>
            </c:strRef>
          </c:tx>
          <c:spPr>
            <a:ln w="28575" cap="rnd">
              <a:noFill/>
              <a:round/>
            </a:ln>
            <a:effectLst/>
          </c:spPr>
          <c:marker>
            <c:symbol val="circle"/>
            <c:size val="5"/>
            <c:spPr>
              <a:solidFill>
                <a:srgbClr val="00B0F0">
                  <a:alpha val="71000"/>
                </a:srgbClr>
              </a:solidFill>
              <a:ln w="9525">
                <a:solidFill>
                  <a:srgbClr val="00B0F0"/>
                </a:solidFill>
              </a:ln>
              <a:effectLst/>
            </c:spPr>
          </c:marker>
          <c:cat>
            <c:strRef>
              <c:f>Sheet1!$A$2:$A$29</c:f>
              <c:strCache>
                <c:ptCount val="28"/>
                <c:pt idx="0">
                  <c:v>27 ES dalībvalstis</c:v>
                </c:pt>
                <c:pt idx="1">
                  <c:v>Beļģija</c:v>
                </c:pt>
                <c:pt idx="2">
                  <c:v>Bulgārija</c:v>
                </c:pt>
                <c:pt idx="3">
                  <c:v>Čehija</c:v>
                </c:pt>
                <c:pt idx="4">
                  <c:v>Dānija</c:v>
                </c:pt>
                <c:pt idx="5">
                  <c:v>Vācija</c:v>
                </c:pt>
                <c:pt idx="6">
                  <c:v>Igaunija</c:v>
                </c:pt>
                <c:pt idx="7">
                  <c:v>Īrija</c:v>
                </c:pt>
                <c:pt idx="8">
                  <c:v>Grieķija</c:v>
                </c:pt>
                <c:pt idx="9">
                  <c:v>Spānija</c:v>
                </c:pt>
                <c:pt idx="10">
                  <c:v>Francija</c:v>
                </c:pt>
                <c:pt idx="11">
                  <c:v>Horvātija</c:v>
                </c:pt>
                <c:pt idx="12">
                  <c:v>Itālija</c:v>
                </c:pt>
                <c:pt idx="13">
                  <c:v>Kipra</c:v>
                </c:pt>
                <c:pt idx="14">
                  <c:v>Latvija</c:v>
                </c:pt>
                <c:pt idx="15">
                  <c:v>Lietuva</c:v>
                </c:pt>
                <c:pt idx="16">
                  <c:v>Luksemburga</c:v>
                </c:pt>
                <c:pt idx="17">
                  <c:v>Ungārija</c:v>
                </c:pt>
                <c:pt idx="18">
                  <c:v>Malta</c:v>
                </c:pt>
                <c:pt idx="19">
                  <c:v>Nīderlande</c:v>
                </c:pt>
                <c:pt idx="20">
                  <c:v>Austrija</c:v>
                </c:pt>
                <c:pt idx="21">
                  <c:v>Polija</c:v>
                </c:pt>
                <c:pt idx="22">
                  <c:v>Portugāle</c:v>
                </c:pt>
                <c:pt idx="23">
                  <c:v>Rumānija</c:v>
                </c:pt>
                <c:pt idx="24">
                  <c:v>Slovēnija</c:v>
                </c:pt>
                <c:pt idx="25">
                  <c:v>Slovākija</c:v>
                </c:pt>
                <c:pt idx="26">
                  <c:v>Somija</c:v>
                </c:pt>
                <c:pt idx="27">
                  <c:v>Zviedrija</c:v>
                </c:pt>
              </c:strCache>
            </c:strRef>
          </c:cat>
          <c:val>
            <c:numRef>
              <c:f>Sheet1!$E$2:$E$29</c:f>
              <c:numCache>
                <c:formatCode>General</c:formatCode>
                <c:ptCount val="28"/>
                <c:pt idx="0">
                  <c:v>1.9</c:v>
                </c:pt>
                <c:pt idx="2">
                  <c:v>10.7</c:v>
                </c:pt>
                <c:pt idx="4">
                  <c:v>0.7</c:v>
                </c:pt>
                <c:pt idx="6">
                  <c:v>2.2000000000000002</c:v>
                </c:pt>
                <c:pt idx="8">
                  <c:v>0.7</c:v>
                </c:pt>
                <c:pt idx="9">
                  <c:v>0.3</c:v>
                </c:pt>
                <c:pt idx="10">
                  <c:v>0.6</c:v>
                </c:pt>
                <c:pt idx="11">
                  <c:v>0.6</c:v>
                </c:pt>
                <c:pt idx="12">
                  <c:v>0.6</c:v>
                </c:pt>
                <c:pt idx="14">
                  <c:v>7.2</c:v>
                </c:pt>
                <c:pt idx="15">
                  <c:v>10.4</c:v>
                </c:pt>
                <c:pt idx="16">
                  <c:v>0.5</c:v>
                </c:pt>
                <c:pt idx="17">
                  <c:v>4.7</c:v>
                </c:pt>
                <c:pt idx="21">
                  <c:v>1.3</c:v>
                </c:pt>
                <c:pt idx="22">
                  <c:v>0.3</c:v>
                </c:pt>
                <c:pt idx="23">
                  <c:v>25.2</c:v>
                </c:pt>
                <c:pt idx="25">
                  <c:v>2.2000000000000002</c:v>
                </c:pt>
              </c:numCache>
            </c:numRef>
          </c:val>
          <c:smooth val="0"/>
          <c:extLst>
            <c:ext xmlns:c16="http://schemas.microsoft.com/office/drawing/2014/chart" uri="{C3380CC4-5D6E-409C-BE32-E72D297353CC}">
              <c16:uniqueId val="{00000003-61B9-4B15-AF7E-F15DC84BB382}"/>
            </c:ext>
          </c:extLst>
        </c:ser>
        <c:ser>
          <c:idx val="4"/>
          <c:order val="4"/>
          <c:tx>
            <c:strRef>
              <c:f>Sheet1!$F$1</c:f>
              <c:strCache>
                <c:ptCount val="1"/>
                <c:pt idx="0">
                  <c:v>Caurs jumts, mitras sienas, grīdas vai pamati vai logu rāmju vai grīdas puve, 2010, AROP</c:v>
                </c:pt>
              </c:strCache>
            </c:strRef>
          </c:tx>
          <c:spPr>
            <a:ln w="28575" cap="rnd">
              <a:noFill/>
              <a:round/>
            </a:ln>
            <a:effectLst/>
          </c:spPr>
          <c:marker>
            <c:symbol val="circle"/>
            <c:size val="5"/>
            <c:spPr>
              <a:noFill/>
              <a:ln w="9525">
                <a:solidFill>
                  <a:schemeClr val="accent3">
                    <a:lumMod val="75000"/>
                    <a:alpha val="97000"/>
                  </a:schemeClr>
                </a:solidFill>
              </a:ln>
              <a:effectLst/>
            </c:spPr>
          </c:marker>
          <c:cat>
            <c:strRef>
              <c:f>Sheet1!$A$2:$A$29</c:f>
              <c:strCache>
                <c:ptCount val="28"/>
                <c:pt idx="0">
                  <c:v>27 ES dalībvalstis</c:v>
                </c:pt>
                <c:pt idx="1">
                  <c:v>Beļģija</c:v>
                </c:pt>
                <c:pt idx="2">
                  <c:v>Bulgārija</c:v>
                </c:pt>
                <c:pt idx="3">
                  <c:v>Čehija</c:v>
                </c:pt>
                <c:pt idx="4">
                  <c:v>Dānija</c:v>
                </c:pt>
                <c:pt idx="5">
                  <c:v>Vācija</c:v>
                </c:pt>
                <c:pt idx="6">
                  <c:v>Igaunija</c:v>
                </c:pt>
                <c:pt idx="7">
                  <c:v>Īrija</c:v>
                </c:pt>
                <c:pt idx="8">
                  <c:v>Grieķija</c:v>
                </c:pt>
                <c:pt idx="9">
                  <c:v>Spānija</c:v>
                </c:pt>
                <c:pt idx="10">
                  <c:v>Francija</c:v>
                </c:pt>
                <c:pt idx="11">
                  <c:v>Horvātija</c:v>
                </c:pt>
                <c:pt idx="12">
                  <c:v>Itālija</c:v>
                </c:pt>
                <c:pt idx="13">
                  <c:v>Kipra</c:v>
                </c:pt>
                <c:pt idx="14">
                  <c:v>Latvija</c:v>
                </c:pt>
                <c:pt idx="15">
                  <c:v>Lietuva</c:v>
                </c:pt>
                <c:pt idx="16">
                  <c:v>Luksemburga</c:v>
                </c:pt>
                <c:pt idx="17">
                  <c:v>Ungārija</c:v>
                </c:pt>
                <c:pt idx="18">
                  <c:v>Malta</c:v>
                </c:pt>
                <c:pt idx="19">
                  <c:v>Nīderlande</c:v>
                </c:pt>
                <c:pt idx="20">
                  <c:v>Austrija</c:v>
                </c:pt>
                <c:pt idx="21">
                  <c:v>Polija</c:v>
                </c:pt>
                <c:pt idx="22">
                  <c:v>Portugāle</c:v>
                </c:pt>
                <c:pt idx="23">
                  <c:v>Rumānija</c:v>
                </c:pt>
                <c:pt idx="24">
                  <c:v>Slovēnija</c:v>
                </c:pt>
                <c:pt idx="25">
                  <c:v>Slovākija</c:v>
                </c:pt>
                <c:pt idx="26">
                  <c:v>Somija</c:v>
                </c:pt>
                <c:pt idx="27">
                  <c:v>Zviedrija</c:v>
                </c:pt>
              </c:strCache>
            </c:strRef>
          </c:cat>
          <c:val>
            <c:numRef>
              <c:f>Sheet1!$F$2:$F$29</c:f>
              <c:numCache>
                <c:formatCode>#.##0.0</c:formatCode>
                <c:ptCount val="28"/>
                <c:pt idx="0">
                  <c:v>28.1</c:v>
                </c:pt>
                <c:pt idx="1">
                  <c:v>38.299999999999997</c:v>
                </c:pt>
                <c:pt idx="2">
                  <c:v>42.5</c:v>
                </c:pt>
                <c:pt idx="3">
                  <c:v>22.3</c:v>
                </c:pt>
                <c:pt idx="4">
                  <c:v>19</c:v>
                </c:pt>
                <c:pt idx="5">
                  <c:v>26.8</c:v>
                </c:pt>
                <c:pt idx="6">
                  <c:v>29.5</c:v>
                </c:pt>
                <c:pt idx="7">
                  <c:v>13.9</c:v>
                </c:pt>
                <c:pt idx="8">
                  <c:v>27.5</c:v>
                </c:pt>
                <c:pt idx="9">
                  <c:v>30.9</c:v>
                </c:pt>
                <c:pt idx="10">
                  <c:v>23.4</c:v>
                </c:pt>
                <c:pt idx="11">
                  <c:v>30.1</c:v>
                </c:pt>
                <c:pt idx="12">
                  <c:v>26.9</c:v>
                </c:pt>
                <c:pt idx="13">
                  <c:v>36.9</c:v>
                </c:pt>
                <c:pt idx="14">
                  <c:v>37.6</c:v>
                </c:pt>
                <c:pt idx="15">
                  <c:v>26.9</c:v>
                </c:pt>
                <c:pt idx="16">
                  <c:v>21.4</c:v>
                </c:pt>
                <c:pt idx="17">
                  <c:v>50.7</c:v>
                </c:pt>
                <c:pt idx="18">
                  <c:v>15.8</c:v>
                </c:pt>
                <c:pt idx="19">
                  <c:v>25.2</c:v>
                </c:pt>
                <c:pt idx="20">
                  <c:v>21.7</c:v>
                </c:pt>
                <c:pt idx="21">
                  <c:v>30.4</c:v>
                </c:pt>
                <c:pt idx="22">
                  <c:v>32</c:v>
                </c:pt>
                <c:pt idx="23">
                  <c:v>33.1</c:v>
                </c:pt>
                <c:pt idx="24">
                  <c:v>46</c:v>
                </c:pt>
                <c:pt idx="25">
                  <c:v>11.3</c:v>
                </c:pt>
                <c:pt idx="26">
                  <c:v>11.1</c:v>
                </c:pt>
                <c:pt idx="27">
                  <c:v>9.9</c:v>
                </c:pt>
              </c:numCache>
            </c:numRef>
          </c:val>
          <c:smooth val="0"/>
          <c:extLst>
            <c:ext xmlns:c16="http://schemas.microsoft.com/office/drawing/2014/chart" uri="{C3380CC4-5D6E-409C-BE32-E72D297353CC}">
              <c16:uniqueId val="{00000004-61B9-4B15-AF7E-F15DC84BB382}"/>
            </c:ext>
          </c:extLst>
        </c:ser>
        <c:ser>
          <c:idx val="5"/>
          <c:order val="5"/>
          <c:tx>
            <c:strRef>
              <c:f>Sheet1!$G$1</c:f>
              <c:strCache>
                <c:ptCount val="1"/>
                <c:pt idx="0">
                  <c:v>Caurs jumts, mitras sienas, grīdas vai pamati vai logu rāmju vai grīdas puve, 2010, bez AROP</c:v>
                </c:pt>
              </c:strCache>
            </c:strRef>
          </c:tx>
          <c:spPr>
            <a:ln w="28575" cap="rnd">
              <a:noFill/>
              <a:round/>
            </a:ln>
            <a:effectLst/>
          </c:spPr>
          <c:marker>
            <c:symbol val="diamond"/>
            <c:size val="5"/>
            <c:spPr>
              <a:noFill/>
              <a:ln w="9525">
                <a:solidFill>
                  <a:schemeClr val="accent3">
                    <a:lumMod val="75000"/>
                  </a:schemeClr>
                </a:solidFill>
              </a:ln>
              <a:effectLst/>
            </c:spPr>
          </c:marker>
          <c:cat>
            <c:strRef>
              <c:f>Sheet1!$A$2:$A$29</c:f>
              <c:strCache>
                <c:ptCount val="28"/>
                <c:pt idx="0">
                  <c:v>27 ES dalībvalstis</c:v>
                </c:pt>
                <c:pt idx="1">
                  <c:v>Beļģija</c:v>
                </c:pt>
                <c:pt idx="2">
                  <c:v>Bulgārija</c:v>
                </c:pt>
                <c:pt idx="3">
                  <c:v>Čehija</c:v>
                </c:pt>
                <c:pt idx="4">
                  <c:v>Dānija</c:v>
                </c:pt>
                <c:pt idx="5">
                  <c:v>Vācija</c:v>
                </c:pt>
                <c:pt idx="6">
                  <c:v>Igaunija</c:v>
                </c:pt>
                <c:pt idx="7">
                  <c:v>Īrija</c:v>
                </c:pt>
                <c:pt idx="8">
                  <c:v>Grieķija</c:v>
                </c:pt>
                <c:pt idx="9">
                  <c:v>Spānija</c:v>
                </c:pt>
                <c:pt idx="10">
                  <c:v>Francija</c:v>
                </c:pt>
                <c:pt idx="11">
                  <c:v>Horvātija</c:v>
                </c:pt>
                <c:pt idx="12">
                  <c:v>Itālija</c:v>
                </c:pt>
                <c:pt idx="13">
                  <c:v>Kipra</c:v>
                </c:pt>
                <c:pt idx="14">
                  <c:v>Latvija</c:v>
                </c:pt>
                <c:pt idx="15">
                  <c:v>Lietuva</c:v>
                </c:pt>
                <c:pt idx="16">
                  <c:v>Luksemburga</c:v>
                </c:pt>
                <c:pt idx="17">
                  <c:v>Ungārija</c:v>
                </c:pt>
                <c:pt idx="18">
                  <c:v>Malta</c:v>
                </c:pt>
                <c:pt idx="19">
                  <c:v>Nīderlande</c:v>
                </c:pt>
                <c:pt idx="20">
                  <c:v>Austrija</c:v>
                </c:pt>
                <c:pt idx="21">
                  <c:v>Polija</c:v>
                </c:pt>
                <c:pt idx="22">
                  <c:v>Portugāle</c:v>
                </c:pt>
                <c:pt idx="23">
                  <c:v>Rumānija</c:v>
                </c:pt>
                <c:pt idx="24">
                  <c:v>Slovēnija</c:v>
                </c:pt>
                <c:pt idx="25">
                  <c:v>Slovākija</c:v>
                </c:pt>
                <c:pt idx="26">
                  <c:v>Somija</c:v>
                </c:pt>
                <c:pt idx="27">
                  <c:v>Zviedrija</c:v>
                </c:pt>
              </c:strCache>
            </c:strRef>
          </c:cat>
          <c:val>
            <c:numRef>
              <c:f>Sheet1!$G$2:$G$29</c:f>
              <c:numCache>
                <c:formatCode>#.##0.0</c:formatCode>
                <c:ptCount val="28"/>
                <c:pt idx="0">
                  <c:v>15</c:v>
                </c:pt>
                <c:pt idx="1">
                  <c:v>19.600000000000001</c:v>
                </c:pt>
                <c:pt idx="2">
                  <c:v>10.7</c:v>
                </c:pt>
                <c:pt idx="3">
                  <c:v>10.4</c:v>
                </c:pt>
                <c:pt idx="4">
                  <c:v>8.1999999999999993</c:v>
                </c:pt>
                <c:pt idx="5">
                  <c:v>13.6</c:v>
                </c:pt>
                <c:pt idx="6">
                  <c:v>18.8</c:v>
                </c:pt>
                <c:pt idx="7">
                  <c:v>11.2</c:v>
                </c:pt>
                <c:pt idx="8">
                  <c:v>11.5</c:v>
                </c:pt>
                <c:pt idx="9">
                  <c:v>20.399999999999999</c:v>
                </c:pt>
                <c:pt idx="10">
                  <c:v>13.4</c:v>
                </c:pt>
                <c:pt idx="11">
                  <c:v>17.100000000000001</c:v>
                </c:pt>
                <c:pt idx="12">
                  <c:v>18.3</c:v>
                </c:pt>
                <c:pt idx="13">
                  <c:v>28</c:v>
                </c:pt>
                <c:pt idx="14">
                  <c:v>22.4</c:v>
                </c:pt>
                <c:pt idx="15">
                  <c:v>16.399999999999999</c:v>
                </c:pt>
                <c:pt idx="16">
                  <c:v>19.5</c:v>
                </c:pt>
                <c:pt idx="17">
                  <c:v>23.3</c:v>
                </c:pt>
                <c:pt idx="18">
                  <c:v>9.8000000000000007</c:v>
                </c:pt>
                <c:pt idx="19">
                  <c:v>16.3</c:v>
                </c:pt>
                <c:pt idx="20">
                  <c:v>15.6</c:v>
                </c:pt>
                <c:pt idx="21">
                  <c:v>13.1</c:v>
                </c:pt>
                <c:pt idx="22">
                  <c:v>19.899999999999999</c:v>
                </c:pt>
                <c:pt idx="23">
                  <c:v>14.6</c:v>
                </c:pt>
                <c:pt idx="24">
                  <c:v>27.8</c:v>
                </c:pt>
                <c:pt idx="25">
                  <c:v>5.4</c:v>
                </c:pt>
                <c:pt idx="26">
                  <c:v>4.2</c:v>
                </c:pt>
                <c:pt idx="27">
                  <c:v>8.6</c:v>
                </c:pt>
              </c:numCache>
            </c:numRef>
          </c:val>
          <c:smooth val="0"/>
          <c:extLst>
            <c:ext xmlns:c16="http://schemas.microsoft.com/office/drawing/2014/chart" uri="{C3380CC4-5D6E-409C-BE32-E72D297353CC}">
              <c16:uniqueId val="{00000005-61B9-4B15-AF7E-F15DC84BB382}"/>
            </c:ext>
          </c:extLst>
        </c:ser>
        <c:ser>
          <c:idx val="6"/>
          <c:order val="6"/>
          <c:tx>
            <c:strRef>
              <c:f>Sheet1!$H$1</c:f>
              <c:strCache>
                <c:ptCount val="1"/>
                <c:pt idx="0">
                  <c:v>Caurs jumts, mitras sienas, grīdas vai pamati vai logu rāmju vai grīdas puve, 2019, AROP</c:v>
                </c:pt>
              </c:strCache>
            </c:strRef>
          </c:tx>
          <c:spPr>
            <a:ln w="28575" cap="rnd">
              <a:noFill/>
              <a:round/>
            </a:ln>
            <a:effectLst/>
          </c:spPr>
          <c:marker>
            <c:symbol val="circle"/>
            <c:size val="5"/>
            <c:spPr>
              <a:solidFill>
                <a:schemeClr val="accent3">
                  <a:lumMod val="75000"/>
                </a:schemeClr>
              </a:solidFill>
              <a:ln w="9525">
                <a:solidFill>
                  <a:schemeClr val="accent3">
                    <a:lumMod val="75000"/>
                  </a:schemeClr>
                </a:solidFill>
              </a:ln>
              <a:effectLst/>
            </c:spPr>
          </c:marker>
          <c:cat>
            <c:strRef>
              <c:f>Sheet1!$A$2:$A$29</c:f>
              <c:strCache>
                <c:ptCount val="28"/>
                <c:pt idx="0">
                  <c:v>27 ES dalībvalstis</c:v>
                </c:pt>
                <c:pt idx="1">
                  <c:v>Beļģija</c:v>
                </c:pt>
                <c:pt idx="2">
                  <c:v>Bulgārija</c:v>
                </c:pt>
                <c:pt idx="3">
                  <c:v>Čehija</c:v>
                </c:pt>
                <c:pt idx="4">
                  <c:v>Dānija</c:v>
                </c:pt>
                <c:pt idx="5">
                  <c:v>Vācija</c:v>
                </c:pt>
                <c:pt idx="6">
                  <c:v>Igaunija</c:v>
                </c:pt>
                <c:pt idx="7">
                  <c:v>Īrija</c:v>
                </c:pt>
                <c:pt idx="8">
                  <c:v>Grieķija</c:v>
                </c:pt>
                <c:pt idx="9">
                  <c:v>Spānija</c:v>
                </c:pt>
                <c:pt idx="10">
                  <c:v>Francija</c:v>
                </c:pt>
                <c:pt idx="11">
                  <c:v>Horvātija</c:v>
                </c:pt>
                <c:pt idx="12">
                  <c:v>Itālija</c:v>
                </c:pt>
                <c:pt idx="13">
                  <c:v>Kipra</c:v>
                </c:pt>
                <c:pt idx="14">
                  <c:v>Latvija</c:v>
                </c:pt>
                <c:pt idx="15">
                  <c:v>Lietuva</c:v>
                </c:pt>
                <c:pt idx="16">
                  <c:v>Luksemburga</c:v>
                </c:pt>
                <c:pt idx="17">
                  <c:v>Ungārija</c:v>
                </c:pt>
                <c:pt idx="18">
                  <c:v>Malta</c:v>
                </c:pt>
                <c:pt idx="19">
                  <c:v>Nīderlande</c:v>
                </c:pt>
                <c:pt idx="20">
                  <c:v>Austrija</c:v>
                </c:pt>
                <c:pt idx="21">
                  <c:v>Polija</c:v>
                </c:pt>
                <c:pt idx="22">
                  <c:v>Portugāle</c:v>
                </c:pt>
                <c:pt idx="23">
                  <c:v>Rumānija</c:v>
                </c:pt>
                <c:pt idx="24">
                  <c:v>Slovēnija</c:v>
                </c:pt>
                <c:pt idx="25">
                  <c:v>Slovākija</c:v>
                </c:pt>
                <c:pt idx="26">
                  <c:v>Somija</c:v>
                </c:pt>
                <c:pt idx="27">
                  <c:v>Zviedrija</c:v>
                </c:pt>
              </c:strCache>
            </c:strRef>
          </c:cat>
          <c:val>
            <c:numRef>
              <c:f>Sheet1!$H$2:$H$29</c:f>
              <c:numCache>
                <c:formatCode>#.##0.0</c:formatCode>
                <c:ptCount val="28"/>
                <c:pt idx="0">
                  <c:v>21</c:v>
                </c:pt>
                <c:pt idx="1">
                  <c:v>27.1</c:v>
                </c:pt>
                <c:pt idx="2">
                  <c:v>29.6</c:v>
                </c:pt>
                <c:pt idx="3">
                  <c:v>16.399999999999999</c:v>
                </c:pt>
                <c:pt idx="4">
                  <c:v>31</c:v>
                </c:pt>
                <c:pt idx="5">
                  <c:v>25.9</c:v>
                </c:pt>
                <c:pt idx="6">
                  <c:v>23.9</c:v>
                </c:pt>
                <c:pt idx="7">
                  <c:v>23</c:v>
                </c:pt>
                <c:pt idx="8">
                  <c:v>17.3</c:v>
                </c:pt>
                <c:pt idx="9">
                  <c:v>23</c:v>
                </c:pt>
                <c:pt idx="10">
                  <c:v>19.8</c:v>
                </c:pt>
                <c:pt idx="11">
                  <c:v>20.100000000000001</c:v>
                </c:pt>
                <c:pt idx="12">
                  <c:v>12.3</c:v>
                </c:pt>
                <c:pt idx="13">
                  <c:v>45</c:v>
                </c:pt>
                <c:pt idx="14">
                  <c:v>39.4</c:v>
                </c:pt>
                <c:pt idx="15">
                  <c:v>28.8</c:v>
                </c:pt>
                <c:pt idx="16">
                  <c:v>25.6</c:v>
                </c:pt>
                <c:pt idx="17">
                  <c:v>42.5</c:v>
                </c:pt>
                <c:pt idx="18">
                  <c:v>14.1</c:v>
                </c:pt>
                <c:pt idx="19">
                  <c:v>26.5</c:v>
                </c:pt>
                <c:pt idx="20">
                  <c:v>12.6</c:v>
                </c:pt>
                <c:pt idx="21">
                  <c:v>15</c:v>
                </c:pt>
                <c:pt idx="22">
                  <c:v>40.700000000000003</c:v>
                </c:pt>
                <c:pt idx="23">
                  <c:v>24</c:v>
                </c:pt>
                <c:pt idx="24">
                  <c:v>35.799999999999997</c:v>
                </c:pt>
                <c:pt idx="25">
                  <c:v>13.6</c:v>
                </c:pt>
                <c:pt idx="26">
                  <c:v>6</c:v>
                </c:pt>
                <c:pt idx="27">
                  <c:v>13.1</c:v>
                </c:pt>
              </c:numCache>
            </c:numRef>
          </c:val>
          <c:smooth val="0"/>
          <c:extLst>
            <c:ext xmlns:c16="http://schemas.microsoft.com/office/drawing/2014/chart" uri="{C3380CC4-5D6E-409C-BE32-E72D297353CC}">
              <c16:uniqueId val="{00000006-61B9-4B15-AF7E-F15DC84BB382}"/>
            </c:ext>
          </c:extLst>
        </c:ser>
        <c:ser>
          <c:idx val="7"/>
          <c:order val="7"/>
          <c:tx>
            <c:strRef>
              <c:f>Sheet1!$I$1</c:f>
              <c:strCache>
                <c:ptCount val="1"/>
                <c:pt idx="0">
                  <c:v>Caurs jumts, mitras sienas, grīdas vai pamati vai logu rāmju vai grīdas puve, 2019, bez AROP</c:v>
                </c:pt>
              </c:strCache>
            </c:strRef>
          </c:tx>
          <c:spPr>
            <a:ln w="28575" cap="rnd">
              <a:noFill/>
              <a:round/>
            </a:ln>
            <a:effectLst/>
          </c:spPr>
          <c:marker>
            <c:symbol val="diamond"/>
            <c:size val="5"/>
            <c:spPr>
              <a:solidFill>
                <a:schemeClr val="accent3">
                  <a:lumMod val="75000"/>
                </a:schemeClr>
              </a:solidFill>
              <a:ln w="9525">
                <a:solidFill>
                  <a:schemeClr val="accent3">
                    <a:lumMod val="75000"/>
                  </a:schemeClr>
                </a:solidFill>
              </a:ln>
              <a:effectLst/>
            </c:spPr>
          </c:marker>
          <c:cat>
            <c:strRef>
              <c:f>Sheet1!$A$2:$A$29</c:f>
              <c:strCache>
                <c:ptCount val="28"/>
                <c:pt idx="0">
                  <c:v>27 ES dalībvalstis</c:v>
                </c:pt>
                <c:pt idx="1">
                  <c:v>Beļģija</c:v>
                </c:pt>
                <c:pt idx="2">
                  <c:v>Bulgārija</c:v>
                </c:pt>
                <c:pt idx="3">
                  <c:v>Čehija</c:v>
                </c:pt>
                <c:pt idx="4">
                  <c:v>Dānija</c:v>
                </c:pt>
                <c:pt idx="5">
                  <c:v>Vācija</c:v>
                </c:pt>
                <c:pt idx="6">
                  <c:v>Igaunija</c:v>
                </c:pt>
                <c:pt idx="7">
                  <c:v>Īrija</c:v>
                </c:pt>
                <c:pt idx="8">
                  <c:v>Grieķija</c:v>
                </c:pt>
                <c:pt idx="9">
                  <c:v>Spānija</c:v>
                </c:pt>
                <c:pt idx="10">
                  <c:v>Francija</c:v>
                </c:pt>
                <c:pt idx="11">
                  <c:v>Horvātija</c:v>
                </c:pt>
                <c:pt idx="12">
                  <c:v>Itālija</c:v>
                </c:pt>
                <c:pt idx="13">
                  <c:v>Kipra</c:v>
                </c:pt>
                <c:pt idx="14">
                  <c:v>Latvija</c:v>
                </c:pt>
                <c:pt idx="15">
                  <c:v>Lietuva</c:v>
                </c:pt>
                <c:pt idx="16">
                  <c:v>Luksemburga</c:v>
                </c:pt>
                <c:pt idx="17">
                  <c:v>Ungārija</c:v>
                </c:pt>
                <c:pt idx="18">
                  <c:v>Malta</c:v>
                </c:pt>
                <c:pt idx="19">
                  <c:v>Nīderlande</c:v>
                </c:pt>
                <c:pt idx="20">
                  <c:v>Austrija</c:v>
                </c:pt>
                <c:pt idx="21">
                  <c:v>Polija</c:v>
                </c:pt>
                <c:pt idx="22">
                  <c:v>Portugāle</c:v>
                </c:pt>
                <c:pt idx="23">
                  <c:v>Rumānija</c:v>
                </c:pt>
                <c:pt idx="24">
                  <c:v>Slovēnija</c:v>
                </c:pt>
                <c:pt idx="25">
                  <c:v>Slovākija</c:v>
                </c:pt>
                <c:pt idx="26">
                  <c:v>Somija</c:v>
                </c:pt>
                <c:pt idx="27">
                  <c:v>Zviedrija</c:v>
                </c:pt>
              </c:strCache>
            </c:strRef>
          </c:cat>
          <c:val>
            <c:numRef>
              <c:f>Sheet1!$I$2:$I$29</c:f>
              <c:numCache>
                <c:formatCode>#.##0.0</c:formatCode>
                <c:ptCount val="28"/>
                <c:pt idx="0">
                  <c:v>12</c:v>
                </c:pt>
                <c:pt idx="1">
                  <c:v>16.8</c:v>
                </c:pt>
                <c:pt idx="2">
                  <c:v>6.6</c:v>
                </c:pt>
                <c:pt idx="3">
                  <c:v>7.4</c:v>
                </c:pt>
                <c:pt idx="4">
                  <c:v>16.100000000000001</c:v>
                </c:pt>
                <c:pt idx="5">
                  <c:v>13</c:v>
                </c:pt>
                <c:pt idx="6">
                  <c:v>11.3</c:v>
                </c:pt>
                <c:pt idx="7">
                  <c:v>12.3</c:v>
                </c:pt>
                <c:pt idx="8">
                  <c:v>9.9</c:v>
                </c:pt>
                <c:pt idx="9">
                  <c:v>12.7</c:v>
                </c:pt>
                <c:pt idx="10">
                  <c:v>11.2</c:v>
                </c:pt>
                <c:pt idx="11">
                  <c:v>7.3</c:v>
                </c:pt>
                <c:pt idx="12">
                  <c:v>12.9</c:v>
                </c:pt>
                <c:pt idx="13">
                  <c:v>21.8</c:v>
                </c:pt>
                <c:pt idx="14">
                  <c:v>17.3</c:v>
                </c:pt>
                <c:pt idx="15">
                  <c:v>11.2</c:v>
                </c:pt>
                <c:pt idx="16">
                  <c:v>16</c:v>
                </c:pt>
                <c:pt idx="17">
                  <c:v>26.4</c:v>
                </c:pt>
                <c:pt idx="18">
                  <c:v>5.3</c:v>
                </c:pt>
                <c:pt idx="19">
                  <c:v>14.2</c:v>
                </c:pt>
                <c:pt idx="20">
                  <c:v>9.6999999999999993</c:v>
                </c:pt>
                <c:pt idx="21">
                  <c:v>10.4</c:v>
                </c:pt>
                <c:pt idx="22">
                  <c:v>21.1</c:v>
                </c:pt>
                <c:pt idx="23">
                  <c:v>5.2</c:v>
                </c:pt>
                <c:pt idx="24">
                  <c:v>17.3</c:v>
                </c:pt>
                <c:pt idx="25">
                  <c:v>3.7</c:v>
                </c:pt>
                <c:pt idx="26">
                  <c:v>4</c:v>
                </c:pt>
                <c:pt idx="27">
                  <c:v>6.9</c:v>
                </c:pt>
              </c:numCache>
            </c:numRef>
          </c:val>
          <c:smooth val="0"/>
          <c:extLst>
            <c:ext xmlns:c16="http://schemas.microsoft.com/office/drawing/2014/chart" uri="{C3380CC4-5D6E-409C-BE32-E72D297353CC}">
              <c16:uniqueId val="{00000007-61B9-4B15-AF7E-F15DC84BB382}"/>
            </c:ext>
          </c:extLst>
        </c:ser>
        <c:ser>
          <c:idx val="8"/>
          <c:order val="8"/>
          <c:tx>
            <c:strRef>
              <c:f>Sheet1!$J$1</c:f>
              <c:strCache>
                <c:ptCount val="1"/>
                <c:pt idx="0">
                  <c:v>Pārāk tumšs, 2010, AROP</c:v>
                </c:pt>
              </c:strCache>
            </c:strRef>
          </c:tx>
          <c:spPr>
            <a:ln w="28575" cap="rnd">
              <a:noFill/>
              <a:round/>
            </a:ln>
            <a:effectLst/>
          </c:spPr>
          <c:marker>
            <c:symbol val="circle"/>
            <c:size val="5"/>
            <c:spPr>
              <a:noFill/>
              <a:ln w="9525">
                <a:solidFill>
                  <a:schemeClr val="tx1">
                    <a:lumMod val="65000"/>
                    <a:lumOff val="35000"/>
                  </a:schemeClr>
                </a:solidFill>
              </a:ln>
              <a:effectLst/>
            </c:spPr>
          </c:marker>
          <c:cat>
            <c:strRef>
              <c:f>Sheet1!$A$2:$A$29</c:f>
              <c:strCache>
                <c:ptCount val="28"/>
                <c:pt idx="0">
                  <c:v>27 ES dalībvalstis</c:v>
                </c:pt>
                <c:pt idx="1">
                  <c:v>Beļģija</c:v>
                </c:pt>
                <c:pt idx="2">
                  <c:v>Bulgārija</c:v>
                </c:pt>
                <c:pt idx="3">
                  <c:v>Čehija</c:v>
                </c:pt>
                <c:pt idx="4">
                  <c:v>Dānija</c:v>
                </c:pt>
                <c:pt idx="5">
                  <c:v>Vācija</c:v>
                </c:pt>
                <c:pt idx="6">
                  <c:v>Igaunija</c:v>
                </c:pt>
                <c:pt idx="7">
                  <c:v>Īrija</c:v>
                </c:pt>
                <c:pt idx="8">
                  <c:v>Grieķija</c:v>
                </c:pt>
                <c:pt idx="9">
                  <c:v>Spānija</c:v>
                </c:pt>
                <c:pt idx="10">
                  <c:v>Francija</c:v>
                </c:pt>
                <c:pt idx="11">
                  <c:v>Horvātija</c:v>
                </c:pt>
                <c:pt idx="12">
                  <c:v>Itālija</c:v>
                </c:pt>
                <c:pt idx="13">
                  <c:v>Kipra</c:v>
                </c:pt>
                <c:pt idx="14">
                  <c:v>Latvija</c:v>
                </c:pt>
                <c:pt idx="15">
                  <c:v>Lietuva</c:v>
                </c:pt>
                <c:pt idx="16">
                  <c:v>Luksemburga</c:v>
                </c:pt>
                <c:pt idx="17">
                  <c:v>Ungārija</c:v>
                </c:pt>
                <c:pt idx="18">
                  <c:v>Malta</c:v>
                </c:pt>
                <c:pt idx="19">
                  <c:v>Nīderlande</c:v>
                </c:pt>
                <c:pt idx="20">
                  <c:v>Austrija</c:v>
                </c:pt>
                <c:pt idx="21">
                  <c:v>Polija</c:v>
                </c:pt>
                <c:pt idx="22">
                  <c:v>Portugāle</c:v>
                </c:pt>
                <c:pt idx="23">
                  <c:v>Rumānija</c:v>
                </c:pt>
                <c:pt idx="24">
                  <c:v>Slovēnija</c:v>
                </c:pt>
                <c:pt idx="25">
                  <c:v>Slovākija</c:v>
                </c:pt>
                <c:pt idx="26">
                  <c:v>Somija</c:v>
                </c:pt>
                <c:pt idx="27">
                  <c:v>Zviedrija</c:v>
                </c:pt>
              </c:strCache>
            </c:strRef>
          </c:cat>
          <c:val>
            <c:numRef>
              <c:f>Sheet1!$J$2:$J$29</c:f>
              <c:numCache>
                <c:formatCode>#.##0.0</c:formatCode>
                <c:ptCount val="28"/>
                <c:pt idx="0">
                  <c:v>11</c:v>
                </c:pt>
                <c:pt idx="1">
                  <c:v>18.100000000000001</c:v>
                </c:pt>
                <c:pt idx="2">
                  <c:v>27.8</c:v>
                </c:pt>
                <c:pt idx="3">
                  <c:v>8.8000000000000007</c:v>
                </c:pt>
                <c:pt idx="4">
                  <c:v>5.4</c:v>
                </c:pt>
                <c:pt idx="5">
                  <c:v>7.8</c:v>
                </c:pt>
                <c:pt idx="6">
                  <c:v>9.6999999999999993</c:v>
                </c:pt>
                <c:pt idx="7">
                  <c:v>4.5</c:v>
                </c:pt>
                <c:pt idx="8">
                  <c:v>8.3000000000000007</c:v>
                </c:pt>
                <c:pt idx="9">
                  <c:v>7.9</c:v>
                </c:pt>
                <c:pt idx="10">
                  <c:v>15.1</c:v>
                </c:pt>
                <c:pt idx="11">
                  <c:v>11.2</c:v>
                </c:pt>
                <c:pt idx="12">
                  <c:v>10.4</c:v>
                </c:pt>
                <c:pt idx="13">
                  <c:v>8.5</c:v>
                </c:pt>
                <c:pt idx="14">
                  <c:v>18.600000000000001</c:v>
                </c:pt>
                <c:pt idx="15">
                  <c:v>14</c:v>
                </c:pt>
                <c:pt idx="16">
                  <c:v>9.8000000000000007</c:v>
                </c:pt>
                <c:pt idx="17">
                  <c:v>17.899999999999999</c:v>
                </c:pt>
                <c:pt idx="18">
                  <c:v>9.6</c:v>
                </c:pt>
                <c:pt idx="19">
                  <c:v>4.0999999999999996</c:v>
                </c:pt>
                <c:pt idx="20">
                  <c:v>9.4</c:v>
                </c:pt>
                <c:pt idx="21">
                  <c:v>12.9</c:v>
                </c:pt>
                <c:pt idx="22">
                  <c:v>9.4</c:v>
                </c:pt>
                <c:pt idx="23">
                  <c:v>12.8</c:v>
                </c:pt>
                <c:pt idx="24">
                  <c:v>15.4</c:v>
                </c:pt>
                <c:pt idx="25">
                  <c:v>8.9</c:v>
                </c:pt>
                <c:pt idx="26">
                  <c:v>6.5</c:v>
                </c:pt>
                <c:pt idx="27">
                  <c:v>9</c:v>
                </c:pt>
              </c:numCache>
            </c:numRef>
          </c:val>
          <c:smooth val="0"/>
          <c:extLst>
            <c:ext xmlns:c16="http://schemas.microsoft.com/office/drawing/2014/chart" uri="{C3380CC4-5D6E-409C-BE32-E72D297353CC}">
              <c16:uniqueId val="{00000008-61B9-4B15-AF7E-F15DC84BB382}"/>
            </c:ext>
          </c:extLst>
        </c:ser>
        <c:ser>
          <c:idx val="9"/>
          <c:order val="9"/>
          <c:tx>
            <c:strRef>
              <c:f>Sheet1!$K$1</c:f>
              <c:strCache>
                <c:ptCount val="1"/>
                <c:pt idx="0">
                  <c:v>Pārāk tumšs, 2010, bez AROP</c:v>
                </c:pt>
              </c:strCache>
            </c:strRef>
          </c:tx>
          <c:spPr>
            <a:ln w="28575" cap="rnd">
              <a:noFill/>
              <a:round/>
            </a:ln>
            <a:effectLst/>
          </c:spPr>
          <c:marker>
            <c:symbol val="diamond"/>
            <c:size val="5"/>
            <c:spPr>
              <a:noFill/>
              <a:ln w="9525">
                <a:solidFill>
                  <a:schemeClr val="tx1">
                    <a:lumMod val="65000"/>
                    <a:lumOff val="35000"/>
                  </a:schemeClr>
                </a:solidFill>
              </a:ln>
              <a:effectLst/>
            </c:spPr>
          </c:marker>
          <c:cat>
            <c:strRef>
              <c:f>Sheet1!$A$2:$A$29</c:f>
              <c:strCache>
                <c:ptCount val="28"/>
                <c:pt idx="0">
                  <c:v>27 ES dalībvalstis</c:v>
                </c:pt>
                <c:pt idx="1">
                  <c:v>Beļģija</c:v>
                </c:pt>
                <c:pt idx="2">
                  <c:v>Bulgārija</c:v>
                </c:pt>
                <c:pt idx="3">
                  <c:v>Čehija</c:v>
                </c:pt>
                <c:pt idx="4">
                  <c:v>Dānija</c:v>
                </c:pt>
                <c:pt idx="5">
                  <c:v>Vācija</c:v>
                </c:pt>
                <c:pt idx="6">
                  <c:v>Igaunija</c:v>
                </c:pt>
                <c:pt idx="7">
                  <c:v>Īrija</c:v>
                </c:pt>
                <c:pt idx="8">
                  <c:v>Grieķija</c:v>
                </c:pt>
                <c:pt idx="9">
                  <c:v>Spānija</c:v>
                </c:pt>
                <c:pt idx="10">
                  <c:v>Francija</c:v>
                </c:pt>
                <c:pt idx="11">
                  <c:v>Horvātija</c:v>
                </c:pt>
                <c:pt idx="12">
                  <c:v>Itālija</c:v>
                </c:pt>
                <c:pt idx="13">
                  <c:v>Kipra</c:v>
                </c:pt>
                <c:pt idx="14">
                  <c:v>Latvija</c:v>
                </c:pt>
                <c:pt idx="15">
                  <c:v>Lietuva</c:v>
                </c:pt>
                <c:pt idx="16">
                  <c:v>Luksemburga</c:v>
                </c:pt>
                <c:pt idx="17">
                  <c:v>Ungārija</c:v>
                </c:pt>
                <c:pt idx="18">
                  <c:v>Malta</c:v>
                </c:pt>
                <c:pt idx="19">
                  <c:v>Nīderlande</c:v>
                </c:pt>
                <c:pt idx="20">
                  <c:v>Austrija</c:v>
                </c:pt>
                <c:pt idx="21">
                  <c:v>Polija</c:v>
                </c:pt>
                <c:pt idx="22">
                  <c:v>Portugāle</c:v>
                </c:pt>
                <c:pt idx="23">
                  <c:v>Rumānija</c:v>
                </c:pt>
                <c:pt idx="24">
                  <c:v>Slovēnija</c:v>
                </c:pt>
                <c:pt idx="25">
                  <c:v>Slovākija</c:v>
                </c:pt>
                <c:pt idx="26">
                  <c:v>Somija</c:v>
                </c:pt>
                <c:pt idx="27">
                  <c:v>Zviedrija</c:v>
                </c:pt>
              </c:strCache>
            </c:strRef>
          </c:cat>
          <c:val>
            <c:numRef>
              <c:f>Sheet1!$K$2:$K$29</c:f>
              <c:numCache>
                <c:formatCode>#.##0.0</c:formatCode>
                <c:ptCount val="28"/>
                <c:pt idx="0">
                  <c:v>5.2</c:v>
                </c:pt>
                <c:pt idx="1">
                  <c:v>6.8</c:v>
                </c:pt>
                <c:pt idx="2">
                  <c:v>4.9000000000000004</c:v>
                </c:pt>
                <c:pt idx="3">
                  <c:v>3.2</c:v>
                </c:pt>
                <c:pt idx="4">
                  <c:v>3.7</c:v>
                </c:pt>
                <c:pt idx="5">
                  <c:v>3.8</c:v>
                </c:pt>
                <c:pt idx="6">
                  <c:v>3.2</c:v>
                </c:pt>
                <c:pt idx="7">
                  <c:v>3.2</c:v>
                </c:pt>
                <c:pt idx="8">
                  <c:v>4.0999999999999996</c:v>
                </c:pt>
                <c:pt idx="9">
                  <c:v>4.8</c:v>
                </c:pt>
                <c:pt idx="10">
                  <c:v>6.2</c:v>
                </c:pt>
                <c:pt idx="11">
                  <c:v>6.2</c:v>
                </c:pt>
                <c:pt idx="12">
                  <c:v>4.9000000000000004</c:v>
                </c:pt>
                <c:pt idx="13">
                  <c:v>4.3</c:v>
                </c:pt>
                <c:pt idx="14">
                  <c:v>9.1999999999999993</c:v>
                </c:pt>
                <c:pt idx="15">
                  <c:v>6.3</c:v>
                </c:pt>
                <c:pt idx="16">
                  <c:v>3.9</c:v>
                </c:pt>
                <c:pt idx="17">
                  <c:v>8.6999999999999993</c:v>
                </c:pt>
                <c:pt idx="18">
                  <c:v>7.1</c:v>
                </c:pt>
                <c:pt idx="19">
                  <c:v>2.2000000000000002</c:v>
                </c:pt>
                <c:pt idx="20">
                  <c:v>6.1</c:v>
                </c:pt>
                <c:pt idx="21">
                  <c:v>7</c:v>
                </c:pt>
                <c:pt idx="22">
                  <c:v>5.9</c:v>
                </c:pt>
                <c:pt idx="23">
                  <c:v>7.9</c:v>
                </c:pt>
                <c:pt idx="24">
                  <c:v>10.4</c:v>
                </c:pt>
                <c:pt idx="25">
                  <c:v>2.2000000000000002</c:v>
                </c:pt>
                <c:pt idx="26">
                  <c:v>3.5</c:v>
                </c:pt>
                <c:pt idx="27">
                  <c:v>6.9</c:v>
                </c:pt>
              </c:numCache>
            </c:numRef>
          </c:val>
          <c:smooth val="0"/>
          <c:extLst>
            <c:ext xmlns:c16="http://schemas.microsoft.com/office/drawing/2014/chart" uri="{C3380CC4-5D6E-409C-BE32-E72D297353CC}">
              <c16:uniqueId val="{00000009-61B9-4B15-AF7E-F15DC84BB382}"/>
            </c:ext>
          </c:extLst>
        </c:ser>
        <c:ser>
          <c:idx val="10"/>
          <c:order val="10"/>
          <c:tx>
            <c:strRef>
              <c:f>Sheet1!$L$1</c:f>
              <c:strCache>
                <c:ptCount val="1"/>
                <c:pt idx="0">
                  <c:v>Pārāk tumšs, 2019, AROP</c:v>
                </c:pt>
              </c:strCache>
            </c:strRef>
          </c:tx>
          <c:spPr>
            <a:ln w="28575" cap="rnd">
              <a:noFill/>
              <a:round/>
            </a:ln>
            <a:effectLst/>
          </c:spPr>
          <c:marker>
            <c:symbol val="circle"/>
            <c:size val="5"/>
            <c:spPr>
              <a:solidFill>
                <a:schemeClr val="tx1">
                  <a:lumMod val="65000"/>
                  <a:lumOff val="35000"/>
                </a:schemeClr>
              </a:solidFill>
              <a:ln w="9525">
                <a:solidFill>
                  <a:schemeClr val="tx1">
                    <a:lumMod val="65000"/>
                    <a:lumOff val="35000"/>
                  </a:schemeClr>
                </a:solidFill>
              </a:ln>
              <a:effectLst/>
            </c:spPr>
          </c:marker>
          <c:cat>
            <c:strRef>
              <c:f>Sheet1!$A$2:$A$29</c:f>
              <c:strCache>
                <c:ptCount val="28"/>
                <c:pt idx="0">
                  <c:v>27 ES dalībvalstis</c:v>
                </c:pt>
                <c:pt idx="1">
                  <c:v>Beļģija</c:v>
                </c:pt>
                <c:pt idx="2">
                  <c:v>Bulgārija</c:v>
                </c:pt>
                <c:pt idx="3">
                  <c:v>Čehija</c:v>
                </c:pt>
                <c:pt idx="4">
                  <c:v>Dānija</c:v>
                </c:pt>
                <c:pt idx="5">
                  <c:v>Vācija</c:v>
                </c:pt>
                <c:pt idx="6">
                  <c:v>Igaunija</c:v>
                </c:pt>
                <c:pt idx="7">
                  <c:v>Īrija</c:v>
                </c:pt>
                <c:pt idx="8">
                  <c:v>Grieķija</c:v>
                </c:pt>
                <c:pt idx="9">
                  <c:v>Spānija</c:v>
                </c:pt>
                <c:pt idx="10">
                  <c:v>Francija</c:v>
                </c:pt>
                <c:pt idx="11">
                  <c:v>Horvātija</c:v>
                </c:pt>
                <c:pt idx="12">
                  <c:v>Itālija</c:v>
                </c:pt>
                <c:pt idx="13">
                  <c:v>Kipra</c:v>
                </c:pt>
                <c:pt idx="14">
                  <c:v>Latvija</c:v>
                </c:pt>
                <c:pt idx="15">
                  <c:v>Lietuva</c:v>
                </c:pt>
                <c:pt idx="16">
                  <c:v>Luksemburga</c:v>
                </c:pt>
                <c:pt idx="17">
                  <c:v>Ungārija</c:v>
                </c:pt>
                <c:pt idx="18">
                  <c:v>Malta</c:v>
                </c:pt>
                <c:pt idx="19">
                  <c:v>Nīderlande</c:v>
                </c:pt>
                <c:pt idx="20">
                  <c:v>Austrija</c:v>
                </c:pt>
                <c:pt idx="21">
                  <c:v>Polija</c:v>
                </c:pt>
                <c:pt idx="22">
                  <c:v>Portugāle</c:v>
                </c:pt>
                <c:pt idx="23">
                  <c:v>Rumānija</c:v>
                </c:pt>
                <c:pt idx="24">
                  <c:v>Slovēnija</c:v>
                </c:pt>
                <c:pt idx="25">
                  <c:v>Slovākija</c:v>
                </c:pt>
                <c:pt idx="26">
                  <c:v>Somija</c:v>
                </c:pt>
                <c:pt idx="27">
                  <c:v>Zviedrija</c:v>
                </c:pt>
              </c:strCache>
            </c:strRef>
          </c:cat>
          <c:val>
            <c:numRef>
              <c:f>Sheet1!$L$2:$L$29</c:f>
              <c:numCache>
                <c:formatCode>#.##0.0</c:formatCode>
                <c:ptCount val="28"/>
                <c:pt idx="0">
                  <c:v>7.7</c:v>
                </c:pt>
                <c:pt idx="1">
                  <c:v>10.6</c:v>
                </c:pt>
                <c:pt idx="2">
                  <c:v>17.7</c:v>
                </c:pt>
                <c:pt idx="3">
                  <c:v>8.1</c:v>
                </c:pt>
                <c:pt idx="4">
                  <c:v>8.4</c:v>
                </c:pt>
                <c:pt idx="5">
                  <c:v>5.4</c:v>
                </c:pt>
                <c:pt idx="6">
                  <c:v>3.2</c:v>
                </c:pt>
                <c:pt idx="7">
                  <c:v>14.7</c:v>
                </c:pt>
                <c:pt idx="8">
                  <c:v>6.8</c:v>
                </c:pt>
                <c:pt idx="9">
                  <c:v>8.9</c:v>
                </c:pt>
                <c:pt idx="10">
                  <c:v>11</c:v>
                </c:pt>
                <c:pt idx="11">
                  <c:v>8</c:v>
                </c:pt>
                <c:pt idx="12">
                  <c:v>2.9</c:v>
                </c:pt>
                <c:pt idx="13">
                  <c:v>8</c:v>
                </c:pt>
                <c:pt idx="14">
                  <c:v>11.4</c:v>
                </c:pt>
                <c:pt idx="15">
                  <c:v>9.6999999999999993</c:v>
                </c:pt>
                <c:pt idx="16">
                  <c:v>7.4</c:v>
                </c:pt>
                <c:pt idx="17">
                  <c:v>14.6</c:v>
                </c:pt>
                <c:pt idx="18">
                  <c:v>14.3</c:v>
                </c:pt>
                <c:pt idx="19">
                  <c:v>7.1</c:v>
                </c:pt>
                <c:pt idx="20">
                  <c:v>7.4</c:v>
                </c:pt>
                <c:pt idx="21">
                  <c:v>5</c:v>
                </c:pt>
                <c:pt idx="22">
                  <c:v>11.3</c:v>
                </c:pt>
                <c:pt idx="23">
                  <c:v>6.9</c:v>
                </c:pt>
                <c:pt idx="24">
                  <c:v>3.4</c:v>
                </c:pt>
                <c:pt idx="25">
                  <c:v>9</c:v>
                </c:pt>
                <c:pt idx="26">
                  <c:v>4.5999999999999996</c:v>
                </c:pt>
                <c:pt idx="27">
                  <c:v>8.1</c:v>
                </c:pt>
              </c:numCache>
            </c:numRef>
          </c:val>
          <c:smooth val="0"/>
          <c:extLst>
            <c:ext xmlns:c16="http://schemas.microsoft.com/office/drawing/2014/chart" uri="{C3380CC4-5D6E-409C-BE32-E72D297353CC}">
              <c16:uniqueId val="{0000000A-61B9-4B15-AF7E-F15DC84BB382}"/>
            </c:ext>
          </c:extLst>
        </c:ser>
        <c:ser>
          <c:idx val="11"/>
          <c:order val="11"/>
          <c:tx>
            <c:strRef>
              <c:f>Sheet1!$M$1</c:f>
              <c:strCache>
                <c:ptCount val="1"/>
                <c:pt idx="0">
                  <c:v>Pārāk tumšs, 2019, bez AROP</c:v>
                </c:pt>
              </c:strCache>
            </c:strRef>
          </c:tx>
          <c:spPr>
            <a:ln w="28575" cap="rnd">
              <a:noFill/>
              <a:round/>
            </a:ln>
            <a:effectLst/>
          </c:spPr>
          <c:marker>
            <c:symbol val="diamond"/>
            <c:size val="5"/>
            <c:spPr>
              <a:solidFill>
                <a:schemeClr val="tx1">
                  <a:lumMod val="65000"/>
                  <a:lumOff val="35000"/>
                </a:schemeClr>
              </a:solidFill>
              <a:ln w="9525">
                <a:solidFill>
                  <a:schemeClr val="tx1">
                    <a:lumMod val="65000"/>
                    <a:lumOff val="35000"/>
                  </a:schemeClr>
                </a:solidFill>
              </a:ln>
              <a:effectLst/>
            </c:spPr>
          </c:marker>
          <c:cat>
            <c:strRef>
              <c:f>Sheet1!$A$2:$A$29</c:f>
              <c:strCache>
                <c:ptCount val="28"/>
                <c:pt idx="0">
                  <c:v>27 ES dalībvalstis</c:v>
                </c:pt>
                <c:pt idx="1">
                  <c:v>Beļģija</c:v>
                </c:pt>
                <c:pt idx="2">
                  <c:v>Bulgārija</c:v>
                </c:pt>
                <c:pt idx="3">
                  <c:v>Čehija</c:v>
                </c:pt>
                <c:pt idx="4">
                  <c:v>Dānija</c:v>
                </c:pt>
                <c:pt idx="5">
                  <c:v>Vācija</c:v>
                </c:pt>
                <c:pt idx="6">
                  <c:v>Igaunija</c:v>
                </c:pt>
                <c:pt idx="7">
                  <c:v>Īrija</c:v>
                </c:pt>
                <c:pt idx="8">
                  <c:v>Grieķija</c:v>
                </c:pt>
                <c:pt idx="9">
                  <c:v>Spānija</c:v>
                </c:pt>
                <c:pt idx="10">
                  <c:v>Francija</c:v>
                </c:pt>
                <c:pt idx="11">
                  <c:v>Horvātija</c:v>
                </c:pt>
                <c:pt idx="12">
                  <c:v>Itālija</c:v>
                </c:pt>
                <c:pt idx="13">
                  <c:v>Kipra</c:v>
                </c:pt>
                <c:pt idx="14">
                  <c:v>Latvija</c:v>
                </c:pt>
                <c:pt idx="15">
                  <c:v>Lietuva</c:v>
                </c:pt>
                <c:pt idx="16">
                  <c:v>Luksemburga</c:v>
                </c:pt>
                <c:pt idx="17">
                  <c:v>Ungārija</c:v>
                </c:pt>
                <c:pt idx="18">
                  <c:v>Malta</c:v>
                </c:pt>
                <c:pt idx="19">
                  <c:v>Nīderlande</c:v>
                </c:pt>
                <c:pt idx="20">
                  <c:v>Austrija</c:v>
                </c:pt>
                <c:pt idx="21">
                  <c:v>Polija</c:v>
                </c:pt>
                <c:pt idx="22">
                  <c:v>Portugāle</c:v>
                </c:pt>
                <c:pt idx="23">
                  <c:v>Rumānija</c:v>
                </c:pt>
                <c:pt idx="24">
                  <c:v>Slovēnija</c:v>
                </c:pt>
                <c:pt idx="25">
                  <c:v>Slovākija</c:v>
                </c:pt>
                <c:pt idx="26">
                  <c:v>Somija</c:v>
                </c:pt>
                <c:pt idx="27">
                  <c:v>Zviedrija</c:v>
                </c:pt>
              </c:strCache>
            </c:strRef>
          </c:cat>
          <c:val>
            <c:numRef>
              <c:f>Sheet1!$M$2:$M$29</c:f>
              <c:numCache>
                <c:formatCode>#.##0.0</c:formatCode>
                <c:ptCount val="28"/>
                <c:pt idx="0">
                  <c:v>4.3</c:v>
                </c:pt>
                <c:pt idx="1">
                  <c:v>6.4</c:v>
                </c:pt>
                <c:pt idx="2">
                  <c:v>2.8</c:v>
                </c:pt>
                <c:pt idx="3">
                  <c:v>2.7</c:v>
                </c:pt>
                <c:pt idx="4">
                  <c:v>2.2999999999999998</c:v>
                </c:pt>
                <c:pt idx="5">
                  <c:v>3.7</c:v>
                </c:pt>
                <c:pt idx="6">
                  <c:v>3.5</c:v>
                </c:pt>
                <c:pt idx="7">
                  <c:v>6.1</c:v>
                </c:pt>
                <c:pt idx="8">
                  <c:v>4.5999999999999996</c:v>
                </c:pt>
                <c:pt idx="9">
                  <c:v>4.5999999999999996</c:v>
                </c:pt>
                <c:pt idx="10">
                  <c:v>6.1</c:v>
                </c:pt>
                <c:pt idx="11">
                  <c:v>3</c:v>
                </c:pt>
                <c:pt idx="12">
                  <c:v>1.9</c:v>
                </c:pt>
                <c:pt idx="13">
                  <c:v>2.5</c:v>
                </c:pt>
                <c:pt idx="14">
                  <c:v>7.6</c:v>
                </c:pt>
                <c:pt idx="15">
                  <c:v>5.5</c:v>
                </c:pt>
                <c:pt idx="16">
                  <c:v>6</c:v>
                </c:pt>
                <c:pt idx="17">
                  <c:v>9.3000000000000007</c:v>
                </c:pt>
                <c:pt idx="18">
                  <c:v>8.9</c:v>
                </c:pt>
                <c:pt idx="19">
                  <c:v>1.9</c:v>
                </c:pt>
                <c:pt idx="20">
                  <c:v>4.5999999999999996</c:v>
                </c:pt>
                <c:pt idx="21">
                  <c:v>4</c:v>
                </c:pt>
                <c:pt idx="22">
                  <c:v>6.6</c:v>
                </c:pt>
                <c:pt idx="23">
                  <c:v>4.8</c:v>
                </c:pt>
                <c:pt idx="24">
                  <c:v>3.8</c:v>
                </c:pt>
                <c:pt idx="25">
                  <c:v>1.2</c:v>
                </c:pt>
                <c:pt idx="26">
                  <c:v>3.3</c:v>
                </c:pt>
                <c:pt idx="27">
                  <c:v>4.9000000000000004</c:v>
                </c:pt>
              </c:numCache>
            </c:numRef>
          </c:val>
          <c:smooth val="0"/>
          <c:extLst>
            <c:ext xmlns:c16="http://schemas.microsoft.com/office/drawing/2014/chart" uri="{C3380CC4-5D6E-409C-BE32-E72D297353CC}">
              <c16:uniqueId val="{0000000B-61B9-4B15-AF7E-F15DC84BB382}"/>
            </c:ext>
          </c:extLst>
        </c:ser>
        <c:dLbls>
          <c:showLegendKey val="0"/>
          <c:showVal val="0"/>
          <c:showCatName val="0"/>
          <c:showSerName val="0"/>
          <c:showPercent val="0"/>
          <c:showBubbleSize val="0"/>
        </c:dLbls>
        <c:marker val="1"/>
        <c:smooth val="0"/>
        <c:axId val="108815872"/>
        <c:axId val="108817792"/>
      </c:lineChart>
      <c:catAx>
        <c:axId val="108815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08817792"/>
        <c:crosses val="autoZero"/>
        <c:auto val="1"/>
        <c:lblAlgn val="ctr"/>
        <c:lblOffset val="100"/>
        <c:noMultiLvlLbl val="0"/>
      </c:catAx>
      <c:valAx>
        <c:axId val="108817792"/>
        <c:scaling>
          <c:orientation val="minMax"/>
          <c:max val="55"/>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815872"/>
        <c:crosses val="autoZero"/>
        <c:crossBetween val="between"/>
      </c:valAx>
      <c:spPr>
        <a:noFill/>
        <a:ln>
          <a:noFill/>
        </a:ln>
        <a:effectLst/>
      </c:spPr>
    </c:plotArea>
    <c:legend>
      <c:legendPos val="b"/>
      <c:layout>
        <c:manualLayout>
          <c:xMode val="edge"/>
          <c:yMode val="edge"/>
          <c:x val="5.288969087197435E-2"/>
          <c:y val="0.68142427651089066"/>
          <c:w val="0.67894284047827347"/>
          <c:h val="0.30078228857756417"/>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377187226596674E-2"/>
          <c:y val="4.3650793650793648E-2"/>
          <c:w val="0.89515984981044039"/>
          <c:h val="0.64350143732033505"/>
        </c:manualLayout>
      </c:layout>
      <c:barChart>
        <c:barDir val="col"/>
        <c:grouping val="clustered"/>
        <c:varyColors val="0"/>
        <c:ser>
          <c:idx val="0"/>
          <c:order val="0"/>
          <c:tx>
            <c:strRef>
              <c:f>Sheet1!$B$1</c:f>
              <c:strCache>
                <c:ptCount val="1"/>
                <c:pt idx="0">
                  <c:v>Sociālo/valsts mājokļu īpatsvars (1,00 = viss mājokļu fonds dalībvalstī)</c:v>
                </c:pt>
              </c:strCache>
            </c:strRef>
          </c:tx>
          <c:spPr>
            <a:solidFill>
              <a:schemeClr val="accent1"/>
            </a:solidFill>
            <a:ln>
              <a:noFill/>
            </a:ln>
            <a:effectLst/>
          </c:spPr>
          <c:invertIfNegative val="0"/>
          <c:cat>
            <c:strRef>
              <c:f>Sheet1!$A$2:$A$28</c:f>
              <c:strCache>
                <c:ptCount val="27"/>
                <c:pt idx="0">
                  <c:v>Nīderlande*</c:v>
                </c:pt>
                <c:pt idx="1">
                  <c:v>Austrija</c:v>
                </c:pt>
                <c:pt idx="2">
                  <c:v>Dānija</c:v>
                </c:pt>
                <c:pt idx="3">
                  <c:v>Zviedrija*</c:v>
                </c:pt>
                <c:pt idx="4">
                  <c:v>Francija</c:v>
                </c:pt>
                <c:pt idx="5">
                  <c:v>Somija</c:v>
                </c:pt>
                <c:pt idx="6">
                  <c:v>Īrija</c:v>
                </c:pt>
                <c:pt idx="7">
                  <c:v>Čehija*</c:v>
                </c:pt>
                <c:pt idx="8">
                  <c:v>Polija</c:v>
                </c:pt>
                <c:pt idx="9">
                  <c:v>Beļģija**</c:v>
                </c:pt>
                <c:pt idx="10">
                  <c:v>Slovēnija**</c:v>
                </c:pt>
                <c:pt idx="11">
                  <c:v>Luksemburga</c:v>
                </c:pt>
                <c:pt idx="12">
                  <c:v>Malta</c:v>
                </c:pt>
                <c:pt idx="13">
                  <c:v>Vācija</c:v>
                </c:pt>
                <c:pt idx="14">
                  <c:v>Itālija</c:v>
                </c:pt>
                <c:pt idx="15">
                  <c:v>Ungārija</c:v>
                </c:pt>
                <c:pt idx="16">
                  <c:v>Slovākija**</c:v>
                </c:pt>
                <c:pt idx="17">
                  <c:v>Bulgārija</c:v>
                </c:pt>
                <c:pt idx="18">
                  <c:v>Spānija</c:v>
                </c:pt>
                <c:pt idx="19">
                  <c:v>Portugāle</c:v>
                </c:pt>
                <c:pt idx="20">
                  <c:v>Horvātija</c:v>
                </c:pt>
                <c:pt idx="21">
                  <c:v>Igaunija</c:v>
                </c:pt>
                <c:pt idx="22">
                  <c:v>Rumānija</c:v>
                </c:pt>
                <c:pt idx="23">
                  <c:v>Latvija</c:v>
                </c:pt>
                <c:pt idx="24">
                  <c:v>Lietuva</c:v>
                </c:pt>
                <c:pt idx="25">
                  <c:v>Kipra</c:v>
                </c:pt>
                <c:pt idx="26">
                  <c:v>Grieķija</c:v>
                </c:pt>
              </c:strCache>
            </c:strRef>
          </c:cat>
          <c:val>
            <c:numRef>
              <c:f>Sheet1!$B$2:$B$28</c:f>
              <c:numCache>
                <c:formatCode>_-* #.##0.0_-;\-* #.##0.0_-;_-* "-"??_-;_-@_-</c:formatCode>
                <c:ptCount val="27"/>
                <c:pt idx="0">
                  <c:v>0.3</c:v>
                </c:pt>
                <c:pt idx="1">
                  <c:v>0.24</c:v>
                </c:pt>
                <c:pt idx="2">
                  <c:v>0.20899999999999999</c:v>
                </c:pt>
                <c:pt idx="3">
                  <c:v>0.19</c:v>
                </c:pt>
                <c:pt idx="4">
                  <c:v>0.16800000000000001</c:v>
                </c:pt>
                <c:pt idx="5">
                  <c:v>0.13</c:v>
                </c:pt>
                <c:pt idx="6">
                  <c:v>8.6999999999999994E-2</c:v>
                </c:pt>
                <c:pt idx="7">
                  <c:v>8.3000000000000004E-2</c:v>
                </c:pt>
                <c:pt idx="8">
                  <c:v>7.5999999999999998E-2</c:v>
                </c:pt>
                <c:pt idx="9">
                  <c:v>6.5000000000000002E-2</c:v>
                </c:pt>
                <c:pt idx="10">
                  <c:v>0.06</c:v>
                </c:pt>
                <c:pt idx="11">
                  <c:v>5.0999999999999997E-2</c:v>
                </c:pt>
                <c:pt idx="12">
                  <c:v>0.05</c:v>
                </c:pt>
                <c:pt idx="13">
                  <c:v>0.04</c:v>
                </c:pt>
                <c:pt idx="14">
                  <c:v>3.6999999999999998E-2</c:v>
                </c:pt>
                <c:pt idx="15">
                  <c:v>0.03</c:v>
                </c:pt>
                <c:pt idx="16">
                  <c:v>0.03</c:v>
                </c:pt>
                <c:pt idx="17">
                  <c:v>2.5000000000000001E-2</c:v>
                </c:pt>
                <c:pt idx="18">
                  <c:v>2.5000000000000001E-2</c:v>
                </c:pt>
                <c:pt idx="19">
                  <c:v>0.02</c:v>
                </c:pt>
                <c:pt idx="20">
                  <c:v>1.7999999999999999E-2</c:v>
                </c:pt>
                <c:pt idx="21">
                  <c:v>1.7000000000000001E-2</c:v>
                </c:pt>
                <c:pt idx="22">
                  <c:v>1.4999999999999999E-2</c:v>
                </c:pt>
                <c:pt idx="23">
                  <c:v>0.01</c:v>
                </c:pt>
                <c:pt idx="24">
                  <c:v>0.01</c:v>
                </c:pt>
                <c:pt idx="25">
                  <c:v>0</c:v>
                </c:pt>
                <c:pt idx="26">
                  <c:v>0</c:v>
                </c:pt>
              </c:numCache>
            </c:numRef>
          </c:val>
          <c:extLst>
            <c:ext xmlns:c16="http://schemas.microsoft.com/office/drawing/2014/chart" uri="{C3380CC4-5D6E-409C-BE32-E72D297353CC}">
              <c16:uniqueId val="{00000000-91D8-47D1-BB6A-5EC6649C17D1}"/>
            </c:ext>
          </c:extLst>
        </c:ser>
        <c:ser>
          <c:idx val="1"/>
          <c:order val="1"/>
          <c:tx>
            <c:strRef>
              <c:f>Sheet1!$C$1</c:f>
              <c:strCache>
                <c:ptCount val="1"/>
                <c:pt idx="0">
                  <c:v> Kopējie valsts izdevumi par mājokļa pabalstiem (1,00 = 1 % no IKP)</c:v>
                </c:pt>
              </c:strCache>
            </c:strRef>
          </c:tx>
          <c:spPr>
            <a:solidFill>
              <a:schemeClr val="accent2"/>
            </a:solidFill>
            <a:ln>
              <a:noFill/>
            </a:ln>
            <a:effectLst/>
          </c:spPr>
          <c:invertIfNegative val="0"/>
          <c:cat>
            <c:strRef>
              <c:f>Sheet1!$A$2:$A$28</c:f>
              <c:strCache>
                <c:ptCount val="27"/>
                <c:pt idx="0">
                  <c:v>Nīderlande*</c:v>
                </c:pt>
                <c:pt idx="1">
                  <c:v>Austrija</c:v>
                </c:pt>
                <c:pt idx="2">
                  <c:v>Dānija</c:v>
                </c:pt>
                <c:pt idx="3">
                  <c:v>Zviedrija*</c:v>
                </c:pt>
                <c:pt idx="4">
                  <c:v>Francija</c:v>
                </c:pt>
                <c:pt idx="5">
                  <c:v>Somija</c:v>
                </c:pt>
                <c:pt idx="6">
                  <c:v>Īrija</c:v>
                </c:pt>
                <c:pt idx="7">
                  <c:v>Čehija*</c:v>
                </c:pt>
                <c:pt idx="8">
                  <c:v>Polija</c:v>
                </c:pt>
                <c:pt idx="9">
                  <c:v>Beļģija**</c:v>
                </c:pt>
                <c:pt idx="10">
                  <c:v>Slovēnija**</c:v>
                </c:pt>
                <c:pt idx="11">
                  <c:v>Luksemburga</c:v>
                </c:pt>
                <c:pt idx="12">
                  <c:v>Malta</c:v>
                </c:pt>
                <c:pt idx="13">
                  <c:v>Vācija</c:v>
                </c:pt>
                <c:pt idx="14">
                  <c:v>Itālija</c:v>
                </c:pt>
                <c:pt idx="15">
                  <c:v>Ungārija</c:v>
                </c:pt>
                <c:pt idx="16">
                  <c:v>Slovākija**</c:v>
                </c:pt>
                <c:pt idx="17">
                  <c:v>Bulgārija</c:v>
                </c:pt>
                <c:pt idx="18">
                  <c:v>Spānija</c:v>
                </c:pt>
                <c:pt idx="19">
                  <c:v>Portugāle</c:v>
                </c:pt>
                <c:pt idx="20">
                  <c:v>Horvātija</c:v>
                </c:pt>
                <c:pt idx="21">
                  <c:v>Igaunija</c:v>
                </c:pt>
                <c:pt idx="22">
                  <c:v>Rumānija</c:v>
                </c:pt>
                <c:pt idx="23">
                  <c:v>Latvija</c:v>
                </c:pt>
                <c:pt idx="24">
                  <c:v>Lietuva</c:v>
                </c:pt>
                <c:pt idx="25">
                  <c:v>Kipra</c:v>
                </c:pt>
                <c:pt idx="26">
                  <c:v>Grieķija</c:v>
                </c:pt>
              </c:strCache>
            </c:strRef>
          </c:cat>
          <c:val>
            <c:numRef>
              <c:f>Sheet1!$C$2:$C$28</c:f>
              <c:numCache>
                <c:formatCode>General</c:formatCode>
                <c:ptCount val="27"/>
                <c:pt idx="0">
                  <c:v>0.52</c:v>
                </c:pt>
                <c:pt idx="1">
                  <c:v>0.2</c:v>
                </c:pt>
                <c:pt idx="2">
                  <c:v>0.72</c:v>
                </c:pt>
                <c:pt idx="3">
                  <c:v>0.28999999999999998</c:v>
                </c:pt>
                <c:pt idx="4">
                  <c:v>0.72</c:v>
                </c:pt>
                <c:pt idx="5">
                  <c:v>0.89</c:v>
                </c:pt>
                <c:pt idx="6">
                  <c:v>0.21</c:v>
                </c:pt>
                <c:pt idx="7">
                  <c:v>0.18</c:v>
                </c:pt>
                <c:pt idx="8">
                  <c:v>0.04</c:v>
                </c:pt>
                <c:pt idx="9">
                  <c:v>0</c:v>
                </c:pt>
                <c:pt idx="10">
                  <c:v>0</c:v>
                </c:pt>
                <c:pt idx="11">
                  <c:v>0.02</c:v>
                </c:pt>
                <c:pt idx="12">
                  <c:v>0.01</c:v>
                </c:pt>
                <c:pt idx="13">
                  <c:v>0.73</c:v>
                </c:pt>
                <c:pt idx="14">
                  <c:v>0</c:v>
                </c:pt>
                <c:pt idx="15">
                  <c:v>0.03</c:v>
                </c:pt>
                <c:pt idx="16">
                  <c:v>0</c:v>
                </c:pt>
                <c:pt idx="17">
                  <c:v>0.1</c:v>
                </c:pt>
                <c:pt idx="18">
                  <c:v>0</c:v>
                </c:pt>
                <c:pt idx="19">
                  <c:v>0.01</c:v>
                </c:pt>
                <c:pt idx="20">
                  <c:v>0.24</c:v>
                </c:pt>
                <c:pt idx="21">
                  <c:v>7.0000000000000007E-2</c:v>
                </c:pt>
                <c:pt idx="22">
                  <c:v>0</c:v>
                </c:pt>
                <c:pt idx="23">
                  <c:v>0.05</c:v>
                </c:pt>
                <c:pt idx="24">
                  <c:v>0.05</c:v>
                </c:pt>
                <c:pt idx="25">
                  <c:v>0.02</c:v>
                </c:pt>
                <c:pt idx="26">
                  <c:v>0.21</c:v>
                </c:pt>
              </c:numCache>
            </c:numRef>
          </c:val>
          <c:extLst>
            <c:ext xmlns:c16="http://schemas.microsoft.com/office/drawing/2014/chart" uri="{C3380CC4-5D6E-409C-BE32-E72D297353CC}">
              <c16:uniqueId val="{00000001-91D8-47D1-BB6A-5EC6649C17D1}"/>
            </c:ext>
          </c:extLst>
        </c:ser>
        <c:dLbls>
          <c:showLegendKey val="0"/>
          <c:showVal val="0"/>
          <c:showCatName val="0"/>
          <c:showSerName val="0"/>
          <c:showPercent val="0"/>
          <c:showBubbleSize val="0"/>
        </c:dLbls>
        <c:gapWidth val="219"/>
        <c:overlap val="-27"/>
        <c:axId val="109187840"/>
        <c:axId val="109189376"/>
      </c:barChart>
      <c:catAx>
        <c:axId val="109187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09189376"/>
        <c:crosses val="autoZero"/>
        <c:auto val="1"/>
        <c:lblAlgn val="ctr"/>
        <c:lblOffset val="100"/>
        <c:noMultiLvlLbl val="0"/>
      </c:catAx>
      <c:valAx>
        <c:axId val="1091893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187840"/>
        <c:crosses val="autoZero"/>
        <c:crossBetween val="between"/>
      </c:valAx>
      <c:spPr>
        <a:noFill/>
        <a:ln>
          <a:noFill/>
        </a:ln>
        <a:effectLst/>
      </c:spPr>
    </c:plotArea>
    <c:legend>
      <c:legendPos val="b"/>
      <c:layout>
        <c:manualLayout>
          <c:xMode val="edge"/>
          <c:yMode val="edge"/>
          <c:x val="0.12098589238845146"/>
          <c:y val="0.87599112610923635"/>
          <c:w val="0.75571321813939929"/>
          <c:h val="0.1001993500812398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124160722145757"/>
          <c:y val="1.1909599290576193E-2"/>
          <c:w val="0.82386273920728847"/>
          <c:h val="0.71106069263465965"/>
        </c:manualLayout>
      </c:layout>
      <c:barChart>
        <c:barDir val="bar"/>
        <c:grouping val="stacked"/>
        <c:varyColors val="0"/>
        <c:ser>
          <c:idx val="0"/>
          <c:order val="0"/>
          <c:tx>
            <c:strRef>
              <c:f>Sheet1!$B$1</c:f>
              <c:strCache>
                <c:ptCount val="1"/>
                <c:pt idx="0">
                  <c:v>... kas pakļautas (tikai) nabadzības riskam;</c:v>
                </c:pt>
              </c:strCache>
            </c:strRef>
          </c:tx>
          <c:spPr>
            <a:solidFill>
              <a:srgbClr val="9BBB59">
                <a:lumMod val="40000"/>
                <a:lumOff val="60000"/>
              </a:srgbClr>
            </a:solidFill>
            <a:ln>
              <a:noFill/>
            </a:ln>
            <a:effectLst/>
          </c:spPr>
          <c:invertIfNegative val="0"/>
          <c:cat>
            <c:strRef>
              <c:f>Sheet1!$A$2:$A$28</c:f>
              <c:strCache>
                <c:ptCount val="27"/>
                <c:pt idx="0">
                  <c:v>Francija</c:v>
                </c:pt>
                <c:pt idx="1">
                  <c:v>Itālija</c:v>
                </c:pt>
                <c:pt idx="2">
                  <c:v>Spānija</c:v>
                </c:pt>
                <c:pt idx="3">
                  <c:v>Vācija</c:v>
                </c:pt>
                <c:pt idx="4">
                  <c:v>Rumānija</c:v>
                </c:pt>
                <c:pt idx="5">
                  <c:v>Polija</c:v>
                </c:pt>
                <c:pt idx="6">
                  <c:v>Grieķija</c:v>
                </c:pt>
                <c:pt idx="7">
                  <c:v>Beļģija</c:v>
                </c:pt>
                <c:pt idx="8">
                  <c:v>Nīderlande</c:v>
                </c:pt>
                <c:pt idx="9">
                  <c:v>Zviedrija</c:v>
                </c:pt>
                <c:pt idx="10">
                  <c:v>Bulgārija</c:v>
                </c:pt>
                <c:pt idx="11">
                  <c:v>Portugāle</c:v>
                </c:pt>
                <c:pt idx="12">
                  <c:v>Ungārija</c:v>
                </c:pt>
                <c:pt idx="13">
                  <c:v>Austrija</c:v>
                </c:pt>
                <c:pt idx="14">
                  <c:v>Īrija</c:v>
                </c:pt>
                <c:pt idx="15">
                  <c:v>Čehija</c:v>
                </c:pt>
                <c:pt idx="16">
                  <c:v>Slovākija</c:v>
                </c:pt>
                <c:pt idx="17">
                  <c:v>Somija</c:v>
                </c:pt>
                <c:pt idx="18">
                  <c:v>Dānija</c:v>
                </c:pt>
                <c:pt idx="19">
                  <c:v>Horvātija</c:v>
                </c:pt>
                <c:pt idx="20">
                  <c:v>Lietuva</c:v>
                </c:pt>
                <c:pt idx="21">
                  <c:v>Latvija</c:v>
                </c:pt>
                <c:pt idx="22">
                  <c:v>Igaunija</c:v>
                </c:pt>
                <c:pt idx="23">
                  <c:v>Slovēnija</c:v>
                </c:pt>
                <c:pt idx="24">
                  <c:v>Kipra</c:v>
                </c:pt>
                <c:pt idx="25">
                  <c:v>Luksemburga</c:v>
                </c:pt>
                <c:pt idx="26">
                  <c:v>Malta</c:v>
                </c:pt>
              </c:strCache>
            </c:strRef>
          </c:cat>
          <c:val>
            <c:numRef>
              <c:f>Sheet1!$B$2:$B$28</c:f>
              <c:numCache>
                <c:formatCode>#,##0</c:formatCode>
                <c:ptCount val="27"/>
                <c:pt idx="0">
                  <c:v>1573</c:v>
                </c:pt>
                <c:pt idx="1">
                  <c:v>1682</c:v>
                </c:pt>
                <c:pt idx="2">
                  <c:v>1523</c:v>
                </c:pt>
                <c:pt idx="3">
                  <c:v>1222</c:v>
                </c:pt>
                <c:pt idx="4" formatCode="General">
                  <c:v>581</c:v>
                </c:pt>
                <c:pt idx="5" formatCode="General">
                  <c:v>712</c:v>
                </c:pt>
                <c:pt idx="6" formatCode="General">
                  <c:v>178</c:v>
                </c:pt>
                <c:pt idx="7" formatCode="General">
                  <c:v>233</c:v>
                </c:pt>
                <c:pt idx="8" formatCode="General">
                  <c:v>267</c:v>
                </c:pt>
                <c:pt idx="9" formatCode="General">
                  <c:v>279</c:v>
                </c:pt>
                <c:pt idx="10" formatCode="General">
                  <c:v>132</c:v>
                </c:pt>
                <c:pt idx="11" formatCode="General">
                  <c:v>226</c:v>
                </c:pt>
                <c:pt idx="12" formatCode="General">
                  <c:v>125</c:v>
                </c:pt>
                <c:pt idx="13" formatCode="General">
                  <c:v>154</c:v>
                </c:pt>
                <c:pt idx="14" formatCode="General">
                  <c:v>68</c:v>
                </c:pt>
                <c:pt idx="15" formatCode="General">
                  <c:v>146</c:v>
                </c:pt>
                <c:pt idx="16" formatCode="General">
                  <c:v>105</c:v>
                </c:pt>
                <c:pt idx="17" formatCode="General">
                  <c:v>66</c:v>
                </c:pt>
                <c:pt idx="18" formatCode="General">
                  <c:v>72</c:v>
                </c:pt>
                <c:pt idx="19" formatCode="General">
                  <c:v>68</c:v>
                </c:pt>
                <c:pt idx="20" formatCode="General">
                  <c:v>67</c:v>
                </c:pt>
                <c:pt idx="21" formatCode="General">
                  <c:v>32</c:v>
                </c:pt>
                <c:pt idx="22" formatCode="General">
                  <c:v>36</c:v>
                </c:pt>
                <c:pt idx="23" formatCode="General">
                  <c:v>31</c:v>
                </c:pt>
                <c:pt idx="24" formatCode="General">
                  <c:v>15</c:v>
                </c:pt>
                <c:pt idx="25" formatCode="General">
                  <c:v>22</c:v>
                </c:pt>
                <c:pt idx="26" formatCode="General">
                  <c:v>12</c:v>
                </c:pt>
              </c:numCache>
            </c:numRef>
          </c:val>
          <c:extLst>
            <c:ext xmlns:c16="http://schemas.microsoft.com/office/drawing/2014/chart" uri="{C3380CC4-5D6E-409C-BE32-E72D297353CC}">
              <c16:uniqueId val="{00000000-FA8E-437F-A9F4-048B24FF1B89}"/>
            </c:ext>
          </c:extLst>
        </c:ser>
        <c:ser>
          <c:idx val="1"/>
          <c:order val="1"/>
          <c:tx>
            <c:strRef>
              <c:f>Sheet1!$C$1</c:f>
              <c:strCache>
                <c:ptCount val="1"/>
                <c:pt idx="0">
                  <c:v>... kurās ir ļoti zema nodarbinātības intensitāte un kuras ir pakļautas nabadzības riskam;</c:v>
                </c:pt>
              </c:strCache>
            </c:strRef>
          </c:tx>
          <c:spPr>
            <a:solidFill>
              <a:srgbClr val="FFFF00"/>
            </a:solidFill>
            <a:ln>
              <a:noFill/>
            </a:ln>
            <a:effectLst/>
          </c:spPr>
          <c:invertIfNegative val="0"/>
          <c:cat>
            <c:strRef>
              <c:f>Sheet1!$A$2:$A$28</c:f>
              <c:strCache>
                <c:ptCount val="27"/>
                <c:pt idx="0">
                  <c:v>Francija</c:v>
                </c:pt>
                <c:pt idx="1">
                  <c:v>Itālija</c:v>
                </c:pt>
                <c:pt idx="2">
                  <c:v>Spānija</c:v>
                </c:pt>
                <c:pt idx="3">
                  <c:v>Vācija</c:v>
                </c:pt>
                <c:pt idx="4">
                  <c:v>Rumānija</c:v>
                </c:pt>
                <c:pt idx="5">
                  <c:v>Polija</c:v>
                </c:pt>
                <c:pt idx="6">
                  <c:v>Grieķija</c:v>
                </c:pt>
                <c:pt idx="7">
                  <c:v>Beļģija</c:v>
                </c:pt>
                <c:pt idx="8">
                  <c:v>Nīderlande</c:v>
                </c:pt>
                <c:pt idx="9">
                  <c:v>Zviedrija</c:v>
                </c:pt>
                <c:pt idx="10">
                  <c:v>Bulgārija</c:v>
                </c:pt>
                <c:pt idx="11">
                  <c:v>Portugāle</c:v>
                </c:pt>
                <c:pt idx="12">
                  <c:v>Ungārija</c:v>
                </c:pt>
                <c:pt idx="13">
                  <c:v>Austrija</c:v>
                </c:pt>
                <c:pt idx="14">
                  <c:v>Īrija</c:v>
                </c:pt>
                <c:pt idx="15">
                  <c:v>Čehija</c:v>
                </c:pt>
                <c:pt idx="16">
                  <c:v>Slovākija</c:v>
                </c:pt>
                <c:pt idx="17">
                  <c:v>Somija</c:v>
                </c:pt>
                <c:pt idx="18">
                  <c:v>Dānija</c:v>
                </c:pt>
                <c:pt idx="19">
                  <c:v>Horvātija</c:v>
                </c:pt>
                <c:pt idx="20">
                  <c:v>Lietuva</c:v>
                </c:pt>
                <c:pt idx="21">
                  <c:v>Latvija</c:v>
                </c:pt>
                <c:pt idx="22">
                  <c:v>Igaunija</c:v>
                </c:pt>
                <c:pt idx="23">
                  <c:v>Slovēnija</c:v>
                </c:pt>
                <c:pt idx="24">
                  <c:v>Kipra</c:v>
                </c:pt>
                <c:pt idx="25">
                  <c:v>Luksemburga</c:v>
                </c:pt>
                <c:pt idx="26">
                  <c:v>Malta</c:v>
                </c:pt>
              </c:strCache>
            </c:strRef>
          </c:cat>
          <c:val>
            <c:numRef>
              <c:f>Sheet1!$C$2:$C$28</c:f>
              <c:numCache>
                <c:formatCode>General</c:formatCode>
                <c:ptCount val="27"/>
                <c:pt idx="0">
                  <c:v>456</c:v>
                </c:pt>
                <c:pt idx="1">
                  <c:v>338</c:v>
                </c:pt>
                <c:pt idx="2">
                  <c:v>341</c:v>
                </c:pt>
                <c:pt idx="3">
                  <c:v>349</c:v>
                </c:pt>
                <c:pt idx="4">
                  <c:v>68</c:v>
                </c:pt>
                <c:pt idx="5">
                  <c:v>101</c:v>
                </c:pt>
                <c:pt idx="6">
                  <c:v>29</c:v>
                </c:pt>
                <c:pt idx="7">
                  <c:v>127</c:v>
                </c:pt>
                <c:pt idx="8">
                  <c:v>127</c:v>
                </c:pt>
                <c:pt idx="9">
                  <c:v>146</c:v>
                </c:pt>
                <c:pt idx="10">
                  <c:v>39</c:v>
                </c:pt>
                <c:pt idx="11">
                  <c:v>41</c:v>
                </c:pt>
                <c:pt idx="12">
                  <c:v>14</c:v>
                </c:pt>
                <c:pt idx="13">
                  <c:v>56</c:v>
                </c:pt>
                <c:pt idx="14">
                  <c:v>64</c:v>
                </c:pt>
                <c:pt idx="15">
                  <c:v>43</c:v>
                </c:pt>
                <c:pt idx="16">
                  <c:v>22</c:v>
                </c:pt>
                <c:pt idx="17">
                  <c:v>34</c:v>
                </c:pt>
                <c:pt idx="18">
                  <c:v>25</c:v>
                </c:pt>
                <c:pt idx="19">
                  <c:v>27</c:v>
                </c:pt>
                <c:pt idx="20">
                  <c:v>18</c:v>
                </c:pt>
                <c:pt idx="21">
                  <c:v>10</c:v>
                </c:pt>
                <c:pt idx="22">
                  <c:v>4</c:v>
                </c:pt>
                <c:pt idx="23">
                  <c:v>6</c:v>
                </c:pt>
                <c:pt idx="24">
                  <c:v>2</c:v>
                </c:pt>
                <c:pt idx="25">
                  <c:v>4</c:v>
                </c:pt>
                <c:pt idx="26">
                  <c:v>3</c:v>
                </c:pt>
              </c:numCache>
            </c:numRef>
          </c:val>
          <c:extLst>
            <c:ext xmlns:c16="http://schemas.microsoft.com/office/drawing/2014/chart" uri="{C3380CC4-5D6E-409C-BE32-E72D297353CC}">
              <c16:uniqueId val="{00000001-FA8E-437F-A9F4-048B24FF1B89}"/>
            </c:ext>
          </c:extLst>
        </c:ser>
        <c:ser>
          <c:idx val="2"/>
          <c:order val="2"/>
          <c:tx>
            <c:strRef>
              <c:f>Sheet1!$D$1</c:f>
              <c:strCache>
                <c:ptCount val="1"/>
                <c:pt idx="0">
                  <c:v>... kuras ir pakļautas nabadzības riskam un smagas materiālās nenodrošinātības apstākļiem;</c:v>
                </c:pt>
              </c:strCache>
            </c:strRef>
          </c:tx>
          <c:spPr>
            <a:solidFill>
              <a:srgbClr val="FF9000"/>
            </a:solidFill>
            <a:ln>
              <a:noFill/>
            </a:ln>
            <a:effectLst/>
          </c:spPr>
          <c:invertIfNegative val="0"/>
          <c:cat>
            <c:strRef>
              <c:f>Sheet1!$A$2:$A$28</c:f>
              <c:strCache>
                <c:ptCount val="27"/>
                <c:pt idx="0">
                  <c:v>Francija</c:v>
                </c:pt>
                <c:pt idx="1">
                  <c:v>Itālija</c:v>
                </c:pt>
                <c:pt idx="2">
                  <c:v>Spānija</c:v>
                </c:pt>
                <c:pt idx="3">
                  <c:v>Vācija</c:v>
                </c:pt>
                <c:pt idx="4">
                  <c:v>Rumānija</c:v>
                </c:pt>
                <c:pt idx="5">
                  <c:v>Polija</c:v>
                </c:pt>
                <c:pt idx="6">
                  <c:v>Grieķija</c:v>
                </c:pt>
                <c:pt idx="7">
                  <c:v>Beļģija</c:v>
                </c:pt>
                <c:pt idx="8">
                  <c:v>Nīderlande</c:v>
                </c:pt>
                <c:pt idx="9">
                  <c:v>Zviedrija</c:v>
                </c:pt>
                <c:pt idx="10">
                  <c:v>Bulgārija</c:v>
                </c:pt>
                <c:pt idx="11">
                  <c:v>Portugāle</c:v>
                </c:pt>
                <c:pt idx="12">
                  <c:v>Ungārija</c:v>
                </c:pt>
                <c:pt idx="13">
                  <c:v>Austrija</c:v>
                </c:pt>
                <c:pt idx="14">
                  <c:v>Īrija</c:v>
                </c:pt>
                <c:pt idx="15">
                  <c:v>Čehija</c:v>
                </c:pt>
                <c:pt idx="16">
                  <c:v>Slovākija</c:v>
                </c:pt>
                <c:pt idx="17">
                  <c:v>Somija</c:v>
                </c:pt>
                <c:pt idx="18">
                  <c:v>Dānija</c:v>
                </c:pt>
                <c:pt idx="19">
                  <c:v>Horvātija</c:v>
                </c:pt>
                <c:pt idx="20">
                  <c:v>Lietuva</c:v>
                </c:pt>
                <c:pt idx="21">
                  <c:v>Latvija</c:v>
                </c:pt>
                <c:pt idx="22">
                  <c:v>Igaunija</c:v>
                </c:pt>
                <c:pt idx="23">
                  <c:v>Slovēnija</c:v>
                </c:pt>
                <c:pt idx="24">
                  <c:v>Kipra</c:v>
                </c:pt>
                <c:pt idx="25">
                  <c:v>Luksemburga</c:v>
                </c:pt>
                <c:pt idx="26">
                  <c:v>Malta</c:v>
                </c:pt>
              </c:strCache>
            </c:strRef>
          </c:cat>
          <c:val>
            <c:numRef>
              <c:f>Sheet1!$D$2:$D$28</c:f>
              <c:numCache>
                <c:formatCode>General</c:formatCode>
                <c:ptCount val="27"/>
                <c:pt idx="0">
                  <c:v>184</c:v>
                </c:pt>
                <c:pt idx="1">
                  <c:v>190</c:v>
                </c:pt>
                <c:pt idx="2">
                  <c:v>223</c:v>
                </c:pt>
                <c:pt idx="3">
                  <c:v>52</c:v>
                </c:pt>
                <c:pt idx="4">
                  <c:v>364</c:v>
                </c:pt>
                <c:pt idx="5">
                  <c:v>53</c:v>
                </c:pt>
                <c:pt idx="6">
                  <c:v>101</c:v>
                </c:pt>
                <c:pt idx="7">
                  <c:v>25</c:v>
                </c:pt>
                <c:pt idx="8">
                  <c:v>12</c:v>
                </c:pt>
                <c:pt idx="9">
                  <c:v>13</c:v>
                </c:pt>
                <c:pt idx="10">
                  <c:v>87</c:v>
                </c:pt>
                <c:pt idx="11">
                  <c:v>34</c:v>
                </c:pt>
                <c:pt idx="12">
                  <c:v>32</c:v>
                </c:pt>
                <c:pt idx="13">
                  <c:v>12</c:v>
                </c:pt>
                <c:pt idx="14">
                  <c:v>11</c:v>
                </c:pt>
                <c:pt idx="15">
                  <c:v>22</c:v>
                </c:pt>
                <c:pt idx="16">
                  <c:v>21</c:v>
                </c:pt>
                <c:pt idx="17">
                  <c:v>3</c:v>
                </c:pt>
                <c:pt idx="18">
                  <c:v>5</c:v>
                </c:pt>
                <c:pt idx="19">
                  <c:v>13</c:v>
                </c:pt>
                <c:pt idx="20">
                  <c:v>14</c:v>
                </c:pt>
                <c:pt idx="21">
                  <c:v>4</c:v>
                </c:pt>
                <c:pt idx="22">
                  <c:v>3</c:v>
                </c:pt>
                <c:pt idx="23">
                  <c:v>2</c:v>
                </c:pt>
                <c:pt idx="24">
                  <c:v>8</c:v>
                </c:pt>
                <c:pt idx="25">
                  <c:v>1</c:v>
                </c:pt>
                <c:pt idx="26">
                  <c:v>2</c:v>
                </c:pt>
              </c:numCache>
            </c:numRef>
          </c:val>
          <c:extLst>
            <c:ext xmlns:c16="http://schemas.microsoft.com/office/drawing/2014/chart" uri="{C3380CC4-5D6E-409C-BE32-E72D297353CC}">
              <c16:uniqueId val="{00000002-FA8E-437F-A9F4-048B24FF1B89}"/>
            </c:ext>
          </c:extLst>
        </c:ser>
        <c:ser>
          <c:idx val="3"/>
          <c:order val="3"/>
          <c:tx>
            <c:strRef>
              <c:f>Sheet1!$E$1</c:f>
              <c:strCache>
                <c:ptCount val="1"/>
                <c:pt idx="0">
                  <c:v>... kuras ir pakļautas nabadzības riskam un smagas materiālās nenodrošinātības apstākļiem un kurās ir ļoti zema nodarbinātības intensitāte;</c:v>
                </c:pt>
              </c:strCache>
            </c:strRef>
          </c:tx>
          <c:spPr>
            <a:solidFill>
              <a:srgbClr val="C00000"/>
            </a:solidFill>
            <a:ln>
              <a:noFill/>
            </a:ln>
            <a:effectLst/>
          </c:spPr>
          <c:invertIfNegative val="0"/>
          <c:cat>
            <c:strRef>
              <c:f>Sheet1!$A$2:$A$28</c:f>
              <c:strCache>
                <c:ptCount val="27"/>
                <c:pt idx="0">
                  <c:v>Francija</c:v>
                </c:pt>
                <c:pt idx="1">
                  <c:v>Itālija</c:v>
                </c:pt>
                <c:pt idx="2">
                  <c:v>Spānija</c:v>
                </c:pt>
                <c:pt idx="3">
                  <c:v>Vācija</c:v>
                </c:pt>
                <c:pt idx="4">
                  <c:v>Rumānija</c:v>
                </c:pt>
                <c:pt idx="5">
                  <c:v>Polija</c:v>
                </c:pt>
                <c:pt idx="6">
                  <c:v>Grieķija</c:v>
                </c:pt>
                <c:pt idx="7">
                  <c:v>Beļģija</c:v>
                </c:pt>
                <c:pt idx="8">
                  <c:v>Nīderlande</c:v>
                </c:pt>
                <c:pt idx="9">
                  <c:v>Zviedrija</c:v>
                </c:pt>
                <c:pt idx="10">
                  <c:v>Bulgārija</c:v>
                </c:pt>
                <c:pt idx="11">
                  <c:v>Portugāle</c:v>
                </c:pt>
                <c:pt idx="12">
                  <c:v>Ungārija</c:v>
                </c:pt>
                <c:pt idx="13">
                  <c:v>Austrija</c:v>
                </c:pt>
                <c:pt idx="14">
                  <c:v>Īrija</c:v>
                </c:pt>
                <c:pt idx="15">
                  <c:v>Čehija</c:v>
                </c:pt>
                <c:pt idx="16">
                  <c:v>Slovākija</c:v>
                </c:pt>
                <c:pt idx="17">
                  <c:v>Somija</c:v>
                </c:pt>
                <c:pt idx="18">
                  <c:v>Dānija</c:v>
                </c:pt>
                <c:pt idx="19">
                  <c:v>Horvātija</c:v>
                </c:pt>
                <c:pt idx="20">
                  <c:v>Lietuva</c:v>
                </c:pt>
                <c:pt idx="21">
                  <c:v>Latvija</c:v>
                </c:pt>
                <c:pt idx="22">
                  <c:v>Igaunija</c:v>
                </c:pt>
                <c:pt idx="23">
                  <c:v>Slovēnija</c:v>
                </c:pt>
                <c:pt idx="24">
                  <c:v>Kipra</c:v>
                </c:pt>
                <c:pt idx="25">
                  <c:v>Luksemburga</c:v>
                </c:pt>
                <c:pt idx="26">
                  <c:v>Malta</c:v>
                </c:pt>
              </c:strCache>
            </c:strRef>
          </c:cat>
          <c:val>
            <c:numRef>
              <c:f>Sheet1!$E$2:$E$28</c:f>
              <c:numCache>
                <c:formatCode>General</c:formatCode>
                <c:ptCount val="27"/>
                <c:pt idx="0">
                  <c:v>193</c:v>
                </c:pt>
                <c:pt idx="1">
                  <c:v>187</c:v>
                </c:pt>
                <c:pt idx="2">
                  <c:v>187</c:v>
                </c:pt>
                <c:pt idx="3">
                  <c:v>62</c:v>
                </c:pt>
                <c:pt idx="4">
                  <c:v>114</c:v>
                </c:pt>
                <c:pt idx="5">
                  <c:v>30</c:v>
                </c:pt>
                <c:pt idx="6">
                  <c:v>80</c:v>
                </c:pt>
                <c:pt idx="7">
                  <c:v>71</c:v>
                </c:pt>
                <c:pt idx="8">
                  <c:v>51</c:v>
                </c:pt>
                <c:pt idx="9">
                  <c:v>40</c:v>
                </c:pt>
                <c:pt idx="10">
                  <c:v>75</c:v>
                </c:pt>
                <c:pt idx="11">
                  <c:v>21</c:v>
                </c:pt>
                <c:pt idx="12">
                  <c:v>26</c:v>
                </c:pt>
                <c:pt idx="13">
                  <c:v>10</c:v>
                </c:pt>
                <c:pt idx="14">
                  <c:v>33</c:v>
                </c:pt>
                <c:pt idx="15">
                  <c:v>13</c:v>
                </c:pt>
                <c:pt idx="16">
                  <c:v>40</c:v>
                </c:pt>
                <c:pt idx="17">
                  <c:v>6</c:v>
                </c:pt>
                <c:pt idx="18">
                  <c:v>15</c:v>
                </c:pt>
                <c:pt idx="19">
                  <c:v>11</c:v>
                </c:pt>
                <c:pt idx="20">
                  <c:v>13</c:v>
                </c:pt>
                <c:pt idx="21">
                  <c:v>6</c:v>
                </c:pt>
                <c:pt idx="22">
                  <c:v>1</c:v>
                </c:pt>
                <c:pt idx="23">
                  <c:v>2</c:v>
                </c:pt>
                <c:pt idx="24">
                  <c:v>4</c:v>
                </c:pt>
                <c:pt idx="25">
                  <c:v>1</c:v>
                </c:pt>
                <c:pt idx="26">
                  <c:v>1</c:v>
                </c:pt>
              </c:numCache>
            </c:numRef>
          </c:val>
          <c:extLst>
            <c:ext xmlns:c16="http://schemas.microsoft.com/office/drawing/2014/chart" uri="{C3380CC4-5D6E-409C-BE32-E72D297353CC}">
              <c16:uniqueId val="{00000003-FA8E-437F-A9F4-048B24FF1B89}"/>
            </c:ext>
          </c:extLst>
        </c:ser>
        <c:ser>
          <c:idx val="4"/>
          <c:order val="4"/>
          <c:tx>
            <c:strRef>
              <c:f>Sheet1!$F$1</c:f>
              <c:strCache>
                <c:ptCount val="1"/>
                <c:pt idx="0">
                  <c:v>... kuras ir pakļautas smagas materiālās nenodrošinātības apstākļiem un kurās ir ļoti zema nodarbinātības intensitāte;</c:v>
                </c:pt>
              </c:strCache>
            </c:strRef>
          </c:tx>
          <c:spPr>
            <a:solidFill>
              <a:srgbClr val="FF0066"/>
            </a:solidFill>
            <a:ln>
              <a:noFill/>
            </a:ln>
            <a:effectLst/>
          </c:spPr>
          <c:invertIfNegative val="0"/>
          <c:cat>
            <c:strRef>
              <c:f>Sheet1!$A$2:$A$28</c:f>
              <c:strCache>
                <c:ptCount val="27"/>
                <c:pt idx="0">
                  <c:v>Francija</c:v>
                </c:pt>
                <c:pt idx="1">
                  <c:v>Itālija</c:v>
                </c:pt>
                <c:pt idx="2">
                  <c:v>Spānija</c:v>
                </c:pt>
                <c:pt idx="3">
                  <c:v>Vācija</c:v>
                </c:pt>
                <c:pt idx="4">
                  <c:v>Rumānija</c:v>
                </c:pt>
                <c:pt idx="5">
                  <c:v>Polija</c:v>
                </c:pt>
                <c:pt idx="6">
                  <c:v>Grieķija</c:v>
                </c:pt>
                <c:pt idx="7">
                  <c:v>Beļģija</c:v>
                </c:pt>
                <c:pt idx="8">
                  <c:v>Nīderlande</c:v>
                </c:pt>
                <c:pt idx="9">
                  <c:v>Zviedrija</c:v>
                </c:pt>
                <c:pt idx="10">
                  <c:v>Bulgārija</c:v>
                </c:pt>
                <c:pt idx="11">
                  <c:v>Portugāle</c:v>
                </c:pt>
                <c:pt idx="12">
                  <c:v>Ungārija</c:v>
                </c:pt>
                <c:pt idx="13">
                  <c:v>Austrija</c:v>
                </c:pt>
                <c:pt idx="14">
                  <c:v>Īrija</c:v>
                </c:pt>
                <c:pt idx="15">
                  <c:v>Čehija</c:v>
                </c:pt>
                <c:pt idx="16">
                  <c:v>Slovākija</c:v>
                </c:pt>
                <c:pt idx="17">
                  <c:v>Somija</c:v>
                </c:pt>
                <c:pt idx="18">
                  <c:v>Dānija</c:v>
                </c:pt>
                <c:pt idx="19">
                  <c:v>Horvātija</c:v>
                </c:pt>
                <c:pt idx="20">
                  <c:v>Lietuva</c:v>
                </c:pt>
                <c:pt idx="21">
                  <c:v>Latvija</c:v>
                </c:pt>
                <c:pt idx="22">
                  <c:v>Igaunija</c:v>
                </c:pt>
                <c:pt idx="23">
                  <c:v>Slovēnija</c:v>
                </c:pt>
                <c:pt idx="24">
                  <c:v>Kipra</c:v>
                </c:pt>
                <c:pt idx="25">
                  <c:v>Luksemburga</c:v>
                </c:pt>
                <c:pt idx="26">
                  <c:v>Malta</c:v>
                </c:pt>
              </c:strCache>
            </c:strRef>
          </c:cat>
          <c:val>
            <c:numRef>
              <c:f>Sheet1!$F$2:$F$28</c:f>
              <c:numCache>
                <c:formatCode>General</c:formatCode>
                <c:ptCount val="27"/>
                <c:pt idx="0">
                  <c:v>39</c:v>
                </c:pt>
                <c:pt idx="1">
                  <c:v>14</c:v>
                </c:pt>
                <c:pt idx="2">
                  <c:v>11</c:v>
                </c:pt>
                <c:pt idx="3">
                  <c:v>70</c:v>
                </c:pt>
                <c:pt idx="4">
                  <c:v>0</c:v>
                </c:pt>
                <c:pt idx="5">
                  <c:v>8</c:v>
                </c:pt>
                <c:pt idx="6">
                  <c:v>8</c:v>
                </c:pt>
                <c:pt idx="7">
                  <c:v>6</c:v>
                </c:pt>
                <c:pt idx="8">
                  <c:v>3</c:v>
                </c:pt>
                <c:pt idx="9">
                  <c:v>1</c:v>
                </c:pt>
                <c:pt idx="10">
                  <c:v>9</c:v>
                </c:pt>
                <c:pt idx="11">
                  <c:v>3</c:v>
                </c:pt>
                <c:pt idx="12">
                  <c:v>16</c:v>
                </c:pt>
                <c:pt idx="13">
                  <c:v>17</c:v>
                </c:pt>
                <c:pt idx="14">
                  <c:v>16</c:v>
                </c:pt>
                <c:pt idx="15">
                  <c:v>4</c:v>
                </c:pt>
                <c:pt idx="16">
                  <c:v>2</c:v>
                </c:pt>
                <c:pt idx="17">
                  <c:v>4</c:v>
                </c:pt>
                <c:pt idx="18">
                  <c:v>1</c:v>
                </c:pt>
                <c:pt idx="19">
                  <c:v>0</c:v>
                </c:pt>
                <c:pt idx="20">
                  <c:v>1</c:v>
                </c:pt>
                <c:pt idx="21">
                  <c:v>1</c:v>
                </c:pt>
                <c:pt idx="22">
                  <c:v>0</c:v>
                </c:pt>
                <c:pt idx="23">
                  <c:v>1</c:v>
                </c:pt>
                <c:pt idx="24">
                  <c:v>2</c:v>
                </c:pt>
                <c:pt idx="25">
                  <c:v>0</c:v>
                </c:pt>
                <c:pt idx="26">
                  <c:v>0</c:v>
                </c:pt>
              </c:numCache>
            </c:numRef>
          </c:val>
          <c:extLst>
            <c:ext xmlns:c16="http://schemas.microsoft.com/office/drawing/2014/chart" uri="{C3380CC4-5D6E-409C-BE32-E72D297353CC}">
              <c16:uniqueId val="{00000004-FA8E-437F-A9F4-048B24FF1B89}"/>
            </c:ext>
          </c:extLst>
        </c:ser>
        <c:ser>
          <c:idx val="5"/>
          <c:order val="5"/>
          <c:tx>
            <c:strRef>
              <c:f>Sheet1!$G$1</c:f>
              <c:strCache>
                <c:ptCount val="1"/>
                <c:pt idx="0">
                  <c:v>... kuras ir pakļautas (tikai) smagas materiālās nenodrošinātības apstākļiem;</c:v>
                </c:pt>
              </c:strCache>
            </c:strRef>
          </c:tx>
          <c:spPr>
            <a:solidFill>
              <a:schemeClr val="accent4">
                <a:lumMod val="75000"/>
              </a:schemeClr>
            </a:solidFill>
            <a:ln>
              <a:noFill/>
            </a:ln>
            <a:effectLst/>
          </c:spPr>
          <c:invertIfNegative val="0"/>
          <c:cat>
            <c:strRef>
              <c:f>Sheet1!$A$2:$A$28</c:f>
              <c:strCache>
                <c:ptCount val="27"/>
                <c:pt idx="0">
                  <c:v>Francija</c:v>
                </c:pt>
                <c:pt idx="1">
                  <c:v>Itālija</c:v>
                </c:pt>
                <c:pt idx="2">
                  <c:v>Spānija</c:v>
                </c:pt>
                <c:pt idx="3">
                  <c:v>Vācija</c:v>
                </c:pt>
                <c:pt idx="4">
                  <c:v>Rumānija</c:v>
                </c:pt>
                <c:pt idx="5">
                  <c:v>Polija</c:v>
                </c:pt>
                <c:pt idx="6">
                  <c:v>Grieķija</c:v>
                </c:pt>
                <c:pt idx="7">
                  <c:v>Beļģija</c:v>
                </c:pt>
                <c:pt idx="8">
                  <c:v>Nīderlande</c:v>
                </c:pt>
                <c:pt idx="9">
                  <c:v>Zviedrija</c:v>
                </c:pt>
                <c:pt idx="10">
                  <c:v>Bulgārija</c:v>
                </c:pt>
                <c:pt idx="11">
                  <c:v>Portugāle</c:v>
                </c:pt>
                <c:pt idx="12">
                  <c:v>Ungārija</c:v>
                </c:pt>
                <c:pt idx="13">
                  <c:v>Austrija</c:v>
                </c:pt>
                <c:pt idx="14">
                  <c:v>Īrija</c:v>
                </c:pt>
                <c:pt idx="15">
                  <c:v>Čehija</c:v>
                </c:pt>
                <c:pt idx="16">
                  <c:v>Slovākija</c:v>
                </c:pt>
                <c:pt idx="17">
                  <c:v>Somija</c:v>
                </c:pt>
                <c:pt idx="18">
                  <c:v>Dānija</c:v>
                </c:pt>
                <c:pt idx="19">
                  <c:v>Horvātija</c:v>
                </c:pt>
                <c:pt idx="20">
                  <c:v>Lietuva</c:v>
                </c:pt>
                <c:pt idx="21">
                  <c:v>Latvija</c:v>
                </c:pt>
                <c:pt idx="22">
                  <c:v>Igaunija</c:v>
                </c:pt>
                <c:pt idx="23">
                  <c:v>Slovēnija</c:v>
                </c:pt>
                <c:pt idx="24">
                  <c:v>Kipra</c:v>
                </c:pt>
                <c:pt idx="25">
                  <c:v>Luksemburga</c:v>
                </c:pt>
                <c:pt idx="26">
                  <c:v>Malta</c:v>
                </c:pt>
              </c:strCache>
            </c:strRef>
          </c:cat>
          <c:val>
            <c:numRef>
              <c:f>Sheet1!$G$2:$G$28</c:f>
              <c:numCache>
                <c:formatCode>General</c:formatCode>
                <c:ptCount val="27"/>
                <c:pt idx="0">
                  <c:v>259</c:v>
                </c:pt>
                <c:pt idx="1">
                  <c:v>245</c:v>
                </c:pt>
                <c:pt idx="2">
                  <c:v>75</c:v>
                </c:pt>
                <c:pt idx="3">
                  <c:v>107</c:v>
                </c:pt>
                <c:pt idx="4">
                  <c:v>170</c:v>
                </c:pt>
                <c:pt idx="5">
                  <c:v>80</c:v>
                </c:pt>
                <c:pt idx="6">
                  <c:v>133</c:v>
                </c:pt>
                <c:pt idx="7">
                  <c:v>29</c:v>
                </c:pt>
                <c:pt idx="8">
                  <c:v>17</c:v>
                </c:pt>
                <c:pt idx="9">
                  <c:v>15</c:v>
                </c:pt>
                <c:pt idx="10">
                  <c:v>59</c:v>
                </c:pt>
                <c:pt idx="11">
                  <c:v>39</c:v>
                </c:pt>
                <c:pt idx="12">
                  <c:v>148</c:v>
                </c:pt>
                <c:pt idx="13">
                  <c:v>17</c:v>
                </c:pt>
                <c:pt idx="14">
                  <c:v>26</c:v>
                </c:pt>
                <c:pt idx="15">
                  <c:v>18</c:v>
                </c:pt>
                <c:pt idx="16">
                  <c:v>22</c:v>
                </c:pt>
                <c:pt idx="17">
                  <c:v>12</c:v>
                </c:pt>
                <c:pt idx="18">
                  <c:v>14</c:v>
                </c:pt>
                <c:pt idx="19">
                  <c:v>15</c:v>
                </c:pt>
                <c:pt idx="20">
                  <c:v>12</c:v>
                </c:pt>
                <c:pt idx="21">
                  <c:v>11</c:v>
                </c:pt>
                <c:pt idx="22">
                  <c:v>4</c:v>
                </c:pt>
                <c:pt idx="23">
                  <c:v>3</c:v>
                </c:pt>
                <c:pt idx="24">
                  <c:v>7</c:v>
                </c:pt>
                <c:pt idx="25">
                  <c:v>0</c:v>
                </c:pt>
                <c:pt idx="26">
                  <c:v>2</c:v>
                </c:pt>
              </c:numCache>
            </c:numRef>
          </c:val>
          <c:extLst>
            <c:ext xmlns:c16="http://schemas.microsoft.com/office/drawing/2014/chart" uri="{C3380CC4-5D6E-409C-BE32-E72D297353CC}">
              <c16:uniqueId val="{00000005-FA8E-437F-A9F4-048B24FF1B89}"/>
            </c:ext>
          </c:extLst>
        </c:ser>
        <c:ser>
          <c:idx val="6"/>
          <c:order val="6"/>
          <c:tx>
            <c:strRef>
              <c:f>Sheet1!$H$1</c:f>
              <c:strCache>
                <c:ptCount val="1"/>
                <c:pt idx="0">
                  <c:v>... kurās ir (tikai) ļoti zema nodarbinātības intensitāte.</c:v>
                </c:pt>
              </c:strCache>
            </c:strRef>
          </c:tx>
          <c:spPr>
            <a:solidFill>
              <a:schemeClr val="bg1">
                <a:lumMod val="85000"/>
              </a:schemeClr>
            </a:solidFill>
            <a:ln>
              <a:noFill/>
            </a:ln>
            <a:effectLst/>
          </c:spPr>
          <c:invertIfNegative val="0"/>
          <c:cat>
            <c:strRef>
              <c:f>Sheet1!$A$2:$A$28</c:f>
              <c:strCache>
                <c:ptCount val="27"/>
                <c:pt idx="0">
                  <c:v>Francija</c:v>
                </c:pt>
                <c:pt idx="1">
                  <c:v>Itālija</c:v>
                </c:pt>
                <c:pt idx="2">
                  <c:v>Spānija</c:v>
                </c:pt>
                <c:pt idx="3">
                  <c:v>Vācija</c:v>
                </c:pt>
                <c:pt idx="4">
                  <c:v>Rumānija</c:v>
                </c:pt>
                <c:pt idx="5">
                  <c:v>Polija</c:v>
                </c:pt>
                <c:pt idx="6">
                  <c:v>Grieķija</c:v>
                </c:pt>
                <c:pt idx="7">
                  <c:v>Beļģija</c:v>
                </c:pt>
                <c:pt idx="8">
                  <c:v>Nīderlande</c:v>
                </c:pt>
                <c:pt idx="9">
                  <c:v>Zviedrija</c:v>
                </c:pt>
                <c:pt idx="10">
                  <c:v>Bulgārija</c:v>
                </c:pt>
                <c:pt idx="11">
                  <c:v>Portugāle</c:v>
                </c:pt>
                <c:pt idx="12">
                  <c:v>Ungārija</c:v>
                </c:pt>
                <c:pt idx="13">
                  <c:v>Austrija</c:v>
                </c:pt>
                <c:pt idx="14">
                  <c:v>Īrija</c:v>
                </c:pt>
                <c:pt idx="15">
                  <c:v>Čehija</c:v>
                </c:pt>
                <c:pt idx="16">
                  <c:v>Slovākija</c:v>
                </c:pt>
                <c:pt idx="17">
                  <c:v>Somija</c:v>
                </c:pt>
                <c:pt idx="18">
                  <c:v>Dānija</c:v>
                </c:pt>
                <c:pt idx="19">
                  <c:v>Horvātija</c:v>
                </c:pt>
                <c:pt idx="20">
                  <c:v>Lietuva</c:v>
                </c:pt>
                <c:pt idx="21">
                  <c:v>Latvija</c:v>
                </c:pt>
                <c:pt idx="22">
                  <c:v>Igaunija</c:v>
                </c:pt>
                <c:pt idx="23">
                  <c:v>Slovēnija</c:v>
                </c:pt>
                <c:pt idx="24">
                  <c:v>Kipra</c:v>
                </c:pt>
                <c:pt idx="25">
                  <c:v>Luksemburga</c:v>
                </c:pt>
                <c:pt idx="26">
                  <c:v>Malta</c:v>
                </c:pt>
              </c:strCache>
            </c:strRef>
          </c:cat>
          <c:val>
            <c:numRef>
              <c:f>Sheet1!$H$2:$H$28</c:f>
              <c:numCache>
                <c:formatCode>General</c:formatCode>
                <c:ptCount val="27"/>
                <c:pt idx="0">
                  <c:v>271</c:v>
                </c:pt>
                <c:pt idx="1">
                  <c:v>69</c:v>
                </c:pt>
                <c:pt idx="2">
                  <c:v>150</c:v>
                </c:pt>
                <c:pt idx="3">
                  <c:v>224</c:v>
                </c:pt>
                <c:pt idx="4">
                  <c:v>11</c:v>
                </c:pt>
                <c:pt idx="5">
                  <c:v>87</c:v>
                </c:pt>
                <c:pt idx="6">
                  <c:v>32</c:v>
                </c:pt>
                <c:pt idx="7">
                  <c:v>46</c:v>
                </c:pt>
                <c:pt idx="8">
                  <c:v>44</c:v>
                </c:pt>
                <c:pt idx="9">
                  <c:v>19</c:v>
                </c:pt>
                <c:pt idx="10">
                  <c:v>11</c:v>
                </c:pt>
                <c:pt idx="11">
                  <c:v>24</c:v>
                </c:pt>
                <c:pt idx="12">
                  <c:v>21</c:v>
                </c:pt>
                <c:pt idx="13">
                  <c:v>38</c:v>
                </c:pt>
                <c:pt idx="14">
                  <c:v>72</c:v>
                </c:pt>
                <c:pt idx="15">
                  <c:v>14</c:v>
                </c:pt>
                <c:pt idx="16">
                  <c:v>5</c:v>
                </c:pt>
                <c:pt idx="17">
                  <c:v>27</c:v>
                </c:pt>
                <c:pt idx="18">
                  <c:v>18</c:v>
                </c:pt>
                <c:pt idx="19">
                  <c:v>10</c:v>
                </c:pt>
                <c:pt idx="20">
                  <c:v>6</c:v>
                </c:pt>
                <c:pt idx="21">
                  <c:v>4</c:v>
                </c:pt>
                <c:pt idx="22">
                  <c:v>4</c:v>
                </c:pt>
                <c:pt idx="23">
                  <c:v>1</c:v>
                </c:pt>
                <c:pt idx="24">
                  <c:v>2</c:v>
                </c:pt>
                <c:pt idx="25">
                  <c:v>1</c:v>
                </c:pt>
                <c:pt idx="26">
                  <c:v>1</c:v>
                </c:pt>
              </c:numCache>
            </c:numRef>
          </c:val>
          <c:extLst>
            <c:ext xmlns:c16="http://schemas.microsoft.com/office/drawing/2014/chart" uri="{C3380CC4-5D6E-409C-BE32-E72D297353CC}">
              <c16:uniqueId val="{00000006-FA8E-437F-A9F4-048B24FF1B89}"/>
            </c:ext>
          </c:extLst>
        </c:ser>
        <c:dLbls>
          <c:showLegendKey val="0"/>
          <c:showVal val="0"/>
          <c:showCatName val="0"/>
          <c:showSerName val="0"/>
          <c:showPercent val="0"/>
          <c:showBubbleSize val="0"/>
        </c:dLbls>
        <c:gapWidth val="150"/>
        <c:overlap val="100"/>
        <c:axId val="106298368"/>
        <c:axId val="106316544"/>
      </c:barChart>
      <c:catAx>
        <c:axId val="1062983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06316544"/>
        <c:crosses val="autoZero"/>
        <c:auto val="1"/>
        <c:lblAlgn val="ctr"/>
        <c:lblOffset val="100"/>
        <c:noMultiLvlLbl val="0"/>
      </c:catAx>
      <c:valAx>
        <c:axId val="106316544"/>
        <c:scaling>
          <c:orientation val="minMax"/>
          <c:max val="3000"/>
          <c:min val="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298368"/>
        <c:crosses val="autoZero"/>
        <c:crossBetween val="between"/>
      </c:valAx>
      <c:spPr>
        <a:noFill/>
        <a:ln>
          <a:noFill/>
        </a:ln>
        <a:effectLst/>
      </c:spPr>
    </c:plotArea>
    <c:legend>
      <c:legendPos val="b"/>
      <c:layout>
        <c:manualLayout>
          <c:xMode val="edge"/>
          <c:yMode val="edge"/>
          <c:x val="0"/>
          <c:y val="0.76253492207279405"/>
          <c:w val="0.94994794905295221"/>
          <c:h val="0.23746507792720606"/>
        </c:manualLayout>
      </c:layout>
      <c:overlay val="1"/>
      <c:spPr>
        <a:solidFill>
          <a:schemeClr val="bg1"/>
        </a:solid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842005860378564E-2"/>
          <c:y val="4.3903412492516461E-2"/>
          <c:w val="0.92290755322251383"/>
          <c:h val="0.62394428419219883"/>
        </c:manualLayout>
      </c:layout>
      <c:barChart>
        <c:barDir val="col"/>
        <c:grouping val="clustered"/>
        <c:varyColors val="0"/>
        <c:ser>
          <c:idx val="0"/>
          <c:order val="0"/>
          <c:tx>
            <c:strRef>
              <c:f>Sheet1!$B$1</c:f>
              <c:strCache>
                <c:ptCount val="1"/>
                <c:pt idx="0">
                  <c:v>Ziņojošā valsts</c:v>
                </c:pt>
              </c:strCache>
            </c:strRef>
          </c:tx>
          <c:spPr>
            <a:solidFill>
              <a:srgbClr val="00B050"/>
            </a:solidFill>
            <a:ln>
              <a:noFill/>
            </a:ln>
            <a:effectLst/>
          </c:spPr>
          <c:invertIfNegative val="0"/>
          <c:cat>
            <c:strRef>
              <c:f>Sheet1!$A$2:$A$18</c:f>
              <c:strCache>
                <c:ptCount val="17"/>
                <c:pt idx="0">
                  <c:v>Itālija</c:v>
                </c:pt>
                <c:pt idx="1">
                  <c:v>Malta</c:v>
                </c:pt>
                <c:pt idx="2">
                  <c:v>Spānija</c:v>
                </c:pt>
                <c:pt idx="3">
                  <c:v>Grieķija</c:v>
                </c:pt>
                <c:pt idx="4">
                  <c:v>Austrija</c:v>
                </c:pt>
                <c:pt idx="5">
                  <c:v>Vācija</c:v>
                </c:pt>
                <c:pt idx="6">
                  <c:v>27 ES dalībvalstis, vidēji</c:v>
                </c:pt>
                <c:pt idx="7">
                  <c:v>Kipra</c:v>
                </c:pt>
                <c:pt idx="8">
                  <c:v>Beļģija</c:v>
                </c:pt>
                <c:pt idx="9">
                  <c:v>Zviedrija*</c:v>
                </c:pt>
                <c:pt idx="10">
                  <c:v>Dānija*</c:v>
                </c:pt>
                <c:pt idx="11">
                  <c:v>Francija</c:v>
                </c:pt>
                <c:pt idx="12">
                  <c:v>Portugāle*</c:v>
                </c:pt>
                <c:pt idx="13">
                  <c:v>Somija*</c:v>
                </c:pt>
                <c:pt idx="14">
                  <c:v>Slovēnija*</c:v>
                </c:pt>
                <c:pt idx="15">
                  <c:v>Nīderlande</c:v>
                </c:pt>
                <c:pt idx="16">
                  <c:v>Čehija</c:v>
                </c:pt>
              </c:strCache>
            </c:strRef>
          </c:cat>
          <c:val>
            <c:numRef>
              <c:f>Sheet1!$B$2:$B$18</c:f>
              <c:numCache>
                <c:formatCode>#.##0.0</c:formatCode>
                <c:ptCount val="17"/>
                <c:pt idx="0">
                  <c:v>11.3</c:v>
                </c:pt>
                <c:pt idx="1">
                  <c:v>15.7</c:v>
                </c:pt>
                <c:pt idx="2">
                  <c:v>14.4</c:v>
                </c:pt>
                <c:pt idx="3">
                  <c:v>2.9</c:v>
                </c:pt>
                <c:pt idx="4">
                  <c:v>5.7</c:v>
                </c:pt>
                <c:pt idx="5">
                  <c:v>8</c:v>
                </c:pt>
                <c:pt idx="6">
                  <c:v>8.9</c:v>
                </c:pt>
                <c:pt idx="7">
                  <c:v>4.8</c:v>
                </c:pt>
                <c:pt idx="8">
                  <c:v>7.3</c:v>
                </c:pt>
                <c:pt idx="9">
                  <c:v>4.5999999999999996</c:v>
                </c:pt>
                <c:pt idx="10">
                  <c:v>9.6999999999999993</c:v>
                </c:pt>
                <c:pt idx="11">
                  <c:v>7.8</c:v>
                </c:pt>
                <c:pt idx="12">
                  <c:v>10.3</c:v>
                </c:pt>
                <c:pt idx="13">
                  <c:v>7</c:v>
                </c:pt>
                <c:pt idx="14">
                  <c:v>4</c:v>
                </c:pt>
                <c:pt idx="15">
                  <c:v>7.2</c:v>
                </c:pt>
                <c:pt idx="16">
                  <c:v>6.7</c:v>
                </c:pt>
              </c:numCache>
            </c:numRef>
          </c:val>
          <c:extLst>
            <c:ext xmlns:c16="http://schemas.microsoft.com/office/drawing/2014/chart" uri="{C3380CC4-5D6E-409C-BE32-E72D297353CC}">
              <c16:uniqueId val="{00000000-D508-455D-9E21-2857C33E4E88}"/>
            </c:ext>
          </c:extLst>
        </c:ser>
        <c:ser>
          <c:idx val="1"/>
          <c:order val="1"/>
          <c:tx>
            <c:strRef>
              <c:f>Sheet1!$C$1</c:f>
              <c:strCache>
                <c:ptCount val="1"/>
                <c:pt idx="0">
                  <c:v>Valstis, kas nav 27 ES dalībvalstis </c:v>
                </c:pt>
              </c:strCache>
            </c:strRef>
          </c:tx>
          <c:spPr>
            <a:solidFill>
              <a:schemeClr val="bg1">
                <a:lumMod val="75000"/>
              </a:schemeClr>
            </a:solidFill>
            <a:ln>
              <a:noFill/>
            </a:ln>
            <a:effectLst/>
          </c:spPr>
          <c:invertIfNegative val="0"/>
          <c:cat>
            <c:strRef>
              <c:f>Sheet1!$A$2:$A$18</c:f>
              <c:strCache>
                <c:ptCount val="17"/>
                <c:pt idx="0">
                  <c:v>Itālija</c:v>
                </c:pt>
                <c:pt idx="1">
                  <c:v>Malta</c:v>
                </c:pt>
                <c:pt idx="2">
                  <c:v>Spānija</c:v>
                </c:pt>
                <c:pt idx="3">
                  <c:v>Grieķija</c:v>
                </c:pt>
                <c:pt idx="4">
                  <c:v>Austrija</c:v>
                </c:pt>
                <c:pt idx="5">
                  <c:v>Vācija</c:v>
                </c:pt>
                <c:pt idx="6">
                  <c:v>27 ES dalībvalstis, vidēji</c:v>
                </c:pt>
                <c:pt idx="7">
                  <c:v>Kipra</c:v>
                </c:pt>
                <c:pt idx="8">
                  <c:v>Beļģija</c:v>
                </c:pt>
                <c:pt idx="9">
                  <c:v>Zviedrija*</c:v>
                </c:pt>
                <c:pt idx="10">
                  <c:v>Dānija*</c:v>
                </c:pt>
                <c:pt idx="11">
                  <c:v>Francija</c:v>
                </c:pt>
                <c:pt idx="12">
                  <c:v>Portugāle*</c:v>
                </c:pt>
                <c:pt idx="13">
                  <c:v>Somija*</c:v>
                </c:pt>
                <c:pt idx="14">
                  <c:v>Slovēnija*</c:v>
                </c:pt>
                <c:pt idx="15">
                  <c:v>Nīderlande</c:v>
                </c:pt>
                <c:pt idx="16">
                  <c:v>Čehija</c:v>
                </c:pt>
              </c:strCache>
            </c:strRef>
          </c:cat>
          <c:val>
            <c:numRef>
              <c:f>Sheet1!$C$2:$C$18</c:f>
              <c:numCache>
                <c:formatCode>#.##0.0</c:formatCode>
                <c:ptCount val="17"/>
                <c:pt idx="0">
                  <c:v>33</c:v>
                </c:pt>
                <c:pt idx="1">
                  <c:v>31.6</c:v>
                </c:pt>
                <c:pt idx="2">
                  <c:v>31.5</c:v>
                </c:pt>
                <c:pt idx="3">
                  <c:v>27.3</c:v>
                </c:pt>
                <c:pt idx="4">
                  <c:v>24.3</c:v>
                </c:pt>
                <c:pt idx="5">
                  <c:v>23.6</c:v>
                </c:pt>
                <c:pt idx="6">
                  <c:v>22.5</c:v>
                </c:pt>
                <c:pt idx="7">
                  <c:v>20.7</c:v>
                </c:pt>
                <c:pt idx="8">
                  <c:v>17.7</c:v>
                </c:pt>
                <c:pt idx="9">
                  <c:v>14.4</c:v>
                </c:pt>
                <c:pt idx="10">
                  <c:v>14.1</c:v>
                </c:pt>
                <c:pt idx="11">
                  <c:v>13.8</c:v>
                </c:pt>
                <c:pt idx="12">
                  <c:v>13.6</c:v>
                </c:pt>
                <c:pt idx="13">
                  <c:v>13.4</c:v>
                </c:pt>
                <c:pt idx="14">
                  <c:v>12.5</c:v>
                </c:pt>
                <c:pt idx="15">
                  <c:v>10.3</c:v>
                </c:pt>
                <c:pt idx="16">
                  <c:v>6.1</c:v>
                </c:pt>
              </c:numCache>
            </c:numRef>
          </c:val>
          <c:extLst>
            <c:ext xmlns:c16="http://schemas.microsoft.com/office/drawing/2014/chart" uri="{C3380CC4-5D6E-409C-BE32-E72D297353CC}">
              <c16:uniqueId val="{00000001-D508-455D-9E21-2857C33E4E88}"/>
            </c:ext>
          </c:extLst>
        </c:ser>
        <c:ser>
          <c:idx val="2"/>
          <c:order val="2"/>
          <c:tx>
            <c:strRef>
              <c:f>Sheet1!$D$1</c:f>
              <c:strCache>
                <c:ptCount val="1"/>
                <c:pt idx="0">
                  <c:v>Citas 27 ES dalībvalstis</c:v>
                </c:pt>
              </c:strCache>
            </c:strRef>
          </c:tx>
          <c:spPr>
            <a:solidFill>
              <a:srgbClr val="0070C0"/>
            </a:solidFill>
            <a:ln>
              <a:noFill/>
            </a:ln>
            <a:effectLst/>
          </c:spPr>
          <c:invertIfNegative val="0"/>
          <c:cat>
            <c:strRef>
              <c:f>Sheet1!$A$2:$A$18</c:f>
              <c:strCache>
                <c:ptCount val="17"/>
                <c:pt idx="0">
                  <c:v>Itālija</c:v>
                </c:pt>
                <c:pt idx="1">
                  <c:v>Malta</c:v>
                </c:pt>
                <c:pt idx="2">
                  <c:v>Spānija</c:v>
                </c:pt>
                <c:pt idx="3">
                  <c:v>Grieķija</c:v>
                </c:pt>
                <c:pt idx="4">
                  <c:v>Austrija</c:v>
                </c:pt>
                <c:pt idx="5">
                  <c:v>Vācija</c:v>
                </c:pt>
                <c:pt idx="6">
                  <c:v>27 ES dalībvalstis, vidēji</c:v>
                </c:pt>
                <c:pt idx="7">
                  <c:v>Kipra</c:v>
                </c:pt>
                <c:pt idx="8">
                  <c:v>Beļģija</c:v>
                </c:pt>
                <c:pt idx="9">
                  <c:v>Zviedrija*</c:v>
                </c:pt>
                <c:pt idx="10">
                  <c:v>Dānija*</c:v>
                </c:pt>
                <c:pt idx="11">
                  <c:v>Francija</c:v>
                </c:pt>
                <c:pt idx="12">
                  <c:v>Portugāle*</c:v>
                </c:pt>
                <c:pt idx="13">
                  <c:v>Somija*</c:v>
                </c:pt>
                <c:pt idx="14">
                  <c:v>Slovēnija*</c:v>
                </c:pt>
                <c:pt idx="15">
                  <c:v>Nīderlande</c:v>
                </c:pt>
                <c:pt idx="16">
                  <c:v>Čehija</c:v>
                </c:pt>
              </c:strCache>
            </c:strRef>
          </c:cat>
          <c:val>
            <c:numRef>
              <c:f>Sheet1!$D$2:$D$18</c:f>
              <c:numCache>
                <c:formatCode>#.##0.0</c:formatCode>
                <c:ptCount val="17"/>
                <c:pt idx="0">
                  <c:v>30.5</c:v>
                </c:pt>
                <c:pt idx="1">
                  <c:v>23.5</c:v>
                </c:pt>
                <c:pt idx="2">
                  <c:v>29.5</c:v>
                </c:pt>
                <c:pt idx="3">
                  <c:v>25.3</c:v>
                </c:pt>
                <c:pt idx="4">
                  <c:v>13</c:v>
                </c:pt>
                <c:pt idx="5">
                  <c:v>25.7</c:v>
                </c:pt>
                <c:pt idx="6">
                  <c:v>21.4</c:v>
                </c:pt>
                <c:pt idx="7">
                  <c:v>29.5</c:v>
                </c:pt>
                <c:pt idx="8">
                  <c:v>13.1</c:v>
                </c:pt>
                <c:pt idx="9">
                  <c:v>8.6</c:v>
                </c:pt>
                <c:pt idx="10" formatCode="General">
                  <c:v>0</c:v>
                </c:pt>
                <c:pt idx="11">
                  <c:v>11.7</c:v>
                </c:pt>
                <c:pt idx="12" formatCode="General">
                  <c:v>0</c:v>
                </c:pt>
                <c:pt idx="13" formatCode="General">
                  <c:v>0</c:v>
                </c:pt>
                <c:pt idx="14" formatCode="General">
                  <c:v>0</c:v>
                </c:pt>
                <c:pt idx="15">
                  <c:v>15</c:v>
                </c:pt>
                <c:pt idx="16">
                  <c:v>10.9</c:v>
                </c:pt>
              </c:numCache>
            </c:numRef>
          </c:val>
          <c:extLst>
            <c:ext xmlns:c16="http://schemas.microsoft.com/office/drawing/2014/chart" uri="{C3380CC4-5D6E-409C-BE32-E72D297353CC}">
              <c16:uniqueId val="{00000002-D508-455D-9E21-2857C33E4E88}"/>
            </c:ext>
          </c:extLst>
        </c:ser>
        <c:dLbls>
          <c:showLegendKey val="0"/>
          <c:showVal val="0"/>
          <c:showCatName val="0"/>
          <c:showSerName val="0"/>
          <c:showPercent val="0"/>
          <c:showBubbleSize val="0"/>
        </c:dLbls>
        <c:gapWidth val="219"/>
        <c:axId val="106426752"/>
        <c:axId val="106428672"/>
      </c:barChart>
      <c:lineChart>
        <c:grouping val="standard"/>
        <c:varyColors val="0"/>
        <c:ser>
          <c:idx val="3"/>
          <c:order val="3"/>
          <c:tx>
            <c:strRef>
              <c:f>Sheet1!$E$1</c:f>
              <c:strCache>
                <c:ptCount val="1"/>
                <c:pt idx="0">
                  <c:v>Iedzīvotāju kopskaits</c:v>
                </c:pt>
              </c:strCache>
            </c:strRef>
          </c:tx>
          <c:spPr>
            <a:ln w="28575" cap="rnd">
              <a:noFill/>
              <a:round/>
            </a:ln>
            <a:effectLst/>
          </c:spPr>
          <c:marker>
            <c:symbol val="dash"/>
            <c:size val="11"/>
            <c:spPr>
              <a:solidFill>
                <a:srgbClr val="FF0000"/>
              </a:solidFill>
              <a:ln w="9525">
                <a:noFill/>
              </a:ln>
              <a:effectLst/>
            </c:spPr>
          </c:marker>
          <c:cat>
            <c:strRef>
              <c:f>Sheet1!$A$2:$A$18</c:f>
              <c:strCache>
                <c:ptCount val="17"/>
                <c:pt idx="0">
                  <c:v>Itālija</c:v>
                </c:pt>
                <c:pt idx="1">
                  <c:v>Malta</c:v>
                </c:pt>
                <c:pt idx="2">
                  <c:v>Spānija</c:v>
                </c:pt>
                <c:pt idx="3">
                  <c:v>Grieķija</c:v>
                </c:pt>
                <c:pt idx="4">
                  <c:v>Austrija</c:v>
                </c:pt>
                <c:pt idx="5">
                  <c:v>Vācija</c:v>
                </c:pt>
                <c:pt idx="6">
                  <c:v>27 ES dalībvalstis, vidēji</c:v>
                </c:pt>
                <c:pt idx="7">
                  <c:v>Kipra</c:v>
                </c:pt>
                <c:pt idx="8">
                  <c:v>Beļģija</c:v>
                </c:pt>
                <c:pt idx="9">
                  <c:v>Zviedrija*</c:v>
                </c:pt>
                <c:pt idx="10">
                  <c:v>Dānija*</c:v>
                </c:pt>
                <c:pt idx="11">
                  <c:v>Francija</c:v>
                </c:pt>
                <c:pt idx="12">
                  <c:v>Portugāle*</c:v>
                </c:pt>
                <c:pt idx="13">
                  <c:v>Somija*</c:v>
                </c:pt>
                <c:pt idx="14">
                  <c:v>Slovēnija*</c:v>
                </c:pt>
                <c:pt idx="15">
                  <c:v>Nīderlande</c:v>
                </c:pt>
                <c:pt idx="16">
                  <c:v>Čehija</c:v>
                </c:pt>
              </c:strCache>
            </c:strRef>
          </c:cat>
          <c:val>
            <c:numRef>
              <c:f>Sheet1!$E$2:$E$18</c:f>
              <c:numCache>
                <c:formatCode>#.##0.0</c:formatCode>
                <c:ptCount val="17"/>
                <c:pt idx="0">
                  <c:v>13.5</c:v>
                </c:pt>
                <c:pt idx="1">
                  <c:v>17.2</c:v>
                </c:pt>
                <c:pt idx="2">
                  <c:v>17.3</c:v>
                </c:pt>
                <c:pt idx="3">
                  <c:v>4.0999999999999996</c:v>
                </c:pt>
                <c:pt idx="4">
                  <c:v>7.8</c:v>
                </c:pt>
                <c:pt idx="5">
                  <c:v>10.3</c:v>
                </c:pt>
                <c:pt idx="6">
                  <c:v>10.199999999999999</c:v>
                </c:pt>
                <c:pt idx="7">
                  <c:v>9.1999999999999993</c:v>
                </c:pt>
                <c:pt idx="8">
                  <c:v>8.4</c:v>
                </c:pt>
                <c:pt idx="9">
                  <c:v>6.5</c:v>
                </c:pt>
                <c:pt idx="10">
                  <c:v>9.9</c:v>
                </c:pt>
                <c:pt idx="11">
                  <c:v>8.1999999999999993</c:v>
                </c:pt>
                <c:pt idx="12">
                  <c:v>10.6</c:v>
                </c:pt>
                <c:pt idx="13">
                  <c:v>7.3</c:v>
                </c:pt>
                <c:pt idx="14">
                  <c:v>4.5999999999999996</c:v>
                </c:pt>
                <c:pt idx="15">
                  <c:v>7.5</c:v>
                </c:pt>
                <c:pt idx="16">
                  <c:v>6.7</c:v>
                </c:pt>
              </c:numCache>
            </c:numRef>
          </c:val>
          <c:smooth val="0"/>
          <c:extLst>
            <c:ext xmlns:c16="http://schemas.microsoft.com/office/drawing/2014/chart" uri="{C3380CC4-5D6E-409C-BE32-E72D297353CC}">
              <c16:uniqueId val="{00000003-D508-455D-9E21-2857C33E4E88}"/>
            </c:ext>
          </c:extLst>
        </c:ser>
        <c:dLbls>
          <c:showLegendKey val="0"/>
          <c:showVal val="0"/>
          <c:showCatName val="0"/>
          <c:showSerName val="0"/>
          <c:showPercent val="0"/>
          <c:showBubbleSize val="0"/>
        </c:dLbls>
        <c:marker val="1"/>
        <c:smooth val="0"/>
        <c:axId val="106426752"/>
        <c:axId val="106428672"/>
      </c:lineChart>
      <c:catAx>
        <c:axId val="106426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428672"/>
        <c:crosses val="autoZero"/>
        <c:auto val="1"/>
        <c:lblAlgn val="ctr"/>
        <c:lblOffset val="100"/>
        <c:noMultiLvlLbl val="0"/>
      </c:catAx>
      <c:valAx>
        <c:axId val="1064286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426752"/>
        <c:crosses val="autoZero"/>
        <c:crossBetween val="between"/>
      </c:valAx>
      <c:spPr>
        <a:noFill/>
        <a:ln>
          <a:noFill/>
        </a:ln>
        <a:effectLst/>
      </c:spPr>
    </c:plotArea>
    <c:legend>
      <c:legendPos val="b"/>
      <c:layout>
        <c:manualLayout>
          <c:xMode val="edge"/>
          <c:yMode val="edge"/>
          <c:x val="3.5492146383256505E-2"/>
          <c:y val="0.91317093144719597"/>
          <c:w val="0.91450777202072542"/>
          <c:h val="8.682906855280400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5484106153397494E-2"/>
          <c:y val="4.3650793650793648E-2"/>
          <c:w val="0.9190529308836396"/>
          <c:h val="0.6367824321787745"/>
        </c:manualLayout>
      </c:layout>
      <c:barChart>
        <c:barDir val="col"/>
        <c:grouping val="stacked"/>
        <c:varyColors val="0"/>
        <c:ser>
          <c:idx val="0"/>
          <c:order val="0"/>
          <c:tx>
            <c:strRef>
              <c:f>Sheet1!$B$1</c:f>
              <c:strCache>
                <c:ptCount val="1"/>
                <c:pt idx="0">
                  <c:v>Vientuļais pieaugušais ar aprūpējamiem bērniem</c:v>
                </c:pt>
              </c:strCache>
            </c:strRef>
          </c:tx>
          <c:spPr>
            <a:solidFill>
              <a:srgbClr val="C00000"/>
            </a:solidFill>
            <a:ln>
              <a:noFill/>
            </a:ln>
            <a:effectLst/>
          </c:spPr>
          <c:invertIfNegative val="0"/>
          <c:dPt>
            <c:idx val="13"/>
            <c:invertIfNegative val="0"/>
            <c:bubble3D val="0"/>
            <c:spPr>
              <a:solidFill>
                <a:srgbClr val="0070C0"/>
              </a:solidFill>
              <a:ln>
                <a:noFill/>
              </a:ln>
              <a:effectLst/>
            </c:spPr>
            <c:extLst>
              <c:ext xmlns:c16="http://schemas.microsoft.com/office/drawing/2014/chart" uri="{C3380CC4-5D6E-409C-BE32-E72D297353CC}">
                <c16:uniqueId val="{00000001-CD86-4140-A2D0-5FB5AB4B7FD4}"/>
              </c:ext>
            </c:extLst>
          </c:dPt>
          <c:cat>
            <c:strRef>
              <c:f>Sheet1!$A$2:$A$29</c:f>
              <c:strCache>
                <c:ptCount val="28"/>
                <c:pt idx="0">
                  <c:v>Dānija</c:v>
                </c:pt>
                <c:pt idx="1">
                  <c:v>Zviedrija</c:v>
                </c:pt>
                <c:pt idx="2">
                  <c:v>Lietuva</c:v>
                </c:pt>
                <c:pt idx="3">
                  <c:v>Beļģija</c:v>
                </c:pt>
                <c:pt idx="4">
                  <c:v>Vācija</c:v>
                </c:pt>
                <c:pt idx="5">
                  <c:v>Īrija</c:v>
                </c:pt>
                <c:pt idx="6">
                  <c:v>Francija</c:v>
                </c:pt>
                <c:pt idx="7">
                  <c:v>Somija</c:v>
                </c:pt>
                <c:pt idx="8">
                  <c:v>Latvija</c:v>
                </c:pt>
                <c:pt idx="9">
                  <c:v>Luksemburga</c:v>
                </c:pt>
                <c:pt idx="10">
                  <c:v>Ungārija</c:v>
                </c:pt>
                <c:pt idx="11">
                  <c:v>Igaunija</c:v>
                </c:pt>
                <c:pt idx="12">
                  <c:v>Nīderlande</c:v>
                </c:pt>
                <c:pt idx="13">
                  <c:v>27 ES dalībvalstis</c:v>
                </c:pt>
                <c:pt idx="14">
                  <c:v>Portugāle</c:v>
                </c:pt>
                <c:pt idx="15">
                  <c:v>Čehija</c:v>
                </c:pt>
                <c:pt idx="16">
                  <c:v>Itālija</c:v>
                </c:pt>
                <c:pt idx="17">
                  <c:v>Malta</c:v>
                </c:pt>
                <c:pt idx="18">
                  <c:v>Austrija</c:v>
                </c:pt>
                <c:pt idx="19">
                  <c:v>Spānija</c:v>
                </c:pt>
                <c:pt idx="20">
                  <c:v>Slovēnija</c:v>
                </c:pt>
                <c:pt idx="21">
                  <c:v>Bulgārija</c:v>
                </c:pt>
                <c:pt idx="22">
                  <c:v>Kipra</c:v>
                </c:pt>
                <c:pt idx="23">
                  <c:v>Rumānija</c:v>
                </c:pt>
                <c:pt idx="24">
                  <c:v>Slovākija</c:v>
                </c:pt>
                <c:pt idx="25">
                  <c:v>Horvātija</c:v>
                </c:pt>
                <c:pt idx="26">
                  <c:v>Grieķija</c:v>
                </c:pt>
                <c:pt idx="27">
                  <c:v>Polija</c:v>
                </c:pt>
              </c:strCache>
            </c:strRef>
          </c:cat>
          <c:val>
            <c:numRef>
              <c:f>Sheet1!$B$2:$B$29</c:f>
              <c:numCache>
                <c:formatCode>#.##0.0</c:formatCode>
                <c:ptCount val="28"/>
                <c:pt idx="0">
                  <c:v>5.8</c:v>
                </c:pt>
                <c:pt idx="1">
                  <c:v>5.8</c:v>
                </c:pt>
                <c:pt idx="2">
                  <c:v>5.9</c:v>
                </c:pt>
                <c:pt idx="3">
                  <c:v>6.1</c:v>
                </c:pt>
                <c:pt idx="4">
                  <c:v>4.4000000000000004</c:v>
                </c:pt>
                <c:pt idx="5">
                  <c:v>7.7</c:v>
                </c:pt>
                <c:pt idx="6">
                  <c:v>5.5</c:v>
                </c:pt>
                <c:pt idx="7">
                  <c:v>3.8</c:v>
                </c:pt>
                <c:pt idx="8">
                  <c:v>4.9000000000000004</c:v>
                </c:pt>
                <c:pt idx="9">
                  <c:v>4.9000000000000004</c:v>
                </c:pt>
                <c:pt idx="10">
                  <c:v>4.3</c:v>
                </c:pt>
                <c:pt idx="11">
                  <c:v>4</c:v>
                </c:pt>
                <c:pt idx="12">
                  <c:v>3.8</c:v>
                </c:pt>
                <c:pt idx="13">
                  <c:v>3.9</c:v>
                </c:pt>
                <c:pt idx="14">
                  <c:v>4.4000000000000004</c:v>
                </c:pt>
                <c:pt idx="15">
                  <c:v>4.0999999999999996</c:v>
                </c:pt>
                <c:pt idx="16">
                  <c:v>3.7</c:v>
                </c:pt>
                <c:pt idx="17">
                  <c:v>3.8</c:v>
                </c:pt>
                <c:pt idx="18">
                  <c:v>2.7</c:v>
                </c:pt>
                <c:pt idx="19">
                  <c:v>3.3</c:v>
                </c:pt>
                <c:pt idx="20">
                  <c:v>3.4</c:v>
                </c:pt>
                <c:pt idx="21">
                  <c:v>2.8</c:v>
                </c:pt>
                <c:pt idx="22">
                  <c:v>3.2</c:v>
                </c:pt>
                <c:pt idx="23">
                  <c:v>2.5</c:v>
                </c:pt>
                <c:pt idx="24">
                  <c:v>2.5</c:v>
                </c:pt>
                <c:pt idx="25">
                  <c:v>1.9</c:v>
                </c:pt>
                <c:pt idx="26">
                  <c:v>1.6</c:v>
                </c:pt>
                <c:pt idx="27">
                  <c:v>1.7</c:v>
                </c:pt>
              </c:numCache>
            </c:numRef>
          </c:val>
          <c:extLst>
            <c:ext xmlns:c16="http://schemas.microsoft.com/office/drawing/2014/chart" uri="{C3380CC4-5D6E-409C-BE32-E72D297353CC}">
              <c16:uniqueId val="{00000002-CD86-4140-A2D0-5FB5AB4B7FD4}"/>
            </c:ext>
          </c:extLst>
        </c:ser>
        <c:ser>
          <c:idx val="1"/>
          <c:order val="1"/>
          <c:tx>
            <c:strRef>
              <c:f>Sheet1!$C$1</c:f>
              <c:strCache>
                <c:ptCount val="1"/>
                <c:pt idx="0">
                  <c:v>Citas mājsaimniecības ar aprūpējamiem bērniem</c:v>
                </c:pt>
              </c:strCache>
            </c:strRef>
          </c:tx>
          <c:spPr>
            <a:solidFill>
              <a:schemeClr val="accent3">
                <a:lumMod val="40000"/>
                <a:lumOff val="60000"/>
              </a:schemeClr>
            </a:solidFill>
            <a:ln>
              <a:noFill/>
            </a:ln>
            <a:effectLst/>
          </c:spPr>
          <c:invertIfNegative val="0"/>
          <c:cat>
            <c:strRef>
              <c:f>Sheet1!$A$2:$A$29</c:f>
              <c:strCache>
                <c:ptCount val="28"/>
                <c:pt idx="0">
                  <c:v>Dānija</c:v>
                </c:pt>
                <c:pt idx="1">
                  <c:v>Zviedrija</c:v>
                </c:pt>
                <c:pt idx="2">
                  <c:v>Lietuva</c:v>
                </c:pt>
                <c:pt idx="3">
                  <c:v>Beļģija</c:v>
                </c:pt>
                <c:pt idx="4">
                  <c:v>Vācija</c:v>
                </c:pt>
                <c:pt idx="5">
                  <c:v>Īrija</c:v>
                </c:pt>
                <c:pt idx="6">
                  <c:v>Francija</c:v>
                </c:pt>
                <c:pt idx="7">
                  <c:v>Somija</c:v>
                </c:pt>
                <c:pt idx="8">
                  <c:v>Latvija</c:v>
                </c:pt>
                <c:pt idx="9">
                  <c:v>Luksemburga</c:v>
                </c:pt>
                <c:pt idx="10">
                  <c:v>Ungārija</c:v>
                </c:pt>
                <c:pt idx="11">
                  <c:v>Igaunija</c:v>
                </c:pt>
                <c:pt idx="12">
                  <c:v>Nīderlande</c:v>
                </c:pt>
                <c:pt idx="13">
                  <c:v>27 ES dalībvalstis</c:v>
                </c:pt>
                <c:pt idx="14">
                  <c:v>Portugāle</c:v>
                </c:pt>
                <c:pt idx="15">
                  <c:v>Čehija</c:v>
                </c:pt>
                <c:pt idx="16">
                  <c:v>Itālija</c:v>
                </c:pt>
                <c:pt idx="17">
                  <c:v>Malta</c:v>
                </c:pt>
                <c:pt idx="18">
                  <c:v>Austrija</c:v>
                </c:pt>
                <c:pt idx="19">
                  <c:v>Spānija</c:v>
                </c:pt>
                <c:pt idx="20">
                  <c:v>Slovēnija</c:v>
                </c:pt>
                <c:pt idx="21">
                  <c:v>Bulgārija</c:v>
                </c:pt>
                <c:pt idx="22">
                  <c:v>Kipra</c:v>
                </c:pt>
                <c:pt idx="23">
                  <c:v>Rumānija</c:v>
                </c:pt>
                <c:pt idx="24">
                  <c:v>Slovākija</c:v>
                </c:pt>
                <c:pt idx="25">
                  <c:v>Horvātija</c:v>
                </c:pt>
                <c:pt idx="26">
                  <c:v>Grieķija</c:v>
                </c:pt>
                <c:pt idx="27">
                  <c:v>Polija</c:v>
                </c:pt>
              </c:strCache>
            </c:strRef>
          </c:cat>
          <c:val>
            <c:numRef>
              <c:f>Sheet1!$C$2:$C$29</c:f>
              <c:numCache>
                <c:formatCode>#.##0.0</c:formatCode>
                <c:ptCount val="28"/>
                <c:pt idx="0">
                  <c:v>19.399999999999999</c:v>
                </c:pt>
                <c:pt idx="1">
                  <c:v>21.2</c:v>
                </c:pt>
                <c:pt idx="2">
                  <c:v>24</c:v>
                </c:pt>
                <c:pt idx="3">
                  <c:v>25.5</c:v>
                </c:pt>
                <c:pt idx="4">
                  <c:v>19</c:v>
                </c:pt>
                <c:pt idx="5">
                  <c:v>33.799999999999997</c:v>
                </c:pt>
                <c:pt idx="6">
                  <c:v>24.4</c:v>
                </c:pt>
                <c:pt idx="7">
                  <c:v>19.399999999999999</c:v>
                </c:pt>
                <c:pt idx="8">
                  <c:v>25.4</c:v>
                </c:pt>
                <c:pt idx="9">
                  <c:v>28.5</c:v>
                </c:pt>
                <c:pt idx="10">
                  <c:v>25.599999999999998</c:v>
                </c:pt>
                <c:pt idx="11">
                  <c:v>24.6</c:v>
                </c:pt>
                <c:pt idx="12">
                  <c:v>23.7</c:v>
                </c:pt>
                <c:pt idx="13">
                  <c:v>26</c:v>
                </c:pt>
                <c:pt idx="14">
                  <c:v>30.1</c:v>
                </c:pt>
                <c:pt idx="15">
                  <c:v>28.4</c:v>
                </c:pt>
                <c:pt idx="16">
                  <c:v>26.1</c:v>
                </c:pt>
                <c:pt idx="17">
                  <c:v>30.2</c:v>
                </c:pt>
                <c:pt idx="18">
                  <c:v>24.400000000000002</c:v>
                </c:pt>
                <c:pt idx="19">
                  <c:v>30.3</c:v>
                </c:pt>
                <c:pt idx="20">
                  <c:v>31.6</c:v>
                </c:pt>
                <c:pt idx="21">
                  <c:v>28.599999999999998</c:v>
                </c:pt>
                <c:pt idx="22">
                  <c:v>34</c:v>
                </c:pt>
                <c:pt idx="23">
                  <c:v>32.6</c:v>
                </c:pt>
                <c:pt idx="24">
                  <c:v>35.799999999999997</c:v>
                </c:pt>
                <c:pt idx="25">
                  <c:v>32.200000000000003</c:v>
                </c:pt>
                <c:pt idx="26">
                  <c:v>29.299999999999997</c:v>
                </c:pt>
                <c:pt idx="27">
                  <c:v>33.4</c:v>
                </c:pt>
              </c:numCache>
            </c:numRef>
          </c:val>
          <c:extLst>
            <c:ext xmlns:c16="http://schemas.microsoft.com/office/drawing/2014/chart" uri="{C3380CC4-5D6E-409C-BE32-E72D297353CC}">
              <c16:uniqueId val="{00000003-CD86-4140-A2D0-5FB5AB4B7FD4}"/>
            </c:ext>
          </c:extLst>
        </c:ser>
        <c:dLbls>
          <c:showLegendKey val="0"/>
          <c:showVal val="0"/>
          <c:showCatName val="0"/>
          <c:showSerName val="0"/>
          <c:showPercent val="0"/>
          <c:showBubbleSize val="0"/>
        </c:dLbls>
        <c:gapWidth val="150"/>
        <c:overlap val="100"/>
        <c:axId val="106586112"/>
        <c:axId val="106587648"/>
      </c:barChart>
      <c:catAx>
        <c:axId val="106586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06587648"/>
        <c:crosses val="autoZero"/>
        <c:auto val="1"/>
        <c:lblAlgn val="ctr"/>
        <c:lblOffset val="100"/>
        <c:noMultiLvlLbl val="0"/>
      </c:catAx>
      <c:valAx>
        <c:axId val="106587648"/>
        <c:scaling>
          <c:orientation val="minMax"/>
          <c:max val="43"/>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586112"/>
        <c:crosses val="autoZero"/>
        <c:crossBetween val="between"/>
      </c:valAx>
      <c:spPr>
        <a:noFill/>
        <a:ln>
          <a:noFill/>
        </a:ln>
        <a:effectLst/>
      </c:spPr>
    </c:plotArea>
    <c:legend>
      <c:legendPos val="b"/>
      <c:layout>
        <c:manualLayout>
          <c:xMode val="edge"/>
          <c:yMode val="edge"/>
          <c:x val="0"/>
          <c:y val="0.90684714259660137"/>
          <c:w val="0.99664151356080488"/>
          <c:h val="9.315285740339858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3486111268535239E-2"/>
          <c:y val="5.5912698412698428E-2"/>
          <c:w val="0.92215335279967425"/>
          <c:h val="0.64987986195603109"/>
        </c:manualLayout>
      </c:layout>
      <c:barChart>
        <c:barDir val="col"/>
        <c:grouping val="stacked"/>
        <c:varyColors val="0"/>
        <c:ser>
          <c:idx val="0"/>
          <c:order val="0"/>
          <c:tx>
            <c:strRef>
              <c:f>Sheet1!$B$1</c:f>
              <c:strCache>
                <c:ptCount val="1"/>
                <c:pt idx="0">
                  <c:v>Slimība / veselības aprūpe</c:v>
                </c:pt>
              </c:strCache>
            </c:strRef>
          </c:tx>
          <c:spPr>
            <a:solidFill>
              <a:srgbClr val="215968">
                <a:alpha val="66000"/>
              </a:srgbClr>
            </a:solidFill>
            <a:ln>
              <a:noFill/>
            </a:ln>
            <a:effectLst/>
          </c:spPr>
          <c:invertIfNegative val="0"/>
          <c:cat>
            <c:strRef>
              <c:f>Sheet1!$A$2:$A$29</c:f>
              <c:strCache>
                <c:ptCount val="28"/>
                <c:pt idx="0">
                  <c:v>Dānija</c:v>
                </c:pt>
                <c:pt idx="1">
                  <c:v>Vācija</c:v>
                </c:pt>
                <c:pt idx="2">
                  <c:v>Luksemburga</c:v>
                </c:pt>
                <c:pt idx="3">
                  <c:v>Somija</c:v>
                </c:pt>
                <c:pt idx="4">
                  <c:v>Zviedrija</c:v>
                </c:pt>
                <c:pt idx="5">
                  <c:v>Austrija</c:v>
                </c:pt>
                <c:pt idx="6">
                  <c:v>Polija</c:v>
                </c:pt>
                <c:pt idx="7">
                  <c:v>Francija</c:v>
                </c:pt>
                <c:pt idx="8">
                  <c:v>Igaunija</c:v>
                </c:pt>
                <c:pt idx="9">
                  <c:v>27 ES dalībvalstis</c:v>
                </c:pt>
                <c:pt idx="10">
                  <c:v>Beļģija</c:v>
                </c:pt>
                <c:pt idx="11">
                  <c:v>Ungārija</c:v>
                </c:pt>
                <c:pt idx="12">
                  <c:v>Horvātija</c:v>
                </c:pt>
                <c:pt idx="13">
                  <c:v>Slovēnija</c:v>
                </c:pt>
                <c:pt idx="14">
                  <c:v>Bulgārija</c:v>
                </c:pt>
                <c:pt idx="15">
                  <c:v>Čehija</c:v>
                </c:pt>
                <c:pt idx="16">
                  <c:v>Grieķija</c:v>
                </c:pt>
                <c:pt idx="17">
                  <c:v>Latvija</c:v>
                </c:pt>
                <c:pt idx="18">
                  <c:v>Lietuva</c:v>
                </c:pt>
                <c:pt idx="19">
                  <c:v>Rumānija</c:v>
                </c:pt>
                <c:pt idx="20">
                  <c:v>Slovākija</c:v>
                </c:pt>
                <c:pt idx="21">
                  <c:v>Spānija</c:v>
                </c:pt>
                <c:pt idx="22">
                  <c:v>Īrija</c:v>
                </c:pt>
                <c:pt idx="23">
                  <c:v>Kipra</c:v>
                </c:pt>
                <c:pt idx="24">
                  <c:v>Portugāle</c:v>
                </c:pt>
                <c:pt idx="25">
                  <c:v>Itālija</c:v>
                </c:pt>
                <c:pt idx="26">
                  <c:v>Nīderlande</c:v>
                </c:pt>
                <c:pt idx="27">
                  <c:v>Malta</c:v>
                </c:pt>
              </c:strCache>
            </c:strRef>
          </c:cat>
          <c:val>
            <c:numRef>
              <c:f>Sheet1!$B$2:$B$29</c:f>
              <c:numCache>
                <c:formatCode>#,##0</c:formatCode>
                <c:ptCount val="28"/>
                <c:pt idx="0" formatCode="#.##0.##########">
                  <c:v>6.5</c:v>
                </c:pt>
                <c:pt idx="1">
                  <c:v>10</c:v>
                </c:pt>
                <c:pt idx="2" formatCode="#.##0.##########">
                  <c:v>5.4</c:v>
                </c:pt>
                <c:pt idx="3" formatCode="#.##0.##########">
                  <c:v>6.7</c:v>
                </c:pt>
                <c:pt idx="4" formatCode="#.##0.##########">
                  <c:v>7.5</c:v>
                </c:pt>
                <c:pt idx="5" formatCode="#.##0.##########">
                  <c:v>7.4</c:v>
                </c:pt>
                <c:pt idx="6" formatCode="#.##0.##########">
                  <c:v>4.2</c:v>
                </c:pt>
                <c:pt idx="7">
                  <c:v>9</c:v>
                </c:pt>
                <c:pt idx="8" formatCode="#.##0.##########">
                  <c:v>4.8</c:v>
                </c:pt>
                <c:pt idx="9" formatCode="#.##0.##########">
                  <c:v>7.8</c:v>
                </c:pt>
                <c:pt idx="10" formatCode="#.##0.##########">
                  <c:v>7.4</c:v>
                </c:pt>
                <c:pt idx="11" formatCode="#.##0.##########">
                  <c:v>4.8</c:v>
                </c:pt>
                <c:pt idx="12" formatCode="#.##0.##########">
                  <c:v>7.1</c:v>
                </c:pt>
                <c:pt idx="13" formatCode="#.##0.##########">
                  <c:v>7.3</c:v>
                </c:pt>
                <c:pt idx="14" formatCode="#.##0.##########">
                  <c:v>4.9000000000000004</c:v>
                </c:pt>
                <c:pt idx="15">
                  <c:v>6</c:v>
                </c:pt>
                <c:pt idx="16" formatCode="#.##0.##########">
                  <c:v>4.9000000000000004</c:v>
                </c:pt>
                <c:pt idx="17" formatCode="#.##0.##########">
                  <c:v>4.0999999999999996</c:v>
                </c:pt>
                <c:pt idx="18" formatCode="#.##0.##########">
                  <c:v>4.7</c:v>
                </c:pt>
                <c:pt idx="19" formatCode="#.##0.##########">
                  <c:v>4.3</c:v>
                </c:pt>
                <c:pt idx="20" formatCode="#.##0.##########">
                  <c:v>5.7</c:v>
                </c:pt>
                <c:pt idx="21" formatCode="#.##0.##########">
                  <c:v>6.2</c:v>
                </c:pt>
                <c:pt idx="22" formatCode="#.##0.##########">
                  <c:v>5.3</c:v>
                </c:pt>
                <c:pt idx="23" formatCode="#.##0.##########">
                  <c:v>3.4</c:v>
                </c:pt>
                <c:pt idx="24">
                  <c:v>6</c:v>
                </c:pt>
                <c:pt idx="25" formatCode="#.##0.##########">
                  <c:v>6.4</c:v>
                </c:pt>
                <c:pt idx="26" formatCode="#.##0.##########">
                  <c:v>9.3000000000000007</c:v>
                </c:pt>
                <c:pt idx="27" formatCode="#.##0.##########">
                  <c:v>5.2</c:v>
                </c:pt>
              </c:numCache>
            </c:numRef>
          </c:val>
          <c:extLst>
            <c:ext xmlns:c16="http://schemas.microsoft.com/office/drawing/2014/chart" uri="{C3380CC4-5D6E-409C-BE32-E72D297353CC}">
              <c16:uniqueId val="{00000000-3863-40E1-9729-5B0730A5F953}"/>
            </c:ext>
          </c:extLst>
        </c:ser>
        <c:ser>
          <c:idx val="1"/>
          <c:order val="1"/>
          <c:tx>
            <c:strRef>
              <c:f>Sheet1!$C$1</c:f>
              <c:strCache>
                <c:ptCount val="1"/>
                <c:pt idx="0">
                  <c:v>Invaliditāte</c:v>
                </c:pt>
              </c:strCache>
            </c:strRef>
          </c:tx>
          <c:spPr>
            <a:solidFill>
              <a:schemeClr val="accent5">
                <a:lumMod val="75000"/>
                <a:alpha val="95000"/>
              </a:schemeClr>
            </a:solidFill>
            <a:ln>
              <a:noFill/>
            </a:ln>
            <a:effectLst/>
          </c:spPr>
          <c:invertIfNegative val="0"/>
          <c:cat>
            <c:strRef>
              <c:f>Sheet1!$A$2:$A$29</c:f>
              <c:strCache>
                <c:ptCount val="28"/>
                <c:pt idx="0">
                  <c:v>Dānija</c:v>
                </c:pt>
                <c:pt idx="1">
                  <c:v>Vācija</c:v>
                </c:pt>
                <c:pt idx="2">
                  <c:v>Luksemburga</c:v>
                </c:pt>
                <c:pt idx="3">
                  <c:v>Somija</c:v>
                </c:pt>
                <c:pt idx="4">
                  <c:v>Zviedrija</c:v>
                </c:pt>
                <c:pt idx="5">
                  <c:v>Austrija</c:v>
                </c:pt>
                <c:pt idx="6">
                  <c:v>Polija</c:v>
                </c:pt>
                <c:pt idx="7">
                  <c:v>Francija</c:v>
                </c:pt>
                <c:pt idx="8">
                  <c:v>Igaunija</c:v>
                </c:pt>
                <c:pt idx="9">
                  <c:v>27 ES dalībvalstis</c:v>
                </c:pt>
                <c:pt idx="10">
                  <c:v>Beļģija</c:v>
                </c:pt>
                <c:pt idx="11">
                  <c:v>Ungārija</c:v>
                </c:pt>
                <c:pt idx="12">
                  <c:v>Horvātija</c:v>
                </c:pt>
                <c:pt idx="13">
                  <c:v>Slovēnija</c:v>
                </c:pt>
                <c:pt idx="14">
                  <c:v>Bulgārija</c:v>
                </c:pt>
                <c:pt idx="15">
                  <c:v>Čehija</c:v>
                </c:pt>
                <c:pt idx="16">
                  <c:v>Grieķija</c:v>
                </c:pt>
                <c:pt idx="17">
                  <c:v>Latvija</c:v>
                </c:pt>
                <c:pt idx="18">
                  <c:v>Lietuva</c:v>
                </c:pt>
                <c:pt idx="19">
                  <c:v>Rumānija</c:v>
                </c:pt>
                <c:pt idx="20">
                  <c:v>Slovākija</c:v>
                </c:pt>
                <c:pt idx="21">
                  <c:v>Spānija</c:v>
                </c:pt>
                <c:pt idx="22">
                  <c:v>Īrija</c:v>
                </c:pt>
                <c:pt idx="23">
                  <c:v>Kipra</c:v>
                </c:pt>
                <c:pt idx="24">
                  <c:v>Portugāle</c:v>
                </c:pt>
                <c:pt idx="25">
                  <c:v>Itālija</c:v>
                </c:pt>
                <c:pt idx="26">
                  <c:v>Nīderlande</c:v>
                </c:pt>
                <c:pt idx="27">
                  <c:v>Malta</c:v>
                </c:pt>
              </c:strCache>
            </c:strRef>
          </c:cat>
          <c:val>
            <c:numRef>
              <c:f>Sheet1!$C$2:$C$29</c:f>
              <c:numCache>
                <c:formatCode>#.##0.##########</c:formatCode>
                <c:ptCount val="28"/>
                <c:pt idx="0">
                  <c:v>4.5</c:v>
                </c:pt>
                <c:pt idx="1">
                  <c:v>2.5</c:v>
                </c:pt>
                <c:pt idx="2">
                  <c:v>2.2000000000000002</c:v>
                </c:pt>
                <c:pt idx="3">
                  <c:v>2.8</c:v>
                </c:pt>
                <c:pt idx="4">
                  <c:v>2.8</c:v>
                </c:pt>
                <c:pt idx="5">
                  <c:v>1.8</c:v>
                </c:pt>
                <c:pt idx="6">
                  <c:v>1.3</c:v>
                </c:pt>
                <c:pt idx="7" formatCode="#,##0">
                  <c:v>2</c:v>
                </c:pt>
                <c:pt idx="8">
                  <c:v>1.8</c:v>
                </c:pt>
                <c:pt idx="9" formatCode="#,##0">
                  <c:v>2</c:v>
                </c:pt>
                <c:pt idx="10">
                  <c:v>2.4</c:v>
                </c:pt>
                <c:pt idx="11" formatCode="#,##0">
                  <c:v>1</c:v>
                </c:pt>
                <c:pt idx="12">
                  <c:v>2.2000000000000002</c:v>
                </c:pt>
                <c:pt idx="13" formatCode="#,##0">
                  <c:v>1</c:v>
                </c:pt>
                <c:pt idx="14">
                  <c:v>1.2</c:v>
                </c:pt>
                <c:pt idx="15">
                  <c:v>1.1000000000000001</c:v>
                </c:pt>
                <c:pt idx="16" formatCode="#,##0">
                  <c:v>1</c:v>
                </c:pt>
                <c:pt idx="17">
                  <c:v>1.3</c:v>
                </c:pt>
                <c:pt idx="18">
                  <c:v>1.4</c:v>
                </c:pt>
                <c:pt idx="19">
                  <c:v>0.9</c:v>
                </c:pt>
                <c:pt idx="20">
                  <c:v>1.5</c:v>
                </c:pt>
                <c:pt idx="21">
                  <c:v>1.6</c:v>
                </c:pt>
                <c:pt idx="22">
                  <c:v>0.8</c:v>
                </c:pt>
                <c:pt idx="23">
                  <c:v>0.8</c:v>
                </c:pt>
                <c:pt idx="24">
                  <c:v>1.6</c:v>
                </c:pt>
                <c:pt idx="25">
                  <c:v>1.6</c:v>
                </c:pt>
                <c:pt idx="26">
                  <c:v>2.5</c:v>
                </c:pt>
                <c:pt idx="27">
                  <c:v>0.5</c:v>
                </c:pt>
              </c:numCache>
            </c:numRef>
          </c:val>
          <c:extLst>
            <c:ext xmlns:c16="http://schemas.microsoft.com/office/drawing/2014/chart" uri="{C3380CC4-5D6E-409C-BE32-E72D297353CC}">
              <c16:uniqueId val="{00000001-3863-40E1-9729-5B0730A5F953}"/>
            </c:ext>
          </c:extLst>
        </c:ser>
        <c:ser>
          <c:idx val="2"/>
          <c:order val="2"/>
          <c:tx>
            <c:strRef>
              <c:f>Sheet1!$D$1</c:f>
              <c:strCache>
                <c:ptCount val="1"/>
                <c:pt idx="0">
                  <c:v>Vecums</c:v>
                </c:pt>
              </c:strCache>
            </c:strRef>
          </c:tx>
          <c:spPr>
            <a:solidFill>
              <a:schemeClr val="accent5">
                <a:lumMod val="60000"/>
                <a:lumOff val="40000"/>
              </a:schemeClr>
            </a:solidFill>
            <a:ln>
              <a:noFill/>
            </a:ln>
            <a:effectLst/>
          </c:spPr>
          <c:invertIfNegative val="0"/>
          <c:cat>
            <c:strRef>
              <c:f>Sheet1!$A$2:$A$29</c:f>
              <c:strCache>
                <c:ptCount val="28"/>
                <c:pt idx="0">
                  <c:v>Dānija</c:v>
                </c:pt>
                <c:pt idx="1">
                  <c:v>Vācija</c:v>
                </c:pt>
                <c:pt idx="2">
                  <c:v>Luksemburga</c:v>
                </c:pt>
                <c:pt idx="3">
                  <c:v>Somija</c:v>
                </c:pt>
                <c:pt idx="4">
                  <c:v>Zviedrija</c:v>
                </c:pt>
                <c:pt idx="5">
                  <c:v>Austrija</c:v>
                </c:pt>
                <c:pt idx="6">
                  <c:v>Polija</c:v>
                </c:pt>
                <c:pt idx="7">
                  <c:v>Francija</c:v>
                </c:pt>
                <c:pt idx="8">
                  <c:v>Igaunija</c:v>
                </c:pt>
                <c:pt idx="9">
                  <c:v>27 ES dalībvalstis</c:v>
                </c:pt>
                <c:pt idx="10">
                  <c:v>Beļģija</c:v>
                </c:pt>
                <c:pt idx="11">
                  <c:v>Ungārija</c:v>
                </c:pt>
                <c:pt idx="12">
                  <c:v>Horvātija</c:v>
                </c:pt>
                <c:pt idx="13">
                  <c:v>Slovēnija</c:v>
                </c:pt>
                <c:pt idx="14">
                  <c:v>Bulgārija</c:v>
                </c:pt>
                <c:pt idx="15">
                  <c:v>Čehija</c:v>
                </c:pt>
                <c:pt idx="16">
                  <c:v>Grieķija</c:v>
                </c:pt>
                <c:pt idx="17">
                  <c:v>Latvija</c:v>
                </c:pt>
                <c:pt idx="18">
                  <c:v>Lietuva</c:v>
                </c:pt>
                <c:pt idx="19">
                  <c:v>Rumānija</c:v>
                </c:pt>
                <c:pt idx="20">
                  <c:v>Slovākija</c:v>
                </c:pt>
                <c:pt idx="21">
                  <c:v>Spānija</c:v>
                </c:pt>
                <c:pt idx="22">
                  <c:v>Īrija</c:v>
                </c:pt>
                <c:pt idx="23">
                  <c:v>Kipra</c:v>
                </c:pt>
                <c:pt idx="24">
                  <c:v>Portugāle</c:v>
                </c:pt>
                <c:pt idx="25">
                  <c:v>Itālija</c:v>
                </c:pt>
                <c:pt idx="26">
                  <c:v>Nīderlande</c:v>
                </c:pt>
                <c:pt idx="27">
                  <c:v>Malta</c:v>
                </c:pt>
              </c:strCache>
            </c:strRef>
          </c:cat>
          <c:val>
            <c:numRef>
              <c:f>Sheet1!$D$2:$D$29</c:f>
              <c:numCache>
                <c:formatCode>#.##0.##########</c:formatCode>
                <c:ptCount val="28"/>
                <c:pt idx="0" formatCode="#,##0">
                  <c:v>12</c:v>
                </c:pt>
                <c:pt idx="1">
                  <c:v>9.1999999999999993</c:v>
                </c:pt>
                <c:pt idx="2">
                  <c:v>6.9</c:v>
                </c:pt>
                <c:pt idx="3">
                  <c:v>12.7</c:v>
                </c:pt>
                <c:pt idx="4">
                  <c:v>12.2</c:v>
                </c:pt>
                <c:pt idx="5">
                  <c:v>12.6</c:v>
                </c:pt>
                <c:pt idx="6">
                  <c:v>9.1</c:v>
                </c:pt>
                <c:pt idx="7">
                  <c:v>12.7</c:v>
                </c:pt>
                <c:pt idx="8">
                  <c:v>6.5</c:v>
                </c:pt>
                <c:pt idx="9">
                  <c:v>10.7</c:v>
                </c:pt>
                <c:pt idx="10" formatCode="#,##0">
                  <c:v>11</c:v>
                </c:pt>
                <c:pt idx="11">
                  <c:v>7.6</c:v>
                </c:pt>
                <c:pt idx="12">
                  <c:v>7.2</c:v>
                </c:pt>
                <c:pt idx="13" formatCode="#,##0">
                  <c:v>9</c:v>
                </c:pt>
                <c:pt idx="14">
                  <c:v>7.1</c:v>
                </c:pt>
                <c:pt idx="15">
                  <c:v>7.8</c:v>
                </c:pt>
                <c:pt idx="16">
                  <c:v>13.6</c:v>
                </c:pt>
                <c:pt idx="17" formatCode="#,##0">
                  <c:v>7</c:v>
                </c:pt>
                <c:pt idx="18">
                  <c:v>6.4</c:v>
                </c:pt>
                <c:pt idx="19">
                  <c:v>7.2</c:v>
                </c:pt>
                <c:pt idx="20">
                  <c:v>7.1</c:v>
                </c:pt>
                <c:pt idx="21">
                  <c:v>9.8000000000000007</c:v>
                </c:pt>
                <c:pt idx="22">
                  <c:v>4.3</c:v>
                </c:pt>
                <c:pt idx="23">
                  <c:v>8.5</c:v>
                </c:pt>
                <c:pt idx="24">
                  <c:v>11.6</c:v>
                </c:pt>
                <c:pt idx="25">
                  <c:v>13.7</c:v>
                </c:pt>
                <c:pt idx="26">
                  <c:v>10.3</c:v>
                </c:pt>
                <c:pt idx="27">
                  <c:v>6.6</c:v>
                </c:pt>
              </c:numCache>
            </c:numRef>
          </c:val>
          <c:extLst>
            <c:ext xmlns:c16="http://schemas.microsoft.com/office/drawing/2014/chart" uri="{C3380CC4-5D6E-409C-BE32-E72D297353CC}">
              <c16:uniqueId val="{00000002-3863-40E1-9729-5B0730A5F953}"/>
            </c:ext>
          </c:extLst>
        </c:ser>
        <c:ser>
          <c:idx val="3"/>
          <c:order val="3"/>
          <c:tx>
            <c:strRef>
              <c:f>Sheet1!$E$1</c:f>
              <c:strCache>
                <c:ptCount val="1"/>
                <c:pt idx="0">
                  <c:v>Pārdzīvojušie</c:v>
                </c:pt>
              </c:strCache>
            </c:strRef>
          </c:tx>
          <c:spPr>
            <a:solidFill>
              <a:schemeClr val="accent5">
                <a:lumMod val="40000"/>
                <a:lumOff val="60000"/>
              </a:schemeClr>
            </a:solidFill>
            <a:ln>
              <a:noFill/>
            </a:ln>
            <a:effectLst/>
          </c:spPr>
          <c:invertIfNegative val="0"/>
          <c:cat>
            <c:strRef>
              <c:f>Sheet1!$A$2:$A$29</c:f>
              <c:strCache>
                <c:ptCount val="28"/>
                <c:pt idx="0">
                  <c:v>Dānija</c:v>
                </c:pt>
                <c:pt idx="1">
                  <c:v>Vācija</c:v>
                </c:pt>
                <c:pt idx="2">
                  <c:v>Luksemburga</c:v>
                </c:pt>
                <c:pt idx="3">
                  <c:v>Somija</c:v>
                </c:pt>
                <c:pt idx="4">
                  <c:v>Zviedrija</c:v>
                </c:pt>
                <c:pt idx="5">
                  <c:v>Austrija</c:v>
                </c:pt>
                <c:pt idx="6">
                  <c:v>Polija</c:v>
                </c:pt>
                <c:pt idx="7">
                  <c:v>Francija</c:v>
                </c:pt>
                <c:pt idx="8">
                  <c:v>Igaunija</c:v>
                </c:pt>
                <c:pt idx="9">
                  <c:v>27 ES dalībvalstis</c:v>
                </c:pt>
                <c:pt idx="10">
                  <c:v>Beļģija</c:v>
                </c:pt>
                <c:pt idx="11">
                  <c:v>Ungārija</c:v>
                </c:pt>
                <c:pt idx="12">
                  <c:v>Horvātija</c:v>
                </c:pt>
                <c:pt idx="13">
                  <c:v>Slovēnija</c:v>
                </c:pt>
                <c:pt idx="14">
                  <c:v>Bulgārija</c:v>
                </c:pt>
                <c:pt idx="15">
                  <c:v>Čehija</c:v>
                </c:pt>
                <c:pt idx="16">
                  <c:v>Grieķija</c:v>
                </c:pt>
                <c:pt idx="17">
                  <c:v>Latvija</c:v>
                </c:pt>
                <c:pt idx="18">
                  <c:v>Lietuva</c:v>
                </c:pt>
                <c:pt idx="19">
                  <c:v>Rumānija</c:v>
                </c:pt>
                <c:pt idx="20">
                  <c:v>Slovākija</c:v>
                </c:pt>
                <c:pt idx="21">
                  <c:v>Spānija</c:v>
                </c:pt>
                <c:pt idx="22">
                  <c:v>Īrija</c:v>
                </c:pt>
                <c:pt idx="23">
                  <c:v>Kipra</c:v>
                </c:pt>
                <c:pt idx="24">
                  <c:v>Portugāle</c:v>
                </c:pt>
                <c:pt idx="25">
                  <c:v>Itālija</c:v>
                </c:pt>
                <c:pt idx="26">
                  <c:v>Nīderlande</c:v>
                </c:pt>
                <c:pt idx="27">
                  <c:v>Malta</c:v>
                </c:pt>
              </c:strCache>
            </c:strRef>
          </c:cat>
          <c:val>
            <c:numRef>
              <c:f>Sheet1!$E$2:$E$29</c:f>
              <c:numCache>
                <c:formatCode>#.##0.##########</c:formatCode>
                <c:ptCount val="28"/>
                <c:pt idx="0">
                  <c:v>0.2</c:v>
                </c:pt>
                <c:pt idx="1">
                  <c:v>1.7</c:v>
                </c:pt>
                <c:pt idx="2">
                  <c:v>1.6</c:v>
                </c:pt>
                <c:pt idx="3">
                  <c:v>0.8</c:v>
                </c:pt>
                <c:pt idx="4">
                  <c:v>0.3</c:v>
                </c:pt>
                <c:pt idx="5">
                  <c:v>1.6</c:v>
                </c:pt>
                <c:pt idx="6">
                  <c:v>1.7</c:v>
                </c:pt>
                <c:pt idx="7">
                  <c:v>1.7</c:v>
                </c:pt>
                <c:pt idx="8" formatCode="#,##0">
                  <c:v>0</c:v>
                </c:pt>
                <c:pt idx="9">
                  <c:v>1.6</c:v>
                </c:pt>
                <c:pt idx="10">
                  <c:v>1.7</c:v>
                </c:pt>
                <c:pt idx="11">
                  <c:v>0.9</c:v>
                </c:pt>
                <c:pt idx="12">
                  <c:v>1.8</c:v>
                </c:pt>
                <c:pt idx="13">
                  <c:v>1.3</c:v>
                </c:pt>
                <c:pt idx="14">
                  <c:v>0.9</c:v>
                </c:pt>
                <c:pt idx="15">
                  <c:v>0.6</c:v>
                </c:pt>
                <c:pt idx="16">
                  <c:v>2.4</c:v>
                </c:pt>
                <c:pt idx="17">
                  <c:v>0.2</c:v>
                </c:pt>
                <c:pt idx="18">
                  <c:v>0.4</c:v>
                </c:pt>
                <c:pt idx="19">
                  <c:v>0.6</c:v>
                </c:pt>
                <c:pt idx="20">
                  <c:v>0.9</c:v>
                </c:pt>
                <c:pt idx="21">
                  <c:v>2.2999999999999998</c:v>
                </c:pt>
                <c:pt idx="22">
                  <c:v>0.4</c:v>
                </c:pt>
                <c:pt idx="23">
                  <c:v>1.3</c:v>
                </c:pt>
                <c:pt idx="24">
                  <c:v>1.8</c:v>
                </c:pt>
                <c:pt idx="25">
                  <c:v>2.6</c:v>
                </c:pt>
                <c:pt idx="26" formatCode="#,##0">
                  <c:v>1</c:v>
                </c:pt>
                <c:pt idx="27">
                  <c:v>1.2</c:v>
                </c:pt>
              </c:numCache>
            </c:numRef>
          </c:val>
          <c:extLst>
            <c:ext xmlns:c16="http://schemas.microsoft.com/office/drawing/2014/chart" uri="{C3380CC4-5D6E-409C-BE32-E72D297353CC}">
              <c16:uniqueId val="{00000003-3863-40E1-9729-5B0730A5F953}"/>
            </c:ext>
          </c:extLst>
        </c:ser>
        <c:ser>
          <c:idx val="4"/>
          <c:order val="4"/>
          <c:tx>
            <c:strRef>
              <c:f>Sheet1!$F$1</c:f>
              <c:strCache>
                <c:ptCount val="1"/>
                <c:pt idx="0">
                  <c:v>Ģimene/bērni</c:v>
                </c:pt>
              </c:strCache>
            </c:strRef>
          </c:tx>
          <c:spPr>
            <a:solidFill>
              <a:srgbClr val="FF0000"/>
            </a:solidFill>
            <a:ln>
              <a:noFill/>
            </a:ln>
            <a:effectLst/>
          </c:spPr>
          <c:invertIfNegative val="0"/>
          <c:cat>
            <c:strRef>
              <c:f>Sheet1!$A$2:$A$29</c:f>
              <c:strCache>
                <c:ptCount val="28"/>
                <c:pt idx="0">
                  <c:v>Dānija</c:v>
                </c:pt>
                <c:pt idx="1">
                  <c:v>Vācija</c:v>
                </c:pt>
                <c:pt idx="2">
                  <c:v>Luksemburga</c:v>
                </c:pt>
                <c:pt idx="3">
                  <c:v>Somija</c:v>
                </c:pt>
                <c:pt idx="4">
                  <c:v>Zviedrija</c:v>
                </c:pt>
                <c:pt idx="5">
                  <c:v>Austrija</c:v>
                </c:pt>
                <c:pt idx="6">
                  <c:v>Polija</c:v>
                </c:pt>
                <c:pt idx="7">
                  <c:v>Francija</c:v>
                </c:pt>
                <c:pt idx="8">
                  <c:v>Igaunija</c:v>
                </c:pt>
                <c:pt idx="9">
                  <c:v>27 ES dalībvalstis</c:v>
                </c:pt>
                <c:pt idx="10">
                  <c:v>Beļģija</c:v>
                </c:pt>
                <c:pt idx="11">
                  <c:v>Ungārija</c:v>
                </c:pt>
                <c:pt idx="12">
                  <c:v>Horvātija</c:v>
                </c:pt>
                <c:pt idx="13">
                  <c:v>Slovēnija</c:v>
                </c:pt>
                <c:pt idx="14">
                  <c:v>Bulgārija</c:v>
                </c:pt>
                <c:pt idx="15">
                  <c:v>Čehija</c:v>
                </c:pt>
                <c:pt idx="16">
                  <c:v>Grieķija</c:v>
                </c:pt>
                <c:pt idx="17">
                  <c:v>Latvija</c:v>
                </c:pt>
                <c:pt idx="18">
                  <c:v>Lietuva</c:v>
                </c:pt>
                <c:pt idx="19">
                  <c:v>Rumānija</c:v>
                </c:pt>
                <c:pt idx="20">
                  <c:v>Slovākija</c:v>
                </c:pt>
                <c:pt idx="21">
                  <c:v>Spānija</c:v>
                </c:pt>
                <c:pt idx="22">
                  <c:v>Īrija</c:v>
                </c:pt>
                <c:pt idx="23">
                  <c:v>Kipra</c:v>
                </c:pt>
                <c:pt idx="24">
                  <c:v>Portugāle</c:v>
                </c:pt>
                <c:pt idx="25">
                  <c:v>Itālija</c:v>
                </c:pt>
                <c:pt idx="26">
                  <c:v>Nīderlande</c:v>
                </c:pt>
                <c:pt idx="27">
                  <c:v>Malta</c:v>
                </c:pt>
              </c:strCache>
            </c:strRef>
          </c:cat>
          <c:val>
            <c:numRef>
              <c:f>Sheet1!$F$2:$F$29</c:f>
              <c:numCache>
                <c:formatCode>#.##0.##########</c:formatCode>
                <c:ptCount val="28"/>
                <c:pt idx="0">
                  <c:v>3.4</c:v>
                </c:pt>
                <c:pt idx="1">
                  <c:v>3.3</c:v>
                </c:pt>
                <c:pt idx="2">
                  <c:v>3.3</c:v>
                </c:pt>
                <c:pt idx="3">
                  <c:v>2.9</c:v>
                </c:pt>
                <c:pt idx="4">
                  <c:v>2.9</c:v>
                </c:pt>
                <c:pt idx="5">
                  <c:v>2.7</c:v>
                </c:pt>
                <c:pt idx="6">
                  <c:v>2.5</c:v>
                </c:pt>
                <c:pt idx="7">
                  <c:v>2.4</c:v>
                </c:pt>
                <c:pt idx="8">
                  <c:v>2.2999999999999998</c:v>
                </c:pt>
                <c:pt idx="9">
                  <c:v>2.2000000000000002</c:v>
                </c:pt>
                <c:pt idx="10" formatCode="#,##0">
                  <c:v>2</c:v>
                </c:pt>
                <c:pt idx="11" formatCode="#,##0">
                  <c:v>2</c:v>
                </c:pt>
                <c:pt idx="12">
                  <c:v>1.9</c:v>
                </c:pt>
                <c:pt idx="13">
                  <c:v>1.8</c:v>
                </c:pt>
                <c:pt idx="14">
                  <c:v>1.7</c:v>
                </c:pt>
                <c:pt idx="15">
                  <c:v>1.7</c:v>
                </c:pt>
                <c:pt idx="16">
                  <c:v>1.7</c:v>
                </c:pt>
                <c:pt idx="17">
                  <c:v>1.6</c:v>
                </c:pt>
                <c:pt idx="18">
                  <c:v>1.6</c:v>
                </c:pt>
                <c:pt idx="19">
                  <c:v>1.5</c:v>
                </c:pt>
                <c:pt idx="20">
                  <c:v>1.5</c:v>
                </c:pt>
                <c:pt idx="21">
                  <c:v>1.3</c:v>
                </c:pt>
                <c:pt idx="22">
                  <c:v>1.2</c:v>
                </c:pt>
                <c:pt idx="23">
                  <c:v>1.2</c:v>
                </c:pt>
                <c:pt idx="24">
                  <c:v>1.2</c:v>
                </c:pt>
                <c:pt idx="25">
                  <c:v>1.1000000000000001</c:v>
                </c:pt>
                <c:pt idx="26">
                  <c:v>1.1000000000000001</c:v>
                </c:pt>
                <c:pt idx="27">
                  <c:v>0.8</c:v>
                </c:pt>
              </c:numCache>
            </c:numRef>
          </c:val>
          <c:extLst>
            <c:ext xmlns:c16="http://schemas.microsoft.com/office/drawing/2014/chart" uri="{C3380CC4-5D6E-409C-BE32-E72D297353CC}">
              <c16:uniqueId val="{00000004-3863-40E1-9729-5B0730A5F953}"/>
            </c:ext>
          </c:extLst>
        </c:ser>
        <c:ser>
          <c:idx val="5"/>
          <c:order val="5"/>
          <c:tx>
            <c:strRef>
              <c:f>Sheet1!$G$1</c:f>
              <c:strCache>
                <c:ptCount val="1"/>
                <c:pt idx="0">
                  <c:v>Bezdarbs</c:v>
                </c:pt>
              </c:strCache>
            </c:strRef>
          </c:tx>
          <c:spPr>
            <a:solidFill>
              <a:schemeClr val="accent5">
                <a:lumMod val="20000"/>
                <a:lumOff val="80000"/>
              </a:schemeClr>
            </a:solidFill>
            <a:ln>
              <a:noFill/>
            </a:ln>
            <a:effectLst/>
          </c:spPr>
          <c:invertIfNegative val="0"/>
          <c:cat>
            <c:strRef>
              <c:f>Sheet1!$A$2:$A$29</c:f>
              <c:strCache>
                <c:ptCount val="28"/>
                <c:pt idx="0">
                  <c:v>Dānija</c:v>
                </c:pt>
                <c:pt idx="1">
                  <c:v>Vācija</c:v>
                </c:pt>
                <c:pt idx="2">
                  <c:v>Luksemburga</c:v>
                </c:pt>
                <c:pt idx="3">
                  <c:v>Somija</c:v>
                </c:pt>
                <c:pt idx="4">
                  <c:v>Zviedrija</c:v>
                </c:pt>
                <c:pt idx="5">
                  <c:v>Austrija</c:v>
                </c:pt>
                <c:pt idx="6">
                  <c:v>Polija</c:v>
                </c:pt>
                <c:pt idx="7">
                  <c:v>Francija</c:v>
                </c:pt>
                <c:pt idx="8">
                  <c:v>Igaunija</c:v>
                </c:pt>
                <c:pt idx="9">
                  <c:v>27 ES dalībvalstis</c:v>
                </c:pt>
                <c:pt idx="10">
                  <c:v>Beļģija</c:v>
                </c:pt>
                <c:pt idx="11">
                  <c:v>Ungārija</c:v>
                </c:pt>
                <c:pt idx="12">
                  <c:v>Horvātija</c:v>
                </c:pt>
                <c:pt idx="13">
                  <c:v>Slovēnija</c:v>
                </c:pt>
                <c:pt idx="14">
                  <c:v>Bulgārija</c:v>
                </c:pt>
                <c:pt idx="15">
                  <c:v>Čehija</c:v>
                </c:pt>
                <c:pt idx="16">
                  <c:v>Grieķija</c:v>
                </c:pt>
                <c:pt idx="17">
                  <c:v>Latvija</c:v>
                </c:pt>
                <c:pt idx="18">
                  <c:v>Lietuva</c:v>
                </c:pt>
                <c:pt idx="19">
                  <c:v>Rumānija</c:v>
                </c:pt>
                <c:pt idx="20">
                  <c:v>Slovākija</c:v>
                </c:pt>
                <c:pt idx="21">
                  <c:v>Spānija</c:v>
                </c:pt>
                <c:pt idx="22">
                  <c:v>Īrija</c:v>
                </c:pt>
                <c:pt idx="23">
                  <c:v>Kipra</c:v>
                </c:pt>
                <c:pt idx="24">
                  <c:v>Portugāle</c:v>
                </c:pt>
                <c:pt idx="25">
                  <c:v>Itālija</c:v>
                </c:pt>
                <c:pt idx="26">
                  <c:v>Nīderlande</c:v>
                </c:pt>
                <c:pt idx="27">
                  <c:v>Malta</c:v>
                </c:pt>
              </c:strCache>
            </c:strRef>
          </c:cat>
          <c:val>
            <c:numRef>
              <c:f>Sheet1!$G$2:$G$29</c:f>
              <c:numCache>
                <c:formatCode>#.##0.##########</c:formatCode>
                <c:ptCount val="28"/>
                <c:pt idx="0">
                  <c:v>1.3</c:v>
                </c:pt>
                <c:pt idx="1">
                  <c:v>0.9</c:v>
                </c:pt>
                <c:pt idx="2">
                  <c:v>1.2</c:v>
                </c:pt>
                <c:pt idx="3">
                  <c:v>1.8</c:v>
                </c:pt>
                <c:pt idx="4">
                  <c:v>0.9</c:v>
                </c:pt>
                <c:pt idx="5">
                  <c:v>1.6</c:v>
                </c:pt>
                <c:pt idx="6">
                  <c:v>0.2</c:v>
                </c:pt>
                <c:pt idx="7">
                  <c:v>1.9</c:v>
                </c:pt>
                <c:pt idx="8">
                  <c:v>0.5</c:v>
                </c:pt>
                <c:pt idx="9">
                  <c:v>1.2</c:v>
                </c:pt>
                <c:pt idx="10">
                  <c:v>1.8</c:v>
                </c:pt>
                <c:pt idx="11">
                  <c:v>0.3</c:v>
                </c:pt>
                <c:pt idx="12">
                  <c:v>0.6</c:v>
                </c:pt>
                <c:pt idx="13">
                  <c:v>0.5</c:v>
                </c:pt>
                <c:pt idx="14">
                  <c:v>0.5</c:v>
                </c:pt>
                <c:pt idx="15">
                  <c:v>0.4</c:v>
                </c:pt>
                <c:pt idx="16">
                  <c:v>0.9</c:v>
                </c:pt>
                <c:pt idx="17">
                  <c:v>0.7</c:v>
                </c:pt>
                <c:pt idx="18">
                  <c:v>0.7</c:v>
                </c:pt>
                <c:pt idx="19">
                  <c:v>0.1</c:v>
                </c:pt>
                <c:pt idx="20">
                  <c:v>0.5</c:v>
                </c:pt>
                <c:pt idx="21">
                  <c:v>1.7</c:v>
                </c:pt>
                <c:pt idx="22" formatCode="#,##0">
                  <c:v>1</c:v>
                </c:pt>
                <c:pt idx="23" formatCode="#,##0">
                  <c:v>1</c:v>
                </c:pt>
                <c:pt idx="24">
                  <c:v>0.7</c:v>
                </c:pt>
                <c:pt idx="25">
                  <c:v>1.5</c:v>
                </c:pt>
                <c:pt idx="26" formatCode="#,##0">
                  <c:v>1</c:v>
                </c:pt>
                <c:pt idx="27">
                  <c:v>0.3</c:v>
                </c:pt>
              </c:numCache>
            </c:numRef>
          </c:val>
          <c:extLst>
            <c:ext xmlns:c16="http://schemas.microsoft.com/office/drawing/2014/chart" uri="{C3380CC4-5D6E-409C-BE32-E72D297353CC}">
              <c16:uniqueId val="{00000005-3863-40E1-9729-5B0730A5F953}"/>
            </c:ext>
          </c:extLst>
        </c:ser>
        <c:ser>
          <c:idx val="6"/>
          <c:order val="6"/>
          <c:tx>
            <c:strRef>
              <c:f>Sheet1!$H$1</c:f>
              <c:strCache>
                <c:ptCount val="1"/>
                <c:pt idx="0">
                  <c:v>Mājoklis</c:v>
                </c:pt>
              </c:strCache>
            </c:strRef>
          </c:tx>
          <c:spPr>
            <a:solidFill>
              <a:schemeClr val="accent5">
                <a:lumMod val="40000"/>
                <a:lumOff val="60000"/>
              </a:schemeClr>
            </a:solidFill>
            <a:ln>
              <a:noFill/>
            </a:ln>
            <a:effectLst/>
          </c:spPr>
          <c:invertIfNegative val="0"/>
          <c:cat>
            <c:strRef>
              <c:f>Sheet1!$A$2:$A$29</c:f>
              <c:strCache>
                <c:ptCount val="28"/>
                <c:pt idx="0">
                  <c:v>Dānija</c:v>
                </c:pt>
                <c:pt idx="1">
                  <c:v>Vācija</c:v>
                </c:pt>
                <c:pt idx="2">
                  <c:v>Luksemburga</c:v>
                </c:pt>
                <c:pt idx="3">
                  <c:v>Somija</c:v>
                </c:pt>
                <c:pt idx="4">
                  <c:v>Zviedrija</c:v>
                </c:pt>
                <c:pt idx="5">
                  <c:v>Austrija</c:v>
                </c:pt>
                <c:pt idx="6">
                  <c:v>Polija</c:v>
                </c:pt>
                <c:pt idx="7">
                  <c:v>Francija</c:v>
                </c:pt>
                <c:pt idx="8">
                  <c:v>Igaunija</c:v>
                </c:pt>
                <c:pt idx="9">
                  <c:v>27 ES dalībvalstis</c:v>
                </c:pt>
                <c:pt idx="10">
                  <c:v>Beļģija</c:v>
                </c:pt>
                <c:pt idx="11">
                  <c:v>Ungārija</c:v>
                </c:pt>
                <c:pt idx="12">
                  <c:v>Horvātija</c:v>
                </c:pt>
                <c:pt idx="13">
                  <c:v>Slovēnija</c:v>
                </c:pt>
                <c:pt idx="14">
                  <c:v>Bulgārija</c:v>
                </c:pt>
                <c:pt idx="15">
                  <c:v>Čehija</c:v>
                </c:pt>
                <c:pt idx="16">
                  <c:v>Grieķija</c:v>
                </c:pt>
                <c:pt idx="17">
                  <c:v>Latvija</c:v>
                </c:pt>
                <c:pt idx="18">
                  <c:v>Lietuva</c:v>
                </c:pt>
                <c:pt idx="19">
                  <c:v>Rumānija</c:v>
                </c:pt>
                <c:pt idx="20">
                  <c:v>Slovākija</c:v>
                </c:pt>
                <c:pt idx="21">
                  <c:v>Spānija</c:v>
                </c:pt>
                <c:pt idx="22">
                  <c:v>Īrija</c:v>
                </c:pt>
                <c:pt idx="23">
                  <c:v>Kipra</c:v>
                </c:pt>
                <c:pt idx="24">
                  <c:v>Portugāle</c:v>
                </c:pt>
                <c:pt idx="25">
                  <c:v>Itālija</c:v>
                </c:pt>
                <c:pt idx="26">
                  <c:v>Nīderlande</c:v>
                </c:pt>
                <c:pt idx="27">
                  <c:v>Malta</c:v>
                </c:pt>
              </c:strCache>
            </c:strRef>
          </c:cat>
          <c:val>
            <c:numRef>
              <c:f>Sheet1!$H$2:$H$29</c:f>
              <c:numCache>
                <c:formatCode>#.##0.##########</c:formatCode>
                <c:ptCount val="28"/>
                <c:pt idx="0">
                  <c:v>0.7</c:v>
                </c:pt>
                <c:pt idx="1">
                  <c:v>0.5</c:v>
                </c:pt>
                <c:pt idx="2">
                  <c:v>0.4</c:v>
                </c:pt>
                <c:pt idx="3">
                  <c:v>0.9</c:v>
                </c:pt>
                <c:pt idx="4">
                  <c:v>0.4</c:v>
                </c:pt>
                <c:pt idx="5">
                  <c:v>0.1</c:v>
                </c:pt>
                <c:pt idx="6" formatCode="#,##0">
                  <c:v>0</c:v>
                </c:pt>
                <c:pt idx="7">
                  <c:v>0.7</c:v>
                </c:pt>
                <c:pt idx="8">
                  <c:v>0.1</c:v>
                </c:pt>
                <c:pt idx="9">
                  <c:v>0.4</c:v>
                </c:pt>
                <c:pt idx="10">
                  <c:v>0.2</c:v>
                </c:pt>
                <c:pt idx="11">
                  <c:v>0.5</c:v>
                </c:pt>
                <c:pt idx="12" formatCode="#,##0">
                  <c:v>0</c:v>
                </c:pt>
                <c:pt idx="13" formatCode="#,##0">
                  <c:v>0</c:v>
                </c:pt>
                <c:pt idx="14" formatCode="#,##0">
                  <c:v>0</c:v>
                </c:pt>
                <c:pt idx="15">
                  <c:v>0.2</c:v>
                </c:pt>
                <c:pt idx="16" formatCode="#,##0">
                  <c:v>0</c:v>
                </c:pt>
                <c:pt idx="17">
                  <c:v>0.1</c:v>
                </c:pt>
                <c:pt idx="18">
                  <c:v>0.1</c:v>
                </c:pt>
                <c:pt idx="19" formatCode="#,##0">
                  <c:v>0</c:v>
                </c:pt>
                <c:pt idx="20">
                  <c:v>0.1</c:v>
                </c:pt>
                <c:pt idx="21">
                  <c:v>0.1</c:v>
                </c:pt>
                <c:pt idx="22">
                  <c:v>0.5</c:v>
                </c:pt>
                <c:pt idx="23">
                  <c:v>0.3</c:v>
                </c:pt>
                <c:pt idx="24" formatCode="#,##0">
                  <c:v>0</c:v>
                </c:pt>
                <c:pt idx="25" formatCode="#,##0">
                  <c:v>0</c:v>
                </c:pt>
                <c:pt idx="26">
                  <c:v>0.5</c:v>
                </c:pt>
                <c:pt idx="27">
                  <c:v>0.1</c:v>
                </c:pt>
              </c:numCache>
            </c:numRef>
          </c:val>
          <c:extLst>
            <c:ext xmlns:c16="http://schemas.microsoft.com/office/drawing/2014/chart" uri="{C3380CC4-5D6E-409C-BE32-E72D297353CC}">
              <c16:uniqueId val="{00000006-3863-40E1-9729-5B0730A5F953}"/>
            </c:ext>
          </c:extLst>
        </c:ser>
        <c:ser>
          <c:idx val="7"/>
          <c:order val="7"/>
          <c:tx>
            <c:strRef>
              <c:f>Sheet1!$I$1</c:f>
              <c:strCache>
                <c:ptCount val="1"/>
                <c:pt idx="0">
                  <c:v>Sociālā atstumtība, kas nav klasificēta citur</c:v>
                </c:pt>
              </c:strCache>
            </c:strRef>
          </c:tx>
          <c:spPr>
            <a:solidFill>
              <a:schemeClr val="accent5">
                <a:lumMod val="60000"/>
                <a:lumOff val="40000"/>
              </a:schemeClr>
            </a:solidFill>
            <a:ln>
              <a:noFill/>
            </a:ln>
            <a:effectLst/>
          </c:spPr>
          <c:invertIfNegative val="0"/>
          <c:cat>
            <c:strRef>
              <c:f>Sheet1!$A$2:$A$29</c:f>
              <c:strCache>
                <c:ptCount val="28"/>
                <c:pt idx="0">
                  <c:v>Dānija</c:v>
                </c:pt>
                <c:pt idx="1">
                  <c:v>Vācija</c:v>
                </c:pt>
                <c:pt idx="2">
                  <c:v>Luksemburga</c:v>
                </c:pt>
                <c:pt idx="3">
                  <c:v>Somija</c:v>
                </c:pt>
                <c:pt idx="4">
                  <c:v>Zviedrija</c:v>
                </c:pt>
                <c:pt idx="5">
                  <c:v>Austrija</c:v>
                </c:pt>
                <c:pt idx="6">
                  <c:v>Polija</c:v>
                </c:pt>
                <c:pt idx="7">
                  <c:v>Francija</c:v>
                </c:pt>
                <c:pt idx="8">
                  <c:v>Igaunija</c:v>
                </c:pt>
                <c:pt idx="9">
                  <c:v>27 ES dalībvalstis</c:v>
                </c:pt>
                <c:pt idx="10">
                  <c:v>Beļģija</c:v>
                </c:pt>
                <c:pt idx="11">
                  <c:v>Ungārija</c:v>
                </c:pt>
                <c:pt idx="12">
                  <c:v>Horvātija</c:v>
                </c:pt>
                <c:pt idx="13">
                  <c:v>Slovēnija</c:v>
                </c:pt>
                <c:pt idx="14">
                  <c:v>Bulgārija</c:v>
                </c:pt>
                <c:pt idx="15">
                  <c:v>Čehija</c:v>
                </c:pt>
                <c:pt idx="16">
                  <c:v>Grieķija</c:v>
                </c:pt>
                <c:pt idx="17">
                  <c:v>Latvija</c:v>
                </c:pt>
                <c:pt idx="18">
                  <c:v>Lietuva</c:v>
                </c:pt>
                <c:pt idx="19">
                  <c:v>Rumānija</c:v>
                </c:pt>
                <c:pt idx="20">
                  <c:v>Slovākija</c:v>
                </c:pt>
                <c:pt idx="21">
                  <c:v>Spānija</c:v>
                </c:pt>
                <c:pt idx="22">
                  <c:v>Īrija</c:v>
                </c:pt>
                <c:pt idx="23">
                  <c:v>Kipra</c:v>
                </c:pt>
                <c:pt idx="24">
                  <c:v>Portugāle</c:v>
                </c:pt>
                <c:pt idx="25">
                  <c:v>Itālija</c:v>
                </c:pt>
                <c:pt idx="26">
                  <c:v>Nīderlande</c:v>
                </c:pt>
                <c:pt idx="27">
                  <c:v>Malta</c:v>
                </c:pt>
              </c:strCache>
            </c:strRef>
          </c:cat>
          <c:val>
            <c:numRef>
              <c:f>Sheet1!$I$2:$I$29</c:f>
              <c:numCache>
                <c:formatCode>#.##0.##########</c:formatCode>
                <c:ptCount val="28"/>
                <c:pt idx="0">
                  <c:v>1.5</c:v>
                </c:pt>
                <c:pt idx="1">
                  <c:v>0.3</c:v>
                </c:pt>
                <c:pt idx="2">
                  <c:v>0.5</c:v>
                </c:pt>
                <c:pt idx="3">
                  <c:v>0.8</c:v>
                </c:pt>
                <c:pt idx="4">
                  <c:v>0.8</c:v>
                </c:pt>
                <c:pt idx="5">
                  <c:v>0.5</c:v>
                </c:pt>
                <c:pt idx="6">
                  <c:v>0.1</c:v>
                </c:pt>
                <c:pt idx="7" formatCode="#,##0">
                  <c:v>1</c:v>
                </c:pt>
                <c:pt idx="8">
                  <c:v>0.1</c:v>
                </c:pt>
                <c:pt idx="9">
                  <c:v>0.6</c:v>
                </c:pt>
                <c:pt idx="10">
                  <c:v>0.7</c:v>
                </c:pt>
                <c:pt idx="11">
                  <c:v>0.1</c:v>
                </c:pt>
                <c:pt idx="12">
                  <c:v>0.3</c:v>
                </c:pt>
                <c:pt idx="13">
                  <c:v>0.7</c:v>
                </c:pt>
                <c:pt idx="14">
                  <c:v>0.2</c:v>
                </c:pt>
                <c:pt idx="15">
                  <c:v>0.2</c:v>
                </c:pt>
                <c:pt idx="16">
                  <c:v>0.5</c:v>
                </c:pt>
                <c:pt idx="17">
                  <c:v>0.1</c:v>
                </c:pt>
                <c:pt idx="18">
                  <c:v>0.3</c:v>
                </c:pt>
                <c:pt idx="19">
                  <c:v>0.1</c:v>
                </c:pt>
                <c:pt idx="20">
                  <c:v>0.2</c:v>
                </c:pt>
                <c:pt idx="21">
                  <c:v>0.2</c:v>
                </c:pt>
                <c:pt idx="22">
                  <c:v>0.1</c:v>
                </c:pt>
                <c:pt idx="23">
                  <c:v>1.2</c:v>
                </c:pt>
                <c:pt idx="24">
                  <c:v>0.2</c:v>
                </c:pt>
                <c:pt idx="25">
                  <c:v>0.9</c:v>
                </c:pt>
                <c:pt idx="26">
                  <c:v>1.4</c:v>
                </c:pt>
                <c:pt idx="27">
                  <c:v>0.2</c:v>
                </c:pt>
              </c:numCache>
            </c:numRef>
          </c:val>
          <c:extLst>
            <c:ext xmlns:c16="http://schemas.microsoft.com/office/drawing/2014/chart" uri="{C3380CC4-5D6E-409C-BE32-E72D297353CC}">
              <c16:uniqueId val="{00000007-3863-40E1-9729-5B0730A5F953}"/>
            </c:ext>
          </c:extLst>
        </c:ser>
        <c:dLbls>
          <c:showLegendKey val="0"/>
          <c:showVal val="0"/>
          <c:showCatName val="0"/>
          <c:showSerName val="0"/>
          <c:showPercent val="0"/>
          <c:showBubbleSize val="0"/>
        </c:dLbls>
        <c:gapWidth val="150"/>
        <c:overlap val="100"/>
        <c:axId val="106672896"/>
        <c:axId val="106674432"/>
      </c:barChart>
      <c:catAx>
        <c:axId val="106672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06674432"/>
        <c:crosses val="autoZero"/>
        <c:auto val="1"/>
        <c:lblAlgn val="ctr"/>
        <c:lblOffset val="100"/>
        <c:noMultiLvlLbl val="0"/>
      </c:catAx>
      <c:valAx>
        <c:axId val="106674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672896"/>
        <c:crosses val="autoZero"/>
        <c:crossBetween val="between"/>
      </c:valAx>
      <c:spPr>
        <a:noFill/>
        <a:ln>
          <a:noFill/>
        </a:ln>
        <a:effectLst/>
      </c:spPr>
    </c:plotArea>
    <c:legend>
      <c:legendPos val="b"/>
      <c:layout>
        <c:manualLayout>
          <c:xMode val="edge"/>
          <c:yMode val="edge"/>
          <c:x val="0"/>
          <c:y val="0.91130062823779678"/>
          <c:w val="0.99831254898917721"/>
          <c:h val="8.4326334208223969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680956547098278E-2"/>
          <c:y val="4.3650793650793648E-2"/>
          <c:w val="0.91385608048993872"/>
          <c:h val="0.57163104611923499"/>
        </c:manualLayout>
      </c:layout>
      <c:lineChart>
        <c:grouping val="standard"/>
        <c:varyColors val="0"/>
        <c:ser>
          <c:idx val="0"/>
          <c:order val="0"/>
          <c:tx>
            <c:strRef>
              <c:f>Sheet1!$B$1</c:f>
              <c:strCache>
                <c:ptCount val="1"/>
                <c:pt idx="0">
                  <c:v>27 ES dalībvalstis</c:v>
                </c:pt>
              </c:strCache>
            </c:strRef>
          </c:tx>
          <c:spPr>
            <a:ln w="34925" cap="rnd">
              <a:solidFill>
                <a:srgbClr val="0070C0"/>
              </a:solidFill>
              <a:round/>
            </a:ln>
            <a:effectLst/>
          </c:spPr>
          <c:marker>
            <c:symbol val="none"/>
          </c:marker>
          <c:cat>
            <c:strRef>
              <c:f>Sheet1!$A$2:$A$11</c:f>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f>Sheet1!$B$2:$B$11</c:f>
              <c:numCache>
                <c:formatCode>#.##0.0</c:formatCode>
                <c:ptCount val="10"/>
                <c:pt idx="0">
                  <c:v>2.2999999999999998</c:v>
                </c:pt>
                <c:pt idx="1">
                  <c:v>2.2000000000000002</c:v>
                </c:pt>
                <c:pt idx="2">
                  <c:v>2.2000000000000002</c:v>
                </c:pt>
                <c:pt idx="3">
                  <c:v>2.2000000000000002</c:v>
                </c:pt>
                <c:pt idx="4">
                  <c:v>2.2000000000000002</c:v>
                </c:pt>
                <c:pt idx="5">
                  <c:v>2.2000000000000002</c:v>
                </c:pt>
                <c:pt idx="6">
                  <c:v>2.2000000000000002</c:v>
                </c:pt>
                <c:pt idx="7">
                  <c:v>2.2000000000000002</c:v>
                </c:pt>
                <c:pt idx="8">
                  <c:v>2.2000000000000002</c:v>
                </c:pt>
                <c:pt idx="9">
                  <c:v>2.2000000000000002</c:v>
                </c:pt>
              </c:numCache>
            </c:numRef>
          </c:val>
          <c:smooth val="0"/>
          <c:extLst>
            <c:ext xmlns:c16="http://schemas.microsoft.com/office/drawing/2014/chart" uri="{C3380CC4-5D6E-409C-BE32-E72D297353CC}">
              <c16:uniqueId val="{00000000-9458-4377-963F-7ED57009BC7E}"/>
            </c:ext>
          </c:extLst>
        </c:ser>
        <c:ser>
          <c:idx val="1"/>
          <c:order val="1"/>
          <c:tx>
            <c:strRef>
              <c:f>Sheet1!$C$1</c:f>
              <c:strCache>
                <c:ptCount val="1"/>
                <c:pt idx="0">
                  <c:v>Beļģija</c:v>
                </c:pt>
              </c:strCache>
            </c:strRef>
          </c:tx>
          <c:spPr>
            <a:ln w="12700" cap="rnd">
              <a:solidFill>
                <a:schemeClr val="accent2"/>
              </a:solidFill>
              <a:round/>
            </a:ln>
            <a:effectLst/>
          </c:spPr>
          <c:marker>
            <c:symbol val="none"/>
          </c:marker>
          <c:cat>
            <c:strRef>
              <c:f>Sheet1!$A$2:$A$11</c:f>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f>Sheet1!$C$2:$C$11</c:f>
              <c:numCache>
                <c:formatCode>#.##0.0</c:formatCode>
                <c:ptCount val="10"/>
                <c:pt idx="0">
                  <c:v>2.2999999999999998</c:v>
                </c:pt>
                <c:pt idx="1">
                  <c:v>2.2000000000000002</c:v>
                </c:pt>
                <c:pt idx="2">
                  <c:v>2.2999999999999998</c:v>
                </c:pt>
                <c:pt idx="3">
                  <c:v>2.1</c:v>
                </c:pt>
                <c:pt idx="4">
                  <c:v>2.1</c:v>
                </c:pt>
                <c:pt idx="5">
                  <c:v>2.2000000000000002</c:v>
                </c:pt>
                <c:pt idx="6">
                  <c:v>2.1</c:v>
                </c:pt>
                <c:pt idx="7">
                  <c:v>2.1</c:v>
                </c:pt>
                <c:pt idx="8">
                  <c:v>2.1</c:v>
                </c:pt>
                <c:pt idx="9">
                  <c:v>2</c:v>
                </c:pt>
              </c:numCache>
            </c:numRef>
          </c:val>
          <c:smooth val="0"/>
          <c:extLst>
            <c:ext xmlns:c16="http://schemas.microsoft.com/office/drawing/2014/chart" uri="{C3380CC4-5D6E-409C-BE32-E72D297353CC}">
              <c16:uniqueId val="{00000001-9458-4377-963F-7ED57009BC7E}"/>
            </c:ext>
          </c:extLst>
        </c:ser>
        <c:ser>
          <c:idx val="2"/>
          <c:order val="2"/>
          <c:tx>
            <c:strRef>
              <c:f>Sheet1!$D$1</c:f>
              <c:strCache>
                <c:ptCount val="1"/>
                <c:pt idx="0">
                  <c:v>Bulgārija</c:v>
                </c:pt>
              </c:strCache>
            </c:strRef>
          </c:tx>
          <c:spPr>
            <a:ln w="12700" cap="rnd">
              <a:solidFill>
                <a:schemeClr val="accent3"/>
              </a:solidFill>
              <a:round/>
            </a:ln>
            <a:effectLst/>
          </c:spPr>
          <c:marker>
            <c:symbol val="none"/>
          </c:marker>
          <c:cat>
            <c:strRef>
              <c:f>Sheet1!$A$2:$A$11</c:f>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f>Sheet1!$D$2:$D$11</c:f>
              <c:numCache>
                <c:formatCode>#.##0.0</c:formatCode>
                <c:ptCount val="10"/>
                <c:pt idx="0">
                  <c:v>1.9</c:v>
                </c:pt>
                <c:pt idx="1">
                  <c:v>1.9</c:v>
                </c:pt>
                <c:pt idx="2">
                  <c:v>1.8</c:v>
                </c:pt>
                <c:pt idx="3">
                  <c:v>1.7</c:v>
                </c:pt>
                <c:pt idx="4">
                  <c:v>1.8</c:v>
                </c:pt>
                <c:pt idx="5">
                  <c:v>1.9</c:v>
                </c:pt>
                <c:pt idx="6">
                  <c:v>1.9</c:v>
                </c:pt>
                <c:pt idx="7">
                  <c:v>1.8</c:v>
                </c:pt>
                <c:pt idx="8">
                  <c:v>1.8</c:v>
                </c:pt>
                <c:pt idx="9">
                  <c:v>1.7</c:v>
                </c:pt>
              </c:numCache>
            </c:numRef>
          </c:val>
          <c:smooth val="0"/>
          <c:extLst>
            <c:ext xmlns:c16="http://schemas.microsoft.com/office/drawing/2014/chart" uri="{C3380CC4-5D6E-409C-BE32-E72D297353CC}">
              <c16:uniqueId val="{00000002-9458-4377-963F-7ED57009BC7E}"/>
            </c:ext>
          </c:extLst>
        </c:ser>
        <c:ser>
          <c:idx val="3"/>
          <c:order val="3"/>
          <c:tx>
            <c:strRef>
              <c:f>Sheet1!$E$1</c:f>
              <c:strCache>
                <c:ptCount val="1"/>
                <c:pt idx="0">
                  <c:v>Čehija</c:v>
                </c:pt>
              </c:strCache>
            </c:strRef>
          </c:tx>
          <c:spPr>
            <a:ln w="12700" cap="rnd">
              <a:solidFill>
                <a:schemeClr val="accent4"/>
              </a:solidFill>
              <a:round/>
            </a:ln>
            <a:effectLst/>
          </c:spPr>
          <c:marker>
            <c:symbol val="none"/>
          </c:marker>
          <c:cat>
            <c:strRef>
              <c:f>Sheet1!$A$2:$A$11</c:f>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f>Sheet1!$E$2:$E$11</c:f>
              <c:numCache>
                <c:formatCode>#.##0.0</c:formatCode>
                <c:ptCount val="10"/>
                <c:pt idx="0">
                  <c:v>2</c:v>
                </c:pt>
                <c:pt idx="1">
                  <c:v>2</c:v>
                </c:pt>
                <c:pt idx="2">
                  <c:v>1.8</c:v>
                </c:pt>
                <c:pt idx="3">
                  <c:v>1.7</c:v>
                </c:pt>
                <c:pt idx="4">
                  <c:v>1.8</c:v>
                </c:pt>
                <c:pt idx="5">
                  <c:v>1.6</c:v>
                </c:pt>
                <c:pt idx="6">
                  <c:v>1.6</c:v>
                </c:pt>
                <c:pt idx="7">
                  <c:v>1.6</c:v>
                </c:pt>
                <c:pt idx="8">
                  <c:v>1.6</c:v>
                </c:pt>
                <c:pt idx="9">
                  <c:v>1.7</c:v>
                </c:pt>
              </c:numCache>
            </c:numRef>
          </c:val>
          <c:smooth val="0"/>
          <c:extLst>
            <c:ext xmlns:c16="http://schemas.microsoft.com/office/drawing/2014/chart" uri="{C3380CC4-5D6E-409C-BE32-E72D297353CC}">
              <c16:uniqueId val="{00000003-9458-4377-963F-7ED57009BC7E}"/>
            </c:ext>
          </c:extLst>
        </c:ser>
        <c:ser>
          <c:idx val="4"/>
          <c:order val="4"/>
          <c:tx>
            <c:strRef>
              <c:f>Sheet1!$F$1</c:f>
              <c:strCache>
                <c:ptCount val="1"/>
                <c:pt idx="0">
                  <c:v>Dānija</c:v>
                </c:pt>
              </c:strCache>
            </c:strRef>
          </c:tx>
          <c:spPr>
            <a:ln w="12700" cap="rnd">
              <a:solidFill>
                <a:schemeClr val="accent5"/>
              </a:solidFill>
              <a:round/>
            </a:ln>
            <a:effectLst/>
          </c:spPr>
          <c:marker>
            <c:symbol val="none"/>
          </c:marker>
          <c:cat>
            <c:strRef>
              <c:f>Sheet1!$A$2:$A$11</c:f>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f>Sheet1!$F$2:$F$11</c:f>
              <c:numCache>
                <c:formatCode>#.##0.0</c:formatCode>
                <c:ptCount val="10"/>
                <c:pt idx="0">
                  <c:v>4.3</c:v>
                </c:pt>
                <c:pt idx="1">
                  <c:v>4.2</c:v>
                </c:pt>
                <c:pt idx="2">
                  <c:v>4</c:v>
                </c:pt>
                <c:pt idx="3">
                  <c:v>3.8</c:v>
                </c:pt>
                <c:pt idx="4">
                  <c:v>3.8</c:v>
                </c:pt>
                <c:pt idx="5">
                  <c:v>3.6</c:v>
                </c:pt>
                <c:pt idx="6">
                  <c:v>3.6</c:v>
                </c:pt>
                <c:pt idx="7">
                  <c:v>3.5</c:v>
                </c:pt>
                <c:pt idx="8">
                  <c:v>3.4</c:v>
                </c:pt>
                <c:pt idx="9">
                  <c:v>3.4</c:v>
                </c:pt>
              </c:numCache>
            </c:numRef>
          </c:val>
          <c:smooth val="0"/>
          <c:extLst>
            <c:ext xmlns:c16="http://schemas.microsoft.com/office/drawing/2014/chart" uri="{C3380CC4-5D6E-409C-BE32-E72D297353CC}">
              <c16:uniqueId val="{00000004-9458-4377-963F-7ED57009BC7E}"/>
            </c:ext>
          </c:extLst>
        </c:ser>
        <c:ser>
          <c:idx val="5"/>
          <c:order val="5"/>
          <c:tx>
            <c:strRef>
              <c:f>Sheet1!$G$1</c:f>
              <c:strCache>
                <c:ptCount val="1"/>
                <c:pt idx="0">
                  <c:v>Vācija</c:v>
                </c:pt>
              </c:strCache>
            </c:strRef>
          </c:tx>
          <c:spPr>
            <a:ln w="12700" cap="rnd">
              <a:solidFill>
                <a:schemeClr val="accent6"/>
              </a:solidFill>
              <a:round/>
            </a:ln>
            <a:effectLst/>
          </c:spPr>
          <c:marker>
            <c:symbol val="none"/>
          </c:marker>
          <c:cat>
            <c:strRef>
              <c:f>Sheet1!$A$2:$A$11</c:f>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f>Sheet1!$G$2:$G$11</c:f>
              <c:numCache>
                <c:formatCode>#.##0.0</c:formatCode>
                <c:ptCount val="10"/>
                <c:pt idx="0">
                  <c:v>3.1</c:v>
                </c:pt>
                <c:pt idx="1">
                  <c:v>3.2</c:v>
                </c:pt>
                <c:pt idx="2">
                  <c:v>3.1</c:v>
                </c:pt>
                <c:pt idx="3">
                  <c:v>3.1</c:v>
                </c:pt>
                <c:pt idx="4">
                  <c:v>3.2</c:v>
                </c:pt>
                <c:pt idx="5">
                  <c:v>3.1</c:v>
                </c:pt>
                <c:pt idx="6">
                  <c:v>3.2</c:v>
                </c:pt>
                <c:pt idx="7">
                  <c:v>3.2</c:v>
                </c:pt>
                <c:pt idx="8">
                  <c:v>3.3</c:v>
                </c:pt>
                <c:pt idx="9">
                  <c:v>3.3</c:v>
                </c:pt>
              </c:numCache>
            </c:numRef>
          </c:val>
          <c:smooth val="0"/>
          <c:extLst>
            <c:ext xmlns:c16="http://schemas.microsoft.com/office/drawing/2014/chart" uri="{C3380CC4-5D6E-409C-BE32-E72D297353CC}">
              <c16:uniqueId val="{00000005-9458-4377-963F-7ED57009BC7E}"/>
            </c:ext>
          </c:extLst>
        </c:ser>
        <c:ser>
          <c:idx val="6"/>
          <c:order val="6"/>
          <c:tx>
            <c:strRef>
              <c:f>Sheet1!$H$1</c:f>
              <c:strCache>
                <c:ptCount val="1"/>
                <c:pt idx="0">
                  <c:v>Igaunija</c:v>
                </c:pt>
              </c:strCache>
            </c:strRef>
          </c:tx>
          <c:spPr>
            <a:ln w="12700" cap="rnd">
              <a:solidFill>
                <a:schemeClr val="accent1">
                  <a:lumMod val="60000"/>
                </a:schemeClr>
              </a:solidFill>
              <a:round/>
            </a:ln>
            <a:effectLst/>
          </c:spPr>
          <c:marker>
            <c:symbol val="none"/>
          </c:marker>
          <c:cat>
            <c:strRef>
              <c:f>Sheet1!$A$2:$A$11</c:f>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f>Sheet1!$H$2:$H$11</c:f>
              <c:numCache>
                <c:formatCode>#.##0.0</c:formatCode>
                <c:ptCount val="10"/>
                <c:pt idx="0">
                  <c:v>2.2000000000000002</c:v>
                </c:pt>
                <c:pt idx="1">
                  <c:v>2.2000000000000002</c:v>
                </c:pt>
                <c:pt idx="2">
                  <c:v>1.9</c:v>
                </c:pt>
                <c:pt idx="3">
                  <c:v>1.7</c:v>
                </c:pt>
                <c:pt idx="4">
                  <c:v>1.6</c:v>
                </c:pt>
                <c:pt idx="5">
                  <c:v>1.6</c:v>
                </c:pt>
                <c:pt idx="6">
                  <c:v>2</c:v>
                </c:pt>
                <c:pt idx="7">
                  <c:v>2.1</c:v>
                </c:pt>
                <c:pt idx="8">
                  <c:v>2.1</c:v>
                </c:pt>
                <c:pt idx="9">
                  <c:v>2.2999999999999998</c:v>
                </c:pt>
              </c:numCache>
            </c:numRef>
          </c:val>
          <c:smooth val="0"/>
          <c:extLst>
            <c:ext xmlns:c16="http://schemas.microsoft.com/office/drawing/2014/chart" uri="{C3380CC4-5D6E-409C-BE32-E72D297353CC}">
              <c16:uniqueId val="{00000006-9458-4377-963F-7ED57009BC7E}"/>
            </c:ext>
          </c:extLst>
        </c:ser>
        <c:ser>
          <c:idx val="7"/>
          <c:order val="7"/>
          <c:tx>
            <c:strRef>
              <c:f>Sheet1!$I$1</c:f>
              <c:strCache>
                <c:ptCount val="1"/>
                <c:pt idx="0">
                  <c:v>Īrija</c:v>
                </c:pt>
              </c:strCache>
            </c:strRef>
          </c:tx>
          <c:spPr>
            <a:ln w="12700" cap="rnd">
              <a:solidFill>
                <a:schemeClr val="accent2">
                  <a:lumMod val="60000"/>
                </a:schemeClr>
              </a:solidFill>
              <a:round/>
            </a:ln>
            <a:effectLst/>
          </c:spPr>
          <c:marker>
            <c:symbol val="none"/>
          </c:marker>
          <c:cat>
            <c:strRef>
              <c:f>Sheet1!$A$2:$A$11</c:f>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f>Sheet1!$I$2:$I$11</c:f>
              <c:numCache>
                <c:formatCode>#.##0.0</c:formatCode>
                <c:ptCount val="10"/>
                <c:pt idx="0">
                  <c:v>2.9</c:v>
                </c:pt>
                <c:pt idx="1">
                  <c:v>2.6</c:v>
                </c:pt>
                <c:pt idx="2">
                  <c:v>2.4</c:v>
                </c:pt>
                <c:pt idx="3">
                  <c:v>2.2999999999999998</c:v>
                </c:pt>
                <c:pt idx="4">
                  <c:v>2.1</c:v>
                </c:pt>
                <c:pt idx="5">
                  <c:v>1.9</c:v>
                </c:pt>
                <c:pt idx="6">
                  <c:v>1.4</c:v>
                </c:pt>
                <c:pt idx="7">
                  <c:v>1.4</c:v>
                </c:pt>
                <c:pt idx="8">
                  <c:v>1.3</c:v>
                </c:pt>
                <c:pt idx="9">
                  <c:v>1.2</c:v>
                </c:pt>
              </c:numCache>
            </c:numRef>
          </c:val>
          <c:smooth val="0"/>
          <c:extLst>
            <c:ext xmlns:c16="http://schemas.microsoft.com/office/drawing/2014/chart" uri="{C3380CC4-5D6E-409C-BE32-E72D297353CC}">
              <c16:uniqueId val="{00000007-9458-4377-963F-7ED57009BC7E}"/>
            </c:ext>
          </c:extLst>
        </c:ser>
        <c:ser>
          <c:idx val="8"/>
          <c:order val="8"/>
          <c:tx>
            <c:strRef>
              <c:f>Sheet1!$J$1</c:f>
              <c:strCache>
                <c:ptCount val="1"/>
                <c:pt idx="0">
                  <c:v>Grieķija</c:v>
                </c:pt>
              </c:strCache>
            </c:strRef>
          </c:tx>
          <c:spPr>
            <a:ln w="12700" cap="rnd">
              <a:solidFill>
                <a:schemeClr val="accent3">
                  <a:lumMod val="60000"/>
                </a:schemeClr>
              </a:solidFill>
              <a:round/>
            </a:ln>
            <a:effectLst/>
          </c:spPr>
          <c:marker>
            <c:symbol val="none"/>
          </c:marker>
          <c:cat>
            <c:strRef>
              <c:f>Sheet1!$A$2:$A$11</c:f>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f>Sheet1!$J$2:$J$11</c:f>
              <c:numCache>
                <c:formatCode>#.##0.0</c:formatCode>
                <c:ptCount val="10"/>
                <c:pt idx="0">
                  <c:v>1</c:v>
                </c:pt>
                <c:pt idx="1">
                  <c:v>1</c:v>
                </c:pt>
                <c:pt idx="2">
                  <c:v>1.1000000000000001</c:v>
                </c:pt>
                <c:pt idx="3">
                  <c:v>1</c:v>
                </c:pt>
                <c:pt idx="4">
                  <c:v>1.1000000000000001</c:v>
                </c:pt>
                <c:pt idx="5">
                  <c:v>1.1000000000000001</c:v>
                </c:pt>
                <c:pt idx="6">
                  <c:v>1.1000000000000001</c:v>
                </c:pt>
                <c:pt idx="7">
                  <c:v>1</c:v>
                </c:pt>
                <c:pt idx="8">
                  <c:v>1.4</c:v>
                </c:pt>
                <c:pt idx="9">
                  <c:v>1.7</c:v>
                </c:pt>
              </c:numCache>
            </c:numRef>
          </c:val>
          <c:smooth val="0"/>
          <c:extLst>
            <c:ext xmlns:c16="http://schemas.microsoft.com/office/drawing/2014/chart" uri="{C3380CC4-5D6E-409C-BE32-E72D297353CC}">
              <c16:uniqueId val="{00000008-9458-4377-963F-7ED57009BC7E}"/>
            </c:ext>
          </c:extLst>
        </c:ser>
        <c:ser>
          <c:idx val="9"/>
          <c:order val="9"/>
          <c:tx>
            <c:strRef>
              <c:f>Sheet1!$K$1</c:f>
              <c:strCache>
                <c:ptCount val="1"/>
                <c:pt idx="0">
                  <c:v>Spānija</c:v>
                </c:pt>
              </c:strCache>
            </c:strRef>
          </c:tx>
          <c:spPr>
            <a:ln w="12700" cap="rnd">
              <a:solidFill>
                <a:schemeClr val="accent4">
                  <a:lumMod val="60000"/>
                </a:schemeClr>
              </a:solidFill>
              <a:round/>
            </a:ln>
            <a:effectLst/>
          </c:spPr>
          <c:marker>
            <c:symbol val="none"/>
          </c:marker>
          <c:cat>
            <c:strRef>
              <c:f>Sheet1!$A$2:$A$11</c:f>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f>Sheet1!$K$2:$K$11</c:f>
              <c:numCache>
                <c:formatCode>#.##0.0</c:formatCode>
                <c:ptCount val="10"/>
                <c:pt idx="0">
                  <c:v>1.5</c:v>
                </c:pt>
                <c:pt idx="1">
                  <c:v>1.5</c:v>
                </c:pt>
                <c:pt idx="2">
                  <c:v>1.4</c:v>
                </c:pt>
                <c:pt idx="3">
                  <c:v>1.3</c:v>
                </c:pt>
                <c:pt idx="4">
                  <c:v>1.4</c:v>
                </c:pt>
                <c:pt idx="5">
                  <c:v>1.3</c:v>
                </c:pt>
                <c:pt idx="6">
                  <c:v>1.3</c:v>
                </c:pt>
                <c:pt idx="7">
                  <c:v>1.3</c:v>
                </c:pt>
                <c:pt idx="8">
                  <c:v>1.3</c:v>
                </c:pt>
                <c:pt idx="9">
                  <c:v>1.3</c:v>
                </c:pt>
              </c:numCache>
            </c:numRef>
          </c:val>
          <c:smooth val="0"/>
          <c:extLst>
            <c:ext xmlns:c16="http://schemas.microsoft.com/office/drawing/2014/chart" uri="{C3380CC4-5D6E-409C-BE32-E72D297353CC}">
              <c16:uniqueId val="{00000009-9458-4377-963F-7ED57009BC7E}"/>
            </c:ext>
          </c:extLst>
        </c:ser>
        <c:ser>
          <c:idx val="10"/>
          <c:order val="10"/>
          <c:tx>
            <c:strRef>
              <c:f>Sheet1!$L$1</c:f>
              <c:strCache>
                <c:ptCount val="1"/>
                <c:pt idx="0">
                  <c:v>Francija</c:v>
                </c:pt>
              </c:strCache>
            </c:strRef>
          </c:tx>
          <c:spPr>
            <a:ln w="12700" cap="rnd">
              <a:solidFill>
                <a:schemeClr val="accent5">
                  <a:lumMod val="60000"/>
                </a:schemeClr>
              </a:solidFill>
              <a:round/>
            </a:ln>
            <a:effectLst/>
          </c:spPr>
          <c:marker>
            <c:symbol val="none"/>
          </c:marker>
          <c:cat>
            <c:strRef>
              <c:f>Sheet1!$A$2:$A$11</c:f>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f>Sheet1!$L$2:$L$11</c:f>
              <c:numCache>
                <c:formatCode>#.##0.0</c:formatCode>
                <c:ptCount val="10"/>
                <c:pt idx="0">
                  <c:v>2.6</c:v>
                </c:pt>
                <c:pt idx="1">
                  <c:v>2.5</c:v>
                </c:pt>
                <c:pt idx="2">
                  <c:v>2.5</c:v>
                </c:pt>
                <c:pt idx="3">
                  <c:v>2.5</c:v>
                </c:pt>
                <c:pt idx="4">
                  <c:v>2.5</c:v>
                </c:pt>
                <c:pt idx="5">
                  <c:v>2.5</c:v>
                </c:pt>
                <c:pt idx="6">
                  <c:v>2.5</c:v>
                </c:pt>
                <c:pt idx="7">
                  <c:v>2.4</c:v>
                </c:pt>
                <c:pt idx="8">
                  <c:v>2.4</c:v>
                </c:pt>
                <c:pt idx="9">
                  <c:v>2.4</c:v>
                </c:pt>
              </c:numCache>
            </c:numRef>
          </c:val>
          <c:smooth val="0"/>
          <c:extLst>
            <c:ext xmlns:c16="http://schemas.microsoft.com/office/drawing/2014/chart" uri="{C3380CC4-5D6E-409C-BE32-E72D297353CC}">
              <c16:uniqueId val="{0000000A-9458-4377-963F-7ED57009BC7E}"/>
            </c:ext>
          </c:extLst>
        </c:ser>
        <c:ser>
          <c:idx val="11"/>
          <c:order val="11"/>
          <c:tx>
            <c:strRef>
              <c:f>Sheet1!$M$1</c:f>
              <c:strCache>
                <c:ptCount val="1"/>
                <c:pt idx="0">
                  <c:v>Horvātija</c:v>
                </c:pt>
              </c:strCache>
            </c:strRef>
          </c:tx>
          <c:spPr>
            <a:ln w="12700" cap="rnd">
              <a:solidFill>
                <a:schemeClr val="accent6">
                  <a:lumMod val="60000"/>
                </a:schemeClr>
              </a:solidFill>
              <a:round/>
            </a:ln>
            <a:effectLst/>
          </c:spPr>
          <c:marker>
            <c:symbol val="none"/>
          </c:marker>
          <c:cat>
            <c:strRef>
              <c:f>Sheet1!$A$2:$A$11</c:f>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f>Sheet1!$M$2:$M$11</c:f>
              <c:numCache>
                <c:formatCode>#.##0.0</c:formatCode>
                <c:ptCount val="10"/>
                <c:pt idx="0">
                  <c:v>1.6</c:v>
                </c:pt>
                <c:pt idx="1">
                  <c:v>1.6</c:v>
                </c:pt>
                <c:pt idx="2">
                  <c:v>1.6</c:v>
                </c:pt>
                <c:pt idx="3">
                  <c:v>1.6</c:v>
                </c:pt>
                <c:pt idx="4">
                  <c:v>1.6</c:v>
                </c:pt>
                <c:pt idx="5">
                  <c:v>1.9</c:v>
                </c:pt>
                <c:pt idx="6">
                  <c:v>1.9</c:v>
                </c:pt>
                <c:pt idx="7">
                  <c:v>1.9</c:v>
                </c:pt>
                <c:pt idx="8">
                  <c:v>1.8</c:v>
                </c:pt>
                <c:pt idx="9">
                  <c:v>1.9</c:v>
                </c:pt>
              </c:numCache>
            </c:numRef>
          </c:val>
          <c:smooth val="0"/>
          <c:extLst>
            <c:ext xmlns:c16="http://schemas.microsoft.com/office/drawing/2014/chart" uri="{C3380CC4-5D6E-409C-BE32-E72D297353CC}">
              <c16:uniqueId val="{0000000B-9458-4377-963F-7ED57009BC7E}"/>
            </c:ext>
          </c:extLst>
        </c:ser>
        <c:ser>
          <c:idx val="12"/>
          <c:order val="12"/>
          <c:tx>
            <c:strRef>
              <c:f>Sheet1!$N$1</c:f>
              <c:strCache>
                <c:ptCount val="1"/>
                <c:pt idx="0">
                  <c:v>Itālija</c:v>
                </c:pt>
              </c:strCache>
            </c:strRef>
          </c:tx>
          <c:spPr>
            <a:ln w="12700" cap="rnd">
              <a:solidFill>
                <a:schemeClr val="accent1">
                  <a:lumMod val="80000"/>
                  <a:lumOff val="20000"/>
                </a:schemeClr>
              </a:solidFill>
              <a:round/>
            </a:ln>
            <a:effectLst/>
          </c:spPr>
          <c:marker>
            <c:symbol val="none"/>
          </c:marker>
          <c:cat>
            <c:strRef>
              <c:f>Sheet1!$A$2:$A$11</c:f>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f>Sheet1!$N$2:$N$11</c:f>
              <c:numCache>
                <c:formatCode>#.##0.0</c:formatCode>
                <c:ptCount val="10"/>
                <c:pt idx="0">
                  <c:v>1.2</c:v>
                </c:pt>
                <c:pt idx="1">
                  <c:v>1.1000000000000001</c:v>
                </c:pt>
                <c:pt idx="2">
                  <c:v>1.1000000000000001</c:v>
                </c:pt>
                <c:pt idx="3">
                  <c:v>1.2</c:v>
                </c:pt>
                <c:pt idx="4">
                  <c:v>1.2</c:v>
                </c:pt>
                <c:pt idx="5">
                  <c:v>1.2</c:v>
                </c:pt>
                <c:pt idx="6">
                  <c:v>1.1000000000000001</c:v>
                </c:pt>
                <c:pt idx="7">
                  <c:v>1.1000000000000001</c:v>
                </c:pt>
                <c:pt idx="8">
                  <c:v>1.1000000000000001</c:v>
                </c:pt>
                <c:pt idx="9">
                  <c:v>1.1000000000000001</c:v>
                </c:pt>
              </c:numCache>
            </c:numRef>
          </c:val>
          <c:smooth val="0"/>
          <c:extLst>
            <c:ext xmlns:c16="http://schemas.microsoft.com/office/drawing/2014/chart" uri="{C3380CC4-5D6E-409C-BE32-E72D297353CC}">
              <c16:uniqueId val="{0000000C-9458-4377-963F-7ED57009BC7E}"/>
            </c:ext>
          </c:extLst>
        </c:ser>
        <c:ser>
          <c:idx val="13"/>
          <c:order val="13"/>
          <c:tx>
            <c:strRef>
              <c:f>Sheet1!$O$1</c:f>
              <c:strCache>
                <c:ptCount val="1"/>
                <c:pt idx="0">
                  <c:v>Kipra</c:v>
                </c:pt>
              </c:strCache>
            </c:strRef>
          </c:tx>
          <c:spPr>
            <a:ln w="12700" cap="rnd">
              <a:solidFill>
                <a:schemeClr val="accent2">
                  <a:lumMod val="80000"/>
                  <a:lumOff val="20000"/>
                </a:schemeClr>
              </a:solidFill>
              <a:round/>
            </a:ln>
            <a:effectLst/>
          </c:spPr>
          <c:marker>
            <c:symbol val="none"/>
          </c:marker>
          <c:cat>
            <c:strRef>
              <c:f>Sheet1!$A$2:$A$11</c:f>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f>Sheet1!$O$2:$O$11</c:f>
              <c:numCache>
                <c:formatCode>#.##0.0</c:formatCode>
                <c:ptCount val="10"/>
                <c:pt idx="0">
                  <c:v>2</c:v>
                </c:pt>
                <c:pt idx="1">
                  <c:v>1.9</c:v>
                </c:pt>
                <c:pt idx="2">
                  <c:v>1.9</c:v>
                </c:pt>
                <c:pt idx="3">
                  <c:v>1.5</c:v>
                </c:pt>
                <c:pt idx="4">
                  <c:v>1.5</c:v>
                </c:pt>
                <c:pt idx="5">
                  <c:v>1.4</c:v>
                </c:pt>
                <c:pt idx="6">
                  <c:v>1.3</c:v>
                </c:pt>
                <c:pt idx="7">
                  <c:v>1.3</c:v>
                </c:pt>
                <c:pt idx="8">
                  <c:v>1.2</c:v>
                </c:pt>
                <c:pt idx="9">
                  <c:v>1.2</c:v>
                </c:pt>
              </c:numCache>
            </c:numRef>
          </c:val>
          <c:smooth val="0"/>
          <c:extLst>
            <c:ext xmlns:c16="http://schemas.microsoft.com/office/drawing/2014/chart" uri="{C3380CC4-5D6E-409C-BE32-E72D297353CC}">
              <c16:uniqueId val="{0000000D-9458-4377-963F-7ED57009BC7E}"/>
            </c:ext>
          </c:extLst>
        </c:ser>
        <c:ser>
          <c:idx val="14"/>
          <c:order val="14"/>
          <c:tx>
            <c:strRef>
              <c:f>Sheet1!$P$1</c:f>
              <c:strCache>
                <c:ptCount val="1"/>
                <c:pt idx="0">
                  <c:v>Latvija</c:v>
                </c:pt>
              </c:strCache>
            </c:strRef>
          </c:tx>
          <c:spPr>
            <a:ln w="12700" cap="rnd">
              <a:solidFill>
                <a:schemeClr val="accent3">
                  <a:lumMod val="80000"/>
                  <a:lumOff val="20000"/>
                </a:schemeClr>
              </a:solidFill>
              <a:round/>
            </a:ln>
            <a:effectLst/>
          </c:spPr>
          <c:marker>
            <c:symbol val="none"/>
          </c:marker>
          <c:cat>
            <c:strRef>
              <c:f>Sheet1!$A$2:$A$11</c:f>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f>Sheet1!$P$2:$P$11</c:f>
              <c:numCache>
                <c:formatCode>#.##0.0</c:formatCode>
                <c:ptCount val="10"/>
                <c:pt idx="0">
                  <c:v>1.7</c:v>
                </c:pt>
                <c:pt idx="1">
                  <c:v>1.5</c:v>
                </c:pt>
                <c:pt idx="2">
                  <c:v>1.1000000000000001</c:v>
                </c:pt>
                <c:pt idx="3">
                  <c:v>1</c:v>
                </c:pt>
                <c:pt idx="4">
                  <c:v>1.2</c:v>
                </c:pt>
                <c:pt idx="5">
                  <c:v>1.3</c:v>
                </c:pt>
                <c:pt idx="6">
                  <c:v>1.6</c:v>
                </c:pt>
                <c:pt idx="7">
                  <c:v>1.6</c:v>
                </c:pt>
                <c:pt idx="8">
                  <c:v>1.6</c:v>
                </c:pt>
                <c:pt idx="9">
                  <c:v>1.6</c:v>
                </c:pt>
              </c:numCache>
            </c:numRef>
          </c:val>
          <c:smooth val="0"/>
          <c:extLst>
            <c:ext xmlns:c16="http://schemas.microsoft.com/office/drawing/2014/chart" uri="{C3380CC4-5D6E-409C-BE32-E72D297353CC}">
              <c16:uniqueId val="{0000000E-9458-4377-963F-7ED57009BC7E}"/>
            </c:ext>
          </c:extLst>
        </c:ser>
        <c:ser>
          <c:idx val="15"/>
          <c:order val="15"/>
          <c:tx>
            <c:strRef>
              <c:f>Sheet1!$Q$1</c:f>
              <c:strCache>
                <c:ptCount val="1"/>
                <c:pt idx="0">
                  <c:v>Lietuva</c:v>
                </c:pt>
              </c:strCache>
            </c:strRef>
          </c:tx>
          <c:spPr>
            <a:ln w="12700" cap="rnd">
              <a:solidFill>
                <a:schemeClr val="accent4">
                  <a:lumMod val="80000"/>
                  <a:lumOff val="20000"/>
                </a:schemeClr>
              </a:solidFill>
              <a:round/>
            </a:ln>
            <a:effectLst/>
          </c:spPr>
          <c:marker>
            <c:symbol val="none"/>
          </c:marker>
          <c:cat>
            <c:strRef>
              <c:f>Sheet1!$A$2:$A$11</c:f>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f>Sheet1!$Q$2:$Q$11</c:f>
              <c:numCache>
                <c:formatCode>#.##0.0</c:formatCode>
                <c:ptCount val="10"/>
                <c:pt idx="0">
                  <c:v>2.8</c:v>
                </c:pt>
                <c:pt idx="1">
                  <c:v>2.2000000000000002</c:v>
                </c:pt>
                <c:pt idx="2">
                  <c:v>1.7</c:v>
                </c:pt>
                <c:pt idx="3">
                  <c:v>1.4</c:v>
                </c:pt>
                <c:pt idx="4">
                  <c:v>1.1000000000000001</c:v>
                </c:pt>
                <c:pt idx="5">
                  <c:v>1.1000000000000001</c:v>
                </c:pt>
                <c:pt idx="6">
                  <c:v>1.1000000000000001</c:v>
                </c:pt>
                <c:pt idx="7">
                  <c:v>1.1000000000000001</c:v>
                </c:pt>
                <c:pt idx="8">
                  <c:v>1.2</c:v>
                </c:pt>
                <c:pt idx="9">
                  <c:v>1.6</c:v>
                </c:pt>
              </c:numCache>
            </c:numRef>
          </c:val>
          <c:smooth val="0"/>
          <c:extLst>
            <c:ext xmlns:c16="http://schemas.microsoft.com/office/drawing/2014/chart" uri="{C3380CC4-5D6E-409C-BE32-E72D297353CC}">
              <c16:uniqueId val="{0000000F-9458-4377-963F-7ED57009BC7E}"/>
            </c:ext>
          </c:extLst>
        </c:ser>
        <c:ser>
          <c:idx val="16"/>
          <c:order val="16"/>
          <c:tx>
            <c:strRef>
              <c:f>Sheet1!$R$1</c:f>
              <c:strCache>
                <c:ptCount val="1"/>
                <c:pt idx="0">
                  <c:v>Luksemburga</c:v>
                </c:pt>
              </c:strCache>
            </c:strRef>
          </c:tx>
          <c:spPr>
            <a:ln w="12700" cap="rnd">
              <a:solidFill>
                <a:srgbClr val="C00000"/>
              </a:solidFill>
              <a:round/>
            </a:ln>
            <a:effectLst/>
          </c:spPr>
          <c:marker>
            <c:symbol val="none"/>
          </c:marker>
          <c:cat>
            <c:strRef>
              <c:f>Sheet1!$A$2:$A$11</c:f>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f>Sheet1!$R$2:$R$11</c:f>
              <c:numCache>
                <c:formatCode>#.##0.0</c:formatCode>
                <c:ptCount val="10"/>
                <c:pt idx="0">
                  <c:v>4.0999999999999996</c:v>
                </c:pt>
                <c:pt idx="1">
                  <c:v>3.9</c:v>
                </c:pt>
                <c:pt idx="2">
                  <c:v>3.5</c:v>
                </c:pt>
                <c:pt idx="3">
                  <c:v>3.6</c:v>
                </c:pt>
                <c:pt idx="4">
                  <c:v>3.6</c:v>
                </c:pt>
                <c:pt idx="5">
                  <c:v>3.5</c:v>
                </c:pt>
                <c:pt idx="6">
                  <c:v>3.4</c:v>
                </c:pt>
                <c:pt idx="7">
                  <c:v>3.2</c:v>
                </c:pt>
                <c:pt idx="8">
                  <c:v>3.3</c:v>
                </c:pt>
                <c:pt idx="9">
                  <c:v>3.3</c:v>
                </c:pt>
              </c:numCache>
            </c:numRef>
          </c:val>
          <c:smooth val="0"/>
          <c:extLst>
            <c:ext xmlns:c16="http://schemas.microsoft.com/office/drawing/2014/chart" uri="{C3380CC4-5D6E-409C-BE32-E72D297353CC}">
              <c16:uniqueId val="{00000010-9458-4377-963F-7ED57009BC7E}"/>
            </c:ext>
          </c:extLst>
        </c:ser>
        <c:ser>
          <c:idx val="17"/>
          <c:order val="17"/>
          <c:tx>
            <c:strRef>
              <c:f>Sheet1!$S$1</c:f>
              <c:strCache>
                <c:ptCount val="1"/>
                <c:pt idx="0">
                  <c:v>Ungārija</c:v>
                </c:pt>
              </c:strCache>
            </c:strRef>
          </c:tx>
          <c:spPr>
            <a:ln w="12700" cap="rnd">
              <a:solidFill>
                <a:schemeClr val="tx1"/>
              </a:solidFill>
              <a:round/>
            </a:ln>
            <a:effectLst/>
          </c:spPr>
          <c:marker>
            <c:symbol val="none"/>
          </c:marker>
          <c:cat>
            <c:strRef>
              <c:f>Sheet1!$A$2:$A$11</c:f>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f>Sheet1!$S$2:$S$11</c:f>
              <c:numCache>
                <c:formatCode>#.##0.0</c:formatCode>
                <c:ptCount val="10"/>
                <c:pt idx="0">
                  <c:v>2.9</c:v>
                </c:pt>
                <c:pt idx="1">
                  <c:v>2.8</c:v>
                </c:pt>
                <c:pt idx="2">
                  <c:v>2.7</c:v>
                </c:pt>
                <c:pt idx="3">
                  <c:v>2.6</c:v>
                </c:pt>
                <c:pt idx="4">
                  <c:v>2.5</c:v>
                </c:pt>
                <c:pt idx="5">
                  <c:v>2.2999999999999998</c:v>
                </c:pt>
                <c:pt idx="6">
                  <c:v>2.2000000000000002</c:v>
                </c:pt>
                <c:pt idx="7">
                  <c:v>2.2000000000000002</c:v>
                </c:pt>
                <c:pt idx="8">
                  <c:v>2.2000000000000002</c:v>
                </c:pt>
                <c:pt idx="9">
                  <c:v>2</c:v>
                </c:pt>
              </c:numCache>
            </c:numRef>
          </c:val>
          <c:smooth val="0"/>
          <c:extLst>
            <c:ext xmlns:c16="http://schemas.microsoft.com/office/drawing/2014/chart" uri="{C3380CC4-5D6E-409C-BE32-E72D297353CC}">
              <c16:uniqueId val="{00000011-9458-4377-963F-7ED57009BC7E}"/>
            </c:ext>
          </c:extLst>
        </c:ser>
        <c:ser>
          <c:idx val="18"/>
          <c:order val="18"/>
          <c:tx>
            <c:strRef>
              <c:f>Sheet1!$T$1</c:f>
              <c:strCache>
                <c:ptCount val="1"/>
                <c:pt idx="0">
                  <c:v>Malta</c:v>
                </c:pt>
              </c:strCache>
            </c:strRef>
          </c:tx>
          <c:spPr>
            <a:ln w="12700" cap="rnd">
              <a:solidFill>
                <a:schemeClr val="accent1">
                  <a:lumMod val="80000"/>
                </a:schemeClr>
              </a:solidFill>
              <a:round/>
            </a:ln>
            <a:effectLst/>
          </c:spPr>
          <c:marker>
            <c:symbol val="none"/>
          </c:marker>
          <c:cat>
            <c:strRef>
              <c:f>Sheet1!$A$2:$A$11</c:f>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f>Sheet1!$T$2:$T$11</c:f>
              <c:numCache>
                <c:formatCode>#.##0.0</c:formatCode>
                <c:ptCount val="10"/>
                <c:pt idx="0">
                  <c:v>1.2</c:v>
                </c:pt>
                <c:pt idx="1">
                  <c:v>1.1000000000000001</c:v>
                </c:pt>
                <c:pt idx="2">
                  <c:v>1.1000000000000001</c:v>
                </c:pt>
                <c:pt idx="3">
                  <c:v>1.1000000000000001</c:v>
                </c:pt>
                <c:pt idx="4">
                  <c:v>1.1000000000000001</c:v>
                </c:pt>
                <c:pt idx="5">
                  <c:v>1.2</c:v>
                </c:pt>
                <c:pt idx="6">
                  <c:v>1.1000000000000001</c:v>
                </c:pt>
                <c:pt idx="7">
                  <c:v>0.9</c:v>
                </c:pt>
                <c:pt idx="8">
                  <c:v>0.9</c:v>
                </c:pt>
                <c:pt idx="9">
                  <c:v>0.8</c:v>
                </c:pt>
              </c:numCache>
            </c:numRef>
          </c:val>
          <c:smooth val="0"/>
          <c:extLst>
            <c:ext xmlns:c16="http://schemas.microsoft.com/office/drawing/2014/chart" uri="{C3380CC4-5D6E-409C-BE32-E72D297353CC}">
              <c16:uniqueId val="{00000012-9458-4377-963F-7ED57009BC7E}"/>
            </c:ext>
          </c:extLst>
        </c:ser>
        <c:ser>
          <c:idx val="19"/>
          <c:order val="19"/>
          <c:tx>
            <c:strRef>
              <c:f>Sheet1!$U$1</c:f>
              <c:strCache>
                <c:ptCount val="1"/>
                <c:pt idx="0">
                  <c:v>Nīderlande</c:v>
                </c:pt>
              </c:strCache>
            </c:strRef>
          </c:tx>
          <c:spPr>
            <a:ln w="12700" cap="rnd">
              <a:solidFill>
                <a:schemeClr val="accent2">
                  <a:lumMod val="80000"/>
                </a:schemeClr>
              </a:solidFill>
              <a:round/>
            </a:ln>
            <a:effectLst/>
          </c:spPr>
          <c:marker>
            <c:symbol val="none"/>
          </c:marker>
          <c:cat>
            <c:strRef>
              <c:f>Sheet1!$A$2:$A$11</c:f>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f>Sheet1!$U$2:$U$11</c:f>
              <c:numCache>
                <c:formatCode>#.##0.0</c:formatCode>
                <c:ptCount val="10"/>
                <c:pt idx="0">
                  <c:v>1.2</c:v>
                </c:pt>
                <c:pt idx="1">
                  <c:v>1.1000000000000001</c:v>
                </c:pt>
                <c:pt idx="2">
                  <c:v>1.1000000000000001</c:v>
                </c:pt>
                <c:pt idx="3">
                  <c:v>1</c:v>
                </c:pt>
                <c:pt idx="4">
                  <c:v>0.9</c:v>
                </c:pt>
                <c:pt idx="5">
                  <c:v>0.9</c:v>
                </c:pt>
                <c:pt idx="6">
                  <c:v>1.1000000000000001</c:v>
                </c:pt>
                <c:pt idx="7">
                  <c:v>1.1000000000000001</c:v>
                </c:pt>
                <c:pt idx="8">
                  <c:v>1.2</c:v>
                </c:pt>
                <c:pt idx="9">
                  <c:v>1.1000000000000001</c:v>
                </c:pt>
              </c:numCache>
            </c:numRef>
          </c:val>
          <c:smooth val="0"/>
          <c:extLst>
            <c:ext xmlns:c16="http://schemas.microsoft.com/office/drawing/2014/chart" uri="{C3380CC4-5D6E-409C-BE32-E72D297353CC}">
              <c16:uniqueId val="{00000013-9458-4377-963F-7ED57009BC7E}"/>
            </c:ext>
          </c:extLst>
        </c:ser>
        <c:ser>
          <c:idx val="20"/>
          <c:order val="20"/>
          <c:tx>
            <c:strRef>
              <c:f>Sheet1!$V$1</c:f>
              <c:strCache>
                <c:ptCount val="1"/>
                <c:pt idx="0">
                  <c:v>Austrija</c:v>
                </c:pt>
              </c:strCache>
            </c:strRef>
          </c:tx>
          <c:spPr>
            <a:ln w="12700" cap="rnd">
              <a:solidFill>
                <a:schemeClr val="accent3">
                  <a:lumMod val="80000"/>
                </a:schemeClr>
              </a:solidFill>
              <a:round/>
            </a:ln>
            <a:effectLst/>
          </c:spPr>
          <c:marker>
            <c:symbol val="none"/>
          </c:marker>
          <c:cat>
            <c:strRef>
              <c:f>Sheet1!$A$2:$A$11</c:f>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f>Sheet1!$V$2:$V$11</c:f>
              <c:numCache>
                <c:formatCode>#.##0.0</c:formatCode>
                <c:ptCount val="10"/>
                <c:pt idx="0">
                  <c:v>3.1</c:v>
                </c:pt>
                <c:pt idx="1">
                  <c:v>3.1</c:v>
                </c:pt>
                <c:pt idx="2">
                  <c:v>2.8</c:v>
                </c:pt>
                <c:pt idx="3">
                  <c:v>2.8</c:v>
                </c:pt>
                <c:pt idx="4">
                  <c:v>2.8</c:v>
                </c:pt>
                <c:pt idx="5">
                  <c:v>2.7</c:v>
                </c:pt>
                <c:pt idx="6">
                  <c:v>2.8</c:v>
                </c:pt>
                <c:pt idx="7">
                  <c:v>2.8</c:v>
                </c:pt>
                <c:pt idx="8">
                  <c:v>2.7</c:v>
                </c:pt>
                <c:pt idx="9">
                  <c:v>2.7</c:v>
                </c:pt>
              </c:numCache>
            </c:numRef>
          </c:val>
          <c:smooth val="0"/>
          <c:extLst>
            <c:ext xmlns:c16="http://schemas.microsoft.com/office/drawing/2014/chart" uri="{C3380CC4-5D6E-409C-BE32-E72D297353CC}">
              <c16:uniqueId val="{00000014-9458-4377-963F-7ED57009BC7E}"/>
            </c:ext>
          </c:extLst>
        </c:ser>
        <c:ser>
          <c:idx val="21"/>
          <c:order val="21"/>
          <c:tx>
            <c:strRef>
              <c:f>Sheet1!$W$1</c:f>
              <c:strCache>
                <c:ptCount val="1"/>
                <c:pt idx="0">
                  <c:v>Polija</c:v>
                </c:pt>
              </c:strCache>
            </c:strRef>
          </c:tx>
          <c:spPr>
            <a:ln w="12700" cap="rnd">
              <a:solidFill>
                <a:srgbClr val="FF0000"/>
              </a:solidFill>
              <a:round/>
            </a:ln>
            <a:effectLst/>
          </c:spPr>
          <c:marker>
            <c:symbol val="none"/>
          </c:marker>
          <c:cat>
            <c:strRef>
              <c:f>Sheet1!$A$2:$A$11</c:f>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f>Sheet1!$W$2:$W$11</c:f>
              <c:numCache>
                <c:formatCode>#.##0.0</c:formatCode>
                <c:ptCount val="10"/>
                <c:pt idx="0">
                  <c:v>1.3</c:v>
                </c:pt>
                <c:pt idx="1">
                  <c:v>1.3</c:v>
                </c:pt>
                <c:pt idx="2">
                  <c:v>1.3</c:v>
                </c:pt>
                <c:pt idx="3">
                  <c:v>1.3</c:v>
                </c:pt>
                <c:pt idx="4">
                  <c:v>1.4</c:v>
                </c:pt>
                <c:pt idx="5">
                  <c:v>1.4</c:v>
                </c:pt>
                <c:pt idx="6">
                  <c:v>1.5</c:v>
                </c:pt>
                <c:pt idx="7">
                  <c:v>2.5</c:v>
                </c:pt>
                <c:pt idx="8">
                  <c:v>2.6</c:v>
                </c:pt>
                <c:pt idx="9">
                  <c:v>2.5</c:v>
                </c:pt>
              </c:numCache>
            </c:numRef>
          </c:val>
          <c:smooth val="0"/>
          <c:extLst>
            <c:ext xmlns:c16="http://schemas.microsoft.com/office/drawing/2014/chart" uri="{C3380CC4-5D6E-409C-BE32-E72D297353CC}">
              <c16:uniqueId val="{00000015-9458-4377-963F-7ED57009BC7E}"/>
            </c:ext>
          </c:extLst>
        </c:ser>
        <c:ser>
          <c:idx val="22"/>
          <c:order val="22"/>
          <c:tx>
            <c:strRef>
              <c:f>Sheet1!$X$1</c:f>
              <c:strCache>
                <c:ptCount val="1"/>
                <c:pt idx="0">
                  <c:v>Portugāle</c:v>
                </c:pt>
              </c:strCache>
            </c:strRef>
          </c:tx>
          <c:spPr>
            <a:ln w="12700" cap="rnd">
              <a:solidFill>
                <a:schemeClr val="accent5">
                  <a:lumMod val="80000"/>
                </a:schemeClr>
              </a:solidFill>
              <a:round/>
            </a:ln>
            <a:effectLst/>
          </c:spPr>
          <c:marker>
            <c:symbol val="none"/>
          </c:marker>
          <c:cat>
            <c:strRef>
              <c:f>Sheet1!$A$2:$A$11</c:f>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f>Sheet1!$X$2:$X$11</c:f>
              <c:numCache>
                <c:formatCode>#.##0.0</c:formatCode>
                <c:ptCount val="10"/>
                <c:pt idx="0">
                  <c:v>1.4</c:v>
                </c:pt>
                <c:pt idx="1">
                  <c:v>1.3</c:v>
                </c:pt>
                <c:pt idx="2">
                  <c:v>1.2</c:v>
                </c:pt>
                <c:pt idx="3">
                  <c:v>1.2</c:v>
                </c:pt>
                <c:pt idx="4">
                  <c:v>1.2</c:v>
                </c:pt>
                <c:pt idx="5">
                  <c:v>1.2</c:v>
                </c:pt>
                <c:pt idx="6">
                  <c:v>1.2</c:v>
                </c:pt>
                <c:pt idx="7">
                  <c:v>1.2</c:v>
                </c:pt>
                <c:pt idx="8">
                  <c:v>1.2</c:v>
                </c:pt>
                <c:pt idx="9">
                  <c:v>1.2</c:v>
                </c:pt>
              </c:numCache>
            </c:numRef>
          </c:val>
          <c:smooth val="0"/>
          <c:extLst>
            <c:ext xmlns:c16="http://schemas.microsoft.com/office/drawing/2014/chart" uri="{C3380CC4-5D6E-409C-BE32-E72D297353CC}">
              <c16:uniqueId val="{00000016-9458-4377-963F-7ED57009BC7E}"/>
            </c:ext>
          </c:extLst>
        </c:ser>
        <c:ser>
          <c:idx val="23"/>
          <c:order val="23"/>
          <c:tx>
            <c:strRef>
              <c:f>Sheet1!$Y$1</c:f>
              <c:strCache>
                <c:ptCount val="1"/>
                <c:pt idx="0">
                  <c:v>Rumānija</c:v>
                </c:pt>
              </c:strCache>
            </c:strRef>
          </c:tx>
          <c:spPr>
            <a:ln w="12700" cap="rnd">
              <a:solidFill>
                <a:schemeClr val="accent6">
                  <a:lumMod val="80000"/>
                </a:schemeClr>
              </a:solidFill>
              <a:round/>
            </a:ln>
            <a:effectLst/>
          </c:spPr>
          <c:marker>
            <c:symbol val="none"/>
          </c:marker>
          <c:cat>
            <c:strRef>
              <c:f>Sheet1!$A$2:$A$11</c:f>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f>Sheet1!$Y$2:$Y$11</c:f>
              <c:numCache>
                <c:formatCode>#.##0.0</c:formatCode>
                <c:ptCount val="10"/>
                <c:pt idx="0">
                  <c:v>1.6</c:v>
                </c:pt>
                <c:pt idx="1">
                  <c:v>1.7</c:v>
                </c:pt>
                <c:pt idx="2">
                  <c:v>1.7</c:v>
                </c:pt>
                <c:pt idx="3">
                  <c:v>1.3</c:v>
                </c:pt>
                <c:pt idx="4">
                  <c:v>1.2</c:v>
                </c:pt>
                <c:pt idx="5">
                  <c:v>1.2</c:v>
                </c:pt>
                <c:pt idx="6">
                  <c:v>1.3</c:v>
                </c:pt>
                <c:pt idx="7">
                  <c:v>1.4</c:v>
                </c:pt>
                <c:pt idx="8">
                  <c:v>1.5</c:v>
                </c:pt>
                <c:pt idx="9">
                  <c:v>1.5</c:v>
                </c:pt>
              </c:numCache>
            </c:numRef>
          </c:val>
          <c:smooth val="0"/>
          <c:extLst>
            <c:ext xmlns:c16="http://schemas.microsoft.com/office/drawing/2014/chart" uri="{C3380CC4-5D6E-409C-BE32-E72D297353CC}">
              <c16:uniqueId val="{00000017-9458-4377-963F-7ED57009BC7E}"/>
            </c:ext>
          </c:extLst>
        </c:ser>
        <c:ser>
          <c:idx val="24"/>
          <c:order val="24"/>
          <c:tx>
            <c:strRef>
              <c:f>Sheet1!$Z$1</c:f>
              <c:strCache>
                <c:ptCount val="1"/>
                <c:pt idx="0">
                  <c:v>Slovēnija</c:v>
                </c:pt>
              </c:strCache>
            </c:strRef>
          </c:tx>
          <c:spPr>
            <a:ln w="12700" cap="rnd">
              <a:solidFill>
                <a:schemeClr val="accent1">
                  <a:lumMod val="60000"/>
                  <a:lumOff val="40000"/>
                </a:schemeClr>
              </a:solidFill>
              <a:round/>
            </a:ln>
            <a:effectLst/>
          </c:spPr>
          <c:marker>
            <c:symbol val="none"/>
          </c:marker>
          <c:cat>
            <c:strRef>
              <c:f>Sheet1!$A$2:$A$11</c:f>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f>Sheet1!$Z$2:$Z$11</c:f>
              <c:numCache>
                <c:formatCode>#.##0.0</c:formatCode>
                <c:ptCount val="10"/>
                <c:pt idx="0">
                  <c:v>2.1</c:v>
                </c:pt>
                <c:pt idx="1">
                  <c:v>2.1</c:v>
                </c:pt>
                <c:pt idx="2">
                  <c:v>2.1</c:v>
                </c:pt>
                <c:pt idx="3">
                  <c:v>2.1</c:v>
                </c:pt>
                <c:pt idx="4">
                  <c:v>1.9</c:v>
                </c:pt>
                <c:pt idx="5">
                  <c:v>1.8</c:v>
                </c:pt>
                <c:pt idx="6">
                  <c:v>1.8</c:v>
                </c:pt>
                <c:pt idx="7">
                  <c:v>1.7</c:v>
                </c:pt>
                <c:pt idx="8">
                  <c:v>1.8</c:v>
                </c:pt>
                <c:pt idx="9">
                  <c:v>1.8</c:v>
                </c:pt>
              </c:numCache>
            </c:numRef>
          </c:val>
          <c:smooth val="0"/>
          <c:extLst>
            <c:ext xmlns:c16="http://schemas.microsoft.com/office/drawing/2014/chart" uri="{C3380CC4-5D6E-409C-BE32-E72D297353CC}">
              <c16:uniqueId val="{00000018-9458-4377-963F-7ED57009BC7E}"/>
            </c:ext>
          </c:extLst>
        </c:ser>
        <c:ser>
          <c:idx val="25"/>
          <c:order val="25"/>
          <c:tx>
            <c:strRef>
              <c:f>Sheet1!$AA$1</c:f>
              <c:strCache>
                <c:ptCount val="1"/>
                <c:pt idx="0">
                  <c:v>Slovākija</c:v>
                </c:pt>
              </c:strCache>
            </c:strRef>
          </c:tx>
          <c:spPr>
            <a:ln w="12700" cap="rnd">
              <a:solidFill>
                <a:schemeClr val="accent2">
                  <a:lumMod val="60000"/>
                  <a:lumOff val="40000"/>
                </a:schemeClr>
              </a:solidFill>
              <a:round/>
            </a:ln>
            <a:effectLst/>
          </c:spPr>
          <c:marker>
            <c:symbol val="none"/>
          </c:marker>
          <c:cat>
            <c:strRef>
              <c:f>Sheet1!$A$2:$A$11</c:f>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f>Sheet1!$AA$2:$AA$11</c:f>
              <c:numCache>
                <c:formatCode>#.##0.0</c:formatCode>
                <c:ptCount val="10"/>
                <c:pt idx="0">
                  <c:v>1.7</c:v>
                </c:pt>
                <c:pt idx="1">
                  <c:v>1.7</c:v>
                </c:pt>
                <c:pt idx="2">
                  <c:v>1.7</c:v>
                </c:pt>
                <c:pt idx="3">
                  <c:v>1.7</c:v>
                </c:pt>
                <c:pt idx="4">
                  <c:v>1.7</c:v>
                </c:pt>
                <c:pt idx="5">
                  <c:v>1.7</c:v>
                </c:pt>
                <c:pt idx="6">
                  <c:v>1.6</c:v>
                </c:pt>
                <c:pt idx="7">
                  <c:v>1.6</c:v>
                </c:pt>
                <c:pt idx="8">
                  <c:v>1.6</c:v>
                </c:pt>
                <c:pt idx="9">
                  <c:v>1.5</c:v>
                </c:pt>
              </c:numCache>
            </c:numRef>
          </c:val>
          <c:smooth val="0"/>
          <c:extLst>
            <c:ext xmlns:c16="http://schemas.microsoft.com/office/drawing/2014/chart" uri="{C3380CC4-5D6E-409C-BE32-E72D297353CC}">
              <c16:uniqueId val="{00000019-9458-4377-963F-7ED57009BC7E}"/>
            </c:ext>
          </c:extLst>
        </c:ser>
        <c:ser>
          <c:idx val="26"/>
          <c:order val="26"/>
          <c:tx>
            <c:strRef>
              <c:f>Sheet1!$AB$1</c:f>
              <c:strCache>
                <c:ptCount val="1"/>
                <c:pt idx="0">
                  <c:v>Somija</c:v>
                </c:pt>
              </c:strCache>
            </c:strRef>
          </c:tx>
          <c:spPr>
            <a:ln w="12700" cap="rnd">
              <a:solidFill>
                <a:schemeClr val="accent3">
                  <a:lumMod val="60000"/>
                  <a:lumOff val="40000"/>
                </a:schemeClr>
              </a:solidFill>
              <a:round/>
            </a:ln>
            <a:effectLst/>
          </c:spPr>
          <c:marker>
            <c:symbol val="none"/>
          </c:marker>
          <c:cat>
            <c:strRef>
              <c:f>Sheet1!$A$2:$A$11</c:f>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f>Sheet1!$AB$2:$AB$11</c:f>
              <c:numCache>
                <c:formatCode>#.##0.0</c:formatCode>
                <c:ptCount val="10"/>
                <c:pt idx="0">
                  <c:v>3.2</c:v>
                </c:pt>
                <c:pt idx="1">
                  <c:v>3.1</c:v>
                </c:pt>
                <c:pt idx="2">
                  <c:v>3.1</c:v>
                </c:pt>
                <c:pt idx="3">
                  <c:v>3.2</c:v>
                </c:pt>
                <c:pt idx="4">
                  <c:v>3.2</c:v>
                </c:pt>
                <c:pt idx="5">
                  <c:v>3.2</c:v>
                </c:pt>
                <c:pt idx="6">
                  <c:v>3.2</c:v>
                </c:pt>
                <c:pt idx="7">
                  <c:v>3.1</c:v>
                </c:pt>
                <c:pt idx="8">
                  <c:v>2.9</c:v>
                </c:pt>
                <c:pt idx="9">
                  <c:v>2.9</c:v>
                </c:pt>
              </c:numCache>
            </c:numRef>
          </c:val>
          <c:smooth val="0"/>
          <c:extLst>
            <c:ext xmlns:c16="http://schemas.microsoft.com/office/drawing/2014/chart" uri="{C3380CC4-5D6E-409C-BE32-E72D297353CC}">
              <c16:uniqueId val="{0000001A-9458-4377-963F-7ED57009BC7E}"/>
            </c:ext>
          </c:extLst>
        </c:ser>
        <c:ser>
          <c:idx val="27"/>
          <c:order val="27"/>
          <c:tx>
            <c:strRef>
              <c:f>Sheet1!$AC$1</c:f>
              <c:strCache>
                <c:ptCount val="1"/>
                <c:pt idx="0">
                  <c:v>Zviedrija</c:v>
                </c:pt>
              </c:strCache>
            </c:strRef>
          </c:tx>
          <c:spPr>
            <a:ln w="12700" cap="rnd">
              <a:solidFill>
                <a:schemeClr val="accent4">
                  <a:lumMod val="60000"/>
                  <a:lumOff val="40000"/>
                </a:schemeClr>
              </a:solidFill>
              <a:round/>
            </a:ln>
            <a:effectLst/>
          </c:spPr>
          <c:marker>
            <c:symbol val="none"/>
          </c:marker>
          <c:cat>
            <c:strRef>
              <c:f>Sheet1!$A$2:$A$11</c:f>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f>Sheet1!$AC$2:$AC$11</c:f>
              <c:numCache>
                <c:formatCode>#.##0.0</c:formatCode>
                <c:ptCount val="10"/>
                <c:pt idx="0">
                  <c:v>3</c:v>
                </c:pt>
                <c:pt idx="1">
                  <c:v>2.9</c:v>
                </c:pt>
                <c:pt idx="2">
                  <c:v>2.9</c:v>
                </c:pt>
                <c:pt idx="3">
                  <c:v>3</c:v>
                </c:pt>
                <c:pt idx="4">
                  <c:v>3</c:v>
                </c:pt>
                <c:pt idx="5">
                  <c:v>3</c:v>
                </c:pt>
                <c:pt idx="6">
                  <c:v>2.9</c:v>
                </c:pt>
                <c:pt idx="7">
                  <c:v>3</c:v>
                </c:pt>
                <c:pt idx="8">
                  <c:v>2.9</c:v>
                </c:pt>
                <c:pt idx="9">
                  <c:v>2.9</c:v>
                </c:pt>
              </c:numCache>
            </c:numRef>
          </c:val>
          <c:smooth val="0"/>
          <c:extLst>
            <c:ext xmlns:c16="http://schemas.microsoft.com/office/drawing/2014/chart" uri="{C3380CC4-5D6E-409C-BE32-E72D297353CC}">
              <c16:uniqueId val="{0000001B-9458-4377-963F-7ED57009BC7E}"/>
            </c:ext>
          </c:extLst>
        </c:ser>
        <c:dLbls>
          <c:showLegendKey val="0"/>
          <c:showVal val="0"/>
          <c:showCatName val="0"/>
          <c:showSerName val="0"/>
          <c:showPercent val="0"/>
          <c:showBubbleSize val="0"/>
        </c:dLbls>
        <c:smooth val="0"/>
        <c:axId val="106786816"/>
        <c:axId val="106788352"/>
      </c:lineChart>
      <c:catAx>
        <c:axId val="106786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788352"/>
        <c:crosses val="autoZero"/>
        <c:auto val="1"/>
        <c:lblAlgn val="ctr"/>
        <c:lblOffset val="100"/>
        <c:noMultiLvlLbl val="0"/>
      </c:catAx>
      <c:valAx>
        <c:axId val="106788352"/>
        <c:scaling>
          <c:orientation val="minMax"/>
          <c:min val="0.5"/>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786816"/>
        <c:crosses val="autoZero"/>
        <c:crossBetween val="between"/>
      </c:valAx>
      <c:spPr>
        <a:noFill/>
        <a:ln>
          <a:noFill/>
        </a:ln>
        <a:effectLst/>
      </c:spPr>
    </c:plotArea>
    <c:legend>
      <c:legendPos val="b"/>
      <c:layout>
        <c:manualLayout>
          <c:xMode val="edge"/>
          <c:yMode val="edge"/>
          <c:x val="5.9229184893554991E-2"/>
          <c:y val="0.72817085364329459"/>
          <c:w val="0.91163404053659958"/>
          <c:h val="0.248019622547181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793652916262589"/>
          <c:y val="5.9880952380952389E-2"/>
          <c:w val="0.8249709795266601"/>
          <c:h val="0.85904581634777366"/>
        </c:manualLayout>
      </c:layout>
      <c:scatterChart>
        <c:scatterStyle val="lineMarker"/>
        <c:varyColors val="0"/>
        <c:ser>
          <c:idx val="0"/>
          <c:order val="0"/>
          <c:tx>
            <c:strRef>
              <c:f>Sheet1!$B$1</c:f>
              <c:strCache>
                <c:ptCount val="1"/>
                <c:pt idx="0">
                  <c:v>Y-Values</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Sheet1!$A$2:$A$28</c:f>
              <c:numCache>
                <c:formatCode>General</c:formatCode>
                <c:ptCount val="27"/>
                <c:pt idx="0">
                  <c:v>6.3</c:v>
                </c:pt>
                <c:pt idx="1">
                  <c:v>16.899999999999999</c:v>
                </c:pt>
                <c:pt idx="2">
                  <c:v>1.4</c:v>
                </c:pt>
                <c:pt idx="3">
                  <c:v>31.8</c:v>
                </c:pt>
                <c:pt idx="4">
                  <c:v>19.7</c:v>
                </c:pt>
                <c:pt idx="5">
                  <c:v>31.3</c:v>
                </c:pt>
                <c:pt idx="6">
                  <c:v>38.299999999999997</c:v>
                </c:pt>
                <c:pt idx="7">
                  <c:v>10.199999999999999</c:v>
                </c:pt>
                <c:pt idx="8">
                  <c:v>37.700000000000003</c:v>
                </c:pt>
                <c:pt idx="9">
                  <c:v>38.200000000000003</c:v>
                </c:pt>
                <c:pt idx="10">
                  <c:v>14.1</c:v>
                </c:pt>
                <c:pt idx="11">
                  <c:v>31.1</c:v>
                </c:pt>
                <c:pt idx="12">
                  <c:v>50</c:v>
                </c:pt>
                <c:pt idx="13">
                  <c:v>22.7</c:v>
                </c:pt>
                <c:pt idx="14">
                  <c:v>57.4</c:v>
                </c:pt>
                <c:pt idx="15">
                  <c:v>25.7</c:v>
                </c:pt>
                <c:pt idx="16">
                  <c:v>55.5</c:v>
                </c:pt>
                <c:pt idx="17">
                  <c:v>26.6</c:v>
                </c:pt>
                <c:pt idx="18">
                  <c:v>32.4</c:v>
                </c:pt>
                <c:pt idx="19">
                  <c:v>28.3</c:v>
                </c:pt>
                <c:pt idx="20">
                  <c:v>60</c:v>
                </c:pt>
                <c:pt idx="21">
                  <c:v>64.8</c:v>
                </c:pt>
                <c:pt idx="22">
                  <c:v>66</c:v>
                </c:pt>
                <c:pt idx="23">
                  <c:v>15.7</c:v>
                </c:pt>
                <c:pt idx="24">
                  <c:v>46.9</c:v>
                </c:pt>
                <c:pt idx="25">
                  <c:v>52.9</c:v>
                </c:pt>
                <c:pt idx="26">
                  <c:v>53.1</c:v>
                </c:pt>
              </c:numCache>
            </c:numRef>
          </c:xVal>
          <c:yVal>
            <c:numRef>
              <c:f>Sheet1!$B$2:$B$28</c:f>
              <c:numCache>
                <c:formatCode>General</c:formatCode>
                <c:ptCount val="27"/>
                <c:pt idx="0">
                  <c:v>-45.3</c:v>
                </c:pt>
                <c:pt idx="1">
                  <c:v>-44</c:v>
                </c:pt>
                <c:pt idx="2">
                  <c:v>-43.3</c:v>
                </c:pt>
                <c:pt idx="3">
                  <c:v>-29.3</c:v>
                </c:pt>
                <c:pt idx="4">
                  <c:v>-22.3</c:v>
                </c:pt>
                <c:pt idx="5">
                  <c:v>-21.7</c:v>
                </c:pt>
                <c:pt idx="6">
                  <c:v>-19.7</c:v>
                </c:pt>
                <c:pt idx="7">
                  <c:v>-19.2</c:v>
                </c:pt>
                <c:pt idx="8">
                  <c:v>-16.7</c:v>
                </c:pt>
                <c:pt idx="9">
                  <c:v>-16.3</c:v>
                </c:pt>
                <c:pt idx="10">
                  <c:v>-15.9</c:v>
                </c:pt>
                <c:pt idx="11">
                  <c:v>-13.1</c:v>
                </c:pt>
                <c:pt idx="12">
                  <c:v>-12</c:v>
                </c:pt>
                <c:pt idx="13">
                  <c:v>-11</c:v>
                </c:pt>
                <c:pt idx="14">
                  <c:v>-10.6</c:v>
                </c:pt>
                <c:pt idx="15">
                  <c:v>-9.9</c:v>
                </c:pt>
                <c:pt idx="16">
                  <c:v>-7.7</c:v>
                </c:pt>
                <c:pt idx="17">
                  <c:v>-7.2</c:v>
                </c:pt>
                <c:pt idx="18">
                  <c:v>-6</c:v>
                </c:pt>
                <c:pt idx="19">
                  <c:v>-5.9</c:v>
                </c:pt>
                <c:pt idx="20">
                  <c:v>-5.2</c:v>
                </c:pt>
                <c:pt idx="21">
                  <c:v>-4.5</c:v>
                </c:pt>
                <c:pt idx="22">
                  <c:v>0</c:v>
                </c:pt>
                <c:pt idx="23">
                  <c:v>0.4</c:v>
                </c:pt>
                <c:pt idx="24">
                  <c:v>0.8</c:v>
                </c:pt>
                <c:pt idx="25">
                  <c:v>1.4</c:v>
                </c:pt>
                <c:pt idx="26">
                  <c:v>5.7</c:v>
                </c:pt>
              </c:numCache>
            </c:numRef>
          </c:yVal>
          <c:smooth val="0"/>
          <c:extLst>
            <c:ext xmlns:c16="http://schemas.microsoft.com/office/drawing/2014/chart" uri="{C3380CC4-5D6E-409C-BE32-E72D297353CC}">
              <c16:uniqueId val="{00000001-6EC3-4EDC-B221-DDB1E06BEA2D}"/>
            </c:ext>
          </c:extLst>
        </c:ser>
        <c:dLbls>
          <c:showLegendKey val="0"/>
          <c:showVal val="0"/>
          <c:showCatName val="0"/>
          <c:showSerName val="0"/>
          <c:showPercent val="0"/>
          <c:showBubbleSize val="0"/>
        </c:dLbls>
        <c:axId val="106903424"/>
        <c:axId val="106909696"/>
      </c:scatterChart>
      <c:valAx>
        <c:axId val="10690342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lv-LV" sz="900"/>
                  <a:t>Uzņemšana agrīnajā izglītībā un aprūpē; bērni līdz 3 gadu vecumam</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909696"/>
        <c:crosses val="autoZero"/>
        <c:crossBetween val="midCat"/>
      </c:valAx>
      <c:valAx>
        <c:axId val="1069096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lv-LV" sz="900"/>
                  <a:t>Bērnu audzināšanas ietekme uz (sieviešu) nodarbinātību</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90342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Sheet1!$D$4</c:f>
              <c:strCache>
                <c:ptCount val="1"/>
                <c:pt idx="0">
                  <c:v>Viena persona ar aprūpējamiem bērniem</c:v>
                </c:pt>
              </c:strCache>
            </c:strRef>
          </c:tx>
          <c:spPr>
            <a:solidFill>
              <a:srgbClr val="00B050"/>
            </a:solidFill>
            <a:ln w="28575" cap="rnd">
              <a:no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B05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Sheet1!$B$5:$B$32</c:f>
              <c:strCache>
                <c:ptCount val="28"/>
                <c:pt idx="0">
                  <c:v>27 ES dalībvalstis (2020)</c:v>
                </c:pt>
                <c:pt idx="1">
                  <c:v>Beļģija</c:v>
                </c:pt>
                <c:pt idx="2">
                  <c:v>Bulgārija</c:v>
                </c:pt>
                <c:pt idx="3">
                  <c:v>Čehija</c:v>
                </c:pt>
                <c:pt idx="4">
                  <c:v>Dānija</c:v>
                </c:pt>
                <c:pt idx="5">
                  <c:v>Vācija </c:v>
                </c:pt>
                <c:pt idx="6">
                  <c:v>Igaunija</c:v>
                </c:pt>
                <c:pt idx="7">
                  <c:v>Īrija</c:v>
                </c:pt>
                <c:pt idx="8">
                  <c:v>Grieķija</c:v>
                </c:pt>
                <c:pt idx="9">
                  <c:v>Spānija</c:v>
                </c:pt>
                <c:pt idx="10">
                  <c:v>Francija</c:v>
                </c:pt>
                <c:pt idx="11">
                  <c:v>Horvātija</c:v>
                </c:pt>
                <c:pt idx="12">
                  <c:v>Itālija</c:v>
                </c:pt>
                <c:pt idx="13">
                  <c:v>Kipra</c:v>
                </c:pt>
                <c:pt idx="14">
                  <c:v>Latvija</c:v>
                </c:pt>
                <c:pt idx="15">
                  <c:v>Lietuva</c:v>
                </c:pt>
                <c:pt idx="16">
                  <c:v>Luksemburga</c:v>
                </c:pt>
                <c:pt idx="17">
                  <c:v>Ungārija</c:v>
                </c:pt>
                <c:pt idx="18">
                  <c:v>Malta</c:v>
                </c:pt>
                <c:pt idx="19">
                  <c:v>Nīderlande</c:v>
                </c:pt>
                <c:pt idx="20">
                  <c:v>Austrija</c:v>
                </c:pt>
                <c:pt idx="21">
                  <c:v>Polija</c:v>
                </c:pt>
                <c:pt idx="22">
                  <c:v>Portugāle</c:v>
                </c:pt>
                <c:pt idx="23">
                  <c:v>Rumānija</c:v>
                </c:pt>
                <c:pt idx="24">
                  <c:v>Slovēnija</c:v>
                </c:pt>
                <c:pt idx="25">
                  <c:v>Slovākija</c:v>
                </c:pt>
                <c:pt idx="26">
                  <c:v>Somija</c:v>
                </c:pt>
                <c:pt idx="27">
                  <c:v>Zviedrija</c:v>
                </c:pt>
              </c:strCache>
            </c:strRef>
          </c:cat>
          <c:val>
            <c:numRef>
              <c:f>Sheet1!$D$5:$D$32</c:f>
              <c:numCache>
                <c:formatCode>#,##0</c:formatCode>
                <c:ptCount val="28"/>
                <c:pt idx="0">
                  <c:v>18</c:v>
                </c:pt>
                <c:pt idx="1">
                  <c:v>8</c:v>
                </c:pt>
                <c:pt idx="2">
                  <c:v>12</c:v>
                </c:pt>
                <c:pt idx="3">
                  <c:v>10</c:v>
                </c:pt>
                <c:pt idx="4">
                  <c:v>9</c:v>
                </c:pt>
                <c:pt idx="5">
                  <c:v>16</c:v>
                </c:pt>
                <c:pt idx="6">
                  <c:v>31</c:v>
                </c:pt>
                <c:pt idx="7">
                  <c:v>25</c:v>
                </c:pt>
                <c:pt idx="8">
                  <c:v>69</c:v>
                </c:pt>
                <c:pt idx="9">
                  <c:v>29</c:v>
                </c:pt>
                <c:pt idx="10">
                  <c:v>11</c:v>
                </c:pt>
                <c:pt idx="11">
                  <c:v>19</c:v>
                </c:pt>
                <c:pt idx="12">
                  <c:v>16</c:v>
                </c:pt>
                <c:pt idx="13">
                  <c:v>74</c:v>
                </c:pt>
                <c:pt idx="14">
                  <c:v>20</c:v>
                </c:pt>
                <c:pt idx="15">
                  <c:v>8</c:v>
                </c:pt>
                <c:pt idx="16">
                  <c:v>20</c:v>
                </c:pt>
                <c:pt idx="17">
                  <c:v>17</c:v>
                </c:pt>
                <c:pt idx="18">
                  <c:v>67</c:v>
                </c:pt>
                <c:pt idx="19">
                  <c:v>26</c:v>
                </c:pt>
                <c:pt idx="20">
                  <c:v>32</c:v>
                </c:pt>
                <c:pt idx="21">
                  <c:v>21</c:v>
                </c:pt>
                <c:pt idx="22">
                  <c:v>38</c:v>
                </c:pt>
                <c:pt idx="23">
                  <c:v>6</c:v>
                </c:pt>
                <c:pt idx="24">
                  <c:v>18</c:v>
                </c:pt>
                <c:pt idx="25">
                  <c:v>12</c:v>
                </c:pt>
                <c:pt idx="26">
                  <c:v>2</c:v>
                </c:pt>
                <c:pt idx="27">
                  <c:v>1</c:v>
                </c:pt>
              </c:numCache>
            </c:numRef>
          </c:val>
          <c:extLst>
            <c:ext xmlns:c16="http://schemas.microsoft.com/office/drawing/2014/chart" uri="{C3380CC4-5D6E-409C-BE32-E72D297353CC}">
              <c16:uniqueId val="{00000000-9C26-4C28-8CC6-73C2652A26A9}"/>
            </c:ext>
          </c:extLst>
        </c:ser>
        <c:ser>
          <c:idx val="3"/>
          <c:order val="1"/>
          <c:tx>
            <c:strRef>
              <c:f>Sheet1!$F$4</c:f>
              <c:strCache>
                <c:ptCount val="1"/>
                <c:pt idx="0">
                  <c:v>Divi pieaugušie ar aprūpējamiem bērniem</c:v>
                </c:pt>
              </c:strCache>
            </c:strRef>
          </c:tx>
          <c:spPr>
            <a:solidFill>
              <a:srgbClr val="F79646">
                <a:lumMod val="60000"/>
                <a:lumOff val="40000"/>
              </a:srgbClr>
            </a:solidFill>
            <a:ln w="28575" cap="rnd">
              <a:no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6">
                        <a:lumMod val="7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Sheet1!$B$5:$B$32</c:f>
              <c:strCache>
                <c:ptCount val="28"/>
                <c:pt idx="0">
                  <c:v>27 ES dalībvalstis (2020)</c:v>
                </c:pt>
                <c:pt idx="1">
                  <c:v>Beļģija</c:v>
                </c:pt>
                <c:pt idx="2">
                  <c:v>Bulgārija</c:v>
                </c:pt>
                <c:pt idx="3">
                  <c:v>Čehija</c:v>
                </c:pt>
                <c:pt idx="4">
                  <c:v>Dānija</c:v>
                </c:pt>
                <c:pt idx="5">
                  <c:v>Vācija </c:v>
                </c:pt>
                <c:pt idx="6">
                  <c:v>Igaunija</c:v>
                </c:pt>
                <c:pt idx="7">
                  <c:v>Īrija</c:v>
                </c:pt>
                <c:pt idx="8">
                  <c:v>Grieķija</c:v>
                </c:pt>
                <c:pt idx="9">
                  <c:v>Spānija</c:v>
                </c:pt>
                <c:pt idx="10">
                  <c:v>Francija</c:v>
                </c:pt>
                <c:pt idx="11">
                  <c:v>Horvātija</c:v>
                </c:pt>
                <c:pt idx="12">
                  <c:v>Itālija</c:v>
                </c:pt>
                <c:pt idx="13">
                  <c:v>Kipra</c:v>
                </c:pt>
                <c:pt idx="14">
                  <c:v>Latvija</c:v>
                </c:pt>
                <c:pt idx="15">
                  <c:v>Lietuva</c:v>
                </c:pt>
                <c:pt idx="16">
                  <c:v>Luksemburga</c:v>
                </c:pt>
                <c:pt idx="17">
                  <c:v>Ungārija</c:v>
                </c:pt>
                <c:pt idx="18">
                  <c:v>Malta</c:v>
                </c:pt>
                <c:pt idx="19">
                  <c:v>Nīderlande</c:v>
                </c:pt>
                <c:pt idx="20">
                  <c:v>Austrija</c:v>
                </c:pt>
                <c:pt idx="21">
                  <c:v>Polija</c:v>
                </c:pt>
                <c:pt idx="22">
                  <c:v>Portugāle</c:v>
                </c:pt>
                <c:pt idx="23">
                  <c:v>Rumānija</c:v>
                </c:pt>
                <c:pt idx="24">
                  <c:v>Slovēnija</c:v>
                </c:pt>
                <c:pt idx="25">
                  <c:v>Slovākija</c:v>
                </c:pt>
                <c:pt idx="26">
                  <c:v>Somija</c:v>
                </c:pt>
                <c:pt idx="27">
                  <c:v>Zviedrija</c:v>
                </c:pt>
              </c:strCache>
            </c:strRef>
          </c:cat>
          <c:val>
            <c:numRef>
              <c:f>Sheet1!$F$5:$F$32</c:f>
              <c:numCache>
                <c:formatCode>#,##0</c:formatCode>
                <c:ptCount val="28"/>
                <c:pt idx="0">
                  <c:v>17</c:v>
                </c:pt>
                <c:pt idx="1">
                  <c:v>7</c:v>
                </c:pt>
                <c:pt idx="2">
                  <c:v>11</c:v>
                </c:pt>
                <c:pt idx="3">
                  <c:v>12</c:v>
                </c:pt>
                <c:pt idx="4">
                  <c:v>7</c:v>
                </c:pt>
                <c:pt idx="5">
                  <c:v>18</c:v>
                </c:pt>
                <c:pt idx="6">
                  <c:v>21</c:v>
                </c:pt>
                <c:pt idx="7">
                  <c:v>21</c:v>
                </c:pt>
                <c:pt idx="8">
                  <c:v>64</c:v>
                </c:pt>
                <c:pt idx="9">
                  <c:v>28</c:v>
                </c:pt>
                <c:pt idx="10">
                  <c:v>11</c:v>
                </c:pt>
                <c:pt idx="11">
                  <c:v>16</c:v>
                </c:pt>
                <c:pt idx="12">
                  <c:v>12</c:v>
                </c:pt>
                <c:pt idx="13">
                  <c:v>65</c:v>
                </c:pt>
                <c:pt idx="14">
                  <c:v>18</c:v>
                </c:pt>
                <c:pt idx="15">
                  <c:v>13</c:v>
                </c:pt>
                <c:pt idx="16">
                  <c:v>11</c:v>
                </c:pt>
                <c:pt idx="17">
                  <c:v>13</c:v>
                </c:pt>
                <c:pt idx="18">
                  <c:v>49</c:v>
                </c:pt>
                <c:pt idx="19">
                  <c:v>19</c:v>
                </c:pt>
                <c:pt idx="20">
                  <c:v>21</c:v>
                </c:pt>
                <c:pt idx="21">
                  <c:v>17</c:v>
                </c:pt>
                <c:pt idx="22">
                  <c:v>41</c:v>
                </c:pt>
                <c:pt idx="23">
                  <c:v>8</c:v>
                </c:pt>
                <c:pt idx="24">
                  <c:v>18</c:v>
                </c:pt>
                <c:pt idx="25">
                  <c:v>9</c:v>
                </c:pt>
                <c:pt idx="26">
                  <c:v>1</c:v>
                </c:pt>
                <c:pt idx="27">
                  <c:v>6</c:v>
                </c:pt>
              </c:numCache>
            </c:numRef>
          </c:val>
          <c:extLst>
            <c:ext xmlns:c16="http://schemas.microsoft.com/office/drawing/2014/chart" uri="{C3380CC4-5D6E-409C-BE32-E72D297353CC}">
              <c16:uniqueId val="{00000001-9C26-4C28-8CC6-73C2652A26A9}"/>
            </c:ext>
          </c:extLst>
        </c:ser>
        <c:dLbls>
          <c:showLegendKey val="0"/>
          <c:showVal val="0"/>
          <c:showCatName val="0"/>
          <c:showSerName val="0"/>
          <c:showPercent val="0"/>
          <c:showBubbleSize val="0"/>
        </c:dLbls>
        <c:gapWidth val="150"/>
        <c:axId val="107329408"/>
        <c:axId val="107330944"/>
      </c:barChart>
      <c:catAx>
        <c:axId val="107329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07330944"/>
        <c:crosses val="autoZero"/>
        <c:auto val="1"/>
        <c:lblAlgn val="ctr"/>
        <c:lblOffset val="100"/>
        <c:noMultiLvlLbl val="0"/>
      </c:catAx>
      <c:valAx>
        <c:axId val="1073309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329408"/>
        <c:crosses val="autoZero"/>
        <c:crossBetween val="between"/>
      </c:valAx>
      <c:spPr>
        <a:noFill/>
        <a:ln>
          <a:noFill/>
        </a:ln>
        <a:effectLst/>
      </c:spPr>
    </c:plotArea>
    <c:legend>
      <c:legendPos val="tr"/>
      <c:layout>
        <c:manualLayout>
          <c:xMode val="edge"/>
          <c:yMode val="edge"/>
          <c:x val="0.78059082327627705"/>
          <c:y val="5.8083252662149081E-2"/>
          <c:w val="0.19814389230054377"/>
          <c:h val="0.17788110464894694"/>
        </c:manualLayout>
      </c:layout>
      <c:overlay val="1"/>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3029057208556898E-2"/>
          <c:y val="4.3650793650793648E-2"/>
          <c:w val="0.92263465960560243"/>
          <c:h val="0.7063016773758084"/>
        </c:manualLayout>
      </c:layout>
      <c:barChart>
        <c:barDir val="col"/>
        <c:grouping val="clustered"/>
        <c:varyColors val="0"/>
        <c:ser>
          <c:idx val="1"/>
          <c:order val="0"/>
          <c:tx>
            <c:strRef>
              <c:f>Sheet1!$C$1</c:f>
              <c:strCache>
                <c:ptCount val="1"/>
                <c:pt idx="0">
                  <c:v>Zēni</c:v>
                </c:pt>
              </c:strCache>
            </c:strRef>
          </c:tx>
          <c:spPr>
            <a:solidFill>
              <a:srgbClr val="0070C0"/>
            </a:solidFill>
            <a:ln>
              <a:noFill/>
            </a:ln>
            <a:effectLst/>
          </c:spPr>
          <c:invertIfNegative val="0"/>
          <c:cat>
            <c:strRef>
              <c:f>Sheet1!$A$2:$A$29</c:f>
              <c:strCache>
                <c:ptCount val="28"/>
                <c:pt idx="0">
                  <c:v>Kipra</c:v>
                </c:pt>
                <c:pt idx="1">
                  <c:v>Grieķija</c:v>
                </c:pt>
                <c:pt idx="2">
                  <c:v>Zviedrija</c:v>
                </c:pt>
                <c:pt idx="3">
                  <c:v>Dānija</c:v>
                </c:pt>
                <c:pt idx="4">
                  <c:v>Francija</c:v>
                </c:pt>
                <c:pt idx="5">
                  <c:v>Spānija</c:v>
                </c:pt>
                <c:pt idx="6">
                  <c:v>Malta</c:v>
                </c:pt>
                <c:pt idx="7">
                  <c:v>Portugāle</c:v>
                </c:pt>
                <c:pt idx="8">
                  <c:v>Somija</c:v>
                </c:pt>
                <c:pt idx="9">
                  <c:v>27 ES dalībvalstis</c:v>
                </c:pt>
                <c:pt idx="10">
                  <c:v>Slovēnija</c:v>
                </c:pt>
                <c:pt idx="11">
                  <c:v>Austrija</c:v>
                </c:pt>
                <c:pt idx="12">
                  <c:v>Igaunija</c:v>
                </c:pt>
                <c:pt idx="13">
                  <c:v>Itālija</c:v>
                </c:pt>
                <c:pt idx="14">
                  <c:v>Īrija</c:v>
                </c:pt>
                <c:pt idx="15">
                  <c:v>Luksemburga*</c:v>
                </c:pt>
                <c:pt idx="16">
                  <c:v>Rumānija</c:v>
                </c:pt>
                <c:pt idx="17">
                  <c:v>Čehija</c:v>
                </c:pt>
                <c:pt idx="18">
                  <c:v>Lietuva*</c:v>
                </c:pt>
                <c:pt idx="19">
                  <c:v>Polija</c:v>
                </c:pt>
                <c:pt idx="20">
                  <c:v>Ungārija</c:v>
                </c:pt>
                <c:pt idx="21">
                  <c:v>Beļģija</c:v>
                </c:pt>
                <c:pt idx="22">
                  <c:v>Latvija*</c:v>
                </c:pt>
                <c:pt idx="23">
                  <c:v>Bulgārija*</c:v>
                </c:pt>
                <c:pt idx="24">
                  <c:v>Horvātija*</c:v>
                </c:pt>
                <c:pt idx="25">
                  <c:v>Vācija</c:v>
                </c:pt>
                <c:pt idx="26">
                  <c:v>Nīderlande</c:v>
                </c:pt>
                <c:pt idx="27">
                  <c:v>Slovākija*</c:v>
                </c:pt>
              </c:strCache>
            </c:strRef>
          </c:cat>
          <c:val>
            <c:numRef>
              <c:f>Sheet1!$C$2:$C$29</c:f>
              <c:numCache>
                <c:formatCode>#.##0.0</c:formatCode>
                <c:ptCount val="28"/>
                <c:pt idx="0">
                  <c:v>43.7</c:v>
                </c:pt>
                <c:pt idx="1">
                  <c:v>38.299999999999997</c:v>
                </c:pt>
                <c:pt idx="2">
                  <c:v>38.6</c:v>
                </c:pt>
                <c:pt idx="3">
                  <c:v>28.5</c:v>
                </c:pt>
                <c:pt idx="4">
                  <c:v>29.8</c:v>
                </c:pt>
                <c:pt idx="5">
                  <c:v>27.5</c:v>
                </c:pt>
                <c:pt idx="6">
                  <c:v>23.7</c:v>
                </c:pt>
                <c:pt idx="7">
                  <c:v>19.2</c:v>
                </c:pt>
                <c:pt idx="8">
                  <c:v>14</c:v>
                </c:pt>
                <c:pt idx="9">
                  <c:v>14.1</c:v>
                </c:pt>
                <c:pt idx="10">
                  <c:v>14.5</c:v>
                </c:pt>
                <c:pt idx="11">
                  <c:v>12.6</c:v>
                </c:pt>
                <c:pt idx="12">
                  <c:v>8.3000000000000007</c:v>
                </c:pt>
                <c:pt idx="13">
                  <c:v>10</c:v>
                </c:pt>
                <c:pt idx="14">
                  <c:v>8.5</c:v>
                </c:pt>
                <c:pt idx="15">
                  <c:v>7.9</c:v>
                </c:pt>
                <c:pt idx="16">
                  <c:v>5.6</c:v>
                </c:pt>
                <c:pt idx="17">
                  <c:v>5.5</c:v>
                </c:pt>
                <c:pt idx="18">
                  <c:v>5.3</c:v>
                </c:pt>
                <c:pt idx="19">
                  <c:v>5</c:v>
                </c:pt>
                <c:pt idx="20">
                  <c:v>3.8</c:v>
                </c:pt>
                <c:pt idx="21">
                  <c:v>3.2</c:v>
                </c:pt>
                <c:pt idx="22" formatCode="General">
                  <c:v>2.5</c:v>
                </c:pt>
                <c:pt idx="23">
                  <c:v>2.1</c:v>
                </c:pt>
                <c:pt idx="24">
                  <c:v>1.5</c:v>
                </c:pt>
                <c:pt idx="25">
                  <c:v>1.5</c:v>
                </c:pt>
                <c:pt idx="26">
                  <c:v>1.6</c:v>
                </c:pt>
                <c:pt idx="27" formatCode="General">
                  <c:v>1.1000000000000001</c:v>
                </c:pt>
              </c:numCache>
            </c:numRef>
          </c:val>
          <c:extLst>
            <c:ext xmlns:c16="http://schemas.microsoft.com/office/drawing/2014/chart" uri="{C3380CC4-5D6E-409C-BE32-E72D297353CC}">
              <c16:uniqueId val="{00000000-EF11-4B59-BAF0-F8CCA93C8F31}"/>
            </c:ext>
          </c:extLst>
        </c:ser>
        <c:ser>
          <c:idx val="2"/>
          <c:order val="1"/>
          <c:tx>
            <c:strRef>
              <c:f>Sheet1!$D$1</c:f>
              <c:strCache>
                <c:ptCount val="1"/>
                <c:pt idx="0">
                  <c:v>Meitenes</c:v>
                </c:pt>
              </c:strCache>
            </c:strRef>
          </c:tx>
          <c:spPr>
            <a:solidFill>
              <a:srgbClr val="FF0066"/>
            </a:solidFill>
            <a:ln>
              <a:noFill/>
            </a:ln>
            <a:effectLst/>
          </c:spPr>
          <c:invertIfNegative val="0"/>
          <c:cat>
            <c:strRef>
              <c:f>Sheet1!$A$2:$A$29</c:f>
              <c:strCache>
                <c:ptCount val="28"/>
                <c:pt idx="0">
                  <c:v>Kipra</c:v>
                </c:pt>
                <c:pt idx="1">
                  <c:v>Grieķija</c:v>
                </c:pt>
                <c:pt idx="2">
                  <c:v>Zviedrija</c:v>
                </c:pt>
                <c:pt idx="3">
                  <c:v>Dānija</c:v>
                </c:pt>
                <c:pt idx="4">
                  <c:v>Francija</c:v>
                </c:pt>
                <c:pt idx="5">
                  <c:v>Spānija</c:v>
                </c:pt>
                <c:pt idx="6">
                  <c:v>Malta</c:v>
                </c:pt>
                <c:pt idx="7">
                  <c:v>Portugāle</c:v>
                </c:pt>
                <c:pt idx="8">
                  <c:v>Somija</c:v>
                </c:pt>
                <c:pt idx="9">
                  <c:v>27 ES dalībvalstis</c:v>
                </c:pt>
                <c:pt idx="10">
                  <c:v>Slovēnija</c:v>
                </c:pt>
                <c:pt idx="11">
                  <c:v>Austrija</c:v>
                </c:pt>
                <c:pt idx="12">
                  <c:v>Igaunija</c:v>
                </c:pt>
                <c:pt idx="13">
                  <c:v>Itālija</c:v>
                </c:pt>
                <c:pt idx="14">
                  <c:v>Īrija</c:v>
                </c:pt>
                <c:pt idx="15">
                  <c:v>Luksemburga*</c:v>
                </c:pt>
                <c:pt idx="16">
                  <c:v>Rumānija</c:v>
                </c:pt>
                <c:pt idx="17">
                  <c:v>Čehija</c:v>
                </c:pt>
                <c:pt idx="18">
                  <c:v>Lietuva*</c:v>
                </c:pt>
                <c:pt idx="19">
                  <c:v>Polija</c:v>
                </c:pt>
                <c:pt idx="20">
                  <c:v>Ungārija</c:v>
                </c:pt>
                <c:pt idx="21">
                  <c:v>Beļģija</c:v>
                </c:pt>
                <c:pt idx="22">
                  <c:v>Latvija*</c:v>
                </c:pt>
                <c:pt idx="23">
                  <c:v>Bulgārija*</c:v>
                </c:pt>
                <c:pt idx="24">
                  <c:v>Horvātija*</c:v>
                </c:pt>
                <c:pt idx="25">
                  <c:v>Vācija</c:v>
                </c:pt>
                <c:pt idx="26">
                  <c:v>Nīderlande</c:v>
                </c:pt>
                <c:pt idx="27">
                  <c:v>Slovākija*</c:v>
                </c:pt>
              </c:strCache>
            </c:strRef>
          </c:cat>
          <c:val>
            <c:numRef>
              <c:f>Sheet1!$D$2:$D$29</c:f>
              <c:numCache>
                <c:formatCode>#.##0.0</c:formatCode>
                <c:ptCount val="28"/>
                <c:pt idx="0">
                  <c:v>49.3</c:v>
                </c:pt>
                <c:pt idx="1">
                  <c:v>43.8</c:v>
                </c:pt>
                <c:pt idx="2">
                  <c:v>40.799999999999997</c:v>
                </c:pt>
                <c:pt idx="3">
                  <c:v>29</c:v>
                </c:pt>
                <c:pt idx="4">
                  <c:v>27.2</c:v>
                </c:pt>
                <c:pt idx="5">
                  <c:v>28.1</c:v>
                </c:pt>
                <c:pt idx="6">
                  <c:v>30.7</c:v>
                </c:pt>
                <c:pt idx="7">
                  <c:v>19.399999999999999</c:v>
                </c:pt>
                <c:pt idx="8">
                  <c:v>17.7</c:v>
                </c:pt>
                <c:pt idx="9">
                  <c:v>14.1</c:v>
                </c:pt>
                <c:pt idx="10">
                  <c:v>13.4</c:v>
                </c:pt>
                <c:pt idx="11">
                  <c:v>13.4</c:v>
                </c:pt>
                <c:pt idx="12">
                  <c:v>10.7</c:v>
                </c:pt>
                <c:pt idx="13">
                  <c:v>8.9</c:v>
                </c:pt>
                <c:pt idx="14">
                  <c:v>10</c:v>
                </c:pt>
                <c:pt idx="15">
                  <c:v>6.2</c:v>
                </c:pt>
                <c:pt idx="16">
                  <c:v>6.6</c:v>
                </c:pt>
                <c:pt idx="17">
                  <c:v>6.3</c:v>
                </c:pt>
                <c:pt idx="18">
                  <c:v>5.7</c:v>
                </c:pt>
                <c:pt idx="19">
                  <c:v>5.7</c:v>
                </c:pt>
                <c:pt idx="20">
                  <c:v>3.2</c:v>
                </c:pt>
                <c:pt idx="21">
                  <c:v>3.1</c:v>
                </c:pt>
                <c:pt idx="22" formatCode="General">
                  <c:v>2.5</c:v>
                </c:pt>
                <c:pt idx="23">
                  <c:v>2.5</c:v>
                </c:pt>
                <c:pt idx="24">
                  <c:v>2.2999999999999998</c:v>
                </c:pt>
                <c:pt idx="25">
                  <c:v>1.5</c:v>
                </c:pt>
                <c:pt idx="26">
                  <c:v>1.5</c:v>
                </c:pt>
                <c:pt idx="27" formatCode="General">
                  <c:v>1.1000000000000001</c:v>
                </c:pt>
              </c:numCache>
            </c:numRef>
          </c:val>
          <c:extLst>
            <c:ext xmlns:c16="http://schemas.microsoft.com/office/drawing/2014/chart" uri="{C3380CC4-5D6E-409C-BE32-E72D297353CC}">
              <c16:uniqueId val="{00000001-EF11-4B59-BAF0-F8CCA93C8F31}"/>
            </c:ext>
          </c:extLst>
        </c:ser>
        <c:dLbls>
          <c:showLegendKey val="0"/>
          <c:showVal val="0"/>
          <c:showCatName val="0"/>
          <c:showSerName val="0"/>
          <c:showPercent val="0"/>
          <c:showBubbleSize val="0"/>
        </c:dLbls>
        <c:gapWidth val="150"/>
        <c:overlap val="-5"/>
        <c:axId val="108659456"/>
        <c:axId val="108660992"/>
      </c:barChart>
      <c:catAx>
        <c:axId val="108659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08660992"/>
        <c:crosses val="autoZero"/>
        <c:auto val="1"/>
        <c:lblAlgn val="ctr"/>
        <c:lblOffset val="100"/>
        <c:noMultiLvlLbl val="0"/>
      </c:catAx>
      <c:valAx>
        <c:axId val="108660992"/>
        <c:scaling>
          <c:orientation val="minMax"/>
          <c:max val="5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659456"/>
        <c:crosses val="autoZero"/>
        <c:crossBetween val="between"/>
      </c:valAx>
      <c:spPr>
        <a:noFill/>
        <a:ln>
          <a:noFill/>
        </a:ln>
        <a:effectLst/>
      </c:spPr>
    </c:plotArea>
    <c:legend>
      <c:legendPos val="r"/>
      <c:layout>
        <c:manualLayout>
          <c:xMode val="edge"/>
          <c:yMode val="edge"/>
          <c:x val="0.84656713817852414"/>
          <c:y val="3.6419169825993976E-2"/>
          <c:w val="0.11139746359138736"/>
          <c:h val="0.1666678331875182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ae66e438305c3565ebb719b5a4189d0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ca89acffec4eabf2ee14ec26162b1ce"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5546889A-3629-404E-B7A1-76764748E738}">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1A3CD5AA-31B1-401D-8FF3-34FC3E9DDFC8}">
  <ds:schemaRefs>
    <ds:schemaRef ds:uri="http://schemas.microsoft.com/sharepoint/v3/contenttype/forms"/>
  </ds:schemaRefs>
</ds:datastoreItem>
</file>

<file path=customXml/itemProps3.xml><?xml version="1.0" encoding="utf-8"?>
<ds:datastoreItem xmlns:ds="http://schemas.openxmlformats.org/officeDocument/2006/customXml" ds:itemID="{3DFABFB5-3E65-4997-B15B-F9BBEB9DC4A9}"/>
</file>

<file path=customXml/itemProps4.xml><?xml version="1.0" encoding="utf-8"?>
<ds:datastoreItem xmlns:ds="http://schemas.openxmlformats.org/officeDocument/2006/customXml" ds:itemID="{FEBADD0E-BF93-4F99-887E-45DA62926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28807</Words>
  <Characters>164202</Characters>
  <Application>Microsoft Office Word</Application>
  <DocSecurity>0</DocSecurity>
  <Lines>1368</Lines>
  <Paragraphs>385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2023-05-23T09:50:00Z</dcterms:created>
  <dcterms:modified xsi:type="dcterms:W3CDTF">2024-01-26T13:55:00Z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