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7D82E2" w14:textId="7655A354" w:rsidR="00666695" w:rsidRPr="008F6F00" w:rsidRDefault="006A27FB" w:rsidP="008F6F00">
      <w:pPr>
        <w:jc w:val="right"/>
      </w:pPr>
      <w:r w:rsidRPr="006A27FB">
        <w:rPr>
          <w:noProof/>
          <w:lang w:val="en-US"/>
        </w:rPr>
        <w:drawing>
          <wp:inline distT="0" distB="0" distL="0" distR="0" wp14:anchorId="4E67D3C9" wp14:editId="1DD90B5E">
            <wp:extent cx="1280991" cy="987954"/>
            <wp:effectExtent l="0" t="0" r="0" b="3175"/>
            <wp:docPr id="649750748" name="Picture 1" descr="A logo with stars and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750748" name="Picture 1" descr="A logo with stars and a circle&#10;&#10;Description automatically generated"/>
                    <pic:cNvPicPr/>
                  </pic:nvPicPr>
                  <pic:blipFill>
                    <a:blip r:embed="rId10"/>
                    <a:stretch>
                      <a:fillRect/>
                    </a:stretch>
                  </pic:blipFill>
                  <pic:spPr>
                    <a:xfrm>
                      <a:off x="0" y="0"/>
                      <a:ext cx="1287209" cy="992750"/>
                    </a:xfrm>
                    <a:prstGeom prst="rect">
                      <a:avLst/>
                    </a:prstGeom>
                  </pic:spPr>
                </pic:pic>
              </a:graphicData>
            </a:graphic>
          </wp:inline>
        </w:drawing>
      </w:r>
    </w:p>
    <w:p w14:paraId="68BEF468" w14:textId="77777777" w:rsidR="008F6F00" w:rsidRDefault="008F6F00" w:rsidP="008F6F00">
      <w:pPr>
        <w:jc w:val="right"/>
        <w:rPr>
          <w:lang w:val="en-US"/>
        </w:rPr>
      </w:pPr>
    </w:p>
    <w:p w14:paraId="00B3168C" w14:textId="77777777" w:rsidR="008F6F00" w:rsidRPr="008F6F00" w:rsidRDefault="008F6F00" w:rsidP="008F6F00">
      <w:pPr>
        <w:jc w:val="right"/>
        <w:rPr>
          <w:i/>
        </w:rPr>
      </w:pPr>
      <w:r>
        <w:rPr>
          <w:i/>
        </w:rPr>
        <w:t>Eiropas Padomes līgumu sērija – Nr. 214</w:t>
      </w:r>
    </w:p>
    <w:p w14:paraId="7174A763" w14:textId="77777777" w:rsidR="008F6F00" w:rsidRDefault="008F6F00" w:rsidP="008F6F00">
      <w:pPr>
        <w:jc w:val="both"/>
        <w:rPr>
          <w:lang w:val="en-US"/>
        </w:rPr>
      </w:pPr>
    </w:p>
    <w:p w14:paraId="23467974" w14:textId="79214C51" w:rsidR="008F6F00" w:rsidRDefault="008F6F00" w:rsidP="008F6F00">
      <w:pPr>
        <w:jc w:val="both"/>
        <w:rPr>
          <w:lang w:val="en-US"/>
        </w:rPr>
      </w:pPr>
    </w:p>
    <w:p w14:paraId="61AE1927" w14:textId="77777777" w:rsidR="008F6F00" w:rsidRDefault="008F6F00" w:rsidP="008F6F00">
      <w:pPr>
        <w:jc w:val="both"/>
        <w:rPr>
          <w:lang w:val="en-US"/>
        </w:rPr>
      </w:pPr>
    </w:p>
    <w:p w14:paraId="6F07C7FA" w14:textId="77777777" w:rsidR="008F6F00" w:rsidRDefault="008F6F00" w:rsidP="008F6F00">
      <w:pPr>
        <w:jc w:val="both"/>
        <w:rPr>
          <w:lang w:val="en-US"/>
        </w:rPr>
      </w:pPr>
    </w:p>
    <w:p w14:paraId="188FC7B8" w14:textId="77777777" w:rsidR="008F6F00" w:rsidRDefault="008F6F00" w:rsidP="008F6F00">
      <w:pPr>
        <w:jc w:val="both"/>
        <w:rPr>
          <w:lang w:val="en-US"/>
        </w:rPr>
      </w:pPr>
    </w:p>
    <w:p w14:paraId="5EEDA819" w14:textId="77777777" w:rsidR="008F6F00" w:rsidRDefault="008F6F00" w:rsidP="008F6F00">
      <w:pPr>
        <w:jc w:val="both"/>
        <w:rPr>
          <w:lang w:val="en-US"/>
        </w:rPr>
      </w:pPr>
    </w:p>
    <w:p w14:paraId="5E56A125" w14:textId="77777777" w:rsidR="008F6F00" w:rsidRDefault="008F6F00" w:rsidP="008F6F00">
      <w:pPr>
        <w:jc w:val="both"/>
        <w:rPr>
          <w:lang w:val="en-US"/>
        </w:rPr>
      </w:pPr>
    </w:p>
    <w:p w14:paraId="3C70EF05" w14:textId="77777777" w:rsidR="008F6F00" w:rsidRDefault="008F6F00" w:rsidP="008F6F00">
      <w:pPr>
        <w:jc w:val="both"/>
        <w:rPr>
          <w:lang w:val="en-US"/>
        </w:rPr>
      </w:pPr>
    </w:p>
    <w:p w14:paraId="538E5FD8" w14:textId="77777777" w:rsidR="008F6F00" w:rsidRDefault="008F6F00" w:rsidP="008F6F00">
      <w:pPr>
        <w:jc w:val="both"/>
        <w:rPr>
          <w:lang w:val="en-US"/>
        </w:rPr>
      </w:pPr>
    </w:p>
    <w:p w14:paraId="17FFB0D2" w14:textId="77777777" w:rsidR="008F6F00" w:rsidRPr="008F6F00" w:rsidRDefault="008F6F00" w:rsidP="008F6F00">
      <w:pPr>
        <w:jc w:val="both"/>
        <w:rPr>
          <w:lang w:val="en-US"/>
        </w:rPr>
      </w:pPr>
    </w:p>
    <w:p w14:paraId="75E33B88" w14:textId="77D0907B" w:rsidR="00666695" w:rsidRPr="008F6F00" w:rsidRDefault="008F6F00" w:rsidP="008F6F00">
      <w:pPr>
        <w:jc w:val="both"/>
        <w:rPr>
          <w:sz w:val="40"/>
          <w:szCs w:val="40"/>
        </w:rPr>
      </w:pPr>
      <w:r>
        <w:rPr>
          <w:sz w:val="40"/>
        </w:rPr>
        <w:t>Cilvēka tiesību un pamatbrīvību aizsardzības konvencijas 16. protokols</w:t>
      </w:r>
    </w:p>
    <w:p w14:paraId="296FCA3E" w14:textId="77777777" w:rsidR="008F6F00" w:rsidRDefault="008F6F00" w:rsidP="008F6F00">
      <w:pPr>
        <w:jc w:val="both"/>
        <w:rPr>
          <w:lang w:val="en-US"/>
        </w:rPr>
      </w:pPr>
    </w:p>
    <w:p w14:paraId="40AE6D7D" w14:textId="77777777" w:rsidR="008F6F00" w:rsidRDefault="008F6F00" w:rsidP="008F6F00">
      <w:pPr>
        <w:jc w:val="both"/>
        <w:rPr>
          <w:lang w:val="en-US"/>
        </w:rPr>
      </w:pPr>
    </w:p>
    <w:p w14:paraId="7EAB1A64" w14:textId="77777777" w:rsidR="008F6F00" w:rsidRDefault="008F6F00" w:rsidP="008F6F00">
      <w:pPr>
        <w:jc w:val="both"/>
        <w:rPr>
          <w:lang w:val="en-US"/>
        </w:rPr>
      </w:pPr>
    </w:p>
    <w:p w14:paraId="05206132" w14:textId="77777777" w:rsidR="008F6F00" w:rsidRDefault="008F6F00" w:rsidP="008F6F00">
      <w:pPr>
        <w:jc w:val="both"/>
        <w:rPr>
          <w:lang w:val="en-US"/>
        </w:rPr>
      </w:pPr>
    </w:p>
    <w:p w14:paraId="463D802C" w14:textId="77777777" w:rsidR="008F6F00" w:rsidRDefault="008F6F00" w:rsidP="008F6F00">
      <w:pPr>
        <w:jc w:val="both"/>
        <w:rPr>
          <w:lang w:val="en-US"/>
        </w:rPr>
      </w:pPr>
    </w:p>
    <w:p w14:paraId="406AFCFD" w14:textId="77777777" w:rsidR="008F6F00" w:rsidRDefault="008F6F00" w:rsidP="008F6F00">
      <w:pPr>
        <w:jc w:val="both"/>
        <w:rPr>
          <w:lang w:val="en-US"/>
        </w:rPr>
      </w:pPr>
    </w:p>
    <w:p w14:paraId="63784A0E" w14:textId="77777777" w:rsidR="008F6F00" w:rsidRDefault="008F6F00" w:rsidP="008F6F00">
      <w:pPr>
        <w:jc w:val="both"/>
        <w:rPr>
          <w:lang w:val="en-US"/>
        </w:rPr>
      </w:pPr>
    </w:p>
    <w:p w14:paraId="18BDD441" w14:textId="77777777" w:rsidR="008F6F00" w:rsidRDefault="008F6F00" w:rsidP="008F6F00">
      <w:pPr>
        <w:jc w:val="both"/>
        <w:rPr>
          <w:lang w:val="en-US"/>
        </w:rPr>
      </w:pPr>
    </w:p>
    <w:p w14:paraId="45847AEF" w14:textId="77777777" w:rsidR="008F6F00" w:rsidRDefault="008F6F00" w:rsidP="008F6F00">
      <w:pPr>
        <w:jc w:val="both"/>
        <w:rPr>
          <w:lang w:val="en-US"/>
        </w:rPr>
      </w:pPr>
    </w:p>
    <w:p w14:paraId="066CFAF2" w14:textId="77777777" w:rsidR="008F6F00" w:rsidRDefault="008F6F00" w:rsidP="008F6F00">
      <w:pPr>
        <w:jc w:val="both"/>
        <w:rPr>
          <w:lang w:val="en-US"/>
        </w:rPr>
      </w:pPr>
    </w:p>
    <w:p w14:paraId="1DE3BA68" w14:textId="77777777" w:rsidR="008F6F00" w:rsidRDefault="008F6F00" w:rsidP="008F6F00">
      <w:pPr>
        <w:jc w:val="both"/>
        <w:rPr>
          <w:lang w:val="en-US"/>
        </w:rPr>
      </w:pPr>
    </w:p>
    <w:p w14:paraId="4472ECDD" w14:textId="77777777" w:rsidR="008F6F00" w:rsidRDefault="008F6F00" w:rsidP="008F6F00">
      <w:pPr>
        <w:jc w:val="both"/>
        <w:rPr>
          <w:lang w:val="en-US"/>
        </w:rPr>
      </w:pPr>
    </w:p>
    <w:p w14:paraId="07F5C643" w14:textId="77777777" w:rsidR="008F6F00" w:rsidRPr="008F6F00" w:rsidRDefault="008F6F00" w:rsidP="008F6F00">
      <w:pPr>
        <w:jc w:val="both"/>
        <w:rPr>
          <w:lang w:val="en-US"/>
        </w:rPr>
      </w:pPr>
    </w:p>
    <w:p w14:paraId="7AC3A1FF" w14:textId="77777777" w:rsidR="00666695" w:rsidRPr="008F6F00" w:rsidRDefault="00666695" w:rsidP="008F6F00">
      <w:pPr>
        <w:jc w:val="both"/>
        <w:rPr>
          <w:sz w:val="28"/>
          <w:szCs w:val="28"/>
        </w:rPr>
      </w:pPr>
      <w:r>
        <w:rPr>
          <w:sz w:val="28"/>
        </w:rPr>
        <w:t>Strasbūra, 2013. gada 2. oktobris</w:t>
      </w:r>
    </w:p>
    <w:p w14:paraId="3E2AB38A" w14:textId="77777777" w:rsidR="008F6F00" w:rsidRDefault="008F6F00" w:rsidP="008F6F00">
      <w:pPr>
        <w:jc w:val="both"/>
        <w:rPr>
          <w:lang w:val="en-US"/>
        </w:rPr>
      </w:pPr>
    </w:p>
    <w:p w14:paraId="07369160" w14:textId="77777777" w:rsidR="008F6F00" w:rsidRPr="008F6F00" w:rsidRDefault="008F6F00" w:rsidP="008F6F00">
      <w:pPr>
        <w:jc w:val="both"/>
        <w:rPr>
          <w:lang w:val="en-US"/>
        </w:rPr>
      </w:pPr>
    </w:p>
    <w:p w14:paraId="5373B3FD" w14:textId="77777777" w:rsidR="00666695" w:rsidRDefault="008F6F00" w:rsidP="008F6F00">
      <w:pPr>
        <w:jc w:val="both"/>
      </w:pPr>
      <w:r>
        <w:br w:type="page"/>
      </w:r>
      <w:r>
        <w:rPr>
          <w:b/>
        </w:rPr>
        <w:lastRenderedPageBreak/>
        <w:t>Preambula</w:t>
      </w:r>
    </w:p>
    <w:p w14:paraId="18CCDFE2" w14:textId="77777777" w:rsidR="008F6F00" w:rsidRPr="008F6F00" w:rsidRDefault="008F6F00" w:rsidP="008F6F00">
      <w:pPr>
        <w:jc w:val="both"/>
        <w:rPr>
          <w:lang w:val="en-US"/>
        </w:rPr>
      </w:pPr>
    </w:p>
    <w:p w14:paraId="06B594F5" w14:textId="77777777" w:rsidR="00666695" w:rsidRDefault="00666695" w:rsidP="008F6F00">
      <w:pPr>
        <w:jc w:val="both"/>
      </w:pPr>
      <w:r>
        <w:t>Eiropas Padomes dalībvalstis un citas 1950.gada 4. novembrī Romā parakstītās Cilvēka tiesību un pamatbrīvību aizsardzības konvencijas (turpmāk – "Konvencija") Augstās Līgumslēdzējas Puses, kuras parakstījušas šo protokolu,</w:t>
      </w:r>
    </w:p>
    <w:p w14:paraId="7F2022CA" w14:textId="77777777" w:rsidR="008F6F00" w:rsidRPr="008F6F00" w:rsidRDefault="008F6F00" w:rsidP="008F6F00">
      <w:pPr>
        <w:jc w:val="both"/>
        <w:rPr>
          <w:lang w:val="en-US"/>
        </w:rPr>
      </w:pPr>
    </w:p>
    <w:p w14:paraId="0EE38A89" w14:textId="77777777" w:rsidR="00666695" w:rsidRDefault="00666695" w:rsidP="008F6F00">
      <w:pPr>
        <w:jc w:val="both"/>
      </w:pPr>
      <w:r>
        <w:t>ņemot vērā Konvencijas normas un jo īpaši 19. pantu, ar kuru ir nodibināta Eiropas Cilvēktiesību tiesa (turpmāk – "Tiesa");</w:t>
      </w:r>
    </w:p>
    <w:p w14:paraId="4A4653A7" w14:textId="77777777" w:rsidR="008F6F00" w:rsidRPr="008F6F00" w:rsidRDefault="008F6F00" w:rsidP="008F6F00">
      <w:pPr>
        <w:jc w:val="both"/>
        <w:rPr>
          <w:lang w:val="en-US"/>
        </w:rPr>
      </w:pPr>
    </w:p>
    <w:p w14:paraId="07041C1E" w14:textId="77777777" w:rsidR="00666695" w:rsidRDefault="00666695" w:rsidP="008F6F00">
      <w:pPr>
        <w:jc w:val="both"/>
      </w:pPr>
      <w:r>
        <w:t>ievērojot, ka Tiesas konsultatīvo atzinumu sniegšanas kompetences paplašināšana uzlabos Tiesas un valstu institūciju mijiedarbību un tādējādi veicinās Konvencijas īstenošanu atbilstoši subsidiaritātes principam;</w:t>
      </w:r>
    </w:p>
    <w:p w14:paraId="43B75455" w14:textId="77777777" w:rsidR="008F6F00" w:rsidRPr="008F6F00" w:rsidRDefault="008F6F00" w:rsidP="008F6F00">
      <w:pPr>
        <w:jc w:val="both"/>
        <w:rPr>
          <w:lang w:val="en-US"/>
        </w:rPr>
      </w:pPr>
    </w:p>
    <w:p w14:paraId="6B2B2BE0" w14:textId="77777777" w:rsidR="00666695" w:rsidRDefault="00666695" w:rsidP="008F6F00">
      <w:pPr>
        <w:jc w:val="both"/>
      </w:pPr>
      <w:r>
        <w:t>ņemot vērā Eiropas Padomes Parlamentārās asamblejas atzinumu Nr. 285 (2013), kas pieņemts 2013. gada 28. jūnijā,</w:t>
      </w:r>
    </w:p>
    <w:p w14:paraId="723F18E6" w14:textId="77777777" w:rsidR="008F6F00" w:rsidRPr="008F6F00" w:rsidRDefault="008F6F00" w:rsidP="008F6F00">
      <w:pPr>
        <w:jc w:val="both"/>
        <w:rPr>
          <w:lang w:val="en-US"/>
        </w:rPr>
      </w:pPr>
    </w:p>
    <w:p w14:paraId="79AB1860" w14:textId="77777777" w:rsidR="00666695" w:rsidRDefault="00666695" w:rsidP="008F6F00">
      <w:pPr>
        <w:jc w:val="both"/>
      </w:pPr>
      <w:r>
        <w:t>ir vienojušās par turpmāko.</w:t>
      </w:r>
    </w:p>
    <w:p w14:paraId="33D31F93" w14:textId="77777777" w:rsidR="008F6F00" w:rsidRPr="008F6F00" w:rsidRDefault="008F6F00" w:rsidP="008F6F00">
      <w:pPr>
        <w:jc w:val="both"/>
        <w:rPr>
          <w:lang w:val="en-US"/>
        </w:rPr>
      </w:pPr>
    </w:p>
    <w:p w14:paraId="456F1841" w14:textId="77777777" w:rsidR="00666695" w:rsidRPr="008F6F00" w:rsidRDefault="00666695" w:rsidP="008F6F00">
      <w:pPr>
        <w:jc w:val="both"/>
        <w:rPr>
          <w:b/>
        </w:rPr>
      </w:pPr>
      <w:r>
        <w:rPr>
          <w:b/>
        </w:rPr>
        <w:t>1. pants</w:t>
      </w:r>
    </w:p>
    <w:p w14:paraId="520244E3" w14:textId="77777777" w:rsidR="008F6F00" w:rsidRPr="008F6F00" w:rsidRDefault="008F6F00" w:rsidP="008F6F00">
      <w:pPr>
        <w:jc w:val="both"/>
        <w:rPr>
          <w:lang w:val="en-US"/>
        </w:rPr>
      </w:pPr>
    </w:p>
    <w:p w14:paraId="3C19990C" w14:textId="54F935A9" w:rsidR="00666695" w:rsidRPr="008F6F00" w:rsidRDefault="00666695" w:rsidP="008F6F00">
      <w:pPr>
        <w:jc w:val="both"/>
      </w:pPr>
      <w:r>
        <w:t>1. Augsto Līgumslēdzēju Pušu augstākā līmeņa tiesas, kas noteiktas 10. pantā norādītajā kārtībā, var lūgt Tiesu sniegt konsultatīvus atzinumus par principiāliem jautājumiem attiecībā uz Konvencijā vai tās protokolos noteikto tiesību un brīvību interpretāciju vai piemērošanu.</w:t>
      </w:r>
    </w:p>
    <w:p w14:paraId="3D11405E" w14:textId="77777777" w:rsidR="008F6F00" w:rsidRDefault="008F6F00" w:rsidP="008F6F00">
      <w:pPr>
        <w:jc w:val="both"/>
        <w:rPr>
          <w:lang w:val="en-US"/>
        </w:rPr>
      </w:pPr>
    </w:p>
    <w:p w14:paraId="59DF3C46" w14:textId="77777777" w:rsidR="00666695" w:rsidRPr="008F6F00" w:rsidRDefault="00666695" w:rsidP="008F6F00">
      <w:pPr>
        <w:jc w:val="both"/>
      </w:pPr>
      <w:r>
        <w:t>2. Tiesa, kas iesniedz lūgumu, konsultatīvu atzinumu var prasīt tikai tajā izskatāmas lietas ietvaros.</w:t>
      </w:r>
    </w:p>
    <w:p w14:paraId="6418395F" w14:textId="77777777" w:rsidR="008F6F00" w:rsidRDefault="008F6F00" w:rsidP="008F6F00">
      <w:pPr>
        <w:jc w:val="both"/>
        <w:rPr>
          <w:lang w:val="en-US"/>
        </w:rPr>
      </w:pPr>
    </w:p>
    <w:p w14:paraId="105DD997" w14:textId="77777777" w:rsidR="00666695" w:rsidRPr="008F6F00" w:rsidRDefault="00666695" w:rsidP="008F6F00">
      <w:pPr>
        <w:jc w:val="both"/>
      </w:pPr>
      <w:r>
        <w:t>3. Iesniedzot lūgumu, attiecīgajai tiesai ir jānorāda pamatojums un jāsniedz informācija par tajā izskatāmās lietas tiesiskajiem un faktiskajiem apstākļiem.</w:t>
      </w:r>
    </w:p>
    <w:p w14:paraId="7B7134CB" w14:textId="77777777" w:rsidR="008F6F00" w:rsidRDefault="008F6F00" w:rsidP="008F6F00">
      <w:pPr>
        <w:jc w:val="both"/>
        <w:rPr>
          <w:lang w:val="en-US"/>
        </w:rPr>
      </w:pPr>
    </w:p>
    <w:p w14:paraId="41033FC4" w14:textId="77777777" w:rsidR="00666695" w:rsidRPr="008F6F00" w:rsidRDefault="00666695" w:rsidP="008F6F00">
      <w:pPr>
        <w:jc w:val="both"/>
        <w:rPr>
          <w:b/>
        </w:rPr>
      </w:pPr>
      <w:r>
        <w:rPr>
          <w:b/>
        </w:rPr>
        <w:t>2. pants</w:t>
      </w:r>
    </w:p>
    <w:p w14:paraId="34B20AF6" w14:textId="77777777" w:rsidR="008F6F00" w:rsidRDefault="008F6F00" w:rsidP="008F6F00">
      <w:pPr>
        <w:jc w:val="both"/>
        <w:rPr>
          <w:lang w:val="en-US"/>
        </w:rPr>
      </w:pPr>
    </w:p>
    <w:p w14:paraId="2D5B4128" w14:textId="77777777" w:rsidR="00666695" w:rsidRPr="008F6F00" w:rsidRDefault="00666695" w:rsidP="008F6F00">
      <w:pPr>
        <w:jc w:val="both"/>
      </w:pPr>
      <w:r>
        <w:t>1. Lielās palātas tiesnešu kolēģija, kuras sastāvā ir pieci tiesneši, lemj par to, vai pieņemt lūgumu sniegt konsultatīvo atzinumu, ņemot vērā 1. pantu. Kolēģija sniedz pamatojumu ikvienam atteikumam pieņemt lūgumu.</w:t>
      </w:r>
    </w:p>
    <w:p w14:paraId="20DF6171" w14:textId="77777777" w:rsidR="008F6F00" w:rsidRDefault="008F6F00" w:rsidP="008F6F00">
      <w:pPr>
        <w:jc w:val="both"/>
        <w:rPr>
          <w:lang w:val="en-US"/>
        </w:rPr>
      </w:pPr>
    </w:p>
    <w:p w14:paraId="34A9F196" w14:textId="77777777" w:rsidR="00666695" w:rsidRPr="008F6F00" w:rsidRDefault="00666695" w:rsidP="008F6F00">
      <w:pPr>
        <w:jc w:val="both"/>
      </w:pPr>
      <w:r>
        <w:t>2. Ja kolēģija lūgumu pieņem, Lielā palāta sniedz konsultatīvo atzinumu.</w:t>
      </w:r>
    </w:p>
    <w:p w14:paraId="76A5D08B" w14:textId="77777777" w:rsidR="008F6F00" w:rsidRDefault="008F6F00" w:rsidP="008F6F00">
      <w:pPr>
        <w:jc w:val="both"/>
        <w:rPr>
          <w:lang w:val="en-US"/>
        </w:rPr>
      </w:pPr>
    </w:p>
    <w:p w14:paraId="523E6885" w14:textId="77777777" w:rsidR="00666695" w:rsidRPr="008F6F00" w:rsidRDefault="00666695" w:rsidP="008F6F00">
      <w:pPr>
        <w:jc w:val="both"/>
      </w:pPr>
      <w:r>
        <w:t xml:space="preserve">3. Kolēģijas un Lielās palātas sastāvā iepriekšējos punktos minētajos gadījumos </w:t>
      </w:r>
      <w:r>
        <w:rPr>
          <w:rStyle w:val="Emphasis"/>
        </w:rPr>
        <w:t>ex officio</w:t>
      </w:r>
      <w:r>
        <w:t xml:space="preserve"> iekļauj tiesnesi, kurš ievēlēts no tās Augstās Līgumslēdzējas Puses, kuras tiesa iesniegusi lūgumu. Ja šāda tiesneša nav vai ja attiecīgais tiesnesis nevar piedalīties lietas izskatīšanā, tiesneša pienākumus pilda persona, kuru Tiesas priekšsēdētājs izvēlas no attiecīgās Augstās Līgumslēdzējas Puses iepriekš iesniegta saraksta.</w:t>
      </w:r>
    </w:p>
    <w:p w14:paraId="3F3C9241" w14:textId="77777777" w:rsidR="008F6F00" w:rsidRDefault="008F6F00" w:rsidP="008F6F00">
      <w:pPr>
        <w:jc w:val="both"/>
        <w:rPr>
          <w:lang w:val="en-US"/>
        </w:rPr>
      </w:pPr>
    </w:p>
    <w:p w14:paraId="11C39C96" w14:textId="77777777" w:rsidR="00666695" w:rsidRPr="008F6F00" w:rsidRDefault="00666695" w:rsidP="008F6F00">
      <w:pPr>
        <w:jc w:val="both"/>
        <w:rPr>
          <w:b/>
        </w:rPr>
      </w:pPr>
      <w:r>
        <w:rPr>
          <w:b/>
        </w:rPr>
        <w:t>3. pants</w:t>
      </w:r>
    </w:p>
    <w:p w14:paraId="185AD939" w14:textId="77777777" w:rsidR="008F6F00" w:rsidRDefault="008F6F00" w:rsidP="008F6F00">
      <w:pPr>
        <w:jc w:val="both"/>
        <w:rPr>
          <w:lang w:val="en-US"/>
        </w:rPr>
      </w:pPr>
    </w:p>
    <w:p w14:paraId="704C120E" w14:textId="77777777" w:rsidR="00666695" w:rsidRPr="008F6F00" w:rsidRDefault="00666695" w:rsidP="008F6F00">
      <w:pPr>
        <w:jc w:val="both"/>
      </w:pPr>
      <w:r>
        <w:t>Eiropas Padomes cilvēktiesību komisāram un Augstajai Līgumslēdzējai Pusei, kuras tiesa iesniegusi lūgumu, ir tiesības iesniegt rakstiskus apsvērumus un piedalīties tiesas sēdēs. Taisnīgas tiesas spriešanas interesēs Tiesas priekšsēdētājs var uzaicināt jebkuru citu Augsto Līgumslēdzēju Pusi vai personu iesniegt rakstiskus apsvērumus vai piedalīties tiesas sēdēs.</w:t>
      </w:r>
    </w:p>
    <w:p w14:paraId="315DA5B0" w14:textId="77777777" w:rsidR="008F6F00" w:rsidRDefault="008F6F00" w:rsidP="008F6F00">
      <w:pPr>
        <w:jc w:val="both"/>
        <w:rPr>
          <w:lang w:val="en-US"/>
        </w:rPr>
      </w:pPr>
    </w:p>
    <w:p w14:paraId="70AA1B7D" w14:textId="3C8A0FDA" w:rsidR="00666695" w:rsidRPr="008F6F00" w:rsidRDefault="00666695" w:rsidP="008F6F00">
      <w:pPr>
        <w:jc w:val="both"/>
        <w:rPr>
          <w:b/>
        </w:rPr>
      </w:pPr>
      <w:r>
        <w:rPr>
          <w:b/>
        </w:rPr>
        <w:lastRenderedPageBreak/>
        <w:t>4. pants</w:t>
      </w:r>
    </w:p>
    <w:p w14:paraId="48ED8059" w14:textId="77777777" w:rsidR="008F6F00" w:rsidRDefault="008F6F00" w:rsidP="008F6F00">
      <w:pPr>
        <w:jc w:val="both"/>
        <w:rPr>
          <w:lang w:val="en-US"/>
        </w:rPr>
      </w:pPr>
    </w:p>
    <w:p w14:paraId="5A61AC93" w14:textId="77777777" w:rsidR="00666695" w:rsidRPr="008F6F00" w:rsidRDefault="00666695" w:rsidP="008F6F00">
      <w:pPr>
        <w:jc w:val="both"/>
      </w:pPr>
      <w:r>
        <w:t>1. Konsultatīvie atzinumi ir jāmotivē.</w:t>
      </w:r>
    </w:p>
    <w:p w14:paraId="70265FDC" w14:textId="77777777" w:rsidR="008F6F00" w:rsidRDefault="008F6F00" w:rsidP="008F6F00">
      <w:pPr>
        <w:jc w:val="both"/>
        <w:rPr>
          <w:lang w:val="en-US"/>
        </w:rPr>
      </w:pPr>
    </w:p>
    <w:p w14:paraId="0B3880AC" w14:textId="77777777" w:rsidR="00666695" w:rsidRPr="008F6F00" w:rsidRDefault="00666695" w:rsidP="008F6F00">
      <w:pPr>
        <w:jc w:val="both"/>
      </w:pPr>
      <w:r>
        <w:t>2. Ja konsultatīvais atzinums daļēji vai pilnībā neatspoguļo tiesnešu vienbalsīgu viedokli, jebkuram tiesnesim ir tiesības tam pievienot savas atsevišķās domas.</w:t>
      </w:r>
    </w:p>
    <w:p w14:paraId="11AD02CE" w14:textId="77777777" w:rsidR="008F6F00" w:rsidRDefault="008F6F00" w:rsidP="008F6F00">
      <w:pPr>
        <w:jc w:val="both"/>
        <w:rPr>
          <w:lang w:val="en-US"/>
        </w:rPr>
      </w:pPr>
    </w:p>
    <w:p w14:paraId="355154C8" w14:textId="77777777" w:rsidR="00666695" w:rsidRPr="008F6F00" w:rsidRDefault="00666695" w:rsidP="008F6F00">
      <w:pPr>
        <w:jc w:val="both"/>
      </w:pPr>
      <w:r>
        <w:t>3. Konsultatīvo atzinumu nosūta tiesai, kas iesniegusi lūgumu, kā arī Augstajai Līgumslēdzējai Pusei, kuras tiesa tā ir.</w:t>
      </w:r>
    </w:p>
    <w:p w14:paraId="0C2E3C20" w14:textId="77777777" w:rsidR="008F6F00" w:rsidRDefault="008F6F00" w:rsidP="008F6F00">
      <w:pPr>
        <w:jc w:val="both"/>
        <w:rPr>
          <w:lang w:val="en-US"/>
        </w:rPr>
      </w:pPr>
    </w:p>
    <w:p w14:paraId="64C54554" w14:textId="77777777" w:rsidR="00666695" w:rsidRPr="008F6F00" w:rsidRDefault="00666695" w:rsidP="008F6F00">
      <w:pPr>
        <w:jc w:val="both"/>
      </w:pPr>
      <w:r>
        <w:t>4. Konsultatīvie atzinumi tiek publicēti.</w:t>
      </w:r>
    </w:p>
    <w:p w14:paraId="7F01A012" w14:textId="77777777" w:rsidR="008F6F00" w:rsidRDefault="008F6F00" w:rsidP="008F6F00">
      <w:pPr>
        <w:jc w:val="both"/>
        <w:rPr>
          <w:lang w:val="en-US"/>
        </w:rPr>
      </w:pPr>
    </w:p>
    <w:p w14:paraId="7C66DCB4" w14:textId="77777777" w:rsidR="00666695" w:rsidRPr="008F6F00" w:rsidRDefault="00666695" w:rsidP="008F6F00">
      <w:pPr>
        <w:jc w:val="both"/>
        <w:rPr>
          <w:b/>
        </w:rPr>
      </w:pPr>
      <w:r>
        <w:rPr>
          <w:b/>
        </w:rPr>
        <w:t>5. pants</w:t>
      </w:r>
    </w:p>
    <w:p w14:paraId="112DE380" w14:textId="77777777" w:rsidR="008F6F00" w:rsidRDefault="008F6F00" w:rsidP="008F6F00">
      <w:pPr>
        <w:jc w:val="both"/>
        <w:rPr>
          <w:lang w:val="en-US"/>
        </w:rPr>
      </w:pPr>
    </w:p>
    <w:p w14:paraId="287D4D97" w14:textId="77777777" w:rsidR="00666695" w:rsidRPr="008F6F00" w:rsidRDefault="00666695" w:rsidP="008F6F00">
      <w:pPr>
        <w:jc w:val="both"/>
      </w:pPr>
      <w:r>
        <w:t>Konsultatīvie atzinumi nav saistoši.</w:t>
      </w:r>
    </w:p>
    <w:p w14:paraId="6A165426" w14:textId="77777777" w:rsidR="008F6F00" w:rsidRDefault="008F6F00" w:rsidP="008F6F00">
      <w:pPr>
        <w:jc w:val="both"/>
        <w:rPr>
          <w:lang w:val="en-US"/>
        </w:rPr>
      </w:pPr>
    </w:p>
    <w:p w14:paraId="75A71BC7" w14:textId="77777777" w:rsidR="00666695" w:rsidRPr="008F6F00" w:rsidRDefault="00666695" w:rsidP="008F6F00">
      <w:pPr>
        <w:jc w:val="both"/>
        <w:rPr>
          <w:b/>
        </w:rPr>
      </w:pPr>
      <w:r>
        <w:rPr>
          <w:b/>
        </w:rPr>
        <w:t>6. pants</w:t>
      </w:r>
    </w:p>
    <w:p w14:paraId="26E1A9AA" w14:textId="77777777" w:rsidR="008F6F00" w:rsidRDefault="008F6F00" w:rsidP="008F6F00">
      <w:pPr>
        <w:jc w:val="both"/>
        <w:rPr>
          <w:lang w:val="en-US"/>
        </w:rPr>
      </w:pPr>
    </w:p>
    <w:p w14:paraId="3A36A8B6" w14:textId="77777777" w:rsidR="00666695" w:rsidRDefault="00666695" w:rsidP="008F6F00">
      <w:pPr>
        <w:jc w:val="both"/>
      </w:pPr>
      <w:r>
        <w:t>Augsto Līgumslēdzēju Pušu starpā šā protokola 1. līdz 5. pantu uzskata par Konvencijas papildu pantiem, un visas Konvencijas normas attiecīgi ir piemērojamas.</w:t>
      </w:r>
    </w:p>
    <w:p w14:paraId="5DF332AB" w14:textId="77777777" w:rsidR="008F6F00" w:rsidRPr="008F6F00" w:rsidRDefault="008F6F00" w:rsidP="008F6F00">
      <w:pPr>
        <w:jc w:val="both"/>
        <w:rPr>
          <w:lang w:val="en-US"/>
        </w:rPr>
      </w:pPr>
    </w:p>
    <w:p w14:paraId="55EBC12E" w14:textId="77777777" w:rsidR="00666695" w:rsidRPr="008F6F00" w:rsidRDefault="00666695" w:rsidP="008F6F00">
      <w:pPr>
        <w:jc w:val="both"/>
        <w:rPr>
          <w:b/>
        </w:rPr>
      </w:pPr>
      <w:r>
        <w:rPr>
          <w:b/>
        </w:rPr>
        <w:t>7. pants</w:t>
      </w:r>
    </w:p>
    <w:p w14:paraId="505EF39A" w14:textId="77777777" w:rsidR="008F6F00" w:rsidRPr="008F6F00" w:rsidRDefault="008F6F00" w:rsidP="008F6F00">
      <w:pPr>
        <w:jc w:val="both"/>
        <w:rPr>
          <w:lang w:val="en-US"/>
        </w:rPr>
      </w:pPr>
    </w:p>
    <w:p w14:paraId="65B43861" w14:textId="77777777" w:rsidR="00666695" w:rsidRPr="008F6F00" w:rsidRDefault="00666695" w:rsidP="008F6F00">
      <w:pPr>
        <w:jc w:val="both"/>
      </w:pPr>
      <w:r>
        <w:t>1. Šis protokols ir atvērts parakstīšanai Konvencijas Augstajām Līgumslēdzējām Pusēm, kas var izteikt savu piekrišanu uzņemties saistības ar:</w:t>
      </w:r>
    </w:p>
    <w:p w14:paraId="4DE3CE7C" w14:textId="77777777" w:rsidR="008F6F00" w:rsidRDefault="008F6F00" w:rsidP="008F6F00">
      <w:pPr>
        <w:jc w:val="both"/>
        <w:rPr>
          <w:lang w:val="en-US"/>
        </w:rPr>
      </w:pPr>
    </w:p>
    <w:p w14:paraId="37753E71" w14:textId="77777777" w:rsidR="00A62F3E" w:rsidRPr="008F6F00" w:rsidRDefault="00666695" w:rsidP="005935C6">
      <w:pPr>
        <w:ind w:left="284" w:hanging="284"/>
        <w:jc w:val="both"/>
      </w:pPr>
      <w:r>
        <w:t>a) parakstīšanu bez nepieciešamības ratificēt, pieņemt vai apstiprināt vai</w:t>
      </w:r>
    </w:p>
    <w:p w14:paraId="27E95543" w14:textId="77777777" w:rsidR="008F6F00" w:rsidRDefault="008F6F00" w:rsidP="005935C6">
      <w:pPr>
        <w:ind w:left="284" w:hanging="284"/>
        <w:jc w:val="both"/>
        <w:rPr>
          <w:lang w:val="en-US"/>
        </w:rPr>
      </w:pPr>
    </w:p>
    <w:p w14:paraId="3D78A782" w14:textId="77777777" w:rsidR="00666695" w:rsidRPr="008F6F00" w:rsidRDefault="00666695" w:rsidP="005935C6">
      <w:pPr>
        <w:ind w:left="284" w:hanging="284"/>
        <w:jc w:val="both"/>
      </w:pPr>
      <w:r>
        <w:t>b) parakstīšanu ar nepieciešamību ratificēt, pieņemt vai apstiprināt, kam seko ratifikācija, pieņemšana vai apstiprināšana.</w:t>
      </w:r>
    </w:p>
    <w:p w14:paraId="58BEFA98" w14:textId="77777777" w:rsidR="008F6F00" w:rsidRDefault="008F6F00" w:rsidP="008F6F00">
      <w:pPr>
        <w:jc w:val="both"/>
        <w:rPr>
          <w:lang w:val="en-US"/>
        </w:rPr>
      </w:pPr>
    </w:p>
    <w:p w14:paraId="31A0874A" w14:textId="77777777" w:rsidR="00666695" w:rsidRPr="008F6F00" w:rsidRDefault="00666695" w:rsidP="008F6F00">
      <w:pPr>
        <w:jc w:val="both"/>
      </w:pPr>
      <w:r>
        <w:t>2. Ratifikācijas, pieņemšanas vai apstiprināšanas instrumentu deponē Eiropas Padomes ģenerālsekretāram.</w:t>
      </w:r>
    </w:p>
    <w:p w14:paraId="7672F533" w14:textId="77777777" w:rsidR="008F6F00" w:rsidRDefault="008F6F00" w:rsidP="008F6F00">
      <w:pPr>
        <w:jc w:val="both"/>
        <w:rPr>
          <w:lang w:val="en-US"/>
        </w:rPr>
      </w:pPr>
    </w:p>
    <w:p w14:paraId="3335A522" w14:textId="77777777" w:rsidR="00666695" w:rsidRPr="008F6F00" w:rsidRDefault="00666695" w:rsidP="008F6F00">
      <w:pPr>
        <w:jc w:val="both"/>
        <w:rPr>
          <w:b/>
        </w:rPr>
      </w:pPr>
      <w:r>
        <w:rPr>
          <w:b/>
        </w:rPr>
        <w:t>8. pants</w:t>
      </w:r>
    </w:p>
    <w:p w14:paraId="2C0CC9B7" w14:textId="77777777" w:rsidR="008F6F00" w:rsidRDefault="008F6F00" w:rsidP="008F6F00">
      <w:pPr>
        <w:jc w:val="both"/>
        <w:rPr>
          <w:lang w:val="en-US"/>
        </w:rPr>
      </w:pPr>
    </w:p>
    <w:p w14:paraId="01A34C73" w14:textId="56EC5D6A" w:rsidR="00666695" w:rsidRPr="008F6F00" w:rsidRDefault="00666695" w:rsidP="008F6F00">
      <w:pPr>
        <w:jc w:val="both"/>
      </w:pPr>
      <w:r>
        <w:t>1. Protokols stājas spēkā tā mēneša pirmajā dienā</w:t>
      </w:r>
      <w:r w:rsidR="00A06425">
        <w:t>,</w:t>
      </w:r>
      <w:r>
        <w:t xml:space="preserve"> kas seko trīs mēnešu periodam, skaitot no datuma, kurā desmit Konvencijas Augstās Līgumslēdzējas Puses saskaņā ar 7. panta noteikumiem ir izteikušas savu piekrišanu uzņemties Protokolā noteiktās saistības.</w:t>
      </w:r>
    </w:p>
    <w:p w14:paraId="70B87885" w14:textId="77777777" w:rsidR="008F6F00" w:rsidRDefault="008F6F00" w:rsidP="008F6F00">
      <w:pPr>
        <w:jc w:val="both"/>
        <w:rPr>
          <w:lang w:val="en-US"/>
        </w:rPr>
      </w:pPr>
    </w:p>
    <w:p w14:paraId="6FF46E9D" w14:textId="77777777" w:rsidR="00666695" w:rsidRPr="008F6F00" w:rsidRDefault="00666695" w:rsidP="008F6F00">
      <w:pPr>
        <w:jc w:val="both"/>
      </w:pPr>
      <w:r>
        <w:t>2. Attiecībā uz jebkuru citu Konvencijas Augsto Līgumslēdzēju Pusi, kura vēlāk izsaka savu piekrišanu uzņemties Protokolā noteiktās saistības, Protokols stājas spēkā pirmajā tā mēneša dienā, kas seko trīs mēnešu periodam, skaitot no datuma, kurā tā saskaņā ar 7. panta noteikumiem izsaka savu piekrišanu uzņemties Protokolā noteiktās saistības.</w:t>
      </w:r>
    </w:p>
    <w:p w14:paraId="0F4482C9" w14:textId="77777777" w:rsidR="008F6F00" w:rsidRDefault="008F6F00" w:rsidP="008F6F00">
      <w:pPr>
        <w:jc w:val="both"/>
        <w:rPr>
          <w:lang w:val="en-US"/>
        </w:rPr>
      </w:pPr>
    </w:p>
    <w:p w14:paraId="525A1556" w14:textId="77777777" w:rsidR="00666695" w:rsidRPr="008F6F00" w:rsidRDefault="00666695" w:rsidP="008F6F00">
      <w:pPr>
        <w:jc w:val="both"/>
        <w:rPr>
          <w:b/>
        </w:rPr>
      </w:pPr>
      <w:r>
        <w:rPr>
          <w:b/>
        </w:rPr>
        <w:t>9. pants</w:t>
      </w:r>
    </w:p>
    <w:p w14:paraId="64F1668C" w14:textId="77777777" w:rsidR="008F6F00" w:rsidRDefault="008F6F00" w:rsidP="008F6F00">
      <w:pPr>
        <w:jc w:val="both"/>
        <w:rPr>
          <w:lang w:val="en-US"/>
        </w:rPr>
      </w:pPr>
    </w:p>
    <w:p w14:paraId="1BF7EEB0" w14:textId="77777777" w:rsidR="00666695" w:rsidRPr="008F6F00" w:rsidRDefault="00666695" w:rsidP="008F6F00">
      <w:pPr>
        <w:jc w:val="both"/>
      </w:pPr>
      <w:r>
        <w:t>Nekādas atrunas saskaņā ar Konvencijas 57. pantu attiecībā uz šā protokola normām nav pieļaujamas.</w:t>
      </w:r>
    </w:p>
    <w:p w14:paraId="118CAA03" w14:textId="77777777" w:rsidR="008F6F00" w:rsidRDefault="008F6F00" w:rsidP="008F6F00">
      <w:pPr>
        <w:jc w:val="both"/>
        <w:rPr>
          <w:lang w:val="en-US"/>
        </w:rPr>
      </w:pPr>
    </w:p>
    <w:p w14:paraId="5C62E0EC" w14:textId="77777777" w:rsidR="00666695" w:rsidRPr="008F6F00" w:rsidRDefault="008F6F00" w:rsidP="00100EF9">
      <w:pPr>
        <w:keepNext/>
        <w:keepLines/>
        <w:jc w:val="both"/>
        <w:rPr>
          <w:b/>
        </w:rPr>
      </w:pPr>
      <w:r>
        <w:rPr>
          <w:b/>
        </w:rPr>
        <w:lastRenderedPageBreak/>
        <w:t>10. pants</w:t>
      </w:r>
    </w:p>
    <w:p w14:paraId="585BA18A" w14:textId="77777777" w:rsidR="008F6F00" w:rsidRDefault="008F6F00" w:rsidP="00100EF9">
      <w:pPr>
        <w:keepNext/>
        <w:keepLines/>
        <w:jc w:val="both"/>
        <w:rPr>
          <w:lang w:val="en-US"/>
        </w:rPr>
      </w:pPr>
    </w:p>
    <w:p w14:paraId="4E5102E0" w14:textId="6ACB8307" w:rsidR="00666695" w:rsidRPr="008F6F00" w:rsidRDefault="00666695" w:rsidP="008F6F00">
      <w:pPr>
        <w:jc w:val="both"/>
      </w:pPr>
      <w:r>
        <w:t xml:space="preserve">Ikviena Konvencijas Augstā Līgumslēdzēja Puse šā </w:t>
      </w:r>
      <w:r w:rsidR="00A06425">
        <w:t>p</w:t>
      </w:r>
      <w:r>
        <w:t>rotokola parakstīšanas laikā vai iesniedzot glabāšanā tā ratifikācijas, pieņemšanas vai apstiprināšanas instrumentu, Eiropas Padomes ģenerālsekretāram adresētā deklarācijā norāda šā protokola 1. panta 1. punkta mērķim izraudzītās tiesas. Šo deklarāciju var grozīt jebkurā laikā tādā pašā veidā.</w:t>
      </w:r>
    </w:p>
    <w:p w14:paraId="14E819C1" w14:textId="77777777" w:rsidR="008F6F00" w:rsidRDefault="008F6F00" w:rsidP="008F6F00">
      <w:pPr>
        <w:jc w:val="both"/>
        <w:rPr>
          <w:lang w:val="en-US"/>
        </w:rPr>
      </w:pPr>
    </w:p>
    <w:p w14:paraId="2730B471" w14:textId="77777777" w:rsidR="00666695" w:rsidRPr="008F6F00" w:rsidRDefault="00666695" w:rsidP="008F6F00">
      <w:pPr>
        <w:jc w:val="both"/>
        <w:rPr>
          <w:b/>
        </w:rPr>
      </w:pPr>
      <w:r>
        <w:rPr>
          <w:b/>
        </w:rPr>
        <w:t>11. pants</w:t>
      </w:r>
    </w:p>
    <w:p w14:paraId="128716CA" w14:textId="77777777" w:rsidR="008F6F00" w:rsidRDefault="008F6F00" w:rsidP="008F6F00">
      <w:pPr>
        <w:jc w:val="both"/>
        <w:rPr>
          <w:lang w:val="en-US"/>
        </w:rPr>
      </w:pPr>
    </w:p>
    <w:p w14:paraId="6381FEA6" w14:textId="77777777" w:rsidR="00666695" w:rsidRDefault="00666695" w:rsidP="008F6F00">
      <w:pPr>
        <w:jc w:val="both"/>
      </w:pPr>
      <w:r>
        <w:t>Eiropas Padomes ģenerālsekretārs paziņo Eiropas Padomes dalībvalstīm un citām Konvencijas Augstajām Līgumslēdzējām Pusēm par:</w:t>
      </w:r>
    </w:p>
    <w:p w14:paraId="0D131A26" w14:textId="77777777" w:rsidR="008F6F00" w:rsidRPr="008F6F00" w:rsidRDefault="008F6F00" w:rsidP="008F6F00">
      <w:pPr>
        <w:jc w:val="both"/>
        <w:rPr>
          <w:lang w:val="en-US"/>
        </w:rPr>
      </w:pPr>
    </w:p>
    <w:p w14:paraId="30DED03D" w14:textId="77777777" w:rsidR="00A62F3E" w:rsidRPr="008F6F00" w:rsidRDefault="00666695" w:rsidP="005935C6">
      <w:pPr>
        <w:ind w:left="284" w:hanging="284"/>
        <w:jc w:val="both"/>
      </w:pPr>
      <w:r>
        <w:t>a) ikvienu parakstu;</w:t>
      </w:r>
    </w:p>
    <w:p w14:paraId="6EE782FB" w14:textId="77777777" w:rsidR="008F6F00" w:rsidRDefault="008F6F00" w:rsidP="005935C6">
      <w:pPr>
        <w:ind w:left="284" w:hanging="284"/>
        <w:jc w:val="both"/>
        <w:rPr>
          <w:lang w:val="en-US"/>
        </w:rPr>
      </w:pPr>
    </w:p>
    <w:p w14:paraId="4298DAAF" w14:textId="77777777" w:rsidR="00A62F3E" w:rsidRPr="008F6F00" w:rsidRDefault="00666695" w:rsidP="005935C6">
      <w:pPr>
        <w:ind w:left="284" w:hanging="284"/>
        <w:jc w:val="both"/>
      </w:pPr>
      <w:r>
        <w:t>b) ikviena ratifikācijas raksta, pieņemšanas vai apstiprināšanas instrumenta deponēšanu;</w:t>
      </w:r>
    </w:p>
    <w:p w14:paraId="7D0A3D05" w14:textId="77777777" w:rsidR="008F6F00" w:rsidRDefault="008F6F00" w:rsidP="005935C6">
      <w:pPr>
        <w:ind w:left="284" w:hanging="284"/>
        <w:jc w:val="both"/>
        <w:rPr>
          <w:lang w:val="en-US"/>
        </w:rPr>
      </w:pPr>
    </w:p>
    <w:p w14:paraId="0CD3D3AB" w14:textId="77777777" w:rsidR="00A62F3E" w:rsidRPr="008F6F00" w:rsidRDefault="00666695" w:rsidP="005935C6">
      <w:pPr>
        <w:ind w:left="284" w:hanging="284"/>
        <w:jc w:val="both"/>
      </w:pPr>
      <w:r>
        <w:t>c) ikvienu datumu, ar kuru šis protokols stājas spēkā saskaņā ar 8. pantu;</w:t>
      </w:r>
    </w:p>
    <w:p w14:paraId="356BFB7F" w14:textId="77777777" w:rsidR="008F6F00" w:rsidRDefault="008F6F00" w:rsidP="005935C6">
      <w:pPr>
        <w:ind w:left="284" w:hanging="284"/>
        <w:jc w:val="both"/>
        <w:rPr>
          <w:lang w:val="en-US"/>
        </w:rPr>
      </w:pPr>
    </w:p>
    <w:p w14:paraId="0A9C0FB5" w14:textId="77777777" w:rsidR="00A62F3E" w:rsidRPr="008F6F00" w:rsidRDefault="00666695" w:rsidP="005935C6">
      <w:pPr>
        <w:ind w:left="284" w:hanging="284"/>
        <w:jc w:val="both"/>
      </w:pPr>
      <w:r>
        <w:t>d) ikvienu deklarāciju, kas iesniegta saskaņā ar 10. pantu, un</w:t>
      </w:r>
    </w:p>
    <w:p w14:paraId="20133AB1" w14:textId="77777777" w:rsidR="008F6F00" w:rsidRDefault="008F6F00" w:rsidP="005935C6">
      <w:pPr>
        <w:ind w:left="284" w:hanging="284"/>
        <w:jc w:val="both"/>
        <w:rPr>
          <w:lang w:val="en-US"/>
        </w:rPr>
      </w:pPr>
    </w:p>
    <w:p w14:paraId="1CBF6B06" w14:textId="77777777" w:rsidR="00666695" w:rsidRPr="008F6F00" w:rsidRDefault="00666695" w:rsidP="005935C6">
      <w:pPr>
        <w:ind w:left="284" w:hanging="284"/>
        <w:jc w:val="both"/>
      </w:pPr>
      <w:r>
        <w:t>e) jebkuru citu dokumentu deklarāciju vai informāciju, kas attiecas uz šo protokolu.</w:t>
      </w:r>
    </w:p>
    <w:p w14:paraId="76798D08" w14:textId="77777777" w:rsidR="008F6F00" w:rsidRDefault="008F6F00" w:rsidP="008F6F00">
      <w:pPr>
        <w:jc w:val="both"/>
        <w:rPr>
          <w:lang w:val="en-US"/>
        </w:rPr>
      </w:pPr>
    </w:p>
    <w:p w14:paraId="30247387" w14:textId="77777777" w:rsidR="008F6F00" w:rsidRDefault="008F6F00" w:rsidP="008F6F00">
      <w:pPr>
        <w:jc w:val="both"/>
        <w:rPr>
          <w:lang w:val="en-US"/>
        </w:rPr>
      </w:pPr>
    </w:p>
    <w:p w14:paraId="0170D332" w14:textId="77777777" w:rsidR="00666695" w:rsidRPr="008F6F00" w:rsidRDefault="00666695" w:rsidP="008F6F00">
      <w:pPr>
        <w:jc w:val="both"/>
      </w:pPr>
      <w:r>
        <w:t>To apliecinot, apakšā parakstījušies, attiecīgi pilnvaroti, parakstīja šo protokolu.</w:t>
      </w:r>
    </w:p>
    <w:p w14:paraId="6062CDC6" w14:textId="77777777" w:rsidR="008F6F00" w:rsidRDefault="008F6F00" w:rsidP="008F6F00">
      <w:pPr>
        <w:jc w:val="both"/>
        <w:rPr>
          <w:lang w:val="en-US"/>
        </w:rPr>
      </w:pPr>
    </w:p>
    <w:p w14:paraId="497D1001" w14:textId="77777777" w:rsidR="00666695" w:rsidRDefault="00666695" w:rsidP="008F6F00">
      <w:pPr>
        <w:jc w:val="both"/>
      </w:pPr>
      <w:r>
        <w:t>Parakstīts Strasbūrā 2013. gada 2. oktobrī angļu un franču valodā; abiem tekstiem esot vienlīdz autentiskiem, vienā eksemplārā, kas glabājas Eiropas Padomes arhīvā. Eiropas Padomes ģenerālsekretārs nosūta apliecinātas kopijas visām Eiropas Padomes dalībvalstīm un citām Konvencijas Augstajām Līgumslēdzējām Pusēm.</w:t>
      </w:r>
    </w:p>
    <w:p w14:paraId="5405F59D" w14:textId="77777777" w:rsidR="00801B47" w:rsidRPr="008F6F00" w:rsidRDefault="00801B47" w:rsidP="008F6F00">
      <w:pPr>
        <w:jc w:val="both"/>
        <w:rPr>
          <w:lang w:val="en-US"/>
        </w:rPr>
      </w:pPr>
    </w:p>
    <w:sectPr w:rsidR="00801B47" w:rsidRPr="008F6F00" w:rsidSect="00A62F3E">
      <w:headerReference w:type="default"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9BAC0B" w14:textId="77777777" w:rsidR="00E777E7" w:rsidRDefault="00E777E7" w:rsidP="00300963">
      <w:r>
        <w:separator/>
      </w:r>
    </w:p>
  </w:endnote>
  <w:endnote w:type="continuationSeparator" w:id="0">
    <w:p w14:paraId="6E13D753" w14:textId="77777777" w:rsidR="00E777E7" w:rsidRDefault="00E777E7" w:rsidP="00300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89794" w14:textId="77777777" w:rsidR="00CD322F" w:rsidRPr="009C04EC" w:rsidRDefault="00CD322F" w:rsidP="00CD322F">
    <w:pPr>
      <w:pStyle w:val="Header"/>
      <w:tabs>
        <w:tab w:val="left" w:pos="9072"/>
      </w:tabs>
      <w:rPr>
        <w:rStyle w:val="PageNumber"/>
        <w:noProof/>
        <w:sz w:val="20"/>
        <w:szCs w:val="20"/>
        <w:u w:val="single"/>
        <w:lang w:val="en-US"/>
      </w:rPr>
    </w:pPr>
  </w:p>
  <w:p w14:paraId="746BF69C" w14:textId="77777777" w:rsidR="00CD322F" w:rsidRPr="009C04EC" w:rsidRDefault="00CD322F" w:rsidP="00CD322F">
    <w:pPr>
      <w:pStyle w:val="Header"/>
      <w:tabs>
        <w:tab w:val="clear" w:pos="4513"/>
        <w:tab w:val="center" w:pos="9072"/>
      </w:tabs>
      <w:rPr>
        <w:noProof/>
        <w:sz w:val="20"/>
        <w:szCs w:val="20"/>
        <w:u w:val="single"/>
        <w:lang w:val="en-US"/>
      </w:rPr>
    </w:pPr>
    <w:r w:rsidRPr="009C04EC">
      <w:rPr>
        <w:noProof/>
        <w:sz w:val="20"/>
        <w:szCs w:val="20"/>
        <w:u w:val="single"/>
        <w:lang w:val="en-US"/>
      </w:rPr>
      <w:tab/>
    </w:r>
  </w:p>
  <w:p w14:paraId="6CE0A373" w14:textId="77777777" w:rsidR="00CD322F" w:rsidRPr="009C04EC" w:rsidRDefault="00CD322F" w:rsidP="00CD322F">
    <w:pPr>
      <w:pStyle w:val="Header"/>
      <w:tabs>
        <w:tab w:val="right" w:pos="9072"/>
      </w:tabs>
      <w:rPr>
        <w:rStyle w:val="PageNumber"/>
        <w:noProof/>
        <w:sz w:val="20"/>
        <w:szCs w:val="20"/>
        <w:u w:val="single"/>
        <w:lang w:val="en-US"/>
      </w:rPr>
    </w:pPr>
  </w:p>
  <w:p w14:paraId="7189828D" w14:textId="6BC469D3" w:rsidR="00300963" w:rsidRPr="00CD322F" w:rsidRDefault="00CD322F" w:rsidP="00CD322F">
    <w:pPr>
      <w:pStyle w:val="Footer"/>
      <w:tabs>
        <w:tab w:val="clear" w:pos="4513"/>
        <w:tab w:val="center" w:pos="9072"/>
      </w:tabs>
      <w:rPr>
        <w:noProof/>
        <w:sz w:val="20"/>
        <w:szCs w:val="20"/>
        <w:lang w:val="en-US"/>
      </w:rPr>
    </w:pPr>
    <w:r w:rsidRPr="009C04EC">
      <w:rPr>
        <w:noProof/>
        <w:sz w:val="20"/>
        <w:szCs w:val="20"/>
        <w:lang w:val="en-US"/>
      </w:rPr>
      <w:t xml:space="preserve">Tulkojums </w:t>
    </w:r>
    <w:r w:rsidRPr="009C04EC">
      <w:rPr>
        <w:noProof/>
        <w:sz w:val="20"/>
        <w:szCs w:val="20"/>
        <w:lang w:val="en-US"/>
      </w:rPr>
      <w:fldChar w:fldCharType="begin"/>
    </w:r>
    <w:r w:rsidRPr="009C04EC">
      <w:rPr>
        <w:noProof/>
        <w:sz w:val="20"/>
        <w:szCs w:val="20"/>
        <w:lang w:val="en-US"/>
      </w:rPr>
      <w:instrText>symbol 211 \f "Symbol" \s 9</w:instrText>
    </w:r>
    <w:r w:rsidRPr="009C04EC">
      <w:rPr>
        <w:noProof/>
        <w:sz w:val="20"/>
        <w:szCs w:val="20"/>
        <w:lang w:val="en-US"/>
      </w:rPr>
      <w:fldChar w:fldCharType="separate"/>
    </w:r>
    <w:r w:rsidRPr="009C04EC">
      <w:rPr>
        <w:noProof/>
        <w:sz w:val="20"/>
        <w:szCs w:val="20"/>
        <w:lang w:val="en-US"/>
      </w:rPr>
      <w:t>Ó</w:t>
    </w:r>
    <w:r w:rsidRPr="009C04EC">
      <w:rPr>
        <w:noProof/>
        <w:sz w:val="20"/>
        <w:szCs w:val="20"/>
        <w:lang w:val="en-US"/>
      </w:rPr>
      <w:fldChar w:fldCharType="end"/>
    </w:r>
    <w:r w:rsidRPr="009C04EC">
      <w:rPr>
        <w:noProof/>
        <w:sz w:val="20"/>
        <w:szCs w:val="20"/>
        <w:lang w:val="en-US"/>
      </w:rPr>
      <w:t xml:space="preserve"> Valsts valodas centrs, 202</w:t>
    </w:r>
    <w:r>
      <w:rPr>
        <w:noProof/>
        <w:sz w:val="20"/>
        <w:szCs w:val="20"/>
        <w:lang w:val="en-US"/>
      </w:rPr>
      <w:t>4</w:t>
    </w:r>
    <w:r w:rsidRPr="009C04EC">
      <w:rPr>
        <w:noProof/>
        <w:sz w:val="20"/>
        <w:szCs w:val="20"/>
        <w:lang w:val="en-US"/>
      </w:rPr>
      <w:tab/>
    </w:r>
    <w:r w:rsidRPr="009C04EC">
      <w:rPr>
        <w:rStyle w:val="PageNumber"/>
        <w:noProof/>
        <w:sz w:val="20"/>
        <w:szCs w:val="20"/>
        <w:lang w:val="en-US"/>
      </w:rPr>
      <w:fldChar w:fldCharType="begin"/>
    </w:r>
    <w:r w:rsidRPr="009C04EC">
      <w:rPr>
        <w:rStyle w:val="PageNumber"/>
        <w:noProof/>
        <w:sz w:val="20"/>
        <w:szCs w:val="20"/>
        <w:lang w:val="en-US"/>
      </w:rPr>
      <w:instrText xml:space="preserve">page </w:instrText>
    </w:r>
    <w:r w:rsidRPr="009C04EC">
      <w:rPr>
        <w:rStyle w:val="PageNumber"/>
        <w:noProof/>
        <w:sz w:val="20"/>
        <w:szCs w:val="20"/>
        <w:lang w:val="en-US"/>
      </w:rPr>
      <w:fldChar w:fldCharType="separate"/>
    </w:r>
    <w:r>
      <w:rPr>
        <w:rStyle w:val="PageNumber"/>
        <w:noProof/>
        <w:sz w:val="20"/>
        <w:szCs w:val="20"/>
        <w:lang w:val="en-US"/>
      </w:rPr>
      <w:t>2</w:t>
    </w:r>
    <w:r w:rsidRPr="009C04EC">
      <w:rPr>
        <w:rStyle w:val="PageNumber"/>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B11DC" w14:textId="77777777" w:rsidR="00003E01" w:rsidRPr="009C04EC" w:rsidRDefault="00003E01" w:rsidP="00003E01">
    <w:pPr>
      <w:pStyle w:val="Header"/>
      <w:tabs>
        <w:tab w:val="clear" w:pos="4513"/>
        <w:tab w:val="center" w:pos="9072"/>
      </w:tabs>
      <w:rPr>
        <w:noProof/>
        <w:sz w:val="20"/>
        <w:szCs w:val="20"/>
        <w:u w:val="single"/>
        <w:lang w:val="en-US"/>
      </w:rPr>
    </w:pPr>
    <w:r w:rsidRPr="009C04EC">
      <w:rPr>
        <w:noProof/>
        <w:sz w:val="20"/>
        <w:szCs w:val="20"/>
        <w:u w:val="single"/>
        <w:lang w:val="en-US"/>
      </w:rPr>
      <w:tab/>
    </w:r>
  </w:p>
  <w:p w14:paraId="5BB91EAE" w14:textId="77777777" w:rsidR="00003E01" w:rsidRPr="009C04EC" w:rsidRDefault="00003E01" w:rsidP="00003E01">
    <w:pPr>
      <w:pStyle w:val="Header"/>
      <w:tabs>
        <w:tab w:val="left" w:pos="9072"/>
      </w:tabs>
      <w:rPr>
        <w:rStyle w:val="PageNumber"/>
        <w:noProof/>
        <w:sz w:val="20"/>
        <w:szCs w:val="20"/>
        <w:u w:val="single"/>
        <w:lang w:val="en-US"/>
      </w:rPr>
    </w:pPr>
  </w:p>
  <w:p w14:paraId="1C42F880" w14:textId="270F01C0" w:rsidR="00300963" w:rsidRPr="00003E01" w:rsidRDefault="00003E01" w:rsidP="00003E01">
    <w:pPr>
      <w:pStyle w:val="Footer"/>
      <w:rPr>
        <w:noProof/>
        <w:sz w:val="20"/>
        <w:szCs w:val="20"/>
        <w:lang w:val="en-US"/>
      </w:rPr>
    </w:pPr>
    <w:r w:rsidRPr="009C04EC">
      <w:rPr>
        <w:noProof/>
        <w:sz w:val="20"/>
        <w:szCs w:val="20"/>
        <w:lang w:val="en-US"/>
      </w:rPr>
      <w:t xml:space="preserve">Tulkojums </w:t>
    </w:r>
    <w:r w:rsidRPr="009C04EC">
      <w:rPr>
        <w:noProof/>
        <w:sz w:val="20"/>
        <w:szCs w:val="20"/>
        <w:lang w:val="en-US"/>
      </w:rPr>
      <w:fldChar w:fldCharType="begin"/>
    </w:r>
    <w:r w:rsidRPr="009C04EC">
      <w:rPr>
        <w:noProof/>
        <w:sz w:val="20"/>
        <w:szCs w:val="20"/>
        <w:lang w:val="en-US"/>
      </w:rPr>
      <w:instrText>symbol 211 \f "Symbol" \s 9</w:instrText>
    </w:r>
    <w:r w:rsidRPr="009C04EC">
      <w:rPr>
        <w:noProof/>
        <w:sz w:val="20"/>
        <w:szCs w:val="20"/>
        <w:lang w:val="en-US"/>
      </w:rPr>
      <w:fldChar w:fldCharType="separate"/>
    </w:r>
    <w:r w:rsidRPr="009C04EC">
      <w:rPr>
        <w:noProof/>
        <w:sz w:val="20"/>
        <w:szCs w:val="20"/>
        <w:lang w:val="en-US"/>
      </w:rPr>
      <w:t>Ó</w:t>
    </w:r>
    <w:r w:rsidRPr="009C04EC">
      <w:rPr>
        <w:noProof/>
        <w:sz w:val="20"/>
        <w:szCs w:val="20"/>
        <w:lang w:val="en-US"/>
      </w:rPr>
      <w:fldChar w:fldCharType="end"/>
    </w:r>
    <w:r w:rsidRPr="009C04EC">
      <w:rPr>
        <w:noProof/>
        <w:sz w:val="20"/>
        <w:szCs w:val="20"/>
        <w:lang w:val="en-US"/>
      </w:rPr>
      <w:t xml:space="preserve"> Valsts valodas centrs, 202</w:t>
    </w:r>
    <w:r>
      <w:rPr>
        <w:noProof/>
        <w:sz w:val="20"/>
        <w:szCs w:val="20"/>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429A8" w14:textId="77777777" w:rsidR="00E777E7" w:rsidRDefault="00E777E7" w:rsidP="00300963">
      <w:r>
        <w:separator/>
      </w:r>
    </w:p>
  </w:footnote>
  <w:footnote w:type="continuationSeparator" w:id="0">
    <w:p w14:paraId="61B7065C" w14:textId="77777777" w:rsidR="00E777E7" w:rsidRDefault="00E777E7" w:rsidP="00300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F1E08" w14:textId="77777777" w:rsidR="001E117F" w:rsidRPr="009C04EC" w:rsidRDefault="001E117F" w:rsidP="001E117F">
    <w:pPr>
      <w:pStyle w:val="Header"/>
      <w:rPr>
        <w:rStyle w:val="PageNumber"/>
        <w:noProof/>
        <w:sz w:val="18"/>
        <w:szCs w:val="18"/>
        <w:u w:val="single"/>
        <w:lang w:val="en-US"/>
      </w:rPr>
    </w:pPr>
  </w:p>
  <w:p w14:paraId="5F4FF13F" w14:textId="77777777" w:rsidR="001E117F" w:rsidRPr="009C04EC" w:rsidRDefault="001E117F" w:rsidP="001E117F">
    <w:pPr>
      <w:pStyle w:val="Header"/>
      <w:tabs>
        <w:tab w:val="clear" w:pos="4513"/>
        <w:tab w:val="center" w:pos="9072"/>
      </w:tabs>
      <w:rPr>
        <w:noProof/>
        <w:sz w:val="18"/>
        <w:szCs w:val="18"/>
        <w:u w:val="single"/>
        <w:lang w:val="en-US"/>
      </w:rPr>
    </w:pPr>
    <w:r w:rsidRPr="009C04EC">
      <w:rPr>
        <w:noProof/>
        <w:sz w:val="18"/>
        <w:szCs w:val="18"/>
        <w:u w:val="single"/>
        <w:lang w:val="en-US"/>
      </w:rPr>
      <w:tab/>
    </w:r>
  </w:p>
  <w:p w14:paraId="078C5CB3" w14:textId="77777777" w:rsidR="00300963" w:rsidRDefault="003009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41360" w14:textId="77777777" w:rsidR="00300963" w:rsidRPr="005D04BD" w:rsidRDefault="00300963" w:rsidP="00300963">
    <w:pPr>
      <w:pBdr>
        <w:bottom w:val="single" w:sz="12" w:space="5" w:color="auto"/>
      </w:pBdr>
      <w:rPr>
        <w:spacing w:val="-2"/>
        <w:sz w:val="18"/>
        <w:szCs w:val="18"/>
      </w:rPr>
    </w:pPr>
  </w:p>
  <w:p w14:paraId="2CA86C50" w14:textId="77777777" w:rsidR="00300963" w:rsidRDefault="003009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21D"/>
    <w:rsid w:val="00003E01"/>
    <w:rsid w:val="0008125C"/>
    <w:rsid w:val="0009654F"/>
    <w:rsid w:val="00100EF9"/>
    <w:rsid w:val="001E117F"/>
    <w:rsid w:val="00300963"/>
    <w:rsid w:val="00374688"/>
    <w:rsid w:val="003F423F"/>
    <w:rsid w:val="005935C6"/>
    <w:rsid w:val="00666695"/>
    <w:rsid w:val="00697E53"/>
    <w:rsid w:val="006A27FB"/>
    <w:rsid w:val="006C2ED6"/>
    <w:rsid w:val="00714CAA"/>
    <w:rsid w:val="00801B47"/>
    <w:rsid w:val="008025A2"/>
    <w:rsid w:val="00816ACC"/>
    <w:rsid w:val="008F6F00"/>
    <w:rsid w:val="00A03034"/>
    <w:rsid w:val="00A06425"/>
    <w:rsid w:val="00A62F3E"/>
    <w:rsid w:val="00A77DBA"/>
    <w:rsid w:val="00B33625"/>
    <w:rsid w:val="00BD321D"/>
    <w:rsid w:val="00CD322F"/>
    <w:rsid w:val="00E777E7"/>
    <w:rsid w:val="00EB6F88"/>
    <w:rsid w:val="00FF1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399B2"/>
  <w15:chartTrackingRefBased/>
  <w15:docId w15:val="{248A2DEA-8DFC-46D6-B253-DD1E6015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lv-LV"/>
    </w:rPr>
  </w:style>
  <w:style w:type="paragraph" w:styleId="Heading2">
    <w:name w:val="heading 2"/>
    <w:basedOn w:val="Normal"/>
    <w:qFormat/>
    <w:rsid w:val="00666695"/>
    <w:pPr>
      <w:spacing w:before="100" w:beforeAutospacing="1" w:after="100" w:afterAutospacing="1"/>
      <w:outlineLvl w:val="1"/>
    </w:pPr>
    <w:rPr>
      <w:b/>
      <w:bCs/>
      <w:sz w:val="36"/>
      <w:szCs w:val="36"/>
    </w:rPr>
  </w:style>
  <w:style w:type="paragraph" w:styleId="Heading3">
    <w:name w:val="heading 3"/>
    <w:basedOn w:val="Normal"/>
    <w:qFormat/>
    <w:rsid w:val="0066669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66695"/>
    <w:pPr>
      <w:spacing w:before="100" w:beforeAutospacing="1" w:after="100" w:afterAutospacing="1"/>
    </w:pPr>
  </w:style>
  <w:style w:type="character" w:styleId="Hyperlink">
    <w:name w:val="Hyperlink"/>
    <w:basedOn w:val="DefaultParagraphFont"/>
    <w:rsid w:val="00666695"/>
    <w:rPr>
      <w:color w:val="0000FF"/>
      <w:u w:val="single"/>
    </w:rPr>
  </w:style>
  <w:style w:type="paragraph" w:customStyle="1" w:styleId="bttitreb">
    <w:name w:val="bttitreb"/>
    <w:basedOn w:val="Normal"/>
    <w:rsid w:val="00666695"/>
    <w:pPr>
      <w:spacing w:before="100" w:beforeAutospacing="1" w:after="100" w:afterAutospacing="1"/>
    </w:pPr>
  </w:style>
  <w:style w:type="character" w:styleId="Emphasis">
    <w:name w:val="Emphasis"/>
    <w:basedOn w:val="DefaultParagraphFont"/>
    <w:qFormat/>
    <w:rsid w:val="00666695"/>
    <w:rPr>
      <w:i/>
      <w:iCs/>
    </w:rPr>
  </w:style>
  <w:style w:type="paragraph" w:styleId="Header">
    <w:name w:val="header"/>
    <w:basedOn w:val="Normal"/>
    <w:link w:val="HeaderChar"/>
    <w:unhideWhenUsed/>
    <w:rsid w:val="00300963"/>
    <w:pPr>
      <w:tabs>
        <w:tab w:val="center" w:pos="4513"/>
        <w:tab w:val="right" w:pos="9026"/>
      </w:tabs>
    </w:pPr>
  </w:style>
  <w:style w:type="character" w:customStyle="1" w:styleId="HeaderChar">
    <w:name w:val="Header Char"/>
    <w:basedOn w:val="DefaultParagraphFont"/>
    <w:link w:val="Header"/>
    <w:uiPriority w:val="99"/>
    <w:rsid w:val="00300963"/>
    <w:rPr>
      <w:sz w:val="24"/>
      <w:szCs w:val="24"/>
      <w:lang w:eastAsia="lv-LV"/>
    </w:rPr>
  </w:style>
  <w:style w:type="paragraph" w:styleId="Footer">
    <w:name w:val="footer"/>
    <w:basedOn w:val="Normal"/>
    <w:link w:val="FooterChar"/>
    <w:unhideWhenUsed/>
    <w:rsid w:val="00300963"/>
    <w:pPr>
      <w:tabs>
        <w:tab w:val="center" w:pos="4513"/>
        <w:tab w:val="right" w:pos="9026"/>
      </w:tabs>
    </w:pPr>
  </w:style>
  <w:style w:type="character" w:customStyle="1" w:styleId="FooterChar">
    <w:name w:val="Footer Char"/>
    <w:basedOn w:val="DefaultParagraphFont"/>
    <w:link w:val="Footer"/>
    <w:uiPriority w:val="99"/>
    <w:rsid w:val="00300963"/>
    <w:rPr>
      <w:sz w:val="24"/>
      <w:szCs w:val="24"/>
      <w:lang w:eastAsia="lv-LV"/>
    </w:rPr>
  </w:style>
  <w:style w:type="character" w:styleId="PageNumber">
    <w:name w:val="page number"/>
    <w:basedOn w:val="DefaultParagraphFont"/>
    <w:semiHidden/>
    <w:rsid w:val="006C2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442504">
      <w:bodyDiv w:val="1"/>
      <w:marLeft w:val="0"/>
      <w:marRight w:val="0"/>
      <w:marTop w:val="0"/>
      <w:marBottom w:val="0"/>
      <w:divBdr>
        <w:top w:val="none" w:sz="0" w:space="0" w:color="auto"/>
        <w:left w:val="none" w:sz="0" w:space="0" w:color="auto"/>
        <w:bottom w:val="none" w:sz="0" w:space="0" w:color="auto"/>
        <w:right w:val="none" w:sz="0" w:space="0" w:color="auto"/>
      </w:divBdr>
      <w:divsChild>
        <w:div w:id="270599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B478A6-0830-4ED5-9996-A4DEFF984BC6}">
  <ds:schemaRefs>
    <ds:schemaRef ds:uri="http://purl.org/dc/terms/"/>
    <ds:schemaRef ds:uri="http://schemas.microsoft.com/office/infopath/2007/PartnerControls"/>
    <ds:schemaRef ds:uri="http://purl.org/dc/dcmitype/"/>
    <ds:schemaRef ds:uri="http://www.w3.org/XML/1998/namespace"/>
    <ds:schemaRef ds:uri="05fc81c9-325d-42ab-a312-d2989bc4c6c1"/>
    <ds:schemaRef ds:uri="1d57a815-79e8-498e-8f04-9c2e9221b678"/>
    <ds:schemaRef ds:uri="http://purl.org/dc/elements/1.1/"/>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760557A4-CA53-4142-84B6-BA8131F4C09E}">
  <ds:schemaRefs>
    <ds:schemaRef ds:uri="http://schemas.microsoft.com/sharepoint/v3/contenttype/forms"/>
  </ds:schemaRefs>
</ds:datastoreItem>
</file>

<file path=customXml/itemProps3.xml><?xml version="1.0" encoding="utf-8"?>
<ds:datastoreItem xmlns:ds="http://schemas.openxmlformats.org/officeDocument/2006/customXml" ds:itemID="{BB27C297-B215-442C-BE0C-A82D78537F13}">
  <ds:schemaRefs>
    <ds:schemaRef ds:uri="http://schemas.microsoft.com/office/2006/metadata/longProperties"/>
  </ds:schemaRefs>
</ds:datastoreItem>
</file>

<file path=customXml/itemProps4.xml><?xml version="1.0" encoding="utf-8"?>
<ds:datastoreItem xmlns:ds="http://schemas.openxmlformats.org/officeDocument/2006/customXml" ds:itemID="{AF886019-B818-493F-8880-5342137B2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701</Words>
  <Characters>4849</Characters>
  <Application>Microsoft Office Word</Application>
  <DocSecurity>0</DocSecurity>
  <Lines>95</Lines>
  <Paragraphs>56</Paragraphs>
  <ScaleCrop>false</ScaleCrop>
  <HeadingPairs>
    <vt:vector size="2" baseType="variant">
      <vt:variant>
        <vt:lpstr>Title</vt:lpstr>
      </vt:variant>
      <vt:variant>
        <vt:i4>1</vt:i4>
      </vt:variant>
    </vt:vector>
  </HeadingPairs>
  <TitlesOfParts>
    <vt:vector size="1" baseType="lpstr">
      <vt:lpstr> </vt:lpstr>
    </vt:vector>
  </TitlesOfParts>
  <Company>VVC</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ldombrovska</dc:creator>
  <cp:keywords/>
  <dc:description/>
  <cp:lastModifiedBy>Emīlija Līga Poga</cp:lastModifiedBy>
  <cp:revision>14</cp:revision>
  <dcterms:created xsi:type="dcterms:W3CDTF">2024-06-17T06:07:00Z</dcterms:created>
  <dcterms:modified xsi:type="dcterms:W3CDTF">2024-08-26T09:15:00Z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927800.000000000</vt:lpwstr>
  </property>
  <property fmtid="{D5CDD505-2E9C-101B-9397-08002B2CF9AE}" pid="3" name="ContentTypeId">
    <vt:lpwstr>0x0101006747409639620A48BB08F713A1AC624B</vt:lpwstr>
  </property>
  <property fmtid="{D5CDD505-2E9C-101B-9397-08002B2CF9AE}" pid="4" name="MediaServiceImageTags">
    <vt:lpwstr/>
  </property>
</Properties>
</file>