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96"/>
        <w:gridCol w:w="3483"/>
        <w:gridCol w:w="3452"/>
      </w:tblGrid>
      <w:tr w:rsidR="0072474B" w:rsidRPr="00504F7E" w14:paraId="1DE3B056" w14:textId="77777777" w:rsidTr="0072474B">
        <w:tc>
          <w:tcPr>
            <w:tcW w:w="1203" w:type="pct"/>
          </w:tcPr>
          <w:p w14:paraId="37F72862" w14:textId="33B6B0D2" w:rsidR="0072474B" w:rsidRPr="00504F7E" w:rsidRDefault="0072474B" w:rsidP="00D1306E">
            <w:pPr>
              <w:jc w:val="both"/>
              <w:rPr>
                <w:rFonts w:ascii="Times New Roman" w:hAnsi="Times New Roman" w:cs="Times New Roman"/>
                <w:noProof/>
                <w:sz w:val="24"/>
              </w:rPr>
            </w:pPr>
          </w:p>
        </w:tc>
        <w:tc>
          <w:tcPr>
            <w:tcW w:w="1907" w:type="pct"/>
          </w:tcPr>
          <w:p w14:paraId="1FD4F844" w14:textId="07A1E383" w:rsidR="0072474B" w:rsidRPr="00504F7E" w:rsidRDefault="0072474B" w:rsidP="0072474B">
            <w:pPr>
              <w:ind w:right="97"/>
              <w:jc w:val="center"/>
              <w:rPr>
                <w:rFonts w:ascii="Times New Roman" w:hAnsi="Times New Roman" w:cs="Times New Roman"/>
                <w:noProof/>
                <w:sz w:val="20"/>
                <w:szCs w:val="18"/>
              </w:rPr>
            </w:pPr>
            <w:r w:rsidRPr="00504F7E">
              <w:rPr>
                <w:rFonts w:ascii="Times New Roman" w:hAnsi="Times New Roman" w:cs="Times New Roman"/>
                <w:i/>
                <w:iCs/>
                <w:sz w:val="20"/>
              </w:rPr>
              <w:t>AMC</w:t>
            </w:r>
            <w:r w:rsidRPr="00504F7E">
              <w:rPr>
                <w:rFonts w:ascii="Times New Roman" w:hAnsi="Times New Roman" w:cs="Times New Roman"/>
                <w:sz w:val="20"/>
              </w:rPr>
              <w:t xml:space="preserve"> un </w:t>
            </w:r>
            <w:r w:rsidRPr="00504F7E">
              <w:rPr>
                <w:rFonts w:ascii="Times New Roman" w:hAnsi="Times New Roman" w:cs="Times New Roman"/>
                <w:i/>
                <w:iCs/>
                <w:sz w:val="20"/>
              </w:rPr>
              <w:t>GM</w:t>
            </w:r>
            <w:r w:rsidRPr="00504F7E">
              <w:rPr>
                <w:rFonts w:ascii="Times New Roman" w:hAnsi="Times New Roman" w:cs="Times New Roman"/>
                <w:sz w:val="20"/>
              </w:rPr>
              <w:t xml:space="preserve"> par Regulas (ES) 1178/2011 </w:t>
            </w:r>
            <w:r w:rsidRPr="00504F7E">
              <w:rPr>
                <w:rFonts w:ascii="Times New Roman" w:hAnsi="Times New Roman" w:cs="Times New Roman"/>
                <w:i/>
                <w:iCs/>
                <w:sz w:val="20"/>
              </w:rPr>
              <w:t>ARA</w:t>
            </w:r>
            <w:r w:rsidRPr="00504F7E">
              <w:rPr>
                <w:rFonts w:ascii="Times New Roman" w:hAnsi="Times New Roman" w:cs="Times New Roman"/>
                <w:sz w:val="20"/>
              </w:rPr>
              <w:t> daļu</w:t>
            </w:r>
          </w:p>
        </w:tc>
        <w:tc>
          <w:tcPr>
            <w:tcW w:w="1891" w:type="pct"/>
          </w:tcPr>
          <w:p w14:paraId="4845192D" w14:textId="0DA957EE" w:rsidR="0072474B" w:rsidRPr="00504F7E" w:rsidRDefault="0072474B" w:rsidP="0072474B">
            <w:pPr>
              <w:jc w:val="center"/>
              <w:rPr>
                <w:rFonts w:ascii="Times New Roman" w:hAnsi="Times New Roman" w:cs="Times New Roman"/>
                <w:noProof/>
                <w:sz w:val="20"/>
                <w:szCs w:val="18"/>
              </w:rPr>
            </w:pPr>
            <w:r w:rsidRPr="00504F7E">
              <w:rPr>
                <w:rFonts w:ascii="Times New Roman" w:hAnsi="Times New Roman" w:cs="Times New Roman"/>
                <w:i/>
                <w:iCs/>
                <w:sz w:val="20"/>
              </w:rPr>
              <w:t>ED</w:t>
            </w:r>
            <w:r w:rsidRPr="00504F7E">
              <w:rPr>
                <w:rFonts w:ascii="Times New Roman" w:hAnsi="Times New Roman" w:cs="Times New Roman"/>
                <w:sz w:val="20"/>
              </w:rPr>
              <w:t xml:space="preserve"> Lēmuma 2021/002/R V pielikums</w:t>
            </w:r>
          </w:p>
        </w:tc>
      </w:tr>
    </w:tbl>
    <w:p w14:paraId="70D6338A" w14:textId="02AA33BF" w:rsidR="0072474B" w:rsidRPr="00504F7E" w:rsidRDefault="00E52AB2" w:rsidP="00D1306E">
      <w:pPr>
        <w:jc w:val="both"/>
        <w:rPr>
          <w:rFonts w:ascii="Times New Roman" w:hAnsi="Times New Roman" w:cs="Times New Roman"/>
          <w:noProof/>
          <w:sz w:val="24"/>
        </w:rPr>
      </w:pPr>
      <w:r w:rsidRPr="00504F7E">
        <w:rPr>
          <w:rFonts w:ascii="Times New Roman" w:hAnsi="Times New Roman" w:cs="Times New Roman"/>
          <w:noProof/>
          <w:sz w:val="24"/>
        </w:rPr>
        <w:drawing>
          <wp:anchor distT="0" distB="0" distL="0" distR="0" simplePos="0" relativeHeight="251659264" behindDoc="0" locked="0" layoutInCell="1" allowOverlap="1" wp14:anchorId="09D0E2C0" wp14:editId="30C2EEF6">
            <wp:simplePos x="0" y="0"/>
            <wp:positionH relativeFrom="page">
              <wp:posOffset>1097280</wp:posOffset>
            </wp:positionH>
            <wp:positionV relativeFrom="paragraph">
              <wp:posOffset>-299508</wp:posOffset>
            </wp:positionV>
            <wp:extent cx="1266825" cy="396240"/>
            <wp:effectExtent l="0" t="0" r="0" b="0"/>
            <wp:wrapNone/>
            <wp:docPr id="1" name="image1.png"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ue and black logo&#10;&#10;Description automatically generated"/>
                    <pic:cNvPicPr/>
                  </pic:nvPicPr>
                  <pic:blipFill>
                    <a:blip r:embed="rId10" cstate="print"/>
                    <a:stretch>
                      <a:fillRect/>
                    </a:stretch>
                  </pic:blipFill>
                  <pic:spPr>
                    <a:xfrm>
                      <a:off x="0" y="0"/>
                      <a:ext cx="1266825" cy="396240"/>
                    </a:xfrm>
                    <a:prstGeom prst="rect">
                      <a:avLst/>
                    </a:prstGeom>
                  </pic:spPr>
                </pic:pic>
              </a:graphicData>
            </a:graphic>
          </wp:anchor>
        </w:drawing>
      </w:r>
    </w:p>
    <w:p w14:paraId="3BBD5B7E" w14:textId="31D514A9" w:rsidR="0072474B" w:rsidRPr="00504F7E" w:rsidRDefault="0072474B" w:rsidP="00D1306E">
      <w:pPr>
        <w:jc w:val="both"/>
        <w:rPr>
          <w:rFonts w:ascii="Times New Roman" w:hAnsi="Times New Roman" w:cs="Times New Roman"/>
          <w:noProof/>
          <w:sz w:val="24"/>
        </w:rPr>
      </w:pPr>
    </w:p>
    <w:p w14:paraId="5919034A" w14:textId="37F22040" w:rsidR="00D1306E" w:rsidRPr="00504F7E" w:rsidRDefault="00D1306E" w:rsidP="0072474B">
      <w:pPr>
        <w:jc w:val="center"/>
        <w:rPr>
          <w:rFonts w:ascii="Times New Roman" w:hAnsi="Times New Roman" w:cs="Times New Roman"/>
          <w:noProof/>
          <w:sz w:val="24"/>
        </w:rPr>
      </w:pPr>
    </w:p>
    <w:p w14:paraId="1405473D" w14:textId="0E707C53" w:rsidR="00647609" w:rsidRPr="00504F7E" w:rsidRDefault="00647609" w:rsidP="0072474B">
      <w:pPr>
        <w:jc w:val="center"/>
        <w:rPr>
          <w:rFonts w:ascii="Times New Roman" w:hAnsi="Times New Roman" w:cs="Times New Roman"/>
          <w:b/>
          <w:noProof/>
          <w:sz w:val="24"/>
        </w:rPr>
      </w:pPr>
      <w:r w:rsidRPr="00504F7E">
        <w:rPr>
          <w:rFonts w:ascii="Times New Roman" w:hAnsi="Times New Roman" w:cs="Times New Roman"/>
          <w:b/>
          <w:sz w:val="24"/>
        </w:rPr>
        <w:t>“</w:t>
      </w:r>
      <w:r w:rsidRPr="00504F7E">
        <w:rPr>
          <w:rFonts w:ascii="Times New Roman" w:hAnsi="Times New Roman" w:cs="Times New Roman"/>
          <w:b/>
          <w:i/>
          <w:iCs/>
          <w:sz w:val="24"/>
        </w:rPr>
        <w:t>AMC</w:t>
      </w:r>
      <w:r w:rsidRPr="00504F7E">
        <w:rPr>
          <w:rFonts w:ascii="Times New Roman" w:hAnsi="Times New Roman" w:cs="Times New Roman"/>
          <w:b/>
          <w:sz w:val="24"/>
        </w:rPr>
        <w:t xml:space="preserve"> un </w:t>
      </w:r>
      <w:r w:rsidRPr="00504F7E">
        <w:rPr>
          <w:rFonts w:ascii="Times New Roman" w:hAnsi="Times New Roman" w:cs="Times New Roman"/>
          <w:b/>
          <w:i/>
          <w:iCs/>
          <w:sz w:val="24"/>
        </w:rPr>
        <w:t>GM</w:t>
      </w:r>
      <w:r w:rsidRPr="00504F7E">
        <w:rPr>
          <w:rFonts w:ascii="Times New Roman" w:hAnsi="Times New Roman" w:cs="Times New Roman"/>
          <w:b/>
          <w:sz w:val="24"/>
        </w:rPr>
        <w:t xml:space="preserve"> par </w:t>
      </w:r>
      <w:r w:rsidRPr="00504F7E">
        <w:rPr>
          <w:rFonts w:ascii="Times New Roman" w:hAnsi="Times New Roman" w:cs="Times New Roman"/>
          <w:b/>
          <w:i/>
          <w:iCs/>
          <w:sz w:val="24"/>
        </w:rPr>
        <w:t>ARA</w:t>
      </w:r>
      <w:r w:rsidRPr="00504F7E">
        <w:rPr>
          <w:rFonts w:ascii="Times New Roman" w:hAnsi="Times New Roman" w:cs="Times New Roman"/>
          <w:b/>
          <w:sz w:val="24"/>
        </w:rPr>
        <w:t> daļu. 1. izdevums, 11. grozījums”</w:t>
      </w:r>
    </w:p>
    <w:p w14:paraId="298A9896" w14:textId="77777777" w:rsidR="00647609" w:rsidRPr="00504F7E" w:rsidRDefault="00647609" w:rsidP="00D1306E">
      <w:pPr>
        <w:jc w:val="both"/>
        <w:rPr>
          <w:rFonts w:ascii="Times New Roman" w:hAnsi="Times New Roman" w:cs="Times New Roman"/>
          <w:b/>
          <w:noProof/>
          <w:sz w:val="24"/>
        </w:rPr>
      </w:pPr>
    </w:p>
    <w:p w14:paraId="450C8E3E" w14:textId="77777777" w:rsidR="00647609" w:rsidRPr="00504F7E" w:rsidRDefault="00647609" w:rsidP="00D1306E">
      <w:pPr>
        <w:jc w:val="both"/>
        <w:rPr>
          <w:rFonts w:ascii="Times New Roman" w:hAnsi="Times New Roman" w:cs="Times New Roman"/>
          <w:b/>
          <w:noProof/>
          <w:sz w:val="24"/>
        </w:rPr>
      </w:pPr>
    </w:p>
    <w:p w14:paraId="0DB9B742" w14:textId="77777777" w:rsidR="00647609" w:rsidRPr="00504F7E" w:rsidRDefault="00647609" w:rsidP="00D1306E">
      <w:pPr>
        <w:jc w:val="both"/>
        <w:rPr>
          <w:rFonts w:ascii="Times New Roman" w:hAnsi="Times New Roman" w:cs="Times New Roman"/>
          <w:noProof/>
          <w:sz w:val="24"/>
        </w:rPr>
      </w:pPr>
      <w:r w:rsidRPr="00504F7E">
        <w:rPr>
          <w:rFonts w:ascii="Times New Roman" w:hAnsi="Times New Roman" w:cs="Times New Roman"/>
          <w:i/>
          <w:iCs/>
          <w:sz w:val="24"/>
        </w:rPr>
        <w:t>ED</w:t>
      </w:r>
      <w:r w:rsidRPr="00504F7E">
        <w:rPr>
          <w:rFonts w:ascii="Times New Roman" w:hAnsi="Times New Roman" w:cs="Times New Roman"/>
          <w:sz w:val="24"/>
        </w:rPr>
        <w:t> Lēmuma 2012/006/R pielikumu groza, kā norādīts turpmāk.</w:t>
      </w:r>
    </w:p>
    <w:p w14:paraId="23B9648A" w14:textId="77777777" w:rsidR="0072474B" w:rsidRPr="00504F7E" w:rsidRDefault="0072474B" w:rsidP="00D1306E">
      <w:pPr>
        <w:jc w:val="both"/>
        <w:rPr>
          <w:rFonts w:ascii="Times New Roman" w:hAnsi="Times New Roman" w:cs="Times New Roman"/>
          <w:noProof/>
          <w:sz w:val="24"/>
        </w:rPr>
      </w:pPr>
    </w:p>
    <w:p w14:paraId="28B808CA" w14:textId="77777777" w:rsidR="00647609" w:rsidRPr="00504F7E" w:rsidRDefault="00647609" w:rsidP="00D1306E">
      <w:pPr>
        <w:jc w:val="both"/>
        <w:rPr>
          <w:rFonts w:ascii="Times New Roman" w:hAnsi="Times New Roman" w:cs="Times New Roman"/>
          <w:noProof/>
          <w:sz w:val="24"/>
        </w:rPr>
      </w:pPr>
      <w:r w:rsidRPr="00504F7E">
        <w:rPr>
          <w:rFonts w:ascii="Times New Roman" w:hAnsi="Times New Roman" w:cs="Times New Roman"/>
          <w:sz w:val="24"/>
        </w:rPr>
        <w:t>Grozījuma teksts ir izkārtots tā, lai parādītu gan svītroto tekstu, gan jauno vai grozīto tekstu:</w:t>
      </w:r>
    </w:p>
    <w:p w14:paraId="3735EE7F" w14:textId="45608417" w:rsidR="00647609" w:rsidRPr="00504F7E" w:rsidRDefault="00E52AB2" w:rsidP="00E52AB2">
      <w:pPr>
        <w:ind w:left="284" w:hanging="284"/>
        <w:jc w:val="both"/>
        <w:rPr>
          <w:rFonts w:ascii="Times New Roman" w:hAnsi="Times New Roman" w:cs="Times New Roman"/>
          <w:noProof/>
          <w:sz w:val="24"/>
        </w:rPr>
      </w:pPr>
      <w:r w:rsidRPr="00504F7E">
        <w:rPr>
          <w:rFonts w:ascii="Times New Roman" w:hAnsi="Times New Roman" w:cs="Times New Roman"/>
          <w:sz w:val="24"/>
        </w:rPr>
        <w:t xml:space="preserve">a) svītrotais teksts ir </w:t>
      </w:r>
      <w:r w:rsidRPr="00504F7E">
        <w:rPr>
          <w:rFonts w:ascii="Times New Roman" w:hAnsi="Times New Roman" w:cs="Times New Roman"/>
          <w:strike/>
          <w:color w:val="FF0000"/>
          <w:sz w:val="24"/>
        </w:rPr>
        <w:t>pārsvītrots</w:t>
      </w:r>
      <w:r w:rsidRPr="00504F7E">
        <w:rPr>
          <w:rFonts w:ascii="Times New Roman" w:hAnsi="Times New Roman" w:cs="Times New Roman"/>
          <w:sz w:val="24"/>
        </w:rPr>
        <w:t>;</w:t>
      </w:r>
    </w:p>
    <w:p w14:paraId="2B0B520F" w14:textId="52F1B6AD" w:rsidR="00647609" w:rsidRPr="00504F7E" w:rsidRDefault="00E52AB2" w:rsidP="00E52AB2">
      <w:pPr>
        <w:ind w:left="284" w:hanging="284"/>
        <w:jc w:val="both"/>
        <w:rPr>
          <w:rFonts w:ascii="Times New Roman" w:hAnsi="Times New Roman" w:cs="Times New Roman"/>
          <w:noProof/>
          <w:sz w:val="24"/>
        </w:rPr>
      </w:pPr>
      <w:r w:rsidRPr="00504F7E">
        <w:rPr>
          <w:rFonts w:ascii="Times New Roman" w:hAnsi="Times New Roman" w:cs="Times New Roman"/>
          <w:sz w:val="24"/>
        </w:rPr>
        <w:t xml:space="preserve">b) jaunais vai grozītais teksts ir iekrāsots </w:t>
      </w:r>
      <w:r w:rsidRPr="00504F7E">
        <w:rPr>
          <w:rFonts w:ascii="Times New Roman" w:hAnsi="Times New Roman" w:cs="Times New Roman"/>
          <w:sz w:val="24"/>
          <w:highlight w:val="cyan"/>
        </w:rPr>
        <w:t>zilā</w:t>
      </w:r>
      <w:r w:rsidRPr="00504F7E">
        <w:rPr>
          <w:rFonts w:ascii="Times New Roman" w:hAnsi="Times New Roman" w:cs="Times New Roman"/>
          <w:sz w:val="24"/>
        </w:rPr>
        <w:t xml:space="preserve"> krāsā;</w:t>
      </w:r>
    </w:p>
    <w:p w14:paraId="6C57CDB5" w14:textId="7F3FEBCF" w:rsidR="00647609" w:rsidRPr="00504F7E" w:rsidRDefault="00E52AB2" w:rsidP="00E52AB2">
      <w:pPr>
        <w:ind w:left="284" w:hanging="284"/>
        <w:jc w:val="both"/>
        <w:rPr>
          <w:rFonts w:ascii="Times New Roman" w:hAnsi="Times New Roman" w:cs="Times New Roman"/>
          <w:noProof/>
          <w:sz w:val="24"/>
        </w:rPr>
      </w:pPr>
      <w:r w:rsidRPr="00504F7E">
        <w:rPr>
          <w:rFonts w:ascii="Times New Roman" w:hAnsi="Times New Roman" w:cs="Times New Roman"/>
          <w:sz w:val="24"/>
        </w:rPr>
        <w:t>c) divpunkte “(..)” norāda, ka pārējais teksts nav grozīts.</w:t>
      </w:r>
    </w:p>
    <w:p w14:paraId="79E3B7E4" w14:textId="1A52BD1B" w:rsidR="0072474B" w:rsidRPr="00504F7E" w:rsidRDefault="0072474B">
      <w:pPr>
        <w:rPr>
          <w:rFonts w:ascii="Times New Roman" w:hAnsi="Times New Roman" w:cs="Times New Roman"/>
          <w:noProof/>
          <w:sz w:val="24"/>
        </w:rPr>
      </w:pPr>
      <w:r w:rsidRPr="00504F7E">
        <w:rPr>
          <w:rFonts w:ascii="Times New Roman" w:hAnsi="Times New Roman" w:cs="Times New Roman"/>
        </w:rPr>
        <w:br w:type="page"/>
      </w:r>
    </w:p>
    <w:tbl>
      <w:tblPr>
        <w:tblStyle w:val="TableGrid"/>
        <w:tblW w:w="37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47"/>
        <w:gridCol w:w="3685"/>
      </w:tblGrid>
      <w:tr w:rsidR="00701DB4" w:rsidRPr="00504F7E" w14:paraId="74D3F6E2" w14:textId="77777777" w:rsidTr="00701DB4">
        <w:tc>
          <w:tcPr>
            <w:tcW w:w="2303" w:type="pct"/>
          </w:tcPr>
          <w:p w14:paraId="4F7A4279" w14:textId="66D34A62" w:rsidR="00701DB4" w:rsidRPr="00504F7E" w:rsidRDefault="00701DB4" w:rsidP="00D1306E">
            <w:pPr>
              <w:jc w:val="both"/>
              <w:rPr>
                <w:rFonts w:ascii="Times New Roman" w:hAnsi="Times New Roman" w:cs="Times New Roman"/>
                <w:noProof/>
                <w:sz w:val="24"/>
              </w:rPr>
            </w:pPr>
            <w:r w:rsidRPr="00504F7E">
              <w:rPr>
                <w:rFonts w:ascii="Times New Roman" w:hAnsi="Times New Roman" w:cs="Times New Roman"/>
                <w:noProof/>
                <w:sz w:val="24"/>
              </w:rPr>
              <w:lastRenderedPageBreak/>
              <w:drawing>
                <wp:anchor distT="0" distB="0" distL="0" distR="0" simplePos="0" relativeHeight="251660288" behindDoc="0" locked="0" layoutInCell="1" allowOverlap="1" wp14:anchorId="2DC6896A" wp14:editId="7FFBA819">
                  <wp:simplePos x="0" y="0"/>
                  <wp:positionH relativeFrom="page">
                    <wp:posOffset>10160</wp:posOffset>
                  </wp:positionH>
                  <wp:positionV relativeFrom="paragraph">
                    <wp:posOffset>17992</wp:posOffset>
                  </wp:positionV>
                  <wp:extent cx="1266825" cy="396240"/>
                  <wp:effectExtent l="0" t="0" r="0" b="0"/>
                  <wp:wrapNone/>
                  <wp:docPr id="3" name="image1.png"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A blue and black logo&#10;&#10;Description automatically generated"/>
                          <pic:cNvPicPr/>
                        </pic:nvPicPr>
                        <pic:blipFill>
                          <a:blip r:embed="rId10" cstate="print"/>
                          <a:stretch>
                            <a:fillRect/>
                          </a:stretch>
                        </pic:blipFill>
                        <pic:spPr>
                          <a:xfrm>
                            <a:off x="0" y="0"/>
                            <a:ext cx="1266825" cy="396240"/>
                          </a:xfrm>
                          <a:prstGeom prst="rect">
                            <a:avLst/>
                          </a:prstGeom>
                        </pic:spPr>
                      </pic:pic>
                    </a:graphicData>
                  </a:graphic>
                </wp:anchor>
              </w:drawing>
            </w:r>
          </w:p>
        </w:tc>
        <w:tc>
          <w:tcPr>
            <w:tcW w:w="2697" w:type="pct"/>
          </w:tcPr>
          <w:p w14:paraId="4933B831" w14:textId="77777777" w:rsidR="00701DB4" w:rsidRPr="00504F7E" w:rsidRDefault="00701DB4" w:rsidP="00701DB4">
            <w:pPr>
              <w:jc w:val="center"/>
              <w:rPr>
                <w:rFonts w:ascii="Times New Roman" w:hAnsi="Times New Roman" w:cs="Times New Roman"/>
                <w:noProof/>
                <w:sz w:val="20"/>
                <w:szCs w:val="18"/>
              </w:rPr>
            </w:pPr>
            <w:r w:rsidRPr="00504F7E">
              <w:rPr>
                <w:rFonts w:ascii="Times New Roman" w:hAnsi="Times New Roman" w:cs="Times New Roman"/>
                <w:i/>
                <w:iCs/>
                <w:sz w:val="20"/>
              </w:rPr>
              <w:t>AMC</w:t>
            </w:r>
            <w:r w:rsidRPr="00504F7E">
              <w:rPr>
                <w:rFonts w:ascii="Times New Roman" w:hAnsi="Times New Roman" w:cs="Times New Roman"/>
                <w:sz w:val="20"/>
              </w:rPr>
              <w:t xml:space="preserve"> un </w:t>
            </w:r>
            <w:r w:rsidRPr="00504F7E">
              <w:rPr>
                <w:rFonts w:ascii="Times New Roman" w:hAnsi="Times New Roman" w:cs="Times New Roman"/>
                <w:i/>
                <w:iCs/>
                <w:sz w:val="20"/>
              </w:rPr>
              <w:t>GM</w:t>
            </w:r>
            <w:r w:rsidRPr="00504F7E">
              <w:rPr>
                <w:rFonts w:ascii="Times New Roman" w:hAnsi="Times New Roman" w:cs="Times New Roman"/>
                <w:sz w:val="20"/>
              </w:rPr>
              <w:t xml:space="preserve"> par Regulas (ES) 1178/2011 </w:t>
            </w:r>
            <w:r w:rsidRPr="00504F7E">
              <w:rPr>
                <w:rFonts w:ascii="Times New Roman" w:hAnsi="Times New Roman" w:cs="Times New Roman"/>
                <w:i/>
                <w:iCs/>
                <w:sz w:val="20"/>
              </w:rPr>
              <w:t>ARA</w:t>
            </w:r>
            <w:r w:rsidRPr="00504F7E">
              <w:rPr>
                <w:rFonts w:ascii="Times New Roman" w:hAnsi="Times New Roman" w:cs="Times New Roman"/>
                <w:sz w:val="20"/>
              </w:rPr>
              <w:t> daļu</w:t>
            </w:r>
          </w:p>
          <w:p w14:paraId="2054EB4F" w14:textId="3AAAE583" w:rsidR="00701DB4" w:rsidRPr="00504F7E" w:rsidRDefault="00701DB4" w:rsidP="00701DB4">
            <w:pPr>
              <w:jc w:val="center"/>
              <w:rPr>
                <w:rFonts w:ascii="Times New Roman" w:hAnsi="Times New Roman" w:cs="Times New Roman"/>
                <w:noProof/>
                <w:sz w:val="20"/>
                <w:szCs w:val="18"/>
              </w:rPr>
            </w:pPr>
            <w:r w:rsidRPr="00504F7E">
              <w:rPr>
                <w:rFonts w:ascii="Times New Roman" w:hAnsi="Times New Roman" w:cs="Times New Roman"/>
                <w:sz w:val="20"/>
              </w:rPr>
              <w:t>1. izdevums, 11. grozījums</w:t>
            </w:r>
          </w:p>
        </w:tc>
      </w:tr>
    </w:tbl>
    <w:p w14:paraId="732D6669" w14:textId="2AD3DA5D" w:rsidR="00D1306E" w:rsidRPr="00504F7E" w:rsidRDefault="00D1306E" w:rsidP="00D1306E">
      <w:pPr>
        <w:jc w:val="both"/>
        <w:rPr>
          <w:rFonts w:ascii="Times New Roman" w:hAnsi="Times New Roman" w:cs="Times New Roman"/>
          <w:noProof/>
          <w:sz w:val="24"/>
        </w:rPr>
      </w:pPr>
    </w:p>
    <w:p w14:paraId="56650D7E" w14:textId="1EDEDD0F" w:rsidR="00647609" w:rsidRPr="00504F7E" w:rsidRDefault="00647609" w:rsidP="00D1306E">
      <w:pPr>
        <w:jc w:val="both"/>
        <w:rPr>
          <w:rFonts w:ascii="Times New Roman" w:hAnsi="Times New Roman" w:cs="Times New Roman"/>
          <w:noProof/>
          <w:sz w:val="24"/>
        </w:rPr>
      </w:pPr>
    </w:p>
    <w:p w14:paraId="3E239BC6" w14:textId="21D7B299" w:rsidR="00985590" w:rsidRPr="00504F7E" w:rsidRDefault="00985590" w:rsidP="00701DB4">
      <w:pPr>
        <w:shd w:val="clear" w:color="auto" w:fill="FFC000"/>
        <w:jc w:val="both"/>
        <w:rPr>
          <w:rFonts w:ascii="Times New Roman" w:hAnsi="Times New Roman" w:cs="Times New Roman"/>
          <w:b/>
          <w:noProof/>
          <w:color w:val="FFFFFF"/>
          <w:sz w:val="28"/>
          <w:szCs w:val="24"/>
        </w:rPr>
      </w:pPr>
      <w:bookmarkStart w:id="0" w:name="AMC1_ARA.GEN.315(a)___Procedure_for_issu"/>
      <w:bookmarkEnd w:id="0"/>
      <w:r w:rsidRPr="00504F7E">
        <w:rPr>
          <w:rFonts w:ascii="Times New Roman" w:hAnsi="Times New Roman" w:cs="Times New Roman"/>
          <w:b/>
          <w:color w:val="FFFFFF"/>
          <w:sz w:val="28"/>
        </w:rPr>
        <w:t>AMC1 par ARA.GEN.315. punkta “Apliecību, kvalifikācijas atzīmju, sertifikātu vai atestātu izdošanas, pagarināšanas, atjaunošanas vai mainīšanas procedūra – personas” a) apakšpunktu</w:t>
      </w:r>
    </w:p>
    <w:p w14:paraId="486CFD93" w14:textId="77777777" w:rsidR="00701DB4" w:rsidRPr="00504F7E" w:rsidRDefault="00701DB4" w:rsidP="00D1306E">
      <w:pPr>
        <w:jc w:val="both"/>
        <w:rPr>
          <w:rFonts w:ascii="Times New Roman" w:hAnsi="Times New Roman" w:cs="Times New Roman"/>
          <w:noProof/>
          <w:sz w:val="24"/>
        </w:rPr>
      </w:pPr>
    </w:p>
    <w:p w14:paraId="7DC37DC0" w14:textId="2D6CF7D9" w:rsidR="00647609" w:rsidRPr="00504F7E" w:rsidRDefault="00647609" w:rsidP="00D1306E">
      <w:pPr>
        <w:jc w:val="both"/>
        <w:rPr>
          <w:rFonts w:ascii="Times New Roman" w:hAnsi="Times New Roman" w:cs="Times New Roman"/>
          <w:b/>
          <w:bCs/>
          <w:noProof/>
          <w:sz w:val="24"/>
        </w:rPr>
      </w:pPr>
      <w:r w:rsidRPr="00504F7E">
        <w:rPr>
          <w:rFonts w:ascii="Times New Roman" w:hAnsi="Times New Roman" w:cs="Times New Roman"/>
          <w:b/>
          <w:sz w:val="24"/>
        </w:rPr>
        <w:t>ATBILSTĪBAS PĀRBAUDE</w:t>
      </w:r>
    </w:p>
    <w:p w14:paraId="39A093EC" w14:textId="77777777" w:rsidR="00701DB4" w:rsidRPr="00504F7E" w:rsidRDefault="00701DB4" w:rsidP="00D1306E">
      <w:pPr>
        <w:jc w:val="both"/>
        <w:rPr>
          <w:rFonts w:ascii="Times New Roman" w:hAnsi="Times New Roman" w:cs="Times New Roman"/>
          <w:noProof/>
          <w:sz w:val="24"/>
        </w:rPr>
      </w:pPr>
    </w:p>
    <w:p w14:paraId="4FBC2CEE" w14:textId="6303E995" w:rsidR="00647609" w:rsidRPr="00504F7E" w:rsidRDefault="00647609" w:rsidP="00D1306E">
      <w:pPr>
        <w:jc w:val="both"/>
        <w:rPr>
          <w:rFonts w:ascii="Times New Roman" w:hAnsi="Times New Roman" w:cs="Times New Roman"/>
          <w:noProof/>
          <w:sz w:val="24"/>
        </w:rPr>
      </w:pPr>
      <w:r w:rsidRPr="00504F7E">
        <w:rPr>
          <w:rFonts w:ascii="Times New Roman" w:hAnsi="Times New Roman" w:cs="Times New Roman"/>
          <w:sz w:val="24"/>
        </w:rPr>
        <w:t>a) (..)</w:t>
      </w:r>
    </w:p>
    <w:p w14:paraId="32A85D15" w14:textId="77777777" w:rsidR="00EE3EB7" w:rsidRPr="00504F7E" w:rsidRDefault="00EE3EB7" w:rsidP="00D1306E">
      <w:pPr>
        <w:jc w:val="both"/>
        <w:rPr>
          <w:rFonts w:ascii="Times New Roman" w:hAnsi="Times New Roman" w:cs="Times New Roman"/>
          <w:noProof/>
          <w:sz w:val="24"/>
        </w:rPr>
      </w:pPr>
    </w:p>
    <w:p w14:paraId="01147BCF" w14:textId="279BC752" w:rsidR="00647609" w:rsidRPr="00504F7E" w:rsidRDefault="00647609" w:rsidP="00D1306E">
      <w:pPr>
        <w:jc w:val="both"/>
        <w:rPr>
          <w:rFonts w:ascii="Times New Roman" w:hAnsi="Times New Roman" w:cs="Times New Roman"/>
          <w:noProof/>
          <w:sz w:val="24"/>
        </w:rPr>
      </w:pPr>
      <w:r w:rsidRPr="00504F7E">
        <w:rPr>
          <w:rFonts w:ascii="Times New Roman" w:hAnsi="Times New Roman" w:cs="Times New Roman"/>
          <w:sz w:val="24"/>
        </w:rPr>
        <w:t>b) (..)</w:t>
      </w:r>
    </w:p>
    <w:p w14:paraId="42CE15DB" w14:textId="77777777" w:rsidR="00EE3EB7" w:rsidRPr="00504F7E" w:rsidRDefault="00EE3EB7" w:rsidP="00D1306E">
      <w:pPr>
        <w:jc w:val="both"/>
        <w:rPr>
          <w:rFonts w:ascii="Times New Roman" w:hAnsi="Times New Roman" w:cs="Times New Roman"/>
          <w:noProof/>
          <w:sz w:val="24"/>
        </w:rPr>
      </w:pPr>
    </w:p>
    <w:p w14:paraId="09DE6368" w14:textId="3E8B5803" w:rsidR="00647609" w:rsidRPr="00504F7E" w:rsidRDefault="00647609" w:rsidP="00D1306E">
      <w:pPr>
        <w:jc w:val="both"/>
        <w:rPr>
          <w:rFonts w:ascii="Times New Roman" w:hAnsi="Times New Roman" w:cs="Times New Roman"/>
          <w:noProof/>
          <w:sz w:val="24"/>
        </w:rPr>
      </w:pPr>
      <w:r w:rsidRPr="00504F7E">
        <w:rPr>
          <w:rFonts w:ascii="Times New Roman" w:hAnsi="Times New Roman" w:cs="Times New Roman"/>
          <w:sz w:val="24"/>
        </w:rPr>
        <w:t>c) (..)</w:t>
      </w:r>
    </w:p>
    <w:p w14:paraId="0A2641BA" w14:textId="77777777" w:rsidR="002B591B" w:rsidRPr="00504F7E" w:rsidRDefault="002B591B" w:rsidP="00D1306E">
      <w:pPr>
        <w:jc w:val="both"/>
        <w:rPr>
          <w:rFonts w:ascii="Times New Roman" w:hAnsi="Times New Roman" w:cs="Times New Roman"/>
          <w:noProof/>
          <w:sz w:val="24"/>
        </w:rPr>
      </w:pPr>
    </w:p>
    <w:p w14:paraId="58E120A4" w14:textId="7C1230F2" w:rsidR="00647609" w:rsidRPr="00504F7E" w:rsidRDefault="002B591B" w:rsidP="005073C4">
      <w:pPr>
        <w:ind w:left="284" w:hanging="284"/>
        <w:jc w:val="both"/>
        <w:rPr>
          <w:rFonts w:ascii="Times New Roman" w:hAnsi="Times New Roman" w:cs="Times New Roman"/>
          <w:noProof/>
          <w:sz w:val="24"/>
          <w:shd w:val="clear" w:color="auto" w:fill="00FFFF"/>
        </w:rPr>
      </w:pPr>
      <w:r w:rsidRPr="00504F7E">
        <w:rPr>
          <w:rFonts w:ascii="Times New Roman" w:hAnsi="Times New Roman" w:cs="Times New Roman"/>
          <w:sz w:val="24"/>
          <w:shd w:val="clear" w:color="auto" w:fill="00FFFF"/>
        </w:rPr>
        <w:t xml:space="preserve">d) papildus </w:t>
      </w:r>
      <w:r w:rsidRPr="00504F7E">
        <w:rPr>
          <w:rFonts w:ascii="Times New Roman" w:hAnsi="Times New Roman" w:cs="Times New Roman"/>
          <w:sz w:val="24"/>
          <w:highlight w:val="cyan"/>
          <w:shd w:val="clear" w:color="auto" w:fill="00FFFF"/>
        </w:rPr>
        <w:t>iepriekš minētajām prasībām a), b) un c) punktā, lai pārliecinātos, ka</w:t>
      </w:r>
      <w:r w:rsidRPr="00504F7E">
        <w:rPr>
          <w:rFonts w:ascii="Times New Roman" w:hAnsi="Times New Roman" w:cs="Times New Roman"/>
          <w:sz w:val="24"/>
          <w:highlight w:val="cyan"/>
        </w:rPr>
        <w:t xml:space="preserve"> pieteikuma iesniedzējs atbilst pagarināšanas vai atjaunošanas prasībām saskaņā ar </w:t>
      </w:r>
      <w:r w:rsidRPr="00504F7E">
        <w:rPr>
          <w:rFonts w:ascii="Times New Roman" w:hAnsi="Times New Roman" w:cs="Times New Roman"/>
          <w:i/>
          <w:iCs/>
          <w:sz w:val="24"/>
          <w:highlight w:val="cyan"/>
        </w:rPr>
        <w:t>EBT</w:t>
      </w:r>
      <w:r w:rsidRPr="00504F7E">
        <w:rPr>
          <w:rFonts w:ascii="Times New Roman" w:hAnsi="Times New Roman" w:cs="Times New Roman"/>
          <w:sz w:val="24"/>
          <w:highlight w:val="cyan"/>
        </w:rPr>
        <w:t xml:space="preserve"> programmu, kompetentajai iestādei jālūdz pieteikuma iesniedzējam uzrādīt 10. papildinājumā esošo pieteikuma un ziņojuma veidlapu, kā arī ekspluatanta deklarāciju, kā norādīts AMC1 par 10. papildinājumu “Tipa kvalifikāciju derīguma termiņa pagarināšana un atjaunošana un </w:t>
      </w:r>
      <w:r w:rsidRPr="00504F7E">
        <w:rPr>
          <w:rFonts w:ascii="Times New Roman" w:hAnsi="Times New Roman" w:cs="Times New Roman"/>
          <w:i/>
          <w:iCs/>
          <w:sz w:val="24"/>
          <w:highlight w:val="cyan"/>
        </w:rPr>
        <w:t>IR</w:t>
      </w:r>
      <w:r w:rsidRPr="00504F7E">
        <w:rPr>
          <w:rFonts w:ascii="Times New Roman" w:hAnsi="Times New Roman" w:cs="Times New Roman"/>
          <w:sz w:val="24"/>
          <w:highlight w:val="cyan"/>
        </w:rPr>
        <w:t xml:space="preserve"> derīguma termiņa pagarināšana un atjaunošana apvienojumā ar tipa kvalifikāciju derīguma termiņa pagarināšanu vai atjaunošanu – </w:t>
      </w:r>
      <w:r w:rsidRPr="00504F7E">
        <w:rPr>
          <w:rFonts w:ascii="Times New Roman" w:hAnsi="Times New Roman" w:cs="Times New Roman"/>
          <w:i/>
          <w:iCs/>
          <w:sz w:val="24"/>
          <w:highlight w:val="cyan"/>
        </w:rPr>
        <w:t>EBT</w:t>
      </w:r>
      <w:r w:rsidRPr="00504F7E">
        <w:rPr>
          <w:rFonts w:ascii="Times New Roman" w:hAnsi="Times New Roman" w:cs="Times New Roman"/>
          <w:sz w:val="24"/>
          <w:highlight w:val="cyan"/>
        </w:rPr>
        <w:t xml:space="preserve"> praktiskā novērtēšana</w:t>
      </w:r>
      <w:r w:rsidRPr="00504F7E">
        <w:rPr>
          <w:rFonts w:ascii="Times New Roman" w:hAnsi="Times New Roman" w:cs="Times New Roman"/>
          <w:sz w:val="24"/>
          <w:highlight w:val="cyan"/>
          <w:shd w:val="clear" w:color="auto" w:fill="00FFFF"/>
        </w:rPr>
        <w:t>” b) punktā.</w:t>
      </w:r>
    </w:p>
    <w:p w14:paraId="4FAE19B4" w14:textId="77777777" w:rsidR="00647609" w:rsidRPr="00504F7E" w:rsidRDefault="00647609" w:rsidP="00D1306E">
      <w:pPr>
        <w:jc w:val="both"/>
        <w:rPr>
          <w:rFonts w:ascii="Times New Roman" w:hAnsi="Times New Roman" w:cs="Times New Roman"/>
          <w:noProof/>
          <w:sz w:val="24"/>
        </w:rPr>
      </w:pPr>
    </w:p>
    <w:p w14:paraId="651CFE55" w14:textId="26B020AF" w:rsidR="00647609" w:rsidRPr="00504F7E" w:rsidRDefault="00647609" w:rsidP="005073C4">
      <w:pPr>
        <w:shd w:val="clear" w:color="auto" w:fill="FFC000"/>
        <w:jc w:val="both"/>
        <w:rPr>
          <w:rFonts w:ascii="Times New Roman" w:hAnsi="Times New Roman" w:cs="Times New Roman"/>
          <w:b/>
          <w:bCs/>
          <w:noProof/>
          <w:color w:val="FFFFFF"/>
          <w:sz w:val="28"/>
          <w:szCs w:val="24"/>
          <w:shd w:val="clear" w:color="auto" w:fill="00FFFF"/>
        </w:rPr>
      </w:pPr>
      <w:bookmarkStart w:id="1" w:name="AMC2_ARA.FCL.205___Monitoring_of_examine"/>
      <w:bookmarkEnd w:id="1"/>
      <w:r w:rsidRPr="00504F7E">
        <w:rPr>
          <w:rFonts w:ascii="Times New Roman" w:hAnsi="Times New Roman" w:cs="Times New Roman"/>
          <w:b/>
          <w:color w:val="FFFFFF"/>
          <w:sz w:val="28"/>
          <w:shd w:val="clear" w:color="auto" w:fill="00FFFF"/>
        </w:rPr>
        <w:t>AMC2 par ARA.FCL.205. punktu “Eksaminētāju pārraudzība”</w:t>
      </w:r>
    </w:p>
    <w:p w14:paraId="394B1EC8" w14:textId="77777777" w:rsidR="005073C4" w:rsidRPr="00504F7E" w:rsidRDefault="005073C4" w:rsidP="00D1306E">
      <w:pPr>
        <w:jc w:val="both"/>
        <w:rPr>
          <w:rFonts w:ascii="Times New Roman" w:hAnsi="Times New Roman" w:cs="Times New Roman"/>
          <w:noProof/>
          <w:sz w:val="24"/>
          <w:shd w:val="clear" w:color="auto" w:fill="00FFFF"/>
        </w:rPr>
      </w:pPr>
    </w:p>
    <w:p w14:paraId="2455EAF5" w14:textId="1AF1620C" w:rsidR="00647609" w:rsidRPr="00504F7E" w:rsidRDefault="00647609" w:rsidP="00D1306E">
      <w:pPr>
        <w:jc w:val="both"/>
        <w:rPr>
          <w:rFonts w:ascii="Times New Roman" w:hAnsi="Times New Roman" w:cs="Times New Roman"/>
          <w:b/>
          <w:bCs/>
          <w:noProof/>
          <w:sz w:val="24"/>
          <w:shd w:val="clear" w:color="auto" w:fill="00FFFF"/>
        </w:rPr>
      </w:pPr>
      <w:r w:rsidRPr="00504F7E">
        <w:rPr>
          <w:rFonts w:ascii="Times New Roman" w:hAnsi="Times New Roman" w:cs="Times New Roman"/>
          <w:b/>
          <w:i/>
          <w:iCs/>
          <w:sz w:val="24"/>
          <w:shd w:val="clear" w:color="auto" w:fill="00FFFF"/>
        </w:rPr>
        <w:t>EBT</w:t>
      </w:r>
      <w:r w:rsidRPr="00504F7E">
        <w:rPr>
          <w:rFonts w:ascii="Times New Roman" w:hAnsi="Times New Roman" w:cs="Times New Roman"/>
          <w:b/>
          <w:sz w:val="24"/>
          <w:shd w:val="clear" w:color="auto" w:fill="00FFFF"/>
        </w:rPr>
        <w:t xml:space="preserve"> PROGRAMMA</w:t>
      </w:r>
    </w:p>
    <w:p w14:paraId="5EBD4891" w14:textId="77777777" w:rsidR="00647609" w:rsidRPr="00504F7E" w:rsidRDefault="00647609" w:rsidP="00D1306E">
      <w:pPr>
        <w:jc w:val="both"/>
        <w:rPr>
          <w:rFonts w:ascii="Times New Roman" w:hAnsi="Times New Roman" w:cs="Times New Roman"/>
          <w:b/>
          <w:noProof/>
          <w:sz w:val="24"/>
        </w:rPr>
      </w:pPr>
    </w:p>
    <w:p w14:paraId="749B6106" w14:textId="7324BF31" w:rsidR="00647609" w:rsidRPr="00504F7E" w:rsidRDefault="00985590" w:rsidP="00D1306E">
      <w:pPr>
        <w:jc w:val="both"/>
        <w:rPr>
          <w:rFonts w:ascii="Times New Roman" w:hAnsi="Times New Roman" w:cs="Times New Roman"/>
          <w:noProof/>
          <w:sz w:val="24"/>
          <w:shd w:val="clear" w:color="auto" w:fill="00FFFF"/>
        </w:rPr>
      </w:pPr>
      <w:r w:rsidRPr="00504F7E">
        <w:rPr>
          <w:rFonts w:ascii="Times New Roman" w:hAnsi="Times New Roman" w:cs="Times New Roman"/>
          <w:sz w:val="24"/>
          <w:highlight w:val="cyan"/>
        </w:rPr>
        <w:t xml:space="preserve">Ekspluatanta kompetentajai iestādei eksaminētāju pārraudzības programmā jāiekļauj </w:t>
      </w:r>
      <w:r w:rsidRPr="00504F7E">
        <w:rPr>
          <w:rFonts w:ascii="Times New Roman" w:hAnsi="Times New Roman" w:cs="Times New Roman"/>
          <w:i/>
          <w:iCs/>
          <w:sz w:val="24"/>
          <w:highlight w:val="cyan"/>
        </w:rPr>
        <w:t>EBT</w:t>
      </w:r>
      <w:r w:rsidRPr="00504F7E">
        <w:rPr>
          <w:rFonts w:ascii="Times New Roman" w:hAnsi="Times New Roman" w:cs="Times New Roman"/>
          <w:sz w:val="24"/>
          <w:highlight w:val="cyan"/>
        </w:rPr>
        <w:t xml:space="preserve"> vadītājs(-i), pat ja eksaminētājiem ir eksaminētāja sertifikāts, ko izsniegusi cita kompetentā </w:t>
      </w:r>
      <w:r w:rsidRPr="00504F7E">
        <w:rPr>
          <w:rFonts w:ascii="Times New Roman" w:hAnsi="Times New Roman" w:cs="Times New Roman"/>
          <w:sz w:val="24"/>
          <w:highlight w:val="cyan"/>
          <w:shd w:val="clear" w:color="auto" w:fill="00FFFF"/>
        </w:rPr>
        <w:t>iestāde</w:t>
      </w:r>
      <w:r w:rsidRPr="00504F7E">
        <w:rPr>
          <w:rFonts w:ascii="Times New Roman" w:hAnsi="Times New Roman" w:cs="Times New Roman"/>
          <w:sz w:val="24"/>
          <w:highlight w:val="cyan"/>
        </w:rPr>
        <w:t>.</w:t>
      </w:r>
      <w:r w:rsidRPr="00504F7E">
        <w:rPr>
          <w:rFonts w:ascii="Times New Roman" w:hAnsi="Times New Roman" w:cs="Times New Roman"/>
          <w:sz w:val="24"/>
          <w:highlight w:val="cyan"/>
          <w:shd w:val="clear" w:color="auto" w:fill="00FFFF"/>
        </w:rPr>
        <w:t xml:space="preserve"> Pēc kompetentās iestādes ieskatiem </w:t>
      </w:r>
      <w:r w:rsidRPr="00504F7E">
        <w:rPr>
          <w:rFonts w:ascii="Times New Roman" w:hAnsi="Times New Roman" w:cs="Times New Roman"/>
          <w:i/>
          <w:iCs/>
          <w:sz w:val="24"/>
          <w:highlight w:val="cyan"/>
          <w:shd w:val="clear" w:color="auto" w:fill="00FFFF"/>
        </w:rPr>
        <w:t>EBT</w:t>
      </w:r>
      <w:r w:rsidRPr="00504F7E">
        <w:rPr>
          <w:rFonts w:ascii="Times New Roman" w:hAnsi="Times New Roman" w:cs="Times New Roman"/>
          <w:sz w:val="24"/>
          <w:highlight w:val="cyan"/>
          <w:shd w:val="clear" w:color="auto" w:fill="00FFFF"/>
        </w:rPr>
        <w:t xml:space="preserve"> programmas ietvaros var iekļaut arī mācību norises pārbaudi.</w:t>
      </w:r>
    </w:p>
    <w:p w14:paraId="07E61393" w14:textId="77777777" w:rsidR="00647609" w:rsidRPr="00504F7E" w:rsidRDefault="00647609" w:rsidP="00D1306E">
      <w:pPr>
        <w:jc w:val="both"/>
        <w:rPr>
          <w:rFonts w:ascii="Times New Roman" w:hAnsi="Times New Roman" w:cs="Times New Roman"/>
          <w:noProof/>
          <w:sz w:val="24"/>
        </w:rPr>
      </w:pPr>
    </w:p>
    <w:p w14:paraId="2089B390" w14:textId="46B0B7AB" w:rsidR="00647609" w:rsidRPr="00504F7E" w:rsidRDefault="00647609" w:rsidP="00B77E86">
      <w:pPr>
        <w:shd w:val="clear" w:color="auto" w:fill="00B050"/>
        <w:jc w:val="both"/>
        <w:rPr>
          <w:rFonts w:ascii="Times New Roman" w:hAnsi="Times New Roman" w:cs="Times New Roman"/>
          <w:b/>
          <w:bCs/>
          <w:noProof/>
          <w:color w:val="FFFFFF"/>
          <w:sz w:val="28"/>
          <w:szCs w:val="24"/>
          <w:shd w:val="clear" w:color="auto" w:fill="00FFFF"/>
        </w:rPr>
      </w:pPr>
      <w:bookmarkStart w:id="2" w:name="GM1___ARA.FCL.205___Monitoring_of_examin"/>
      <w:bookmarkEnd w:id="2"/>
      <w:r w:rsidRPr="00504F7E">
        <w:rPr>
          <w:rFonts w:ascii="Times New Roman" w:hAnsi="Times New Roman" w:cs="Times New Roman"/>
          <w:b/>
          <w:color w:val="FFFFFF"/>
          <w:sz w:val="28"/>
          <w:shd w:val="clear" w:color="auto" w:fill="00FFFF"/>
        </w:rPr>
        <w:t>GM1 par ARA.FCL.205. punktu “Eksaminētāju pārraudzība”</w:t>
      </w:r>
    </w:p>
    <w:p w14:paraId="37104BBC" w14:textId="77777777" w:rsidR="00B77E86" w:rsidRPr="00504F7E" w:rsidRDefault="00B77E86" w:rsidP="00D1306E">
      <w:pPr>
        <w:jc w:val="both"/>
        <w:rPr>
          <w:rFonts w:ascii="Times New Roman" w:hAnsi="Times New Roman" w:cs="Times New Roman"/>
          <w:noProof/>
          <w:sz w:val="24"/>
          <w:shd w:val="clear" w:color="auto" w:fill="00FFFF"/>
        </w:rPr>
      </w:pPr>
    </w:p>
    <w:p w14:paraId="5DBA67E3" w14:textId="497C0D1F" w:rsidR="00647609" w:rsidRPr="00504F7E" w:rsidRDefault="00647609" w:rsidP="00D1306E">
      <w:pPr>
        <w:jc w:val="both"/>
        <w:rPr>
          <w:rFonts w:ascii="Times New Roman" w:hAnsi="Times New Roman" w:cs="Times New Roman"/>
          <w:b/>
          <w:bCs/>
          <w:noProof/>
          <w:sz w:val="24"/>
          <w:shd w:val="clear" w:color="auto" w:fill="00FFFF"/>
        </w:rPr>
      </w:pPr>
      <w:r w:rsidRPr="00504F7E">
        <w:rPr>
          <w:rFonts w:ascii="Times New Roman" w:hAnsi="Times New Roman" w:cs="Times New Roman"/>
          <w:b/>
          <w:i/>
          <w:iCs/>
          <w:sz w:val="24"/>
          <w:shd w:val="clear" w:color="auto" w:fill="00FFFF"/>
        </w:rPr>
        <w:t>EBT</w:t>
      </w:r>
      <w:r w:rsidRPr="00504F7E">
        <w:rPr>
          <w:rFonts w:ascii="Times New Roman" w:hAnsi="Times New Roman" w:cs="Times New Roman"/>
          <w:b/>
          <w:sz w:val="24"/>
          <w:shd w:val="clear" w:color="auto" w:fill="00FFFF"/>
        </w:rPr>
        <w:t xml:space="preserve"> PROGRAMMA – MĀCĪBU NORISES PĀRBAUDE</w:t>
      </w:r>
    </w:p>
    <w:p w14:paraId="44722AA4" w14:textId="77777777" w:rsidR="00B77E86" w:rsidRPr="00504F7E" w:rsidRDefault="00B77E86" w:rsidP="00D1306E">
      <w:pPr>
        <w:jc w:val="both"/>
        <w:rPr>
          <w:rFonts w:ascii="Times New Roman" w:hAnsi="Times New Roman" w:cs="Times New Roman"/>
          <w:b/>
          <w:bCs/>
          <w:noProof/>
          <w:sz w:val="24"/>
          <w:shd w:val="clear" w:color="auto" w:fill="00FFFF"/>
        </w:rPr>
      </w:pPr>
    </w:p>
    <w:p w14:paraId="75DBBC3A" w14:textId="29BBC7EA" w:rsidR="00647609" w:rsidRPr="00504F7E" w:rsidRDefault="00647609" w:rsidP="00D1306E">
      <w:pPr>
        <w:jc w:val="both"/>
        <w:rPr>
          <w:rFonts w:ascii="Times New Roman" w:hAnsi="Times New Roman" w:cs="Times New Roman"/>
          <w:noProof/>
          <w:sz w:val="24"/>
          <w:shd w:val="clear" w:color="auto" w:fill="00FFFF"/>
        </w:rPr>
      </w:pPr>
      <w:r w:rsidRPr="00504F7E">
        <w:rPr>
          <w:rFonts w:ascii="Times New Roman" w:hAnsi="Times New Roman" w:cs="Times New Roman"/>
          <w:sz w:val="24"/>
          <w:shd w:val="clear" w:color="auto" w:fill="00FFFF"/>
        </w:rPr>
        <w:t xml:space="preserve">Kad </w:t>
      </w:r>
      <w:r w:rsidRPr="00504F7E">
        <w:rPr>
          <w:rFonts w:ascii="Times New Roman" w:hAnsi="Times New Roman" w:cs="Times New Roman"/>
          <w:sz w:val="24"/>
          <w:highlight w:val="cyan"/>
          <w:shd w:val="clear" w:color="auto" w:fill="00FFFF"/>
        </w:rPr>
        <w:t xml:space="preserve">iestāde veic </w:t>
      </w:r>
      <w:r w:rsidRPr="00504F7E">
        <w:rPr>
          <w:rFonts w:ascii="Times New Roman" w:hAnsi="Times New Roman" w:cs="Times New Roman"/>
          <w:i/>
          <w:iCs/>
          <w:sz w:val="24"/>
          <w:highlight w:val="cyan"/>
          <w:shd w:val="clear" w:color="auto" w:fill="00FFFF"/>
        </w:rPr>
        <w:t>FCL</w:t>
      </w:r>
      <w:r w:rsidRPr="00504F7E">
        <w:rPr>
          <w:rFonts w:ascii="Times New Roman" w:hAnsi="Times New Roman" w:cs="Times New Roman"/>
          <w:sz w:val="24"/>
          <w:highlight w:val="cyan"/>
          <w:shd w:val="clear" w:color="auto" w:fill="00FFFF"/>
        </w:rPr>
        <w:t xml:space="preserve"> prasību (piemēram, mācību norises) pārbaudi</w:t>
      </w:r>
      <w:r w:rsidRPr="00504F7E">
        <w:rPr>
          <w:rFonts w:ascii="Times New Roman" w:hAnsi="Times New Roman" w:cs="Times New Roman"/>
          <w:sz w:val="24"/>
          <w:highlight w:val="cyan"/>
        </w:rPr>
        <w:t>, kompetentās iestādes inspektoram ieteicams ievērot AMC1 par ARO.OPS.226. punkta a) apakšpunktu norādīto informāciju. Šo pārbaudi var apvienot ar pārraudzību, kas noteikta Regulas (ES) </w:t>
      </w:r>
      <w:r w:rsidRPr="00504F7E">
        <w:rPr>
          <w:rFonts w:ascii="Times New Roman" w:hAnsi="Times New Roman" w:cs="Times New Roman"/>
          <w:sz w:val="24"/>
          <w:highlight w:val="cyan"/>
          <w:shd w:val="clear" w:color="auto" w:fill="00FFFF"/>
        </w:rPr>
        <w:t>965/2012</w:t>
      </w:r>
      <w:r w:rsidRPr="00504F7E">
        <w:rPr>
          <w:rFonts w:ascii="Times New Roman" w:hAnsi="Times New Roman" w:cs="Times New Roman"/>
          <w:sz w:val="24"/>
          <w:highlight w:val="cyan"/>
        </w:rPr>
        <w:t xml:space="preserve"> ARO.OPS.226. punktā.</w:t>
      </w:r>
    </w:p>
    <w:sectPr w:rsidR="00647609" w:rsidRPr="00504F7E" w:rsidSect="00004FE5">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8AF76" w14:textId="77777777" w:rsidR="00DF2C05" w:rsidRPr="00647609" w:rsidRDefault="00DF2C05">
      <w:pPr>
        <w:rPr>
          <w:noProof/>
        </w:rPr>
      </w:pPr>
      <w:r w:rsidRPr="00647609">
        <w:rPr>
          <w:noProof/>
        </w:rPr>
        <w:separator/>
      </w:r>
    </w:p>
  </w:endnote>
  <w:endnote w:type="continuationSeparator" w:id="0">
    <w:p w14:paraId="6FF8368A" w14:textId="77777777" w:rsidR="00DF2C05" w:rsidRPr="00647609" w:rsidRDefault="00DF2C05">
      <w:pPr>
        <w:rPr>
          <w:noProof/>
        </w:rPr>
      </w:pPr>
      <w:r w:rsidRPr="0064760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07EDB" w14:textId="77777777" w:rsidR="00D821C8" w:rsidRPr="009C04EC" w:rsidRDefault="00D821C8" w:rsidP="00D821C8">
    <w:pPr>
      <w:pStyle w:val="Header"/>
      <w:tabs>
        <w:tab w:val="left" w:pos="9072"/>
      </w:tabs>
      <w:rPr>
        <w:rStyle w:val="PageNumber"/>
        <w:rFonts w:ascii="Times New Roman" w:hAnsi="Times New Roman" w:cs="Times New Roman"/>
        <w:noProof/>
        <w:sz w:val="20"/>
        <w:szCs w:val="20"/>
        <w:u w:val="single"/>
        <w:lang w:val="en-US"/>
      </w:rPr>
    </w:pPr>
  </w:p>
  <w:p w14:paraId="454F4A23" w14:textId="77777777" w:rsidR="00D821C8" w:rsidRPr="009C04EC" w:rsidRDefault="00D821C8" w:rsidP="00D821C8">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DDBEB80" w14:textId="77777777" w:rsidR="00D821C8" w:rsidRPr="009C04EC" w:rsidRDefault="00D821C8" w:rsidP="00D821C8">
    <w:pPr>
      <w:pStyle w:val="Header"/>
      <w:tabs>
        <w:tab w:val="right" w:pos="9072"/>
      </w:tabs>
      <w:rPr>
        <w:rStyle w:val="PageNumber"/>
        <w:rFonts w:ascii="Times New Roman" w:hAnsi="Times New Roman" w:cs="Times New Roman"/>
        <w:noProof/>
        <w:sz w:val="20"/>
        <w:szCs w:val="20"/>
        <w:u w:val="single"/>
        <w:lang w:val="en-US"/>
      </w:rPr>
    </w:pPr>
  </w:p>
  <w:p w14:paraId="57527D97" w14:textId="457A2D17" w:rsidR="00210375" w:rsidRPr="00D821C8" w:rsidRDefault="00D821C8" w:rsidP="00D821C8">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1A79A" w14:textId="77777777" w:rsidR="00FD237B" w:rsidRPr="009C04EC" w:rsidRDefault="00FD237B" w:rsidP="00FD237B">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427BDBA" w14:textId="77777777" w:rsidR="00FD237B" w:rsidRPr="009C04EC" w:rsidRDefault="00FD237B" w:rsidP="00FD237B">
    <w:pPr>
      <w:pStyle w:val="Header"/>
      <w:tabs>
        <w:tab w:val="left" w:pos="9072"/>
      </w:tabs>
      <w:rPr>
        <w:rStyle w:val="PageNumber"/>
        <w:rFonts w:ascii="Times New Roman" w:hAnsi="Times New Roman" w:cs="Times New Roman"/>
        <w:noProof/>
        <w:sz w:val="20"/>
        <w:szCs w:val="20"/>
        <w:u w:val="single"/>
        <w:lang w:val="en-US"/>
      </w:rPr>
    </w:pPr>
  </w:p>
  <w:p w14:paraId="66FD2325" w14:textId="6373F6EE" w:rsidR="00893392" w:rsidRPr="00FD237B" w:rsidRDefault="00FD237B">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44F8A" w14:textId="77777777" w:rsidR="00DF2C05" w:rsidRPr="00647609" w:rsidRDefault="00DF2C05">
      <w:pPr>
        <w:rPr>
          <w:noProof/>
        </w:rPr>
      </w:pPr>
      <w:r w:rsidRPr="00647609">
        <w:rPr>
          <w:noProof/>
        </w:rPr>
        <w:separator/>
      </w:r>
    </w:p>
  </w:footnote>
  <w:footnote w:type="continuationSeparator" w:id="0">
    <w:p w14:paraId="21F9C983" w14:textId="77777777" w:rsidR="00DF2C05" w:rsidRPr="00647609" w:rsidRDefault="00DF2C05">
      <w:pPr>
        <w:rPr>
          <w:noProof/>
        </w:rPr>
      </w:pPr>
      <w:r w:rsidRPr="00647609">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708D4" w14:textId="77777777" w:rsidR="00A76A70" w:rsidRPr="009C04EC" w:rsidRDefault="00A76A70" w:rsidP="00A76A70">
    <w:pPr>
      <w:pStyle w:val="Header"/>
      <w:rPr>
        <w:rStyle w:val="PageNumber"/>
        <w:noProof/>
        <w:sz w:val="18"/>
        <w:szCs w:val="18"/>
        <w:u w:val="single"/>
        <w:lang w:val="en-US"/>
      </w:rPr>
    </w:pPr>
  </w:p>
  <w:p w14:paraId="1FEA9D30" w14:textId="77777777" w:rsidR="00A76A70" w:rsidRPr="009C04EC" w:rsidRDefault="00A76A70" w:rsidP="00A76A70">
    <w:pPr>
      <w:pStyle w:val="Header"/>
      <w:tabs>
        <w:tab w:val="clear" w:pos="4513"/>
        <w:tab w:val="center" w:pos="9072"/>
      </w:tabs>
      <w:rPr>
        <w:noProof/>
        <w:sz w:val="18"/>
        <w:szCs w:val="18"/>
        <w:u w:val="single"/>
        <w:lang w:val="en-US"/>
      </w:rPr>
    </w:pPr>
    <w:r w:rsidRPr="009C04EC">
      <w:rPr>
        <w:noProof/>
        <w:sz w:val="18"/>
        <w:szCs w:val="18"/>
        <w:u w:val="single"/>
        <w:lang w:val="en-US"/>
      </w:rPr>
      <w:tab/>
    </w:r>
  </w:p>
  <w:p w14:paraId="42F1C49B" w14:textId="77777777" w:rsidR="00893392" w:rsidRDefault="00893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88023" w14:textId="77777777" w:rsidR="00893392" w:rsidRPr="009C04EC" w:rsidRDefault="00893392" w:rsidP="00893392">
    <w:pPr>
      <w:pStyle w:val="Header"/>
      <w:pBdr>
        <w:bottom w:val="single" w:sz="12" w:space="1" w:color="auto"/>
      </w:pBdr>
      <w:rPr>
        <w:noProof/>
        <w:sz w:val="18"/>
        <w:szCs w:val="18"/>
        <w:lang w:val="en-US"/>
      </w:rPr>
    </w:pPr>
  </w:p>
  <w:p w14:paraId="70E2FE67" w14:textId="77777777" w:rsidR="00893392" w:rsidRDefault="00893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F11B8"/>
    <w:multiLevelType w:val="hybridMultilevel"/>
    <w:tmpl w:val="C1D0E02E"/>
    <w:lvl w:ilvl="0" w:tplc="D0249A02">
      <w:start w:val="1"/>
      <w:numFmt w:val="lowerLetter"/>
      <w:lvlText w:val="(%1)"/>
      <w:lvlJc w:val="left"/>
      <w:pPr>
        <w:ind w:left="708" w:hanging="569"/>
        <w:jc w:val="left"/>
      </w:pPr>
      <w:rPr>
        <w:rFonts w:hint="default"/>
        <w:spacing w:val="-2"/>
        <w:w w:val="100"/>
        <w:lang w:val="en-US" w:eastAsia="en-US" w:bidi="ar-SA"/>
      </w:rPr>
    </w:lvl>
    <w:lvl w:ilvl="1" w:tplc="EBAA6C72">
      <w:numFmt w:val="bullet"/>
      <w:lvlText w:val="•"/>
      <w:lvlJc w:val="left"/>
      <w:pPr>
        <w:ind w:left="1560" w:hanging="569"/>
      </w:pPr>
      <w:rPr>
        <w:rFonts w:hint="default"/>
        <w:lang w:val="en-US" w:eastAsia="en-US" w:bidi="ar-SA"/>
      </w:rPr>
    </w:lvl>
    <w:lvl w:ilvl="2" w:tplc="E8C461D4">
      <w:numFmt w:val="bullet"/>
      <w:lvlText w:val="•"/>
      <w:lvlJc w:val="left"/>
      <w:pPr>
        <w:ind w:left="2421" w:hanging="569"/>
      </w:pPr>
      <w:rPr>
        <w:rFonts w:hint="default"/>
        <w:lang w:val="en-US" w:eastAsia="en-US" w:bidi="ar-SA"/>
      </w:rPr>
    </w:lvl>
    <w:lvl w:ilvl="3" w:tplc="806069DC">
      <w:numFmt w:val="bullet"/>
      <w:lvlText w:val="•"/>
      <w:lvlJc w:val="left"/>
      <w:pPr>
        <w:ind w:left="3282" w:hanging="569"/>
      </w:pPr>
      <w:rPr>
        <w:rFonts w:hint="default"/>
        <w:lang w:val="en-US" w:eastAsia="en-US" w:bidi="ar-SA"/>
      </w:rPr>
    </w:lvl>
    <w:lvl w:ilvl="4" w:tplc="A48AD256">
      <w:numFmt w:val="bullet"/>
      <w:lvlText w:val="•"/>
      <w:lvlJc w:val="left"/>
      <w:pPr>
        <w:ind w:left="4143" w:hanging="569"/>
      </w:pPr>
      <w:rPr>
        <w:rFonts w:hint="default"/>
        <w:lang w:val="en-US" w:eastAsia="en-US" w:bidi="ar-SA"/>
      </w:rPr>
    </w:lvl>
    <w:lvl w:ilvl="5" w:tplc="C722D9D0">
      <w:numFmt w:val="bullet"/>
      <w:lvlText w:val="•"/>
      <w:lvlJc w:val="left"/>
      <w:pPr>
        <w:ind w:left="5004" w:hanging="569"/>
      </w:pPr>
      <w:rPr>
        <w:rFonts w:hint="default"/>
        <w:lang w:val="en-US" w:eastAsia="en-US" w:bidi="ar-SA"/>
      </w:rPr>
    </w:lvl>
    <w:lvl w:ilvl="6" w:tplc="ABCA0254">
      <w:numFmt w:val="bullet"/>
      <w:lvlText w:val="•"/>
      <w:lvlJc w:val="left"/>
      <w:pPr>
        <w:ind w:left="5864" w:hanging="569"/>
      </w:pPr>
      <w:rPr>
        <w:rFonts w:hint="default"/>
        <w:lang w:val="en-US" w:eastAsia="en-US" w:bidi="ar-SA"/>
      </w:rPr>
    </w:lvl>
    <w:lvl w:ilvl="7" w:tplc="A5B6A57E">
      <w:numFmt w:val="bullet"/>
      <w:lvlText w:val="•"/>
      <w:lvlJc w:val="left"/>
      <w:pPr>
        <w:ind w:left="6725" w:hanging="569"/>
      </w:pPr>
      <w:rPr>
        <w:rFonts w:hint="default"/>
        <w:lang w:val="en-US" w:eastAsia="en-US" w:bidi="ar-SA"/>
      </w:rPr>
    </w:lvl>
    <w:lvl w:ilvl="8" w:tplc="6994B9CE">
      <w:numFmt w:val="bullet"/>
      <w:lvlText w:val="•"/>
      <w:lvlJc w:val="left"/>
      <w:pPr>
        <w:ind w:left="7586" w:hanging="569"/>
      </w:pPr>
      <w:rPr>
        <w:rFonts w:hint="default"/>
        <w:lang w:val="en-US" w:eastAsia="en-US" w:bidi="ar-SA"/>
      </w:rPr>
    </w:lvl>
  </w:abstractNum>
  <w:num w:numId="1" w16cid:durableId="35392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0375"/>
    <w:rsid w:val="00004FE5"/>
    <w:rsid w:val="000C0595"/>
    <w:rsid w:val="001F79AC"/>
    <w:rsid w:val="00203BCE"/>
    <w:rsid w:val="00210375"/>
    <w:rsid w:val="002B591B"/>
    <w:rsid w:val="004C11F4"/>
    <w:rsid w:val="00504F7E"/>
    <w:rsid w:val="005073C4"/>
    <w:rsid w:val="00647609"/>
    <w:rsid w:val="00701DB4"/>
    <w:rsid w:val="0072474B"/>
    <w:rsid w:val="007E3762"/>
    <w:rsid w:val="00893392"/>
    <w:rsid w:val="00985590"/>
    <w:rsid w:val="00A628E0"/>
    <w:rsid w:val="00A76A70"/>
    <w:rsid w:val="00A950A0"/>
    <w:rsid w:val="00AA705F"/>
    <w:rsid w:val="00AE48A8"/>
    <w:rsid w:val="00B77E86"/>
    <w:rsid w:val="00D1306E"/>
    <w:rsid w:val="00D821C8"/>
    <w:rsid w:val="00DF2C05"/>
    <w:rsid w:val="00E52AB2"/>
    <w:rsid w:val="00EE3EB7"/>
    <w:rsid w:val="00FD2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2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6" w:line="389" w:lineRule="exact"/>
      <w:ind w:left="140"/>
      <w:outlineLvl w:val="0"/>
    </w:pPr>
    <w:rPr>
      <w:b/>
      <w:bCs/>
      <w:sz w:val="32"/>
      <w:szCs w:val="32"/>
    </w:rPr>
  </w:style>
  <w:style w:type="paragraph" w:styleId="Heading2">
    <w:name w:val="heading 2"/>
    <w:basedOn w:val="Normal"/>
    <w:uiPriority w:val="9"/>
    <w:unhideWhenUsed/>
    <w:qFormat/>
    <w:pPr>
      <w:spacing w:line="267" w:lineRule="exact"/>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0"/>
      <w:ind w:left="708" w:hanging="569"/>
    </w:pPr>
  </w:style>
  <w:style w:type="paragraph" w:customStyle="1" w:styleId="TableParagraph">
    <w:name w:val="Table Paragraph"/>
    <w:basedOn w:val="Normal"/>
    <w:uiPriority w:val="1"/>
    <w:qFormat/>
    <w:pPr>
      <w:spacing w:line="243" w:lineRule="exact"/>
      <w:ind w:left="-1" w:right="2"/>
      <w:jc w:val="center"/>
    </w:pPr>
  </w:style>
  <w:style w:type="paragraph" w:styleId="Header">
    <w:name w:val="header"/>
    <w:basedOn w:val="Normal"/>
    <w:link w:val="HeaderChar"/>
    <w:unhideWhenUsed/>
    <w:rsid w:val="00647609"/>
    <w:pPr>
      <w:tabs>
        <w:tab w:val="center" w:pos="4513"/>
        <w:tab w:val="right" w:pos="9026"/>
      </w:tabs>
    </w:pPr>
  </w:style>
  <w:style w:type="character" w:customStyle="1" w:styleId="HeaderChar">
    <w:name w:val="Header Char"/>
    <w:basedOn w:val="DefaultParagraphFont"/>
    <w:link w:val="Header"/>
    <w:uiPriority w:val="99"/>
    <w:rsid w:val="00647609"/>
    <w:rPr>
      <w:rFonts w:ascii="Calibri" w:eastAsia="Calibri" w:hAnsi="Calibri" w:cs="Calibri"/>
    </w:rPr>
  </w:style>
  <w:style w:type="paragraph" w:styleId="Footer">
    <w:name w:val="footer"/>
    <w:basedOn w:val="Normal"/>
    <w:link w:val="FooterChar"/>
    <w:unhideWhenUsed/>
    <w:rsid w:val="00647609"/>
    <w:pPr>
      <w:tabs>
        <w:tab w:val="center" w:pos="4513"/>
        <w:tab w:val="right" w:pos="9026"/>
      </w:tabs>
    </w:pPr>
  </w:style>
  <w:style w:type="character" w:customStyle="1" w:styleId="FooterChar">
    <w:name w:val="Footer Char"/>
    <w:basedOn w:val="DefaultParagraphFont"/>
    <w:link w:val="Footer"/>
    <w:uiPriority w:val="99"/>
    <w:rsid w:val="00647609"/>
    <w:rPr>
      <w:rFonts w:ascii="Calibri" w:eastAsia="Calibri" w:hAnsi="Calibri" w:cs="Calibri"/>
    </w:rPr>
  </w:style>
  <w:style w:type="table" w:styleId="TableGrid">
    <w:name w:val="Table Grid"/>
    <w:basedOn w:val="TableNormal"/>
    <w:uiPriority w:val="39"/>
    <w:rsid w:val="00724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D2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56E0523-9C70-4166-BFDC-C773E78C2E8A}"/>
</file>

<file path=customXml/itemProps2.xml><?xml version="1.0" encoding="utf-8"?>
<ds:datastoreItem xmlns:ds="http://schemas.openxmlformats.org/officeDocument/2006/customXml" ds:itemID="{BD734824-446F-4D86-B7F3-ABBFE7B86C40}">
  <ds:schemaRefs>
    <ds:schemaRef ds:uri="http://schemas.microsoft.com/sharepoint/v3/contenttype/forms"/>
  </ds:schemaRefs>
</ds:datastoreItem>
</file>

<file path=customXml/itemProps3.xml><?xml version="1.0" encoding="utf-8"?>
<ds:datastoreItem xmlns:ds="http://schemas.openxmlformats.org/officeDocument/2006/customXml" ds:itemID="{B8ACA051-6184-43B9-8BF4-63B172A42BF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2024-05-02T05:43:00Z</dcterms:created>
  <dcterms:modified xsi:type="dcterms:W3CDTF">2024-07-09T07:14:00Z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