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B2631" w14:textId="77777777" w:rsidR="006F5A86" w:rsidRPr="006F5A86" w:rsidRDefault="006F5A86" w:rsidP="006F5A86">
      <w:pPr>
        <w:widowControl w:val="0"/>
        <w:spacing w:after="0" w:line="240" w:lineRule="auto"/>
        <w:jc w:val="both"/>
        <w:rPr>
          <w:rFonts w:ascii="Times New Roman" w:hAnsi="Times New Roman"/>
          <w:noProof/>
          <w:kern w:val="0"/>
          <w:sz w:val="20"/>
          <w:szCs w:val="24"/>
          <w:lang w:val="en-US"/>
        </w:rPr>
      </w:pPr>
      <w:r w:rsidRPr="006F5A86">
        <w:rPr>
          <w:rFonts w:ascii="Times New Roman" w:hAnsi="Times New Roman"/>
          <w:noProof/>
          <w:kern w:val="0"/>
          <w:sz w:val="20"/>
          <w:szCs w:val="24"/>
          <w:lang w:val="en-US"/>
        </w:rPr>
        <w:t>Text consolidated by Valsts valodas centrs (State Language Centre) with amending regulations of:</w:t>
      </w:r>
    </w:p>
    <w:p w14:paraId="18452974" w14:textId="77777777" w:rsidR="006F5A86" w:rsidRPr="006F5A86" w:rsidRDefault="006F5A86" w:rsidP="006F5A86">
      <w:pPr>
        <w:pStyle w:val="BlockText"/>
        <w:ind w:left="0" w:right="26"/>
        <w:jc w:val="center"/>
        <w:rPr>
          <w:noProof/>
          <w:szCs w:val="24"/>
          <w:lang w:val="en-US"/>
        </w:rPr>
      </w:pPr>
      <w:r w:rsidRPr="006F5A86">
        <w:rPr>
          <w:noProof/>
          <w:szCs w:val="24"/>
          <w:lang w:val="en-US"/>
        </w:rPr>
        <w:t>13 July 2023 [shall come into force on 19 July 2023];</w:t>
      </w:r>
    </w:p>
    <w:p w14:paraId="3054002A" w14:textId="77777777" w:rsidR="006F5A86" w:rsidRPr="006F5A86" w:rsidRDefault="006F5A86" w:rsidP="006F5A86">
      <w:pPr>
        <w:pStyle w:val="BlockText"/>
        <w:ind w:left="0" w:right="26"/>
        <w:jc w:val="center"/>
        <w:rPr>
          <w:noProof/>
          <w:szCs w:val="24"/>
          <w:lang w:val="en-US"/>
        </w:rPr>
      </w:pPr>
      <w:r w:rsidRPr="006F5A86">
        <w:rPr>
          <w:noProof/>
          <w:szCs w:val="24"/>
          <w:lang w:val="en-US"/>
        </w:rPr>
        <w:t>8 August 2023 [shall come into force on 11 August 2023];</w:t>
      </w:r>
    </w:p>
    <w:p w14:paraId="21970781" w14:textId="77777777" w:rsidR="006F5A86" w:rsidRPr="006F5A86" w:rsidRDefault="006F5A86" w:rsidP="006F5A86">
      <w:pPr>
        <w:pStyle w:val="BlockText"/>
        <w:ind w:left="0" w:right="26"/>
        <w:jc w:val="center"/>
        <w:rPr>
          <w:noProof/>
          <w:szCs w:val="24"/>
          <w:lang w:val="en-US"/>
        </w:rPr>
      </w:pPr>
      <w:r w:rsidRPr="006F5A86">
        <w:rPr>
          <w:noProof/>
          <w:szCs w:val="24"/>
          <w:lang w:val="en-US"/>
        </w:rPr>
        <w:t>19 September 2023 [shall come into force on 22 September 2023];</w:t>
      </w:r>
    </w:p>
    <w:p w14:paraId="3A0794D7" w14:textId="77777777" w:rsidR="006F5A86" w:rsidRPr="006F5A86" w:rsidRDefault="006F5A86" w:rsidP="006F5A86">
      <w:pPr>
        <w:pStyle w:val="BlockText"/>
        <w:ind w:left="0" w:right="26"/>
        <w:jc w:val="center"/>
        <w:rPr>
          <w:noProof/>
          <w:szCs w:val="24"/>
          <w:lang w:val="en-US"/>
        </w:rPr>
      </w:pPr>
      <w:r w:rsidRPr="006F5A86">
        <w:rPr>
          <w:noProof/>
          <w:szCs w:val="24"/>
          <w:lang w:val="en-US"/>
        </w:rPr>
        <w:t>31 October 2023 [shall come into force on 3 November 2023];</w:t>
      </w:r>
    </w:p>
    <w:p w14:paraId="4FE5BFB1" w14:textId="77777777" w:rsidR="006F5A86" w:rsidRPr="006F5A86" w:rsidRDefault="006F5A86" w:rsidP="006F5A86">
      <w:pPr>
        <w:pStyle w:val="BlockText"/>
        <w:ind w:left="0" w:right="26"/>
        <w:jc w:val="center"/>
        <w:rPr>
          <w:noProof/>
          <w:szCs w:val="24"/>
          <w:lang w:val="en-US"/>
        </w:rPr>
      </w:pPr>
      <w:r w:rsidRPr="006F5A86">
        <w:rPr>
          <w:noProof/>
          <w:szCs w:val="24"/>
          <w:lang w:val="en-US"/>
        </w:rPr>
        <w:t>5 December 2023 [shall come into force on 8 December 2023].</w:t>
      </w:r>
    </w:p>
    <w:p w14:paraId="3BF7BCFF" w14:textId="77777777" w:rsidR="006F5A86" w:rsidRPr="006F5A86" w:rsidRDefault="006F5A86" w:rsidP="006F5A86">
      <w:pPr>
        <w:widowControl w:val="0"/>
        <w:spacing w:after="0" w:line="240" w:lineRule="auto"/>
        <w:jc w:val="both"/>
        <w:rPr>
          <w:rFonts w:ascii="Times New Roman" w:hAnsi="Times New Roman"/>
          <w:noProof/>
          <w:kern w:val="0"/>
          <w:sz w:val="20"/>
          <w:szCs w:val="24"/>
          <w:lang w:val="en-US"/>
        </w:rPr>
      </w:pPr>
      <w:r w:rsidRPr="006F5A86">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A1A585B" w14:textId="77777777" w:rsidR="006F5A86" w:rsidRPr="006F5A86" w:rsidRDefault="006F5A86" w:rsidP="006F5A86">
      <w:pPr>
        <w:spacing w:after="0" w:line="240" w:lineRule="auto"/>
        <w:rPr>
          <w:rFonts w:ascii="Times New Roman" w:hAnsi="Times New Roman"/>
          <w:noProof/>
          <w:kern w:val="0"/>
          <w:sz w:val="24"/>
          <w:lang w:val="en-US"/>
        </w:rPr>
      </w:pPr>
    </w:p>
    <w:p w14:paraId="4FBC6D1B" w14:textId="77777777" w:rsidR="006F5A86" w:rsidRPr="006F5A86" w:rsidRDefault="006F5A86" w:rsidP="006F5A86">
      <w:pPr>
        <w:spacing w:after="0" w:line="240" w:lineRule="auto"/>
        <w:rPr>
          <w:rFonts w:ascii="Times New Roman" w:hAnsi="Times New Roman"/>
          <w:noProof/>
          <w:kern w:val="0"/>
          <w:sz w:val="24"/>
          <w:lang w:val="en-US"/>
        </w:rPr>
      </w:pPr>
    </w:p>
    <w:p w14:paraId="0AB27AAE" w14:textId="77777777" w:rsidR="006F5A86" w:rsidRPr="006F5A86" w:rsidRDefault="006F5A86" w:rsidP="006F5A86">
      <w:pPr>
        <w:spacing w:after="0" w:line="240" w:lineRule="auto"/>
        <w:jc w:val="center"/>
        <w:rPr>
          <w:rFonts w:ascii="Times New Roman" w:hAnsi="Times New Roman"/>
          <w:noProof/>
          <w:kern w:val="0"/>
          <w:sz w:val="24"/>
          <w:szCs w:val="24"/>
          <w:lang w:val="en-US"/>
        </w:rPr>
      </w:pPr>
      <w:r w:rsidRPr="006F5A86">
        <w:rPr>
          <w:rFonts w:ascii="Times New Roman" w:hAnsi="Times New Roman"/>
          <w:noProof/>
          <w:kern w:val="0"/>
          <w:sz w:val="24"/>
          <w:szCs w:val="24"/>
          <w:lang w:val="en-US"/>
        </w:rPr>
        <w:t>Republic of Latvia</w:t>
      </w:r>
    </w:p>
    <w:p w14:paraId="7C191ED4" w14:textId="77777777" w:rsidR="006F5A86" w:rsidRPr="006F5A86" w:rsidRDefault="006F5A86" w:rsidP="006F5A86">
      <w:pPr>
        <w:spacing w:after="0" w:line="240" w:lineRule="auto"/>
        <w:jc w:val="center"/>
        <w:rPr>
          <w:rFonts w:ascii="Times New Roman" w:hAnsi="Times New Roman"/>
          <w:noProof/>
          <w:kern w:val="0"/>
          <w:sz w:val="24"/>
          <w:lang w:val="en-US"/>
        </w:rPr>
      </w:pPr>
    </w:p>
    <w:p w14:paraId="6AC09F01" w14:textId="77777777" w:rsidR="006F5A86" w:rsidRPr="006F5A86" w:rsidRDefault="006F5A86" w:rsidP="006F5A86">
      <w:pPr>
        <w:shd w:val="clear" w:color="auto" w:fill="FFFFFF"/>
        <w:spacing w:after="0" w:line="240" w:lineRule="auto"/>
        <w:jc w:val="center"/>
        <w:rPr>
          <w:rFonts w:ascii="Times New Roman" w:hAnsi="Times New Roman"/>
          <w:noProof/>
          <w:kern w:val="0"/>
          <w:sz w:val="24"/>
          <w:lang w:val="en-US"/>
        </w:rPr>
      </w:pPr>
      <w:r w:rsidRPr="006F5A86">
        <w:rPr>
          <w:rFonts w:ascii="Times New Roman" w:hAnsi="Times New Roman"/>
          <w:noProof/>
          <w:kern w:val="0"/>
          <w:sz w:val="24"/>
          <w:lang w:val="en-US"/>
        </w:rPr>
        <w:t>Cabinet</w:t>
      </w:r>
    </w:p>
    <w:p w14:paraId="7AA0CA18" w14:textId="77777777" w:rsidR="006F5A86" w:rsidRPr="006F5A86" w:rsidRDefault="006F5A86" w:rsidP="006F5A86">
      <w:pPr>
        <w:shd w:val="clear" w:color="auto" w:fill="FFFFFF"/>
        <w:spacing w:after="0" w:line="240" w:lineRule="auto"/>
        <w:jc w:val="center"/>
        <w:rPr>
          <w:rFonts w:ascii="Times New Roman" w:hAnsi="Times New Roman"/>
          <w:noProof/>
          <w:kern w:val="0"/>
          <w:sz w:val="24"/>
          <w:lang w:val="en-US"/>
        </w:rPr>
      </w:pPr>
      <w:r w:rsidRPr="006F5A86">
        <w:rPr>
          <w:rFonts w:ascii="Times New Roman" w:hAnsi="Times New Roman"/>
          <w:noProof/>
          <w:kern w:val="0"/>
          <w:sz w:val="24"/>
          <w:lang w:val="en-US"/>
        </w:rPr>
        <w:t>Regulation No. 198</w:t>
      </w:r>
    </w:p>
    <w:p w14:paraId="0575E7AB" w14:textId="77777777" w:rsidR="006F5A86" w:rsidRPr="006F5A86" w:rsidRDefault="006F5A86" w:rsidP="006F5A86">
      <w:pPr>
        <w:shd w:val="clear" w:color="auto" w:fill="FFFFFF"/>
        <w:spacing w:after="0" w:line="240" w:lineRule="auto"/>
        <w:jc w:val="center"/>
        <w:rPr>
          <w:rFonts w:ascii="Times New Roman" w:hAnsi="Times New Roman"/>
          <w:noProof/>
          <w:kern w:val="0"/>
          <w:sz w:val="24"/>
          <w:lang w:val="en-US"/>
        </w:rPr>
      </w:pPr>
      <w:r w:rsidRPr="006F5A86">
        <w:rPr>
          <w:rFonts w:ascii="Times New Roman" w:hAnsi="Times New Roman"/>
          <w:noProof/>
          <w:kern w:val="0"/>
          <w:sz w:val="24"/>
          <w:lang w:val="en-US"/>
        </w:rPr>
        <w:t>Adopted 18 April 2023</w:t>
      </w:r>
    </w:p>
    <w:p w14:paraId="174542C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203E0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F7D1E2" w14:textId="77777777" w:rsidR="006F5A86" w:rsidRPr="006F5A86" w:rsidRDefault="006F5A86" w:rsidP="006F5A86">
      <w:pPr>
        <w:shd w:val="clear" w:color="auto" w:fill="FFFFFF"/>
        <w:spacing w:after="0" w:line="240" w:lineRule="auto"/>
        <w:jc w:val="center"/>
        <w:rPr>
          <w:rFonts w:ascii="Times New Roman" w:hAnsi="Times New Roman"/>
          <w:b/>
          <w:noProof/>
          <w:kern w:val="0"/>
          <w:sz w:val="28"/>
          <w:lang w:val="en-US"/>
        </w:rPr>
      </w:pPr>
      <w:r w:rsidRPr="006F5A86">
        <w:rPr>
          <w:rFonts w:ascii="Times New Roman" w:hAnsi="Times New Roman"/>
          <w:b/>
          <w:noProof/>
          <w:kern w:val="0"/>
          <w:sz w:val="28"/>
          <w:lang w:val="en-US"/>
        </w:rPr>
        <w:t>Procedures for Granting Direct Payments to Farmers</w:t>
      </w:r>
    </w:p>
    <w:p w14:paraId="603B87F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DB154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CBE768" w14:textId="77777777" w:rsidR="006F5A86" w:rsidRPr="006F5A86" w:rsidRDefault="006F5A86" w:rsidP="006F5A86">
      <w:pPr>
        <w:shd w:val="clear" w:color="auto" w:fill="FFFFFF"/>
        <w:spacing w:after="0" w:line="240" w:lineRule="auto"/>
        <w:jc w:val="right"/>
        <w:rPr>
          <w:rFonts w:ascii="Times New Roman" w:hAnsi="Times New Roman"/>
          <w:i/>
          <w:noProof/>
          <w:kern w:val="0"/>
          <w:sz w:val="24"/>
          <w:lang w:val="en-US"/>
        </w:rPr>
      </w:pPr>
      <w:r w:rsidRPr="006F5A86">
        <w:rPr>
          <w:rFonts w:ascii="Times New Roman" w:hAnsi="Times New Roman"/>
          <w:i/>
          <w:noProof/>
          <w:kern w:val="0"/>
          <w:sz w:val="24"/>
          <w:lang w:val="en-US"/>
        </w:rPr>
        <w:t>Issued pursuant to</w:t>
      </w:r>
    </w:p>
    <w:p w14:paraId="12797DD7" w14:textId="77777777" w:rsidR="006F5A86" w:rsidRPr="006F5A86" w:rsidRDefault="006F5A86" w:rsidP="006F5A86">
      <w:pPr>
        <w:shd w:val="clear" w:color="auto" w:fill="FFFFFF"/>
        <w:spacing w:after="0" w:line="240" w:lineRule="auto"/>
        <w:jc w:val="right"/>
        <w:rPr>
          <w:rFonts w:ascii="Times New Roman" w:hAnsi="Times New Roman"/>
          <w:i/>
          <w:noProof/>
          <w:kern w:val="0"/>
          <w:sz w:val="24"/>
          <w:lang w:val="en-US"/>
        </w:rPr>
      </w:pPr>
      <w:r w:rsidRPr="006F5A86">
        <w:rPr>
          <w:rFonts w:ascii="Times New Roman" w:hAnsi="Times New Roman"/>
          <w:i/>
          <w:noProof/>
          <w:kern w:val="0"/>
          <w:sz w:val="24"/>
          <w:lang w:val="en-US"/>
        </w:rPr>
        <w:t>Section 5, Paragraphs four, fifteen, and sixteen of the Law on Agriculture and Rural Development</w:t>
      </w:r>
    </w:p>
    <w:p w14:paraId="59DD5AB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91443"/>
      <w:bookmarkEnd w:id="0"/>
      <w:bookmarkEnd w:id="1"/>
    </w:p>
    <w:p w14:paraId="1BEE5F3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C6E1E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 General Provisions</w:t>
      </w:r>
    </w:p>
    <w:p w14:paraId="42D4FB2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191445"/>
      <w:bookmarkEnd w:id="2"/>
    </w:p>
    <w:p w14:paraId="7FB34B9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 The Regulation prescribes the procedures for:</w:t>
      </w:r>
      <w:bookmarkStart w:id="3" w:name="p1"/>
      <w:bookmarkEnd w:id="3"/>
    </w:p>
    <w:p w14:paraId="1C681D4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 granting the European Union support for agriculture as direct payment interventions (hereinafter – the direct payments) in accordance with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(hereinafter – Regulation 2021/2115) and Regulation (EU) 2021/2116 of the European Parliament and of the Council of 2 December 2021 on the financing, management and monitoring of the common agricultural policy and repealing Regulation (EU) No 1306/2013 (hereinafter – Regulation 2021/2116);</w:t>
      </w:r>
    </w:p>
    <w:p w14:paraId="6137E77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 controlling compliance with the conditions for receiving the direct payments in the environmental field, the fields of climate change, public health, plant health, animal welfare, the social field, and the field of labour rights;</w:t>
      </w:r>
    </w:p>
    <w:p w14:paraId="38B77C5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1.3. determining and applying the reduction of the direct payments for non-compliance with the receiving conditions and also the exceptions for the application of the reduction rate of the direct payments and the reduction of the direct payments;</w:t>
      </w:r>
    </w:p>
    <w:p w14:paraId="7229498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 refusing to grant the direct payments and the repayment thereof.</w:t>
      </w:r>
    </w:p>
    <w:p w14:paraId="34F798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191455"/>
      <w:bookmarkEnd w:id="4"/>
    </w:p>
    <w:p w14:paraId="199EED7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 A farmer may receive the following direct payments:</w:t>
      </w:r>
      <w:bookmarkStart w:id="5" w:name="p2"/>
      <w:bookmarkEnd w:id="5"/>
    </w:p>
    <w:p w14:paraId="010857E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 the basic income support for sustainability;</w:t>
      </w:r>
    </w:p>
    <w:p w14:paraId="38210DD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 the payment for small farmers;</w:t>
      </w:r>
    </w:p>
    <w:p w14:paraId="671BB6A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 the complementary redistributive income support for sustainability;</w:t>
      </w:r>
    </w:p>
    <w:p w14:paraId="2D3C3FE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2.4. the complementary income support for young farmers;</w:t>
      </w:r>
    </w:p>
    <w:p w14:paraId="7B6B483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 the climate and environmental scheme (hereinafter – the eco-scheme) support for agricultural practices beneficial for the environment and the climate;</w:t>
      </w:r>
    </w:p>
    <w:p w14:paraId="5DBE6FF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lastRenderedPageBreak/>
        <w:t>2.6. the eco-scheme support for an ecological focus area;</w:t>
      </w:r>
    </w:p>
    <w:p w14:paraId="6DDB79F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 the eco-scheme support for conservation agricultural practices;</w:t>
      </w:r>
    </w:p>
    <w:p w14:paraId="17E26A3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 the eco-scheme support for agricultural practices that reduce the emissions of nitrogen and ammonia and the pollution;</w:t>
      </w:r>
    </w:p>
    <w:p w14:paraId="6410D10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 the eco-scheme support for promoting the maintenance of grassland;</w:t>
      </w:r>
    </w:p>
    <w:p w14:paraId="742F398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 the eco-scheme support for agroecology practices in organic holdings;</w:t>
      </w:r>
    </w:p>
    <w:p w14:paraId="52BFD1C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2.11. the coupled income support for dairy cows;</w:t>
      </w:r>
    </w:p>
    <w:p w14:paraId="23DFAD5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2.12. the coupled income support for bovine animals;</w:t>
      </w:r>
    </w:p>
    <w:p w14:paraId="570A9C1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2.13. the coupled income support for sheep;</w:t>
      </w:r>
    </w:p>
    <w:p w14:paraId="4D13910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2.14. the coupled income support for goats;</w:t>
      </w:r>
    </w:p>
    <w:p w14:paraId="02B0600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2.15. the coupled income support for vegetables;</w:t>
      </w:r>
    </w:p>
    <w:p w14:paraId="4360271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2.16. the coupled income support for fruits and berries;</w:t>
      </w:r>
    </w:p>
    <w:p w14:paraId="5AC8423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2.17. the coupled income support for starch potatoes;</w:t>
      </w:r>
    </w:p>
    <w:p w14:paraId="4FA15D4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2.18. the coupled income support for certified seed potatoes;</w:t>
      </w:r>
    </w:p>
    <w:p w14:paraId="7C8414B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2.19. the coupled income support for certified cereal seeds;</w:t>
      </w:r>
    </w:p>
    <w:p w14:paraId="721C1CA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2.20. the coupled income support for certified seed of grasses and fodder crops;</w:t>
      </w:r>
    </w:p>
    <w:p w14:paraId="3B8420E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2.21. the coupled income support for spring rape and turnip rape;</w:t>
      </w:r>
    </w:p>
    <w:p w14:paraId="56EE85C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2.22. the coupled income support for barley;</w:t>
      </w:r>
    </w:p>
    <w:p w14:paraId="178FBB1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2.23. the coupled income support for rye population varieties;</w:t>
      </w:r>
    </w:p>
    <w:p w14:paraId="0008AB3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2.24. the coupled income support for protein crops.</w:t>
      </w:r>
    </w:p>
    <w:p w14:paraId="679BF76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1191503"/>
      <w:bookmarkEnd w:id="6"/>
    </w:p>
    <w:p w14:paraId="656EEF4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 The cases specified in Article 3(1) of Regulation 2021/2116 and the circumstances arising regardless of the actions and decisions of a farmer shall be regarded as force majeure or exceptional circumstances.</w:t>
      </w:r>
      <w:bookmarkStart w:id="7" w:name="p3"/>
      <w:bookmarkEnd w:id="7"/>
    </w:p>
    <w:p w14:paraId="6BDE5B7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191504"/>
      <w:bookmarkEnd w:id="8"/>
    </w:p>
    <w:p w14:paraId="4C68F5C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 If force majeure or exceptional circumstances have set in, a farmer shall, within 15 working days starting from the day when such opportunity arises, submit the following to the Rural Support Service:</w:t>
      </w:r>
      <w:bookmarkStart w:id="9" w:name="p4"/>
      <w:bookmarkEnd w:id="9"/>
    </w:p>
    <w:p w14:paraId="71A9704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4.1. a detailed description of the setting in of force majeure or exceptional circumstances;</w:t>
      </w:r>
    </w:p>
    <w:p w14:paraId="0C45AC0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4.2. documents attesting to force majeure or exceptional circumstances.</w:t>
      </w:r>
    </w:p>
    <w:p w14:paraId="67E5B78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1191507"/>
      <w:bookmarkEnd w:id="10"/>
    </w:p>
    <w:p w14:paraId="72BD885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 If force majeure or exceptional circumstances have prevented a farmer from the fulfilment of the eligibility criteria for the direct payments or the conditionality requirements laid down in Chapter 6 of this Regulation, support shall be granted in respect of the area or animal eligible for support prior to setting in of force majeure or exceptional circumstances and application of the reduction of support.</w:t>
      </w:r>
      <w:bookmarkStart w:id="11" w:name="p5"/>
      <w:bookmarkEnd w:id="11"/>
    </w:p>
    <w:p w14:paraId="6C25099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E9DEE"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12" w:name="n2"/>
      <w:bookmarkStart w:id="13" w:name="n-1191508"/>
      <w:bookmarkEnd w:id="12"/>
      <w:bookmarkEnd w:id="13"/>
      <w:r w:rsidRPr="006F5A86">
        <w:rPr>
          <w:rFonts w:ascii="Times New Roman" w:hAnsi="Times New Roman"/>
          <w:b/>
          <w:noProof/>
          <w:kern w:val="0"/>
          <w:sz w:val="24"/>
          <w:lang w:val="en-US"/>
        </w:rPr>
        <w:t>2. Agricultural Land Eligibility Conditions</w:t>
      </w:r>
    </w:p>
    <w:p w14:paraId="542DA1D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191509"/>
      <w:bookmarkEnd w:id="14"/>
    </w:p>
    <w:p w14:paraId="75A6313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 The direct payments for areas shall be granted to a farmer in respect of agricultural land which, in accordance with Article 4(4) of Regulation 2021/2115, is in the ownership or legal possession (use) of the farmer on 15 June of the current year.</w:t>
      </w:r>
    </w:p>
    <w:p w14:paraId="03BAAD6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 w:name="p-1191510"/>
      <w:bookmarkEnd w:id="15"/>
    </w:p>
    <w:p w14:paraId="2B99FDB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 Upon request of the Rural Support Service, a farmer shall present evidence (for example, an agricultural lease, a lending contract, an inheritance certificate, a local government decision in respect of a land in the ownership of the local government) that the area of agricultural land applied for support as on 15 June of the current year is in the legal possession (use) thereof, unless the latter is certified with an entry in the Land Register. If the farmer has concluded an oral agreement with the land owner, the farmer shall, upon request of the Rural Support Service, submit a written confirmation of the land owner concerning the respective agreement.</w:t>
      </w:r>
      <w:bookmarkStart w:id="16" w:name="p7"/>
      <w:bookmarkEnd w:id="16"/>
    </w:p>
    <w:p w14:paraId="4DA8088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 w:name="p-1191511"/>
      <w:bookmarkEnd w:id="17"/>
    </w:p>
    <w:p w14:paraId="425C578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lastRenderedPageBreak/>
        <w:t>8. The Rural Support Service shall compare the data on the ownership rights or the rights of use of the land declared in the geo-spatial application with the cadastre data of the State Land Service.</w:t>
      </w:r>
      <w:bookmarkStart w:id="18" w:name="p8"/>
      <w:bookmarkEnd w:id="18"/>
    </w:p>
    <w:p w14:paraId="6B975F4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 w:name="p-1191512"/>
      <w:bookmarkEnd w:id="19"/>
    </w:p>
    <w:p w14:paraId="292F740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 The direct payments for agricultural land shall be granted if the eligibility conditions thereof have been valid throughout the calendar year.</w:t>
      </w:r>
      <w:bookmarkStart w:id="20" w:name="p9"/>
      <w:bookmarkEnd w:id="20"/>
    </w:p>
    <w:p w14:paraId="1C82D17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 w:name="p-1191514"/>
      <w:bookmarkEnd w:id="21"/>
    </w:p>
    <w:p w14:paraId="61A9858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 In accordance with Article (4)(3)(c) of Regulation 2021/2115, permanent grassland shall be land that is used for sowing or growing grasses or other herbaceous forage in the current year and that for at least the previous five consecutive years has been used for growing grasses or other herbaceous forage naturally (self-seeded) or through cultivation (sown) also if during this period the grassland was re-established, the grassland area was tilled, or other grasses or herbaceous plants were sown on the initially grown grasses or herbaceous plants.</w:t>
      </w:r>
      <w:bookmarkStart w:id="22" w:name="p10"/>
      <w:bookmarkEnd w:id="22"/>
    </w:p>
    <w:p w14:paraId="3F75B0E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 w:name="p-1191516"/>
      <w:bookmarkEnd w:id="23"/>
    </w:p>
    <w:p w14:paraId="2110E56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 If, in the year before and after the non-declaration period, the area of agricultural land was declared in the geo-spatial application as an area planted with grasses or herbaceous forage in conformity with crop code 710 or 720 referred to in Annex 1 to this Regulation, it shall be regarded as an area planted with grasses or herbaceous forage in the year when such area is not declared in the geo-spatial application.</w:t>
      </w:r>
      <w:bookmarkStart w:id="24" w:name="p11"/>
      <w:bookmarkEnd w:id="24"/>
    </w:p>
    <w:p w14:paraId="203DD64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 w:name="p-1191518"/>
      <w:bookmarkEnd w:id="25"/>
    </w:p>
    <w:p w14:paraId="7F51E8D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 Arable land shall be eligible for receiving the direct payments if its surface is even according to the type of agricultural management and the microrelief of the location, it is suitable for pre-sowing processing or mowing, or harvesting of grassland and other plants, it is not necessary to lay the soil or to even out the surface of soil by using shovelling or loading equipment, and there are no shrub sprouts older than one year.</w:t>
      </w:r>
      <w:bookmarkStart w:id="26" w:name="p12"/>
      <w:bookmarkEnd w:id="26"/>
    </w:p>
    <w:p w14:paraId="045E366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 w:name="p-1191520"/>
      <w:bookmarkEnd w:id="27"/>
    </w:p>
    <w:p w14:paraId="2D5AE7F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 The eligible area of arable land covers the features of agroforestry systems, i.e. trees growing separately, in groups or in rows, if the number of trees per hectare does not exceed 100 or if the total area covered by groups, rows, or strips of trees does not exceed 500 square metres, except for those features which have been declared in the good agricultural and environmental condition standard 8 (hereinafter – the GAEC standard) specified in Annex III to Regulation 2021/2115.</w:t>
      </w:r>
      <w:bookmarkStart w:id="28" w:name="p13"/>
      <w:bookmarkEnd w:id="28"/>
    </w:p>
    <w:p w14:paraId="1381A59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 w:name="p-1191522"/>
      <w:bookmarkEnd w:id="29"/>
    </w:p>
    <w:p w14:paraId="6FB9F71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 Weeds shall be destroyed in arable land used as fallow land, thus preventing the ripening of the seed. If the land lying fallow was declared as permanent grassland, grassland sown in arable land, or fallow land in the geo-spatial application of the previous year, or the area was not declared at all, it shall be processed mechanically by 30 May of the current year, unless green manure crops are sown in fallow land in the current year, using direct sowing or strip tillage method.</w:t>
      </w:r>
      <w:bookmarkStart w:id="30" w:name="p14"/>
      <w:bookmarkEnd w:id="30"/>
    </w:p>
    <w:p w14:paraId="4C49A69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 w:name="p-1233523"/>
      <w:bookmarkEnd w:id="31"/>
    </w:p>
    <w:p w14:paraId="4087E7E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 Grassland sown in arable land, legumes sown in pure stand, and permanent grassland shall be eligible for receiving the direct payments if they are grazed and the improperly grazed area is mowed or they are mowed down by 15 August of the current year, except for:</w:t>
      </w:r>
      <w:bookmarkStart w:id="32" w:name="p15"/>
      <w:bookmarkEnd w:id="32"/>
    </w:p>
    <w:p w14:paraId="38D8AA5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15.1. grassland sown in arable land, legumes sown in pure stand, and permanent grassland used for harvesting medicinal plants or in apiculture for the collection of nectar, including areas used for the implementation of the rural development intervention “Management of apiculture units for the purpose of pollination” if they have been mowed and gathered by 15 September of the current year;</w:t>
      </w:r>
    </w:p>
    <w:p w14:paraId="6B0AA2A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15.2. permanent grassland recognised as biologically valuable grassland or grassland habitat of European Union importance dependent on agricultural activity or bird habitat of European Union importance if it has been grazed or mowed and gathered by selecting a mowing technique suitable for the soil moisture conditions by 15 September of the current year;</w:t>
      </w:r>
    </w:p>
    <w:p w14:paraId="120E56C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15.3. grassland and legumes sown in pure stand which are used for cultivating grassland seed if they have been threshed by 1 October of the current year and applied for field inspection in the current year with the State Plant Protection Service or, together with the geo-spatial application, an application in respect of the relevant areas has been submitted to the Rural Support Service;</w:t>
      </w:r>
    </w:p>
    <w:p w14:paraId="4B23EB0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15.4. grassland and legumes sown in pure stand which are used for cultivating grassland seed and which have been sown in the current year without a cover crop if they have been applied for field inspection with the State Plant Protection Service in the subsequent year;</w:t>
      </w:r>
    </w:p>
    <w:p w14:paraId="3BFC6A7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15.5. an area occupied by switchgrass (</w:t>
      </w:r>
      <w:r w:rsidRPr="006F5A86">
        <w:rPr>
          <w:rFonts w:ascii="Times New Roman" w:hAnsi="Times New Roman"/>
          <w:i/>
          <w:iCs/>
          <w:noProof/>
          <w:kern w:val="0"/>
          <w:sz w:val="24"/>
          <w:lang w:val="en-US"/>
        </w:rPr>
        <w:t>Panicum virgatum</w:t>
      </w:r>
      <w:r w:rsidRPr="006F5A86">
        <w:rPr>
          <w:rFonts w:ascii="Times New Roman" w:hAnsi="Times New Roman"/>
          <w:noProof/>
          <w:kern w:val="0"/>
          <w:sz w:val="24"/>
          <w:lang w:val="en-US"/>
        </w:rPr>
        <w:t>) and reed canary grass (</w:t>
      </w:r>
      <w:r w:rsidRPr="006F5A86">
        <w:rPr>
          <w:rFonts w:ascii="Times New Roman" w:hAnsi="Times New Roman"/>
          <w:i/>
          <w:iCs/>
          <w:noProof/>
          <w:kern w:val="0"/>
          <w:sz w:val="24"/>
          <w:lang w:val="en-US"/>
        </w:rPr>
        <w:t>Phalaris arundinacea L.</w:t>
      </w:r>
      <w:r w:rsidRPr="006F5A86">
        <w:rPr>
          <w:rFonts w:ascii="Times New Roman" w:hAnsi="Times New Roman"/>
          <w:noProof/>
          <w:kern w:val="0"/>
          <w:sz w:val="24"/>
          <w:lang w:val="en-US"/>
        </w:rPr>
        <w:t>) for the purpose of acquiring energy and the flowering stage of which was reached in the previous year if the respective area has been mowed and harvested by 1 May of the current year.</w:t>
      </w:r>
    </w:p>
    <w:p w14:paraId="5D8D724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166520B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 w:name="p-1191535"/>
      <w:bookmarkEnd w:id="33"/>
    </w:p>
    <w:p w14:paraId="40A43AE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 In order to promote biodiversity, it shall be allowed to preserve in the area occupied by permanent grassland up to 0.1 hectare area that has not been mowed or grazed per one hectare of the permanent grassland area without thatch layer and wood or shrub sprouts. The area of certain fields that have not been mowed or grazed shall not adjoin the edge of field and the total area of such fields shall not exceed one hectare.</w:t>
      </w:r>
      <w:bookmarkStart w:id="34" w:name="p16"/>
      <w:bookmarkEnd w:id="34"/>
    </w:p>
    <w:p w14:paraId="7773D15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 w:name="p-1191537"/>
      <w:bookmarkEnd w:id="35"/>
    </w:p>
    <w:p w14:paraId="3133876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 An area occupied by nectar plants sown in pure stand or mutual mixture shall not be regarded as grassland sown in arable land or permanent grassland.</w:t>
      </w:r>
      <w:bookmarkStart w:id="36" w:name="p17"/>
      <w:bookmarkEnd w:id="36"/>
    </w:p>
    <w:p w14:paraId="20DEFB5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 w:name="p-1216380"/>
      <w:bookmarkEnd w:id="37"/>
    </w:p>
    <w:p w14:paraId="255D594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 The areas of permanent crops shall be eligible for receiving the direct payments if more than one metre wide interlinear spaces are mowed or mechanically processed and the withered permanent trees or shrubs have been removed by 15 September of the current year.</w:t>
      </w:r>
      <w:bookmarkStart w:id="38" w:name="p18"/>
      <w:bookmarkEnd w:id="38"/>
    </w:p>
    <w:p w14:paraId="0935D6E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7181150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 w:name="p-1191541"/>
      <w:bookmarkEnd w:id="39"/>
    </w:p>
    <w:p w14:paraId="0011B77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 The area of permanent crops and permanent grassland eligible for receiving the direct payments includes such features of agroforestry systems as trees growing separately, in groups, or in rows if the number of trees per hectare does not exceed 100 or the total area covered by groups, rows, or strips of trees does not exceed 500 square metres.</w:t>
      </w:r>
      <w:bookmarkStart w:id="40" w:name="p19"/>
      <w:bookmarkEnd w:id="40"/>
    </w:p>
    <w:p w14:paraId="42B73F8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 w:name="p-1191543"/>
      <w:bookmarkEnd w:id="41"/>
    </w:p>
    <w:p w14:paraId="0B0D9B0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 Nurseries for permanent crops shall be eligible for receiving the direct payments if they are used for growing fruit trees and berry plants, including vine plants, for growing such ornamental plants, trees, and shrubs that are intended for planting in gardens, parks, roadsides, and embankments (for example, hedgerow plants, rose bushes, and other ornamental shrubs, ornamental conifers), and also for growing rootstocks and seedlings of such trees and shrubs. A nursery shall be eligible if the seedlings are grown in living soil which is connected to the sub-layer of soil and bedrock.</w:t>
      </w:r>
      <w:bookmarkStart w:id="42" w:name="p20"/>
      <w:bookmarkEnd w:id="42"/>
    </w:p>
    <w:p w14:paraId="24003ED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 w:name="p-1233529"/>
      <w:bookmarkEnd w:id="43"/>
    </w:p>
    <w:p w14:paraId="3878ABC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 The permanent crop areas of short rotation coppice shall be eligible for receiving the direct payments if a single age species of short rotation coppice is sown and grown there, i.e. aspen tree (</w:t>
      </w:r>
      <w:r w:rsidRPr="006F5A86">
        <w:rPr>
          <w:rFonts w:ascii="Times New Roman" w:hAnsi="Times New Roman"/>
          <w:i/>
          <w:iCs/>
          <w:noProof/>
          <w:kern w:val="0"/>
          <w:sz w:val="24"/>
          <w:lang w:val="en-US"/>
        </w:rPr>
        <w:t>Populus spp.</w:t>
      </w:r>
      <w:r w:rsidRPr="006F5A86">
        <w:rPr>
          <w:rFonts w:ascii="Times New Roman" w:hAnsi="Times New Roman"/>
          <w:noProof/>
          <w:kern w:val="0"/>
          <w:sz w:val="24"/>
          <w:lang w:val="en-US"/>
        </w:rPr>
        <w:t>) or grey alder (</w:t>
      </w:r>
      <w:r w:rsidRPr="006F5A86">
        <w:rPr>
          <w:rFonts w:ascii="Times New Roman" w:hAnsi="Times New Roman"/>
          <w:i/>
          <w:iCs/>
          <w:noProof/>
          <w:kern w:val="0"/>
          <w:sz w:val="24"/>
          <w:lang w:val="en-US"/>
        </w:rPr>
        <w:t>Alnus incana</w:t>
      </w:r>
      <w:r w:rsidRPr="006F5A86">
        <w:rPr>
          <w:rFonts w:ascii="Times New Roman" w:hAnsi="Times New Roman"/>
          <w:noProof/>
          <w:kern w:val="0"/>
          <w:sz w:val="24"/>
          <w:lang w:val="en-US"/>
        </w:rPr>
        <w:t>) with at least 1000 plants per hectare, osier (</w:t>
      </w:r>
      <w:r w:rsidRPr="006F5A86">
        <w:rPr>
          <w:rFonts w:ascii="Times New Roman" w:hAnsi="Times New Roman"/>
          <w:i/>
          <w:iCs/>
          <w:noProof/>
          <w:kern w:val="0"/>
          <w:sz w:val="24"/>
          <w:lang w:val="en-US"/>
        </w:rPr>
        <w:t>Salix spp.</w:t>
      </w:r>
      <w:r w:rsidRPr="006F5A86">
        <w:rPr>
          <w:rFonts w:ascii="Times New Roman" w:hAnsi="Times New Roman"/>
          <w:noProof/>
          <w:kern w:val="0"/>
          <w:sz w:val="24"/>
          <w:lang w:val="en-US"/>
        </w:rPr>
        <w:t>) with at least 4000 plants per hectare, with a maximum rotation period of five years, and if no land amelioration systems have been registered according to the amelioration cadastre data as on 1 July 2011 and also no new land amelioration system has been created after 1 July 2011.</w:t>
      </w:r>
      <w:bookmarkStart w:id="44" w:name="p21"/>
      <w:bookmarkEnd w:id="44"/>
    </w:p>
    <w:p w14:paraId="0861F48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the Paragraph shall come into force on 1 January 2024. See Paragraph 2 of Amendments</w:t>
      </w:r>
      <w:r w:rsidRPr="006F5A86">
        <w:rPr>
          <w:rFonts w:ascii="Times New Roman" w:hAnsi="Times New Roman"/>
          <w:noProof/>
          <w:kern w:val="0"/>
          <w:sz w:val="24"/>
          <w:lang w:val="en-US"/>
        </w:rPr>
        <w:t>]</w:t>
      </w:r>
    </w:p>
    <w:p w14:paraId="30EF1B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 w:name="p-1246133"/>
      <w:bookmarkEnd w:id="45"/>
    </w:p>
    <w:p w14:paraId="5FFB7DB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 The eligible area may include objects with a width not exceeding two metres, i.e. maintained ditches, hedges, and tree rows.</w:t>
      </w:r>
      <w:bookmarkStart w:id="46" w:name="p22"/>
      <w:bookmarkEnd w:id="46"/>
    </w:p>
    <w:p w14:paraId="4E127E8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368D62A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 w:name="p-1191549"/>
      <w:bookmarkEnd w:id="47"/>
    </w:p>
    <w:p w14:paraId="690E776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 The eligible area of agricultural land shall exclude man-made structures and objects, in particular structures, buildings, and roads.</w:t>
      </w:r>
      <w:bookmarkStart w:id="48" w:name="p23"/>
      <w:bookmarkEnd w:id="48"/>
    </w:p>
    <w:p w14:paraId="6B08C43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 w:name="p-1191551"/>
      <w:bookmarkEnd w:id="49"/>
    </w:p>
    <w:p w14:paraId="4A5BC16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 An area where the proportion of naturally self-seeded plants exceeds 25 per cent by 31 August of the current year or a vegetable area where the number of vegetable crops per square metre is less than the number specified in Annex 2 to this Regulation, and agrotechnical weed control measures have not been implemented to such an extent that weeds do not impede crop growth and crops reach the level of maturity appropriate to harvesting, has been maintained in a condition suitable for crop production if the crop or crop mixture growing there has been threshed or mowed or incorporated into the soil by 15 October of the current year.</w:t>
      </w:r>
      <w:bookmarkStart w:id="50" w:name="p24"/>
      <w:bookmarkEnd w:id="50"/>
    </w:p>
    <w:p w14:paraId="3D1857D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1191553"/>
      <w:bookmarkEnd w:id="51"/>
    </w:p>
    <w:p w14:paraId="69EE22B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 The direct payments shall not be granted for agricultural land if:</w:t>
      </w:r>
      <w:bookmarkStart w:id="52" w:name="p25"/>
      <w:bookmarkEnd w:id="52"/>
    </w:p>
    <w:p w14:paraId="6FB6203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25.1. it is mainly used for logging purposes, road building, placement of tents, parking areas for vehicles and equipment, for the organisation of exhibitions, fairs, sports and recreation events, and other non-agricultural activities or the organisation of events within the time period from 15 May to 15 September for a time period exceeding four consecutive weeks or if it requires restoration and levelling of the upper layer of soil or restoration of the grass cover;</w:t>
      </w:r>
    </w:p>
    <w:p w14:paraId="38FDD89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25.2. there is an airfield (a certificate has been issued in accordance with the laws and regulations governing the placement, certification, and exploitation of civil aviation airfields), a permanent sports field, including a golf course, fields or slopes where skiing and other sports routes with equipment have been arranged, an equestrian facility with equipment, a recreation area and camp-site, glasshouses with floor covering, solar panels, or roads are situated there;</w:t>
      </w:r>
    </w:p>
    <w:p w14:paraId="7D6BA63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25.3. there are mainly plants of the invasive hogweed genus with flowering stems in the parcel;</w:t>
      </w:r>
    </w:p>
    <w:p w14:paraId="25D4B27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25.4. there are bulrushes or there is wetland that, within the time period from 15 May to 15 September, is covered by water for a time period exceeding four consecutive weeks, unless such area occupies part of the field and is declared as a biodiversity island in accordance with Sub-paragraph 75.11 of this Regulation;</w:t>
      </w:r>
    </w:p>
    <w:p w14:paraId="6BCF96C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25.5. the parcel is a lawn or a lawn in a backyard that is regularly mowed or shredded;</w:t>
      </w:r>
    </w:p>
    <w:p w14:paraId="15D96EA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25.6. it is occupied by Christmas tree plantations.</w:t>
      </w:r>
    </w:p>
    <w:p w14:paraId="51769C1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 w:name="n3"/>
      <w:bookmarkStart w:id="54" w:name="n-1191567"/>
      <w:bookmarkEnd w:id="53"/>
      <w:bookmarkEnd w:id="54"/>
    </w:p>
    <w:p w14:paraId="4E4DEFC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3. Eligible Area Used for the Production of Hemp</w:t>
      </w:r>
    </w:p>
    <w:p w14:paraId="1EF450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 w:name="p-1191569"/>
      <w:bookmarkEnd w:id="55"/>
    </w:p>
    <w:p w14:paraId="1DB69DF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 An area used for the production of hemp shall be eligible for receiving the direct payments if it conforms to the requirements laid down in Article 4(4), second subparagraph of Regulation 2021/2115 and Article 2(b) of Commission Delegated Regulation (EU) 2022/126 of 7 December 2021 supplementing Regulation (EU) 2021/2115 of the European Parliament and of the Council with additional requirements for certain types of intervention specified by Member States in their CAP Strategic Plans for the period 2023 to 2027 under that Regulation as well as rules on the ratio for the good agricultural and environmental condition (GAEC) standard 1 (hereinafter – Regulation 2022/126) and has been included in hemp tetrahydrocannabinol content (hereinafter – THC) monitoring in order to determine the conformity of areas with the relevant requirements.</w:t>
      </w:r>
      <w:bookmarkStart w:id="56" w:name="p26"/>
      <w:bookmarkEnd w:id="56"/>
    </w:p>
    <w:p w14:paraId="01D7890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 w:name="p-1191571"/>
      <w:bookmarkEnd w:id="57"/>
    </w:p>
    <w:p w14:paraId="44B02855"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 A continuous area of agricultural land which is not less than 0.1 hectares shall be declared in the geo-spatial application, specifying the type and code of land use appropriate for hemp (Annex 1), as one field sown with certified seeds of one eligible hemp variety or seeds of a conservation variety of hemp which have been verified and conform to the seed quality requirements laid down in the laws and regulations regarding the recognition of a genetic resources conservation variety of arable crops and vegetables of Latvian origin and the circulation of seeds and which are included in the Common Catalogue of Varieties of Agricultural Plant Species on 15 March of the current year. In addition to the geo-spatial application, a farmer shall, by 22 May of the current year, submit the following to the Rural Support Service:</w:t>
      </w:r>
      <w:bookmarkStart w:id="58" w:name="p27"/>
      <w:bookmarkEnd w:id="58"/>
    </w:p>
    <w:p w14:paraId="3508227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27.1. a declaration of the applied sown area of hemp (Annex 3) containing information on the sown area of hemp, the varieties of the sown hemp, and the amount of sown seeds (kg/ha);</w:t>
      </w:r>
    </w:p>
    <w:p w14:paraId="141F1B0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27.2. the original official label of the packaging of sown certified seed of the variety of hemp in which the indicated quantity of seeds conforms to the quantity of sown hemp seeds referred to in the declaration (the minimum quantity of hemp to be sown shall be 15 kg/ha);</w:t>
      </w:r>
    </w:p>
    <w:p w14:paraId="085DAA2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27.3. the original label of the packaging of each sown seed of a conservation variety of hemp in which the total indicated quantity of seeds conforms to the quantity of sown hemp seeds referred to in the declaration (the minimum quantity of hemp to be sown shall be 15 kg/ha). The labels on the packaging of seeds of a conservation variety of hemp shall be adequate if they bear the information specified in the laws and regulations regarding the recognition of a genetic resources conservation variety of arable crops and vegetables of Latvian origin and the circulation of seeds and they have been issued by seed processors published on the website of the State Plant Protection Service.</w:t>
      </w:r>
    </w:p>
    <w:p w14:paraId="0C563BC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 w:name="p-1191579"/>
      <w:bookmarkEnd w:id="59"/>
    </w:p>
    <w:p w14:paraId="633FA99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 A farmer shall, by 15 June of the current year, submit the application for the inclusion of the area in hemp THC monitoring (Annex 4) to the State Plant Protection Service either in paper form or in the form of an electronic document in accordance with the laws and regulations regarding drawing up of electronic documents.</w:t>
      </w:r>
      <w:bookmarkStart w:id="60" w:name="p28"/>
      <w:bookmarkEnd w:id="60"/>
    </w:p>
    <w:p w14:paraId="1C5ADCF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 w:name="p-1191581"/>
      <w:bookmarkEnd w:id="61"/>
    </w:p>
    <w:p w14:paraId="64DB4C3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 A farmer shall, by 30 June of the current year, settle the payment for the inclusion of the area in hemp THC monitoring according to the price list of paid services provided by the State Plant Protection Service and in conformity with the invoice issued thereby, transferring the funds to the account specified in the invoice.</w:t>
      </w:r>
      <w:bookmarkStart w:id="62" w:name="p29"/>
      <w:bookmarkEnd w:id="62"/>
    </w:p>
    <w:p w14:paraId="4C07B01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 w:name="p-1191583"/>
      <w:bookmarkEnd w:id="63"/>
    </w:p>
    <w:p w14:paraId="5DFA976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 The State Plant Protection Service has the right to annul inclusion of the area in hemp THC monitoring in the current year without reimbursing the previously received payment if the application referred to in Paragraph 29 of this Regulation contains false information or full payment for the specified hemp area has not been settled.</w:t>
      </w:r>
      <w:bookmarkStart w:id="64" w:name="p30"/>
      <w:bookmarkEnd w:id="64"/>
    </w:p>
    <w:p w14:paraId="7190183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 w:name="p-1191585"/>
      <w:bookmarkEnd w:id="65"/>
    </w:p>
    <w:p w14:paraId="3FFE249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 The State Plant Protection Service shall inform the farmer whose holding has been selected for checking of the planned check in accordance with Sub-paragraph 284.3 of this Regulation. In order to carry out the check, the farmer shall inform the State Plant Protection Service in writing of the time of the beginning of hemp flowering within 10 days thereafter.</w:t>
      </w:r>
      <w:bookmarkStart w:id="66" w:name="p31"/>
      <w:bookmarkEnd w:id="66"/>
    </w:p>
    <w:p w14:paraId="13CD8AD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454D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67" w:name="n4"/>
      <w:bookmarkStart w:id="68" w:name="n-1191587"/>
      <w:bookmarkEnd w:id="67"/>
      <w:bookmarkEnd w:id="68"/>
      <w:r w:rsidRPr="006F5A86">
        <w:rPr>
          <w:rFonts w:ascii="Times New Roman" w:hAnsi="Times New Roman"/>
          <w:b/>
          <w:noProof/>
          <w:kern w:val="0"/>
          <w:sz w:val="24"/>
          <w:lang w:val="en-US"/>
        </w:rPr>
        <w:t>4. Minimum Conditions for Receiving the Direct Payments</w:t>
      </w:r>
    </w:p>
    <w:p w14:paraId="714783C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1191589"/>
      <w:bookmarkEnd w:id="69"/>
    </w:p>
    <w:p w14:paraId="5F9895E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 The direct payments for areas shall be granted to a farmer for agricultural land if the total area of eligible agricultural land is at least one hectare.</w:t>
      </w:r>
    </w:p>
    <w:p w14:paraId="7BBAD85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191591"/>
      <w:bookmarkEnd w:id="70"/>
    </w:p>
    <w:p w14:paraId="4A0A6842"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 The minimum size of agricultural parcel in respect of which a direct payment for areas is granted shall be 0.3 hectares and the minimum size of an agricultural parcel included in the field block shall be 0.1 hectare. An agricultural parcel (field) shall be a continuous area of agricultural land that has been applied by one farmer and that is occupied by not more than one crop or there is not more than one type of use of the land in accordance with Annex 1 to this Regulation.</w:t>
      </w:r>
      <w:bookmarkStart w:id="71" w:name="p33"/>
      <w:bookmarkEnd w:id="71"/>
    </w:p>
    <w:p w14:paraId="0C4E802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1191593"/>
      <w:bookmarkEnd w:id="72"/>
    </w:p>
    <w:p w14:paraId="3A95FE6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 The direct payments only for animals shall be granted solely if the amount to be granted is at least EUR 100.</w:t>
      </w:r>
      <w:bookmarkStart w:id="73" w:name="p34"/>
      <w:bookmarkEnd w:id="73"/>
    </w:p>
    <w:p w14:paraId="274E7B4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5"/>
      <w:bookmarkStart w:id="75" w:name="n-1191595"/>
      <w:bookmarkEnd w:id="74"/>
      <w:bookmarkEnd w:id="75"/>
    </w:p>
    <w:p w14:paraId="08DC5147"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5. Active Farmer</w:t>
      </w:r>
    </w:p>
    <w:p w14:paraId="0726B54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1191597"/>
      <w:bookmarkEnd w:id="76"/>
    </w:p>
    <w:p w14:paraId="7305769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 An active farmer may receive the direct payments referred to in Paragraph 2 of this Regulation.</w:t>
      </w:r>
      <w:bookmarkStart w:id="77" w:name="p35"/>
      <w:bookmarkEnd w:id="77"/>
    </w:p>
    <w:p w14:paraId="33A3DDE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1191599"/>
      <w:bookmarkEnd w:id="78"/>
    </w:p>
    <w:p w14:paraId="3085507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 In accordance with Article 4(5) of Regulation 2021/2115, an applicant for the direct payments shall be regarded as an active farmer if the total amount of the granted direct payments prior to application of the reduction of support is not higher than EUR 500 or if any of the following criteria are fulfilled thereby:</w:t>
      </w:r>
      <w:bookmarkStart w:id="79" w:name="p36"/>
      <w:bookmarkEnd w:id="79"/>
    </w:p>
    <w:p w14:paraId="056CEC1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36.1. farmed animals the number of which corresponds to at least one conditional livestock unit have been registered with the Agricultural Data Centre on 1 March of the current year. The number of conditional livestock units shall be determined, using the coefficients specified in Annex 5 to this Regulation;</w:t>
      </w:r>
    </w:p>
    <w:p w14:paraId="3EAA797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36.2. the applicant for the direct payments has been entered in the Register of Integrated Cultivation of Agricultural Products of the State Plant Protection Service on 1 October of the previous or current year and has the decision of the State Plant Protection Service on compliance of crops with the laws and regulations regarding the requirements for integrated cultivation, storage, and labelling of agricultural products and the control procedures thereof;</w:t>
      </w:r>
    </w:p>
    <w:p w14:paraId="2D03744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36.3. the applicant for the direct payments is a seed grower registered in the Register of Seed Growers and Seed Traders of the State Plant Protection Service on 1 October of the previous or current year and has submitted in the relevant year the application for the inspection of seed growing fields to the State Plant Protection Service in accordance with the laws and regulations regarding growing and marketing of seed and has at least one field recognised in the field inspection;</w:t>
      </w:r>
    </w:p>
    <w:p w14:paraId="789150D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36.4. at least one third of the agricultural land of the holding declared in the geo-spatial application for the current year has been included in the control system for organic farming on 1 October of the previous or current year in accordance with the laws and regulations regarding the procedures for the monitoring and control of organic farming;</w:t>
      </w:r>
    </w:p>
    <w:p w14:paraId="79D6272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36.5. the holding employs at least one employed person in agricultural activity or at least one agricultural labour unit for every 100 hectares eligible for the direct payments in the current year;</w:t>
      </w:r>
    </w:p>
    <w:p w14:paraId="27A9237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36.6. the standard output indicator per hectare eligible for the direct payments in the current year, excluding permanent grassland recognised as biologically valuable grassland or grassland habitat and bird habitat of European Union importance dependent on agricultural activity, is at least EUR 400;</w:t>
      </w:r>
    </w:p>
    <w:p w14:paraId="1EC16DE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36.7. the costs of agricultural activity of the holding, except for the immovable property tax, represent on average at least EUR 120 per hectare eligible for the direct payments in the previous or current year.</w:t>
      </w:r>
    </w:p>
    <w:p w14:paraId="7DA23E8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1191614"/>
      <w:bookmarkEnd w:id="80"/>
    </w:p>
    <w:p w14:paraId="54460521"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 If, in the previous year, a farmer has not applied for receiving the direct payments, the total amount of the direct payments referred to in Paragraph 36 of this Regulation shall be determined by multiplying the number of hectares indicated in the geo-spatial application for the current year by the national average amount of the direct payments per hectare for the previous year.</w:t>
      </w:r>
      <w:bookmarkStart w:id="81" w:name="p37"/>
      <w:bookmarkEnd w:id="81"/>
    </w:p>
    <w:p w14:paraId="1D3FAA7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1191616"/>
      <w:bookmarkEnd w:id="82"/>
    </w:p>
    <w:p w14:paraId="2E7B6B2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 The national average amount of the direct payments per hectare shall be calculated by dividing the financing of the direct payments for the previous year specified in Annex V to Regulation 2021/2115 by the total number of hectares determined in the country for the previous year. The national average amount of the direct payments per hectare for 2022 shall be calculated by dividing the national ceiling for 2022 specified in Annex II to Regulation No 1307/2013 by the total number of hectares determined for the country in 2022.</w:t>
      </w:r>
      <w:bookmarkStart w:id="83" w:name="p38"/>
      <w:bookmarkEnd w:id="83"/>
    </w:p>
    <w:p w14:paraId="4FCA7B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1191618"/>
      <w:bookmarkEnd w:id="84"/>
    </w:p>
    <w:p w14:paraId="25EDF0A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 The Rural Support Service shall assess the compliance with the criteria of an active farmer referred to in Sub-paragraphs 36.1, 36.2, 36.3, 36.4, and 36.6 of this Regulation, using the information available in public registers and indicated in the geo-spatial application. If necessary, the Rural Support Service shall request additional information in order to assess the compliance of the applicant for the direct payments with the criteria of an active farmer referred to in Sub-paragraphs 36.5 and 36.7 of this Regulation.</w:t>
      </w:r>
      <w:bookmarkStart w:id="85" w:name="p39"/>
      <w:bookmarkEnd w:id="85"/>
    </w:p>
    <w:p w14:paraId="3435C0E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1216382"/>
      <w:bookmarkEnd w:id="86"/>
    </w:p>
    <w:p w14:paraId="0D37663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40. An agricultural labour unit shall be an employed person working at least 65 days or 520 hours per year. The number of agricultural labour units at the holding shall be calculated by dividing the hours worked in agricultural activity by employed persons at the holding in the previous year by 520. The hours worked in agricultural activity shall be determined according to the records kept at the holding, distinguishing between hours worked in agricultural and non-agricultural activities. The total number of hours worked shall not exceed the number of hours worked indicated in the report of the employer submitted to the State Revenue Service for the reporting months of the previous year and in the information at the disposal of the Rural Support Service on the number of hours worked by seasonal agricultural workers at the holding calculated by multiplying the number of days worked by seasonal agricultural workers indicated in the seasonal agricultural worker income taxpayer report for the reporting months of the previous year prepared by the information system of the Rural Support Service by eight. An agricultural labour unit shall also be a performer of economic activity, i.e. a self-employed person whose income from agricultural activity, according to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or the financial statement for the previous year, represents at least 50 per cent of the total income.</w:t>
      </w:r>
      <w:bookmarkStart w:id="87" w:name="p40"/>
      <w:bookmarkEnd w:id="87"/>
    </w:p>
    <w:p w14:paraId="215A351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1CB266C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1191622"/>
      <w:bookmarkEnd w:id="88"/>
    </w:p>
    <w:p w14:paraId="031EA4F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41. If, in the previous year, the holding has been engaged only in agricultural activity, as evidenced by the fact that only the income from agricultural activity is indicated in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of the holding or in the annual statement of sole proprietorship for the previous year, or that only the net turnover from agricultural activity is indicated in the annual statement of the undertaking for the previous year, the number of agricultural labour units shall be calculated by dividing the total number of hours worked by employed persons at the holding in the previous year indicated in the report of the employer submitted to the State Revenue Service for the reporting months of the previous year and hours worked by seasonal agricultural workers calculated from the seasonal agricultural worker income taxpayer report prepared by the information system of the Rural Support Service by 520. The number of hours worked by seasonal agricultural workers employed at the holding shall be calculated by multiplying the number of days worked by seasonal agricultural workers indicated in the seasonal agricultural worker income taxpayer report for the reporting months of the previous year prepared by the information system of the Rural Support Service by eight.</w:t>
      </w:r>
      <w:bookmarkStart w:id="89" w:name="p41"/>
      <w:bookmarkEnd w:id="89"/>
    </w:p>
    <w:p w14:paraId="49AB26B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90" w:name="p-1191624"/>
      <w:bookmarkEnd w:id="90"/>
    </w:p>
    <w:p w14:paraId="45F920E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42. If accounting of the number of hours worked by employees in agricultural activity at the holding has not been ensured in the previous year, an applicant for the direct payments shall submit information to the Rural Support Service on the number of employees calculated for the current year in accordance with Paragraph 40 or 41 of this Regulation.</w:t>
      </w:r>
      <w:bookmarkStart w:id="91" w:name="p42"/>
      <w:bookmarkEnd w:id="91"/>
    </w:p>
    <w:p w14:paraId="017060B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1191626"/>
      <w:bookmarkEnd w:id="92"/>
    </w:p>
    <w:p w14:paraId="4F3C012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43. In order to certify the compliance of the number of paid employees with the criterion referred to in Sub-paragraph 36.5 of this Regulation, an applicant for the direct payments shall, by 1 October of the current year, submit information to the Rural Support Service in accordance with Annex 6 to this Regulation.</w:t>
      </w:r>
      <w:bookmarkStart w:id="93" w:name="p43"/>
      <w:bookmarkEnd w:id="93"/>
    </w:p>
    <w:p w14:paraId="4C064FB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1191628"/>
      <w:bookmarkEnd w:id="94"/>
    </w:p>
    <w:p w14:paraId="292C735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44. The average standard output indicator referred to in Sub-paragraph 36.6 of this Regulation shall be calculated by the Rural Support Service, using the standard output value per crop and farmed animal specified in Annexes 1 and 5 to this Regulation. The standard output value shall be calculated for the farmed animals which have been registered with the Agricultural Data Centre as on 1 March of the current year. The standard output per area of agricultural land shall be calculated per hectare specified in the geo-spatial application of the holding, taking into account the crops grown in the relevant area and the type of land use.</w:t>
      </w:r>
      <w:bookmarkStart w:id="95" w:name="p44"/>
      <w:bookmarkEnd w:id="95"/>
    </w:p>
    <w:p w14:paraId="2951F7B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1191630"/>
      <w:bookmarkEnd w:id="96"/>
    </w:p>
    <w:p w14:paraId="489843C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45. In order to certify the compliance with the criterion specified in Sub-paragraph 36.7 of this Regulation, an applicant for the direct payments shall, by 1 October of the current year, submit evidence of the costs for the agricultural activity of the holding to the Rural Support Service in accordance with Annex 7 to this Regulation.</w:t>
      </w:r>
      <w:bookmarkStart w:id="97" w:name="p45"/>
      <w:bookmarkEnd w:id="97"/>
    </w:p>
    <w:p w14:paraId="146BFFA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1191632"/>
      <w:bookmarkEnd w:id="98"/>
    </w:p>
    <w:p w14:paraId="0E3BA0E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46. If the evidence of the costs for the agricultural activity is prepared on the basis of the information indicated in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in the annual statement of the undertaking, or in the annual statement of the sole proprietorship submitted to the State Revenue Service, the data for the previous reporting year shall be taken into account.</w:t>
      </w:r>
      <w:bookmarkStart w:id="99" w:name="p46"/>
      <w:bookmarkEnd w:id="99"/>
    </w:p>
    <w:p w14:paraId="2097B13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1191634"/>
      <w:bookmarkEnd w:id="100"/>
    </w:p>
    <w:p w14:paraId="7675ED1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47. A farmer who has not submitted the information specified in Paragraph 46 of this Regulation for the previous reporting year to the State Revenue Service shall submit to the Rural Support Service copies of documents certifying the costs for agricultural activity for the previous year or for a continuous period of 12 months with the starting date not earlier than 1 January of the previous year, containing the following information:</w:t>
      </w:r>
      <w:bookmarkStart w:id="101" w:name="p47"/>
      <w:bookmarkEnd w:id="101"/>
    </w:p>
    <w:p w14:paraId="25152CA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47.1. the costs for the purchase of fuel;</w:t>
      </w:r>
    </w:p>
    <w:p w14:paraId="385DC27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47.2. the costs for the maintenance of agricultural machinery;</w:t>
      </w:r>
    </w:p>
    <w:p w14:paraId="7FFA9FA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47.3. the costs for the maintenance of the buildings used for ensuring agricultural activity, including electricity;</w:t>
      </w:r>
    </w:p>
    <w:p w14:paraId="4CCCBC7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47.4. the costs for the purchase of production resources used in agricultural activity, including the costs for the purchase of mineral fertilizers, organic fertilizers, plant protection products, liming material, crop seeds, and feed;</w:t>
      </w:r>
    </w:p>
    <w:p w14:paraId="6567DF0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47.5. the costs for the received services of agricultural activity, including payments for pre-sowing of agricultural land and post-sowing of arable land, harvesting, transportation of products, supply of production resources, mowing of grassland, and harvesting of grassland material;</w:t>
      </w:r>
    </w:p>
    <w:p w14:paraId="5CE2E9C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47.6. other costs of agricultural activity which are not referred to in this Paragraph.</w:t>
      </w:r>
    </w:p>
    <w:p w14:paraId="08303F6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1191642"/>
      <w:bookmarkEnd w:id="102"/>
    </w:p>
    <w:p w14:paraId="3DFD3BC5"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48. A document certifying the costs shall be a document certifying the payment for a transaction (for example, a cash ticket, a numbered receipt registered with the State Revenue Service, a document of the supply of goods drawn up in accordance with the laws and regulations regarding accounting, a bank account statement, or a payment order approved by a bank). Documents certifying costs shall be considered valid if an applicant for the direct payments has been specified therein as the recipient of the goods or service. If the value of the costs exceeds EUR 30 (excluding the value added tax), the details of the recipient of the service must be indicated on the document certifying the costs.</w:t>
      </w:r>
      <w:bookmarkStart w:id="103" w:name="p48"/>
      <w:bookmarkEnd w:id="103"/>
    </w:p>
    <w:p w14:paraId="36EAB6E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6"/>
      <w:bookmarkStart w:id="105" w:name="n-1191643"/>
      <w:bookmarkEnd w:id="104"/>
      <w:bookmarkEnd w:id="105"/>
    </w:p>
    <w:p w14:paraId="6576A60F"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 Conditionality for Receiving the Direct Payments</w:t>
      </w:r>
    </w:p>
    <w:p w14:paraId="13CD82DD" w14:textId="77777777" w:rsidR="006F5A86" w:rsidRPr="006F5A86" w:rsidRDefault="006F5A86" w:rsidP="006F5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06" w:name="n6.1"/>
      <w:bookmarkStart w:id="107" w:name="n-1191644"/>
      <w:bookmarkEnd w:id="106"/>
      <w:bookmarkEnd w:id="107"/>
    </w:p>
    <w:p w14:paraId="4E2223F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6.1. General Conditionality Requirements for Receiving the Direct Payments</w:t>
      </w:r>
    </w:p>
    <w:p w14:paraId="0ECA7FB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1191645"/>
      <w:bookmarkEnd w:id="108"/>
    </w:p>
    <w:p w14:paraId="09935AA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49. A recipient of the direct payments shall comply with the GAEC standards specified in Sub-chapters 6.2, 6.3, 6.4, 6.5, 6.6, 6.7, 6.8, and 6.9 of this Regulation in agricultural land.</w:t>
      </w:r>
      <w:bookmarkStart w:id="109" w:name="p49"/>
      <w:bookmarkEnd w:id="109"/>
    </w:p>
    <w:p w14:paraId="7509FFE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1191646"/>
      <w:bookmarkEnd w:id="110"/>
    </w:p>
    <w:p w14:paraId="1BAB1A1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50. A recipient of the direct payments shall comply with the requirements included in Annex 8 to this Regulation.</w:t>
      </w:r>
      <w:bookmarkStart w:id="111" w:name="p50"/>
      <w:bookmarkEnd w:id="111"/>
    </w:p>
    <w:p w14:paraId="0E14777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1191647"/>
      <w:bookmarkEnd w:id="112"/>
    </w:p>
    <w:p w14:paraId="4237CFE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51. If a farmer fails to comply with the GAEC standard specified in this Regulation or with the requirements included in Annex 8 to this Regulation, the amount of the direct payments shall be reduced in accordance with Sub-chapter 14.10 of this Regulation.</w:t>
      </w:r>
    </w:p>
    <w:p w14:paraId="7230535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 w:name="n6.2"/>
      <w:bookmarkStart w:id="114" w:name="n-1191648"/>
      <w:bookmarkEnd w:id="113"/>
      <w:bookmarkEnd w:id="114"/>
    </w:p>
    <w:p w14:paraId="42FA432A"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6.2. GAEC Standard for the Maintenance of Permanent Grassland</w:t>
      </w:r>
    </w:p>
    <w:p w14:paraId="15EF873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1233530"/>
      <w:bookmarkEnd w:id="115"/>
    </w:p>
    <w:p w14:paraId="2122099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52. In accordance with Article 48(1) of Regulation 2022/126, the reference indicator for the ratio of permanent grassland for 2023 is 23.58 per cent, dividing the total area of permanent grassland of 406 816 hectares in 2018 by the total area of agricultural land of 1 725 395 hectares.</w:t>
      </w:r>
      <w:bookmarkStart w:id="116" w:name="p52"/>
      <w:bookmarkEnd w:id="116"/>
    </w:p>
    <w:p w14:paraId="31D7A95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39878E1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1191652"/>
      <w:bookmarkEnd w:id="117"/>
    </w:p>
    <w:p w14:paraId="206330B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 xml:space="preserve">53. The Rural Support Service shall make the relevant calculations and shall, by 20 August each year, publish the following information in the official gazette </w:t>
      </w:r>
      <w:r w:rsidRPr="006F5A86">
        <w:rPr>
          <w:rFonts w:ascii="Times New Roman" w:hAnsi="Times New Roman"/>
          <w:i/>
          <w:iCs/>
          <w:noProof/>
          <w:kern w:val="0"/>
          <w:sz w:val="24"/>
          <w:lang w:val="en-US"/>
        </w:rPr>
        <w:t>Latvijas Vēstnesis</w:t>
      </w:r>
      <w:r w:rsidRPr="006F5A86">
        <w:rPr>
          <w:rFonts w:ascii="Times New Roman" w:hAnsi="Times New Roman"/>
          <w:noProof/>
          <w:kern w:val="0"/>
          <w:sz w:val="24"/>
          <w:lang w:val="en-US"/>
        </w:rPr>
        <w:t>:</w:t>
      </w:r>
      <w:bookmarkStart w:id="118" w:name="p53"/>
      <w:bookmarkEnd w:id="118"/>
    </w:p>
    <w:p w14:paraId="1850E24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53.1. on the ratio of the area of permanent grassland in relation to the area of agricultural land in the current year which has been calculated in accordance with Article 48(2) of Regulation 2022/126;</w:t>
      </w:r>
    </w:p>
    <w:p w14:paraId="72068D8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53.2. on changes in the proportion between the reference indicator for the ratio of the area of permanent grassland and the ratio of the area of permanent grassland in the current year;</w:t>
      </w:r>
    </w:p>
    <w:p w14:paraId="00710B1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53.3. on the area of permanent grassland in hectares to be re-established in order to ensure that the ratio of permanent grassland indicator in relation to the ratio of permanent grassland is not less than five per cent.</w:t>
      </w:r>
    </w:p>
    <w:p w14:paraId="0BC2C2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1191660"/>
      <w:bookmarkEnd w:id="119"/>
    </w:p>
    <w:p w14:paraId="49A1FB3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54. If the reference ratio of permanent grassland decreases by more than five per cent compared to the ratio of permanent grassland in the current year, the farmer who has land which has been converted from permanent grassland to land used for other purposes within the previous five years shall, upon request of the Rural Support Service, convert part of the area of agricultural land into the area of permanent grassland by 15 June of the following year and declare it in the geo-spatial application to be submitted for the following year as permanent grassland.</w:t>
      </w:r>
      <w:bookmarkStart w:id="120" w:name="p54"/>
      <w:bookmarkEnd w:id="120"/>
    </w:p>
    <w:p w14:paraId="66306C8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1191662"/>
      <w:bookmarkEnd w:id="121"/>
    </w:p>
    <w:p w14:paraId="6ABF4D1A"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55. The requirement to convert land used for other purposes to permanent grassland shall not apply to the following part of the area of agricultural land of the holding which has been converted from permanent grassland to land used for other purposes within the previous five years:</w:t>
      </w:r>
      <w:bookmarkStart w:id="122" w:name="p55"/>
      <w:bookmarkEnd w:id="122"/>
    </w:p>
    <w:p w14:paraId="47FDE02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55.1. the area converted from permanent grassland to the area of permanent crops;</w:t>
      </w:r>
    </w:p>
    <w:p w14:paraId="718CD56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55.2. half of the area converted from permanent grassland to land used for other purposes and where an average livestock density of at least 0.3 conditional livestock units per year was ensured before the year in which the holding changed completely from livestock to crop production by removing all animals kept at the holding. The average livestock density shall be calculated in accordance with Annex 5 to this Regulation;</w:t>
      </w:r>
    </w:p>
    <w:p w14:paraId="42E3310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55.3. half of the area converted from permanent grassland to land used for other purposes at the holding which, within the previous five years, has received a direct payment or rural development support for young farmers.</w:t>
      </w:r>
    </w:p>
    <w:p w14:paraId="20DC88F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1191670"/>
      <w:bookmarkEnd w:id="123"/>
    </w:p>
    <w:p w14:paraId="477F917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56. The Rural Support Service shall, by 30 September of the current year, inform the farmer who has land which, within the previous five years, has been converted from permanent grassland to land used for other purposes of the obligation to convert land used for other purposes to permanent grassland, indicating the size of the relevant area.</w:t>
      </w:r>
      <w:bookmarkStart w:id="124" w:name="p56"/>
      <w:bookmarkEnd w:id="124"/>
    </w:p>
    <w:p w14:paraId="03FCA0B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1191672"/>
      <w:bookmarkEnd w:id="125"/>
    </w:p>
    <w:p w14:paraId="0DADF9C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57. An area that has been re-converted to permanent grassland or established as permanent grassland shall be considered as permanent grassland as of the first day of the re-conversion or establishment thereof. The area shall be used by the farmer for growing grasses or other herbaceous forage for at least five consecutive years following the re-conversion thereof or, if the area is already used for growing grasses or other herbaceous forage, for the remainder of up to five consecutive years following the year of the establishment of grassland.</w:t>
      </w:r>
      <w:bookmarkStart w:id="126" w:name="p57"/>
      <w:bookmarkEnd w:id="126"/>
    </w:p>
    <w:p w14:paraId="665304D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 w:name="n6.3"/>
      <w:bookmarkStart w:id="128" w:name="n-1191674"/>
      <w:bookmarkEnd w:id="127"/>
      <w:bookmarkEnd w:id="128"/>
    </w:p>
    <w:p w14:paraId="19EE11B0"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6.3. GAEC Standard for the Protection of Wetland and Peatland in Agricultural Land</w:t>
      </w:r>
    </w:p>
    <w:p w14:paraId="5D29556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1191676"/>
      <w:bookmarkEnd w:id="129"/>
    </w:p>
    <w:p w14:paraId="15BDCFF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58. In accordance with the GAEC standard 2 specified in Annex III to Regulation 2021/2115, a farmer shall ensure the protection of wetland and peatland in agricultural land.</w:t>
      </w:r>
      <w:bookmarkStart w:id="130" w:name="p58"/>
      <w:bookmarkEnd w:id="130"/>
    </w:p>
    <w:p w14:paraId="2DE0337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1191678"/>
      <w:bookmarkEnd w:id="131"/>
    </w:p>
    <w:p w14:paraId="0D24067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59. Wetland located in agricultural land is alluvial meadow, herbaceous marsh, or peat bog areas that are wet or periodically covered by a shallow layer of water and are used for agricultural activity which, as on 31 December of the previous year, has been cartographically identified in the map of field blocks of the field block identification system of the Rural Support Service, using the data of the nature data management system “Ozols” of the Nature Conservation Agency (hereinafter – the nature data management system “Ozols”).</w:t>
      </w:r>
      <w:bookmarkStart w:id="132" w:name="p59"/>
      <w:bookmarkEnd w:id="132"/>
    </w:p>
    <w:p w14:paraId="3A181A8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1191680"/>
      <w:bookmarkEnd w:id="133"/>
    </w:p>
    <w:p w14:paraId="49BF9CF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60. The soil of peatland located in agricultural land is soil that has been used for agricultural activity and contains a layer of peat that is at least 40 centimetres thick. It is the area that, as on 31 December of the previous year, has been cartographically identified in the map of field blocks of the field block identification system of the Rural Support Service.</w:t>
      </w:r>
      <w:bookmarkStart w:id="134" w:name="p60"/>
      <w:bookmarkEnd w:id="134"/>
    </w:p>
    <w:p w14:paraId="56F49DD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1191682"/>
      <w:bookmarkEnd w:id="135"/>
    </w:p>
    <w:p w14:paraId="01584E9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61. From 2025, the following shall be ensured in the soil areas of wetland and peatland located in agricultural land which have been cartographically identified in the map of field blocks of the field block identification system of the Rural Support Service and have been used for agricultural activity:</w:t>
      </w:r>
      <w:bookmarkStart w:id="136" w:name="p61"/>
      <w:bookmarkEnd w:id="136"/>
    </w:p>
    <w:p w14:paraId="33CB0E7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61.1. the land shall be ploughed not more than once every five years, unless prohibited by other laws and regulations, including in the field of environmentally sensitive permanent grassland;</w:t>
      </w:r>
    </w:p>
    <w:p w14:paraId="0FF75D8E"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61.2. the construction, reconstruction, or renovation of land amelioration systems shall not be permitted, except for:</w:t>
      </w:r>
    </w:p>
    <w:p w14:paraId="1FCCB989" w14:textId="77777777" w:rsidR="006F5A86" w:rsidRPr="006F5A86" w:rsidRDefault="006F5A86" w:rsidP="006F5A86">
      <w:pPr>
        <w:keepNext/>
        <w:keepLines/>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61.2.1. outside specially protected nature territories if using solutions which do not increase greenhouse gas emissions from the soil and there are such land amelioration objects as sedimentary basins, two-level amelioration ditches, rock piles, meandering, controlled drainage, artificial wetland, woodchip bioreactors, saturated buffer strips or combinations of these features and technical regulations have been issued in order to implement the construction of environment-friendly features of land amelioration systems;</w:t>
      </w:r>
    </w:p>
    <w:p w14:paraId="0BF68DA8"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61.2.2. in protected nature territories of European significance (hereinafter – the territories of Natura 2000) and in specially protected nature territories if provided for by the nature protection plan of the specially protected nature territory.</w:t>
      </w:r>
    </w:p>
    <w:p w14:paraId="0CA52FCD" w14:textId="77777777" w:rsidR="006F5A86" w:rsidRPr="006F5A86" w:rsidRDefault="006F5A86" w:rsidP="006F5A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eastAsia="lv-LV"/>
          <w14:ligatures w14:val="none"/>
        </w:rPr>
      </w:pPr>
    </w:p>
    <w:p w14:paraId="38278B6D"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137" w:name="n6.4"/>
      <w:bookmarkStart w:id="138" w:name="n-1191692"/>
      <w:bookmarkEnd w:id="137"/>
      <w:bookmarkEnd w:id="138"/>
      <w:r w:rsidRPr="006F5A86">
        <w:rPr>
          <w:rFonts w:ascii="Times New Roman" w:hAnsi="Times New Roman"/>
          <w:b/>
          <w:noProof/>
          <w:kern w:val="0"/>
          <w:sz w:val="24"/>
          <w:lang w:val="en-US"/>
        </w:rPr>
        <w:t>6.4. GAEC Standard for the Ban on Burning Stubble or Dry Grass and Establishment of Protective Strips (Buffer Strips) Along Water Bodies</w:t>
      </w:r>
    </w:p>
    <w:p w14:paraId="601C9C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1191694"/>
      <w:bookmarkEnd w:id="139"/>
    </w:p>
    <w:p w14:paraId="44A97F8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62. In accordance with the GAEC standard 3 specified in Annex III to Regulation 2021/2115, a farmer shall not burn stubble or dry grass in the field unless, for plant health reasons, a permit for controlled burning of plant residues in the field has been obtained from the State Plant Protection Service and the State Fire and Rescue Service.</w:t>
      </w:r>
      <w:bookmarkStart w:id="140" w:name="p62"/>
      <w:bookmarkEnd w:id="140"/>
    </w:p>
    <w:p w14:paraId="358D280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1191696"/>
      <w:bookmarkEnd w:id="141"/>
    </w:p>
    <w:p w14:paraId="0345FFF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63. In accordance with the GAEC standard 4 specified in Annex III to Regulation 2021/2115, a farmer shall not use fertilizers and plant protection products in protective strips (buffer strips) located in:</w:t>
      </w:r>
      <w:bookmarkStart w:id="142" w:name="p63"/>
      <w:bookmarkEnd w:id="142"/>
    </w:p>
    <w:p w14:paraId="2F799BF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63.1. a 10-metre-wide strip along a water body determined in accordance with the laws and regulations regarding the classifier of water management districts and the classifier of water bodies;</w:t>
      </w:r>
    </w:p>
    <w:p w14:paraId="6762436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63.2. a three-metre-wide strip along water drains (collecting ditches) which are included in the amelioration cadastre.</w:t>
      </w:r>
    </w:p>
    <w:p w14:paraId="3FBFC47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1191702"/>
      <w:bookmarkEnd w:id="143"/>
    </w:p>
    <w:p w14:paraId="3AE1F0F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64. The protective strips (buffer strips) shall be cartographically identified in the map of field blocks of the field block identification system of the Rural Support Service.</w:t>
      </w:r>
      <w:bookmarkStart w:id="144" w:name="p64"/>
      <w:bookmarkEnd w:id="144"/>
    </w:p>
    <w:p w14:paraId="08E5E96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 w:name="n6.5"/>
      <w:bookmarkStart w:id="146" w:name="n-1191704"/>
      <w:bookmarkEnd w:id="145"/>
      <w:bookmarkEnd w:id="146"/>
    </w:p>
    <w:p w14:paraId="77370A2C"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6.5. GAEC Standard for Tillage Management, Reducing the Risk of Soil Degradation and Erosion, Taking into Consideration the Slope Gradient, and Minimum Soil Cover to Avoid Bare Soil in Periods That are Most Sensitive</w:t>
      </w:r>
    </w:p>
    <w:p w14:paraId="158E355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1233700"/>
      <w:bookmarkEnd w:id="147"/>
    </w:p>
    <w:p w14:paraId="0BA03DA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65. In accordance with the GAEC standard 5 specified in Annex III to Regulation 2021/2115, a farmer shall, in the area of agricultural land with at least 20-metre-long slope, width of at least 20 metres, and a gradient of more than six degrees or 10.5 per cent and that has been cartographically identified in the map of field blocks of the field block identification system of the Rural Support Service:</w:t>
      </w:r>
      <w:bookmarkStart w:id="148" w:name="p65"/>
      <w:bookmarkEnd w:id="148"/>
    </w:p>
    <w:p w14:paraId="1D6A896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65.1. ensure plant vegetation from 1 October of the previous year to 15 March of the current year, maintain stubble or leave the field uncultivated after harvesting;</w:t>
      </w:r>
    </w:p>
    <w:p w14:paraId="1B26552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65.2. sow winter crops or catch crops after 20 September of the current year perpendicular to the direction of slope fall, unless direct sowing or strip tillage methods are used.</w:t>
      </w:r>
    </w:p>
    <w:p w14:paraId="289D114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2CADC54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9" w:name="p-1191711"/>
      <w:bookmarkEnd w:id="149"/>
    </w:p>
    <w:p w14:paraId="217572B5"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66. In accordance with the GAEC standard 6 specified in Annex III to Regulation 2021/2115, a farmer shall ensure that, in the autumn and winter periods from 15 November of the previous year to 15 February of the current year, the soil cover is preserved in at least 65 per cent of the soil cover in nitrate vulnerable zones (Annex 9), at least 55 per cent in Vidzeme and Latgale (Annex 10), and at least 60 per cent in the remaining territory of Latvia (Annex 11) of the areas of arable land and permanent crops of the holding (for example, sown or planted crops, herbaceous plants) or the area is left uncultivated after harvesting of crops.</w:t>
      </w:r>
      <w:bookmarkStart w:id="150" w:name="p66"/>
      <w:bookmarkEnd w:id="150"/>
    </w:p>
    <w:p w14:paraId="31BE5BA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1" w:name="p-1216384"/>
      <w:bookmarkEnd w:id="151"/>
    </w:p>
    <w:p w14:paraId="6ECEDD9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67. If the area of arable land and permanent crops in the ownership or legal possession (use) of a farmer is located in several territories referred to in Paragraph 66 of this Regulation, the requirement for ensuring the soil cover which has been specified for the relevant territory shall be applied to each part of the area of arable land and permanent crops. If the highest soil cover threshold determined for any territory where the areas of arable land or permanent crops are located at the holding is in general ensured, the relevant requirement shall be deemed to be fulfilled insofar as this does not affect the fulfilment of the requirement referred to in Sub-paragraph 2.2 of Annex 8 to this Regulation.</w:t>
      </w:r>
      <w:bookmarkStart w:id="152" w:name="p67"/>
      <w:bookmarkEnd w:id="152"/>
    </w:p>
    <w:p w14:paraId="11181EC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6562B82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1191716"/>
      <w:bookmarkEnd w:id="153"/>
    </w:p>
    <w:p w14:paraId="173F788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68. When determining the area of arable land and permanent crops subject to the application of the requirements referred to in Paragraph 66 of this Regulation, the area of vegetables, potatoes, and beetroot harvested after 1 September and ploughed or cultivated after harvesting and left without the soil cover shall be excluded therefrom.</w:t>
      </w:r>
      <w:bookmarkStart w:id="154" w:name="p68"/>
      <w:bookmarkEnd w:id="154"/>
    </w:p>
    <w:p w14:paraId="79007E8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1191717"/>
      <w:bookmarkEnd w:id="155"/>
    </w:p>
    <w:p w14:paraId="230301E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69. The requirements laid down in Paragraph 66 of this Regulation shall apply if the area of arable land or permanent crops at the holding is at least one hectare.</w:t>
      </w:r>
      <w:bookmarkStart w:id="156" w:name="p69"/>
      <w:bookmarkEnd w:id="156"/>
    </w:p>
    <w:p w14:paraId="456D7E6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6C35C"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157" w:name="n6.6"/>
      <w:bookmarkStart w:id="158" w:name="n-1191719"/>
      <w:bookmarkEnd w:id="157"/>
      <w:bookmarkEnd w:id="158"/>
      <w:r w:rsidRPr="006F5A86">
        <w:rPr>
          <w:rFonts w:ascii="Times New Roman" w:hAnsi="Times New Roman"/>
          <w:b/>
          <w:noProof/>
          <w:kern w:val="0"/>
          <w:sz w:val="24"/>
          <w:lang w:val="en-US"/>
        </w:rPr>
        <w:t>6.6. GAEC Standard for Crop Rotation</w:t>
      </w:r>
    </w:p>
    <w:p w14:paraId="76D14BA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1191721"/>
      <w:bookmarkEnd w:id="159"/>
    </w:p>
    <w:p w14:paraId="56503E7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70. In accordance with the GAEC standard 7 specified in Annex III to Regulation 2021/2115, a farmer shall ensure the rotation of annual crops in the current year for at least 35 per cent of the area of arable land at the disposal of the holding where annual crops were grown in the current or the previous year.</w:t>
      </w:r>
      <w:bookmarkStart w:id="160" w:name="p70"/>
      <w:bookmarkEnd w:id="160"/>
    </w:p>
    <w:p w14:paraId="5F78BA7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1191723"/>
      <w:bookmarkEnd w:id="161"/>
    </w:p>
    <w:p w14:paraId="359718C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71. Annual crops shall not be grown in the same field for more than three consecutive years. The accounting of the cycles of crop production shall be started from 2022.</w:t>
      </w:r>
      <w:bookmarkStart w:id="162" w:name="p71"/>
      <w:bookmarkEnd w:id="162"/>
    </w:p>
    <w:p w14:paraId="009ECCE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1191725"/>
      <w:bookmarkEnd w:id="163"/>
    </w:p>
    <w:p w14:paraId="6726C93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72. Crop rotation shall be ensured by growing crops of different genera or distinct crops. When growing crops belonging to the family of crucifers (</w:t>
      </w:r>
      <w:r w:rsidRPr="006F5A86">
        <w:rPr>
          <w:rFonts w:ascii="Times New Roman" w:hAnsi="Times New Roman"/>
          <w:i/>
          <w:noProof/>
          <w:kern w:val="0"/>
          <w:sz w:val="24"/>
          <w:lang w:val="en-US"/>
        </w:rPr>
        <w:t>Brassicaceae</w:t>
      </w:r>
      <w:r w:rsidRPr="006F5A86">
        <w:rPr>
          <w:rFonts w:ascii="Times New Roman" w:hAnsi="Times New Roman"/>
          <w:noProof/>
          <w:kern w:val="0"/>
          <w:sz w:val="24"/>
          <w:lang w:val="en-US"/>
        </w:rPr>
        <w:t>), the nightshade family (</w:t>
      </w:r>
      <w:r w:rsidRPr="006F5A86">
        <w:rPr>
          <w:rFonts w:ascii="Times New Roman" w:hAnsi="Times New Roman"/>
          <w:i/>
          <w:noProof/>
          <w:kern w:val="0"/>
          <w:sz w:val="24"/>
          <w:lang w:val="en-US"/>
        </w:rPr>
        <w:t>Solanaceae</w:t>
      </w:r>
      <w:r w:rsidRPr="006F5A86">
        <w:rPr>
          <w:rFonts w:ascii="Times New Roman" w:hAnsi="Times New Roman"/>
          <w:noProof/>
          <w:kern w:val="0"/>
          <w:sz w:val="24"/>
          <w:lang w:val="en-US"/>
        </w:rPr>
        <w:t>), the gourd family (</w:t>
      </w:r>
      <w:r w:rsidRPr="006F5A86">
        <w:rPr>
          <w:rFonts w:ascii="Times New Roman" w:hAnsi="Times New Roman"/>
          <w:i/>
          <w:noProof/>
          <w:kern w:val="0"/>
          <w:sz w:val="24"/>
          <w:lang w:val="en-US"/>
        </w:rPr>
        <w:t>Cucurbitaceae</w:t>
      </w:r>
      <w:r w:rsidRPr="006F5A86">
        <w:rPr>
          <w:rFonts w:ascii="Times New Roman" w:hAnsi="Times New Roman"/>
          <w:noProof/>
          <w:kern w:val="0"/>
          <w:sz w:val="24"/>
          <w:lang w:val="en-US"/>
        </w:rPr>
        <w:t>), the legume family (</w:t>
      </w:r>
      <w:r w:rsidRPr="006F5A86">
        <w:rPr>
          <w:rFonts w:ascii="Times New Roman" w:hAnsi="Times New Roman"/>
          <w:i/>
          <w:noProof/>
          <w:kern w:val="0"/>
          <w:sz w:val="24"/>
          <w:lang w:val="en-US"/>
        </w:rPr>
        <w:t>Leguminosae</w:t>
      </w:r>
      <w:r w:rsidRPr="006F5A86">
        <w:rPr>
          <w:rFonts w:ascii="Times New Roman" w:hAnsi="Times New Roman"/>
          <w:noProof/>
          <w:kern w:val="0"/>
          <w:sz w:val="24"/>
          <w:lang w:val="en-US"/>
        </w:rPr>
        <w:t>), or the goosefoot family (</w:t>
      </w:r>
      <w:r w:rsidRPr="006F5A86">
        <w:rPr>
          <w:rFonts w:ascii="Times New Roman" w:hAnsi="Times New Roman"/>
          <w:i/>
          <w:iCs/>
          <w:noProof/>
          <w:kern w:val="0"/>
          <w:sz w:val="24"/>
          <w:lang w:val="en-US"/>
        </w:rPr>
        <w:t>Chenopodiaceae</w:t>
      </w:r>
      <w:r w:rsidRPr="006F5A86">
        <w:rPr>
          <w:rFonts w:ascii="Times New Roman" w:hAnsi="Times New Roman"/>
          <w:noProof/>
          <w:kern w:val="0"/>
          <w:sz w:val="24"/>
          <w:lang w:val="en-US"/>
        </w:rPr>
        <w:t>), distinct crops shall belong to the same species. Winter crop and summer crop shall be considered to be distinct crops even if they belong to the same genus. Distinct annual crops are specified in Annex 12 to this Regulation.</w:t>
      </w:r>
      <w:bookmarkStart w:id="164" w:name="p72"/>
      <w:bookmarkEnd w:id="164"/>
    </w:p>
    <w:p w14:paraId="560288B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165" w:name="p-1191727"/>
      <w:bookmarkEnd w:id="165"/>
    </w:p>
    <w:p w14:paraId="3A43C73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73. The requirement referred to in Paragraphs 70 and 71 of this Regulation shall not apply if:</w:t>
      </w:r>
      <w:bookmarkStart w:id="166" w:name="p73"/>
      <w:bookmarkEnd w:id="166"/>
    </w:p>
    <w:p w14:paraId="553DA68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73.1. the area of arable land does not exceed 10 hectares;</w:t>
      </w:r>
    </w:p>
    <w:p w14:paraId="392A48F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73.2. more than 75 per cent of the eligible agricultural land is occupied by permanent grassland or arable land used for growing grasses or other herbaceous forage;</w:t>
      </w:r>
    </w:p>
    <w:p w14:paraId="263DB68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73.3. more than 75 per cent of arable land is used for growing grasses, herbaceous forage, leguminous plants, the land is lying fallow or used for growing green manure crops.</w:t>
      </w:r>
    </w:p>
    <w:p w14:paraId="288FEC2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7" w:name="p-1191735"/>
      <w:bookmarkEnd w:id="167"/>
    </w:p>
    <w:p w14:paraId="346353DC"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74. The requirements referred to in Paragraphs 70 and 71 of this Regulation shall not apply to such area of agricultural land that is used for organic production and that has been certified in accordance with Regulation (EU) 2018/848 of the European Parliament and of the Council of 30 May 2018 on organic production and labelling of organic products and repealing Council Regulation (EC) No 834/2007 (hereinafter – Regulation 2018/848).</w:t>
      </w:r>
      <w:bookmarkStart w:id="168" w:name="p74"/>
      <w:bookmarkEnd w:id="168"/>
    </w:p>
    <w:p w14:paraId="6194E18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 w:name="n6.7"/>
      <w:bookmarkStart w:id="170" w:name="n-1191737"/>
      <w:bookmarkEnd w:id="169"/>
      <w:bookmarkEnd w:id="170"/>
    </w:p>
    <w:p w14:paraId="279D0A9B"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6.7. GAEC Standard for the Minimum Share of Agricultural Land Devoted to Non-productive Areas or Features</w:t>
      </w:r>
    </w:p>
    <w:p w14:paraId="4EAC9AE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1" w:name="p-1191739"/>
      <w:bookmarkEnd w:id="171"/>
    </w:p>
    <w:p w14:paraId="4EBE508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75. In accordance with the GAEC standard 8.1 specified in Annex III to Regulation 2021/2115, at least four per cent of the arable land of the holding shall be occupied by any of the following non-productive areas or features:</w:t>
      </w:r>
      <w:bookmarkStart w:id="172" w:name="p75"/>
      <w:bookmarkEnd w:id="172"/>
    </w:p>
    <w:p w14:paraId="76250E8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75.1. rock piles in the area of 0.01–0.5 hectares;</w:t>
      </w:r>
    </w:p>
    <w:p w14:paraId="06AA708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75.2. sections of water drains of national importance, collecting ditches, perimeter ditches, or drainage ditches registered in the Amelioration Cadastre Information System;</w:t>
      </w:r>
    </w:p>
    <w:p w14:paraId="53AC136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75.3. two to twenty metres wide field margins not used in production, including protective strips (buffer strips) with grass or naturally self-seeded vegetation cover. The plant cover at the protective strip (buffer strip) shall differ from the plant cover of the adjacent agricultural land;</w:t>
      </w:r>
    </w:p>
    <w:p w14:paraId="0B715C3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75.4. clusters of trees or shrubs in the area of 0.01–0.5 hectares;</w:t>
      </w:r>
    </w:p>
    <w:p w14:paraId="16EC79B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75.5. rows of trees;</w:t>
      </w:r>
    </w:p>
    <w:p w14:paraId="0906F88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75.6. separately growing trees surrounded only by arable land;</w:t>
      </w:r>
    </w:p>
    <w:p w14:paraId="6B78A3E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75.7. potential secular trees and secular trees which are to be protected in accordance with the laws and regulations regarding the protection and use of specially protected nature territories and the boundaries of the protection area whereof are specified in the nature data management system “Ozols”;</w:t>
      </w:r>
    </w:p>
    <w:p w14:paraId="0E35182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75.8. tree avenues which are to be protected in accordance with the laws and regulations regarding the protection and use of specially protected nature territories and the boundaries of the protection area whereof are specified in the nature data management system “Ozols”;</w:t>
      </w:r>
    </w:p>
    <w:p w14:paraId="25ED845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75.9. fallow land which is not used for harvesting or grazing by 15 July in the current year;</w:t>
      </w:r>
    </w:p>
    <w:p w14:paraId="23FAB91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75.10. a fallow land area of green manure crops which is not used for grazing, fodder production, or harvesting and where no plant protection products are applied;</w:t>
      </w:r>
    </w:p>
    <w:p w14:paraId="649BD67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75.11. a biodiversity island in the area of 0.01–1.5 hectares surrounded by arable land and occupied by wetland, floodplains on agricultural land, quaking bogs, and marshes, or where riparian plants grow and also areas that have not been used for agricultural production for at least three years;</w:t>
      </w:r>
    </w:p>
    <w:p w14:paraId="497F59A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75.12. secular stones which are to be protected in accordance with the laws and regulations regarding the protection and use of specially protected nature territories and the boundaries of the protection area whereof are specified in the nature data management system “Ozols”;</w:t>
      </w:r>
    </w:p>
    <w:p w14:paraId="359F9EB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75.13. ponds in the area of 0.01–0.5 hectares, including riparian vegetation.</w:t>
      </w:r>
    </w:p>
    <w:p w14:paraId="4798585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3" w:name="p-1191765"/>
      <w:bookmarkEnd w:id="173"/>
    </w:p>
    <w:p w14:paraId="3A81487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76. The non-productive landscape features referred to in Sub-paragraphs 75.1, 75.2, 75.4, 75.5, 75.6, 75.7, 75.8, 75.11, 75.12, and 75.13 of this Regulation have been cartographically identified in the map of field blocks of the field block identification system of the Rural Support Service.</w:t>
      </w:r>
      <w:bookmarkStart w:id="174" w:name="p76"/>
      <w:bookmarkEnd w:id="174"/>
    </w:p>
    <w:p w14:paraId="0CC4B3D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5" w:name="p-1191767"/>
      <w:bookmarkEnd w:id="175"/>
    </w:p>
    <w:p w14:paraId="713375E6"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77. Artificial fences located between arable land and non-productive landscape features, i.e. a field margin, buffer strip, pond, ditch, tree or shrub clusters, or rock piles, shall not be considered as an obstacle to the physical contact between these landscape features and the arable land and to compliance with the GAEC standard 8 specified in Annex III to Regulation 2021/2115.</w:t>
      </w:r>
      <w:bookmarkStart w:id="176" w:name="p77"/>
      <w:bookmarkEnd w:id="176"/>
    </w:p>
    <w:p w14:paraId="5E3EE6F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7" w:name="p-1191769"/>
      <w:bookmarkEnd w:id="177"/>
    </w:p>
    <w:p w14:paraId="2E30BAF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78. Upon request of the Rural Support Service, a farmer shall submit evidence proving that the area occupied by the non-productive landscape features referred to in Paragraph 75 of this Regulation is in the ownership or legal possession (use) thereof as on 15 June of the current year.</w:t>
      </w:r>
      <w:bookmarkStart w:id="178" w:name="p78"/>
      <w:bookmarkEnd w:id="178"/>
    </w:p>
    <w:p w14:paraId="1E80CED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9" w:name="p-1191771"/>
      <w:bookmarkEnd w:id="179"/>
    </w:p>
    <w:p w14:paraId="4E8C3B1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79. The area occupied by ponds, tree or shrub clusters, and rock piles shall be considered to be an area in compliance with the GAEC standard 8 if:</w:t>
      </w:r>
      <w:bookmarkStart w:id="180" w:name="p79"/>
      <w:bookmarkEnd w:id="180"/>
    </w:p>
    <w:p w14:paraId="74C4B10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79.1. it is surrounded only by arable land at the disposal of the farmer or it bordering on arable land and the boundary is naturally identifiable;</w:t>
      </w:r>
    </w:p>
    <w:p w14:paraId="38C8768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79.2. there is a field margin between arable land and the pond, tree or shrub cluster, or rock pile which is included in the eligible area of agricultural land.</w:t>
      </w:r>
    </w:p>
    <w:p w14:paraId="7D77947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1" w:name="p-1191777"/>
      <w:bookmarkEnd w:id="181"/>
    </w:p>
    <w:p w14:paraId="6F87BCB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80. Field margins and protected avenues or rows of trees shall be considered adjacent to the arable land of the holding if their longest side is bordering on the edge of the field of the arable land of the holding.</w:t>
      </w:r>
      <w:bookmarkStart w:id="182" w:name="p80"/>
      <w:bookmarkEnd w:id="182"/>
    </w:p>
    <w:p w14:paraId="455FEC3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1191779"/>
      <w:bookmarkEnd w:id="183"/>
    </w:p>
    <w:p w14:paraId="0BF68A5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81. If the area of non-productive landscape features covered by tree or shrub clusters, rock piles, ponds, protected secular trees, tree avenues, secular stones, or biodiversity islands is in the possession of several farmers, the area of non-productive landscape features attributable to each farmer shall be determined according to the area of the landscape feature in the possession thereof.</w:t>
      </w:r>
      <w:bookmarkStart w:id="184" w:name="p81"/>
      <w:bookmarkEnd w:id="184"/>
    </w:p>
    <w:p w14:paraId="0C2635E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5" w:name="p-1191781"/>
      <w:bookmarkEnd w:id="185"/>
    </w:p>
    <w:p w14:paraId="30EF846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82. If the on-the-spot check at the holding reveals non-compliance of the declared landscape feature with the requirements, the missing area of the non-productive landscape feature may be replaced by another area conforming to the conditions of the non-productive landscape feature in order to ensure the fulfilment of the conditions of Paragraph 75 of this Regulation. In such case, tree or shrub clusters, rock piles, ponds, and also the land under secular trees, avenues, and secular stones shall be identifiable at the time of the check and the farmer shall prove that the relevant landscape feature is in the ownership or use thereof.</w:t>
      </w:r>
      <w:bookmarkStart w:id="186" w:name="p82"/>
      <w:bookmarkEnd w:id="186"/>
    </w:p>
    <w:p w14:paraId="6FB79CA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1191783"/>
      <w:bookmarkEnd w:id="187"/>
    </w:p>
    <w:p w14:paraId="72011A0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83. The requirements for the creation and maintenance of non-productive landscape features shall not apply if:</w:t>
      </w:r>
      <w:bookmarkStart w:id="188" w:name="p83"/>
      <w:bookmarkEnd w:id="188"/>
    </w:p>
    <w:p w14:paraId="2F4FEE9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83.1. the area of arable land does not exceed 10 hectares;</w:t>
      </w:r>
    </w:p>
    <w:p w14:paraId="2880AFF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83.2. more than 75 per cent of the eligible agricultural land is occupied by permanent grassland or arable land used for growing grasses or other herbaceous forage;</w:t>
      </w:r>
    </w:p>
    <w:p w14:paraId="6BEB1E1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83.3. more than 75 per cent of the arable land of the holding is occupied by areas used for growing grasses, herbaceous forage, and leguminous plants or used as fallow land or for growing green manure crops;</w:t>
      </w:r>
    </w:p>
    <w:p w14:paraId="35ED911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83.4. more than 50 per cent of arable land is located in one of the rural territories referred to in Annex 13 to this Regulation.</w:t>
      </w:r>
    </w:p>
    <w:p w14:paraId="75E44F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1191793"/>
      <w:bookmarkEnd w:id="189"/>
    </w:p>
    <w:p w14:paraId="52DC6F1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84. The territory covered by non-productive areas and landscape features shall be calculated, using the weighting and conversion factors referred to in Annex 14 to this Regulation.</w:t>
      </w:r>
      <w:bookmarkStart w:id="190" w:name="p84"/>
      <w:bookmarkEnd w:id="190"/>
    </w:p>
    <w:p w14:paraId="6D9E1C8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 w:name="n6.8"/>
      <w:bookmarkStart w:id="192" w:name="n-1191795"/>
      <w:bookmarkEnd w:id="191"/>
      <w:bookmarkEnd w:id="192"/>
    </w:p>
    <w:p w14:paraId="65B8F461" w14:textId="77777777" w:rsidR="006F5A86" w:rsidRPr="006F5A86" w:rsidRDefault="006F5A86" w:rsidP="006F5A86">
      <w:pPr>
        <w:keepNext/>
        <w:keepLines/>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6.8. GAEC Standard for Improving Biodiversity of Holdings</w:t>
      </w:r>
    </w:p>
    <w:p w14:paraId="038413F8" w14:textId="77777777" w:rsidR="006F5A86" w:rsidRPr="006F5A86" w:rsidRDefault="006F5A86" w:rsidP="006F5A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3" w:name="p-1191797"/>
      <w:bookmarkEnd w:id="193"/>
    </w:p>
    <w:p w14:paraId="7CFEC5B1"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85. In accordance with the GAEC standard 8.2 specified in Annex III to Regulation 2021/2115, a farmer shall preserve and prevent the destruction or deterioration of natural sites, i.e. secular stones, protected trees and avenues, if such nature sites must be protected in accordance with the laws and regulations regarding the protection and use of specially protected nature territories.</w:t>
      </w:r>
      <w:bookmarkStart w:id="194" w:name="p85"/>
      <w:bookmarkEnd w:id="194"/>
    </w:p>
    <w:p w14:paraId="54F304C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1191799"/>
      <w:bookmarkEnd w:id="195"/>
    </w:p>
    <w:p w14:paraId="0A0AE1F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86. In accordance with the GAEC standard 8.3 specified in Annex III to Regulation 2021/2115, a farmer shall not cut or prune hedges and trees, except for permanent crops, in the period from 15 March to 31 July in areas located in the specially protected nature territory and from 1 April to 30 June in other territories.</w:t>
      </w:r>
      <w:bookmarkStart w:id="196" w:name="p86"/>
      <w:bookmarkEnd w:id="196"/>
    </w:p>
    <w:p w14:paraId="5E8AB55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1191801"/>
      <w:bookmarkEnd w:id="197"/>
    </w:p>
    <w:p w14:paraId="0A5C905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87. In accordance with the GAEC standard 8.4 specified in Annex III to Regulation 2021/2115, a farmer shall ensure that the plants of the invasive hogweed genus located in the area of agricultural land are mowed before the flowering stems thereof appear.</w:t>
      </w:r>
      <w:bookmarkStart w:id="198" w:name="p87"/>
      <w:bookmarkEnd w:id="198"/>
    </w:p>
    <w:p w14:paraId="1C1963F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 w:name="n6.9"/>
      <w:bookmarkStart w:id="200" w:name="n-1191803"/>
      <w:bookmarkEnd w:id="199"/>
      <w:bookmarkEnd w:id="200"/>
    </w:p>
    <w:p w14:paraId="151CF431"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6.9. GAEC Standard for the Ban on Converting or Ploughing Environmentally Sensitive Permanent Grassland and Maintenance of Land Amelioration Systems</w:t>
      </w:r>
    </w:p>
    <w:p w14:paraId="12D0C02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1" w:name="p-1191804"/>
      <w:bookmarkEnd w:id="201"/>
    </w:p>
    <w:p w14:paraId="6D67CB5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88. In accordance with the GAEC standard 9 specified in Annex III to Regulation 2021/2115, a farmer shall not convert or plough permanent grassland that has been recognised as environmentally sensitive permanent grassland and is located in the territory of Natura 2000 or outside thereof.</w:t>
      </w:r>
      <w:bookmarkStart w:id="202" w:name="p88"/>
      <w:bookmarkEnd w:id="202"/>
    </w:p>
    <w:p w14:paraId="41F1A80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1191806"/>
      <w:bookmarkEnd w:id="203"/>
    </w:p>
    <w:p w14:paraId="6EC79DC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89. Environmentally sensitive permanent grassland is grassland that has been recognised as a grassland habitat of European Union importance or a bird habitat of European Union importance in accordance with the laws and regulations regarding the list of specially protected habitats, regarding the list of specially protected species and specially protected species for limited use, regarding the procedures by which micro-reserves shall be created and managed, the protection thereof, and also determination of micro-reserves and buffer strips thereof, regarding the list of European Union priority species and habitats encountered in Latvia, regarding the list of animals and plant species significant within the European Community which require protection, and the list of those animals and plant species in respect of the acquisition of which in wild flora the conditions for limited use may be applied.</w:t>
      </w:r>
      <w:bookmarkStart w:id="204" w:name="p89"/>
      <w:bookmarkEnd w:id="204"/>
    </w:p>
    <w:p w14:paraId="7AFC02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1191808"/>
      <w:bookmarkEnd w:id="205"/>
    </w:p>
    <w:p w14:paraId="30F5FF9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90. The conditions of Paragraph 88 of this Regulation in the current year shall be applied to such area environmentally sensitive permanent grassland which, as on 31 December of the previous year, has been cartographically identified in the map of field blocks of the field block identification system of the Rural Support Service, using the data of the nature data management system “Ozols”.</w:t>
      </w:r>
      <w:bookmarkStart w:id="206" w:name="p90"/>
      <w:bookmarkEnd w:id="206"/>
    </w:p>
    <w:p w14:paraId="685C192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1191810"/>
      <w:bookmarkEnd w:id="207"/>
    </w:p>
    <w:p w14:paraId="303DD55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91. The Rural Support Service shall, by 1 February of the current year, include in the map of field blocks of the field block identification system such areas of permanent grassland to which the status of environmentally sensitive permanent grassland has been assigned since 1 February of the previous year, specifying the date on which the map of field blocks was supplemented.</w:t>
      </w:r>
      <w:bookmarkStart w:id="208" w:name="p91"/>
      <w:bookmarkEnd w:id="208"/>
    </w:p>
    <w:p w14:paraId="4F2D70B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1191812"/>
      <w:bookmarkEnd w:id="209"/>
    </w:p>
    <w:p w14:paraId="1D494890"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92. A farmer shall, by 1 April of the current year, inform the Nature Conservation Agency of such areas of permanent grassland to which, within the time period from 1 January to 1 February of the current year, the status of environmentally sensitive permanent grassland was assigned for the first time in the map of field blocks of the field block system of the Rural Support Service and which have been ploughed up or transformed into land for another use over a time period of one year prior to 1 February of the current year.</w:t>
      </w:r>
      <w:bookmarkStart w:id="210" w:name="p92"/>
      <w:bookmarkEnd w:id="210"/>
    </w:p>
    <w:p w14:paraId="1F71855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1191814"/>
      <w:bookmarkEnd w:id="211"/>
    </w:p>
    <w:p w14:paraId="611644C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93. In assessing the information provided by farmers and the information at the disposal of the Rural Support Service on the declared type of land use and, if necessary, by conducting an on-the-spot check, the Nature Conservation Agency shall reassess the status of environmentally sensitive permanent grassland and update the boundaries.</w:t>
      </w:r>
      <w:bookmarkStart w:id="212" w:name="p93"/>
      <w:bookmarkEnd w:id="212"/>
    </w:p>
    <w:p w14:paraId="2E5A94F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1191816"/>
      <w:bookmarkEnd w:id="213"/>
    </w:p>
    <w:p w14:paraId="641274F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94. The Nature Conservation Agency shall, without delay, inform the Rural Support Service on the decisions taken which provide for the cancellation of the status of an environmentally sensitive permanent grassland in areas where the status of grassland has been changed due to circumstances beyond the action and decisions of a farmer, including if changes in the botanical content of sward due to natural processes have been encountered during the survey of grassland or if it is planned to create infrastructure objects of public importance in the respective area. The Rural Support Service shall update the information in the map of field blocks of the field block identification system on the basis of the decision of the Nature Conservation Agency.</w:t>
      </w:r>
      <w:bookmarkStart w:id="214" w:name="p94"/>
      <w:bookmarkEnd w:id="214"/>
    </w:p>
    <w:p w14:paraId="331D22E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1191818"/>
      <w:bookmarkEnd w:id="215"/>
    </w:p>
    <w:p w14:paraId="7FD0101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95. The area of protected environmentally sensitive permanent grassland does not include the area occupied by grassland that is situated in any of the protective zones of land use in accordance with the laws and regulations regarding protective zones.</w:t>
      </w:r>
      <w:bookmarkStart w:id="216" w:name="p95"/>
      <w:bookmarkEnd w:id="216"/>
    </w:p>
    <w:p w14:paraId="6C053F7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1191820"/>
      <w:bookmarkEnd w:id="217"/>
    </w:p>
    <w:p w14:paraId="206038E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96. If an area that has been granted the status of environmentally sensitive permanent grassland has been ploughed or converted into land of another type of use, a farmer shall ensure the conversion thereof to permanent grassland by 15 June of the following year.</w:t>
      </w:r>
      <w:bookmarkStart w:id="218" w:name="p96"/>
      <w:bookmarkEnd w:id="218"/>
    </w:p>
    <w:p w14:paraId="2673E82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1191821"/>
      <w:bookmarkEnd w:id="219"/>
    </w:p>
    <w:p w14:paraId="479F2CF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97. The owner or legal possessor (user) of agricultural land shall ensure the maintenance of the following land amelioration systems and the regulation of land moisture regime:</w:t>
      </w:r>
      <w:bookmarkStart w:id="220" w:name="p97"/>
      <w:bookmarkEnd w:id="220"/>
    </w:p>
    <w:p w14:paraId="408DBE8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97.1. trees and shrubs are removed from water drains and collecting ditches, their sprouts are mowed at least once every two years, ground wash-out, household waste, fallen trees, silt and other features preventing the functioning of the land amelioration system and water inflow are removed;</w:t>
      </w:r>
    </w:p>
    <w:p w14:paraId="18D3FC7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97.2. drainage holes in the drainage system are covered up, the silt is removed from the drainage hole, as well as the drainage collector outlets are cleaned, and ligneous plants in the distance of at least five metres on each side of drainage collector outlets are removed.</w:t>
      </w:r>
    </w:p>
    <w:p w14:paraId="178A3C6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 w:name="n7"/>
      <w:bookmarkStart w:id="222" w:name="n-1191824"/>
      <w:bookmarkEnd w:id="221"/>
      <w:bookmarkEnd w:id="222"/>
    </w:p>
    <w:p w14:paraId="2D3AF71B"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7. Capping and Degressivity of Basic Income Support for Sustainability</w:t>
      </w:r>
    </w:p>
    <w:p w14:paraId="4A26A48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1191825"/>
      <w:bookmarkEnd w:id="223"/>
    </w:p>
    <w:p w14:paraId="47834B4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98. In accordance with Article 17(1) of Regulation 2021/2115, the amount of the basic income support for sustainability to be granted to a farmer in a calendar year shall be subject to capping, thus reducing by 100 per cent the part of the payment amount of the basic support income for sustainability exceeding EUR 100 000.</w:t>
      </w:r>
      <w:bookmarkStart w:id="224" w:name="p98"/>
      <w:bookmarkEnd w:id="224"/>
    </w:p>
    <w:p w14:paraId="12EABF8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1191826"/>
      <w:bookmarkEnd w:id="225"/>
    </w:p>
    <w:p w14:paraId="52C2596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99. Before applying capping in accordance with Article 17(3)(a) of Regulation 2021/2115, upon request of a farmer, the wage related to agricultural activity in the previous calendar year shall be deducted from the amount of the basic income support for sustainability and shall be subject to the application of wage tax and mandatory State social insurance contributions.</w:t>
      </w:r>
      <w:bookmarkStart w:id="226" w:name="p99"/>
      <w:bookmarkEnd w:id="226"/>
    </w:p>
    <w:p w14:paraId="04EBFF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1191827"/>
      <w:bookmarkEnd w:id="227"/>
    </w:p>
    <w:p w14:paraId="6CB22DD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100. If a farmer is engaged only in agricultural activity and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of the holding or the annual statement of the undertaking, or the annual statement of sole proprietorship for the previous year submitted to the State Revenue Service only contain revenue from economic activity or net turnover related to agriculture, the total amount of the entire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 shall be used for the deduction referred to in Paragraph 99 of this Regulation.</w:t>
      </w:r>
      <w:bookmarkStart w:id="228" w:name="p100"/>
      <w:bookmarkEnd w:id="228"/>
    </w:p>
    <w:p w14:paraId="0A94A07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1191828"/>
      <w:bookmarkEnd w:id="229"/>
    </w:p>
    <w:p w14:paraId="02DDB51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101. If a farmer is engaged in both agricultural and non-agricultural activities, when organising the accounting the farmer shall, for the purpose of determining the deduction referred to in Paragraph 99 of this Regulation, record the hours of work devoted to agricultural and non-agricultural activities, management of the holding, and performance of support functions related to the principal activity in respect of each employed person, the wage, including the applied wage rate, and also wage tax and mandatory State social insurance contributions. The determined deduction shall not exceed the total amount of the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w:t>
      </w:r>
      <w:bookmarkStart w:id="230" w:name="p101"/>
      <w:bookmarkEnd w:id="230"/>
    </w:p>
    <w:p w14:paraId="0E796A2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1191829"/>
      <w:bookmarkEnd w:id="231"/>
    </w:p>
    <w:p w14:paraId="62EB485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102. For the purpose of determining the deductions referred to in Paragraph 99 of this Regulation, the part of the wage, wage tax, and also mandatory State social insurance contributions of the heads, accountants, lawyers, personnel specialists, or other employees of the holding ensuring the management of the holding or support for the performance of other functions related to the principal activity of the holding and not directly involved in agricultural or non-agricultural activity shall be added to the deductions referred to in Paragraph 101 of this Regulation. The relevant part shall be determined according to the proportion of the amount of wages of employees, wage tax, and also mandatory State social insurance contributions for agricultural activity in the total amount of wages, wage tax, and also mandatory State social insurance contributions for agricultural and non-agricultural activities.</w:t>
      </w:r>
      <w:bookmarkStart w:id="232" w:name="p102"/>
      <w:bookmarkEnd w:id="232"/>
    </w:p>
    <w:p w14:paraId="77433C7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1191830"/>
      <w:bookmarkEnd w:id="233"/>
    </w:p>
    <w:p w14:paraId="6972D18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103. If, due to justified reasons, the information specified in Paragraph 100 of this Regulation is not available to a farmer or the farmer has not ensured the accounting referred to in Paragraph 101 of this Regulation, the farmer shall, for determining the deduction referred to in Paragraph 99 of this Regulation, calculate the wages related to agricultural activity, including employment-related taxes and social contributions, according to one of the following methods:</w:t>
      </w:r>
      <w:bookmarkStart w:id="234" w:name="p103"/>
      <w:bookmarkEnd w:id="234"/>
    </w:p>
    <w:p w14:paraId="74DC37D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103.1. the total amount of the total wages and the applied wage tax and mandatory State social insurance contributions in the previous calendar year shall be multiplied by the proportion of the hours of work of agriculture-related employees in the previous calendar year in the total number of hours of work of employees if the hours of work of employees are accounted separately for agricultural and non-agricultural activities. The determined deduction shall not exceed the total amount of the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w:t>
      </w:r>
    </w:p>
    <w:p w14:paraId="3F586970"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103.2. the total amount of the total wages and the applied wage tax and mandatory State social insurance contributions in the previous calendar year shall be multiplied by the proportion of revenue from agricultural activity indicated in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submitted to the State Revenue Service or the annual statement of sole proprietorship submitted to the State Revenue Service in the total revenue from economic activity or by the proportion of net turnover from agricultural activity declared by the holding in the total net turnover, using the information provided in the annual statement of the undertaking submitted to the State Revenue Service for the previous reporting year. The determined deduction shall not exceed the total amount of the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w:t>
      </w:r>
    </w:p>
    <w:p w14:paraId="3DD1B83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103.3. the average labour costs per employee per month in crop and livestock production, hunting, and related ancillary activities in the previous year published on the website of the Central Statistical Bureau shall be multiplied by 12 and the number of hours of work of the employees at the holding, expressed in annual work units. The annual work unit of one agriculture-related employee shall correspond to 1840 hours of work in agriculture and it shall be calculated, using the accounting data of the holding on the hours of work of employees separately in agricultural and non-agricultural activities. The number of hours of work used for the calculation of the annual work units shall not exceed the total of the number of hours of work indicated in the report of the employer submitted by the farmer to the State Revenue Service and the number of working days converted into working hours indicated in the seasonal agricultural worker income taxpayer report prepared by the information system of the Rural Support Service for the previous calendar year. The determined deduction shall not exceed the total amount of the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w:t>
      </w:r>
    </w:p>
    <w:p w14:paraId="3195F21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103.4. the average labour costs per employee per month in crop and livestock production, hunting, and related ancillary activities in the previous year published on the website of the Central Statistical Bureau shall be multiplied by 12 and the number of hours of work of the employees at the holding in annual work units. The annual work unit of one agriculture-related employee shall correspond to 1840 hours of work in agriculture. The number of hours of work of agriculture-related employees shall be calculated by multiplying the total number of hours of work of employees by the proportion of revenue from agricultural activity indicated in Annex D3 or D3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xml:space="preserve"> to the annual income return submitted to the State Revenue Service or the annual statement of sole proprietorship submitted to the State Revenue Service in the total revenue from economic activity in the previous year or by the proportion of net turnover from agricultural activity of the holding indicated in the annual statement of the undertaking submitted to the State Revenue Service in the total net turnover. The number of hours of work used for the calculation of the annual work units shall not exceed the total of the number of hours of work indicated in the report of the employer submitted by the farmer to the State Revenue Service and the number of working days converted into working hours indicated in the seasonal agricultural worker income taxpayer report prepared by the information system of the Rural Support Service for the previous calendar year. The determined deduction shall not exceed the total amount of the earned income indicated in the report of the employer submitted by the farmer to the State Revenue Service and the applied personal income tax, mandatory State social insurance contributions, and the earned income indicated in the seasonal agricultural worker income taxpayer report prepared by the information system of the Rural Support Service and seasonal agricultural worker income tax for the previous calendar year.</w:t>
      </w:r>
    </w:p>
    <w:p w14:paraId="60757F2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235" w:name="p-1191835"/>
      <w:bookmarkEnd w:id="235"/>
    </w:p>
    <w:p w14:paraId="169CAFE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104. For determining the deduction referred to in Paragraph 99 of this Regulation, the part of the hours of work of the heads, accountants, lawyers, personnel specialists, or other employees of the holding ensuring the management of the holding or support to other employees for the performance of the functions related to the principal activity of the holding and not directly engaged in agricultural or non-agricultural activity shall be added to the number of hours of work of agriculture-related employees referred to in Sub-paragraphs 103.1 and 103.3 of this Regulation. The relevant part shall be determined according to the proportion of the hours of work of agriculture-related employees in the total number of hours of work of employees in agricultural and non-agricultural activities.</w:t>
      </w:r>
      <w:bookmarkStart w:id="236" w:name="p104"/>
      <w:bookmarkEnd w:id="236"/>
    </w:p>
    <w:p w14:paraId="1413E5A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1191836"/>
      <w:bookmarkEnd w:id="237"/>
    </w:p>
    <w:p w14:paraId="5A5D801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105. The total number of hours of work used for the calculation of the annual work units referred to in Sub-paragraphs 103.3 and 103.4 of this Regulation shall not exceed the total of the number of hours of work indicated in the report of the employer submitted to the State Revenue Service for the months of the previous calendar year and calculated from the seasonal agricultural worker income taxpayer report prepared by the information system of the Rural Support Service for the months of the previous calendar year. The number of hours worked by seasonal agricultural workers employed at the holding shall be calculated by multiplying the number of days worked by seasonal agricultural workers indicated in the seasonal agricultural worker income taxpayer report prepared by the information system of the Rural Support Service by eight hours.</w:t>
      </w:r>
      <w:bookmarkStart w:id="238" w:name="p105"/>
      <w:bookmarkEnd w:id="238"/>
    </w:p>
    <w:p w14:paraId="500714E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 w:name="p-1191837"/>
      <w:bookmarkEnd w:id="239"/>
    </w:p>
    <w:p w14:paraId="3ABA682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106. In order to ensure the deductions referred to in Paragraph 99 of this Regulation, a farmer shall, by 1 October of the current year, submit a declaration in the Electronic Application System of the Rural Support Service regarding wages related to agricultural activities in the previous year. If the information is prepared in accordance with Paragraph 386 of this Regulation, such declaration shall be submitted by 1 February of the following year. The farmer shall ensure access to the accounting data for verification of the data included in the declaration. The minimum content requirements for the declaration of wages disbursed in the previous year in relation to agricultural activities are specified in Annex 15 to this Regulation.</w:t>
      </w:r>
      <w:bookmarkStart w:id="240" w:name="p106"/>
      <w:bookmarkEnd w:id="240"/>
    </w:p>
    <w:p w14:paraId="1C3B099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AF89D"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241" w:name="n8"/>
      <w:bookmarkStart w:id="242" w:name="n-1191838"/>
      <w:bookmarkEnd w:id="241"/>
      <w:bookmarkEnd w:id="242"/>
      <w:r w:rsidRPr="006F5A86">
        <w:rPr>
          <w:rFonts w:ascii="Times New Roman" w:hAnsi="Times New Roman"/>
          <w:b/>
          <w:noProof/>
          <w:kern w:val="0"/>
          <w:sz w:val="24"/>
          <w:lang w:val="en-US"/>
        </w:rPr>
        <w:t>8. Basic Income Support for Sustainability</w:t>
      </w:r>
    </w:p>
    <w:p w14:paraId="145058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1191839"/>
      <w:bookmarkEnd w:id="243"/>
    </w:p>
    <w:p w14:paraId="6971722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107. The amount of the basic income support for sustainability shall be differentiated in accordance with Article 22(2) of Regulation 2021/2115 based on the following groups of territories with similar socio-economic and agronomic conditions:</w:t>
      </w:r>
      <w:bookmarkStart w:id="244" w:name="p107"/>
      <w:bookmarkEnd w:id="244"/>
    </w:p>
    <w:p w14:paraId="40349F5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107.1. State cities and municipalities which do not share a border with countries that are not European Union Member States and in which the duration of the vegetation period lasts for at least 195 days or the qualitative assessment of agricultural land is at least 38 points, i.e. Aizkraukle municipality, Ādaži municipality, Bauska municipality, South Kurzeme municipality, Dobele municipality, Jelgava municipality, Jēkabpils municipality, Kuldīga municipality, Ķekava municipality, Limbaži municipality, Līvāni municipality, Mārupe municipality, Ogre municipality, Olaine municipality, Preiļi municipality, Ropaži municipality, Salaspils municipality, Saldus municipality, Saulkrasti municipality, Sigulda municipality, Talsi municipality, Tukums municipality, Valmiera municipality, Varakļāni municipality, and Ventspils municipality;</w:t>
      </w:r>
    </w:p>
    <w:p w14:paraId="3DD12199"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107.2. municipalities in which the duration of the vegetation period lasts less than 195 days and the qualitative assessment of agricultural land is less than 38 points or which share a border with countries that are not European Union Member States, i.e. Alūksne municipality, Augšdaugava municipality, Balvi municipality, Cēsis municipality, Gulbene municipality, Krāslava municipality, Ludza municipality, Madona municipality, Rēzekne municipality, Smiltene municipality, and Valka municipality.</w:t>
      </w:r>
    </w:p>
    <w:p w14:paraId="1B02BA6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5" w:name="p-1191842"/>
      <w:bookmarkEnd w:id="245"/>
    </w:p>
    <w:p w14:paraId="52B5063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108. The indicative amount, the planned unit amount, the minimum and maximum planned unit amount of the basic income support for sustainability for each group of territories referred to in Paragraph 107 of this Regulation are specified in Annex 16 to this Regulation.</w:t>
      </w:r>
      <w:bookmarkStart w:id="246" w:name="p108"/>
      <w:bookmarkEnd w:id="246"/>
    </w:p>
    <w:p w14:paraId="05BD145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1768A"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247" w:name="n9"/>
      <w:bookmarkStart w:id="248" w:name="n-1191843"/>
      <w:bookmarkEnd w:id="247"/>
      <w:bookmarkEnd w:id="248"/>
      <w:r w:rsidRPr="006F5A86">
        <w:rPr>
          <w:rFonts w:ascii="Times New Roman" w:hAnsi="Times New Roman"/>
          <w:b/>
          <w:noProof/>
          <w:kern w:val="0"/>
          <w:sz w:val="24"/>
          <w:lang w:val="en-US"/>
        </w:rPr>
        <w:t>9. Payment for Small Farmers</w:t>
      </w:r>
    </w:p>
    <w:p w14:paraId="35ED63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1191844"/>
      <w:bookmarkEnd w:id="249"/>
    </w:p>
    <w:p w14:paraId="6F0C178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109. The payment for small farmers shall be granted as a fixed amount of EUR 500 and may be received by a farmer who:</w:t>
      </w:r>
      <w:bookmarkStart w:id="250" w:name="p109"/>
      <w:bookmarkEnd w:id="250"/>
    </w:p>
    <w:p w14:paraId="3DEF621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109.1. in the geo-spatial application declares the entire agricultural land at the disposal thereof and ensures compliance thereof with the eligibility conditions;</w:t>
      </w:r>
    </w:p>
    <w:p w14:paraId="23931AA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109.2. has not created artificial conditions for obtaining advantages from the payment for small farmers.</w:t>
      </w:r>
    </w:p>
    <w:p w14:paraId="5D72034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1191847"/>
      <w:bookmarkEnd w:id="251"/>
    </w:p>
    <w:p w14:paraId="79F5BF9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110. A farmer who applies for the payment for small farmers shall not receive other direct payments.</w:t>
      </w:r>
      <w:bookmarkStart w:id="252" w:name="p110"/>
      <w:bookmarkEnd w:id="252"/>
    </w:p>
    <w:p w14:paraId="63C4188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1191848"/>
      <w:bookmarkEnd w:id="253"/>
    </w:p>
    <w:p w14:paraId="74ED41D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111. A farmer has not created artificial conditions for obtaining advantages from the payment for small farmers if one of the following conditions applies:</w:t>
      </w:r>
      <w:bookmarkStart w:id="254" w:name="p111"/>
      <w:bookmarkEnd w:id="254"/>
    </w:p>
    <w:p w14:paraId="4D02BBC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111.1. the application for receiving the European Union direct payments was submitted to the Rural Support Service for the first time before 15 June 2022;</w:t>
      </w:r>
    </w:p>
    <w:p w14:paraId="7CEB8F6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111.2. the eligible area of agricultural land declared in the geo-spatial application of the current year forms at least four hectares;</w:t>
      </w:r>
    </w:p>
    <w:p w14:paraId="73E9136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111.3. the amount of the direct payments applied in the geo-spatial application of the current year, except for the payment for small farmers, eligible for receipt by the farmer if he or she had not applied for the payment for small farmers, is at least EUR 400;</w:t>
      </w:r>
    </w:p>
    <w:p w14:paraId="4F9AE84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111.4. the holding the agricultural land of which is the subject of the geo-spatial application for the payment for small farmers has been obtained as a result of sale or renting by taking over the entire holding instead of partial takeover;</w:t>
      </w:r>
    </w:p>
    <w:p w14:paraId="04CDE81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111.5. the holding or a part thereof the agricultural land of which is the subject of the geo-spatial application for the payment for small farmers has been obtained by exercising the right of inheritance;</w:t>
      </w:r>
    </w:p>
    <w:p w14:paraId="6A4DEE0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111.6. the holding has been established based on a judgement of a court.</w:t>
      </w:r>
    </w:p>
    <w:p w14:paraId="4AB198C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1191855"/>
      <w:bookmarkEnd w:id="255"/>
    </w:p>
    <w:p w14:paraId="1A3EC50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112. A farmer who has not previously received direct payments shall, by 15 June of the current year, submit to the Rural Support Service, together with the geo-spatial application for the payment for small farmers, the certificate specified in Annex 17 to this Regulation.</w:t>
      </w:r>
      <w:bookmarkStart w:id="256" w:name="p112"/>
      <w:bookmarkEnd w:id="256"/>
    </w:p>
    <w:p w14:paraId="7519D3B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7" w:name="n10"/>
      <w:bookmarkStart w:id="258" w:name="n-1191856"/>
      <w:bookmarkEnd w:id="257"/>
      <w:bookmarkEnd w:id="258"/>
    </w:p>
    <w:p w14:paraId="7ADB1CF1"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10. Complementary Redistributive Income Support for Sustainability</w:t>
      </w:r>
    </w:p>
    <w:p w14:paraId="42F23C4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1191857"/>
      <w:bookmarkEnd w:id="259"/>
    </w:p>
    <w:p w14:paraId="61FEDA2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113. The complementary redistributive income support for sustainability shall be granted to a farmer for an area from 3.01 to 100 hectares that is eligible for receiving the basic income support for sustainability.</w:t>
      </w:r>
      <w:bookmarkStart w:id="260" w:name="p113"/>
      <w:bookmarkEnd w:id="260"/>
    </w:p>
    <w:p w14:paraId="09035DF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1191858"/>
      <w:bookmarkEnd w:id="261"/>
    </w:p>
    <w:p w14:paraId="613879C3"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114. The indicative amount of support, the planned unit amount, the minimum and maximum planned unit amount of the complementary redistributive income support for sustainability for each group of areas, i.e. from 3.01 to 30 hectares and from 30.01 to 100 hectares, are specified in Annex 16 to this Regulation.</w:t>
      </w:r>
      <w:bookmarkStart w:id="262" w:name="p114"/>
      <w:bookmarkEnd w:id="262"/>
    </w:p>
    <w:p w14:paraId="4EA40E0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BC4E5"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263" w:name="n11"/>
      <w:bookmarkStart w:id="264" w:name="n-1191859"/>
      <w:bookmarkEnd w:id="263"/>
      <w:bookmarkEnd w:id="264"/>
      <w:r w:rsidRPr="006F5A86">
        <w:rPr>
          <w:rFonts w:ascii="Times New Roman" w:hAnsi="Times New Roman"/>
          <w:b/>
          <w:noProof/>
          <w:kern w:val="0"/>
          <w:sz w:val="24"/>
          <w:lang w:val="en-US"/>
        </w:rPr>
        <w:t>11. Complementary Income Support for Young Farmers</w:t>
      </w:r>
    </w:p>
    <w:p w14:paraId="6C7D333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1191860"/>
      <w:bookmarkEnd w:id="265"/>
    </w:p>
    <w:p w14:paraId="1A21F33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115. In accordance with Article 30(1) and Article 30(3), second subparagraph of Regulation 2021/2115, a farmer may receive complementary income support for young farmers in the form of an annual decoupled payment for the area of the first newly set up holding or for the area under control of the first set up holding if the latter corresponds to the definition of a young farmer specified in Paragraph 116 of this Regulation.</w:t>
      </w:r>
      <w:bookmarkStart w:id="266" w:name="p115"/>
      <w:bookmarkEnd w:id="266"/>
    </w:p>
    <w:p w14:paraId="237D183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1191861"/>
      <w:bookmarkEnd w:id="267"/>
    </w:p>
    <w:p w14:paraId="1115F00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116. In accordance with Article 4(6) of Regulation 2021/2115, a young farmer is:</w:t>
      </w:r>
      <w:bookmarkStart w:id="268" w:name="p116"/>
      <w:bookmarkEnd w:id="268"/>
    </w:p>
    <w:p w14:paraId="11A55F4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116.1. a natural person who has not attained 40 years of age in the year of applying for complementary income support for young farmers for the first time;</w:t>
      </w:r>
    </w:p>
    <w:p w14:paraId="10443B5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116.2. the head and owner of the holding specified in Article 3(2) of Regulation 2021/2115, exercising effective and long-term control over the decisions of the holding in the current year of applying for complementary income support for young farmers;</w:t>
      </w:r>
    </w:p>
    <w:p w14:paraId="24A58D0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116.3. a graduate of higher or vocational secondary education in the field of agriculture, having completed 320 hours of agricultural education subjects of a higher or vocational secondary education agricultural education programme or a graduate of basic agricultural training courses in the amount of at least 160 hours by 1 August of the year of applying for complementary income support for young farmers for the first time.</w:t>
      </w:r>
    </w:p>
    <w:p w14:paraId="7E208BF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1191865"/>
      <w:bookmarkEnd w:id="269"/>
    </w:p>
    <w:p w14:paraId="41A5E8E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117. In order to prove compliance with the education requirement referred to in the definition of a young farmer, a farmer shall submit to the Rural Support Service photocopies of documents attesting the education and training programme or a statement issued by an educational institution indicating the number of the completed hours of agricultural education subjects. If several higher or vocational educations have been acquired, the overall number of hours of agricultural education subjects specified in all documents attesting the education shall be indicated. If basic agricultural training courses have been completed, photocopies of the certificate of completion indicating the number of hours of the course shall be submitted to the Rural Support Service.</w:t>
      </w:r>
      <w:bookmarkStart w:id="270" w:name="p117"/>
      <w:bookmarkEnd w:id="270"/>
    </w:p>
    <w:p w14:paraId="14E3E67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1191866"/>
      <w:bookmarkEnd w:id="271"/>
    </w:p>
    <w:p w14:paraId="060D3E3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118. Complementary income support for young farmers shall be granted in the form of an annual decoupled payment for the area of the holding which is eligible for receiving the basic income support for sustainability and does not exceed 150 hectares.</w:t>
      </w:r>
      <w:bookmarkStart w:id="272" w:name="p118"/>
      <w:bookmarkEnd w:id="272"/>
    </w:p>
    <w:p w14:paraId="4517CB4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1191867"/>
      <w:bookmarkEnd w:id="273"/>
    </w:p>
    <w:p w14:paraId="3CDDFE5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119. The first newly set up holding referred to in Paragraph 115 of this Regulation shall be a holding set up not earlier than five years before the applicant applies for complementary income support for young farmers for the first time.</w:t>
      </w:r>
      <w:bookmarkStart w:id="274" w:name="p119"/>
      <w:bookmarkEnd w:id="274"/>
    </w:p>
    <w:p w14:paraId="2B742FF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1191868"/>
      <w:bookmarkEnd w:id="275"/>
    </w:p>
    <w:p w14:paraId="236206E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120. A natural person shall set up a holding for the first time in the status of the head of the holding in the year when the relevant person or a legal person under control thereof implements one of the following actions for the first time:</w:t>
      </w:r>
      <w:bookmarkStart w:id="276" w:name="p120"/>
      <w:bookmarkEnd w:id="276"/>
    </w:p>
    <w:p w14:paraId="02B0A24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120.1. submits an application for receiving the national or European Union support for agriculture;</w:t>
      </w:r>
    </w:p>
    <w:p w14:paraId="4D4DE15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120.2. declares revenue from agricultural activity to the State Revenue Service;</w:t>
      </w:r>
    </w:p>
    <w:p w14:paraId="3FC9DFB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120.3. registers farmed animals with the Agricultural Data Centre and the number thereof corresponds to at least three conditional livestock units on 1 January, 1 April, 1 July, or 1 October, determined in accordance with Annex 5 to this Regulation.</w:t>
      </w:r>
    </w:p>
    <w:p w14:paraId="3E98EAB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1191876"/>
      <w:bookmarkEnd w:id="277"/>
    </w:p>
    <w:p w14:paraId="0B7149E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121. A holding under control taking over the first set up holding shall be eligible for complementary income support for young farmers if the holding has been set up:</w:t>
      </w:r>
      <w:bookmarkStart w:id="278" w:name="p121"/>
      <w:bookmarkEnd w:id="278"/>
    </w:p>
    <w:p w14:paraId="142CA0C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121.1. by changing the legal status of the first set up holding;</w:t>
      </w:r>
    </w:p>
    <w:p w14:paraId="0F1F8EF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121.2. by taking over agricultural land owned by the first set up holding and if:</w:t>
      </w:r>
    </w:p>
    <w:p w14:paraId="48BC4976"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121.2.1. the legal person which managed the agricultural land of the first set up holding is liquidated or, not later than the day before the date of application for complementary income support for young farmers, liquidation proceedings of the holding are initiated and completed by 15 October of the current year;</w:t>
      </w:r>
    </w:p>
    <w:p w14:paraId="7A5B0264"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121.2.2. the natural person who managed the agricultural land of the first set up holding does not apply for the national or European Union support for agriculture.</w:t>
      </w:r>
    </w:p>
    <w:p w14:paraId="10779D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1191887"/>
      <w:bookmarkEnd w:id="279"/>
    </w:p>
    <w:p w14:paraId="57F37B9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122. Young farmers shall exercise effective and long-term control over the decisions of the holding if in the current year in the period from the date of applying for complementary income support for young farmers until 1 October:</w:t>
      </w:r>
      <w:bookmarkStart w:id="280" w:name="p122"/>
      <w:bookmarkEnd w:id="280"/>
    </w:p>
    <w:p w14:paraId="32D8796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122.1. one young farmer owns more than 50 per cent of the capital shares in the capital company and has the power of signature;</w:t>
      </w:r>
    </w:p>
    <w:p w14:paraId="35B5B3A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122.2. several young farmers together own more than 50 per cent of the capital shares in the capital company and individually at least 20 per cent of the capital shares and have the power of signature;</w:t>
      </w:r>
    </w:p>
    <w:p w14:paraId="16B96AE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122.3. one or more young farmers are the sole owners of the individual (family) undertaking or farm and have the power of signature.</w:t>
      </w:r>
    </w:p>
    <w:p w14:paraId="6246EEF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1191893"/>
      <w:bookmarkEnd w:id="281"/>
    </w:p>
    <w:p w14:paraId="564A6BC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123. If any of the young farmers controlling the capital company referred to in Sub-paragraph 122.2 of this Regulation cease to have control over the decisions of the holding in subsequent years, the other young farmers, including the new farmers, shall be deemed to have control over them if they together hold more than 50 per cent of the capital shares and individually at least 20 per cent of the capital shares and have the power of signature in the capital company in the current year at least in the period from the date of submitting the geo-spatial application until 1 October.</w:t>
      </w:r>
    </w:p>
    <w:p w14:paraId="00154FF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191894"/>
      <w:bookmarkEnd w:id="282"/>
    </w:p>
    <w:p w14:paraId="4CA88F3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124. If any of the young farmers controlling the individual (family) undertaking or farm and referred to in Sub-paragraph 122.3 of this Regulation ceases to have control over the decisions of the holding in subsequent years, the other young farmers, including new farmers, shall be deemed to have control over them if they are the sole owners of the individual (family) undertaking or farm and have the power of signature at least in the period from the date of applying for support until 1 October of the current year.</w:t>
      </w:r>
      <w:bookmarkStart w:id="283" w:name="p124"/>
      <w:bookmarkEnd w:id="283"/>
    </w:p>
    <w:p w14:paraId="798A1EF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191895"/>
      <w:bookmarkEnd w:id="284"/>
    </w:p>
    <w:p w14:paraId="42D210B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125. If a farmer has set up several holdings in his or her control on the same date, complementary income support for young farmers shall be granted only for the area of one holding at the choice of the farmer or the payment shall not be granted to any of the holdings if artificially created conditions have been established in accordance with Article 62 of Regulation 2021/2116.</w:t>
      </w:r>
      <w:bookmarkStart w:id="285" w:name="p125"/>
      <w:bookmarkEnd w:id="285"/>
    </w:p>
    <w:p w14:paraId="0FD81E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1191896"/>
      <w:bookmarkEnd w:id="286"/>
    </w:p>
    <w:p w14:paraId="71138B7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126. If a legal person applying for complementary income support for young farmers is controlled by another legal person, the definition of a young farmer referred to in Paragraph 116 of this Regulation shall apply to any natural person controlling the other legal person.</w:t>
      </w:r>
      <w:bookmarkStart w:id="287" w:name="p126"/>
      <w:bookmarkEnd w:id="287"/>
    </w:p>
    <w:p w14:paraId="15DB497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1191897"/>
      <w:bookmarkEnd w:id="288"/>
    </w:p>
    <w:p w14:paraId="189D912E"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127. In accordance with Article 30(3) of Regulation 2021/2115, complementary income support for young farmers shall be granted to a farmer for a maximum of five consecutive years from the first year of submitting the application for receiving this support and not longer than until 2027 (inclusive) if such application is submitted within the period of at least five years after the year of setting up the first holding.</w:t>
      </w:r>
      <w:bookmarkStart w:id="289" w:name="p127"/>
      <w:bookmarkEnd w:id="289"/>
    </w:p>
    <w:p w14:paraId="6FD7415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191898"/>
      <w:bookmarkEnd w:id="290"/>
    </w:p>
    <w:p w14:paraId="2FF37AB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128. In accordance with Article 30(2), second subparagraph of Regulation 2021/2115, such farmer may receive complementary income support for young farmers who has received the payment for young farmers in accordance with Article 50 of 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but for a maximum of five consecutive years from the first year of submitting the application for receiving support for young farmers.</w:t>
      </w:r>
      <w:bookmarkStart w:id="291" w:name="p128"/>
      <w:bookmarkEnd w:id="291"/>
    </w:p>
    <w:p w14:paraId="2AB7373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191899"/>
      <w:bookmarkEnd w:id="292"/>
    </w:p>
    <w:p w14:paraId="51CDFB1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129. A legal person may receive complementary income support for young farmers not longer than until the year after which it is no longer controlled by any of the young farmers that controlled it in the year in which it was first approved for receiving complementary income support for young farmers.</w:t>
      </w:r>
      <w:bookmarkStart w:id="293" w:name="p129"/>
      <w:bookmarkEnd w:id="293"/>
    </w:p>
    <w:p w14:paraId="66259C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191900"/>
      <w:bookmarkEnd w:id="294"/>
    </w:p>
    <w:p w14:paraId="4C033E6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130. The indicative amount of complementary income support for young farmers, the planned unit amount, the minimum and maximum planned unit amount are specified in Annex 16 to this Regulation.</w:t>
      </w:r>
      <w:bookmarkStart w:id="295" w:name="p130"/>
      <w:bookmarkEnd w:id="295"/>
    </w:p>
    <w:p w14:paraId="337E59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n12"/>
      <w:bookmarkStart w:id="297" w:name="n-1191901"/>
      <w:bookmarkEnd w:id="296"/>
      <w:bookmarkEnd w:id="297"/>
    </w:p>
    <w:p w14:paraId="11397A2D"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 Eco-schemes</w:t>
      </w:r>
    </w:p>
    <w:p w14:paraId="6510C013" w14:textId="77777777" w:rsidR="006F5A86" w:rsidRPr="006F5A86" w:rsidRDefault="006F5A86" w:rsidP="006F5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98" w:name="n12.1"/>
      <w:bookmarkStart w:id="299" w:name="n-1191902"/>
      <w:bookmarkEnd w:id="298"/>
      <w:bookmarkEnd w:id="299"/>
    </w:p>
    <w:p w14:paraId="4EA58DCA"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12.1. General Conditions for Eco-schemes</w:t>
      </w:r>
    </w:p>
    <w:p w14:paraId="403D660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1191903"/>
      <w:bookmarkEnd w:id="300"/>
    </w:p>
    <w:p w14:paraId="0E7F3C9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131. In accordance with Article 31(2) of Regulation 2021/2115, voluntary eco-scheme support shall be granted to a farmer who is engaged in agricultural activity for the area that is eligible for receiving the basic income support for sustainability and complies with the conditions of Chapter 12 of this Regulation.</w:t>
      </w:r>
      <w:bookmarkStart w:id="301" w:name="p131"/>
      <w:bookmarkEnd w:id="301"/>
    </w:p>
    <w:p w14:paraId="4244028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1191904"/>
      <w:bookmarkEnd w:id="302"/>
    </w:p>
    <w:p w14:paraId="4621220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132. The indicative amount of the eco-scheme support, the planned unit amount, the minimum and maximum planned unit amount according to the types of eco-schemes are specified in Annex 16 to this Regulation.</w:t>
      </w:r>
      <w:bookmarkStart w:id="303" w:name="p132"/>
      <w:bookmarkEnd w:id="303"/>
    </w:p>
    <w:p w14:paraId="0023102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n12.2"/>
      <w:bookmarkStart w:id="305" w:name="n-1191905"/>
      <w:bookmarkEnd w:id="304"/>
      <w:bookmarkEnd w:id="305"/>
    </w:p>
    <w:p w14:paraId="5C2E948F"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12.2. Eco-scheme Support for Agricultural Practices Beneficial for the Environment and the Climate</w:t>
      </w:r>
    </w:p>
    <w:p w14:paraId="0206123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233702"/>
      <w:bookmarkEnd w:id="306"/>
    </w:p>
    <w:p w14:paraId="3DF6595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133. The eco-scheme support for agricultural practices beneficial for the environment and the climate shall be granted for the area of arable land where:</w:t>
      </w:r>
      <w:bookmarkStart w:id="307" w:name="p133"/>
      <w:bookmarkEnd w:id="307"/>
    </w:p>
    <w:p w14:paraId="2ECD6A3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133.1. cereals, fibre plants, rape, turnip rape, vegetables, strawberries, watermelons and melons, potatoes, leguminous plants, herbs, and medicinal plants are grown;</w:t>
      </w:r>
    </w:p>
    <w:p w14:paraId="1971B9F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133.2. crop diversification in arable land is ensured:</w:t>
      </w:r>
    </w:p>
    <w:p w14:paraId="3AF92D93"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133.2.1. in one to ten hectares, with the main crop area not exceeding 75 per cent of the arable land, unless the main crop is grassland sown in arable land, fallow land, or legumes (excluding field beans, peas, soya, and kidney beans);</w:t>
      </w:r>
    </w:p>
    <w:p w14:paraId="04563440" w14:textId="77777777" w:rsidR="006F5A86" w:rsidRPr="006F5A86" w:rsidRDefault="006F5A86" w:rsidP="006F5A86">
      <w:pPr>
        <w:keepNext/>
        <w:keepLines/>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133.2.2. by growing at least three distinct crops in the area from 10.01 to 30 hectares, not exceeding 65 per cent of the area of the main crop and 90 per cent of the arable land of the area of two main crops, but:</w:t>
      </w:r>
    </w:p>
    <w:p w14:paraId="7A1F388A" w14:textId="77777777" w:rsidR="006F5A86" w:rsidRPr="006F5A86" w:rsidRDefault="006F5A86" w:rsidP="006F5A86">
      <w:pPr>
        <w:keepNext/>
        <w:keepLines/>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133.2.2.1. the requirement for crop diversification shall be deemed to be fulfilled if at least 80 per cent of the arable land is used for growing grassland sown in arable land, fallow land, or legumes (excluding field beans, peas, soya, and kidney beans) or is subject to a combination of the abovementioned types of use at the same time;</w:t>
      </w:r>
    </w:p>
    <w:p w14:paraId="1AC8F64E"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133.2.2.2. the requirement to ensure the proportion of the main crop shall be deemed to be fulfilled if the main crop is grassland sown in arable land, fallow land, or legumes (excluding field beans, peas, soya, and kidney beans) and the threshold proportion of 65 per cent is exceeded;</w:t>
      </w:r>
    </w:p>
    <w:p w14:paraId="2A9DBEA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133.2.3. by growing at least four distinct crops in the area of more than 30 hectares, not exceeding 65 per cent of the area of the main crop, 90 per cent of the area of two main crops, and 99 per cent of the arable land of the area of the first three main crops, but:</w:t>
      </w:r>
    </w:p>
    <w:p w14:paraId="00A85FAC"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133.2.3.1. the requirement for crop diversification is deemed to be fulfilled if at least 80 per cent of the arable land is used for growing grassland sown in arable land, fallow land, or legumes (excluding field beans, peas, soya, and kidney beans) or is subject to a combination of the abovementioned types of use at the same time;</w:t>
      </w:r>
    </w:p>
    <w:p w14:paraId="566AE9C7"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133.2.3.2. the requirement to ensure the proportion of the main crop is deemed to be fulfilled if the main crop is grassland sown in arable land, fallow land, or legumes (excluding field beans, peas, soya, and kidney beans) and the threshold proportion of 65 per cent is exceeded;</w:t>
      </w:r>
    </w:p>
    <w:p w14:paraId="5E975C2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133.3. the soil cover in the period from 15 November of the previous year to 15 February of the current year is preserved:</w:t>
      </w:r>
    </w:p>
    <w:p w14:paraId="6FB6EF79"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133.3.1. in nitrate vulnerable zones (Annex 9), at least 75 per cent of the area of arable land;</w:t>
      </w:r>
    </w:p>
    <w:p w14:paraId="580DF4B5"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133.3.2. in Vidzeme and Latgale (Annex 10), at least 65 per cent of the area of arable land;</w:t>
      </w:r>
    </w:p>
    <w:p w14:paraId="2A71B86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133.3.3. in the rest of the territory (Annex 11), at least 70 per cent of the area of arable land.</w:t>
      </w:r>
    </w:p>
    <w:p w14:paraId="67BCB39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Sub-paragraph 133.1 shall come into force on 1 January 2024. See Paragraph 2 of Amendments</w:t>
      </w:r>
      <w:r w:rsidRPr="006F5A86">
        <w:rPr>
          <w:rFonts w:ascii="Times New Roman" w:hAnsi="Times New Roman"/>
          <w:noProof/>
          <w:kern w:val="0"/>
          <w:sz w:val="24"/>
          <w:lang w:val="en-US"/>
        </w:rPr>
        <w:t>]</w:t>
      </w:r>
    </w:p>
    <w:p w14:paraId="4D42961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191922"/>
      <w:bookmarkEnd w:id="308"/>
    </w:p>
    <w:p w14:paraId="0E84382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134. The eco-scheme support for agricultural practices beneficial for the environment and the climate shall be granted for the area of permanent crops, excluding the area of short rotation coppice, where the soil cover in the period from 15 November of the previous year to 15 February of the current year has been ensured in all interlinear spaces of permanent crops approved for the support.</w:t>
      </w:r>
      <w:bookmarkStart w:id="309" w:name="p134"/>
      <w:bookmarkEnd w:id="309"/>
    </w:p>
    <w:p w14:paraId="016B4DE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191924"/>
      <w:bookmarkEnd w:id="310"/>
    </w:p>
    <w:p w14:paraId="0C980B3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135. The crops and crop codes thereof eligible for the eco-scheme support for agricultural practices beneficial for the environment and the climate are specified in Annex 1 to this Regulation.</w:t>
      </w:r>
      <w:bookmarkStart w:id="311" w:name="p135"/>
      <w:bookmarkEnd w:id="311"/>
    </w:p>
    <w:p w14:paraId="3FF3A36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191926"/>
      <w:bookmarkEnd w:id="312"/>
    </w:p>
    <w:p w14:paraId="00CFE0D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136. When determining the area of arable land subject to the application of the requirement referred to in Sub-paragraph 133.3 of this Regulation, the area of vegetables, potatoes, and beetroot harvested after 1 September and ploughed or cultivated after harvesting and left without the soil cover shall be excluded therefrom.</w:t>
      </w:r>
      <w:bookmarkStart w:id="313" w:name="p136"/>
      <w:bookmarkEnd w:id="313"/>
    </w:p>
    <w:p w14:paraId="41F1B8C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216386"/>
      <w:bookmarkEnd w:id="314"/>
    </w:p>
    <w:p w14:paraId="7149885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137. If arable land in the ownership or possession of a farmer is located in the territories referred to in Sub-paragraph 133.3 of this Regulation, each of which is subject to different requirement thresholds, the requirement threshold determined for the territory shall apply to that part of the arable land of the farmer which is located in the relevant territory. If the highest soil cover threshold determined for any territory where the areas of arable land are located at the holding is in general ensured, the relevant requirement shall be deemed to be fulfilled insofar as this does not affect the fulfilment of the requirement referred to in Sub-paragraph 2.2 of Annex 8 to this Regulation.</w:t>
      </w:r>
      <w:bookmarkStart w:id="315" w:name="p137"/>
      <w:bookmarkEnd w:id="315"/>
    </w:p>
    <w:p w14:paraId="2D019C0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31CB61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1191930"/>
      <w:bookmarkEnd w:id="316"/>
    </w:p>
    <w:p w14:paraId="625DE01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138. A crop is a culture of any of the different genera defined in the botanical classification of crops or a distinct crop from crops belonging to the family of crucifers (</w:t>
      </w:r>
      <w:r w:rsidRPr="006F5A86">
        <w:rPr>
          <w:rFonts w:ascii="Times New Roman" w:hAnsi="Times New Roman"/>
          <w:i/>
          <w:noProof/>
          <w:kern w:val="0"/>
          <w:sz w:val="24"/>
          <w:lang w:val="en-US"/>
        </w:rPr>
        <w:t>Brassicaceae</w:t>
      </w:r>
      <w:r w:rsidRPr="006F5A86">
        <w:rPr>
          <w:rFonts w:ascii="Times New Roman" w:hAnsi="Times New Roman"/>
          <w:noProof/>
          <w:kern w:val="0"/>
          <w:sz w:val="24"/>
          <w:lang w:val="en-US"/>
        </w:rPr>
        <w:t>), the nightshade family (</w:t>
      </w:r>
      <w:r w:rsidRPr="006F5A86">
        <w:rPr>
          <w:rFonts w:ascii="Times New Roman" w:hAnsi="Times New Roman"/>
          <w:i/>
          <w:noProof/>
          <w:kern w:val="0"/>
          <w:sz w:val="24"/>
          <w:lang w:val="en-US"/>
        </w:rPr>
        <w:t>Solanaceae</w:t>
      </w:r>
      <w:r w:rsidRPr="006F5A86">
        <w:rPr>
          <w:rFonts w:ascii="Times New Roman" w:hAnsi="Times New Roman"/>
          <w:noProof/>
          <w:kern w:val="0"/>
          <w:sz w:val="24"/>
          <w:lang w:val="en-US"/>
        </w:rPr>
        <w:t>), the gourd family (</w:t>
      </w:r>
      <w:r w:rsidRPr="006F5A86">
        <w:rPr>
          <w:rFonts w:ascii="Times New Roman" w:hAnsi="Times New Roman"/>
          <w:i/>
          <w:noProof/>
          <w:kern w:val="0"/>
          <w:sz w:val="24"/>
          <w:lang w:val="en-US"/>
        </w:rPr>
        <w:t>Cucurbitaceae</w:t>
      </w:r>
      <w:r w:rsidRPr="006F5A86">
        <w:rPr>
          <w:rFonts w:ascii="Times New Roman" w:hAnsi="Times New Roman"/>
          <w:noProof/>
          <w:kern w:val="0"/>
          <w:sz w:val="24"/>
          <w:lang w:val="en-US"/>
        </w:rPr>
        <w:t>), the legume family (</w:t>
      </w:r>
      <w:r w:rsidRPr="006F5A86">
        <w:rPr>
          <w:rFonts w:ascii="Times New Roman" w:hAnsi="Times New Roman"/>
          <w:i/>
          <w:noProof/>
          <w:kern w:val="0"/>
          <w:sz w:val="24"/>
          <w:lang w:val="en-US"/>
        </w:rPr>
        <w:t>Leguminosae</w:t>
      </w:r>
      <w:r w:rsidRPr="006F5A86">
        <w:rPr>
          <w:rFonts w:ascii="Times New Roman" w:hAnsi="Times New Roman"/>
          <w:noProof/>
          <w:kern w:val="0"/>
          <w:sz w:val="24"/>
          <w:lang w:val="en-US"/>
        </w:rPr>
        <w:t>), and the goosefoot family (</w:t>
      </w:r>
      <w:r w:rsidRPr="006F5A86">
        <w:rPr>
          <w:rFonts w:ascii="Times New Roman" w:hAnsi="Times New Roman"/>
          <w:i/>
          <w:iCs/>
          <w:noProof/>
          <w:kern w:val="0"/>
          <w:sz w:val="24"/>
          <w:lang w:val="en-US"/>
        </w:rPr>
        <w:t>Chenopodiaceae</w:t>
      </w:r>
      <w:r w:rsidRPr="006F5A86">
        <w:rPr>
          <w:rFonts w:ascii="Times New Roman" w:hAnsi="Times New Roman"/>
          <w:noProof/>
          <w:kern w:val="0"/>
          <w:sz w:val="24"/>
          <w:lang w:val="en-US"/>
        </w:rPr>
        <w:t>). Winter crop and spring crop shall be considered to be distinct crops even if they belong to the same genus. The list of distinct crops is included in Annex 12 to this Regulation. Fallow land and grasses or other herbaceous forage are also considered as distinct crops.</w:t>
      </w:r>
      <w:bookmarkStart w:id="317" w:name="p138"/>
      <w:bookmarkEnd w:id="317"/>
    </w:p>
    <w:p w14:paraId="466B7D8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318" w:name="p-1191932"/>
      <w:bookmarkEnd w:id="318"/>
    </w:p>
    <w:p w14:paraId="24BC228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139. Landscape features shall not be included in the calculation of the proportion of distinct crops in the area occupied by a crop.</w:t>
      </w:r>
    </w:p>
    <w:p w14:paraId="60845CA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1191934"/>
      <w:bookmarkEnd w:id="319"/>
    </w:p>
    <w:p w14:paraId="50E2FF1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140. The eco-scheme support for agricultural practices beneficial for the environment and the climate shall not be granted to a farmer applying for the eco-scheme support for agroecology practices in an organic holding in accordance with Sub-chapter 12.7 of this Regulation.</w:t>
      </w:r>
      <w:bookmarkStart w:id="320" w:name="p140"/>
      <w:bookmarkEnd w:id="320"/>
    </w:p>
    <w:p w14:paraId="2F618E7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1" w:name="n12.3"/>
      <w:bookmarkStart w:id="322" w:name="n-1191936"/>
      <w:bookmarkEnd w:id="321"/>
      <w:bookmarkEnd w:id="322"/>
    </w:p>
    <w:p w14:paraId="4CA44FE3"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12.3. Eco-scheme Support for an Ecological Focus Area</w:t>
      </w:r>
    </w:p>
    <w:p w14:paraId="5699A8A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1233533"/>
      <w:bookmarkEnd w:id="323"/>
    </w:p>
    <w:p w14:paraId="5FE906A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141. The eco-scheme support for an ecological focus area shall be granted for one area of arable land where the following crops are grown during the vegetation period of the current year:</w:t>
      </w:r>
      <w:bookmarkStart w:id="324" w:name="p141"/>
      <w:bookmarkEnd w:id="324"/>
    </w:p>
    <w:p w14:paraId="09B1470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141.1. nectar plants which are sown in pure stand or mixture for the collection of nectar, i.e. phacelia, Jacob’s ladder, lavender, mallow, thistle, hyssop, motherwort, borage, sage, lemon balm, comfrey, coriander, wild marjoram, and such cultivated nectar plants as glandular globe-thistle, tansy, dragonhead, melissa, viper’s bugloss, grass pea, catnip, cornflower. They are mowed and harvested or chopped after flowering;</w:t>
      </w:r>
    </w:p>
    <w:p w14:paraId="70FDC16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141.2. nitrogen-fixing crops, i.e. lucerne, birdsfoot trefoil, clover, crimson clover, vetches, sweet clover, goat’s rue, lupine (narrow-leaved, yellow, white), sainfoin, sown in pure stand, mutual mixture, or mixture with grasses sown in arable land if more than 50 per cent among them are nitrogen-fixing crops or cereals sown in mixture with vetches where more than 50 per cent is formed by vetches. If legumes are sown in mixture with grasses, a farmer shall, upon request of the Rural Support Service, submit a certification of the quantity of seed used. If the relevant information has not been submitted, the Rural Support Service shall, during the on-the-spot check at the holding, determine the proportion of nitrogen-fixing crops on the basis of the number of plants or the proportion of green mass;</w:t>
      </w:r>
    </w:p>
    <w:p w14:paraId="51F0CC8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141.3. a mixture of at least two green manure crops in a fallow land area of green manure crops where one of the crops is lucerne, birdsfoot trefoil, clover, vetches, sweet clover, goat’s rue, lupine (narrow-leaved, yellow, white), sainfoin, field beans, or peas. The mixture of green manure crops shall contain at least five minor crops per square metre. These areas shall not be used for grazing, fodder production, or harvesting. The fallow land area of green manure crops shall not exceed 10 per cent of the area of arable land of the holding;</w:t>
      </w:r>
    </w:p>
    <w:p w14:paraId="1DE24D1A"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141.4. catch crops consisting of at least two catch crops sown in mixture, for example, spring rape, Italian ryegrass, white mustard, oil radish, oats, phacelia, buckwheat, vetches, rye, field beans, peas, or fodder radish. Catch crops shall be sown after the main crop has been harvested but not later than by 1 September of the current year, the sowing field shall be retained and shall not be used for grazing, fodder production, or harvesting until at least 31 October of the current year. The main crop declared in the relevant field in the geo-spatial application for the current year and the following year is a plant of distinct species. There shall be at least five minor crops per square metre of the mixture of catch crops;</w:t>
      </w:r>
    </w:p>
    <w:p w14:paraId="0DB4A8E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141.5. an area undersown with grassland, i.e. the land occupied by grains or leguminous plants sown in pure stand or mutual mixture at least until 31 October of the current year:</w:t>
      </w:r>
    </w:p>
    <w:p w14:paraId="66C154B3"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141.5.1. grasses, i.e. Italian ryegrass, Westerwold ryegrass, perennial ryegrass, hybrid ryegrass, festulolium, timothy grass, cocksfoot, meadow fescue, tall fescue, red fescue, sheep’s fescue, hard fescue, smooth brome, soft brome, meadow foxtail, smooth-stalk meadowgrass, swamp meadowgrass, rough-stalked meadowgrass, brown top, redtop, or common bent grass;</w:t>
      </w:r>
    </w:p>
    <w:p w14:paraId="21DB579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141.5.2. legumes, including lucerne, birdsfoot trefoil, clover, crimson clover, vetches, sweet clover, or sainfoin.</w:t>
      </w:r>
    </w:p>
    <w:p w14:paraId="76BCA37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3DD7AAA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1191954"/>
      <w:bookmarkEnd w:id="325"/>
    </w:p>
    <w:p w14:paraId="15BA98E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142. The crops and crop codes thereof eligible for the eco-scheme support for an ecological focus area are specified in Annex 1 to this Regulation.</w:t>
      </w:r>
      <w:bookmarkStart w:id="326" w:name="p142"/>
      <w:bookmarkEnd w:id="326"/>
    </w:p>
    <w:p w14:paraId="3289377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1217186"/>
      <w:bookmarkEnd w:id="327"/>
    </w:p>
    <w:p w14:paraId="55212CF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143. It is prohibited to use chemical plant protection products in the areas referred to in Paragraph 141 of this Regulation:</w:t>
      </w:r>
      <w:bookmarkStart w:id="328" w:name="p143"/>
      <w:bookmarkEnd w:id="328"/>
    </w:p>
    <w:p w14:paraId="74C5DE2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143.1. on nitrogen-fixing crops and also when such crops are sown in mixture with grasses in arable land where nitrogen-fixing crops constitute more than 50 per cent or cereals sown in mixture with vetches constituting more than 50 per cent of vetches, and on nectar plants throughout the calendar year;</w:t>
      </w:r>
    </w:p>
    <w:p w14:paraId="65E9999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143.2. in fallow land area of green manure crops until green manure is incorporated or applied before direct sowing or strip tillage;</w:t>
      </w:r>
    </w:p>
    <w:p w14:paraId="4DB66B6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143.3. on catch crops during the cultivation thereof;</w:t>
      </w:r>
    </w:p>
    <w:p w14:paraId="6A43530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143.4. in an area undersown with grassland from the harvest time of the cover crop until the end of the calendar year.</w:t>
      </w:r>
    </w:p>
    <w:p w14:paraId="33D593C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2394124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1233541"/>
      <w:bookmarkEnd w:id="329"/>
    </w:p>
    <w:p w14:paraId="028D78A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144. Once in the period from 2023 to 2027, support may be granted for the optimisation of soil quality and reaction (basic liming) for a specific field approved for support if it is carried out during pre-sowing processing and after the optimisation of soil quality and reaction the crops referred to in Paragraph 141 of this Regulation and leguminous plants are grown in the relevant field in compliance with the following conditions:</w:t>
      </w:r>
      <w:bookmarkStart w:id="330" w:name="p144"/>
      <w:bookmarkEnd w:id="330"/>
    </w:p>
    <w:p w14:paraId="085B1A4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144.1. the soil reaction (pH) is below 5.5 in sandy soils, below 5.8 in sandy loam soils, below 6.3 in loamy soils, and below 6.5 in loam;</w:t>
      </w:r>
    </w:p>
    <w:p w14:paraId="2A0BEDB0"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144.2. the rate of calcium carbonate (CaCO</w:t>
      </w:r>
      <w:r w:rsidRPr="006F5A86">
        <w:rPr>
          <w:rFonts w:ascii="Times New Roman" w:hAnsi="Times New Roman"/>
          <w:noProof/>
          <w:kern w:val="0"/>
          <w:sz w:val="24"/>
          <w:vertAlign w:val="subscript"/>
          <w:lang w:val="en-US"/>
        </w:rPr>
        <w:t>3</w:t>
      </w:r>
      <w:r w:rsidRPr="006F5A86">
        <w:rPr>
          <w:rFonts w:ascii="Times New Roman" w:hAnsi="Times New Roman"/>
          <w:noProof/>
          <w:kern w:val="0"/>
          <w:sz w:val="24"/>
          <w:lang w:val="en-US"/>
        </w:rPr>
        <w:t>) applied (t/ha) in the current year or in the previous year before sowing of winter crops is not less than the rate recommended in accordance with the data of agrochemical research of soil or data provided by agrochemical service providers. If the rate specified in the abovementioned documents or in the Agricultural Land Management System of the State Information System for Monitoring of Agricultural Plants maintained by the State Plant Protection Service (hereinafter – the AL Management System) is above 6 t/ha CaCO</w:t>
      </w:r>
      <w:r w:rsidRPr="006F5A86">
        <w:rPr>
          <w:rFonts w:ascii="Times New Roman" w:hAnsi="Times New Roman"/>
          <w:noProof/>
          <w:kern w:val="0"/>
          <w:sz w:val="24"/>
          <w:vertAlign w:val="subscript"/>
          <w:lang w:val="en-US"/>
        </w:rPr>
        <w:t>3</w:t>
      </w:r>
      <w:r w:rsidRPr="006F5A86">
        <w:rPr>
          <w:rFonts w:ascii="Times New Roman" w:hAnsi="Times New Roman"/>
          <w:noProof/>
          <w:kern w:val="0"/>
          <w:sz w:val="24"/>
          <w:lang w:val="en-US"/>
        </w:rPr>
        <w:t>, the rate of CaCO</w:t>
      </w:r>
      <w:r w:rsidRPr="006F5A86">
        <w:rPr>
          <w:rFonts w:ascii="Times New Roman" w:hAnsi="Times New Roman"/>
          <w:noProof/>
          <w:kern w:val="0"/>
          <w:sz w:val="24"/>
          <w:vertAlign w:val="subscript"/>
          <w:lang w:val="en-US"/>
        </w:rPr>
        <w:t>3</w:t>
      </w:r>
      <w:r w:rsidRPr="006F5A86">
        <w:rPr>
          <w:rFonts w:ascii="Times New Roman" w:hAnsi="Times New Roman"/>
          <w:noProof/>
          <w:kern w:val="0"/>
          <w:sz w:val="24"/>
          <w:lang w:val="en-US"/>
        </w:rPr>
        <w:t xml:space="preserve"> used during pre-sowing processing in one time is at least 6 t/ha;</w:t>
      </w:r>
    </w:p>
    <w:p w14:paraId="26AA45E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144.3. information on the soil reaction (pH) shall be indicated in the AL Management System in respect of a field where the optimisation of soil quality and reaction (basic liming) is planned;</w:t>
      </w:r>
    </w:p>
    <w:p w14:paraId="6D47A83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144.4. the soil reaction (pH) data are based on agrochemical research of soil, data provided by agrochemical service providers, or analyses of soil samples dating back not more than five years and carried out in a soil laboratory accredited in the European Union, if possible, ensuring that the results of each sample are linked to the Global Positioning System (hereinafter – the GPS) coordinates;</w:t>
      </w:r>
    </w:p>
    <w:p w14:paraId="710DDFA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144.5. such soil optimisation material has been used for the optimisation of soil quality and reaction that at the moment of purchase thereof was included in the list of fertilizers and substrates of the State Plant Protection Service.</w:t>
      </w:r>
    </w:p>
    <w:p w14:paraId="3C4AB1D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the Paragraph shall come into force on 1 January 2024. See Paragraph 2 of Amendments</w:t>
      </w:r>
      <w:r w:rsidRPr="006F5A86">
        <w:rPr>
          <w:rFonts w:ascii="Times New Roman" w:hAnsi="Times New Roman"/>
          <w:noProof/>
          <w:kern w:val="0"/>
          <w:sz w:val="24"/>
          <w:lang w:val="en-US"/>
        </w:rPr>
        <w:t>]</w:t>
      </w:r>
    </w:p>
    <w:p w14:paraId="18961FD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1191978"/>
      <w:bookmarkEnd w:id="331"/>
    </w:p>
    <w:p w14:paraId="524F2EB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145. The support referred to in Paragraph 144 of this Regulation shall be granted if the soil quality and reaction have been optimised after 1 January 2023 and the data of agrochemical research of soil or data provided by agrochemical service providers, or the results of analyses of soil samples, cover at least 95 per cent of the approved field.</w:t>
      </w:r>
      <w:bookmarkStart w:id="332" w:name="p145"/>
      <w:bookmarkEnd w:id="332"/>
    </w:p>
    <w:p w14:paraId="42BF757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1191980"/>
      <w:bookmarkEnd w:id="333"/>
    </w:p>
    <w:p w14:paraId="4609903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146. After using the soil optimisation material, a farmer shall provide the following information in the AL Management System by 22 May of the current year or within 30 calendar days:</w:t>
      </w:r>
      <w:bookmarkStart w:id="334" w:name="p146"/>
      <w:bookmarkEnd w:id="334"/>
    </w:p>
    <w:p w14:paraId="77EFA80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146.1. the purchased material (name, quantity);</w:t>
      </w:r>
    </w:p>
    <w:p w14:paraId="400F4C3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146.2. the date of incorporation and the dose in physical units of the used material;</w:t>
      </w:r>
    </w:p>
    <w:p w14:paraId="25EBFB7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146.3. the field number and the area (ha) where the material has been incorporated;</w:t>
      </w:r>
    </w:p>
    <w:p w14:paraId="691A555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146.4. the registration number and name of the service provider if a service is used.</w:t>
      </w:r>
    </w:p>
    <w:p w14:paraId="324836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1191990"/>
      <w:bookmarkEnd w:id="335"/>
    </w:p>
    <w:p w14:paraId="1755508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147. While spreading the optimisation material and after spreading the material, before it is incorporated into the soil, a farmer shall, using the mobile application of the Rural Support Service, take geotagged photos, containing a time and location stamp, and automatically send them in order to prove the optimisation of soil quality and reaction.</w:t>
      </w:r>
      <w:bookmarkStart w:id="336" w:name="p147"/>
      <w:bookmarkEnd w:id="336"/>
    </w:p>
    <w:p w14:paraId="3EFFDFE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1191992"/>
      <w:bookmarkEnd w:id="337"/>
    </w:p>
    <w:p w14:paraId="793D80F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148. The State Plant Protection Service shall carry out on-the-spot checks at the holding to verify compliance with the prohibition on the use of chemical plant protection products and the use of the soil quality and reaction optimisation material.</w:t>
      </w:r>
      <w:bookmarkStart w:id="338" w:name="p148"/>
      <w:bookmarkEnd w:id="338"/>
    </w:p>
    <w:p w14:paraId="4789CB6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9" w:name="n12.4"/>
      <w:bookmarkStart w:id="340" w:name="n-1191995"/>
      <w:bookmarkEnd w:id="339"/>
      <w:bookmarkEnd w:id="340"/>
    </w:p>
    <w:p w14:paraId="0C4D7E33"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12.4. Eco-scheme Support for Conservation Agricultural Practices</w:t>
      </w:r>
    </w:p>
    <w:p w14:paraId="13EF121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1233547"/>
      <w:bookmarkEnd w:id="341"/>
    </w:p>
    <w:p w14:paraId="5595D29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149. The eco-scheme support for conservation agricultural practices shall be granted for the area of arable land where cereals, oil plants, fibre plants, nectar plants, leguminous plants sown in pure stand or mixture with grains, legumes sown in pure stand or mixture with grasses where legumes constitute more than 50 per cent in the first year of creating the sowing field are grown in the current year and if they are sown using any of the following pre-sowing processing methods of soil:</w:t>
      </w:r>
      <w:bookmarkStart w:id="342" w:name="p149"/>
      <w:bookmarkEnd w:id="342"/>
    </w:p>
    <w:p w14:paraId="6FBD140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149.1. minimum tillage, i.e. low tillage of the topsoil to a depth of not more than 15 centimetres using a cultivator, disk, or rotary tiller;</w:t>
      </w:r>
    </w:p>
    <w:p w14:paraId="43B6C96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149.2. strip tillage where a strip of soil up to five centimetres wide is tilled for sowing seed, leaving a strip of at least 10 centimetres wide between rows where the soil is not mechanically processed and plant residues or stubble are retained;</w:t>
      </w:r>
    </w:p>
    <w:p w14:paraId="565870E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149.3. direct sowing where the soil is not tilled or ploughed in the current year after the previous crop has been harvested, but sown directly into the stubble.</w:t>
      </w:r>
    </w:p>
    <w:p w14:paraId="19F0C9A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the Paragraph shall come into force on 1 January 2024. See Paragraph 2 of Amendments</w:t>
      </w:r>
      <w:r w:rsidRPr="006F5A86">
        <w:rPr>
          <w:rFonts w:ascii="Times New Roman" w:hAnsi="Times New Roman"/>
          <w:noProof/>
          <w:kern w:val="0"/>
          <w:sz w:val="24"/>
          <w:lang w:val="en-US"/>
        </w:rPr>
        <w:t>]</w:t>
      </w:r>
    </w:p>
    <w:p w14:paraId="4575D7A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1192004"/>
      <w:bookmarkEnd w:id="343"/>
    </w:p>
    <w:p w14:paraId="54DFDBE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150. The crops and crop codes thereof eligible for the eco-scheme support for conservation agricultural practices are specified in Annex 1 to this Regulation.</w:t>
      </w:r>
      <w:bookmarkStart w:id="344" w:name="p150"/>
      <w:bookmarkEnd w:id="344"/>
    </w:p>
    <w:p w14:paraId="2B04989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1192006"/>
      <w:bookmarkEnd w:id="345"/>
    </w:p>
    <w:p w14:paraId="6A5DD67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151. Pre-sowing processing is tillage from the harvest time of the previous crop until sowing of the crop declared in the current year. If fallow land or grassland has been declared in the previous year, the period of pre-sowing processing shall be deemed to be from 15 July of the previous year until sowing of the crop declared in the current year.</w:t>
      </w:r>
      <w:bookmarkStart w:id="346" w:name="p151"/>
      <w:bookmarkEnd w:id="346"/>
    </w:p>
    <w:p w14:paraId="2CFA04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1192009"/>
      <w:bookmarkEnd w:id="347"/>
    </w:p>
    <w:p w14:paraId="0E8897F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152. A farmer shall indicate in the Electronic Application System of the Rural Support Service the type of processing used for each field.</w:t>
      </w:r>
      <w:bookmarkStart w:id="348" w:name="p152"/>
      <w:bookmarkEnd w:id="348"/>
    </w:p>
    <w:p w14:paraId="293B052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1192011"/>
      <w:bookmarkEnd w:id="349"/>
    </w:p>
    <w:p w14:paraId="5841468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153. A farmer shall use the mobile application of the Rural Support Service to take geotagged photos, containing a time and location stamp, and automatically send them in order to prove the minimum tillage of soil.</w:t>
      </w:r>
      <w:bookmarkStart w:id="350" w:name="p153"/>
      <w:bookmarkEnd w:id="350"/>
    </w:p>
    <w:p w14:paraId="5B3BFDC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1192013"/>
      <w:bookmarkEnd w:id="351"/>
    </w:p>
    <w:p w14:paraId="278315A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154. Herbicides shall be applied to crops in the area applied for the eco-scheme support for conservation agricultural practices in accordance with the label and not more than twice in the year of submitting the application.</w:t>
      </w:r>
      <w:bookmarkStart w:id="352" w:name="p154"/>
      <w:bookmarkEnd w:id="352"/>
    </w:p>
    <w:p w14:paraId="6AE3870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1192014"/>
      <w:bookmarkEnd w:id="353"/>
    </w:p>
    <w:p w14:paraId="35BF268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155. A farmer shall, by 22 May, 30 June, 31 August, and 5 November of the current year, submit in the AL Management System up-to-date information on the use of herbicides taken place until 17 May, 25 June, 26 August, and 31 October respectively, indicating, for example, the name and quantity of the purchased and used herbicide, the dose (kg/ha), information on crop growth stage, the date of spraying, and the covered area.</w:t>
      </w:r>
      <w:bookmarkStart w:id="354" w:name="p155"/>
      <w:bookmarkEnd w:id="354"/>
    </w:p>
    <w:p w14:paraId="0136CC5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1192016"/>
      <w:bookmarkEnd w:id="355"/>
    </w:p>
    <w:p w14:paraId="2E4AB6C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156. The State Plant Protection Service shall carry out on-the-spot checks at the holding to verify the use of herbicides.</w:t>
      </w:r>
      <w:bookmarkStart w:id="356" w:name="p156"/>
      <w:bookmarkEnd w:id="356"/>
    </w:p>
    <w:p w14:paraId="03536DA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7" w:name="n12.5"/>
      <w:bookmarkStart w:id="358" w:name="n-1192019"/>
      <w:bookmarkEnd w:id="357"/>
      <w:bookmarkEnd w:id="358"/>
    </w:p>
    <w:p w14:paraId="32A17D5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12.5. Eco-scheme Support for Agricultural Practices that Reduce the Emissions of Nitrogen and Ammonia and the Pollution</w:t>
      </w:r>
    </w:p>
    <w:p w14:paraId="7852252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1192020"/>
      <w:bookmarkEnd w:id="359"/>
    </w:p>
    <w:p w14:paraId="0267EDE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157. The eco-scheme support for agricultural practices that reduce the emissions of nitrogen and ammonia and the pollution shall be granted for the area of agricultural land for which the data of agrochemical research of soil or data provided by agrochemical service providers, or the results of analyses of soil samples, are available and where any of the following methods are used in the period from harvesting the precrop or incorporation in soil until harvesting the crop applied for support:</w:t>
      </w:r>
      <w:bookmarkStart w:id="360" w:name="p157"/>
      <w:bookmarkEnd w:id="360"/>
    </w:p>
    <w:p w14:paraId="681F412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157.1. direct spreading and incorporation of liquid organic fertilizer (slurry, manure, digestate) by means of a trailing hose or injection method, incorporating at least 10 tonnes of organic fertilizer per hectare;</w:t>
      </w:r>
    </w:p>
    <w:p w14:paraId="1212C3B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157.2. high-precision spreading of mineral fertilizers;</w:t>
      </w:r>
    </w:p>
    <w:p w14:paraId="74EB38D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157.3. high-precision spraying of plant protection products.</w:t>
      </w:r>
    </w:p>
    <w:p w14:paraId="7EEF94F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1192029"/>
      <w:bookmarkEnd w:id="361"/>
    </w:p>
    <w:p w14:paraId="4833EA3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158. The data of agrochemical research of soil or data provided by agrochemical service providers, or the results of analyses of soil samples, shall be deemed valid if dating back not more than five years and the analyses have been carried out in a soil laboratory accredited in the European Union. If the analyses have not been carried out at the State Plant Protection Service, the data provided by agrochemical service providers, or the results of analyses of soil samples and copies of the test reports, shall be submitted in the AL Management System by 22 May of the current year. For the purpose of Paragraph 157 of this Regulation, an area of agricultural land shall be eligible if the data of agrochemical research of soil or data provided by agrochemical service providers, or the results of analyses of soil samples, cover at least 95 per cent of the eligible area of agricultural land.</w:t>
      </w:r>
      <w:bookmarkStart w:id="362" w:name="p158"/>
      <w:bookmarkEnd w:id="362"/>
    </w:p>
    <w:p w14:paraId="0AACB89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1192031"/>
      <w:bookmarkEnd w:id="363"/>
    </w:p>
    <w:p w14:paraId="1F3146D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159. The following conditions shall be complied with when using the high-precision mineral fertilizer spreading method:</w:t>
      </w:r>
      <w:bookmarkStart w:id="364" w:name="p159"/>
      <w:bookmarkEnd w:id="364"/>
    </w:p>
    <w:p w14:paraId="4076F6A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159.1. spreading is carried out by a mineral fertilizer spreader or sprayer with automatic coverage control, including section control and constant or variable rate control in order to ensure that fertilization zones do not overlap;</w:t>
      </w:r>
    </w:p>
    <w:p w14:paraId="2EE2258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159.2. spreading is carried out by a tractor or machinery that is equipped with a control terminal with the GPS receiver and also section control and installed dose control functions for precise application of fertilizers.</w:t>
      </w:r>
    </w:p>
    <w:p w14:paraId="34C5E43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1192037"/>
      <w:bookmarkEnd w:id="365"/>
    </w:p>
    <w:p w14:paraId="26CFD7D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160. The following conditions shall be complied with when using high-precision spraying of plant protection products:</w:t>
      </w:r>
      <w:bookmarkStart w:id="366" w:name="p160"/>
      <w:bookmarkEnd w:id="366"/>
    </w:p>
    <w:p w14:paraId="0E98E54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160.1. spraying is carried out by a certified plant protection product application equipment with automatic coverage control, including section control and constant or variable rate control in order to ensure that covered zones do not overlap;</w:t>
      </w:r>
    </w:p>
    <w:p w14:paraId="1AA0537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160.2. spraying is carried out by a tractor or machinery that is equipped with a control terminal with the GPS receiver and also section control and installed dose control functions for precise use of plant protection products.</w:t>
      </w:r>
    </w:p>
    <w:p w14:paraId="13AE0BE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7" w:name="p-1192043"/>
      <w:bookmarkEnd w:id="367"/>
    </w:p>
    <w:p w14:paraId="170BDF2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161. The eco-scheme support for the use of the methods referred to in Sub-paragraphs 157.1 and 157.2 of this Regulation shall be granted if the following conditions are complied with:</w:t>
      </w:r>
      <w:bookmarkStart w:id="368" w:name="p161"/>
      <w:bookmarkEnd w:id="368"/>
    </w:p>
    <w:p w14:paraId="3D7BEDF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161.1. a fertilization plan has been developed in the AL Management System by 22 May of the current year and information, if such is available, has been entered on crop yields in the previous three years according to the quantity for which a farmer can provide evidence, for example, on disposal or transfer (information shall be entered only once when applying the field for the first time), on precrops grown in the fields, on straw harrowing, on organic and mineral fertilizer storage at the holding, purchased quantities and use in physical weight units, on net amounts, and on the results of the mineral nitrogen analyses in the spring of the relevant year;</w:t>
      </w:r>
    </w:p>
    <w:p w14:paraId="566636E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161.2. the application of fertilizers, both basic fertilizers and additional fertilizers, at the holding is carried out in accordance with a fertilization plan, ensuring that the amount of nitrogen applied does not exceed the nitrogen (N) requirement calculated for the holding in the fertilization plan;</w:t>
      </w:r>
    </w:p>
    <w:p w14:paraId="2A5487D8"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161.3. by 22 May, 30 June, 31 August, and 5 November of the current year, a farmer submits up-to-date information in the AL Management System on actions with liquid organic fertilizers and mineral fertilizers carried out by 17 May, 25 June, 26 August, and 31 October respectively (for example, on purchased, sold, used, and storage quantities, the date of application and dose of fertilizers, on the technological equipment for liquid organic fertilizer or high-precision mineral fertilizer spreading, on rented machinery or service provider if spreading is not carried out by the farmer himself or herself) and also uploads the GPS data on at least one high-precision mineral fertilizer spreading carried out in each field. Information shall be provided on the physical and net amounts of each type of fertilizer, i.e. nitrogen (N), phosphorus (P</w:t>
      </w:r>
      <w:r w:rsidRPr="006F5A86">
        <w:rPr>
          <w:rFonts w:ascii="Times New Roman" w:hAnsi="Times New Roman"/>
          <w:noProof/>
          <w:kern w:val="0"/>
          <w:sz w:val="24"/>
          <w:vertAlign w:val="subscript"/>
          <w:lang w:val="en-US"/>
        </w:rPr>
        <w:t>2</w:t>
      </w:r>
      <w:r w:rsidRPr="006F5A86">
        <w:rPr>
          <w:rFonts w:ascii="Times New Roman" w:hAnsi="Times New Roman"/>
          <w:noProof/>
          <w:kern w:val="0"/>
          <w:sz w:val="24"/>
          <w:lang w:val="en-US"/>
        </w:rPr>
        <w:t>O</w:t>
      </w:r>
      <w:r w:rsidRPr="006F5A86">
        <w:rPr>
          <w:rFonts w:ascii="Times New Roman" w:hAnsi="Times New Roman"/>
          <w:noProof/>
          <w:kern w:val="0"/>
          <w:sz w:val="24"/>
          <w:vertAlign w:val="subscript"/>
          <w:lang w:val="en-US"/>
        </w:rPr>
        <w:t>5</w:t>
      </w:r>
      <w:r w:rsidRPr="006F5A86">
        <w:rPr>
          <w:rFonts w:ascii="Times New Roman" w:hAnsi="Times New Roman"/>
          <w:noProof/>
          <w:kern w:val="0"/>
          <w:sz w:val="24"/>
          <w:lang w:val="en-US"/>
        </w:rPr>
        <w:t>), potassium (K</w:t>
      </w:r>
      <w:r w:rsidRPr="006F5A86">
        <w:rPr>
          <w:rFonts w:ascii="Times New Roman" w:hAnsi="Times New Roman"/>
          <w:noProof/>
          <w:kern w:val="0"/>
          <w:sz w:val="24"/>
          <w:vertAlign w:val="subscript"/>
          <w:lang w:val="en-US"/>
        </w:rPr>
        <w:t>2</w:t>
      </w:r>
      <w:r w:rsidRPr="006F5A86">
        <w:rPr>
          <w:rFonts w:ascii="Times New Roman" w:hAnsi="Times New Roman"/>
          <w:noProof/>
          <w:kern w:val="0"/>
          <w:sz w:val="24"/>
          <w:lang w:val="en-US"/>
        </w:rPr>
        <w:t>O).</w:t>
      </w:r>
    </w:p>
    <w:p w14:paraId="07EC3A1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1192051"/>
      <w:bookmarkEnd w:id="369"/>
    </w:p>
    <w:p w14:paraId="0C7D6F4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162. A fertilization plan shall be developed in the AL Management System in accordance with the methodology specified in Annex 18 to this Regulation.</w:t>
      </w:r>
      <w:bookmarkStart w:id="370" w:name="p162"/>
      <w:bookmarkEnd w:id="370"/>
    </w:p>
    <w:p w14:paraId="4322D85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1" w:name="p-1192053"/>
      <w:bookmarkEnd w:id="371"/>
    </w:p>
    <w:p w14:paraId="2AD2BB3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163. The eco-scheme support for the use of the method of high-precision spraying of plant protection products referred to in Sub-paragraph 157.3 of this Regulation shall be granted if a farmer:</w:t>
      </w:r>
      <w:bookmarkStart w:id="372" w:name="p163"/>
      <w:bookmarkEnd w:id="372"/>
    </w:p>
    <w:p w14:paraId="716490C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163.1. uses the plant protection product in accordance with the conditions specified on the labelling;</w:t>
      </w:r>
    </w:p>
    <w:p w14:paraId="3A1423A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163.2. plans the use of plant protection products and provides grounds for it by one of the following cases:</w:t>
      </w:r>
    </w:p>
    <w:p w14:paraId="31A8780A"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163.2.1. the occurrence of harmful organisms which the farmer detects during field monitoring and regular inspections;</w:t>
      </w:r>
    </w:p>
    <w:p w14:paraId="2711DE38"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163.2.2. information on the occurrence of a harmful organism and forecast on the development thereof is published in the common early warning system on the website of the State Plant Protection Service;</w:t>
      </w:r>
    </w:p>
    <w:p w14:paraId="7386C1DD"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163.2.3. the thresholds in respect of the harm of pests and diseases published on the website of the State Plant Protection Service are taken into account;</w:t>
      </w:r>
    </w:p>
    <w:p w14:paraId="13C82BF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163.2.4. weather forecasts indicate the occurrence of adverse weather conditions which may favour the development or spread of harmful organisms;</w:t>
      </w:r>
    </w:p>
    <w:p w14:paraId="014BF6D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163.2.5. a warning on possible disease developments has been published in the support system for the decisions on control of arable crop diseases on the website of the State Plant Protection Service;</w:t>
      </w:r>
    </w:p>
    <w:p w14:paraId="5A49EBA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163.3. by 22 May, 30 June, 31 August, and 5 November of the current year, submits information in the AL Management System on actions carried out by 17 May, 25 June, 26 August, and 31 October respectively (for example, on purchased, used, and storage quantities of plant protection products, indicating the name and dose of plant protection products, information on the development stage of the crop, grounds for the use of plant protection products, the date of spraying, the area covered, technological equipment used, information on rented machinery or service provider if spraying is not carried out by the farmer himself or herself) and also uploads the GPS data on at least one high-precision use (spraying) of plant protection products carried out in each field.</w:t>
      </w:r>
    </w:p>
    <w:p w14:paraId="60E2331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3" w:name="p-1192071"/>
      <w:bookmarkEnd w:id="373"/>
    </w:p>
    <w:p w14:paraId="60CE10D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164. If, due to exceptional circumstances, it is necessary to resow another crop in the area that is applied for support, a new fertilization plan shall be prepared for the relevant field within 15 days after resowing of the crop and adjustments shall be made to the amount of nitrogen (N) necessary for the holding calculated in the fertilization plan referred to in Sub-paragraph 161.2 of this Regulation.</w:t>
      </w:r>
      <w:bookmarkStart w:id="374" w:name="p164"/>
      <w:bookmarkEnd w:id="374"/>
    </w:p>
    <w:p w14:paraId="5C68864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5" w:name="n12.6"/>
      <w:bookmarkStart w:id="376" w:name="n-1192073"/>
      <w:bookmarkEnd w:id="375"/>
      <w:bookmarkEnd w:id="376"/>
    </w:p>
    <w:p w14:paraId="30F550C1"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12.6. Eco-scheme Support for Promoting the Maintenance of Grassland</w:t>
      </w:r>
    </w:p>
    <w:p w14:paraId="4E27BD9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7" w:name="p-1192075"/>
      <w:bookmarkEnd w:id="377"/>
    </w:p>
    <w:p w14:paraId="65A18D5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165. When applying for the eco-scheme support for promoting the maintenance of grassland, a farmer shall:</w:t>
      </w:r>
      <w:bookmarkStart w:id="378" w:name="p165"/>
      <w:bookmarkEnd w:id="378"/>
    </w:p>
    <w:p w14:paraId="01B83EF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165.1. undertake commitment for two consecutive years not to plough, par, and loosen the soil of the area (field) of grassland applied for this support;</w:t>
      </w:r>
    </w:p>
    <w:p w14:paraId="1455377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165.2. undertake the commitment to submit in due time the geo-spatial application for the relevant area.</w:t>
      </w:r>
    </w:p>
    <w:p w14:paraId="243DBBF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1192081"/>
      <w:bookmarkEnd w:id="379"/>
    </w:p>
    <w:p w14:paraId="6F615E4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166. The commitments referred to in Paragraph 165 of this Regulation may be undertaken by the farmer in 2027 for one year.</w:t>
      </w:r>
      <w:bookmarkStart w:id="380" w:name="p166"/>
      <w:bookmarkEnd w:id="380"/>
    </w:p>
    <w:p w14:paraId="056BB32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1" w:name="p-1233704"/>
      <w:bookmarkEnd w:id="381"/>
    </w:p>
    <w:p w14:paraId="0FC57AE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167. The eco-scheme support for promoting the maintenance of grassland shall be granted:</w:t>
      </w:r>
      <w:bookmarkStart w:id="382" w:name="p167"/>
      <w:bookmarkEnd w:id="382"/>
    </w:p>
    <w:p w14:paraId="260984B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167.1. for the area of permanent grassland and grassland sown in arable land where during the grazing season in the period from 15 May to 15 September in the current year an average livestock density of at least 0.4 conditional livestock units have been ensured in the herd or 0.3 conditional livestock units have been ensured per one approved hectare of permanent grassland or grassland sown in arable land if a farmer receives the complementary income support for young farmers or if the average livestock density is ensured by animals of the ovine, caprine, or cervid species. The average livestock density shall be calculated in accordance with Annex 5 to this Regulation;</w:t>
      </w:r>
    </w:p>
    <w:p w14:paraId="5634C67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167.2. for the area occupied by grasses and used for obtaining seed if it has been applied in the current year, it has been inspected by the State Plant Protection Service, and it has been recognised that the field conforms to the seed growing requirements;</w:t>
      </w:r>
    </w:p>
    <w:p w14:paraId="41AF356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167.3. if the commitments referred to in Paragraph 165 of this Regulation are fulfilled.</w:t>
      </w:r>
    </w:p>
    <w:p w14:paraId="79A0664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Sub-paragraph 167.1 shall come into force on 1 January 2024. See Paragraph 2 of Amendments</w:t>
      </w:r>
      <w:r w:rsidRPr="006F5A86">
        <w:rPr>
          <w:rFonts w:ascii="Times New Roman" w:hAnsi="Times New Roman"/>
          <w:noProof/>
          <w:kern w:val="0"/>
          <w:sz w:val="24"/>
          <w:lang w:val="en-US"/>
        </w:rPr>
        <w:t>]</w:t>
      </w:r>
    </w:p>
    <w:p w14:paraId="198115B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1192091"/>
      <w:bookmarkEnd w:id="383"/>
    </w:p>
    <w:p w14:paraId="082B495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168. If, in the second year, a farmer terminates the commitments referred to in Paragraph 165 of this Regulation, he or she shall reimburse the support referred to in Sub-paragraph 2.9 of this Regulation received in the previous year for the part of the area in respect of which the commitments have been terminated.</w:t>
      </w:r>
      <w:bookmarkStart w:id="384" w:name="p168"/>
      <w:bookmarkEnd w:id="384"/>
    </w:p>
    <w:p w14:paraId="7FA8DD4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5" w:name="p-1192093"/>
      <w:bookmarkEnd w:id="385"/>
    </w:p>
    <w:p w14:paraId="0C3EBF3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169. During the commitment period, the location of the area (field) applied for the eco-scheme support for promoting the maintenance of grassland may not be changed.</w:t>
      </w:r>
      <w:bookmarkStart w:id="386" w:name="p169"/>
      <w:bookmarkEnd w:id="386"/>
    </w:p>
    <w:p w14:paraId="5E3B997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7" w:name="p-1192095"/>
      <w:bookmarkEnd w:id="387"/>
    </w:p>
    <w:p w14:paraId="2F7C6D2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170. If, during the commitment period, the area covered by the commitments does not differ by more than 10 per cent from year to year, but does not exceed 0.3 hectares of the area covered by the commitments approved in the first year of commitments, it shall be considered that the area covered by the commitments has remained unchanged.</w:t>
      </w:r>
      <w:bookmarkStart w:id="388" w:name="p170"/>
      <w:bookmarkEnd w:id="388"/>
    </w:p>
    <w:p w14:paraId="5374976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9" w:name="p-1192097"/>
      <w:bookmarkEnd w:id="389"/>
    </w:p>
    <w:p w14:paraId="3AE2597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171. If the area covered by the commitments in the current year has been increased compared to the year when the commitments were undertaken by the applicant, the farmer shall declare the new area (field) separately and start a new commitment period in respect of it.</w:t>
      </w:r>
      <w:bookmarkStart w:id="390" w:name="p171"/>
      <w:bookmarkEnd w:id="390"/>
    </w:p>
    <w:p w14:paraId="188FD3E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1" w:name="p-1192099"/>
      <w:bookmarkEnd w:id="391"/>
    </w:p>
    <w:p w14:paraId="60C1D17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172. A farmer may transfer the entire holding, agricultural land or part thereof to another person during the commitment period. The relevant person shall take over the latter along with the relevant commitments and inform the Rural Support Service thereof within a month after takeover. If the successor of the commitments terminates the commitments referred to in Paragraph 165 of this Regulation, the person who transfers the commitments shall reimburse the support referred to in Sub-paragraph 2.9 of this Regulation granted in the previous year for the part of the area in respect of which the commitments have been terminated.</w:t>
      </w:r>
      <w:bookmarkStart w:id="392" w:name="p172"/>
      <w:bookmarkEnd w:id="392"/>
    </w:p>
    <w:p w14:paraId="068D75B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3" w:name="p-1192101"/>
      <w:bookmarkEnd w:id="393"/>
    </w:p>
    <w:p w14:paraId="7BE9726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173. The crops and crop codes thereof eligible for the eco-scheme support for promoting the maintenance of grassland are specified in Annex 1 to this Regulation.</w:t>
      </w:r>
      <w:bookmarkStart w:id="394" w:name="p173"/>
      <w:bookmarkEnd w:id="394"/>
    </w:p>
    <w:p w14:paraId="45D798F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5" w:name="p-1192103"/>
      <w:bookmarkEnd w:id="395"/>
    </w:p>
    <w:p w14:paraId="7B14F03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174. The eco-scheme support for promoting the maintenance of grassland shall not be granted for environmentally sensitive permanent grassland that is subject to the application of the GAEC standard 9 specified in Sub-chapter 6.9 of this Regulation.</w:t>
      </w:r>
      <w:bookmarkStart w:id="396" w:name="p174"/>
      <w:bookmarkEnd w:id="396"/>
    </w:p>
    <w:p w14:paraId="6D501A5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7" w:name="n12.7"/>
      <w:bookmarkStart w:id="398" w:name="n-1192105"/>
      <w:bookmarkEnd w:id="397"/>
      <w:bookmarkEnd w:id="398"/>
    </w:p>
    <w:p w14:paraId="350F437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12.7. Eco-scheme Support for Agroecology Practices in Organic Holdings</w:t>
      </w:r>
    </w:p>
    <w:p w14:paraId="259BE73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9" w:name="p-1192107"/>
      <w:bookmarkEnd w:id="399"/>
    </w:p>
    <w:p w14:paraId="6901677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175. The eco-scheme support for agroecology practices in organic holdings may be granted to a farmer if the entire area of agricultural land at the holding is included in the control system for organic farming in accordance with Article 34(1) of Regulation 2018/848.</w:t>
      </w:r>
      <w:bookmarkStart w:id="400" w:name="p175"/>
      <w:bookmarkEnd w:id="400"/>
    </w:p>
    <w:p w14:paraId="75EC300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1" w:name="p-1192109"/>
      <w:bookmarkEnd w:id="401"/>
    </w:p>
    <w:p w14:paraId="00FC566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176. The eco-scheme support for agroecology practices in organic holdings shall be granted for arable land where:</w:t>
      </w:r>
      <w:bookmarkStart w:id="402" w:name="p176"/>
      <w:bookmarkEnd w:id="402"/>
    </w:p>
    <w:p w14:paraId="6B8BE55D"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176.1 crop diversification is ensured:</w:t>
      </w:r>
    </w:p>
    <w:p w14:paraId="70EB1E37" w14:textId="77777777" w:rsidR="006F5A86" w:rsidRPr="006F5A86" w:rsidRDefault="006F5A86" w:rsidP="006F5A86">
      <w:pPr>
        <w:keepNext/>
        <w:keepLines/>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176.1.1. in one to ten hectares, with the main crop area not exceeding 75 per cent of the arable land, unless the main crop is grassland sown in arable land, fallow land, or legumes (excluding field beans, peas, soya, and kidney beans);</w:t>
      </w:r>
    </w:p>
    <w:p w14:paraId="06F30BE9"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176.1.2. by growing at least three distinct crops in the area from 10.01 to 30 hectares and the area of the main crop does not exceed 65 per cent, whereas the area of two main crops does not exceed 90 per cent of arable land, but:</w:t>
      </w:r>
    </w:p>
    <w:p w14:paraId="351C9AB9"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176.1.2.1. the requirement for crop diversification shall be deemed to be fulfilled if at least 80 per cent of the arable land is used for growing grassland sown in arable land, fallow land, or legumes (excluding field beans, peas, soya, and kidney beans) or is subject to a combination of the abovementioned types of use at the same time;</w:t>
      </w:r>
    </w:p>
    <w:p w14:paraId="25688413"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176.1.2.2. the requirement to ensure the proportion of the main crop shall be deemed to be fulfilled if the main crop is grassland sown in arable land, fallow land, or legumes (excluding field beans, peas, soya, and kidney beans) and the threshold proportion of 65 per cent is exceeded;</w:t>
      </w:r>
    </w:p>
    <w:p w14:paraId="359F90B7"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176.1.3. by growing at least four distinct crops in the area of more than 30 hectares, not exceeding 65 per cent of the area of the main crop, 90 per cent of the area of two main crops, and 99 per cent of the arable land of the area of the first three main crops, but:</w:t>
      </w:r>
    </w:p>
    <w:p w14:paraId="457F7EB8"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176.1.3.1. the requirement for crop diversification shall be deemed to be fulfilled if at least 80 per cent of the arable land is used for growing grassland sown in arable land, fallow land, or legumes (excluding field beans, peas, soya, and kidney beans) or is subject to a combination of the abovementioned types of use at the same time;</w:t>
      </w:r>
    </w:p>
    <w:p w14:paraId="472D2233" w14:textId="77777777" w:rsidR="006F5A86" w:rsidRPr="006F5A86" w:rsidRDefault="006F5A86" w:rsidP="006F5A86">
      <w:pPr>
        <w:shd w:val="clear" w:color="auto" w:fill="FFFFFF"/>
        <w:spacing w:after="0" w:line="240" w:lineRule="auto"/>
        <w:ind w:left="1418" w:firstLine="709"/>
        <w:jc w:val="both"/>
        <w:rPr>
          <w:rFonts w:ascii="Times New Roman" w:hAnsi="Times New Roman"/>
          <w:noProof/>
          <w:kern w:val="0"/>
          <w:sz w:val="24"/>
          <w:lang w:val="en-US"/>
        </w:rPr>
      </w:pPr>
      <w:r w:rsidRPr="006F5A86">
        <w:rPr>
          <w:rFonts w:ascii="Times New Roman" w:hAnsi="Times New Roman"/>
          <w:noProof/>
          <w:kern w:val="0"/>
          <w:sz w:val="24"/>
          <w:lang w:val="en-US"/>
        </w:rPr>
        <w:t>176.1.3.2. the requirement to ensure the proportion of the main crop shall be deemed to be fulfilled if the main crop is grassland sown in arable land, fallow land, or legumes (excluding field beans, peas, soya, and kidney beans) and the threshold proportion of 65 per cent is exceeded;</w:t>
      </w:r>
    </w:p>
    <w:p w14:paraId="2985D1B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176.2. the soil cover in the period from 15 November of the previous year to 15 February of the current year is preserved:</w:t>
      </w:r>
    </w:p>
    <w:p w14:paraId="0DCA8B55"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176.2.1. in nitrate vulnerable zones (Annex 9), at least 75 per cent of the area of arable land;</w:t>
      </w:r>
    </w:p>
    <w:p w14:paraId="2E500469"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176.2.2. in Vidzeme and Latgale (Annex 10), at least 65 per cent of the area of arable land;</w:t>
      </w:r>
    </w:p>
    <w:p w14:paraId="4EC60364"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176.2.3. in the rest of the territory (Annex 11), at least 70 per cent of the area of arable land.</w:t>
      </w:r>
    </w:p>
    <w:p w14:paraId="1D7CE59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3" w:name="p-1192136"/>
      <w:bookmarkEnd w:id="403"/>
    </w:p>
    <w:p w14:paraId="5B81095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177. The eco-scheme support for agroecology practices in organic holdings shall be granted for the area of permanent crops, excluding the area of short rotation coppice, where the soil cover in the period from 15 November of the previous year to 15 February of the current year has been ensured in all interlinear spaces of permanent crops applied for the support.</w:t>
      </w:r>
      <w:bookmarkStart w:id="404" w:name="p177"/>
      <w:bookmarkEnd w:id="404"/>
    </w:p>
    <w:p w14:paraId="0050BBA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5" w:name="p-1233552"/>
      <w:bookmarkEnd w:id="405"/>
    </w:p>
    <w:p w14:paraId="343CD0F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178. The eco-scheme support for agroecology practices in organic holdings shall be granted for the area of permanent grassland and grassland sown in arable land where during the grazing season in the period from 15 May to 15 September in the current year an average livestock density of at least 0.4 conditional livestock units have been ensured in the herd or 0.3 conditional livestock units have been ensured per one hectare of permanent grassland and grassland sown in arable land if a farmer receives the complementary income support for young farmers or if the average livestock density is ensured by animals of the ovine, caprine, or cervid species. Livestock density shall be calculated in accordance with Annex 5 to this Regulation. The density requirement shall not apply to grassland habitats of European Union importance, including bird habitats in permanent grassland, and permanent grassland used for the collection of wild medicinal plants (up to 20 hectares).</w:t>
      </w:r>
      <w:bookmarkStart w:id="406" w:name="p178"/>
      <w:bookmarkEnd w:id="406"/>
    </w:p>
    <w:p w14:paraId="1C29438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 / The new wording of the Paragraph shall come into force on 1 January 2024. See Paragraph 2 of Amendments</w:t>
      </w:r>
      <w:r w:rsidRPr="006F5A86">
        <w:rPr>
          <w:rFonts w:ascii="Times New Roman" w:hAnsi="Times New Roman"/>
          <w:noProof/>
          <w:kern w:val="0"/>
          <w:sz w:val="24"/>
          <w:lang w:val="en-US"/>
        </w:rPr>
        <w:t>]</w:t>
      </w:r>
    </w:p>
    <w:p w14:paraId="7610C2A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7" w:name="p-1192140"/>
      <w:bookmarkEnd w:id="407"/>
    </w:p>
    <w:p w14:paraId="7C08390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179. The crops and crop codes thereof eligible for the eco-scheme support for agroecology practices in organic holdings are specified in Annex 1 to this Regulation.</w:t>
      </w:r>
      <w:bookmarkStart w:id="408" w:name="p179"/>
      <w:bookmarkEnd w:id="408"/>
    </w:p>
    <w:p w14:paraId="628018B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9" w:name="p-1192142"/>
      <w:bookmarkEnd w:id="409"/>
    </w:p>
    <w:p w14:paraId="6740B1E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180. When determining the area of arable land subject to the application of the requirements referred to in Paragraph 176.2 of this Regulation, the area of vegetables, potatoes, and beetroot harvested after 1 September and ploughed or cultivated after harvesting and left without the soil cover shall be excluded therefrom.</w:t>
      </w:r>
      <w:bookmarkStart w:id="410" w:name="p180"/>
      <w:bookmarkEnd w:id="410"/>
    </w:p>
    <w:p w14:paraId="37F5656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1" w:name="p-1216396"/>
      <w:bookmarkEnd w:id="411"/>
    </w:p>
    <w:p w14:paraId="5C3EDCC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181. If arable land in the ownership or possession of a farmer is located in the territories referred to in Sub-paragraph 176.2 of this Regulation, each of which is subject to different requirement thresholds, the requirement threshold determined for the territory shall apply to that part of the arable land of the farmer located in the relevant territory. If the highest soil cover threshold determined for any territory where the areas of arable land are located at the holding is in general ensured, the relevant requirement shall be deemed to be fulfilled insofar as this does not affect the fulfilment of the requirement referred to in Sub-paragraph 2.2 of Annex 8 to this Regulation.</w:t>
      </w:r>
      <w:bookmarkStart w:id="412" w:name="p181"/>
      <w:bookmarkEnd w:id="412"/>
    </w:p>
    <w:p w14:paraId="72A8B46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4D1CD14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3" w:name="p-1192146"/>
      <w:bookmarkEnd w:id="413"/>
    </w:p>
    <w:p w14:paraId="65950A6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182. A crop is a culture of any of the different genera defined in the botanical classification of crops or a distinct crop from crops belonging to the family of crucifers (Brassicaceae), the nightshade family (Solanaceae), the gourd family (Cucurbitaceae), the legume family (Leguminosae), and the goosefoot family (</w:t>
      </w:r>
      <w:r w:rsidRPr="006F5A86">
        <w:rPr>
          <w:rFonts w:ascii="Times New Roman" w:hAnsi="Times New Roman"/>
          <w:i/>
          <w:iCs/>
          <w:noProof/>
          <w:kern w:val="0"/>
          <w:sz w:val="24"/>
          <w:lang w:val="en-US"/>
        </w:rPr>
        <w:t>Chenopodiaceae</w:t>
      </w:r>
      <w:r w:rsidRPr="006F5A86">
        <w:rPr>
          <w:rFonts w:ascii="Times New Roman" w:hAnsi="Times New Roman"/>
          <w:noProof/>
          <w:kern w:val="0"/>
          <w:sz w:val="24"/>
          <w:lang w:val="en-US"/>
        </w:rPr>
        <w:t>). Winter crop and spring crop shall be considered to be distinct crops even if they belong to the same genus. The list of distinct crops is included in Annex 12 to this Regulation. Fallow and grasses or other herbaceous forage are considered as distinct crops.</w:t>
      </w:r>
      <w:bookmarkStart w:id="414" w:name="p182"/>
      <w:bookmarkEnd w:id="414"/>
    </w:p>
    <w:p w14:paraId="21BDC09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415" w:name="p-1192148"/>
      <w:bookmarkEnd w:id="415"/>
    </w:p>
    <w:p w14:paraId="0791C47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183. When declaring crops under the title “Other crops sown in pure stand in arable land” or “Various crops in a small area of arable land or several crops sown in a continuous field if each crop in the respective field occupies less than 0.1 ha or areas used for flower cultivation”, a farmer shall, upon request of the Rural Support Service, submit an additional declaration, specifying information on each crop separately.</w:t>
      </w:r>
      <w:bookmarkStart w:id="416" w:name="p183"/>
      <w:bookmarkEnd w:id="416"/>
    </w:p>
    <w:p w14:paraId="7E2A9C6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7" w:name="p-1192150"/>
      <w:bookmarkEnd w:id="417"/>
    </w:p>
    <w:p w14:paraId="43BF552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184. Landscape features shall not be included in the calculation of the proportion of distinct crops in the area occupied by a crop.</w:t>
      </w:r>
      <w:bookmarkStart w:id="418" w:name="p184"/>
      <w:bookmarkEnd w:id="418"/>
    </w:p>
    <w:p w14:paraId="1E33113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9" w:name="p-1192152"/>
      <w:bookmarkEnd w:id="419"/>
    </w:p>
    <w:p w14:paraId="28272B9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185. The eco-scheme support for agroecology practices in organic holdings shall not be granted to a farmer applying for the eco-scheme support for agricultural practices beneficial for the environment and the climate in accordance with Sub-chapter 12.2 of this Regulation.</w:t>
      </w:r>
      <w:bookmarkStart w:id="420" w:name="p185"/>
      <w:bookmarkEnd w:id="420"/>
    </w:p>
    <w:p w14:paraId="01C1035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1" w:name="n13"/>
      <w:bookmarkStart w:id="422" w:name="n-1192154"/>
      <w:bookmarkEnd w:id="421"/>
      <w:bookmarkEnd w:id="422"/>
    </w:p>
    <w:p w14:paraId="64A94019"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 Coupled Income Support</w:t>
      </w:r>
    </w:p>
    <w:p w14:paraId="4C0CDAB9" w14:textId="77777777" w:rsidR="006F5A86" w:rsidRPr="006F5A86" w:rsidRDefault="006F5A86" w:rsidP="006F5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23" w:name="n13.1"/>
      <w:bookmarkStart w:id="424" w:name="n-1192156"/>
      <w:bookmarkEnd w:id="423"/>
      <w:bookmarkEnd w:id="424"/>
    </w:p>
    <w:p w14:paraId="242FBB4F"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13.1. General Conditions for Receiving the Coupled Income Support</w:t>
      </w:r>
    </w:p>
    <w:p w14:paraId="56317FD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5" w:name="p-1192158"/>
      <w:bookmarkEnd w:id="425"/>
    </w:p>
    <w:p w14:paraId="4402598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186. An active farmer may receive the coupled income support.</w:t>
      </w:r>
      <w:bookmarkStart w:id="426" w:name="p186"/>
      <w:bookmarkEnd w:id="426"/>
    </w:p>
    <w:p w14:paraId="2930BA7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7" w:name="p-1192160"/>
      <w:bookmarkEnd w:id="427"/>
    </w:p>
    <w:p w14:paraId="4D6EA38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187. The indicative amount of the coupled income support, the planned unit amount, the minimum and maximum planned unit amount are specified in Annex 16 to this Regulation.</w:t>
      </w:r>
      <w:bookmarkStart w:id="428" w:name="p187"/>
      <w:bookmarkEnd w:id="428"/>
    </w:p>
    <w:p w14:paraId="2884374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9" w:name="p-1192162"/>
      <w:bookmarkEnd w:id="429"/>
    </w:p>
    <w:p w14:paraId="7349725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188. The coupled income support shall not be granted for the number of animals exceeding the number of eligible animals owned by a farmer and registered in the animal register of the Agricultural Data Centre on the first day of the keeping period.</w:t>
      </w:r>
      <w:bookmarkStart w:id="430" w:name="p188"/>
      <w:bookmarkEnd w:id="430"/>
    </w:p>
    <w:p w14:paraId="63B43B6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1" w:name="n13.2"/>
      <w:bookmarkStart w:id="432" w:name="n-1192164"/>
      <w:bookmarkEnd w:id="431"/>
      <w:bookmarkEnd w:id="432"/>
    </w:p>
    <w:p w14:paraId="14571F68"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13.2. Coupled Income Support for Dairy Cows</w:t>
      </w:r>
    </w:p>
    <w:p w14:paraId="6D5C957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3" w:name="p-1192166"/>
      <w:bookmarkEnd w:id="433"/>
    </w:p>
    <w:p w14:paraId="13DF21B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189. The coupled income support for dairy cows shall be granted if:</w:t>
      </w:r>
      <w:bookmarkStart w:id="434" w:name="p189"/>
      <w:bookmarkEnd w:id="434"/>
    </w:p>
    <w:p w14:paraId="721E475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189.1. they are kept as part of the herd of the farmer for three consecutive months, starting from 15 May of the current year;</w:t>
      </w:r>
    </w:p>
    <w:p w14:paraId="0EA2F1B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189.2. they are registered and marked, and information thereon has been provided in accordance with the procedures laid down in the laws and regulations regarding marking of farmed animals and the registration thereof;</w:t>
      </w:r>
    </w:p>
    <w:p w14:paraId="1C1F42D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189.3. in the last standard lactation which has been concluded in the recording year from 1 October of the previous year to 30 September of the current year, recording of cows has been carried out in accordance with the laws and regulations regarding recording of animals and the milk-yield per cow in the last standard lactation is at least 6300 kilograms, whereas 4650 kilograms per cow in an organic holding or per cow of the Latvian Brown and Blue species used for the conservation of genetic resources in agriculture. The requirement on milk-yield shall not apply to dairy cows whose first standard lactation is commenced in the recording year from 1 October of the previous year to 30 September of the current year and has continued at least until 30 September of the current year in accordance with the laws and regulations regarding recording of animals.</w:t>
      </w:r>
    </w:p>
    <w:p w14:paraId="7654BBC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5" w:name="p-1192174"/>
      <w:bookmarkEnd w:id="435"/>
    </w:p>
    <w:p w14:paraId="2BB5850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190. A farmer shall ensure control over milk-yield, preparation and storage of data in accordance with the laws and regulations regarding recording of dairy cows. The farmer shall create and carry out accounting on the use of milk obtained at the holding (including milk for personal consumption, animal feeding, trade, processing at the holding or which has been destroyed), using electronic means for data storage or creating an accounting journal wherein information has been arranged in chronological sequence according to the date of the use of milk, inter alia according to control date, according to milk supply date, containing information on the purchaser of milk and the amount of supplied milk, and according to the date of processing of milk if milk has been processed at the holding.</w:t>
      </w:r>
      <w:bookmarkStart w:id="436" w:name="p190"/>
      <w:bookmarkEnd w:id="436"/>
    </w:p>
    <w:p w14:paraId="6DBE655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7" w:name="p-1192176"/>
      <w:bookmarkEnd w:id="437"/>
    </w:p>
    <w:p w14:paraId="3C42B31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191. The information specified in Paragraph 189 of this Regulation shall be obtained by the Rural Support Service from the register of farmed animals of the Agricultural Data Centre.</w:t>
      </w:r>
      <w:bookmarkStart w:id="438" w:name="p191"/>
      <w:bookmarkEnd w:id="438"/>
    </w:p>
    <w:p w14:paraId="65DD563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9" w:name="p-1192178"/>
      <w:bookmarkEnd w:id="439"/>
    </w:p>
    <w:p w14:paraId="774071A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192. Potentially eligible dairy cows in respect of which eligibility criteria might be fulfilled in the current year in order to receive the coupled income support but in respect of which it has been established that their identification or registration in the system for the identification and registration of animals has been incorrect shall be regarded as dairy cows in respect of which irregularities have been established in accordance with Paragraph 325 of this Regulation.</w:t>
      </w:r>
      <w:bookmarkStart w:id="440" w:name="p192"/>
      <w:bookmarkEnd w:id="440"/>
    </w:p>
    <w:p w14:paraId="7E5554C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1" w:name="n13.3"/>
      <w:bookmarkStart w:id="442" w:name="n-1192180"/>
      <w:bookmarkEnd w:id="441"/>
      <w:bookmarkEnd w:id="442"/>
    </w:p>
    <w:p w14:paraId="2AA173C4"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13.3. Coupled Income Support for Bovine Animals</w:t>
      </w:r>
    </w:p>
    <w:p w14:paraId="0EE2DF3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3" w:name="p-1192182"/>
      <w:bookmarkEnd w:id="443"/>
    </w:p>
    <w:p w14:paraId="309A705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193. The coupled income support for bovine animals shall be granted for the following meat breed or combined (dairy–meat) breed bovine animals or bovine animals obtained from crossing animals of this breed referred to in Annex 19 to this Regulation:</w:t>
      </w:r>
      <w:bookmarkStart w:id="444" w:name="p193"/>
      <w:bookmarkEnd w:id="444"/>
    </w:p>
    <w:p w14:paraId="2FD3886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193.1. a heifer – a female bovine animal, without previous calving, that in the current year at the holding has reached the age of 16 months and has been kept there for a keeping period of six months which concludes on the day of reaching the age of 16 months;</w:t>
      </w:r>
    </w:p>
    <w:p w14:paraId="61249B0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193.2. a bull or steer that, in the current year at the holding, has reached the age of 16 months and has been kept there for a keeping period of six months which concludes on the day of reaching the age of 16 months;</w:t>
      </w:r>
    </w:p>
    <w:p w14:paraId="545B490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193.3. a suckler cow that is not milked but is used to nurse calves and that has calved in the period of two years which ends on 15 November of the current year, and that has been kept at the holding for a period of six consecutive months, starting from 15 May of the current year.</w:t>
      </w:r>
    </w:p>
    <w:p w14:paraId="4D0E9A2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5" w:name="p-1192190"/>
      <w:bookmarkEnd w:id="445"/>
    </w:p>
    <w:p w14:paraId="443D35A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194. The coupled income support for bovine animals shall be granted for a bovine animal which has been properly registered and marked, and information thereon has been provided in accordance with the procedures laid down in the laws and regulations regarding marking of farmed animals and the registration thereof.</w:t>
      </w:r>
      <w:bookmarkStart w:id="446" w:name="p194"/>
      <w:bookmarkEnd w:id="446"/>
    </w:p>
    <w:p w14:paraId="7B40B6F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7" w:name="p-1216398"/>
      <w:bookmarkEnd w:id="447"/>
    </w:p>
    <w:p w14:paraId="7CB8E7E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195. Potentially eligible bovine animals in respect of which eligibility criteria might be fulfilled in the current year in order to receive the coupled income support but in respect of which it has been established that their identification or registration in the system for the identification and registration of animals has been incorrect shall be regarded as bovine animals in respect of which irregularities have been established in accordance with Paragraph 325 of this Regulation.</w:t>
      </w:r>
      <w:bookmarkStart w:id="448" w:name="p195"/>
      <w:bookmarkEnd w:id="448"/>
    </w:p>
    <w:p w14:paraId="5CA509E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4279579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9" w:name="n13.4"/>
      <w:bookmarkStart w:id="450" w:name="n-1192194"/>
      <w:bookmarkEnd w:id="449"/>
      <w:bookmarkEnd w:id="450"/>
    </w:p>
    <w:p w14:paraId="44229EBD"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13.4. Coupled Income Support for Sheep</w:t>
      </w:r>
    </w:p>
    <w:p w14:paraId="7F3092C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1" w:name="p-1192196"/>
      <w:bookmarkEnd w:id="451"/>
    </w:p>
    <w:p w14:paraId="057C89A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196. The coupled income support for sheep may be received by a farmer if the herd contains at least three eligible ewes within a period from 1 October of the previous year until 30 September of the current year.</w:t>
      </w:r>
      <w:bookmarkStart w:id="452" w:name="p196"/>
      <w:bookmarkEnd w:id="452"/>
    </w:p>
    <w:p w14:paraId="15B9BB1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3" w:name="p-1192198"/>
      <w:bookmarkEnd w:id="453"/>
    </w:p>
    <w:p w14:paraId="114B18A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197. The coupled income support for sheep shall be granted if:</w:t>
      </w:r>
      <w:bookmarkStart w:id="454" w:name="p197"/>
      <w:bookmarkEnd w:id="454"/>
    </w:p>
    <w:p w14:paraId="08FD9A7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197.1. they lambed in the period from 1 October of the previous year until 30 September of the current year;</w:t>
      </w:r>
    </w:p>
    <w:p w14:paraId="041B418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197.2. they belong to meat breed or combined (wool–meat) breed (Annex 20) or they have been obtained by crossing any of the abovementioned breeds;</w:t>
      </w:r>
    </w:p>
    <w:p w14:paraId="24AE061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197.3. they are registered and marked, and information thereon has been provided in accordance with the procedures laid down in the laws and regulations regarding marking of farmed animals and the registration thereof;</w:t>
      </w:r>
    </w:p>
    <w:p w14:paraId="432CEB6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197.4. they are kept as part of the herd of the farmer for three consecutive months, starting from 1 March of the current year.</w:t>
      </w:r>
    </w:p>
    <w:p w14:paraId="2D4FFE6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5" w:name="p-1192208"/>
      <w:bookmarkEnd w:id="455"/>
    </w:p>
    <w:p w14:paraId="70E068E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198. Potentially eligible sheep in respect of which eligibility criteria might be fulfilled in the current year in order to receive the coupled income support but in respect of which it has been established that their identification or registration in the system for the identification and registration of animals has been incorrect shall be regarded as sheep in respect of which irregularities have been established in accordance with Paragraph 325 of this Regulation.</w:t>
      </w:r>
      <w:bookmarkStart w:id="456" w:name="p198"/>
      <w:bookmarkEnd w:id="456"/>
    </w:p>
    <w:p w14:paraId="6C2610F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7" w:name="n13.5"/>
      <w:bookmarkStart w:id="458" w:name="n-1192210"/>
      <w:bookmarkEnd w:id="457"/>
      <w:bookmarkEnd w:id="458"/>
    </w:p>
    <w:p w14:paraId="0B655E2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13.5. Coupled Income Support for Goats</w:t>
      </w:r>
    </w:p>
    <w:p w14:paraId="4AD994D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9" w:name="p-1192212"/>
      <w:bookmarkEnd w:id="459"/>
    </w:p>
    <w:p w14:paraId="18310A4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199. The coupled income support for goats may be received by a farmer if the herd contains at least three eligible mother goats in the time period from 1 October of the previous year until 30 September of the current year.</w:t>
      </w:r>
      <w:bookmarkStart w:id="460" w:name="p199"/>
      <w:bookmarkEnd w:id="460"/>
    </w:p>
    <w:p w14:paraId="2C64026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1" w:name="p-1192214"/>
      <w:bookmarkEnd w:id="461"/>
    </w:p>
    <w:p w14:paraId="13BD4DF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200. The coupled income support for goats shall be granted if:</w:t>
      </w:r>
      <w:bookmarkStart w:id="462" w:name="p200"/>
      <w:bookmarkEnd w:id="462"/>
    </w:p>
    <w:p w14:paraId="6064ABB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200.1. they lambed in the period from 1 October of the previous year until 30 September of the current year;</w:t>
      </w:r>
    </w:p>
    <w:p w14:paraId="111C3AB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200.2. they are kept as part of the herd of the farmer for three consecutive months, starting from 15 May of the current year;</w:t>
      </w:r>
    </w:p>
    <w:p w14:paraId="0304360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200.3. they are registered and marked, and information thereon has been provided in accordance with the procedures laid down in the laws and regulations regarding marking of farmed animals and the registration thereof.</w:t>
      </w:r>
    </w:p>
    <w:p w14:paraId="539A487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3" w:name="p-1192222"/>
      <w:bookmarkEnd w:id="463"/>
    </w:p>
    <w:p w14:paraId="60DB02D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201. Potentially eligible goats in respect of which eligibility criteria might be fulfilled in the current year in order to receive the coupled income support but in respect of which it has been established that their identification or registration in the system for the identification and registration of animals has been incorrect shall be regarded as goats in respect of which irregularities have been established in accordance with Paragraph 325 of this Regulation.</w:t>
      </w:r>
      <w:bookmarkStart w:id="464" w:name="p201"/>
      <w:bookmarkEnd w:id="464"/>
    </w:p>
    <w:p w14:paraId="4D086AB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5" w:name="n13.6"/>
      <w:bookmarkStart w:id="466" w:name="n-1192224"/>
      <w:bookmarkEnd w:id="465"/>
      <w:bookmarkEnd w:id="466"/>
    </w:p>
    <w:p w14:paraId="56F1BC73"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13.6. Coupled Income Support for Vegetables and for Fruits and Berries</w:t>
      </w:r>
    </w:p>
    <w:p w14:paraId="12D771C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7" w:name="p-1192226"/>
      <w:bookmarkEnd w:id="467"/>
    </w:p>
    <w:p w14:paraId="6E35A02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202. A farmer may receive the coupled income support for vegetables if:</w:t>
      </w:r>
      <w:bookmarkStart w:id="468" w:name="p202"/>
      <w:bookmarkEnd w:id="468"/>
    </w:p>
    <w:p w14:paraId="1A4D305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202.1. tomatoes, onions, shallots, chives, spring onions, Welsh onions, garlic, leek, white cabbage, cauliflower, other cabbage (except fodder kale), kohlrabi, carrots, turnip, beets, mangold (Beta vulgaris), celery, radish, black radish, parsley, parsnip, cucumber, gherkin, pumpkin, courgette, marrow, Pattypan squash, figleaf gourd, Cucurbita maxima, Cucurbita moschata, sorrel (for use in the food), rhubarb, spinach, horseradish, dill, lettuce, Jerusalem artichoke, sweet pepper, aubergine, or asparagus are cultivated in the respective area;</w:t>
      </w:r>
    </w:p>
    <w:p w14:paraId="1E433F9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202.2. the total eligible area of either one or several fields occupied by the vegetables referred to in Sub-paragraph 202.1 of this Regulation is not smaller than one hectare and it is eligible for receiving the basic income support for sustainability;</w:t>
      </w:r>
    </w:p>
    <w:p w14:paraId="14EA2A4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202.3. for an area exceeding three hectares, an accounting system has been introduced which provides the following information on the fields of each crop in the current year:</w:t>
      </w:r>
    </w:p>
    <w:p w14:paraId="766439F5"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202.3.1. name or number of the field and area;</w:t>
      </w:r>
    </w:p>
    <w:p w14:paraId="7E10623D"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202.3.2. species and variety of the cultivated crop;</w:t>
      </w:r>
    </w:p>
    <w:p w14:paraId="5595B046"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202.3.3. agrotechnical measures and the date of performing them;</w:t>
      </w:r>
    </w:p>
    <w:p w14:paraId="6A985FD8"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202.3.4. mechanical, biological, agrotechnical, or chemical plant protection measures used and also the name of the plant protection product used, dose, area treated, date of treatment, and grounds for treatment;</w:t>
      </w:r>
    </w:p>
    <w:p w14:paraId="72A1C951"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202.3.5. date of harvest and the amount of the harvest obtained.</w:t>
      </w:r>
    </w:p>
    <w:p w14:paraId="43B51F3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9" w:name="p-1192244"/>
      <w:bookmarkEnd w:id="469"/>
    </w:p>
    <w:p w14:paraId="167A4A8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203. The coupled income support for fruits and berries may be received if:</w:t>
      </w:r>
      <w:bookmarkStart w:id="470" w:name="p203"/>
      <w:bookmarkEnd w:id="470"/>
    </w:p>
    <w:p w14:paraId="6C8A11E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203.1. grapes, apple trees, pear trees, Japanese quince, sea buckthorn, sweet and sour cherries, plums, rowan trees, strawberries, high bush blueberries, cranberries, black currant, red and white currant, gooseberries, chokeberries, raspberries, blackberries, guelder rose berries, and elderberries, melons, or watermelons are cultivated in the respective area;</w:t>
      </w:r>
    </w:p>
    <w:p w14:paraId="07DEBF1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203.2. the total eligible area of either one or several fields occupied by the fruit and berry plantations referred to in Sub-paragraph 203.1 of this Regulation is not smaller than one hectare and it has been applied for the basic income support for sustainability;</w:t>
      </w:r>
    </w:p>
    <w:p w14:paraId="075590E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203.3. for an area exceeding three hectares, an accounting system has been introduced which provides the following information on the field of each crop in the current year:</w:t>
      </w:r>
    </w:p>
    <w:p w14:paraId="78A59715"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203.3.1. name or number of the field and area;</w:t>
      </w:r>
    </w:p>
    <w:p w14:paraId="03A1E94F"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203.3.2. species and variety of the cultivated crop;</w:t>
      </w:r>
    </w:p>
    <w:p w14:paraId="758025BB"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203.3.3. agrotechnical measures and the date of performing them;</w:t>
      </w:r>
    </w:p>
    <w:p w14:paraId="50347350"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203.3.4. mechanical, biological, agrotechnical, or chemical plant protection measures used and also the name of the plant protection product used, dose, area treated, date of treatment, and grounds for treatment;</w:t>
      </w:r>
    </w:p>
    <w:p w14:paraId="0738B1FC"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203.3.5. date of harvest and the amount of the harvest obtained.</w:t>
      </w:r>
    </w:p>
    <w:p w14:paraId="2510D5E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1" w:name="n13.7"/>
      <w:bookmarkStart w:id="472" w:name="n-1192262"/>
      <w:bookmarkEnd w:id="471"/>
      <w:bookmarkEnd w:id="472"/>
    </w:p>
    <w:p w14:paraId="11EBECF2"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13.7. Coupled Income Support for Starch Potatoes</w:t>
      </w:r>
    </w:p>
    <w:p w14:paraId="22EDBF7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3" w:name="p-1192264"/>
      <w:bookmarkEnd w:id="473"/>
    </w:p>
    <w:p w14:paraId="15D6A02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204. The coupled income support for starch potatoes may be received by a farmer who has concluded a potato cultivation contract with the starch producer in respect of a specific area of starch potato plantation and the supply of a certain amount of potatoes in the current year.</w:t>
      </w:r>
      <w:bookmarkStart w:id="474" w:name="p204"/>
      <w:bookmarkEnd w:id="474"/>
    </w:p>
    <w:p w14:paraId="65CBD2C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5" w:name="p-1192266"/>
      <w:bookmarkEnd w:id="475"/>
    </w:p>
    <w:p w14:paraId="57624D3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205. A farmer may receive the coupled income support for starch potatoes if:</w:t>
      </w:r>
      <w:bookmarkStart w:id="476" w:name="p205"/>
      <w:bookmarkEnd w:id="476"/>
    </w:p>
    <w:p w14:paraId="713871B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205.1. the total eligible area of either one or several fields occupied by starch potatoes is not smaller than one hectare and it is eligible for receiving the basic income support for sustainability;</w:t>
      </w:r>
    </w:p>
    <w:p w14:paraId="1D708C8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205.2. at least 3.5 tonnes of potato starch have been obtained from starch potatoes harvested from one hectare and supplied to the starch producer.</w:t>
      </w:r>
    </w:p>
    <w:p w14:paraId="01CBA5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7" w:name="p-1192272"/>
      <w:bookmarkEnd w:id="477"/>
    </w:p>
    <w:p w14:paraId="7CAA611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206. The maximum number of hectares for which a farmer is entitled to receive support shall not exceed the number of hectares occupied by starch potatoes specified in the contract referred to in Paragraph 204 of this Regulation and the number which is determined by dividing the amount of potato starch obtained from potatoes supplied to potato starch producer in the current year by 3.5.</w:t>
      </w:r>
      <w:bookmarkStart w:id="478" w:name="p206"/>
      <w:bookmarkEnd w:id="478"/>
    </w:p>
    <w:p w14:paraId="2F5BE5A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9" w:name="p-1192274"/>
      <w:bookmarkEnd w:id="479"/>
    </w:p>
    <w:p w14:paraId="73864C3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207. The starch producer shall, by 1 December of the current year, submit a copy of the contract referred to in Paragraph 204 of this Regulation to the Rural Support Service.</w:t>
      </w:r>
      <w:bookmarkStart w:id="480" w:name="p207"/>
      <w:bookmarkEnd w:id="480"/>
    </w:p>
    <w:p w14:paraId="0228148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1" w:name="p-1192276"/>
      <w:bookmarkEnd w:id="481"/>
    </w:p>
    <w:p w14:paraId="56A7905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208. The amount of potato starch in tonnes referred to in Paragraph 206 of this Regulation shall be determined by the Rural Support Service on the basis of net weight of the supplied potato cargo and underwater weight determined for potatoes which has been announced in accordance with Paragraph 210 of this Regulation. The amount of potato starch in tonnes per each supplied cargo shall be calculated by dividing the net weight of potatoes (kilograms) with the amount of potatoes corresponding to the underwater weight specified in Annex 21 to this Regulation which is necessary to obtain one tonne of potato starch.</w:t>
      </w:r>
      <w:bookmarkStart w:id="482" w:name="p208"/>
      <w:bookmarkEnd w:id="482"/>
    </w:p>
    <w:p w14:paraId="755A81D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3" w:name="p-1192278"/>
      <w:bookmarkEnd w:id="483"/>
    </w:p>
    <w:p w14:paraId="2C3463E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209. Net weight of potatoes, required for the calculation of the amount of potato starch, shall be determined by the starch producer at the specified delivery time and place as follows:</w:t>
      </w:r>
      <w:bookmarkStart w:id="484" w:name="p209"/>
      <w:bookmarkEnd w:id="484"/>
    </w:p>
    <w:p w14:paraId="70E9A1B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209.1. gross weight of potatoes for each cargo shall be determined during delivery time by comparing the weight of a loaded and empty vehicle;</w:t>
      </w:r>
    </w:p>
    <w:p w14:paraId="4DED823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209.2. net weight of potatoes shall be determined by taking samples during acceptance of potatoes. Prior to weighing an empty vehicle, the remains of soil shall be removed from the vehicle. In order to determine the weight, the weight of the sample shall be at least 20 kilograms. Tubers shall be washed, foreign particles shall be removed and weighing shall be repeated. The registered weight shall be reduced by two per cent, taking into account the amount of water absorbed while washing tubers. The obtained overall reduction shall be applied to 1000 kilograms of potatoes.</w:t>
      </w:r>
    </w:p>
    <w:p w14:paraId="2BA902F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5" w:name="p-1192284"/>
      <w:bookmarkEnd w:id="485"/>
    </w:p>
    <w:p w14:paraId="0DE4BF0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210. The starch producer shall, by 1 December of the current year, submit at least the following information to the Rural Support Service for each delivered cargo of potatoes:</w:t>
      </w:r>
      <w:bookmarkStart w:id="486" w:name="p210"/>
      <w:bookmarkEnd w:id="486"/>
    </w:p>
    <w:p w14:paraId="1B80AFC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210.1. the delivery date;</w:t>
      </w:r>
    </w:p>
    <w:p w14:paraId="32E44F6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210.2. the number of the supporting document;</w:t>
      </w:r>
    </w:p>
    <w:p w14:paraId="7BC690F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210.3. the number of the cultivation contract;</w:t>
      </w:r>
    </w:p>
    <w:p w14:paraId="0BB3FAD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210.4. the given name and surname or the trading name and address of the potato cultivator;</w:t>
      </w:r>
    </w:p>
    <w:p w14:paraId="12AB036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210.5. the weight of the vehicle after arrival at the delivery place specified by the starch producer;</w:t>
      </w:r>
    </w:p>
    <w:p w14:paraId="45AED64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210.6. the weight of the vehicle after unloading and removal of the remains of soil;</w:t>
      </w:r>
    </w:p>
    <w:p w14:paraId="5F5EE9F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210.7. the gross weight of the delivered cargo;</w:t>
      </w:r>
    </w:p>
    <w:p w14:paraId="5742547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210.8. the reduction of gross weight of the delivered cargo in per cent, taking into account the weight of foreign particles and absorbed water at the moment of washing the potatoes;</w:t>
      </w:r>
    </w:p>
    <w:p w14:paraId="26B01C4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210.9. the reduction of gross weight of the delivered cargo due to the weight of foreign particles;</w:t>
      </w:r>
    </w:p>
    <w:p w14:paraId="4D3878C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210.10. the overall net weight of potatoes of the delivered cargo;</w:t>
      </w:r>
    </w:p>
    <w:p w14:paraId="0A7D2BC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210.11. the underwater weight of 5050 grams of potatoes.</w:t>
      </w:r>
    </w:p>
    <w:p w14:paraId="7F0441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7" w:name="p-1192308"/>
      <w:bookmarkEnd w:id="487"/>
    </w:p>
    <w:p w14:paraId="616352B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211. The starch producer shall inform the Rural Support Service thereof within five working days prior to the season of starch potato acceptance and shall ensure access to the acceptance process and accounting information.</w:t>
      </w:r>
      <w:bookmarkStart w:id="488" w:name="p211"/>
      <w:bookmarkEnd w:id="488"/>
    </w:p>
    <w:p w14:paraId="3A68C99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9" w:name="p-1192310"/>
      <w:bookmarkEnd w:id="489"/>
    </w:p>
    <w:p w14:paraId="610A658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212. In order for the Rural Support Service to be able to ascertain the amount of starch potatoes delivered to the starch producer, a farmer shall, upon request, submit evidence of the delivery of starch potatoes to the starch producer and provide the Rural Support Service with access to the accounting information of the holding.</w:t>
      </w:r>
      <w:bookmarkStart w:id="490" w:name="p212"/>
      <w:bookmarkEnd w:id="490"/>
    </w:p>
    <w:p w14:paraId="66E66E7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1" w:name="n13.8"/>
      <w:bookmarkStart w:id="492" w:name="n-1192312"/>
      <w:bookmarkEnd w:id="491"/>
      <w:bookmarkEnd w:id="492"/>
    </w:p>
    <w:p w14:paraId="3128DDCB"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13.8. Coupled Income Support for Certified Seed Potatoes</w:t>
      </w:r>
    </w:p>
    <w:p w14:paraId="07D1735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3" w:name="p-1192314"/>
      <w:bookmarkEnd w:id="493"/>
    </w:p>
    <w:p w14:paraId="0941913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213. The coupled income support for certified seed potatoes may be received if:</w:t>
      </w:r>
      <w:bookmarkStart w:id="494" w:name="p213"/>
      <w:bookmarkEnd w:id="494"/>
    </w:p>
    <w:p w14:paraId="336DAE7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213.1. prebase, base, or certified category first generation seed potatoes are sown in the relevant area;</w:t>
      </w:r>
    </w:p>
    <w:p w14:paraId="11CA2AB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213.2. the requirements for seed potato growing are fulfilled in accordance with the laws and regulations regarding seed potato growing, including at least 10.3 tonnes or, in respect of the areas included in the control system for organic farming, at least 8.0 tonnes of prebase, basic, or certified category seed have been obtained on average at the holding per hectare applied for field inspection by 15 May of the following year;</w:t>
      </w:r>
    </w:p>
    <w:p w14:paraId="13D5D6D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213.3. the total eligible area of either one or several fields occupied by seed potatoes is not smaller than one hectare and it is eligible for receiving the basic income support for sustainability.</w:t>
      </w:r>
    </w:p>
    <w:p w14:paraId="0D9FFBE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5" w:name="p-1192322"/>
      <w:bookmarkEnd w:id="495"/>
    </w:p>
    <w:p w14:paraId="4D909CA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214. A farmer shall, when applying the area of seed potatoes for field inspection with the State Plant Protection Service, specify the field number and the number of field block in the seed growing field inspection application in conformity with the geo-spatial application submitted to the Rural Support Service in accordance with Paragraph 241 of this Regulation.</w:t>
      </w:r>
      <w:bookmarkStart w:id="496" w:name="p214"/>
      <w:bookmarkEnd w:id="496"/>
    </w:p>
    <w:p w14:paraId="3FD749B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7" w:name="p-1192324"/>
      <w:bookmarkEnd w:id="497"/>
    </w:p>
    <w:p w14:paraId="4133425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215. The area applied for the coupled income support for certified seed potatoes shall be an area that has been applied in the geo-spatial application for the relevant support and that has been applied for seed potato field inspection with the State Plant Protection Service.</w:t>
      </w:r>
      <w:bookmarkStart w:id="498" w:name="p215"/>
      <w:bookmarkEnd w:id="498"/>
    </w:p>
    <w:p w14:paraId="668546D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9" w:name="p-1192326"/>
      <w:bookmarkEnd w:id="499"/>
    </w:p>
    <w:p w14:paraId="21FC9A2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216. The State Plant Protection Service shall, by 15 May of the following year, submit to the Rural Support Service information on the quantity of seed potatoes produced by the farmer in the current year and certified by 15 May of the following year.</w:t>
      </w:r>
      <w:bookmarkStart w:id="500" w:name="p216"/>
      <w:bookmarkEnd w:id="500"/>
    </w:p>
    <w:p w14:paraId="72B1918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1" w:name="p-1192328"/>
      <w:bookmarkEnd w:id="501"/>
    </w:p>
    <w:p w14:paraId="21296C1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217. The area of seed potatoes which does not meet the requirements laid down in the laws and regulations regarding seed potato growing shall be regarded as such area of seed potatoes in respect of which the overdeclaration referred to in Paragraph 315 of this Regulation has been established and is subject to the application of the reduction of support, unless the non-compliance has occurred due to force majeure or exceptional circumstances, in particular, if the latter is caused by a disease, pests, and heavy weather. After establishing the occurrence of force majeure or exceptional circumstances, a farmer shall take photographs to prove this and shall, without delay, inform the State Plant Protection Service.</w:t>
      </w:r>
      <w:bookmarkStart w:id="502" w:name="p217"/>
      <w:bookmarkEnd w:id="502"/>
    </w:p>
    <w:p w14:paraId="4D25A70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548C7"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503" w:name="n13.9"/>
      <w:bookmarkStart w:id="504" w:name="n-1192330"/>
      <w:bookmarkEnd w:id="503"/>
      <w:bookmarkEnd w:id="504"/>
      <w:r w:rsidRPr="006F5A86">
        <w:rPr>
          <w:rFonts w:ascii="Times New Roman" w:hAnsi="Times New Roman"/>
          <w:b/>
          <w:noProof/>
          <w:kern w:val="0"/>
          <w:sz w:val="24"/>
          <w:lang w:val="en-US"/>
        </w:rPr>
        <w:t>13.9. Coupled Income Support for Certified Cereal Seeds</w:t>
      </w:r>
    </w:p>
    <w:p w14:paraId="6C45CB9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5" w:name="p-1192332"/>
      <w:bookmarkEnd w:id="505"/>
    </w:p>
    <w:p w14:paraId="4CA03CC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218. The coupled income support for certified cereal seeds may be received if:</w:t>
      </w:r>
      <w:bookmarkStart w:id="506" w:name="p218"/>
      <w:bookmarkEnd w:id="506"/>
    </w:p>
    <w:p w14:paraId="3A480E09"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218.1. wheat (</w:t>
      </w:r>
      <w:r w:rsidRPr="006F5A86">
        <w:rPr>
          <w:rFonts w:ascii="Times New Roman" w:hAnsi="Times New Roman"/>
          <w:i/>
          <w:iCs/>
          <w:noProof/>
          <w:kern w:val="0"/>
          <w:sz w:val="24"/>
          <w:lang w:val="en-US"/>
        </w:rPr>
        <w:t>Triticum aestivum L., Triticum spelta L.</w:t>
      </w:r>
      <w:r w:rsidRPr="006F5A86">
        <w:rPr>
          <w:rFonts w:ascii="Times New Roman" w:hAnsi="Times New Roman"/>
          <w:noProof/>
          <w:kern w:val="0"/>
          <w:sz w:val="24"/>
          <w:lang w:val="en-US"/>
        </w:rPr>
        <w:t>), rye (</w:t>
      </w:r>
      <w:r w:rsidRPr="006F5A86">
        <w:rPr>
          <w:rFonts w:ascii="Times New Roman" w:hAnsi="Times New Roman"/>
          <w:i/>
          <w:noProof/>
          <w:kern w:val="0"/>
          <w:sz w:val="24"/>
          <w:lang w:val="en-US"/>
        </w:rPr>
        <w:t>Secale cereale </w:t>
      </w:r>
      <w:r w:rsidRPr="006F5A86">
        <w:rPr>
          <w:rFonts w:ascii="Times New Roman" w:hAnsi="Times New Roman"/>
          <w:noProof/>
          <w:kern w:val="0"/>
          <w:sz w:val="24"/>
          <w:lang w:val="en-US"/>
        </w:rPr>
        <w:t>L.), triticale (</w:t>
      </w:r>
      <w:r w:rsidRPr="006F5A86">
        <w:rPr>
          <w:rFonts w:ascii="Times New Roman" w:hAnsi="Times New Roman"/>
          <w:i/>
          <w:noProof/>
          <w:kern w:val="0"/>
          <w:sz w:val="24"/>
          <w:lang w:val="en-US"/>
        </w:rPr>
        <w:t>Triticosecale Wittm</w:t>
      </w:r>
      <w:r w:rsidRPr="006F5A86">
        <w:rPr>
          <w:rFonts w:ascii="Times New Roman" w:hAnsi="Times New Roman"/>
          <w:noProof/>
          <w:kern w:val="0"/>
          <w:sz w:val="24"/>
          <w:lang w:val="en-US"/>
        </w:rPr>
        <w:t>), barley (</w:t>
      </w:r>
      <w:r w:rsidRPr="006F5A86">
        <w:rPr>
          <w:rFonts w:ascii="Times New Roman" w:hAnsi="Times New Roman"/>
          <w:i/>
          <w:noProof/>
          <w:kern w:val="0"/>
          <w:sz w:val="24"/>
          <w:lang w:val="en-US"/>
        </w:rPr>
        <w:t>Hordeum vulgare </w:t>
      </w:r>
      <w:r w:rsidRPr="006F5A86">
        <w:rPr>
          <w:rFonts w:ascii="Times New Roman" w:hAnsi="Times New Roman"/>
          <w:noProof/>
          <w:kern w:val="0"/>
          <w:sz w:val="24"/>
          <w:lang w:val="en-US"/>
        </w:rPr>
        <w:t>L.), oats (</w:t>
      </w:r>
      <w:r w:rsidRPr="006F5A86">
        <w:rPr>
          <w:rFonts w:ascii="Times New Roman" w:hAnsi="Times New Roman"/>
          <w:i/>
          <w:iCs/>
          <w:noProof/>
          <w:kern w:val="0"/>
          <w:sz w:val="24"/>
          <w:lang w:val="en-US"/>
        </w:rPr>
        <w:t>Avena sativa L., Avena byzantina K. Koch, </w:t>
      </w:r>
      <w:r w:rsidRPr="006F5A86">
        <w:rPr>
          <w:rFonts w:ascii="Times New Roman" w:hAnsi="Times New Roman"/>
          <w:i/>
          <w:noProof/>
          <w:kern w:val="0"/>
          <w:sz w:val="24"/>
          <w:lang w:val="en-US"/>
        </w:rPr>
        <w:t>Avena nuda </w:t>
      </w:r>
      <w:r w:rsidRPr="006F5A86">
        <w:rPr>
          <w:rFonts w:ascii="Times New Roman" w:hAnsi="Times New Roman"/>
          <w:noProof/>
          <w:kern w:val="0"/>
          <w:sz w:val="24"/>
          <w:lang w:val="en-US"/>
        </w:rPr>
        <w:t>L.), and buckwheat (</w:t>
      </w:r>
      <w:r w:rsidRPr="006F5A86">
        <w:rPr>
          <w:rFonts w:ascii="Times New Roman" w:hAnsi="Times New Roman"/>
          <w:i/>
          <w:noProof/>
          <w:kern w:val="0"/>
          <w:sz w:val="24"/>
          <w:lang w:val="en-US"/>
        </w:rPr>
        <w:t>Fagopyrum esculentum Moench</w:t>
      </w:r>
      <w:r w:rsidRPr="006F5A86">
        <w:rPr>
          <w:rFonts w:ascii="Times New Roman" w:hAnsi="Times New Roman"/>
          <w:noProof/>
          <w:kern w:val="0"/>
          <w:sz w:val="24"/>
          <w:lang w:val="en-US"/>
        </w:rPr>
        <w:t>) are cultivated in the respective area;</w:t>
      </w:r>
    </w:p>
    <w:p w14:paraId="794F392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218.2. the requirements for cereal seed growing are fulfilled in accordance with the laws and regulations regarding cereal seed growing, including the quantity of PB, B, and C category seeds of the relevant species specified in Annex 22 to this Regulation has been obtained by 15 May of the following year on average at the holding per hectare applied for field inspection;</w:t>
      </w:r>
    </w:p>
    <w:p w14:paraId="6F50446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218.3. the total eligible area of fields occupied by cereal seeds is not smaller than one hectare and it is eligible for receiving the basic income support for sustainability;</w:t>
      </w:r>
    </w:p>
    <w:p w14:paraId="755C853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218.4. the relevant area has not been applied for another coupled income support in respect of areas.</w:t>
      </w:r>
    </w:p>
    <w:p w14:paraId="796FADE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7" w:name="p-1192342"/>
      <w:bookmarkEnd w:id="507"/>
    </w:p>
    <w:p w14:paraId="4C6F5AC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219. A farmer shall, when applying the area of cereal seeds for field inspection with the State Plant Protection Service, specify the field number and the number of field block in the seed growing field inspection application in conformity with the geo-spatial application submitted to the Rural Support Service.</w:t>
      </w:r>
      <w:bookmarkStart w:id="508" w:name="p219"/>
      <w:bookmarkEnd w:id="508"/>
    </w:p>
    <w:p w14:paraId="66FB22E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9" w:name="p-1192344"/>
      <w:bookmarkEnd w:id="509"/>
    </w:p>
    <w:p w14:paraId="4B767C6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220. The area applied for the coupled income support for certified cereal seeds shall be an area that has been applied in the geo-spatial application for the relevant support and that has been applied for cereal seed growing field inspection with the State Plant Protection Service.</w:t>
      </w:r>
      <w:bookmarkStart w:id="510" w:name="p220"/>
      <w:bookmarkEnd w:id="510"/>
    </w:p>
    <w:p w14:paraId="1B8FC47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1" w:name="p-1192346"/>
      <w:bookmarkEnd w:id="511"/>
    </w:p>
    <w:p w14:paraId="757056B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221. The State Plant Protection Service shall, by 15 May of the following year, submit to the Rural Support Service information on the quantity of the relevant species and variety seed produced by the farmer in the current year and certified by 15 May of the following year.</w:t>
      </w:r>
      <w:bookmarkStart w:id="512" w:name="p221"/>
      <w:bookmarkEnd w:id="512"/>
    </w:p>
    <w:p w14:paraId="71BC0D7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3" w:name="p-1192348"/>
      <w:bookmarkEnd w:id="513"/>
    </w:p>
    <w:p w14:paraId="565C62D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222. If the seed produced in the current year has been certified in another European Union Member State, a farmer shall, by 15 April of the following year, submit to the Rural Support Service the document on the quantity of cereal seed produced in the current year and certified by 15 April of the following year which has been issued by the institution responsible for the certification of seeds in the relevant European Union Member State.</w:t>
      </w:r>
      <w:bookmarkStart w:id="514" w:name="p222"/>
      <w:bookmarkEnd w:id="514"/>
    </w:p>
    <w:p w14:paraId="3149CF1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5" w:name="p-1192350"/>
      <w:bookmarkEnd w:id="515"/>
    </w:p>
    <w:p w14:paraId="779B7E0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223. The area for growing cereal seed which does not meet the requirements laid down in the laws and regulations regarding cereal seed growing shall be regarded as such area in respect of which the overdeclaration referred to in Paragraph 315 of this Regulation has been established and shall be subject to the application of the reduction of support, unless the non-compliance has occurred due to force majeure or exceptional circumstances, in particular, if the latter is caused by a disease, pests, and heavy weather. After establishing the occurrence of force majeure or exceptional circumstances, a farmer shall take photographs to prove this and shall, without delay, inform the State Plant Protection Service.</w:t>
      </w:r>
      <w:bookmarkStart w:id="516" w:name="p223"/>
      <w:bookmarkEnd w:id="516"/>
    </w:p>
    <w:p w14:paraId="233E9B0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7" w:name="n13.10"/>
      <w:bookmarkStart w:id="518" w:name="n-1192352"/>
      <w:bookmarkEnd w:id="517"/>
      <w:bookmarkEnd w:id="518"/>
    </w:p>
    <w:p w14:paraId="33CD1B5A" w14:textId="77777777" w:rsidR="006F5A86" w:rsidRPr="006F5A86" w:rsidRDefault="006F5A86" w:rsidP="006F5A86">
      <w:pPr>
        <w:keepNext/>
        <w:keepLines/>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13.10. Coupled Income Support for Certified Seed of Grasses and Fodder Crops</w:t>
      </w:r>
    </w:p>
    <w:p w14:paraId="5E9F290E" w14:textId="77777777" w:rsidR="006F5A86" w:rsidRPr="006F5A86" w:rsidRDefault="006F5A86" w:rsidP="006F5A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9" w:name="p-1192354"/>
      <w:bookmarkEnd w:id="519"/>
    </w:p>
    <w:p w14:paraId="1AF6E45E"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224. The coupled income support for certified seed of grasses and fodder crops may be received if:</w:t>
      </w:r>
      <w:bookmarkStart w:id="520" w:name="p224"/>
      <w:bookmarkEnd w:id="520"/>
    </w:p>
    <w:p w14:paraId="0CA39B4E"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224.1. timothy grass, meadow fescue, festulolium, Italian ryegrass, red fescue, perennial ryegrass, tall fescue, smooth-stalk meadowgrass, cocksfoot, hybrid ryegrass, red clover, white clover, goat’s rue, lucerne, alsike clover, phacelia, birdsfoot trefoil, peas, vetches, field beans, lupine (sweet or yellow, white, or narrow-leaved), or sainfoin are cultivated in the respective area;</w:t>
      </w:r>
    </w:p>
    <w:p w14:paraId="7B89B8C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224.2. the requirements for grasses and fodder crops growing are fulfilled in accordance with the laws and regulations regarding fodder crop seed growing, including the quantity of PB, B, and C category seeds of the relevant species specified in Annex 22 to this Regulation has been obtained at least on average at the holding per hectare applied for field inspection by 15 May of the following year;</w:t>
      </w:r>
    </w:p>
    <w:p w14:paraId="6D839CE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224.3. the total eligible area of fields occupied by grasses and fodder crops is not smaller than one hectare and it is eligible for receiving the basic income support for sustainability;</w:t>
      </w:r>
    </w:p>
    <w:p w14:paraId="6D26999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224.4. the relevant area has not been applied for another coupled income support in respect of areas.</w:t>
      </w:r>
    </w:p>
    <w:p w14:paraId="7CDF09B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1" w:name="p-1192365"/>
      <w:bookmarkEnd w:id="521"/>
    </w:p>
    <w:p w14:paraId="1383FBC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225. A farmer shall, when applying the area of grasses and fodder crops for field inspection with the State Plant Protection Service, specify the field number and the number of field block in the seed growing field inspection application in conformity with the geo-spatial application submitted to the Rural Support Service in accordance with Paragraph 241 of this Regulation.</w:t>
      </w:r>
      <w:bookmarkStart w:id="522" w:name="p225"/>
      <w:bookmarkEnd w:id="522"/>
    </w:p>
    <w:p w14:paraId="495E125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3" w:name="p-1192366"/>
      <w:bookmarkEnd w:id="523"/>
    </w:p>
    <w:p w14:paraId="38F1D39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226. The area applied for the coupled income support for certified seed of grasses and fodder crops shall be an area that has been applied in the geo-spatial application for the relevant support and that has been applied for grass and fodder crop field inspection with the State Plant Protection Service.</w:t>
      </w:r>
      <w:bookmarkStart w:id="524" w:name="p226"/>
      <w:bookmarkEnd w:id="524"/>
    </w:p>
    <w:p w14:paraId="3050299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5" w:name="p-1192368"/>
      <w:bookmarkEnd w:id="525"/>
    </w:p>
    <w:p w14:paraId="0E5873D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227. The State Plant Protection Service shall, by 15 May of the following year, submit to the Rural Support Service information on the quantity of the relevant species and variety seed produced by the farmer in the current year and certified by 15 May of the following year.</w:t>
      </w:r>
      <w:bookmarkStart w:id="526" w:name="p227"/>
      <w:bookmarkEnd w:id="526"/>
    </w:p>
    <w:p w14:paraId="72613E8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7" w:name="p-1192370"/>
      <w:bookmarkEnd w:id="527"/>
    </w:p>
    <w:p w14:paraId="17A95E3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228. If the seed produced in the current year has been certified in another European Union Member State, a farmer shall, by 15 April of the following year, submit to the Rural Support Service the document on the quantity of the grass and fodder crop seed produced in the current year and certified by 15 April of the following year which has been issued by the institution responsible for the certification of seeds in the relevant European Union Member State.</w:t>
      </w:r>
      <w:bookmarkStart w:id="528" w:name="p228"/>
      <w:bookmarkEnd w:id="528"/>
    </w:p>
    <w:p w14:paraId="579070C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9" w:name="p-1192372"/>
      <w:bookmarkEnd w:id="529"/>
    </w:p>
    <w:p w14:paraId="5B431B0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229. The area for growing grasses and fodder crops which does not meet the requirements laid down in the laws and regulations regarding fodder crop seed growing shall be regarded as such area in respect of which the overdeclaration referred to in Paragraph 315 of this Regulation has been established and shall be subject to the application of the reduction of support, unless the non-compliance has occurred due to force majeure or exceptional circumstances, in particular, if the latter is caused by a disease, pests, and heavy weather. After establishing the occurrence of force majeure or exceptional circumstances, a farmer shall take photographs to prove this and shall, without delay, inform the State Plant Protection Service.</w:t>
      </w:r>
      <w:bookmarkStart w:id="530" w:name="p229"/>
      <w:bookmarkEnd w:id="530"/>
    </w:p>
    <w:p w14:paraId="3870666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58A95" w14:textId="77777777" w:rsidR="006F5A86" w:rsidRPr="006F5A86" w:rsidRDefault="006F5A86" w:rsidP="006F5A86">
      <w:pPr>
        <w:keepNext/>
        <w:keepLines/>
        <w:shd w:val="clear" w:color="auto" w:fill="FFFFFF"/>
        <w:spacing w:after="0" w:line="240" w:lineRule="auto"/>
        <w:jc w:val="center"/>
        <w:rPr>
          <w:rFonts w:ascii="Times New Roman" w:hAnsi="Times New Roman"/>
          <w:b/>
          <w:noProof/>
          <w:kern w:val="0"/>
          <w:sz w:val="24"/>
          <w:lang w:val="en-US"/>
        </w:rPr>
      </w:pPr>
      <w:bookmarkStart w:id="531" w:name="n13.11"/>
      <w:bookmarkStart w:id="532" w:name="n-1192375"/>
      <w:bookmarkEnd w:id="531"/>
      <w:bookmarkEnd w:id="532"/>
      <w:r w:rsidRPr="006F5A86">
        <w:rPr>
          <w:rFonts w:ascii="Times New Roman" w:hAnsi="Times New Roman"/>
          <w:b/>
          <w:noProof/>
          <w:kern w:val="0"/>
          <w:sz w:val="24"/>
          <w:lang w:val="en-US"/>
        </w:rPr>
        <w:t>13.11. Coupled Income Support for Spring Rape and Turnip Rape and Coupled Income Support for Barley</w:t>
      </w:r>
    </w:p>
    <w:p w14:paraId="14725810" w14:textId="77777777" w:rsidR="006F5A86" w:rsidRPr="006F5A86" w:rsidRDefault="006F5A86" w:rsidP="006F5A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3" w:name="p-1192376"/>
      <w:bookmarkEnd w:id="533"/>
    </w:p>
    <w:p w14:paraId="01A920CD" w14:textId="77777777" w:rsidR="006F5A86" w:rsidRPr="006F5A86" w:rsidRDefault="006F5A86" w:rsidP="006F5A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230. A farmer may receive the coupled income support for spring rape and turnip rape if the total eligible area of fields occupied by spring rape (</w:t>
      </w:r>
      <w:r w:rsidRPr="006F5A86">
        <w:rPr>
          <w:rFonts w:ascii="Times New Roman" w:hAnsi="Times New Roman"/>
          <w:i/>
          <w:iCs/>
          <w:noProof/>
          <w:kern w:val="0"/>
          <w:sz w:val="24"/>
          <w:lang w:val="en-US"/>
        </w:rPr>
        <w:t>Brassica napus subsp. napus f. annua</w:t>
      </w:r>
      <w:r w:rsidRPr="006F5A86">
        <w:rPr>
          <w:rFonts w:ascii="Times New Roman" w:hAnsi="Times New Roman"/>
          <w:noProof/>
          <w:kern w:val="0"/>
          <w:sz w:val="24"/>
          <w:lang w:val="en-US"/>
        </w:rPr>
        <w:t>) and turnip rape (</w:t>
      </w:r>
      <w:r w:rsidRPr="006F5A86">
        <w:rPr>
          <w:rFonts w:ascii="Times New Roman" w:hAnsi="Times New Roman"/>
          <w:i/>
          <w:iCs/>
          <w:noProof/>
          <w:kern w:val="0"/>
          <w:sz w:val="24"/>
          <w:lang w:val="en-US"/>
        </w:rPr>
        <w:t>Brassica rapa</w:t>
      </w:r>
      <w:r w:rsidRPr="006F5A86">
        <w:rPr>
          <w:rFonts w:ascii="Times New Roman" w:hAnsi="Times New Roman"/>
          <w:noProof/>
          <w:kern w:val="0"/>
          <w:sz w:val="24"/>
          <w:lang w:val="en-US"/>
        </w:rPr>
        <w:t>) is not smaller than one hectare and it is eligible for receiving the basic income support for sustainability.</w:t>
      </w:r>
      <w:bookmarkStart w:id="534" w:name="p230"/>
      <w:bookmarkEnd w:id="534"/>
    </w:p>
    <w:p w14:paraId="505C1AC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5" w:name="p-1192379"/>
      <w:bookmarkEnd w:id="535"/>
    </w:p>
    <w:p w14:paraId="787C615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231. A farmer may receive the coupled income support for barley if:</w:t>
      </w:r>
      <w:bookmarkStart w:id="536" w:name="p231"/>
      <w:bookmarkEnd w:id="536"/>
    </w:p>
    <w:p w14:paraId="56AF477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231.1. the total eligible area of fields occupied by barley is not smaller than one hectare and it is eligible for receiving the basic income support for sustainability;</w:t>
      </w:r>
    </w:p>
    <w:p w14:paraId="1D5623B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231.2. the relevant area has not been applied for another voluntary coupled support in respect of areas.</w:t>
      </w:r>
    </w:p>
    <w:p w14:paraId="0CA4B16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7" w:name="n13.12"/>
      <w:bookmarkStart w:id="538" w:name="n-1192384"/>
      <w:bookmarkEnd w:id="537"/>
      <w:bookmarkEnd w:id="538"/>
    </w:p>
    <w:p w14:paraId="25372778"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13.12. Coupled Income Support for Rye Population Varieties</w:t>
      </w:r>
    </w:p>
    <w:p w14:paraId="4FF1F90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9" w:name="p-1192387"/>
      <w:bookmarkEnd w:id="539"/>
    </w:p>
    <w:p w14:paraId="10EAE0C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232. A farmer may receive the coupled income support for rye population varieties if:</w:t>
      </w:r>
      <w:bookmarkStart w:id="540" w:name="p232"/>
      <w:bookmarkEnd w:id="540"/>
    </w:p>
    <w:p w14:paraId="1DBEE3D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232.1. rye population varieties are sown and grown in the relevant area and they are included in the Common Catalogue of Varieties of Agricultural Plant Species on 15 March of the current year and the official label of the seed package confirms the purchase of certified seed or, if the seed has been obtained in own seed growing holding in Latvia, the seed test report issued by the State Plant Protection Service confirms that the seed lot conforms to the requirements laid down in the laws and regulations regarding growing and marketing of cereal seed specified for the relevant category or there is another proof of origin of certified seed confirming the variety and purchase of certified seed in the period of the previous four years;</w:t>
      </w:r>
    </w:p>
    <w:p w14:paraId="3F37F1B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232.2. the total eligible area of fields occupied by rye population varieties referred to in Sub-paragraph 232.1 of this Regulation is not smaller than one hectare and it is eligible for receiving the basic income support for sustainability;</w:t>
      </w:r>
    </w:p>
    <w:p w14:paraId="604008C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232.3. a contract for the delivery of rye population varieties has been concluded in the current year with the bread producer or grain processor who has concluded a contract with the bread producer;</w:t>
      </w:r>
    </w:p>
    <w:p w14:paraId="139E000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232.4. the relevant area has not been applied for another voluntary coupled support in respect of areas.</w:t>
      </w:r>
    </w:p>
    <w:p w14:paraId="2F73F3C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1" w:name="p-1192396"/>
      <w:bookmarkEnd w:id="541"/>
    </w:p>
    <w:p w14:paraId="0E5C982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233. In addition to the geo-spatial application submitted to the Rural Support Service, a farmer who applies for the coupled income support for rye population varieties shall, by 22 May of the current year, submit the following:</w:t>
      </w:r>
      <w:bookmarkStart w:id="542" w:name="p233"/>
      <w:bookmarkEnd w:id="542"/>
    </w:p>
    <w:p w14:paraId="1144D44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233.1. a document certifying the origin of the seed as provided for in Sub-paragraph 232.1 of this Regulation if the latter is not at the disposal of the Rural Support Service;</w:t>
      </w:r>
    </w:p>
    <w:p w14:paraId="188F5FD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233.2. a contract for the delivery of rye population varieties referred to in Sub-paragraph 232.3 of this Regulation. If the farmer has concluded a contract for the delivery of rye population varieties with the grain processor, this shall include a certification that the grain processor has concluded a contract with the bread producer.</w:t>
      </w:r>
    </w:p>
    <w:p w14:paraId="4F5B69C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3" w:name="p-1192402"/>
      <w:bookmarkEnd w:id="543"/>
    </w:p>
    <w:p w14:paraId="00F4FDF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234. The maximum number of hectares for which a farmer is eligible for receiving the support shall not exceed the number of hectares determined by dividing the quantity of rye population varieties in kilograms determined in accordance with the procedures laid down in Sub-paragraph 232.1 of this Regulation by 40 and the number of eligible hectares.</w:t>
      </w:r>
      <w:bookmarkStart w:id="544" w:name="p234"/>
      <w:bookmarkEnd w:id="544"/>
    </w:p>
    <w:p w14:paraId="51C0837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5" w:name="p-1192404"/>
      <w:bookmarkEnd w:id="545"/>
    </w:p>
    <w:p w14:paraId="61803AA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235. The Rural Support Service shall check the conformity of the area at the holding with the requirements referred to in Sub-paragraph 232.1 of this Regulation.</w:t>
      </w:r>
      <w:bookmarkStart w:id="546" w:name="p235"/>
      <w:bookmarkEnd w:id="546"/>
    </w:p>
    <w:p w14:paraId="0F58115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7" w:name="n13.13"/>
      <w:bookmarkStart w:id="548" w:name="n-1192407"/>
      <w:bookmarkEnd w:id="547"/>
      <w:bookmarkEnd w:id="548"/>
    </w:p>
    <w:p w14:paraId="409DC7D7"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13.13. Coupled Income Support for Protein Crops</w:t>
      </w:r>
    </w:p>
    <w:p w14:paraId="0008546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9" w:name="p-1192408"/>
      <w:bookmarkEnd w:id="549"/>
    </w:p>
    <w:p w14:paraId="5A9AD05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236. The coupled income support for protein crops may be received for such area of protein crops in the current year:</w:t>
      </w:r>
      <w:bookmarkStart w:id="550" w:name="p236"/>
      <w:bookmarkEnd w:id="550"/>
    </w:p>
    <w:p w14:paraId="0037095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236.1. which is covered by field beans, broad beans or kidney beans, peas, soya, flax, and hemp;</w:t>
      </w:r>
    </w:p>
    <w:p w14:paraId="5A6E72D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236.2. which is sown in cereal mixture with peas if the proportion of the seed mass of peas, quantity of plants or green mass thereof exceeds 50 per cent;</w:t>
      </w:r>
    </w:p>
    <w:p w14:paraId="5A38CEA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236.3. which has not been applied for another coupled income support in respect of areas.</w:t>
      </w:r>
    </w:p>
    <w:p w14:paraId="505D443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1" w:name="p-1192416"/>
      <w:bookmarkEnd w:id="551"/>
    </w:p>
    <w:p w14:paraId="250E165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237. No coupled income support shall be granted for field beans if a farmer has harvested before the crop has reached the maturity stage.</w:t>
      </w:r>
      <w:bookmarkStart w:id="552" w:name="p237"/>
      <w:bookmarkEnd w:id="552"/>
    </w:p>
    <w:p w14:paraId="287C023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3" w:name="p-1192418"/>
      <w:bookmarkEnd w:id="553"/>
    </w:p>
    <w:p w14:paraId="386CCB9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238. A farmer has the right to apply for the coupled income support for protein crops for hemp area if the latter is eligible for receiving the basic income support for sustainability.</w:t>
      </w:r>
      <w:bookmarkStart w:id="554" w:name="p238"/>
      <w:bookmarkEnd w:id="554"/>
    </w:p>
    <w:p w14:paraId="40CA7B9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5" w:name="p-1192420"/>
      <w:bookmarkEnd w:id="555"/>
    </w:p>
    <w:p w14:paraId="32F49B7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239. A farmer may receive the coupled income support for protein crops if the total eligible area of either one or several fields occupied by protein crops is not smaller than one hectare and it has been applied for the basic income support for sustainability.</w:t>
      </w:r>
      <w:bookmarkStart w:id="556" w:name="p239"/>
      <w:bookmarkEnd w:id="556"/>
    </w:p>
    <w:p w14:paraId="6CFBDF0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7" w:name="p-1192422"/>
      <w:bookmarkEnd w:id="557"/>
    </w:p>
    <w:p w14:paraId="15A799A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240. The proportion of peas referred to in Sub-paragraph 236.2 of this Regulation shall be determined by the Rural Support Service by carrying out an on-the-spot check.</w:t>
      </w:r>
      <w:bookmarkStart w:id="558" w:name="p240"/>
      <w:bookmarkEnd w:id="558"/>
    </w:p>
    <w:p w14:paraId="59BEAFF3" w14:textId="77777777" w:rsidR="006F5A86" w:rsidRPr="006F5A86" w:rsidRDefault="006F5A86" w:rsidP="006F5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59" w:name="n14"/>
      <w:bookmarkStart w:id="560" w:name="n-1192424"/>
      <w:bookmarkEnd w:id="559"/>
      <w:bookmarkEnd w:id="560"/>
    </w:p>
    <w:p w14:paraId="0370E907"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 Integrated Administration and Control System</w:t>
      </w:r>
    </w:p>
    <w:p w14:paraId="1DA86CAA" w14:textId="77777777" w:rsidR="006F5A86" w:rsidRPr="006F5A86" w:rsidRDefault="006F5A86" w:rsidP="006F5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61" w:name="n14.1"/>
      <w:bookmarkStart w:id="562" w:name="n-1192427"/>
      <w:bookmarkEnd w:id="561"/>
      <w:bookmarkEnd w:id="562"/>
    </w:p>
    <w:p w14:paraId="615D754C"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14.1. Geo-spatial Application</w:t>
      </w:r>
    </w:p>
    <w:p w14:paraId="5969BFA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3" w:name="p-1192429"/>
      <w:bookmarkEnd w:id="563"/>
    </w:p>
    <w:p w14:paraId="48EA116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241. In accordance with Article 69(1) of Regulation 2021/2116, a farmer shall, when applying for direct payments, submit the geo-spatial application in the Electronic Application System of the Rural Support Service by 22 May of the current year. The content of the geo-spatial application has been specified in Article 6(2) and Article 8(3) of Commission Implementing Regulation (EU) 2022/1173 of 31 May 2022 laying down rules for the application of Regulation (EU) 2021/2116 of the European Parliament and of the Council with regard to the integrated administration and control system in the common agricultural policy (hereinafter – Regulation 2022/1173) and also in Annex 23 to this Regulation.</w:t>
      </w:r>
      <w:bookmarkStart w:id="564" w:name="p241"/>
      <w:bookmarkEnd w:id="564"/>
    </w:p>
    <w:p w14:paraId="56A99A6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5" w:name="p-1192431"/>
      <w:bookmarkEnd w:id="565"/>
    </w:p>
    <w:p w14:paraId="4395CF1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242. A farmer shall indicate in the geo-spatial application information on all agricultural parcels used at the holding, including those not applied for support, and other necessary information, including information on compliance with the laws and regulations in the field of agriculture or other laws and regulations.</w:t>
      </w:r>
      <w:bookmarkStart w:id="566" w:name="p242"/>
      <w:bookmarkEnd w:id="566"/>
    </w:p>
    <w:p w14:paraId="6536857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7" w:name="p-1192433"/>
      <w:bookmarkEnd w:id="567"/>
    </w:p>
    <w:p w14:paraId="77ABE7F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243. The Rural Support Service shall provide farmers electronically with a pre-filled geo-spatial application draft containing the field block maps and also the systems referred to in Article 69(3) of Regulation 2021/2116 and Article 5 of Regulation 2022/1173. If necessary, the farmer may make amendments to a pre-filled draft of the geo-spatial application.</w:t>
      </w:r>
      <w:bookmarkStart w:id="568" w:name="p243"/>
      <w:bookmarkEnd w:id="568"/>
    </w:p>
    <w:p w14:paraId="18EF13F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9" w:name="p-1192435"/>
      <w:bookmarkEnd w:id="569"/>
    </w:p>
    <w:p w14:paraId="26DD18B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244. When applying for the direct payments, a farmer shall, together with the geo-spatial application, submit the field block map, indicating therein the area of agricultural parcels declared in the geo-spatial application and non-productive landscape features included in the Field Register of the Rural Support Service in the area of non-productive landscape features.</w:t>
      </w:r>
      <w:bookmarkStart w:id="570" w:name="p244"/>
      <w:bookmarkEnd w:id="570"/>
    </w:p>
    <w:p w14:paraId="0B08CF6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1" w:name="p-1192436"/>
      <w:bookmarkEnd w:id="571"/>
    </w:p>
    <w:p w14:paraId="6C08CC5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245. When applying for the direct payments, a farmer shall, together with the geo-spatial application, submit the certificate of origin (copy) of the plants of short rotation coppice species if the short rotation coppice species referred to in Paragraph 21 of this Regulation are applied for support.</w:t>
      </w:r>
      <w:bookmarkStart w:id="572" w:name="p245"/>
      <w:bookmarkEnd w:id="572"/>
    </w:p>
    <w:p w14:paraId="2893714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3" w:name="p-1192438"/>
      <w:bookmarkEnd w:id="573"/>
    </w:p>
    <w:p w14:paraId="3B6E9F9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246. In the geo-spatial application, a farmer shall provide information on individual land parcels according to the type of land use in accordance with Annex 1 to this Regulation, indicating the code of crop growing or sown in the relevant field by 25 June of the current year.</w:t>
      </w:r>
      <w:bookmarkStart w:id="574" w:name="p246"/>
      <w:bookmarkEnd w:id="574"/>
    </w:p>
    <w:p w14:paraId="1DEC5C8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5" w:name="p-1192440"/>
      <w:bookmarkEnd w:id="575"/>
    </w:p>
    <w:p w14:paraId="0FA6CBF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247. A farmer may declare such agricultural parcel for support in the current year:</w:t>
      </w:r>
      <w:bookmarkStart w:id="576" w:name="p247"/>
      <w:bookmarkEnd w:id="576"/>
    </w:p>
    <w:p w14:paraId="0CEB6E3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247.1. which is included in a field block of the Field Register of the Rural Support Service;</w:t>
      </w:r>
    </w:p>
    <w:p w14:paraId="3EEF0EC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247.2. whereon the application for updating field blocks or for the inclusion of a new agricultural parcel in the Field Register, if since the beginning of the current year the relevant land parcel complies with the conditions for eligible agricultural land, has been submitted in the Electronic Application System of the Rural Support Service by 1 April of the current year;</w:t>
      </w:r>
    </w:p>
    <w:p w14:paraId="74163B2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247.3. which is located outside the field block of the Field Register of the Rural Support Service and the area of which is at least 0.3 hectares or land parcels of at least 0.1 hectares adjacent to an existing field block and which, since the beginning of the current year, complies with the conditions for eligible agricultural land.</w:t>
      </w:r>
    </w:p>
    <w:p w14:paraId="13E96CF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7" w:name="p-1192449"/>
      <w:bookmarkEnd w:id="577"/>
    </w:p>
    <w:p w14:paraId="7D051E8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248. An agricultural parcel (field) specified in Paragraph 33 of this Regulation shall be a continuous area of agricultural land which has been applied by one farmer and which is occupied by only one crop or there is only one type of use of the land in accordance with Annex 1 to this Regulation.</w:t>
      </w:r>
      <w:bookmarkStart w:id="578" w:name="p248"/>
      <w:bookmarkEnd w:id="578"/>
    </w:p>
    <w:p w14:paraId="487238F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9" w:name="p-1192451"/>
      <w:bookmarkEnd w:id="579"/>
    </w:p>
    <w:p w14:paraId="60FFBCC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249. If, in one field block, the difference between the area thereof and the total area of the land parcel applied in the geo-spatial application by one or several farmers exceeds 0.1 hectares, but not more than one per cent of the area of field blocks, the area of fields shall be reduced proportionally, unless the farmer submits evidence to the Rural Support Service by 15 September of the current year that the area of agricultural land in the ownership or possession thereof has been declared by another farmer.</w:t>
      </w:r>
      <w:bookmarkStart w:id="580" w:name="p249"/>
      <w:bookmarkEnd w:id="580"/>
    </w:p>
    <w:p w14:paraId="4DFA442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1" w:name="p-1192452"/>
      <w:bookmarkEnd w:id="581"/>
    </w:p>
    <w:p w14:paraId="15169EC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250. The crop code shall be indicated for a crop or mixture of crops growing in arable land if the crop or mixture of crops is predominant by 31 August of the current year, occupying at least 75 per cent of the plants growing in the field, including naturally self-seeded plants, or if by 31 August of the current year the number of vegetable crops per square metre is not less than the number specified in Annex 2 to this Regulation and weed control agrotechnical measures have been implemented in the vegetable area at least to such an extent that the growth of crops would not be impeded and the crops would reach maturity for harvesting.</w:t>
      </w:r>
      <w:bookmarkStart w:id="582" w:name="p250"/>
      <w:bookmarkEnd w:id="582"/>
    </w:p>
    <w:p w14:paraId="1FD5509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3" w:name="p-1192454"/>
      <w:bookmarkEnd w:id="583"/>
    </w:p>
    <w:p w14:paraId="5581A21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251. In order to declare in the geo-spatial application all agricultural land at the disposal of a farmer, the farmer shall submit to the Rural Support Service the application for updating field blocks for the inclusion of agricultural land in the Field Register. The content of the application has been specified in Annex 24 to this Regulation. The Rural Support Service may take an unfavourable decision in respect of the application for updating field blocks if such change applies to less than two per cent of the area of field blocks or 0.1. hectares.</w:t>
      </w:r>
      <w:bookmarkStart w:id="584" w:name="p251"/>
      <w:bookmarkEnd w:id="584"/>
    </w:p>
    <w:p w14:paraId="693377F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5" w:name="p-1192457"/>
      <w:bookmarkEnd w:id="585"/>
    </w:p>
    <w:p w14:paraId="768EEA84"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252. Only such landscape features shall be declared in the geo-spatial application which, on 1 April of the current year, are included in the landscape feature layer of the Field Register of the Rural Support Service or for which the application for the inclusion thereof in the Field Register has been submitted in the Electronic Application System of the Rural Support Service by 1 April of the current year.</w:t>
      </w:r>
      <w:bookmarkStart w:id="586" w:name="p252"/>
      <w:bookmarkEnd w:id="586"/>
    </w:p>
    <w:p w14:paraId="63C7C05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7" w:name="p-1192459"/>
      <w:bookmarkEnd w:id="587"/>
    </w:p>
    <w:p w14:paraId="012AA32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253. When applying for the coupled income support in respect of animal-based interventions, a farmer shall, in accordance with Article 69(2) of Regulation 2021/2116, specify in the geo-spatial application which support he or she wishes to receive and confirm his or her consent to the use of the automatic claim system.</w:t>
      </w:r>
      <w:bookmarkStart w:id="588" w:name="p253"/>
      <w:bookmarkEnd w:id="588"/>
    </w:p>
    <w:p w14:paraId="5BC19E9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9" w:name="p-1192461"/>
      <w:bookmarkEnd w:id="589"/>
    </w:p>
    <w:p w14:paraId="2DEE63D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254. When using the automatic claim system, the number of eligible animals and the number of animals in respect of which infringements of eligibility conditions have been committed shall be determined and the payment shall be calculated on the basis of the information in the Register of Farmed Animals and Domestic Animals established in accordance with Article 109(1) of Regulation 2016/429.</w:t>
      </w:r>
      <w:bookmarkStart w:id="590" w:name="p254"/>
      <w:bookmarkEnd w:id="590"/>
    </w:p>
    <w:p w14:paraId="2D78477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1" w:name="p-1192462"/>
      <w:bookmarkEnd w:id="591"/>
    </w:p>
    <w:p w14:paraId="7A5B0B8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255. If the application for direct payments is submitted after 22 May, but not later than by 15 June, the amount which the beneficiary would be entitled to receive if he or she had applied by 22 May shall be reduced by one per cent per each working day of delay. The direct payments specified in Paragraph 2 of this Regulation may no longer be applied for after 15 June.</w:t>
      </w:r>
      <w:bookmarkStart w:id="592" w:name="p255"/>
      <w:bookmarkEnd w:id="592"/>
    </w:p>
    <w:p w14:paraId="11D53B3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3" w:name="p-1192464"/>
      <w:bookmarkEnd w:id="593"/>
    </w:p>
    <w:p w14:paraId="3C4C8CD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256. If a farmer has entered the up-to-date information in the AL Management System after the deadlines specified in Paragraphs 146 and 155, Sub-paragraphs 161.3, 163.3, and Paragraph 387 of this Regulation but not later than after 10 working days, the support to be granted shall be reduced by one per cent per each working day of delay.</w:t>
      </w:r>
      <w:bookmarkStart w:id="594" w:name="p256"/>
      <w:bookmarkEnd w:id="594"/>
    </w:p>
    <w:p w14:paraId="5FC4A76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5" w:name="p-1192466"/>
      <w:bookmarkEnd w:id="595"/>
    </w:p>
    <w:p w14:paraId="16568E8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257. The geo-spatial application and the supporting documents may be amended by a farmer at any time after the submission thereof to correct an obvious clerical error, provided that the farmer has acted in good faith.</w:t>
      </w:r>
      <w:bookmarkStart w:id="596" w:name="p257"/>
      <w:bookmarkEnd w:id="596"/>
    </w:p>
    <w:p w14:paraId="11A5C94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7" w:name="p-1192469"/>
      <w:bookmarkEnd w:id="597"/>
    </w:p>
    <w:p w14:paraId="2027572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258. In order to help farmers fulfil the eligibility criteria, commitments, and other obligations, the Rural Support Service shall notify them of the results of the checks by 1 October of the current year in accordance with Paragraph 268 of this Regulation. A farmer may make amendments to the geo-spatial application within 10 calendar days after receipt of the results of the cross-checks in order to include therein any necessary corrections in respect of individual land parcels according to the results of the cross-checks.</w:t>
      </w:r>
      <w:bookmarkStart w:id="598" w:name="p258"/>
      <w:bookmarkEnd w:id="598"/>
    </w:p>
    <w:p w14:paraId="20481D8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9" w:name="p-1192470"/>
      <w:bookmarkEnd w:id="599"/>
    </w:p>
    <w:p w14:paraId="09A1CF7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259. In respect of interventions covered by the area monitoring system or eligibility conditions for interventions, a farmer has the right to amend the information provided in the geo-spatial application in accordance with Article 7(1)(a) of Regulation 2022/1173 without increasing the area applied for support or to withdraw it in whole or in part by 30 September of the current year.</w:t>
      </w:r>
      <w:bookmarkStart w:id="600" w:name="p259"/>
      <w:bookmarkEnd w:id="600"/>
    </w:p>
    <w:p w14:paraId="1FA1A32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1" w:name="p-1192472"/>
      <w:bookmarkEnd w:id="601"/>
    </w:p>
    <w:p w14:paraId="16FD30F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260. In respect of area-based interventions or eligibility conditions not covered by the area monitoring system, a farmer has the right to amend the information provided in the geo-spatial application in accordance with Article 7(1)(c) of Regulation 2022/1173 by 15 June of the current year.</w:t>
      </w:r>
      <w:bookmarkStart w:id="602" w:name="p260"/>
      <w:bookmarkEnd w:id="602"/>
    </w:p>
    <w:p w14:paraId="0A4B474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3" w:name="p-1192474"/>
      <w:bookmarkEnd w:id="603"/>
    </w:p>
    <w:p w14:paraId="04F9107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261. In respect of the coupled income support for animal-based interventions, a farmer has the right to withdraw the application until the end of the retention period of animals provided for in the eligibility conditions or by 30 September of the current year.</w:t>
      </w:r>
      <w:bookmarkStart w:id="604" w:name="p261"/>
      <w:bookmarkEnd w:id="604"/>
    </w:p>
    <w:p w14:paraId="61FA1B4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5" w:name="p-1192476"/>
      <w:bookmarkEnd w:id="605"/>
    </w:p>
    <w:p w14:paraId="52F5F99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262. If a farmer has been informed of the intention of the control authority to carry out an on-the-spot check and irregularities are established during such check or the authority has informed the farmer of irregularities in the geo-spatial application, the farmer is not entitled to withdraw the geo-spatial application in respect of the part for which irregularities have been established.</w:t>
      </w:r>
      <w:bookmarkStart w:id="606" w:name="p262"/>
      <w:bookmarkEnd w:id="606"/>
    </w:p>
    <w:p w14:paraId="41740A0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7" w:name="p-1192478"/>
      <w:bookmarkEnd w:id="607"/>
    </w:p>
    <w:p w14:paraId="1BB1FDB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263. If the holding is transferred to another person, only one geo-spatial application shall be accepted in the year of transfer of the holding.</w:t>
      </w:r>
      <w:bookmarkStart w:id="608" w:name="p263"/>
      <w:bookmarkEnd w:id="608"/>
    </w:p>
    <w:p w14:paraId="165F5EC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9" w:name="p-1192480"/>
      <w:bookmarkEnd w:id="609"/>
    </w:p>
    <w:p w14:paraId="63C2BC9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264. The geo-spatial application shall be amended or withdrawn, using the Electronic Application System of the Rural Support Service.</w:t>
      </w:r>
      <w:bookmarkStart w:id="610" w:name="p264"/>
      <w:bookmarkEnd w:id="610"/>
    </w:p>
    <w:p w14:paraId="40CA130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1" w:name="p-1192482"/>
      <w:bookmarkEnd w:id="611"/>
    </w:p>
    <w:p w14:paraId="2349888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265. The Rural Support Service shall include the information on organic farming fields approved in the previous year in the public map of the Field Register.</w:t>
      </w:r>
      <w:bookmarkStart w:id="612" w:name="p265"/>
      <w:bookmarkEnd w:id="612"/>
    </w:p>
    <w:p w14:paraId="5708773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3" w:name="n14.2"/>
      <w:bookmarkStart w:id="614" w:name="n-1192484"/>
      <w:bookmarkEnd w:id="613"/>
      <w:bookmarkEnd w:id="614"/>
    </w:p>
    <w:p w14:paraId="7AD26BB1"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14.2. Administrative Checks and Cross-checks of the Direct Payments</w:t>
      </w:r>
    </w:p>
    <w:p w14:paraId="757A690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5" w:name="p-1192486"/>
      <w:bookmarkEnd w:id="615"/>
    </w:p>
    <w:p w14:paraId="741BF19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266. Administrative checks of the geo-spatial application shall be carried out by the Rural Support Service in accordance with Article 72 of Regulation 2021/2116, including automatic checks by electronic means, in order to verify the legality, accuracy, and completeness of the information provided in the geo-spatial application and to establish whether it has been submitted within the deadline and whether the documents submitted prove the right for applying for support in the relevant intervention.</w:t>
      </w:r>
      <w:bookmarkStart w:id="616" w:name="p266"/>
      <w:bookmarkEnd w:id="616"/>
    </w:p>
    <w:p w14:paraId="6F10ACD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7" w:name="p-1192488"/>
      <w:bookmarkEnd w:id="617"/>
    </w:p>
    <w:p w14:paraId="6DC36C6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267. Administrative checks shall cover the inspection of the following elements:</w:t>
      </w:r>
    </w:p>
    <w:p w14:paraId="7D21889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267.1. eligible agricultural land, active farmer eligibility, and fulfilment of the minimum criteria for receiving support;</w:t>
      </w:r>
    </w:p>
    <w:p w14:paraId="0A823AD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267.2. fulfilment of the eligibility criteria, commitments, and other obligations for receiving the direct payments and also the grounds for exemption from the fulfilment of the obligations;</w:t>
      </w:r>
    </w:p>
    <w:p w14:paraId="4117005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267.3. conformity with the requirements and standards of the conditionality laid down in this Regulation;</w:t>
      </w:r>
    </w:p>
    <w:p w14:paraId="2A7443E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267.4. compliance with the conditions for the keeping of animals in respect of the coupled income support, using data from the animal register of the Agricultural Data Centre.</w:t>
      </w:r>
    </w:p>
    <w:p w14:paraId="495E916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8" w:name="p-1192498"/>
      <w:bookmarkEnd w:id="618"/>
    </w:p>
    <w:p w14:paraId="4BFDAA2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268. When implementing administrative checks, the Rural Support Service shall carry out cross-checks during which the area declared in the geo-spatial application shall be matched with the area registered in the identification system of agricultural parcels and the possibility of receiving support for the same area more than once shall be prevented.</w:t>
      </w:r>
      <w:bookmarkStart w:id="619" w:name="p268"/>
      <w:bookmarkEnd w:id="619"/>
    </w:p>
    <w:p w14:paraId="5D75BD2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0" w:name="p-1192500"/>
      <w:bookmarkEnd w:id="620"/>
    </w:p>
    <w:p w14:paraId="08E5C42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269. If a cross-check reveals irregularities, the Rural Support Service or another competent control authority shall implement appropriate administrative procedures and, if necessary, carry out an on-the-spot check.</w:t>
      </w:r>
    </w:p>
    <w:p w14:paraId="71A3D1B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1" w:name="p-1192502"/>
      <w:bookmarkEnd w:id="621"/>
    </w:p>
    <w:p w14:paraId="34B1D58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270. If the geo-spatial application is submitted for the same land parcel by two or more applicants in respect of the same support measure and if there is a spatial overlap of the declared agricultural parcels or if the total area declared exceeds the maximum eligible area and the difference is not more than 0.1 hectare, the relevant area shall be reduced proportionately, unless the applicant proves that another applicant has declared an excessively large area on his or her account or the eligible area has not become less than 0.1 hectare.</w:t>
      </w:r>
      <w:bookmarkStart w:id="622" w:name="p270"/>
      <w:bookmarkEnd w:id="622"/>
    </w:p>
    <w:p w14:paraId="2559EA7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3" w:name="p-1192504"/>
      <w:bookmarkEnd w:id="623"/>
    </w:p>
    <w:p w14:paraId="0584E78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271. The Agricultural Data Centre shall carry out administrative checks on the fulfilment of the eligibility conditions for the direct payments referred to in Sub-paragraphs 2.11, 2.12, 2.13, and 2.14 of this Regulation.</w:t>
      </w:r>
      <w:bookmarkStart w:id="624" w:name="p271"/>
      <w:bookmarkEnd w:id="624"/>
    </w:p>
    <w:p w14:paraId="56B3933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5" w:name="p-1192506"/>
      <w:bookmarkEnd w:id="625"/>
    </w:p>
    <w:p w14:paraId="4222948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272. In order to ensure the administration of the direct payments referred to in Sub-paragraphs 2.6, 2.7, and 2.8 of this Regulation, the State Plant Protection Service shall maintain the AL Management System.</w:t>
      </w:r>
      <w:bookmarkStart w:id="626" w:name="p272"/>
      <w:bookmarkEnd w:id="626"/>
    </w:p>
    <w:p w14:paraId="43A8845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7" w:name="p-1192508"/>
      <w:bookmarkEnd w:id="627"/>
    </w:p>
    <w:p w14:paraId="32EAB9A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273. The State Plant Protection Service shall carry out administrative checks on compliance with the eligibility conditions for the direct payments referred to in Sub-paragraphs 2.6, 2.7, and 2.8 of this Regulation, including checks on the legality, accuracy, and completeness of the information provided in the AL Management System.</w:t>
      </w:r>
      <w:bookmarkStart w:id="628" w:name="p273"/>
      <w:bookmarkEnd w:id="628"/>
    </w:p>
    <w:p w14:paraId="71E11BA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9" w:name="n14.3"/>
      <w:bookmarkStart w:id="630" w:name="n-1192510"/>
      <w:bookmarkEnd w:id="629"/>
      <w:bookmarkEnd w:id="630"/>
    </w:p>
    <w:p w14:paraId="63EEA34B"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14.3. Area Monitoring System</w:t>
      </w:r>
    </w:p>
    <w:p w14:paraId="54FB54F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1" w:name="p-1192512"/>
      <w:bookmarkEnd w:id="631"/>
    </w:p>
    <w:p w14:paraId="48F7E7C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274. The area monitoring system is used in respect of conditions which can be verified remotely, ensuring regular and systematic observation of the agricultural activity and using Copernicus Sentinel satellite data, remote sensing methods, or other equivalent data for evaluation.</w:t>
      </w:r>
      <w:bookmarkStart w:id="632" w:name="p274"/>
      <w:bookmarkEnd w:id="632"/>
    </w:p>
    <w:p w14:paraId="6983281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3" w:name="p-1192514"/>
      <w:bookmarkEnd w:id="633"/>
    </w:p>
    <w:p w14:paraId="67A5C4A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275. When applying the area monitoring system, all farmers subject to the condition to be checked are verified. Eligibility conditions for which the area monitoring system cannot be applied shall be checked on the spot.</w:t>
      </w:r>
      <w:bookmarkStart w:id="634" w:name="p275"/>
      <w:bookmarkEnd w:id="634"/>
    </w:p>
    <w:p w14:paraId="5D774E9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5" w:name="p-1192516"/>
      <w:bookmarkEnd w:id="635"/>
    </w:p>
    <w:p w14:paraId="450F72C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276. The following interventions and their eligibility conditions shall be included in the area monitoring system in accordance with Article 10(9) of Regulation 2022/1173:</w:t>
      </w:r>
      <w:bookmarkStart w:id="636" w:name="p276"/>
      <w:bookmarkEnd w:id="636"/>
    </w:p>
    <w:p w14:paraId="7CB2969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276.1. the basic income support for sustainability, the payment for small farmers, the complementary redistributive income support for sustainability, the complementary income support for young farmers, and the conditions for agricultural land eligible for these interventions;</w:t>
      </w:r>
    </w:p>
    <w:p w14:paraId="6A48842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276.2. the coupled income support for spring rape and turnip rape.</w:t>
      </w:r>
    </w:p>
    <w:p w14:paraId="7B0205A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7" w:name="p-1192522"/>
      <w:bookmarkEnd w:id="637"/>
    </w:p>
    <w:p w14:paraId="17A0012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277. A farmer has the obligation to submit, upon request of the Rural Support Service, geotagged photos, containing a time and location stamp, for the verification of compliance with the eligibility conditions in respect of the interventions referred to in Paragraph 276 of this Regulation which are subject to the application of the area monitoring system. If the farmer has not provided the requested geotagged photos, the relevant intervention eligibility condition shall be deemed not to have been fulfilled and the support shall be subject to reduction in accordance with Article 10(5) of Regulation 2022/1173.</w:t>
      </w:r>
      <w:bookmarkStart w:id="638" w:name="p277"/>
      <w:bookmarkEnd w:id="638"/>
    </w:p>
    <w:p w14:paraId="7059309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9" w:name="p-1192524"/>
      <w:bookmarkEnd w:id="639"/>
    </w:p>
    <w:p w14:paraId="28A9577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278. The Rural Support Service shall inform farmers via the Electronic Application System of the use of the area monitoring system, notify preliminary results at parcel level on compliance with the eligibility conditions for the relevant intervention, send warning notices, and inform of the necessity to provide evidence of compliance with the intervention conditions.</w:t>
      </w:r>
      <w:bookmarkStart w:id="640" w:name="p278"/>
      <w:bookmarkEnd w:id="640"/>
    </w:p>
    <w:p w14:paraId="038D1E9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1" w:name="p-1192526"/>
      <w:bookmarkEnd w:id="641"/>
    </w:p>
    <w:p w14:paraId="57DC313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279. The results of the area monitoring system are used to calculate the support payment to be disbursed to a farmer for the relevant intervention, including the application of the reduction of support.</w:t>
      </w:r>
      <w:bookmarkStart w:id="642" w:name="p279"/>
      <w:bookmarkEnd w:id="642"/>
    </w:p>
    <w:p w14:paraId="3559166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3" w:name="n14.4"/>
      <w:bookmarkStart w:id="644" w:name="n-1192528"/>
      <w:bookmarkEnd w:id="643"/>
      <w:bookmarkEnd w:id="644"/>
    </w:p>
    <w:p w14:paraId="35BE0859" w14:textId="77777777" w:rsidR="006F5A86" w:rsidRPr="006F5A86" w:rsidRDefault="006F5A86" w:rsidP="006F5A86">
      <w:pPr>
        <w:keepNext/>
        <w:keepLines/>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14.4. On-the-spot Checks at the Holding</w:t>
      </w:r>
    </w:p>
    <w:p w14:paraId="56531360" w14:textId="77777777" w:rsidR="006F5A86" w:rsidRPr="006F5A86" w:rsidRDefault="006F5A86" w:rsidP="006F5A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5" w:name="p-1192530"/>
      <w:bookmarkEnd w:id="645"/>
    </w:p>
    <w:p w14:paraId="4C1B29EF"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280. For the purpose of the verification of the legality and accuracy of the support to be disbursed, on-the-spot checks at the holding shall be carried out by the following control authorities:</w:t>
      </w:r>
      <w:bookmarkStart w:id="646" w:name="p280"/>
      <w:bookmarkEnd w:id="646"/>
    </w:p>
    <w:p w14:paraId="49248A6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280.1. the Rural Support Service – in respect of the direct payments referred to in Sub-paragraphs 2.1, 2.2, 2.3, 2.4, 2.5, 2.6, 2.7, 2.9, 2.10, 2.15, 2.16, 2.17, 2.21, 2.22, 2.23, and 2.24 of this Regulation;</w:t>
      </w:r>
    </w:p>
    <w:p w14:paraId="19DF077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280.2. the State Plant Protection Service – in respect of the direct payments referred to in Sub-paragraphs 2.6, 2.7, 2.8, 2.18, 2.19, and 2.20 of this Regulation and the checks specified in Paragraphs 148 and 156 of this Regulation;</w:t>
      </w:r>
    </w:p>
    <w:p w14:paraId="1C2EE70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280.3. the Agricultural Data Centre – in respect of the direct payments referred to in Sub-paragraphs 2.11, 2.12, 2.13, and 2.14 of this Regulation.</w:t>
      </w:r>
    </w:p>
    <w:p w14:paraId="4E60EBB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7" w:name="p-1192539"/>
      <w:bookmarkEnd w:id="647"/>
    </w:p>
    <w:p w14:paraId="77401AA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281. The Rural Support Service shall carry out on-the-spot checks at the holding if the data of the area monitoring system, remote sensing methods, satellite or ortho image interpretation, or other evidence, including evidence provided by a farmer upon request of the Rural Support Service, prevent the Rural Support Service to draw a final conclusion in respect of area eligibility, size, or eligibility of the applicant with the requirements laid down in this Regulation.</w:t>
      </w:r>
      <w:bookmarkStart w:id="648" w:name="p281"/>
      <w:bookmarkEnd w:id="648"/>
    </w:p>
    <w:p w14:paraId="714B81E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9" w:name="p-1192541"/>
      <w:bookmarkEnd w:id="649"/>
    </w:p>
    <w:p w14:paraId="78C4A50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282. If checks are carried out by the State Plant Protection Service, the Agricultural Data Centre or the Rural Support Service shall provide the relevant control authority with the information necessary for the checks from the integrated administration and control system. The control authority shall provide information to the Rural Support Service on the results of the control.</w:t>
      </w:r>
      <w:bookmarkStart w:id="650" w:name="p282"/>
      <w:bookmarkEnd w:id="650"/>
    </w:p>
    <w:p w14:paraId="2AFC23C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1" w:name="p-1192543"/>
      <w:bookmarkEnd w:id="651"/>
    </w:p>
    <w:p w14:paraId="25F6987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283. The applicant shall provide an opportunity for the control authority to carry out an on-the-spot check at the holding and shall, upon request of the officials of the relevant control authority, provide evidence of compliance with the conditions for receiving the direct payments. During animal checks, the applicant shall ensure the confinement of farmed animals.</w:t>
      </w:r>
      <w:bookmarkStart w:id="652" w:name="p283"/>
      <w:bookmarkEnd w:id="652"/>
    </w:p>
    <w:p w14:paraId="0042CB2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3" w:name="p-1192545"/>
      <w:bookmarkEnd w:id="653"/>
    </w:p>
    <w:p w14:paraId="1D78F93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284. In respect of area-based direct payments, each year the Rural Support Service shall prepare a selection sample of beneficiaries for on-the-spot checks covering at least:</w:t>
      </w:r>
      <w:bookmarkStart w:id="654" w:name="p284"/>
      <w:bookmarkEnd w:id="654"/>
    </w:p>
    <w:p w14:paraId="44FE004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284.1. five per cent of the farmers who have submitted the geo-spatial application for the basic income support for sustainability, the complementary redistributive income support for sustainability, the payment for young farmers, the payment for small farmers, the eco-scheme support, and the coupled income support. The five per cent requirement shall apply to each intervention measure separately;</w:t>
      </w:r>
    </w:p>
    <w:p w14:paraId="5F5DCD0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284.2. five per cent of the animals applied for the coupled income support;</w:t>
      </w:r>
    </w:p>
    <w:p w14:paraId="2C90787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284.3. 30 per cent of the declared hemp area and 30 per cent of the hemp area declared by farmers in the geo-spatial application.</w:t>
      </w:r>
    </w:p>
    <w:p w14:paraId="3D693F2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5" w:name="p-1192553"/>
      <w:bookmarkEnd w:id="655"/>
    </w:p>
    <w:p w14:paraId="09A956B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285. The Rural Support Service shall select farmers for the checks both randomly and on the basis of a risk analysis.</w:t>
      </w:r>
      <w:bookmarkStart w:id="656" w:name="p285"/>
      <w:bookmarkEnd w:id="656"/>
    </w:p>
    <w:p w14:paraId="406FD11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7" w:name="p-1192555"/>
      <w:bookmarkEnd w:id="657"/>
    </w:p>
    <w:p w14:paraId="1CB544D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286. Each year the State Plant Protection Service shall prepare a selection sample of farmers for on-the-spot checks covering at least five per cent of all farmers who have applied for the eco-scheme support for an ecological focus area, the eco-scheme support for conservation agricultural practices, and the eco-scheme support for agricultural practices that reduce the emissions of nitrogen and ammonia and the pollution. The five per cent requirement shall apply to each intervention measure separately. Selection of farmers for the checks shall be carried out both randomly and on the basis of a risk analysis.</w:t>
      </w:r>
      <w:bookmarkStart w:id="658" w:name="p286"/>
      <w:bookmarkEnd w:id="658"/>
    </w:p>
    <w:p w14:paraId="711D90C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9" w:name="p-1192557"/>
      <w:bookmarkEnd w:id="659"/>
    </w:p>
    <w:p w14:paraId="16487C3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287. After selection of farmers for on-the-spot checks of animal-based coupled income support interventions, the Rural Support Service shall inform the Agricultural Data Centre of the selection sample. At least 50 per cent of on-the-spot checks shall be distributed evenly by the Agricultural Data Centre throughout the entire retention period.</w:t>
      </w:r>
      <w:bookmarkStart w:id="660" w:name="p287"/>
      <w:bookmarkEnd w:id="660"/>
    </w:p>
    <w:p w14:paraId="75D0F90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1" w:name="p-1192559"/>
      <w:bookmarkEnd w:id="661"/>
    </w:p>
    <w:p w14:paraId="6CED84B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288. On-the-spot checks may be announced in advance if it does not jeopardise the purpose or results thereof. Checks shall be announced not earlier than 14 calendar days in advance.</w:t>
      </w:r>
      <w:bookmarkStart w:id="662" w:name="p288"/>
      <w:bookmarkEnd w:id="662"/>
    </w:p>
    <w:p w14:paraId="6F0922F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3" w:name="p-1192561"/>
      <w:bookmarkEnd w:id="663"/>
    </w:p>
    <w:p w14:paraId="4C8E55E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289. On-the-spot checks in respect of an animal-based coupled income support intervention measure shall be announced not earlier than 48 hours in advance, excluding duly justified cases.</w:t>
      </w:r>
      <w:bookmarkStart w:id="664" w:name="p289"/>
      <w:bookmarkEnd w:id="664"/>
    </w:p>
    <w:p w14:paraId="0B81B35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5" w:name="p-1192563"/>
      <w:bookmarkEnd w:id="665"/>
    </w:p>
    <w:p w14:paraId="09C8F9B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290. If necessary, the on-the-spot checks provided for in this Regulation shall be carried out concurrently with other checks provided for in the directly applicable legal acts of the European Union in the field of agriculture.</w:t>
      </w:r>
      <w:bookmarkStart w:id="666" w:name="p290"/>
      <w:bookmarkEnd w:id="666"/>
    </w:p>
    <w:p w14:paraId="7E20289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7" w:name="p-1192565"/>
      <w:bookmarkEnd w:id="667"/>
    </w:p>
    <w:p w14:paraId="32C2C7A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291. On-the-spot checks shall cover the agricultural parcels in respect of which support has been claimed. On-the-spot checks shall determine the area, verify the eligibility of the agricultural land, and compliance with all eligibility criteria, commitments, and other obligations specified for the support intervention in the selection sample whereof a farmer is included.</w:t>
      </w:r>
      <w:bookmarkStart w:id="668" w:name="p291"/>
      <w:bookmarkEnd w:id="668"/>
    </w:p>
    <w:p w14:paraId="7573445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9" w:name="p-1192567"/>
      <w:bookmarkEnd w:id="669"/>
    </w:p>
    <w:p w14:paraId="6211872F"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292. Area measurement of an agricultural parcel during the on-the-spot check may only be carried out in respect of a sample of random selection which covers at least 50 per cent of the agricultural parcels for which the application for receiving the support has been submitted in accordance with area-based support schemes or rural development measures. If such random check reveals irregularities, all parcels of agricultural land shall be checked.</w:t>
      </w:r>
      <w:bookmarkStart w:id="670" w:name="p292"/>
      <w:bookmarkEnd w:id="670"/>
    </w:p>
    <w:p w14:paraId="557BFE4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1" w:name="p-1192568"/>
      <w:bookmarkEnd w:id="671"/>
    </w:p>
    <w:p w14:paraId="10D79CD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293. Area measurement of agricultural parcels shall be carried out by means that ensure such quality of measurement which is at least equivalent to the requirements of the applicable technical standards developed at the level of the European Union. For the purpose of on-the-spot checks of agricultural parcels, the Rural Support Service may use remote sensing and Global Navigation Satellite System (hereinafter – the GNSS) techniques and also other technological solutions.</w:t>
      </w:r>
    </w:p>
    <w:p w14:paraId="3AA9189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2" w:name="p-1192570"/>
      <w:bookmarkEnd w:id="672"/>
    </w:p>
    <w:p w14:paraId="0421E21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294. A single tolerance value shall be established for all area measurements using the GNSS techniques and ortho images. The measuring instruments used shall be validated in respect of the validation class that is at least one class lower than the established single tolerance value. The single tolerance value shall not exceed 1.25 metres.</w:t>
      </w:r>
      <w:bookmarkStart w:id="673" w:name="p294"/>
      <w:bookmarkEnd w:id="673"/>
    </w:p>
    <w:p w14:paraId="22EBD99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4" w:name="p-1192572"/>
      <w:bookmarkEnd w:id="674"/>
    </w:p>
    <w:p w14:paraId="4D0716A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295. In absolute terms, the maximum tolerance in respect of each agricultural parcel shall not exceed one hectare.</w:t>
      </w:r>
      <w:bookmarkStart w:id="675" w:name="p295"/>
      <w:bookmarkEnd w:id="675"/>
    </w:p>
    <w:p w14:paraId="23FDB3C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6" w:name="p-1192574"/>
      <w:bookmarkEnd w:id="676"/>
    </w:p>
    <w:p w14:paraId="56E5C2D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296. On-the-spot check of eligibility criteria applicable to agricultural parcels, commitments, and other obligations may only be carried out in respect of a sample of random selection which covers at least 50 per cent of such agricultural parcels for which the geo-spatial application for receiving the direct payments or rural development area-based intervention support has been submitted.</w:t>
      </w:r>
      <w:bookmarkStart w:id="677" w:name="p296"/>
      <w:bookmarkEnd w:id="677"/>
    </w:p>
    <w:p w14:paraId="47706FC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8" w:name="p-1192576"/>
      <w:bookmarkEnd w:id="678"/>
    </w:p>
    <w:p w14:paraId="3F7CC53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297. The applicant is entitled to participate in the check that is being performed at the holding and to become acquainted with the results of the check. If the applicant does not take part in the check, the latter shall not affect the application of the reduction of support if an infringement of the conditions and obligations for granting support has been established.</w:t>
      </w:r>
      <w:bookmarkStart w:id="679" w:name="p297"/>
      <w:bookmarkEnd w:id="679"/>
    </w:p>
    <w:p w14:paraId="30A690F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0" w:name="p-1192578"/>
      <w:bookmarkEnd w:id="680"/>
    </w:p>
    <w:p w14:paraId="01153B1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298. In respect of the direct payments referred to in Sub-paragraphs 2.11, 2.12, 2.13, and 2.14 of this Regulation, on-the-spot checks shall verify:</w:t>
      </w:r>
      <w:bookmarkStart w:id="681" w:name="p298"/>
      <w:bookmarkEnd w:id="681"/>
    </w:p>
    <w:p w14:paraId="26889A8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298.1. whether the number of animals present at the holding and the number of potentially eligible animals correspond to the number of animals entered in the animal register;</w:t>
      </w:r>
    </w:p>
    <w:p w14:paraId="619CF73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298.2. the accuracy of the entries in the animal register and of the notifications sent to the electronic database and the conformity of the data with the purchase and sales invoices, veterinary certificates, and movement documents;</w:t>
      </w:r>
    </w:p>
    <w:p w14:paraId="5DC5244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298.3. whether bovine, ovine, and caprine animals are identified by ear tags or other means of identification and whether animal passports and movement documents are entered in the register and duly notified in the electronic database.</w:t>
      </w:r>
    </w:p>
    <w:p w14:paraId="6F0E975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2" w:name="p-1192586"/>
      <w:bookmarkEnd w:id="682"/>
    </w:p>
    <w:p w14:paraId="1DD161C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299. The competent control authorities shall keep records of the on-the-spot checks carried out at the holding and shall prepare a control report. The following shall be included in the control report:</w:t>
      </w:r>
      <w:bookmarkStart w:id="683" w:name="p299"/>
      <w:bookmarkEnd w:id="683"/>
    </w:p>
    <w:p w14:paraId="04A1533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299.1. the relevant intervention measure and the geo-spatial application number;</w:t>
      </w:r>
    </w:p>
    <w:p w14:paraId="3C02D7E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299.2. the persons present;</w:t>
      </w:r>
    </w:p>
    <w:p w14:paraId="542167B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299.3. in respect of agricultural parcels, the checked and measured agricultural parcels and, if applicable, the measurement results for each measured agricultural parcel and the used measurement methods;</w:t>
      </w:r>
    </w:p>
    <w:p w14:paraId="2095F86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299.4. the measurement results of non-agricultural land for which support is claimed in accordance with rural development measures and the used measurement methods, if applicable;</w:t>
      </w:r>
    </w:p>
    <w:p w14:paraId="346693F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299.5. for the direct payments referred to in Sub-paragraphs 2.11, 2.12, 2.13, and 2.14 of this Regulation, the number, type, ear tag numbers of animals, entries in the register and in the electronic database of animals, the checked supporting documents, the results of the checks and, if any, particular observations in respect of individual animals and their identification code;</w:t>
      </w:r>
    </w:p>
    <w:p w14:paraId="5E46D50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299.6. whether prior notice of the check was given to the beneficiary and also the time of prior notice;</w:t>
      </w:r>
    </w:p>
    <w:p w14:paraId="5E66474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299.7. the established irregularities that could require cross-notification in view of other support interventions or conditionality.</w:t>
      </w:r>
    </w:p>
    <w:p w14:paraId="14C9465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4" w:name="p-1192602"/>
      <w:bookmarkEnd w:id="684"/>
    </w:p>
    <w:p w14:paraId="089B248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300. If a farmer does not allow to carry out a check at the holding, the relevant official shall indicate this in the control report. In such case, granting of support under the geo-spatial application may be refused to the farmer.</w:t>
      </w:r>
      <w:bookmarkStart w:id="685" w:name="p300"/>
      <w:bookmarkEnd w:id="685"/>
    </w:p>
    <w:p w14:paraId="42D55B7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6" w:name="p-1192604"/>
      <w:bookmarkEnd w:id="686"/>
    </w:p>
    <w:p w14:paraId="0E22807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301. A farmer shall certify by signature his or her presence during the check carried out at the holding. The farmer has the right, upon signing the control report, to agree or disagree with the information provided in the control report. If the control report prepared electronically at the time of the check is used, the competent authority shall provide an opportunity for the beneficiary to sign it electronically or shall send the control report to the farmer giving him or her an opportunity to sign it and add comments. If irregularities are established, the farmer shall receive a copy of the control report.</w:t>
      </w:r>
      <w:bookmarkStart w:id="687" w:name="p301"/>
      <w:bookmarkEnd w:id="687"/>
    </w:p>
    <w:p w14:paraId="5CA7B48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8" w:name="p-1192606"/>
      <w:bookmarkEnd w:id="688"/>
    </w:p>
    <w:p w14:paraId="28C510E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302. A farmer is entitled, within 10 working days after receipt of the control report, to submit to the control authority explanations or clarified information.</w:t>
      </w:r>
      <w:bookmarkStart w:id="689" w:name="p302"/>
      <w:bookmarkEnd w:id="689"/>
    </w:p>
    <w:p w14:paraId="2B257B4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0" w:name="p-1192609"/>
      <w:bookmarkEnd w:id="690"/>
    </w:p>
    <w:p w14:paraId="57F7301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303. If the control authority demands additional information on the submitted documents or conformity with the conditions for granting support, a farmer shall, within 10 working days after receipt of the request, submit the relevant information in written form and additional documents. If the farmer fails to submit the requested information, support shall not be granted or it shall be reduced by the unit of the payment in relation to which the demanded information was not received.</w:t>
      </w:r>
      <w:bookmarkStart w:id="691" w:name="p303"/>
      <w:bookmarkEnd w:id="691"/>
    </w:p>
    <w:p w14:paraId="40FC4E9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2" w:name="p-1192611"/>
      <w:bookmarkEnd w:id="692"/>
    </w:p>
    <w:p w14:paraId="2A5F390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304. Each year the control authorities shall assess the results of the on-the-spot checks carried out in the previous year. If on-the-spot checks reveal significant irregularities in respect of any intervention measure, the control authorities shall accordingly increase the percentage of beneficiaries that shall be subject to on-the-spot checks in the following year. The number of on-the-spot checks may be reduced in respect of an intervention measure with a low error rate for several consecutive years.</w:t>
      </w:r>
      <w:bookmarkStart w:id="693" w:name="p304"/>
      <w:bookmarkEnd w:id="693"/>
    </w:p>
    <w:p w14:paraId="221C141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n14.5"/>
      <w:bookmarkStart w:id="695" w:name="n-1192612"/>
      <w:bookmarkEnd w:id="694"/>
      <w:bookmarkEnd w:id="695"/>
    </w:p>
    <w:p w14:paraId="2A3B9FEE"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14.5. Application of the Reduction of Support</w:t>
      </w:r>
    </w:p>
    <w:p w14:paraId="4C7344A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6" w:name="p-1192614"/>
      <w:bookmarkEnd w:id="696"/>
    </w:p>
    <w:p w14:paraId="7D1E8B2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305. On the basis of the results obtained in administrative checks, the area monitoring system, and the on-the-spot checks, the Rural Support Service shall take a decision on the amount of support, the reduction of support to be applied, or the refusal to grant support.</w:t>
      </w:r>
      <w:bookmarkStart w:id="697" w:name="p305"/>
      <w:bookmarkEnd w:id="697"/>
    </w:p>
    <w:p w14:paraId="17CDE72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8" w:name="p-1192616"/>
      <w:bookmarkEnd w:id="698"/>
    </w:p>
    <w:p w14:paraId="5129D12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306. If the checks reveal that the beneficiary does not comply with the conditions for granting support, the support shall not be paid in full or in part.</w:t>
      </w:r>
      <w:bookmarkStart w:id="699" w:name="p306"/>
      <w:bookmarkEnd w:id="699"/>
    </w:p>
    <w:p w14:paraId="4C49CD6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0" w:name="p-1192618"/>
      <w:bookmarkEnd w:id="700"/>
    </w:p>
    <w:p w14:paraId="4659315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307. The reduction of support shall not be applied in respect of such parts of the geo-spatial application whereof a farmer has informed the Rural Support Service in writing that the geospatial application is incorrect or has become incorrect after submission thereof if the farmer was not informed of the intention of the control authority to carry out an on-the-spot check and the authority has not yet informed the farmer of the irregularities in the geo-spatial application. The geo-spatial application shall be adjusted to the actual situation according to the information provided by the farmer.</w:t>
      </w:r>
      <w:bookmarkStart w:id="701" w:name="p307"/>
      <w:bookmarkEnd w:id="701"/>
    </w:p>
    <w:p w14:paraId="66C6E9C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2" w:name="p-1192620"/>
      <w:bookmarkEnd w:id="702"/>
    </w:p>
    <w:p w14:paraId="7802D42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308. The reduction of support shall not be applied if:</w:t>
      </w:r>
      <w:bookmarkStart w:id="703" w:name="p308"/>
      <w:bookmarkEnd w:id="703"/>
    </w:p>
    <w:p w14:paraId="1F91AEB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308.1. the non-compliance with the conditions for granting support is due to an error of the competent authority and the error could not reasonably have been detected by the person;</w:t>
      </w:r>
    </w:p>
    <w:p w14:paraId="32E9691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308.2. the relevant person proves that the non-compliance with the conditions for granting support payments is due to circumstances beyond the control of the person or the competent authority has otherwise ascertained that the relevant person is not involved in the non-compliance with the conditions for granting support.</w:t>
      </w:r>
    </w:p>
    <w:p w14:paraId="3F718EC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4" w:name="p-1192626"/>
      <w:bookmarkEnd w:id="704"/>
    </w:p>
    <w:p w14:paraId="027FC9C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309. If a farmer fails to declare all agricultural parcels at the disposal thereof in the current year and the difference between the total area declared in the geo-spatial application and the total area of the parcels not declared exceeds three per cent of the total area declared, the total amount of the area-based payments referred to in Paragraph 2 of this Regulation to be disbursed to the farmer for the relevant year shall be reduced by three per cent.</w:t>
      </w:r>
      <w:bookmarkStart w:id="705" w:name="p309"/>
      <w:bookmarkEnd w:id="705"/>
    </w:p>
    <w:p w14:paraId="7B6BB9F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6" w:name="p-1192628"/>
      <w:bookmarkEnd w:id="706"/>
    </w:p>
    <w:p w14:paraId="6EC941A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310. If the same area is declared in the geo-spatial application for several area-based support interventions, the relevant area shall be taken into account separately for each support intervention when calculating the reduction of support. In respect of interventions consisting of several crop groups, the area of the relevant crop group shall be taken into account in the calculation of the reduction of support. For the purpose of implementing the area-based interventions referred to in Paragraph 2 of this Regulation, a crop group shall consist of an area with a different amount of support unit.</w:t>
      </w:r>
      <w:bookmarkStart w:id="707" w:name="p310"/>
      <w:bookmarkEnd w:id="707"/>
    </w:p>
    <w:p w14:paraId="39E93C4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8" w:name="p-1233705"/>
      <w:bookmarkEnd w:id="708"/>
    </w:p>
    <w:p w14:paraId="43BA2CB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311. The reduction for the direct payments shall be calculated in accordance with the following procedures:</w:t>
      </w:r>
      <w:bookmarkStart w:id="709" w:name="p311"/>
      <w:bookmarkEnd w:id="709"/>
    </w:p>
    <w:p w14:paraId="58520F7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311.1. the reduction of support referred to in Sub-chapters 14.6, 14.7, and 14.8 of this Regulation shall be applied to all direct payments;</w:t>
      </w:r>
    </w:p>
    <w:p w14:paraId="5F274D4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311.2. the amount obtained by applying the conditions of Sub-paragraph 311.1 of this Regulation shall be used as the basis for calculating the reduction of support in accordance with Paragraph 255 of this Regulation;</w:t>
      </w:r>
    </w:p>
    <w:p w14:paraId="01CC4D8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311.3. the amount obtained by applying the conditions of Sub-paragraph 311.1 of this Regulation shall be used as the basis for calculating the reduction of support in accordance with Paragraph 256 of this Regulation;</w:t>
      </w:r>
    </w:p>
    <w:p w14:paraId="15C5DD8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311.4. the amount obtained by applying the conditions of Sub-paragraphs 311.2 and 311.3 of this Regulation shall be used as the basis for calculating the reduction of support in accordance with Paragraph 309 of this Regulation;</w:t>
      </w:r>
    </w:p>
    <w:p w14:paraId="62D0361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311.5. the amount obtained by applying the conditions of Sub-paragraph 311.4 of this Regulation shall be used as the basis for calculating the reduction of support in accordance with Chapter 7 of this Regulation;</w:t>
      </w:r>
    </w:p>
    <w:p w14:paraId="68B8347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311.6. the amount obtained by applying the conditions of Sub-paragraph 311.4 of this Regulation shall be used as the basis for calculating the financial discipline adjustment rate in accordance with Article 17 of Regulation 2021/2116;</w:t>
      </w:r>
    </w:p>
    <w:p w14:paraId="7DC0F1A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311.7. the amount obtained by applying the conditions of Sub-paragraphs 311.5 and 311.6 of this Regulation shall be used as the basis for calculating the reduction of support in accordance with Sub-chapter 14.10 of this Regulation.</w:t>
      </w:r>
    </w:p>
    <w:p w14:paraId="6E0441C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345C578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65644"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710" w:name="n14.6"/>
      <w:bookmarkStart w:id="711" w:name="n-1192647"/>
      <w:bookmarkEnd w:id="710"/>
      <w:bookmarkEnd w:id="711"/>
      <w:r w:rsidRPr="006F5A86">
        <w:rPr>
          <w:rFonts w:ascii="Times New Roman" w:hAnsi="Times New Roman"/>
          <w:b/>
          <w:noProof/>
          <w:kern w:val="0"/>
          <w:sz w:val="24"/>
          <w:lang w:val="en-US"/>
        </w:rPr>
        <w:t>14.6. Basis for the Calculation of Support and Calculation of Reduction of Support in Case of the Infringement of Eligibility Conditions for Area-based Direct Payments</w:t>
      </w:r>
    </w:p>
    <w:p w14:paraId="03785D7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2" w:name="p-1192649"/>
      <w:bookmarkEnd w:id="712"/>
    </w:p>
    <w:p w14:paraId="3BA5CA1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312. The area for the implementation of area-based interventions shall be the area which corresponds to all eligibility conditions and which has been identified during the administrative or on-the-spot check.</w:t>
      </w:r>
      <w:bookmarkStart w:id="713" w:name="p312"/>
      <w:bookmarkEnd w:id="713"/>
    </w:p>
    <w:p w14:paraId="6246888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4" w:name="p-1192651"/>
      <w:bookmarkEnd w:id="714"/>
    </w:p>
    <w:p w14:paraId="46EFA6E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313. If, in respect of any area-based direct payment (except for the eco-scheme support for agricultural practices beneficial for the environment and for agroecology practices in organic holdings), it is established that the area on-site exceeds the area declared in the geo-spatial application, the declared area shall be used for the calculation of support.</w:t>
      </w:r>
      <w:bookmarkStart w:id="715" w:name="p313"/>
      <w:bookmarkEnd w:id="715"/>
    </w:p>
    <w:p w14:paraId="72E22D2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6" w:name="p-1192653"/>
      <w:bookmarkEnd w:id="716"/>
    </w:p>
    <w:p w14:paraId="69EA1C9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314. If the area declared in the geo-spatial application exceeds the area determined for the crop group referred to in Paragraph 310 of this Regulation, the support shall be calculated on the basis of the determined area.</w:t>
      </w:r>
      <w:bookmarkStart w:id="717" w:name="p314"/>
      <w:bookmarkEnd w:id="717"/>
    </w:p>
    <w:p w14:paraId="555778F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8" w:name="p-1192655"/>
      <w:bookmarkEnd w:id="718"/>
    </w:p>
    <w:p w14:paraId="17C95B3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315. If the area declared in the geo-spatial application exceeds the area determined for the crop group referred to in Paragraph 310 of this Regulation where all eligibility criteria are fulfilled and which has been identified during the checks, the following reduction of support shall be applied:</w:t>
      </w:r>
    </w:p>
    <w:p w14:paraId="22BD875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315.1. if the excess is up to three per cent of the determined area, but not more than two hectares, the reduction of support shall not be applied;</w:t>
      </w:r>
    </w:p>
    <w:p w14:paraId="5BFD716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315.2. if the excess is more than three per cent or two hectares, the area eligible for support shall be reduced by the amount calculated by multiplying the number of excess hectares by a coefficient of one, yet the reduction of support shall not exceed the size of the determined area.</w:t>
      </w:r>
    </w:p>
    <w:p w14:paraId="24F3D4E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9" w:name="p-1192661"/>
      <w:bookmarkEnd w:id="719"/>
    </w:p>
    <w:p w14:paraId="393C92D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316. If, in respect of the intervention referred to in Sub-paragraph 2.4 of this Regulation, the area that is declared in the geo-spatial application for the intervention referred to in Sub-paragraph 2.1 of this Regulation exceeds the limits referred to in Paragraph 118 of this Regulation, the area declared in the geo-spatial application shall be reduced to the abovementioned limit.</w:t>
      </w:r>
      <w:bookmarkStart w:id="720" w:name="p316"/>
      <w:bookmarkEnd w:id="720"/>
    </w:p>
    <w:p w14:paraId="63DB116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1" w:name="p-1192663"/>
      <w:bookmarkEnd w:id="721"/>
    </w:p>
    <w:p w14:paraId="6637BCE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317. Without prejudice to the reduction of support applicable in accordance with Paragraphs 315 and 316 of this Regulation, if it is established that the beneficiary does not comply with the obligations referred to in Chapter 11 of this Regulation, the support for young farmers shall not be paid or the farmer shall reimburse the support for young farmers received for the relevant year.</w:t>
      </w:r>
      <w:bookmarkStart w:id="722" w:name="p317"/>
      <w:bookmarkEnd w:id="722"/>
    </w:p>
    <w:p w14:paraId="035739B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D2F97"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bookmarkStart w:id="723" w:name="n14.7"/>
      <w:bookmarkStart w:id="724" w:name="n-1192665"/>
      <w:bookmarkEnd w:id="723"/>
      <w:bookmarkEnd w:id="724"/>
      <w:r w:rsidRPr="006F5A86">
        <w:rPr>
          <w:rFonts w:ascii="Times New Roman" w:hAnsi="Times New Roman"/>
          <w:b/>
          <w:noProof/>
          <w:kern w:val="0"/>
          <w:sz w:val="24"/>
          <w:lang w:val="en-US"/>
        </w:rPr>
        <w:t>14.7. Determination of the Basis for the Calculation of Support and Calculation of Reduction of Support for the Eco-scheme Support for Agricultural Practices Beneficial for the Environment and the Climate and the Eco-scheme Support for Agroecology Practices in Organic Holdings in Case of the Infringement of Eligibility Conditions</w:t>
      </w:r>
    </w:p>
    <w:p w14:paraId="60278A1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5" w:name="p-1192667"/>
      <w:bookmarkEnd w:id="725"/>
    </w:p>
    <w:p w14:paraId="67E9BD8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318. If the same area is used for more than one agricultural practice for the eco-scheme support for agricultural practices beneficial for the environment and the eco-scheme support for agroecology practices in organic holdings, this area shall be taken into account for each agricultural practice.</w:t>
      </w:r>
      <w:bookmarkStart w:id="726" w:name="p318"/>
      <w:bookmarkEnd w:id="726"/>
    </w:p>
    <w:p w14:paraId="0D195CE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7" w:name="p-1192669"/>
      <w:bookmarkEnd w:id="727"/>
    </w:p>
    <w:p w14:paraId="210D065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319. The area to be used for the calculation of the eco-scheme support referred to in Paragraph 318 of this Regulation shall be:</w:t>
      </w:r>
      <w:bookmarkStart w:id="728" w:name="p319"/>
      <w:bookmarkEnd w:id="728"/>
    </w:p>
    <w:p w14:paraId="0BB9394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319.1. the total area of eligible crops declared in the geo-spatial application for the eco-scheme if it is less than the total area of eligible crops determined for the eco-scheme;</w:t>
      </w:r>
    </w:p>
    <w:p w14:paraId="5BD84F4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319.2. the total area of eligible crops determined for the eco-scheme if it is less than the total area of eligible crops declared in the geo-spatial application for the eco-scheme.</w:t>
      </w:r>
    </w:p>
    <w:p w14:paraId="1466773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9" w:name="p-1192675"/>
      <w:bookmarkEnd w:id="729"/>
    </w:p>
    <w:p w14:paraId="39F84EB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320. If it is established that the area determined for the main crops occupies more than the area specified in Sub-paragraphs 133.2 and 176.1 of this Regulation, the area to be used for the calculation of the relevant eco-scheme support which is determined in accordance with Paragraph 319 of this Regulation shall be reduced by the amount calculated by multiplying the number of excess hectares by the coefficient of one.</w:t>
      </w:r>
      <w:bookmarkStart w:id="730" w:name="p320"/>
      <w:bookmarkEnd w:id="730"/>
    </w:p>
    <w:p w14:paraId="05EFFB1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1" w:name="p-1192677"/>
      <w:bookmarkEnd w:id="731"/>
    </w:p>
    <w:p w14:paraId="627FDDC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321. The area which requires a soil cover shall be calculated on the basis of the determined total area of arable land in respect of the requirements referred to in Sub-paragraphs 133.3 and 176.2 of this Regulation. If the determined area where soil cover has been ensured is less than the area referred to in Sub-paragraphs 133.3 and 176.2 of this Regulation, the area to be used for the calculation of the relevant eco-scheme support which is determined in accordance with Paragraph 319 of this Regulation shall be reduced by the number of hectares where the requirement for soil cover has not been conformed to. If the requirements referred to in Paragraphs 134 and 177 of this Regulation are not conformed to in the area of permanent crops, a decision shall be taken to refuse to grant the relevant eco-scheme support for the area where the soil cover is not ensured.</w:t>
      </w:r>
      <w:bookmarkStart w:id="732" w:name="p321"/>
      <w:bookmarkEnd w:id="732"/>
    </w:p>
    <w:p w14:paraId="5E6BAE8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3" w:name="p-1233554"/>
      <w:bookmarkEnd w:id="733"/>
    </w:p>
    <w:p w14:paraId="641424D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322. If the area which, in accordance with Paragraph 319 of this Regulation, is used for the calculation of the eco-scheme support for agricultural practices beneficial for the environment and the eco-scheme support for agroecology practices in organic holdings differs from the area to be used for the calculation of the relevant eco-scheme support after application of the requirements referred to in Paragraphs 320 and 321 of this Regulation, the relevant eco-scheme support shall be calculated on the basis of this latter area reduced by the established excess that is multiplied by the coefficient of one if the established excess is more than three per cent or two hectares.</w:t>
      </w:r>
      <w:bookmarkStart w:id="734" w:name="p322"/>
      <w:bookmarkEnd w:id="734"/>
    </w:p>
    <w:p w14:paraId="73D6799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0602764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5" w:name="p-1233555"/>
      <w:bookmarkEnd w:id="735"/>
    </w:p>
    <w:p w14:paraId="277FA00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323. The amount of the reduction of support calculated in accordance with Paragraph 322 of this Regulation and expressed in hectares shall not exceed the total number of hectares to be used for the calculation of the relevant eco-scheme support.</w:t>
      </w:r>
      <w:bookmarkStart w:id="736" w:name="p323"/>
      <w:bookmarkEnd w:id="736"/>
    </w:p>
    <w:p w14:paraId="662A6B5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04655AD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7" w:name="n14.8"/>
      <w:bookmarkStart w:id="738" w:name="n-1192683"/>
      <w:bookmarkEnd w:id="737"/>
      <w:bookmarkEnd w:id="738"/>
    </w:p>
    <w:p w14:paraId="3F5B1A0A"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14.8. Basis for the Calculation of Support and Calculation of Reduction of Support for Animal-based Coupled Income Support Interventions</w:t>
      </w:r>
    </w:p>
    <w:p w14:paraId="2502B7F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9" w:name="p-1192685"/>
      <w:bookmarkEnd w:id="739"/>
    </w:p>
    <w:p w14:paraId="7459544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324. Animals which have not been identified correctly or which have not been registered in the system for the identification and registration of animals shall be considered unidentifiable animals.</w:t>
      </w:r>
      <w:bookmarkStart w:id="740" w:name="p324"/>
      <w:bookmarkEnd w:id="740"/>
    </w:p>
    <w:p w14:paraId="2202184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1" w:name="p-1192687"/>
      <w:bookmarkEnd w:id="741"/>
    </w:p>
    <w:p w14:paraId="456B485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325. Conformity with the requirements for the identification and registration of bovine animals, including dairy cows, ovine and caprine animals, shall be assessed, taking into account the following conditions:</w:t>
      </w:r>
      <w:bookmarkStart w:id="742" w:name="p325"/>
      <w:bookmarkEnd w:id="742"/>
    </w:p>
    <w:p w14:paraId="3FC23F6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325.1. a bovine animal at the holding which has lost one of the two means of identification shall be considered identifiable if the animal is clearly and individually identifiable by other elements of the system for the identification and registration of bovine animals referred to in Article 108(3) of Regulation 2016/429;</w:t>
      </w:r>
    </w:p>
    <w:p w14:paraId="1A07A63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325.2. an ovine or caprine animal at the holding which has lost one of the two means of identification shall be considered identifiable if the animal is identifiable in accordance with Article 108(3) of Regulation 2016/429 and other requirements for the identification and registration of ovine and caprine animals are ensured;</w:t>
      </w:r>
    </w:p>
    <w:p w14:paraId="32815F1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325.3. if only one bovine, ovine, or caprine animal at the holding has lost both means of identification, the animal shall be considered identifiable if it can be individually identified by the animal register, the animal passport, the electronic database, or other means provided for in Regulation 2016/429 and the animal keeper can prove that he or she is already taking action to remedy the situation even before receiving the notice of the on-the-spot check;</w:t>
      </w:r>
    </w:p>
    <w:p w14:paraId="282A6CB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325.4. if a non-compliance has been established in the animal register, the animal passport, or the electronic database, the relevant animal shall be considered unidentifiable only if the incorrect entries have been established in at least two checks in the period of 24 months;</w:t>
      </w:r>
    </w:p>
    <w:p w14:paraId="7E98B2F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325.5. if events involving animals are notified late in the electronic database, the relevant animal shall be considered identifiable if the relevant information has been notified before the start of the keeping period.</w:t>
      </w:r>
    </w:p>
    <w:p w14:paraId="43179B4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3" w:name="p-1192695"/>
      <w:bookmarkEnd w:id="743"/>
    </w:p>
    <w:p w14:paraId="7BADE1D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326. Entries and notifications in the animal register of the Agricultural Data Centre may be corrected at any time if obvious errors are established by the competent authority.</w:t>
      </w:r>
      <w:bookmarkStart w:id="744" w:name="p326"/>
      <w:bookmarkEnd w:id="744"/>
    </w:p>
    <w:p w14:paraId="58BED60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5" w:name="p-1192696"/>
      <w:bookmarkEnd w:id="745"/>
    </w:p>
    <w:p w14:paraId="2C2545A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327. The total amount of support to which the beneficiary is entitled in accordance with the coupled income support intervention shall be disbursed on the basis of the number of potentially eligible animals in the ownership of the farmer which is registered in the animal register of the Agricultural Data Centre on the first day of the keeping period and the eligibility conditions are fulfilled if the administrative or on-the-spot check reveals that not more than three animals are unidentified and bovine, ovine, and caprine animals can be individually identified by any means provided for in the system for the identification and registration of animals.</w:t>
      </w:r>
      <w:bookmarkStart w:id="746" w:name="p327"/>
      <w:bookmarkEnd w:id="746"/>
    </w:p>
    <w:p w14:paraId="2CEEB8B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7" w:name="p-1233706"/>
      <w:bookmarkEnd w:id="747"/>
    </w:p>
    <w:p w14:paraId="5D32220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328. If there are more than three unidentified animals or bovine, ovine, and caprine animals which cannot be individually identified by any means provided for in the system for the identification and registration of animals, the support to which the applicant is entitled in respect of the coupled income support intervention:</w:t>
      </w:r>
      <w:bookmarkStart w:id="748" w:name="p328"/>
      <w:bookmarkEnd w:id="748"/>
    </w:p>
    <w:p w14:paraId="6750013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328.1. is reduced by the percentage that is determined by dividing the number of unidentified animals by the number of animals determined for the relevant intervention in the current year if such percentage does not exceed 20 per cent;</w:t>
      </w:r>
    </w:p>
    <w:p w14:paraId="034B8E4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328.2. is reduced by twice the percentage that is determined by dividing the number of unidentified animals by the number of animals determined for the relevant intervention in the current year if such percentage exceeds 20 per cent but does not exceed 50 per cent;</w:t>
      </w:r>
    </w:p>
    <w:p w14:paraId="049EC1F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328.3. is not granted if the percentage that is determined by dividing the number of the established unidentified animals by the number of animals determined for the relevant intervention exceeds 50 per cent.</w:t>
      </w:r>
    </w:p>
    <w:p w14:paraId="5984F29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5C5B2FA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9" w:name="p-1192701"/>
      <w:bookmarkEnd w:id="749"/>
    </w:p>
    <w:p w14:paraId="313F51E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329. With the exception of specific situations, the death of an animal as a consequence of a disease or an accident may be recognised as exceptional circumstances affecting the herd if it is not found that the beneficiary is at fault.</w:t>
      </w:r>
      <w:bookmarkStart w:id="750" w:name="p329"/>
      <w:bookmarkEnd w:id="750"/>
    </w:p>
    <w:p w14:paraId="65354AD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1" w:name="n14.9"/>
      <w:bookmarkStart w:id="752" w:name="n-1192702"/>
      <w:bookmarkEnd w:id="751"/>
      <w:bookmarkEnd w:id="752"/>
    </w:p>
    <w:p w14:paraId="488581C9"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14.9. Checks for the Fulfilment of the Conditionality Requirements</w:t>
      </w:r>
    </w:p>
    <w:p w14:paraId="44D0C7C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3" w:name="p-1192703"/>
      <w:bookmarkEnd w:id="753"/>
    </w:p>
    <w:p w14:paraId="188CC2E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330. In order to verify compliance with the provisions of the GAEC standards specified in Chapter 6 of this Regulation and the requirements included in Annex 8 to this Regulation, the competent control authorities shall carry out administrative and on-the-spot checks at the holding.</w:t>
      </w:r>
      <w:bookmarkStart w:id="754" w:name="p330"/>
      <w:bookmarkEnd w:id="754"/>
    </w:p>
    <w:p w14:paraId="6B1E1F2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5" w:name="p-1192704"/>
      <w:bookmarkEnd w:id="755"/>
    </w:p>
    <w:p w14:paraId="7D9E62C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331. The competent control authority shall establish a control sample in accordance with Article 83(6)(d) of Regulation 2021/2116.</w:t>
      </w:r>
      <w:bookmarkStart w:id="756" w:name="p331"/>
      <w:bookmarkEnd w:id="756"/>
    </w:p>
    <w:p w14:paraId="404041F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7" w:name="p-1192705"/>
      <w:bookmarkEnd w:id="757"/>
    </w:p>
    <w:p w14:paraId="7C2E5F5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332. The competent control authority shall carry out on-the-spot checks at the holding for at least one per cent of the total number of applicants for direct payment interventions and area-based rural development interventions, verifying compliance with the conditionality requirements and standards in the field of the competence thereof.</w:t>
      </w:r>
      <w:bookmarkStart w:id="758" w:name="p332"/>
      <w:bookmarkEnd w:id="758"/>
    </w:p>
    <w:p w14:paraId="1A0C6D9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9" w:name="p-1192706"/>
      <w:bookmarkEnd w:id="759"/>
    </w:p>
    <w:p w14:paraId="69D408F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333. On-the-spot checks at the holding, excluding checks involving animals, may be announced in advance if it does not jeopardise the purpose or results of checks. Checks shall be announced not earlier than 14 calendar days in advance.</w:t>
      </w:r>
      <w:bookmarkStart w:id="760" w:name="p333"/>
      <w:bookmarkEnd w:id="760"/>
    </w:p>
    <w:p w14:paraId="066831B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1" w:name="p-1192707"/>
      <w:bookmarkEnd w:id="761"/>
    </w:p>
    <w:p w14:paraId="6648E2D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334. On-the-spot checks at the holding for the purpose of controlling the compliance with the conditionality requirements in respect of animals shall be notified not earlier than 48 hours in advance.</w:t>
      </w:r>
      <w:bookmarkStart w:id="762" w:name="p334"/>
      <w:bookmarkEnd w:id="762"/>
    </w:p>
    <w:p w14:paraId="15345C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3" w:name="p-1192708"/>
      <w:bookmarkEnd w:id="763"/>
    </w:p>
    <w:p w14:paraId="14C3076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335. If, during an on-the-spot check at the holding, significant non-compliance in terms of the compliance with the conditionality management requirements or standards is established, the number of checks of such management requirements or standards shall be increased in the subsequent control period. The competent control authority may decide to limit the number of on-the-spot checks to be carried out and to check only those requirements for which the highest number of infringements has been established.</w:t>
      </w:r>
      <w:bookmarkStart w:id="764" w:name="p335"/>
      <w:bookmarkEnd w:id="764"/>
    </w:p>
    <w:p w14:paraId="18FF7DD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5" w:name="p-1192709"/>
      <w:bookmarkEnd w:id="765"/>
    </w:p>
    <w:p w14:paraId="1C8C6EC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336. A farmer shall provide an opportunity for the competent control authorities to carry out checks related to compliance with the conditionality requirements at the holding and shall, upon request, present documents necessary for the check. The farmer shall provide access to farmed animals for on-the-spot check of animals at the holding. Failure by the farmer to provide access to the animals shall be considered as prevention of the check.</w:t>
      </w:r>
      <w:bookmarkStart w:id="766" w:name="p336"/>
      <w:bookmarkEnd w:id="766"/>
    </w:p>
    <w:p w14:paraId="528202C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7" w:name="p-1192710"/>
      <w:bookmarkEnd w:id="767"/>
    </w:p>
    <w:p w14:paraId="60B0B71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337. The competent control authority shall check compliance with the requirements and standards within the competence thereof. The checks shall be carried out at a time when it is possible to control the compliance with the majority of the conditionality requirements and standards.</w:t>
      </w:r>
      <w:bookmarkStart w:id="768" w:name="p337"/>
      <w:bookmarkEnd w:id="768"/>
    </w:p>
    <w:p w14:paraId="766D262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9" w:name="p-1192711"/>
      <w:bookmarkEnd w:id="769"/>
    </w:p>
    <w:p w14:paraId="545C96F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338. The control authority shall, when using the area monitoring system, including remote sensing and satellite image data for checks, draw conclusions on the compliance with the conditionality management requirements and standards. After the check, a farmer shall be notified of the provisional results of the check and allowed, if possible, to remedy the irregularities within one month.</w:t>
      </w:r>
      <w:bookmarkStart w:id="770" w:name="p338"/>
      <w:bookmarkEnd w:id="770"/>
    </w:p>
    <w:p w14:paraId="7F18F0A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1" w:name="p-1192712"/>
      <w:bookmarkEnd w:id="771"/>
    </w:p>
    <w:p w14:paraId="7AD6005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339. For each check of the conditionality requirements at the holding, the competent control authority shall prepare and send to a farmer a control report consisting of:</w:t>
      </w:r>
      <w:bookmarkStart w:id="772" w:name="p339"/>
      <w:bookmarkEnd w:id="772"/>
    </w:p>
    <w:p w14:paraId="7ED85EE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339.1. the general part which shall specify:</w:t>
      </w:r>
    </w:p>
    <w:p w14:paraId="4DBE8908"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339.1.1. the given name and surname of the beneficiary selected for the on-the-spot check;</w:t>
      </w:r>
    </w:p>
    <w:p w14:paraId="219BD724"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339.1.2. the given name and surname of the persons present;</w:t>
      </w:r>
    </w:p>
    <w:p w14:paraId="729954BF"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339.1.3. a note whether prior notice of the visit was given to the beneficiary and the time of prior notice;</w:t>
      </w:r>
    </w:p>
    <w:p w14:paraId="7F5506F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339.2. the operative part which shall specify:</w:t>
      </w:r>
    </w:p>
    <w:p w14:paraId="7BF91B00"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339.2.1. the requirements and standards subject to compliance checks;</w:t>
      </w:r>
    </w:p>
    <w:p w14:paraId="1E8DD726"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339.2.2. the type and scope of the checks;</w:t>
      </w:r>
    </w:p>
    <w:p w14:paraId="428381EE"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339.2.3. the established facts;</w:t>
      </w:r>
    </w:p>
    <w:p w14:paraId="4A1C58FC" w14:textId="77777777" w:rsidR="006F5A86" w:rsidRPr="006F5A86" w:rsidRDefault="006F5A86" w:rsidP="006F5A86">
      <w:pPr>
        <w:shd w:val="clear" w:color="auto" w:fill="FFFFFF"/>
        <w:spacing w:after="0" w:line="240" w:lineRule="auto"/>
        <w:ind w:left="709" w:firstLine="709"/>
        <w:jc w:val="both"/>
        <w:rPr>
          <w:rFonts w:ascii="Times New Roman" w:hAnsi="Times New Roman"/>
          <w:noProof/>
          <w:kern w:val="0"/>
          <w:sz w:val="24"/>
          <w:lang w:val="en-US"/>
        </w:rPr>
      </w:pPr>
      <w:r w:rsidRPr="006F5A86">
        <w:rPr>
          <w:rFonts w:ascii="Times New Roman" w:hAnsi="Times New Roman"/>
          <w:noProof/>
          <w:kern w:val="0"/>
          <w:sz w:val="24"/>
          <w:lang w:val="en-US"/>
        </w:rPr>
        <w:t>339.2.4. the requirements and standards in respect of which a non-compliance has been established.</w:t>
      </w:r>
    </w:p>
    <w:p w14:paraId="3C8E870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3" w:name="p-1192722"/>
      <w:bookmarkEnd w:id="773"/>
    </w:p>
    <w:p w14:paraId="42DDE17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340. The competent control authority shall develop a methodology for assessing compliance with the conditionality requirements and standards within the competence thereof in accordance with Article 7 of Commission Delegated Regulation (EU) 2022/1172 of 4 May 2022 supplementing Regulation (EU) 2021/2116 of the European Parliament and of the Council with regard to the integrated administration and control system in the common agricultural policy and the application and calculation of administrative penalties for conditionality (hereinafter – Regulation 2022/1172), taking into account the severity, extent, persistence, or recurrence of the established non-compliance and whether the non-compliance is intentional or non-intentional.</w:t>
      </w:r>
      <w:bookmarkStart w:id="774" w:name="p340"/>
      <w:bookmarkEnd w:id="774"/>
    </w:p>
    <w:p w14:paraId="551F839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5" w:name="p-1192723"/>
      <w:bookmarkEnd w:id="775"/>
    </w:p>
    <w:p w14:paraId="3508579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341. The control report shall be prepared within one month after the on-the-spot check. This period may be extended to three months under duly justified circumstances, in particular if this is necessary for carrying out analyses. If no infringements are established during the check, the control report need not be sent to a farmer.</w:t>
      </w:r>
      <w:bookmarkStart w:id="776" w:name="p341"/>
      <w:bookmarkEnd w:id="776"/>
    </w:p>
    <w:p w14:paraId="1C1592A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7" w:name="p-1192724"/>
      <w:bookmarkEnd w:id="777"/>
    </w:p>
    <w:p w14:paraId="02A8C7A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342. If remote sensing or the area monitoring system has been used during the checks in accordance with Article 83(6)(c) of Regulation 2021/2116, the control report shall indicate the results of the monitoring checks at parcel level.</w:t>
      </w:r>
      <w:bookmarkStart w:id="778" w:name="p342"/>
      <w:bookmarkEnd w:id="778"/>
    </w:p>
    <w:p w14:paraId="1FFEF14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9" w:name="p-1192725"/>
      <w:bookmarkEnd w:id="779"/>
    </w:p>
    <w:p w14:paraId="127A4A4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343. A farmer may submit an opinion on the control report prepared by the competent control authority within 10 working days after receipt of the report referred to in Paragraph 339 of this Regulation.</w:t>
      </w:r>
      <w:bookmarkStart w:id="780" w:name="p343"/>
      <w:bookmarkEnd w:id="780"/>
    </w:p>
    <w:p w14:paraId="7880FD8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1" w:name="p-1192726"/>
      <w:bookmarkEnd w:id="781"/>
    </w:p>
    <w:p w14:paraId="078A2B0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344. The competent control authority shall submit the results of the check to the Rural Support Service within one month after completion of the control report.</w:t>
      </w:r>
      <w:bookmarkStart w:id="782" w:name="p344"/>
      <w:bookmarkEnd w:id="782"/>
    </w:p>
    <w:p w14:paraId="5AA1C4C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3" w:name="n14.10"/>
      <w:bookmarkStart w:id="784" w:name="n-1192727"/>
      <w:bookmarkEnd w:id="783"/>
      <w:bookmarkEnd w:id="784"/>
    </w:p>
    <w:p w14:paraId="0B06A4DE"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14.10. Reduction of Support for Non-compliance with the Conditionality Requirements</w:t>
      </w:r>
    </w:p>
    <w:p w14:paraId="18EF905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5" w:name="p-1192728"/>
      <w:bookmarkEnd w:id="785"/>
    </w:p>
    <w:p w14:paraId="3980720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345. If the competent control authority establishes non-compliance with the conditionality requirements, it shall apply to a farmer the reduction of support in accordance with Article 85 of Regulation 2021/2116 and Chapter III of Regulation 2022/1172.</w:t>
      </w:r>
      <w:bookmarkStart w:id="786" w:name="p345"/>
      <w:bookmarkEnd w:id="786"/>
    </w:p>
    <w:p w14:paraId="0FA45BE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7" w:name="p-1192729"/>
      <w:bookmarkEnd w:id="787"/>
    </w:p>
    <w:p w14:paraId="2F65839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346. If, after assessing the severity, extent, persistence, or recurrence of a non-compliance and whether the non-compliance is intentional or non-intentional, it is established that the infringement has no significant impact on the achievement of the relevant objectives of requirements and standards, a warning shall be given to a farmer in accordance with Article 85(3) of Regulation 2021/2116 without applying the reduction of support. The competent authority shall specify in the warning the infringement, the measures to be taken to remedy it, and also the period within which the infringement is to be remedied.</w:t>
      </w:r>
      <w:bookmarkStart w:id="788" w:name="p346"/>
      <w:bookmarkEnd w:id="788"/>
    </w:p>
    <w:p w14:paraId="6475B17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9" w:name="p-1192730"/>
      <w:bookmarkEnd w:id="789"/>
    </w:p>
    <w:p w14:paraId="1226D16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347. If the infringement for which a warning has been given has not been remedied within the specified period, the reduction of support shall be applied in the form of a repeated infringement.</w:t>
      </w:r>
      <w:bookmarkStart w:id="790" w:name="p347"/>
      <w:bookmarkEnd w:id="790"/>
    </w:p>
    <w:p w14:paraId="763BC00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1" w:name="p-1192731"/>
      <w:bookmarkEnd w:id="791"/>
    </w:p>
    <w:p w14:paraId="6D425FB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348. The Rural Support Service shall take the decision on the application of the reduction of support on the basis of the non-compliance report of the competent control authority and taking into account the criteria referred to in Article 85(1), second subparagraph of Regulation 2021/2116.</w:t>
      </w:r>
      <w:bookmarkStart w:id="792" w:name="p348"/>
      <w:bookmarkEnd w:id="792"/>
    </w:p>
    <w:p w14:paraId="265F29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3" w:name="p-1192732"/>
      <w:bookmarkEnd w:id="793"/>
    </w:p>
    <w:p w14:paraId="2BBD7B0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349. If non-compliance with one of the conditionality requirements is established, the total amount of support for direct payment interventions and area-based rural development interventions shall be reduced as follows:</w:t>
      </w:r>
      <w:bookmarkStart w:id="794" w:name="p349"/>
      <w:bookmarkEnd w:id="794"/>
    </w:p>
    <w:p w14:paraId="1F247C2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349.1. by 0.5 per cent if non-intentional irregularity is established during the checks of the area monitoring system in accordance with Article 9(5) of Regulation 2021/1172;</w:t>
      </w:r>
    </w:p>
    <w:p w14:paraId="55BCA7A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349.2. by one per cent if non-intentional irregularity has been assessed by the competent control authority as insignificant in accordance with Article 9(1) of Regulation 2022/1172;</w:t>
      </w:r>
    </w:p>
    <w:p w14:paraId="4177D12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349.3. by three per cent if non-intentional irregularity has occurred in accordance with Article 85(2) of Regulation 2021/2116 and the infringement of the conditionality management requirement or standard has occurred due to negligence or ignorance of a farmer;</w:t>
      </w:r>
    </w:p>
    <w:p w14:paraId="2C9FED8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349.4. by five per cent if non-intentional irregularity has been established which has a significant impact on the achievement of the relevant objective of standard or requirement in accordance with Article 9(2) of Regulation 2022/1172;</w:t>
      </w:r>
    </w:p>
    <w:p w14:paraId="0E6859D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349.5. by 10 per cent if non-intentional irregularity has been established which constitutes a direct risk to public or animal health in accordance with Article 9(2) of Regulation 2022/1172;</w:t>
      </w:r>
    </w:p>
    <w:p w14:paraId="544C5CD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349.6. by 10 per cent if the same irregularity continues to persist or recurs once during three consecutive calendar months in accordance with Article 85(6) of Regulation 2021/2116;</w:t>
      </w:r>
    </w:p>
    <w:p w14:paraId="10933B24"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349.7. by 15 per cent if intentional irregularity has been established in accordance with Article 9(3) of Regulation 2022/1172 and if the same irregularity persists or recurs more than once during three consecutive calendar years and it is not justified by a farmer or constitutes a direct risk to public or animal health or irreversible damage to the environment or to the achievement of the climate objectives;</w:t>
      </w:r>
    </w:p>
    <w:p w14:paraId="7B50980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349.8. by 25 to 100 per cent if intentional irregularity has been established in accordance with Article 10 of Regulation 2022/1172, in particular if due to the impact thereof damage is caused to third parties and significant financial loss or additional costs are caused to remedy the consequences of the infringement.</w:t>
      </w:r>
    </w:p>
    <w:p w14:paraId="5DE587C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5" w:name="p-1192741"/>
      <w:bookmarkEnd w:id="795"/>
    </w:p>
    <w:p w14:paraId="4997D17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350. If multiple cases of irregularities with the conditionality management requirements and standards have occurred in one calendar year, the reduction of support shall be applied in accordance with Article 11 of Regulation 2022/1172.</w:t>
      </w:r>
      <w:bookmarkStart w:id="796" w:name="p350"/>
      <w:bookmarkEnd w:id="796"/>
    </w:p>
    <w:p w14:paraId="604B7DB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7" w:name="p-1192742"/>
      <w:bookmarkEnd w:id="797"/>
    </w:p>
    <w:p w14:paraId="4B23049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351. If it is impossible to determine the calendar year in which the non-compliance occurred, the reduction of support shall be calculated on the basis of the payments granted in the calendar year in which the non-compliance was established.</w:t>
      </w:r>
      <w:bookmarkStart w:id="798" w:name="p351"/>
      <w:bookmarkEnd w:id="798"/>
    </w:p>
    <w:p w14:paraId="1973DB4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9" w:name="p-1192743"/>
      <w:bookmarkEnd w:id="799"/>
    </w:p>
    <w:p w14:paraId="0CB075D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352. In case of establishing a non-compliance with the GAEC standard 1, the total amount of support for the direct payment interventions and area-based rural development interventions for which the geo-spatial application has been submitted by a farmer shall be reduced by:</w:t>
      </w:r>
      <w:bookmarkStart w:id="800" w:name="p352"/>
      <w:bookmarkEnd w:id="800"/>
    </w:p>
    <w:p w14:paraId="68A53EF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352.1. one per cent if the difference between the area to be re-established and the area actually re-established is less than three per cent or does not exceed 0.3 hectares;</w:t>
      </w:r>
    </w:p>
    <w:p w14:paraId="266CD09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352.2. three per cent if the difference between the area to be re-established and the area actually re-established is between three and twenty per cent;</w:t>
      </w:r>
    </w:p>
    <w:p w14:paraId="3789E77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352.3. five per cent if the difference between the area to be re-established and the area actually re-established exceeds 20 per cent;</w:t>
      </w:r>
    </w:p>
    <w:p w14:paraId="4080F70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352.4. 10 per cent if the relevant obligation has not been fulfilled or recurs once during three consecutive calendar years;</w:t>
      </w:r>
    </w:p>
    <w:p w14:paraId="2E918FA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352.5. 15 up to 100 per cent if the relevant obligation has not been fulfilled or recurs more than once during three consecutive calendar years and the farmer fails to provide a reasoned justification.</w:t>
      </w:r>
    </w:p>
    <w:p w14:paraId="213FBCE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1" w:name="p-1192749"/>
      <w:bookmarkEnd w:id="801"/>
    </w:p>
    <w:p w14:paraId="253F94B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353. In case of establishing a non-compliance with the GAEC standard 2, the GAEC standard 3, the GAEC standard 4, the GAEC standard 5, the GAEC standard 7, the GAEC standard 8, and the GAEC standard 9, the total amount of support for the direct payment interventions and area-based rural development interventions for the area where the non-compliance is established shall be reduced by:</w:t>
      </w:r>
      <w:bookmarkStart w:id="802" w:name="p353"/>
      <w:bookmarkEnd w:id="802"/>
    </w:p>
    <w:p w14:paraId="1339B27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353.1. one per cent if the difference between the area where the non-compliance is established and the area whereto the relevant requirement is applicable is less than three per cent or does not exceed 0.3 hectares;</w:t>
      </w:r>
    </w:p>
    <w:p w14:paraId="27801B4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353.2. three per cent if the difference between the area where the non-compliance is established and the area whereto the relevant requirement is applicable is between three and twenty per cent;</w:t>
      </w:r>
    </w:p>
    <w:p w14:paraId="78A263E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353.3. five per cent if the difference between the area where the non-compliance is established and the area whereto the relevant requirement is applicable exceeds twenty per cent;</w:t>
      </w:r>
    </w:p>
    <w:p w14:paraId="08DF863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353.4. 10 per cent if the requirements of the relevant standard have not been complied with or non-compliance therewith recurs once during three consecutive calendar years;</w:t>
      </w:r>
    </w:p>
    <w:p w14:paraId="022C91A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353.5. 15 up to 100 per cent if the requirements of the relevant standard have not been complied with or non-compliance therewith recurs more than once during three consecutive calendar years and the farmer fails to provide a reasoned justification;</w:t>
      </w:r>
    </w:p>
    <w:p w14:paraId="02DD34F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353.6. 10 per cent if preservation of the areas reconverted into or established as areas of permanent grassland has not been ensured for at least five consecutive years after repeated reconversion or establishment thereof as specified in Paragraph 57 of this Regulation.</w:t>
      </w:r>
    </w:p>
    <w:p w14:paraId="7B4604D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3" w:name="p-1192756"/>
      <w:bookmarkEnd w:id="803"/>
    </w:p>
    <w:p w14:paraId="4835329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354. In case of establishing a non-compliance with the requirements of the GAEC standard 6 and the GAEC standard 8 when the required area is not reached in order to consider that the requirements have been fulfilled, the total amount of support for the direct payment interventions and area-based rural development interventions for which the geo-spatial application has been submitted by a farmer shall be reduced by:</w:t>
      </w:r>
      <w:bookmarkStart w:id="804" w:name="p354"/>
      <w:bookmarkEnd w:id="804"/>
    </w:p>
    <w:p w14:paraId="3BE20EB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354.1. one per cent if the difference between the area intended for the fulfilment of the requirements of the relevant standard and the actual area is less than three per cent or does not exceed 0.3 hectares;</w:t>
      </w:r>
    </w:p>
    <w:p w14:paraId="6A5A553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354.2. three per cent if the difference between the area intended for the fulfilment of the requirements of the relevant standard and the actual area is between three and twenty per cent;</w:t>
      </w:r>
    </w:p>
    <w:p w14:paraId="26852D8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354.3. five per cent if the difference between the area intended for the fulfilment of the requirements of the relevant standard and the actual area exceeds twenty per cent;</w:t>
      </w:r>
    </w:p>
    <w:p w14:paraId="5E304D23"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354.4. 10 per cent if the requirements of the relevant standard have not been complied with or non-compliance therewith recurs once during three consecutive calendar years;</w:t>
      </w:r>
    </w:p>
    <w:p w14:paraId="7E0C2149"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354.5. 15 up to 100 per cent if the requirements of the relevant standard have not been complied with or non-compliance therewith recurs more than once during three consecutive calendar years and the farmer fails to provide a reasoned justification.</w:t>
      </w:r>
    </w:p>
    <w:p w14:paraId="3265EB1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5" w:name="p-1192762"/>
      <w:bookmarkEnd w:id="805"/>
    </w:p>
    <w:p w14:paraId="0AF9086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355. If, over a period of one year, the geo-spatial application which does not meet the conditionality management requirements or standards is transferred to another person, the reduction of support, in accordance with Article 84(2)(a) of Regulation 2021/2116, shall be applied to the person to whom the agricultural land or holding has been transferred.</w:t>
      </w:r>
      <w:bookmarkStart w:id="806" w:name="p355"/>
      <w:bookmarkEnd w:id="806"/>
    </w:p>
    <w:p w14:paraId="0EC44D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7" w:name="p-1192763"/>
      <w:bookmarkEnd w:id="807"/>
    </w:p>
    <w:p w14:paraId="1BEF711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356. If, over a period of one year, the agricultural land or part thereof which does not meet the conditionality management requirements or standards is transferred to another person, the reduction of support, in accordance with Article 84(2)(a) of Regulation 2021/2116, shall be applied to the person who is responsible for the non-compliance or to the person to whom the agricultural land, holding, or part thereof has been transferred if the relevant person is not identifiable.</w:t>
      </w:r>
      <w:bookmarkStart w:id="808" w:name="p356"/>
      <w:bookmarkEnd w:id="808"/>
    </w:p>
    <w:p w14:paraId="4BD35FD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9" w:name="p-1192764"/>
      <w:bookmarkEnd w:id="809"/>
    </w:p>
    <w:p w14:paraId="070FBF8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357. In total, 25 per cent of the amount resulting from the reduction of or refusal of granting direct payments and agro-environment payments for the established cases of non-compliance with the conditionality shall be transferred in the State budget in accordance with Article 86 of Regulation 2021/2116.</w:t>
      </w:r>
      <w:bookmarkStart w:id="810" w:name="p357"/>
      <w:bookmarkEnd w:id="810"/>
    </w:p>
    <w:p w14:paraId="023449E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1" w:name="n15"/>
      <w:bookmarkStart w:id="812" w:name="n-1192765"/>
      <w:bookmarkEnd w:id="811"/>
      <w:bookmarkEnd w:id="812"/>
    </w:p>
    <w:p w14:paraId="2B042046"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15. Application of Financial Discipline and Disbursement of Advance Payments</w:t>
      </w:r>
    </w:p>
    <w:p w14:paraId="5856F2D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3" w:name="p-1192766"/>
      <w:bookmarkEnd w:id="813"/>
    </w:p>
    <w:p w14:paraId="1AAF626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358. The direct payments for the current year shall be disbursed in advance without applying the financial discipline adjustment rate referred to in Article 17 of Regulation 2021/2116. The adjustment rate which at that time is applicable to the entire total amount of the direct payments in the relevant calendar year for the purpose of financial discipline shall be taken into account in the payment of the balance to be granted to beneficiaries from 1 December.</w:t>
      </w:r>
      <w:bookmarkStart w:id="814" w:name="p358"/>
      <w:bookmarkEnd w:id="814"/>
    </w:p>
    <w:p w14:paraId="555DB3C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5" w:name="p-1192767"/>
      <w:bookmarkEnd w:id="815"/>
    </w:p>
    <w:p w14:paraId="06C7786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359. The decision on the disbursement of an advance for the direct payments in accordance with Article 44(2) of Regulation 2021/2116 shall be taken by the Minister for Agriculture.</w:t>
      </w:r>
      <w:bookmarkStart w:id="816" w:name="p359"/>
      <w:bookmarkEnd w:id="816"/>
    </w:p>
    <w:p w14:paraId="2D637C8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7" w:name="n16"/>
      <w:bookmarkStart w:id="818" w:name="n-1192768"/>
      <w:bookmarkEnd w:id="817"/>
      <w:bookmarkEnd w:id="818"/>
    </w:p>
    <w:p w14:paraId="5CAC66AF"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16. Creation of Artificial Conditions in Accordance with Article 62 of Regulation 2021/2116</w:t>
      </w:r>
    </w:p>
    <w:p w14:paraId="5CEC312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9" w:name="p-1192769"/>
      <w:bookmarkEnd w:id="819"/>
    </w:p>
    <w:p w14:paraId="6C265605"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360. The Rural Support Service shall assess the information submitted by the applicants for the direct payments and the data at the disposal of the Service in order to detect artificial conditions created for the circumvention of the conditions for granting support or creation of advantages, including due to the splitting of holdings.</w:t>
      </w:r>
      <w:bookmarkStart w:id="820" w:name="p360"/>
      <w:bookmarkEnd w:id="820"/>
    </w:p>
    <w:p w14:paraId="15BEE82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1" w:name="p-1192770"/>
      <w:bookmarkEnd w:id="821"/>
    </w:p>
    <w:p w14:paraId="57DC7D53" w14:textId="77777777" w:rsidR="006F5A86" w:rsidRPr="006F5A86" w:rsidRDefault="006F5A86" w:rsidP="006F5A86">
      <w:pPr>
        <w:keepNext/>
        <w:keepLines/>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361. It shall be considered that a farmer has artificially created the necessary conditions for the creation of advantages if he or she has divided his or her holding only for the purpose of obtaining advantages from the complementary redistributive income support for sustainability and the payment for small farmers or the circumvention of the application of the condition for an active farmer or capping.</w:t>
      </w:r>
      <w:bookmarkStart w:id="822" w:name="p361"/>
      <w:bookmarkEnd w:id="822"/>
    </w:p>
    <w:p w14:paraId="40C0C79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3" w:name="p-1192771"/>
      <w:bookmarkEnd w:id="823"/>
    </w:p>
    <w:p w14:paraId="3EB6086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362. In order to ensure the equal treatment of farmers and to avoid distortions of the market and of competition, in accordance with Article 62 of Regulation 2021/2116, it shall be considered that a farmer has created artificial conditions to receive the coupled income support for areas if he or she has not harvested after the crop has reached the maturity stage or a new plantation of permanent crops has not been arranged, using a planting method appropriate to the crop.</w:t>
      </w:r>
      <w:bookmarkStart w:id="824" w:name="p362"/>
      <w:bookmarkEnd w:id="824"/>
    </w:p>
    <w:p w14:paraId="686C5C3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5" w:name="p-1192772"/>
      <w:bookmarkEnd w:id="825"/>
    </w:p>
    <w:p w14:paraId="201B525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363. If the Rural Support Service establishes that the applicant has artificially created the conditions for obtaining advantages provided for in the conditions for the direct payments by circumventing the compliance with the conditions for granting of support, the Rural Support Service shall refuse to grant advantages to the applicant or shall recover undue payments from the beneficiary.</w:t>
      </w:r>
      <w:bookmarkStart w:id="826" w:name="p363"/>
      <w:bookmarkEnd w:id="826"/>
    </w:p>
    <w:p w14:paraId="5331FC8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7" w:name="n17"/>
      <w:bookmarkStart w:id="828" w:name="n-1192773"/>
      <w:bookmarkEnd w:id="827"/>
      <w:bookmarkEnd w:id="828"/>
    </w:p>
    <w:p w14:paraId="3FB2116D"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17. Recovery of Undue Payments</w:t>
      </w:r>
    </w:p>
    <w:p w14:paraId="2D534D8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9" w:name="p-1192774"/>
      <w:bookmarkEnd w:id="829"/>
    </w:p>
    <w:p w14:paraId="6FD20018"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364. If infringements of or non-compliance with the conditions for the direct payments has been established after disbursement of support, a farmer shall reimburse the relevant amount within 60 days after taking of the decision by the Rural Support Service. If the farmer does not reimburse the relevant amount within the specified period, it shall pay a late payment charge for each day of delay, i.e. six per cent per year of the amount not reimbursed.</w:t>
      </w:r>
      <w:bookmarkStart w:id="830" w:name="p364"/>
      <w:bookmarkEnd w:id="830"/>
    </w:p>
    <w:p w14:paraId="665A809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1" w:name="p-1192775"/>
      <w:bookmarkEnd w:id="831"/>
    </w:p>
    <w:p w14:paraId="3903319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365. In accordance with Article 56(2) of Regulation 2021/2116, the amount of support to be recovered and interest payments may be deducted from subsequent payments to the beneficiary.</w:t>
      </w:r>
      <w:bookmarkStart w:id="832" w:name="p365"/>
      <w:bookmarkEnd w:id="832"/>
    </w:p>
    <w:p w14:paraId="4A922B7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3" w:name="p-1192776"/>
      <w:bookmarkEnd w:id="833"/>
    </w:p>
    <w:p w14:paraId="64999A1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366. A total of 20 per cent of the amount of the direct payments recovered and the interest thereof shall be transferred to the State budget as flat rate recovery costs in accordance with Article 56(3) of Regulation 2021/2116.</w:t>
      </w:r>
      <w:bookmarkStart w:id="834" w:name="p366"/>
      <w:bookmarkEnd w:id="834"/>
    </w:p>
    <w:p w14:paraId="73B950D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5" w:name="n18"/>
      <w:bookmarkStart w:id="836" w:name="n-1192777"/>
      <w:bookmarkEnd w:id="835"/>
      <w:bookmarkEnd w:id="836"/>
    </w:p>
    <w:p w14:paraId="275F95A3"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18. Transfer of a Holding</w:t>
      </w:r>
    </w:p>
    <w:p w14:paraId="18FC4AF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7" w:name="p-1192778"/>
      <w:bookmarkEnd w:id="837"/>
    </w:p>
    <w:p w14:paraId="21D564F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367. If a farmer transfers the holding as a whole to another farmer after submission of the geo-spatial application but prior to the fulfilment of all conditions for granting the support, the person transferring the holding shall not be granted support for the transferred holding.</w:t>
      </w:r>
      <w:bookmarkStart w:id="838" w:name="p367"/>
      <w:bookmarkEnd w:id="838"/>
    </w:p>
    <w:p w14:paraId="128E184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9" w:name="p-1192779"/>
      <w:bookmarkEnd w:id="839"/>
    </w:p>
    <w:p w14:paraId="7046A53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368. The direct payment for which the geo-spatial application has been submitted by the farmer transferring the holding and the payment requested by the person transferring the holding shall be granted to the transferee of the holding if:</w:t>
      </w:r>
      <w:bookmarkStart w:id="840" w:name="p368"/>
      <w:bookmarkEnd w:id="840"/>
    </w:p>
    <w:p w14:paraId="613C78F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368.1. in the period from 16 June to 15 October of the current year, the transferee has informed the Rural Support Service of taking over the holding and has requested payment of the support;</w:t>
      </w:r>
    </w:p>
    <w:p w14:paraId="67F92A57"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368.2. the transferee shall submit to the Rural Support Service evidence of taking over the holding, including copies of documents certifying ownership or possession (use), presenting the original thereof;</w:t>
      </w:r>
    </w:p>
    <w:p w14:paraId="5CDA358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368.3. all the conditions for granting the support are fulfilled in respect of the holding taken over.</w:t>
      </w:r>
    </w:p>
    <w:p w14:paraId="3A455C4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1" w:name="p-1192783"/>
      <w:bookmarkEnd w:id="841"/>
    </w:p>
    <w:p w14:paraId="11F20BE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369. After the transferee has informed the Rural Support Service of taking over the holding and has requested the payment of support:</w:t>
      </w:r>
      <w:bookmarkStart w:id="842" w:name="p369"/>
      <w:bookmarkEnd w:id="842"/>
    </w:p>
    <w:p w14:paraId="0DBE626D"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369.1. all rights and obligations which the person transferring the holding had when applying for the direct payments and support for area-based rural development interventions are transferred to the transferee;</w:t>
      </w:r>
    </w:p>
    <w:p w14:paraId="5BD29F1A"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369.2. all actions and documents submitted by the person transferring the holding to the competent authority for the purpose of implementing the relevant intervention prior to the transfer of the holding shall be attributable to the transferee;</w:t>
      </w:r>
    </w:p>
    <w:p w14:paraId="3A2E886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369.3. the transferred holding shall be regarded as a separate holding in respect of the relevant claim year.</w:t>
      </w:r>
    </w:p>
    <w:p w14:paraId="2634B19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3" w:name="n19"/>
      <w:bookmarkStart w:id="844" w:name="n-1192787"/>
      <w:bookmarkEnd w:id="843"/>
      <w:bookmarkEnd w:id="844"/>
    </w:p>
    <w:p w14:paraId="4E8DA839"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19. Calculation of the Unit Amount for the Direct Payments and Redistribution of Support Among Interventions</w:t>
      </w:r>
    </w:p>
    <w:p w14:paraId="2B7B7FA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5" w:name="p-1192788"/>
      <w:bookmarkEnd w:id="845"/>
    </w:p>
    <w:p w14:paraId="3BDD078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370. The funds of the direct payments to be actually disbursed shall not exceed the financial allocation for Latvia specified in Annex V to Regulation 2021/2115, taking into account the funds to be withheld by applying the capping referred to in Paragraph 98 of this Regulation.</w:t>
      </w:r>
      <w:bookmarkStart w:id="846" w:name="p370"/>
      <w:bookmarkEnd w:id="846"/>
    </w:p>
    <w:p w14:paraId="29779CE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7" w:name="p-1259288"/>
      <w:bookmarkEnd w:id="847"/>
    </w:p>
    <w:p w14:paraId="6CCB9E0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371. The unit amount to be disbursed for the direct payments in the current year shall be calculated as follows:</w:t>
      </w:r>
      <w:bookmarkStart w:id="848" w:name="p371"/>
      <w:bookmarkEnd w:id="848"/>
    </w:p>
    <w:p w14:paraId="5A7AC81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 the unit amount of support initially calculated for the direct payments for the current year shall be calculated by dividing the indicative amount of support for each intervention specified in Annex 16 to this Regulation by the total number of determined units (hectares, animals, or holdings) for the relevant intervention in the country in the current year;</w:t>
      </w:r>
    </w:p>
    <w:p w14:paraId="335AE7E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371.2. the intervention for which the maximum unit amount is exceeded or the minimum unit amount is not reached shall be determined, taking into account the indicative amount of funds determined for each direct payment and the unit amount initially calculated in accordance with the procedures laid down in Sub-paragraph 371.1 of this Regulation;</w:t>
      </w:r>
    </w:p>
    <w:p w14:paraId="417F890C"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371.3. if the maximum unit amount of the coupled income support intervention is exceeded, the amount of funds resulting from the excess of the maximum unit amount shall be redistributed to the coupled income support interventions for which the minimum unit amount is not reached. The redistributed support shall be granted proportionally to the amount of intervention support, without exceeding the minimum unit amount;</w:t>
      </w:r>
    </w:p>
    <w:p w14:paraId="54B95C1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371.3.</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if, after the redistribution referred to in Sub-paragraph 371.3 of this Regulation, the minimum unit amount of the coupled income support intervention is not reached, the necessary part of the amount of funds resulting from the excess of the planned unit amount shall be redistributed to the coupled income support interventions for which the minimum unit amount is not reached. The redistributed support shall be granted proportionally to the amount of intervention support, without exceeding the minimum unit amount;</w:t>
      </w:r>
    </w:p>
    <w:p w14:paraId="660DAF52"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371.3.</w:t>
      </w:r>
      <w:r w:rsidRPr="006F5A86">
        <w:rPr>
          <w:rFonts w:ascii="Times New Roman" w:hAnsi="Times New Roman"/>
          <w:noProof/>
          <w:kern w:val="0"/>
          <w:sz w:val="24"/>
          <w:vertAlign w:val="superscript"/>
          <w:lang w:val="en-US"/>
        </w:rPr>
        <w:t xml:space="preserve">2 </w:t>
      </w:r>
      <w:r w:rsidRPr="006F5A86">
        <w:rPr>
          <w:rFonts w:ascii="Times New Roman" w:hAnsi="Times New Roman"/>
          <w:noProof/>
          <w:kern w:val="0"/>
          <w:sz w:val="24"/>
          <w:lang w:val="en-US"/>
        </w:rPr>
        <w:t>if, after the redistribution referred to in Sub-paragraph 371.3.</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of this Regulation, the minimum unit amount of the coupled income support intervention is not reached, the necessary part of the amount of funds resulting from the excess of the minimum unit amount shall be redistributed to the coupled income support interventions for which the minimum unit amount is not reached. The redistributed support shall be granted proportionally to the amount of intervention support, without exceeding the minimum unit amount;</w:t>
      </w:r>
    </w:p>
    <w:p w14:paraId="360BD10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371.4. in case of excess of funds after the redistribution referred to in Sub-paragraph 371.3 of this Regulation, the remaining funds shall be granted proportionally to the coupled income support interventions for which the maximum unit amount is not reached, without exceeding the maximum unit amount;</w:t>
      </w:r>
    </w:p>
    <w:p w14:paraId="7E5DE2A2"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371.5. in case of excess of funds after the redistribution referred to in Sub-paragraphs 371.3 and 371.4 of this Regulation and ensuring the maximum unit amount for the coupled income support interventions, the relevant amount of the support funds shall be redistributed to ensure funds to the basic income support for sustainability;</w:t>
      </w:r>
    </w:p>
    <w:p w14:paraId="72CC67CB"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371.6. after the redistribution of the amount of support referred to in Sub-paragraphs 371.3 and 371.4 of this Regulation among the coupled income support interventions and after the redistribution of the support referred to in Sub-paragraph 371.5 of this Regulation to ensure funds to the basic income support for sustainability, the actually payable unit amount to be granted in the current year for each coupled income support intervention shall be calculated by dividing the amount of support determined for the intervention by the total number of determined units (hectares or animals) for the relevant intervention in the country;</w:t>
      </w:r>
    </w:p>
    <w:p w14:paraId="26B6DC32"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371.6.</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the redistribution of support referred to in Sub-paragraphs 371.3, 371.3.</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371.3.</w:t>
      </w:r>
      <w:r w:rsidRPr="006F5A86">
        <w:rPr>
          <w:rFonts w:ascii="Times New Roman" w:hAnsi="Times New Roman"/>
          <w:noProof/>
          <w:kern w:val="0"/>
          <w:sz w:val="24"/>
          <w:vertAlign w:val="superscript"/>
          <w:lang w:val="en-US"/>
        </w:rPr>
        <w:t>2</w:t>
      </w:r>
      <w:r w:rsidRPr="006F5A86">
        <w:rPr>
          <w:rFonts w:ascii="Times New Roman" w:hAnsi="Times New Roman"/>
          <w:noProof/>
          <w:kern w:val="0"/>
          <w:sz w:val="24"/>
          <w:lang w:val="en-US"/>
        </w:rPr>
        <w:t>, and 371.4 of this Regulation shall not be applied to the coupled income support for protein crops;</w:t>
      </w:r>
    </w:p>
    <w:p w14:paraId="502A30F8"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371.7. the amount of funds resulting from exceeding the maximum unit amount of the eco-scheme support intervention shall be redistributed proportionally to such eco-scheme support interventions the minimum unit amount of which is not reached, without exceeding the minimum unit amount;</w:t>
      </w:r>
    </w:p>
    <w:p w14:paraId="7DA58CE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371.7.</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if, after the redistribution of funds referred to in Sub-paragraph 371.7 of this Regulation, the minimum unit amount of the eco-scheme support intervention is not reached, the funds intended for the basic income support for sustainability shall be redistributed to reach it, ensuring that the amount of redistributed funds does not pose a risk of exceeding the amount of the permitted advance payment. If, after redistribution of funds from the basic income support for sustainability, the minimum unit amount of eco-scheme support intervention is not reached, the part of the funds for the eco-scheme support interventions resulting from the excess of the planned unit amount shall be redistributed to the eco-scheme support interventions for which the minimum unit amount is not reached, without exceeding the maximum unit amount;</w:t>
      </w:r>
    </w:p>
    <w:p w14:paraId="531A9E6E"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371.8. in case of excess of the maximum unit amount of the eco-scheme support intervention after the redistribution referred to in Sub-paragraph 371.7 of this Regulation, the remaining funds shall be granted proportionally to the eco-scheme support interventions for which the maximum unit amount is not reached, without exceeding the maximum unit amount;</w:t>
      </w:r>
    </w:p>
    <w:p w14:paraId="3F3CC431"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371.9. in case of excess of funds after the redistribution referred to in Sub-paragraphs 371.7 and 371.8 of this Regulation and ensuring the maximum unit amount for eco-scheme interventions, the relevant funds in 2023 and 2024 shall be redistributed to ensure funds to the basic income support for sustainability;</w:t>
      </w:r>
    </w:p>
    <w:p w14:paraId="193F6AAA"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371.10. after the redistribution of support referred to in Sub-paragraphs 371.7, 371.7.</w:t>
      </w:r>
      <w:r w:rsidRPr="006F5A86">
        <w:rPr>
          <w:rFonts w:ascii="Times New Roman" w:hAnsi="Times New Roman"/>
          <w:noProof/>
          <w:kern w:val="0"/>
          <w:sz w:val="24"/>
          <w:vertAlign w:val="superscript"/>
          <w:lang w:val="en-US"/>
        </w:rPr>
        <w:t>1</w:t>
      </w:r>
      <w:r w:rsidRPr="006F5A86">
        <w:rPr>
          <w:rFonts w:ascii="Times New Roman" w:hAnsi="Times New Roman"/>
          <w:noProof/>
          <w:kern w:val="0"/>
          <w:sz w:val="24"/>
          <w:lang w:val="en-US"/>
        </w:rPr>
        <w:t>, 371.8, and 371.9 of this Regulation the unit amount to be actually disbursed and to be granted in the current year for the eco-scheme support intervention shall be calculated by dividing the amount of support determined for the intervention by the total number of determined units in hectares for the relevant intervention in the country;</w:t>
      </w:r>
    </w:p>
    <w:p w14:paraId="30EBAD96"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371.11. the amount of support redistributed in 2023 and 2024 from eco-scheme interventions to ensure funds to the basic income support for sustainability shall be redistributed in subsequent years back to ensure funds to eco-scheme interventions by first redistributing funds to the eco-schemes from which funds were redistributed in 2023 or 2024, without exceeding the maximum unit amount in the relevant intervention;</w:t>
      </w:r>
    </w:p>
    <w:p w14:paraId="5C6F255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371.12. the unit amount to be actually disbursed of the complementary income support for young farmers to be granted shall be calculated by dividing the unit amount determined for the intervention in the current year by the total number of determined units in hectares for the relevant intervention in the country, but not exceeding the maximum unit amount specified in Annex 16 to this Regulation;</w:t>
      </w:r>
    </w:p>
    <w:p w14:paraId="2EF75564" w14:textId="77777777" w:rsidR="006F5A86" w:rsidRPr="006F5A86" w:rsidRDefault="006F5A86" w:rsidP="006F5A86">
      <w:pPr>
        <w:keepNext/>
        <w:keepLines/>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371.13. in order to ensure the unit amount of the payment to be actually disbursed for small farmers in the amount of EUR 500 per holding, the necessary amount of support for the payment of support for the current year shall be calculated and it shall be determined whether funds are subject to redistribution from the amount of support intended for the basic income support for sustainability if the relevant necessary amount of support exceeds the indicative amount of support for the payment for small farmers specified in Annex 16 to this Regulation or the excess of the support payment for small farmers is formed;</w:t>
      </w:r>
    </w:p>
    <w:p w14:paraId="6193A34F"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371.14. if the unit amount of the complementary redistributive income support for sustainability calculated in accordance with Sub-paragraph 371.1 of this Regulation in the current year is less than the maximum unit amount specified in Annex 16 to this Regulation, the excess of the amount of support or part thereof shall be added to the complementary redistributive income support for sustainability in accordance with Sub-paragraph 371.13 of this Regulation in order to ensure approximation of the maximum unit amount but not exceeding thereof;</w:t>
      </w:r>
    </w:p>
    <w:p w14:paraId="77ED0090"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371.15. the unit amounts to be actually disbursed of the basic income support for sustainability shall be calculated, deducting the funds redistributed to eco-scheme interventions in accordance with Sub-paragraph 371.11 of this Regulation and to the payment for small farmers in accordance with Sub-paragraph 371.13 of this Regulation from the indicative amount of support intended for the current year and by adding funds after the redistribution referred to in Sub-paragraphs 371.5 and 371.9 of this Regulation;</w:t>
      </w:r>
    </w:p>
    <w:p w14:paraId="5A3B7F9C" w14:textId="77777777" w:rsidR="006F5A86" w:rsidRPr="006F5A86" w:rsidRDefault="006F5A86" w:rsidP="006F5A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371.15.</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if unit amount to be actually disbursed of the basic income support for sustainability is calculated prior to the calculation of the unit amounts to be actually disbursed of eco-scheme interventions, when calculating the unit amount to be disbursed of the basic income support for sustainability in accordance with Sub-paragraphs 371.15 and 371.16 of this Regulation, the amount of funds redistributed in accordance with Sub-paragraph 371.7.</w:t>
      </w:r>
      <w:r w:rsidRPr="006F5A86">
        <w:rPr>
          <w:rFonts w:ascii="Times New Roman" w:hAnsi="Times New Roman"/>
          <w:noProof/>
          <w:kern w:val="0"/>
          <w:sz w:val="24"/>
          <w:vertAlign w:val="superscript"/>
          <w:lang w:val="en-US"/>
        </w:rPr>
        <w:t xml:space="preserve">1 </w:t>
      </w:r>
      <w:r w:rsidRPr="006F5A86">
        <w:rPr>
          <w:rFonts w:ascii="Times New Roman" w:hAnsi="Times New Roman"/>
          <w:noProof/>
          <w:kern w:val="0"/>
          <w:sz w:val="24"/>
          <w:lang w:val="en-US"/>
        </w:rPr>
        <w:t>of this Regulation and determined by the Rural Support Service on the basis of the data on eco-scheme interventions in geo-spatial applications shall be deducted from the indicative amount of support intended for the current year for the basic income support for sustainability;</w:t>
      </w:r>
    </w:p>
    <w:p w14:paraId="379B61B5" w14:textId="77777777" w:rsidR="006F5A86" w:rsidRPr="006F5A86" w:rsidRDefault="006F5A86" w:rsidP="006F5A86">
      <w:pPr>
        <w:shd w:val="clear" w:color="auto" w:fill="FFFFFF"/>
        <w:spacing w:after="0" w:line="240" w:lineRule="auto"/>
        <w:ind w:firstLine="709"/>
        <w:jc w:val="both"/>
        <w:rPr>
          <w:rFonts w:ascii="Times New Roman" w:hAnsi="Times New Roman"/>
          <w:noProof/>
          <w:kern w:val="0"/>
          <w:sz w:val="24"/>
          <w:lang w:val="en-US"/>
        </w:rPr>
      </w:pPr>
      <w:r w:rsidRPr="006F5A86">
        <w:rPr>
          <w:rFonts w:ascii="Times New Roman" w:hAnsi="Times New Roman"/>
          <w:noProof/>
          <w:kern w:val="0"/>
          <w:sz w:val="24"/>
          <w:lang w:val="en-US"/>
        </w:rPr>
        <w:t>371.16. the unit amounts to be actually disbursed of the basic income support for sustainability shall be calculated, using the formulae specified in Annex 25 to this Regulation.</w:t>
      </w:r>
    </w:p>
    <w:p w14:paraId="5F00350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 5 December 2023</w:t>
      </w:r>
      <w:r w:rsidRPr="006F5A86">
        <w:rPr>
          <w:rFonts w:ascii="Times New Roman" w:hAnsi="Times New Roman"/>
          <w:noProof/>
          <w:kern w:val="0"/>
          <w:sz w:val="24"/>
          <w:lang w:val="en-US"/>
        </w:rPr>
        <w:t>]</w:t>
      </w:r>
    </w:p>
    <w:p w14:paraId="25FED99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9" w:name="n20"/>
      <w:bookmarkStart w:id="850" w:name="n-1192806"/>
      <w:bookmarkEnd w:id="849"/>
      <w:bookmarkEnd w:id="850"/>
    </w:p>
    <w:p w14:paraId="3CEEF284"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20. Exchange of Information</w:t>
      </w:r>
    </w:p>
    <w:p w14:paraId="35DA785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1" w:name="p-1192807"/>
      <w:bookmarkEnd w:id="851"/>
    </w:p>
    <w:p w14:paraId="19465E0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372. Upon request of the Rural Support Service, the Agricultural Data Centre shall provide information on the conformity of the data specified in Sub-paragraphs 36.1, 120.3, and 167.1 and in Paragraphs 178, 189, 193, 197, and 200 of this Regulation.</w:t>
      </w:r>
      <w:bookmarkStart w:id="852" w:name="p372"/>
      <w:bookmarkEnd w:id="852"/>
    </w:p>
    <w:p w14:paraId="3B92A2B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3" w:name="p-1192808"/>
      <w:bookmarkEnd w:id="853"/>
    </w:p>
    <w:p w14:paraId="037819DA"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373. Upon request of the Rural Support Service, the State Plant Protection Service shall provide information on the conformity of the data specified in Paragraph 27, Sub-paragraphs 36.2 and 36.3, and Paragraphs 216, 222, and 232 of this Regulation.</w:t>
      </w:r>
      <w:bookmarkStart w:id="854" w:name="p373"/>
      <w:bookmarkEnd w:id="854"/>
    </w:p>
    <w:p w14:paraId="3184607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5" w:name="p-1192809"/>
      <w:bookmarkEnd w:id="855"/>
    </w:p>
    <w:p w14:paraId="3E768044"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374. Upon request of the Rural Support Service, the certification authority “Vides kvalitāte” and SIA “Sertifikācijas un testēšanas centrs” shall provide information on the conformity of the data specified in Sub-paragraph 36.4 of this Regulation.</w:t>
      </w:r>
      <w:bookmarkStart w:id="856" w:name="p374"/>
      <w:bookmarkEnd w:id="856"/>
    </w:p>
    <w:p w14:paraId="632376E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7" w:name="p-1216400"/>
      <w:bookmarkEnd w:id="857"/>
    </w:p>
    <w:p w14:paraId="6295AA0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375. Upon request of the Rural Support Service, the State Revenue Service shall provide information necessary for establishing compliance with the conditions referred to in Sub-paragraph 36.5, Paragraphs 40, 41, 46, 100, 101, 103, 105, and 386, Sub-paragraph 120.2 of and Annex 15 to this Regulation in respect of the applicants and all persons employed thereby.</w:t>
      </w:r>
      <w:bookmarkStart w:id="858" w:name="p375"/>
      <w:bookmarkEnd w:id="858"/>
    </w:p>
    <w:p w14:paraId="22A993A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5E92733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9" w:name="p-1192811"/>
      <w:bookmarkEnd w:id="859"/>
    </w:p>
    <w:p w14:paraId="3359EC8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376. Upon request of the Rural Support Service, the Enterprise Register shall provide information on the conformity of the data specified in Paragraph 121 of this Regulation.</w:t>
      </w:r>
      <w:bookmarkStart w:id="860" w:name="p376"/>
      <w:bookmarkEnd w:id="860"/>
    </w:p>
    <w:p w14:paraId="1BD2D234"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1" w:name="p-1192812"/>
      <w:bookmarkEnd w:id="861"/>
    </w:p>
    <w:p w14:paraId="01D6D75B"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377. The Rural Support Service is entitled to request a farmer to submit additional information in order to assess the eligibility of the farmer with the conditions for receiving the direct payments.</w:t>
      </w:r>
      <w:bookmarkStart w:id="862" w:name="p377"/>
      <w:bookmarkEnd w:id="862"/>
    </w:p>
    <w:p w14:paraId="2A1075F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3" w:name="p-1192813"/>
      <w:bookmarkEnd w:id="863"/>
    </w:p>
    <w:p w14:paraId="5489FED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378. A farmer shall, within 10 working days after receipt of the request from the Rural Support Service, submit the requested information in writing and, if necessary, attach additional documents thereto. If the Rural Support Service does not receive the requested information, the support shall not be granted or it shall be reduced by the unit of the payment in respect of which the requested information was not received.</w:t>
      </w:r>
      <w:bookmarkStart w:id="864" w:name="p378"/>
      <w:bookmarkEnd w:id="864"/>
    </w:p>
    <w:p w14:paraId="4D0154F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5" w:name="n21"/>
      <w:bookmarkStart w:id="866" w:name="n-1192814"/>
      <w:bookmarkEnd w:id="865"/>
      <w:bookmarkEnd w:id="866"/>
    </w:p>
    <w:p w14:paraId="47266F89" w14:textId="77777777" w:rsidR="006F5A86" w:rsidRPr="006F5A86" w:rsidRDefault="006F5A86" w:rsidP="006F5A86">
      <w:pPr>
        <w:shd w:val="clear" w:color="auto" w:fill="FFFFFF"/>
        <w:spacing w:after="0" w:line="240" w:lineRule="auto"/>
        <w:jc w:val="center"/>
        <w:rPr>
          <w:rFonts w:ascii="Times New Roman" w:hAnsi="Times New Roman"/>
          <w:b/>
          <w:noProof/>
          <w:kern w:val="0"/>
          <w:sz w:val="24"/>
          <w:lang w:val="en-US"/>
        </w:rPr>
      </w:pPr>
      <w:r w:rsidRPr="006F5A86">
        <w:rPr>
          <w:rFonts w:ascii="Times New Roman" w:hAnsi="Times New Roman"/>
          <w:b/>
          <w:noProof/>
          <w:kern w:val="0"/>
          <w:sz w:val="24"/>
          <w:lang w:val="en-US"/>
        </w:rPr>
        <w:t>21. Closing Provisions</w:t>
      </w:r>
    </w:p>
    <w:p w14:paraId="2891BDC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7" w:name="p-1192815"/>
      <w:bookmarkEnd w:id="867"/>
    </w:p>
    <w:p w14:paraId="7A294690"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379. The applicant referred to in Sub-paragraph 36.5 of this Regulation whose area of agricultural land does not exceed 20 hectares shall be considered as one labour unit in 2023.</w:t>
      </w:r>
      <w:bookmarkStart w:id="868" w:name="p379"/>
      <w:bookmarkEnd w:id="868"/>
    </w:p>
    <w:p w14:paraId="1C84FE0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9" w:name="p-1192816"/>
      <w:bookmarkEnd w:id="869"/>
    </w:p>
    <w:p w14:paraId="3511DB7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380. The requirement of Paragraph 65 of this Regulation shall not be applied to the part of agricultural land for which the geo-spatial application has been submitted in the Electronic Application System of the Rural Support Service in 2023.</w:t>
      </w:r>
      <w:bookmarkStart w:id="870" w:name="p380"/>
      <w:bookmarkEnd w:id="870"/>
    </w:p>
    <w:p w14:paraId="091D08F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1" w:name="p-1192817"/>
      <w:bookmarkEnd w:id="871"/>
    </w:p>
    <w:p w14:paraId="39ED05E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381. The requirement of Paragraph 66 of this Regulation shall not be applied to the geo-spatial application submitted in the Electronic Application System of the Rural Support Service in 2023.</w:t>
      </w:r>
      <w:bookmarkStart w:id="872" w:name="p381"/>
      <w:bookmarkEnd w:id="872"/>
    </w:p>
    <w:p w14:paraId="55084E8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3" w:name="p-1192818"/>
      <w:bookmarkEnd w:id="873"/>
    </w:p>
    <w:p w14:paraId="3AB96231"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382. In 2023, 35 per cent of the area of arable land of annual crops where the crop rotation specified in Paragraph 70 of this Regulation is required shall include the areas of wheat, rye, oats, buckwheat, barley, vegetables, or potatoes.</w:t>
      </w:r>
      <w:bookmarkStart w:id="874" w:name="p382"/>
      <w:bookmarkEnd w:id="874"/>
    </w:p>
    <w:p w14:paraId="74F8C0C6"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5" w:name="p-1192819"/>
      <w:bookmarkEnd w:id="875"/>
    </w:p>
    <w:p w14:paraId="0608570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383. In 2023, the requirement referred to in Paragraph 70 of this Regulation shall not be applied to holdings where more than 50 per cent of the area of arable land of annual crops at the holding is covered by winter crops.</w:t>
      </w:r>
      <w:bookmarkStart w:id="876" w:name="p383"/>
      <w:bookmarkEnd w:id="876"/>
    </w:p>
    <w:p w14:paraId="08FE8A92"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7" w:name="p-1192820"/>
      <w:bookmarkEnd w:id="877"/>
    </w:p>
    <w:p w14:paraId="2816C84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384. In 2023, by way of derogation from Sub-paragraphs 75.9 and 75.10 of this Regulation, non-productive area shall also include the area of fallow land used for the production of wheat, rye, oats, buckwheat, barley, vegetables, or potatoes.</w:t>
      </w:r>
      <w:bookmarkStart w:id="878" w:name="p384"/>
      <w:bookmarkEnd w:id="878"/>
    </w:p>
    <w:p w14:paraId="0D0DF8F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9" w:name="p-1192821"/>
      <w:bookmarkEnd w:id="879"/>
    </w:p>
    <w:p w14:paraId="6C155699"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385. The requirement of Paragraph 86 of this Regulation shall be applied in 2023 from the day of coming into force of this Regulation.</w:t>
      </w:r>
      <w:bookmarkStart w:id="880" w:name="p385"/>
      <w:bookmarkEnd w:id="880"/>
    </w:p>
    <w:p w14:paraId="09A82C3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1" w:name="p-1233558"/>
      <w:bookmarkEnd w:id="881"/>
    </w:p>
    <w:p w14:paraId="13B5CEFE"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386. If the information on agricultural income specified in Paragraph 100 and Sub-paragraphs 103.2 and 103.4 of this Regulation, the accounting information specified in Paragraph 101 of this Regulation, or the information on the hours of work in the field of agriculture specified in Sub-paragraphs 103.1 and 103.3 of this Regulation is not available to a farmer for the year 2022, the deductions related to agriculture shall be determined in accordance with Paragraph 100 of this Regulation if the farmer is only engaged in agricultural activity, or in accordance with Paragraph 101 of this Regulation if the farmer is engaged both in agricultural and non-agricultural activities, using the information for the year 2023 specified in Paragraphs 100 and 101 of this Regulation. The number of hours of work used for the calculation of the annual work units shall not exceed the total of the number of hours of work indicated in the report of the employer submitted by the farmer to the State Revenue Service and the number of working days converted into working hours indicated in the seasonal agricultural worker income taxpayer report prepared by the information system of the Rural Support Service for the year 2023. The calculated deductions shall not exceed the total amount of the earned income indicated in the report of the employer submitted by the farmer to the State Revenue Service and the applied personal income tax, mandatory State social insurance contributions, the earned income indicated in the seasonal agricultural worker income taxpayer report prepared by the information system of the Rural Support Service and seasonal agricultural worker income tax for the year 2023.</w:t>
      </w:r>
      <w:bookmarkStart w:id="882" w:name="p386"/>
      <w:bookmarkEnd w:id="882"/>
    </w:p>
    <w:p w14:paraId="40D2ADE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6D6669A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3" w:name="p-1192823"/>
      <w:bookmarkEnd w:id="883"/>
    </w:p>
    <w:p w14:paraId="0CEF493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387. If the eco-scheme support for agricultural practices that reduce the emissions of nitrogen and ammonia and the pollution is claimed for winter crops sown in 2022, a farmer shall ensure the fulfilment of the requirements of Sub-chapter 12.5 of this Regulation and shall provide information in accordance with Sub-paragraphs 161.3 and 163.3 of this Regulation by 30 June 2023.</w:t>
      </w:r>
      <w:bookmarkStart w:id="884" w:name="p387"/>
      <w:bookmarkEnd w:id="884"/>
    </w:p>
    <w:p w14:paraId="52D8830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5" w:name="p-1246137"/>
      <w:bookmarkEnd w:id="885"/>
    </w:p>
    <w:p w14:paraId="57282273"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388. The information requested in Paragraph 146 of this Regulation for the year 2023 shall be submitted by a farmer in the AL Management System by 5 February 2024.</w:t>
      </w:r>
      <w:bookmarkStart w:id="886" w:name="p388"/>
      <w:bookmarkEnd w:id="886"/>
    </w:p>
    <w:p w14:paraId="39BE6D5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597695F3"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7" w:name="p-1246138"/>
      <w:bookmarkEnd w:id="887"/>
    </w:p>
    <w:p w14:paraId="35636D3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389. The information requested in Paragraph 155, Sub-paragraphs 161.3 and 163.3 of this Regulation for the year 2023 shall be submitted by a farmer in the AL Management System by 5 February 2024.</w:t>
      </w:r>
      <w:bookmarkStart w:id="888" w:name="p389"/>
      <w:bookmarkEnd w:id="888"/>
    </w:p>
    <w:p w14:paraId="4261739A"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2F9CC39F"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9" w:name="p-1246139"/>
      <w:bookmarkEnd w:id="889"/>
    </w:p>
    <w:p w14:paraId="2C097B16"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390. The fertilization plan referred to in Sub-paragraph 161.1 of this Regulation and information in relation to the geo-spatial application for the year 2023 shall be submitted by a farmer in the AL Management System by 5 February 2024.</w:t>
      </w:r>
      <w:bookmarkStart w:id="890" w:name="p390"/>
      <w:bookmarkEnd w:id="890"/>
    </w:p>
    <w:p w14:paraId="02C3CA0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2C2AD3A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1" w:name="p-1216404"/>
      <w:bookmarkEnd w:id="891"/>
    </w:p>
    <w:p w14:paraId="020758D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391. In 2023, instead of the data referred to in Sub-paragraphs 161.3 and 163.3 of this Regulation, a farmer may submit, using the mobile application of the Rural Support Service, geotagged photos showing on the screen of the control terminal of the tractor or equipment the boundary of the field where fertilizers or plant protection products have been spread. The GPS data or geotagged photos shall be submitted for at least 10 per cent of the fields applied for support or for at least one field if less than 10 fields are declared for support. Upon request of the State Plant Protection Service, the farmer has the obligation to provide evidence for the remaining fields.</w:t>
      </w:r>
      <w:bookmarkStart w:id="892" w:name="p391"/>
      <w:bookmarkEnd w:id="892"/>
    </w:p>
    <w:p w14:paraId="6EE8C59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13 July 2023</w:t>
      </w:r>
      <w:r w:rsidRPr="006F5A86">
        <w:rPr>
          <w:rFonts w:ascii="Times New Roman" w:hAnsi="Times New Roman"/>
          <w:noProof/>
          <w:kern w:val="0"/>
          <w:sz w:val="24"/>
          <w:lang w:val="en-US"/>
        </w:rPr>
        <w:t>]</w:t>
      </w:r>
    </w:p>
    <w:p w14:paraId="72F016C1"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3" w:name="p-1221538"/>
      <w:bookmarkEnd w:id="893"/>
    </w:p>
    <w:p w14:paraId="7FA5DB2D"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392. In 2023, the geo-spatial application specified in Paragraph 241 of this Regulation shall be submitted by a farmer to the Rural Support Service by 15 June 2023. If the geo-spatial application is submitted after 15 June but not later than by 31 August 2023, the amount which the beneficiary would be entitled to receive shall be reduced by one per cent per each working day of delay or by 10 per cent if the number of delayed working days exceeds 10.</w:t>
      </w:r>
      <w:bookmarkStart w:id="894" w:name="p392"/>
      <w:bookmarkEnd w:id="894"/>
    </w:p>
    <w:p w14:paraId="18D6514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8 August 2023</w:t>
      </w:r>
      <w:r w:rsidRPr="006F5A86">
        <w:rPr>
          <w:rFonts w:ascii="Times New Roman" w:hAnsi="Times New Roman"/>
          <w:noProof/>
          <w:kern w:val="0"/>
          <w:sz w:val="24"/>
          <w:lang w:val="en-US"/>
        </w:rPr>
        <w:t>]</w:t>
      </w:r>
    </w:p>
    <w:p w14:paraId="70F9A580"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5" w:name="p-1192829"/>
      <w:bookmarkEnd w:id="895"/>
    </w:p>
    <w:p w14:paraId="344F17FC"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393. Cabinet Regulation No. 126 of 10 March 2015, Procedures for Granting Direct Payments to Farmers (</w:t>
      </w:r>
      <w:r w:rsidRPr="006F5A86">
        <w:rPr>
          <w:rFonts w:ascii="Times New Roman" w:hAnsi="Times New Roman"/>
          <w:i/>
          <w:iCs/>
          <w:noProof/>
          <w:kern w:val="0"/>
          <w:sz w:val="24"/>
          <w:lang w:val="en-US"/>
        </w:rPr>
        <w:t>Latvijas Vēstnesis</w:t>
      </w:r>
      <w:r w:rsidRPr="006F5A86">
        <w:rPr>
          <w:rFonts w:ascii="Times New Roman" w:hAnsi="Times New Roman"/>
          <w:noProof/>
          <w:kern w:val="0"/>
          <w:sz w:val="24"/>
          <w:lang w:val="en-US"/>
        </w:rPr>
        <w:t>, 2015, Nos. 62, 87, 217; 2016, Nos. 59, 209; 2017, Nos. 62, 98; 2018, Nos. 23, 68; 2019, Nos. 79, 146; 2020, Nos. 56, 83A; 2021, Nos. 70, 129; 2022, No. 14), is repealed.</w:t>
      </w:r>
      <w:bookmarkStart w:id="896" w:name="p393"/>
      <w:bookmarkEnd w:id="896"/>
    </w:p>
    <w:p w14:paraId="5957FB62"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bookmarkStart w:id="897" w:name="p-1246140"/>
      <w:bookmarkEnd w:id="897"/>
    </w:p>
    <w:p w14:paraId="1F53BA7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394. The reduction of support referred to in Paragraph 256 of this Regulation shall not be applied for the geo-spatial application for the year 2023.</w:t>
      </w:r>
      <w:bookmarkStart w:id="898" w:name="p394"/>
      <w:bookmarkEnd w:id="898"/>
    </w:p>
    <w:p w14:paraId="6A25353B"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3077F5A5"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9" w:name="p-1233559"/>
      <w:bookmarkEnd w:id="899"/>
    </w:p>
    <w:p w14:paraId="0517934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 xml:space="preserve">395. In 2023, the information referred to in Paragraph 53 of this Regulation shall be calculated by the Rural Support Service and published in the official gazette </w:t>
      </w:r>
      <w:r w:rsidRPr="006F5A86">
        <w:rPr>
          <w:rFonts w:ascii="Times New Roman" w:hAnsi="Times New Roman"/>
          <w:i/>
          <w:iCs/>
          <w:noProof/>
          <w:kern w:val="0"/>
          <w:sz w:val="24"/>
          <w:lang w:val="en-US"/>
        </w:rPr>
        <w:t xml:space="preserve">Latvijas Vēstnesis </w:t>
      </w:r>
      <w:r w:rsidRPr="006F5A86">
        <w:rPr>
          <w:rFonts w:ascii="Times New Roman" w:hAnsi="Times New Roman"/>
          <w:noProof/>
          <w:kern w:val="0"/>
          <w:sz w:val="24"/>
          <w:lang w:val="en-US"/>
        </w:rPr>
        <w:t>by 20 October 2023.</w:t>
      </w:r>
      <w:bookmarkStart w:id="900" w:name="p395"/>
      <w:bookmarkEnd w:id="900"/>
    </w:p>
    <w:p w14:paraId="747A10E9"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09E7C01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1" w:name="p-1233560"/>
      <w:bookmarkEnd w:id="901"/>
    </w:p>
    <w:p w14:paraId="1AC11F8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396. In 2023, the Rural Support Service shall notify the information referred to in Paragraph 56 of this Regulation to farmers by 30 November 2023.</w:t>
      </w:r>
      <w:bookmarkStart w:id="902" w:name="p396"/>
      <w:bookmarkEnd w:id="902"/>
    </w:p>
    <w:p w14:paraId="7DE34A77"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19 September 2023</w:t>
      </w:r>
      <w:r w:rsidRPr="006F5A86">
        <w:rPr>
          <w:rFonts w:ascii="Times New Roman" w:hAnsi="Times New Roman"/>
          <w:noProof/>
          <w:kern w:val="0"/>
          <w:sz w:val="24"/>
          <w:lang w:val="en-US"/>
        </w:rPr>
        <w:t>]</w:t>
      </w:r>
    </w:p>
    <w:p w14:paraId="13ACC1ED"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3" w:name="p-1246141"/>
      <w:bookmarkEnd w:id="903"/>
    </w:p>
    <w:p w14:paraId="65985CF7" w14:textId="77777777" w:rsidR="006F5A86" w:rsidRPr="006F5A86" w:rsidRDefault="006F5A86" w:rsidP="006F5A86">
      <w:pPr>
        <w:shd w:val="clear" w:color="auto" w:fill="FFFFFF"/>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397. In 2023, the data of agrochemical research of soil or data provided by agrochemical service providers and also the results of analyses of soil samples which in accordance with Paragraph 158 of this Regulation have been submitted by 5 November 2023 shall be recognised as valid for the support of direct payments referred to in Sub-paragraph 2.8 of this Regulation.</w:t>
      </w:r>
      <w:bookmarkStart w:id="904" w:name="p397"/>
      <w:bookmarkEnd w:id="904"/>
    </w:p>
    <w:p w14:paraId="21334E98"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F5A86">
        <w:rPr>
          <w:rFonts w:ascii="Times New Roman" w:hAnsi="Times New Roman"/>
          <w:noProof/>
          <w:kern w:val="0"/>
          <w:sz w:val="24"/>
          <w:lang w:val="en-US"/>
        </w:rPr>
        <w:t>[</w:t>
      </w:r>
      <w:r w:rsidRPr="006F5A86">
        <w:rPr>
          <w:rFonts w:ascii="Times New Roman" w:hAnsi="Times New Roman"/>
          <w:i/>
          <w:iCs/>
          <w:noProof/>
          <w:kern w:val="0"/>
          <w:sz w:val="24"/>
          <w:lang w:val="en-US"/>
        </w:rPr>
        <w:t>31 October 2023</w:t>
      </w:r>
      <w:r w:rsidRPr="006F5A86">
        <w:rPr>
          <w:rFonts w:ascii="Times New Roman" w:hAnsi="Times New Roman"/>
          <w:noProof/>
          <w:kern w:val="0"/>
          <w:sz w:val="24"/>
          <w:lang w:val="en-US"/>
        </w:rPr>
        <w:t>]</w:t>
      </w:r>
    </w:p>
    <w:p w14:paraId="485ACF0C"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5D12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6B909" w14:textId="77777777" w:rsidR="006F5A86" w:rsidRPr="006F5A86" w:rsidRDefault="006F5A86" w:rsidP="006F5A86">
      <w:pPr>
        <w:shd w:val="clear" w:color="auto" w:fill="FFFFFF"/>
        <w:tabs>
          <w:tab w:val="left" w:pos="7797"/>
        </w:tabs>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Prime Minister</w:t>
      </w:r>
      <w:r w:rsidRPr="006F5A86">
        <w:rPr>
          <w:rFonts w:ascii="Times New Roman" w:hAnsi="Times New Roman"/>
          <w:noProof/>
          <w:kern w:val="0"/>
          <w:sz w:val="24"/>
          <w:lang w:val="en-US"/>
        </w:rPr>
        <w:tab/>
        <w:t>A. K. Kariņš</w:t>
      </w:r>
    </w:p>
    <w:p w14:paraId="45257A9E" w14:textId="77777777" w:rsidR="006F5A86" w:rsidRPr="006F5A86" w:rsidRDefault="006F5A86" w:rsidP="006F5A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DCBE6" w14:textId="77777777" w:rsidR="006F5A86" w:rsidRPr="006F5A86" w:rsidRDefault="006F5A86" w:rsidP="006F5A86">
      <w:pPr>
        <w:shd w:val="clear" w:color="auto" w:fill="FFFFFF"/>
        <w:tabs>
          <w:tab w:val="left" w:pos="8222"/>
        </w:tabs>
        <w:spacing w:after="0" w:line="240" w:lineRule="auto"/>
        <w:jc w:val="both"/>
        <w:rPr>
          <w:rFonts w:ascii="Times New Roman" w:hAnsi="Times New Roman"/>
          <w:noProof/>
          <w:kern w:val="0"/>
          <w:sz w:val="24"/>
          <w:lang w:val="en-US"/>
        </w:rPr>
      </w:pPr>
      <w:r w:rsidRPr="006F5A86">
        <w:rPr>
          <w:rFonts w:ascii="Times New Roman" w:hAnsi="Times New Roman"/>
          <w:noProof/>
          <w:kern w:val="0"/>
          <w:sz w:val="24"/>
          <w:lang w:val="en-US"/>
        </w:rPr>
        <w:t>Minister for Agriculture</w:t>
      </w:r>
      <w:r w:rsidRPr="006F5A86">
        <w:rPr>
          <w:rFonts w:ascii="Times New Roman" w:hAnsi="Times New Roman"/>
          <w:noProof/>
          <w:kern w:val="0"/>
          <w:sz w:val="24"/>
          <w:lang w:val="en-US"/>
        </w:rPr>
        <w:tab/>
        <w:t>D. Šmits</w:t>
      </w:r>
    </w:p>
    <w:p w14:paraId="5CE421DA" w14:textId="77777777" w:rsidR="006F5A86" w:rsidRPr="006F5A86" w:rsidRDefault="006F5A86" w:rsidP="006F5A86">
      <w:pPr>
        <w:spacing w:after="0" w:line="240" w:lineRule="auto"/>
        <w:jc w:val="both"/>
        <w:rPr>
          <w:rFonts w:ascii="Times New Roman" w:eastAsia="Times New Roman" w:hAnsi="Times New Roman" w:cs="Times New Roman"/>
          <w:noProof/>
          <w:kern w:val="0"/>
          <w:sz w:val="24"/>
          <w:szCs w:val="24"/>
          <w:lang w:val="en-US"/>
          <w14:ligatures w14:val="none"/>
        </w:rPr>
      </w:pPr>
    </w:p>
    <w:sectPr w:rsidR="006F5A86" w:rsidRPr="006F5A86" w:rsidSect="0021078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18C82" w14:textId="77777777" w:rsidR="00891DBC" w:rsidRPr="006F5A86" w:rsidRDefault="00891DBC" w:rsidP="00C306D2">
      <w:pPr>
        <w:spacing w:after="0" w:line="240" w:lineRule="auto"/>
        <w:rPr>
          <w:noProof/>
          <w:kern w:val="0"/>
          <w:lang w:val="en-US"/>
        </w:rPr>
      </w:pPr>
      <w:r w:rsidRPr="006F5A86">
        <w:rPr>
          <w:noProof/>
          <w:kern w:val="0"/>
          <w:lang w:val="en-US"/>
        </w:rPr>
        <w:separator/>
      </w:r>
    </w:p>
  </w:endnote>
  <w:endnote w:type="continuationSeparator" w:id="0">
    <w:p w14:paraId="75608B2D" w14:textId="77777777" w:rsidR="00891DBC" w:rsidRPr="006F5A86" w:rsidRDefault="00891DBC" w:rsidP="00C306D2">
      <w:pPr>
        <w:spacing w:after="0" w:line="240" w:lineRule="auto"/>
        <w:rPr>
          <w:noProof/>
          <w:kern w:val="0"/>
          <w:lang w:val="en-US"/>
        </w:rPr>
      </w:pPr>
      <w:r w:rsidRPr="006F5A8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9BB1" w14:textId="77777777" w:rsidR="006F5A86" w:rsidRDefault="006F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79C1" w14:textId="77777777" w:rsidR="00556E3A" w:rsidRPr="006F5A86" w:rsidRDefault="00556E3A" w:rsidP="00556E3A">
    <w:pPr>
      <w:pStyle w:val="Footer"/>
      <w:tabs>
        <w:tab w:val="right" w:pos="9072"/>
      </w:tabs>
      <w:rPr>
        <w:rFonts w:ascii="Times New Roman" w:hAnsi="Times New Roman"/>
        <w:noProof/>
        <w:kern w:val="0"/>
        <w:sz w:val="20"/>
        <w:lang w:val="en-US"/>
      </w:rPr>
    </w:pPr>
  </w:p>
  <w:p w14:paraId="311F9750" w14:textId="29C9AC65" w:rsidR="005C3E49" w:rsidRPr="006F5A86" w:rsidRDefault="00556E3A" w:rsidP="00556E3A">
    <w:pPr>
      <w:pStyle w:val="Footer"/>
      <w:tabs>
        <w:tab w:val="clear" w:pos="8306"/>
        <w:tab w:val="right" w:pos="9071"/>
      </w:tabs>
      <w:rPr>
        <w:rFonts w:ascii="Times New Roman" w:hAnsi="Times New Roman"/>
        <w:noProof/>
        <w:kern w:val="0"/>
        <w:sz w:val="20"/>
        <w:lang w:val="en-US"/>
      </w:rPr>
    </w:pPr>
    <w:r w:rsidRPr="006F5A86">
      <w:rPr>
        <w:rFonts w:ascii="Times New Roman" w:hAnsi="Times New Roman"/>
        <w:noProof/>
        <w:kern w:val="0"/>
        <w:sz w:val="20"/>
        <w:lang w:val="en-US"/>
      </w:rPr>
      <w:t xml:space="preserve">Translation </w:t>
    </w:r>
    <w:r w:rsidRPr="006F5A86">
      <w:rPr>
        <w:rFonts w:ascii="Times New Roman" w:hAnsi="Times New Roman"/>
        <w:noProof/>
        <w:kern w:val="0"/>
        <w:sz w:val="20"/>
        <w:lang w:val="en-US"/>
      </w:rPr>
      <w:fldChar w:fldCharType="begin"/>
    </w:r>
    <w:r w:rsidRPr="006F5A86">
      <w:rPr>
        <w:rFonts w:ascii="Times New Roman" w:hAnsi="Times New Roman"/>
        <w:noProof/>
        <w:kern w:val="0"/>
        <w:sz w:val="20"/>
        <w:lang w:val="en-US"/>
      </w:rPr>
      <w:instrText>symbol 169 \f "UnivrstyRoman TL" \s 8</w:instrText>
    </w:r>
    <w:r w:rsidRPr="006F5A86">
      <w:rPr>
        <w:rFonts w:ascii="Times New Roman" w:hAnsi="Times New Roman"/>
        <w:noProof/>
        <w:kern w:val="0"/>
        <w:sz w:val="20"/>
        <w:lang w:val="en-US"/>
      </w:rPr>
      <w:fldChar w:fldCharType="separate"/>
    </w:r>
    <w:r w:rsidRPr="006F5A86">
      <w:rPr>
        <w:rFonts w:ascii="Times New Roman" w:hAnsi="Times New Roman"/>
        <w:noProof/>
        <w:kern w:val="0"/>
        <w:sz w:val="20"/>
        <w:lang w:val="en-US"/>
      </w:rPr>
      <w:t>©</w:t>
    </w:r>
    <w:r w:rsidRPr="006F5A86">
      <w:rPr>
        <w:rFonts w:ascii="Times New Roman" w:hAnsi="Times New Roman"/>
        <w:noProof/>
        <w:kern w:val="0"/>
        <w:sz w:val="20"/>
        <w:lang w:val="en-US"/>
      </w:rPr>
      <w:fldChar w:fldCharType="end"/>
    </w:r>
    <w:r w:rsidRPr="006F5A86">
      <w:rPr>
        <w:rFonts w:ascii="Times New Roman" w:hAnsi="Times New Roman"/>
        <w:noProof/>
        <w:kern w:val="0"/>
        <w:sz w:val="20"/>
        <w:lang w:val="en-US"/>
      </w:rPr>
      <w:t xml:space="preserve"> 2024 Valsts valodas centrs (State Language Centre)</w:t>
    </w:r>
    <w:r w:rsidRPr="006F5A86">
      <w:rPr>
        <w:rFonts w:ascii="Times New Roman" w:hAnsi="Times New Roman"/>
        <w:noProof/>
        <w:kern w:val="0"/>
        <w:sz w:val="20"/>
        <w:lang w:val="en-US"/>
      </w:rPr>
      <w:tab/>
    </w:r>
    <w:r w:rsidRPr="006F5A86">
      <w:rPr>
        <w:rStyle w:val="PageNumber"/>
        <w:rFonts w:ascii="Times New Roman" w:hAnsi="Times New Roman"/>
        <w:noProof/>
        <w:kern w:val="0"/>
        <w:sz w:val="20"/>
        <w:lang w:val="en-US"/>
      </w:rPr>
      <w:fldChar w:fldCharType="begin"/>
    </w:r>
    <w:r w:rsidRPr="006F5A86">
      <w:rPr>
        <w:rStyle w:val="PageNumber"/>
        <w:rFonts w:ascii="Times New Roman" w:hAnsi="Times New Roman"/>
        <w:noProof/>
        <w:kern w:val="0"/>
        <w:sz w:val="20"/>
        <w:lang w:val="en-US"/>
      </w:rPr>
      <w:instrText xml:space="preserve"> PAGE </w:instrText>
    </w:r>
    <w:r w:rsidRPr="006F5A86">
      <w:rPr>
        <w:rStyle w:val="PageNumber"/>
        <w:rFonts w:ascii="Times New Roman" w:hAnsi="Times New Roman"/>
        <w:noProof/>
        <w:kern w:val="0"/>
        <w:sz w:val="20"/>
        <w:lang w:val="en-US"/>
      </w:rPr>
      <w:fldChar w:fldCharType="separate"/>
    </w:r>
    <w:r w:rsidRPr="006F5A86">
      <w:rPr>
        <w:rStyle w:val="PageNumber"/>
        <w:rFonts w:ascii="Times New Roman" w:hAnsi="Times New Roman"/>
        <w:noProof/>
        <w:kern w:val="0"/>
        <w:sz w:val="20"/>
        <w:lang w:val="en-US"/>
      </w:rPr>
      <w:t>2</w:t>
    </w:r>
    <w:r w:rsidRPr="006F5A8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71C2" w14:textId="77777777" w:rsidR="005B6944" w:rsidRPr="006F5A86" w:rsidRDefault="005B6944" w:rsidP="005B6944">
    <w:pPr>
      <w:pStyle w:val="Footer"/>
      <w:rPr>
        <w:rFonts w:ascii="Times New Roman" w:hAnsi="Times New Roman"/>
        <w:noProof/>
        <w:kern w:val="0"/>
        <w:sz w:val="20"/>
        <w:lang w:val="en-US"/>
      </w:rPr>
    </w:pPr>
    <w:bookmarkStart w:id="905" w:name="_Hlk60653308"/>
    <w:bookmarkStart w:id="906" w:name="_Hlk60653309"/>
  </w:p>
  <w:p w14:paraId="2BFF71ED" w14:textId="52B08273" w:rsidR="005C3E49" w:rsidRPr="006F5A86" w:rsidRDefault="005B6944">
    <w:pPr>
      <w:pStyle w:val="Footer"/>
      <w:rPr>
        <w:rFonts w:ascii="Times New Roman" w:hAnsi="Times New Roman"/>
        <w:noProof/>
        <w:kern w:val="0"/>
        <w:sz w:val="20"/>
        <w:lang w:val="en-US"/>
      </w:rPr>
    </w:pPr>
    <w:bookmarkStart w:id="907" w:name="_Hlk31896922"/>
    <w:bookmarkStart w:id="908" w:name="_Hlk31896923"/>
    <w:r w:rsidRPr="006F5A86">
      <w:rPr>
        <w:rFonts w:ascii="Times New Roman" w:hAnsi="Times New Roman"/>
        <w:noProof/>
        <w:kern w:val="0"/>
        <w:sz w:val="20"/>
        <w:lang w:val="en-US"/>
      </w:rPr>
      <w:t xml:space="preserve">Translation </w:t>
    </w:r>
    <w:r w:rsidRPr="006F5A86">
      <w:rPr>
        <w:rFonts w:ascii="Times New Roman" w:hAnsi="Times New Roman"/>
        <w:noProof/>
        <w:kern w:val="0"/>
        <w:sz w:val="20"/>
        <w:lang w:val="en-US"/>
      </w:rPr>
      <w:fldChar w:fldCharType="begin"/>
    </w:r>
    <w:r w:rsidRPr="006F5A86">
      <w:rPr>
        <w:rFonts w:ascii="Times New Roman" w:hAnsi="Times New Roman"/>
        <w:noProof/>
        <w:kern w:val="0"/>
        <w:sz w:val="20"/>
        <w:lang w:val="en-US"/>
      </w:rPr>
      <w:instrText>symbol 169 \f "UnivrstyRoman TL" \s 8</w:instrText>
    </w:r>
    <w:r w:rsidRPr="006F5A86">
      <w:rPr>
        <w:rFonts w:ascii="Times New Roman" w:hAnsi="Times New Roman"/>
        <w:noProof/>
        <w:kern w:val="0"/>
        <w:sz w:val="20"/>
        <w:lang w:val="en-US"/>
      </w:rPr>
      <w:fldChar w:fldCharType="separate"/>
    </w:r>
    <w:r w:rsidRPr="006F5A86">
      <w:rPr>
        <w:rFonts w:ascii="Times New Roman" w:hAnsi="Times New Roman"/>
        <w:noProof/>
        <w:kern w:val="0"/>
        <w:sz w:val="20"/>
        <w:lang w:val="en-US"/>
      </w:rPr>
      <w:t>©</w:t>
    </w:r>
    <w:r w:rsidRPr="006F5A86">
      <w:rPr>
        <w:rFonts w:ascii="Times New Roman" w:hAnsi="Times New Roman"/>
        <w:noProof/>
        <w:kern w:val="0"/>
        <w:sz w:val="20"/>
        <w:lang w:val="en-US"/>
      </w:rPr>
      <w:fldChar w:fldCharType="end"/>
    </w:r>
    <w:r w:rsidRPr="006F5A86">
      <w:rPr>
        <w:rFonts w:ascii="Times New Roman" w:hAnsi="Times New Roman"/>
        <w:noProof/>
        <w:kern w:val="0"/>
        <w:sz w:val="20"/>
        <w:lang w:val="en-US"/>
      </w:rPr>
      <w:t xml:space="preserve"> 2024 Valsts valodas centrs (State Language Centre)</w:t>
    </w:r>
    <w:bookmarkEnd w:id="905"/>
    <w:bookmarkEnd w:id="906"/>
    <w:bookmarkEnd w:id="907"/>
    <w:bookmarkEnd w:id="90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367D0" w14:textId="77777777" w:rsidR="00891DBC" w:rsidRPr="006F5A86" w:rsidRDefault="00891DBC" w:rsidP="00C306D2">
      <w:pPr>
        <w:spacing w:after="0" w:line="240" w:lineRule="auto"/>
        <w:rPr>
          <w:noProof/>
          <w:kern w:val="0"/>
          <w:lang w:val="en-US"/>
        </w:rPr>
      </w:pPr>
      <w:r w:rsidRPr="006F5A86">
        <w:rPr>
          <w:noProof/>
          <w:kern w:val="0"/>
          <w:lang w:val="en-US"/>
        </w:rPr>
        <w:separator/>
      </w:r>
    </w:p>
  </w:footnote>
  <w:footnote w:type="continuationSeparator" w:id="0">
    <w:p w14:paraId="57A0ACB1" w14:textId="77777777" w:rsidR="00891DBC" w:rsidRPr="006F5A86" w:rsidRDefault="00891DBC" w:rsidP="00C306D2">
      <w:pPr>
        <w:spacing w:after="0" w:line="240" w:lineRule="auto"/>
        <w:rPr>
          <w:noProof/>
          <w:kern w:val="0"/>
          <w:lang w:val="en-US"/>
        </w:rPr>
      </w:pPr>
      <w:r w:rsidRPr="006F5A8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E926" w14:textId="77777777" w:rsidR="006F5A86" w:rsidRDefault="006F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F883" w14:textId="77777777" w:rsidR="006F5A86" w:rsidRDefault="006F5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6F83" w14:textId="77777777" w:rsidR="006F5A86" w:rsidRDefault="006F5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08"/>
    <w:rsid w:val="00052489"/>
    <w:rsid w:val="00071621"/>
    <w:rsid w:val="00072A43"/>
    <w:rsid w:val="000A7FFA"/>
    <w:rsid w:val="000D1B1A"/>
    <w:rsid w:val="001154DC"/>
    <w:rsid w:val="00152938"/>
    <w:rsid w:val="001629DD"/>
    <w:rsid w:val="001D2583"/>
    <w:rsid w:val="001F655C"/>
    <w:rsid w:val="00210782"/>
    <w:rsid w:val="00277A8E"/>
    <w:rsid w:val="0029080F"/>
    <w:rsid w:val="002A4D23"/>
    <w:rsid w:val="002A5A88"/>
    <w:rsid w:val="003666FE"/>
    <w:rsid w:val="00367BD8"/>
    <w:rsid w:val="003836CD"/>
    <w:rsid w:val="003B6588"/>
    <w:rsid w:val="003E6A15"/>
    <w:rsid w:val="003F77BD"/>
    <w:rsid w:val="004277D9"/>
    <w:rsid w:val="00433F2B"/>
    <w:rsid w:val="004454AB"/>
    <w:rsid w:val="00493DD6"/>
    <w:rsid w:val="004F61AE"/>
    <w:rsid w:val="0052147E"/>
    <w:rsid w:val="00522776"/>
    <w:rsid w:val="00556E3A"/>
    <w:rsid w:val="00564499"/>
    <w:rsid w:val="00575857"/>
    <w:rsid w:val="00581328"/>
    <w:rsid w:val="00587D0C"/>
    <w:rsid w:val="005B5644"/>
    <w:rsid w:val="005B6944"/>
    <w:rsid w:val="005C3E49"/>
    <w:rsid w:val="00641CE0"/>
    <w:rsid w:val="0064656C"/>
    <w:rsid w:val="00683FF2"/>
    <w:rsid w:val="006C114E"/>
    <w:rsid w:val="006C4124"/>
    <w:rsid w:val="006F5A86"/>
    <w:rsid w:val="00715AAB"/>
    <w:rsid w:val="007265D9"/>
    <w:rsid w:val="00730858"/>
    <w:rsid w:val="00772D7B"/>
    <w:rsid w:val="007C397E"/>
    <w:rsid w:val="007C4F5A"/>
    <w:rsid w:val="008402C8"/>
    <w:rsid w:val="008411C8"/>
    <w:rsid w:val="0085427D"/>
    <w:rsid w:val="0087054A"/>
    <w:rsid w:val="008824E4"/>
    <w:rsid w:val="00891DBC"/>
    <w:rsid w:val="0089716F"/>
    <w:rsid w:val="008C54FE"/>
    <w:rsid w:val="008F036C"/>
    <w:rsid w:val="008F6D96"/>
    <w:rsid w:val="00905422"/>
    <w:rsid w:val="00906611"/>
    <w:rsid w:val="00913D7A"/>
    <w:rsid w:val="00964D47"/>
    <w:rsid w:val="00994854"/>
    <w:rsid w:val="009A2FA6"/>
    <w:rsid w:val="009C7504"/>
    <w:rsid w:val="009D4216"/>
    <w:rsid w:val="00A14AB5"/>
    <w:rsid w:val="00A307BA"/>
    <w:rsid w:val="00A42B1A"/>
    <w:rsid w:val="00A42B6F"/>
    <w:rsid w:val="00A6563F"/>
    <w:rsid w:val="00A65E5B"/>
    <w:rsid w:val="00A83504"/>
    <w:rsid w:val="00AE4478"/>
    <w:rsid w:val="00AF4A6F"/>
    <w:rsid w:val="00B61808"/>
    <w:rsid w:val="00B83B3E"/>
    <w:rsid w:val="00BA19CA"/>
    <w:rsid w:val="00BD66E5"/>
    <w:rsid w:val="00BE69CA"/>
    <w:rsid w:val="00BE73E4"/>
    <w:rsid w:val="00C0436E"/>
    <w:rsid w:val="00C075AF"/>
    <w:rsid w:val="00C1584D"/>
    <w:rsid w:val="00C306D2"/>
    <w:rsid w:val="00C6076C"/>
    <w:rsid w:val="00C66AF5"/>
    <w:rsid w:val="00C72598"/>
    <w:rsid w:val="00C959BE"/>
    <w:rsid w:val="00CA469E"/>
    <w:rsid w:val="00D07782"/>
    <w:rsid w:val="00D07919"/>
    <w:rsid w:val="00D07F48"/>
    <w:rsid w:val="00D226C8"/>
    <w:rsid w:val="00D41CBD"/>
    <w:rsid w:val="00D61025"/>
    <w:rsid w:val="00D6788D"/>
    <w:rsid w:val="00DA60C9"/>
    <w:rsid w:val="00DC2BE4"/>
    <w:rsid w:val="00DD0EDB"/>
    <w:rsid w:val="00DF692B"/>
    <w:rsid w:val="00E06292"/>
    <w:rsid w:val="00E12FC3"/>
    <w:rsid w:val="00E3716C"/>
    <w:rsid w:val="00E41EAC"/>
    <w:rsid w:val="00E651C5"/>
    <w:rsid w:val="00E94540"/>
    <w:rsid w:val="00EA57EB"/>
    <w:rsid w:val="00EE3FFF"/>
    <w:rsid w:val="00F22D59"/>
    <w:rsid w:val="00F3535C"/>
    <w:rsid w:val="00F81202"/>
    <w:rsid w:val="00FA76C6"/>
    <w:rsid w:val="00FF7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2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06D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306D2"/>
    <w:rPr>
      <w:color w:val="0000FF"/>
      <w:u w:val="single"/>
    </w:rPr>
  </w:style>
  <w:style w:type="character" w:styleId="FollowedHyperlink">
    <w:name w:val="FollowedHyperlink"/>
    <w:basedOn w:val="DefaultParagraphFont"/>
    <w:uiPriority w:val="99"/>
    <w:semiHidden/>
    <w:unhideWhenUsed/>
    <w:rsid w:val="00C306D2"/>
    <w:rPr>
      <w:color w:val="800080"/>
      <w:u w:val="single"/>
    </w:rPr>
  </w:style>
  <w:style w:type="paragraph" w:customStyle="1" w:styleId="tv213">
    <w:name w:val="tv213"/>
    <w:basedOn w:val="Normal"/>
    <w:rsid w:val="00C306D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C306D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C306D2"/>
    <w:rPr>
      <w:i/>
      <w:iCs/>
    </w:rPr>
  </w:style>
  <w:style w:type="paragraph" w:styleId="Header">
    <w:name w:val="header"/>
    <w:basedOn w:val="Normal"/>
    <w:link w:val="HeaderChar"/>
    <w:uiPriority w:val="99"/>
    <w:unhideWhenUsed/>
    <w:rsid w:val="00C306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06D2"/>
  </w:style>
  <w:style w:type="paragraph" w:styleId="Footer">
    <w:name w:val="footer"/>
    <w:basedOn w:val="Normal"/>
    <w:link w:val="FooterChar"/>
    <w:unhideWhenUsed/>
    <w:rsid w:val="00C306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06D2"/>
  </w:style>
  <w:style w:type="paragraph" w:styleId="BlockText">
    <w:name w:val="Block Text"/>
    <w:basedOn w:val="Normal"/>
    <w:rsid w:val="005C3E4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5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75697">
      <w:bodyDiv w:val="1"/>
      <w:marLeft w:val="0"/>
      <w:marRight w:val="0"/>
      <w:marTop w:val="0"/>
      <w:marBottom w:val="0"/>
      <w:divBdr>
        <w:top w:val="none" w:sz="0" w:space="0" w:color="auto"/>
        <w:left w:val="none" w:sz="0" w:space="0" w:color="auto"/>
        <w:bottom w:val="none" w:sz="0" w:space="0" w:color="auto"/>
        <w:right w:val="none" w:sz="0" w:space="0" w:color="auto"/>
      </w:divBdr>
      <w:divsChild>
        <w:div w:id="1274631427">
          <w:marLeft w:val="0"/>
          <w:marRight w:val="0"/>
          <w:marTop w:val="480"/>
          <w:marBottom w:val="240"/>
          <w:divBdr>
            <w:top w:val="none" w:sz="0" w:space="0" w:color="auto"/>
            <w:left w:val="none" w:sz="0" w:space="0" w:color="auto"/>
            <w:bottom w:val="none" w:sz="0" w:space="0" w:color="auto"/>
            <w:right w:val="none" w:sz="0" w:space="0" w:color="auto"/>
          </w:divBdr>
        </w:div>
        <w:div w:id="48891004">
          <w:marLeft w:val="0"/>
          <w:marRight w:val="0"/>
          <w:marTop w:val="0"/>
          <w:marBottom w:val="567"/>
          <w:divBdr>
            <w:top w:val="none" w:sz="0" w:space="0" w:color="auto"/>
            <w:left w:val="none" w:sz="0" w:space="0" w:color="auto"/>
            <w:bottom w:val="none" w:sz="0" w:space="0" w:color="auto"/>
            <w:right w:val="none" w:sz="0" w:space="0" w:color="auto"/>
          </w:divBdr>
        </w:div>
        <w:div w:id="609245739">
          <w:marLeft w:val="0"/>
          <w:marRight w:val="0"/>
          <w:marTop w:val="0"/>
          <w:marBottom w:val="567"/>
          <w:divBdr>
            <w:top w:val="none" w:sz="0" w:space="0" w:color="auto"/>
            <w:left w:val="none" w:sz="0" w:space="0" w:color="auto"/>
            <w:bottom w:val="none" w:sz="0" w:space="0" w:color="auto"/>
            <w:right w:val="none" w:sz="0" w:space="0" w:color="auto"/>
          </w:divBdr>
        </w:div>
        <w:div w:id="1180702948">
          <w:marLeft w:val="0"/>
          <w:marRight w:val="0"/>
          <w:marTop w:val="0"/>
          <w:marBottom w:val="0"/>
          <w:divBdr>
            <w:top w:val="none" w:sz="0" w:space="0" w:color="auto"/>
            <w:left w:val="none" w:sz="0" w:space="0" w:color="auto"/>
            <w:bottom w:val="none" w:sz="0" w:space="0" w:color="auto"/>
            <w:right w:val="none" w:sz="0" w:space="0" w:color="auto"/>
          </w:divBdr>
        </w:div>
        <w:div w:id="1622610538">
          <w:marLeft w:val="0"/>
          <w:marRight w:val="0"/>
          <w:marTop w:val="0"/>
          <w:marBottom w:val="0"/>
          <w:divBdr>
            <w:top w:val="none" w:sz="0" w:space="0" w:color="auto"/>
            <w:left w:val="none" w:sz="0" w:space="0" w:color="auto"/>
            <w:bottom w:val="none" w:sz="0" w:space="0" w:color="auto"/>
            <w:right w:val="none" w:sz="0" w:space="0" w:color="auto"/>
          </w:divBdr>
        </w:div>
        <w:div w:id="1768840514">
          <w:marLeft w:val="0"/>
          <w:marRight w:val="0"/>
          <w:marTop w:val="0"/>
          <w:marBottom w:val="0"/>
          <w:divBdr>
            <w:top w:val="none" w:sz="0" w:space="0" w:color="auto"/>
            <w:left w:val="none" w:sz="0" w:space="0" w:color="auto"/>
            <w:bottom w:val="none" w:sz="0" w:space="0" w:color="auto"/>
            <w:right w:val="none" w:sz="0" w:space="0" w:color="auto"/>
          </w:divBdr>
        </w:div>
        <w:div w:id="1671056977">
          <w:marLeft w:val="0"/>
          <w:marRight w:val="0"/>
          <w:marTop w:val="0"/>
          <w:marBottom w:val="0"/>
          <w:divBdr>
            <w:top w:val="none" w:sz="0" w:space="0" w:color="auto"/>
            <w:left w:val="none" w:sz="0" w:space="0" w:color="auto"/>
            <w:bottom w:val="none" w:sz="0" w:space="0" w:color="auto"/>
            <w:right w:val="none" w:sz="0" w:space="0" w:color="auto"/>
          </w:divBdr>
        </w:div>
        <w:div w:id="181286583">
          <w:marLeft w:val="0"/>
          <w:marRight w:val="0"/>
          <w:marTop w:val="0"/>
          <w:marBottom w:val="0"/>
          <w:divBdr>
            <w:top w:val="none" w:sz="0" w:space="0" w:color="auto"/>
            <w:left w:val="none" w:sz="0" w:space="0" w:color="auto"/>
            <w:bottom w:val="none" w:sz="0" w:space="0" w:color="auto"/>
            <w:right w:val="none" w:sz="0" w:space="0" w:color="auto"/>
          </w:divBdr>
        </w:div>
        <w:div w:id="288781176">
          <w:marLeft w:val="0"/>
          <w:marRight w:val="0"/>
          <w:marTop w:val="0"/>
          <w:marBottom w:val="0"/>
          <w:divBdr>
            <w:top w:val="none" w:sz="0" w:space="0" w:color="auto"/>
            <w:left w:val="none" w:sz="0" w:space="0" w:color="auto"/>
            <w:bottom w:val="none" w:sz="0" w:space="0" w:color="auto"/>
            <w:right w:val="none" w:sz="0" w:space="0" w:color="auto"/>
          </w:divBdr>
        </w:div>
        <w:div w:id="1956906926">
          <w:marLeft w:val="0"/>
          <w:marRight w:val="0"/>
          <w:marTop w:val="0"/>
          <w:marBottom w:val="0"/>
          <w:divBdr>
            <w:top w:val="none" w:sz="0" w:space="0" w:color="auto"/>
            <w:left w:val="none" w:sz="0" w:space="0" w:color="auto"/>
            <w:bottom w:val="none" w:sz="0" w:space="0" w:color="auto"/>
            <w:right w:val="none" w:sz="0" w:space="0" w:color="auto"/>
          </w:divBdr>
        </w:div>
        <w:div w:id="505052475">
          <w:marLeft w:val="0"/>
          <w:marRight w:val="0"/>
          <w:marTop w:val="0"/>
          <w:marBottom w:val="0"/>
          <w:divBdr>
            <w:top w:val="none" w:sz="0" w:space="0" w:color="auto"/>
            <w:left w:val="none" w:sz="0" w:space="0" w:color="auto"/>
            <w:bottom w:val="none" w:sz="0" w:space="0" w:color="auto"/>
            <w:right w:val="none" w:sz="0" w:space="0" w:color="auto"/>
          </w:divBdr>
        </w:div>
        <w:div w:id="1815023595">
          <w:marLeft w:val="0"/>
          <w:marRight w:val="0"/>
          <w:marTop w:val="0"/>
          <w:marBottom w:val="0"/>
          <w:divBdr>
            <w:top w:val="none" w:sz="0" w:space="0" w:color="auto"/>
            <w:left w:val="none" w:sz="0" w:space="0" w:color="auto"/>
            <w:bottom w:val="none" w:sz="0" w:space="0" w:color="auto"/>
            <w:right w:val="none" w:sz="0" w:space="0" w:color="auto"/>
          </w:divBdr>
        </w:div>
        <w:div w:id="954211034">
          <w:marLeft w:val="0"/>
          <w:marRight w:val="0"/>
          <w:marTop w:val="0"/>
          <w:marBottom w:val="0"/>
          <w:divBdr>
            <w:top w:val="none" w:sz="0" w:space="0" w:color="auto"/>
            <w:left w:val="none" w:sz="0" w:space="0" w:color="auto"/>
            <w:bottom w:val="none" w:sz="0" w:space="0" w:color="auto"/>
            <w:right w:val="none" w:sz="0" w:space="0" w:color="auto"/>
          </w:divBdr>
        </w:div>
        <w:div w:id="461576382">
          <w:marLeft w:val="0"/>
          <w:marRight w:val="0"/>
          <w:marTop w:val="0"/>
          <w:marBottom w:val="0"/>
          <w:divBdr>
            <w:top w:val="none" w:sz="0" w:space="0" w:color="auto"/>
            <w:left w:val="none" w:sz="0" w:space="0" w:color="auto"/>
            <w:bottom w:val="none" w:sz="0" w:space="0" w:color="auto"/>
            <w:right w:val="none" w:sz="0" w:space="0" w:color="auto"/>
          </w:divBdr>
        </w:div>
        <w:div w:id="1240866257">
          <w:marLeft w:val="0"/>
          <w:marRight w:val="0"/>
          <w:marTop w:val="0"/>
          <w:marBottom w:val="0"/>
          <w:divBdr>
            <w:top w:val="none" w:sz="0" w:space="0" w:color="auto"/>
            <w:left w:val="none" w:sz="0" w:space="0" w:color="auto"/>
            <w:bottom w:val="none" w:sz="0" w:space="0" w:color="auto"/>
            <w:right w:val="none" w:sz="0" w:space="0" w:color="auto"/>
          </w:divBdr>
        </w:div>
        <w:div w:id="2087803605">
          <w:marLeft w:val="0"/>
          <w:marRight w:val="0"/>
          <w:marTop w:val="0"/>
          <w:marBottom w:val="0"/>
          <w:divBdr>
            <w:top w:val="none" w:sz="0" w:space="0" w:color="auto"/>
            <w:left w:val="none" w:sz="0" w:space="0" w:color="auto"/>
            <w:bottom w:val="none" w:sz="0" w:space="0" w:color="auto"/>
            <w:right w:val="none" w:sz="0" w:space="0" w:color="auto"/>
          </w:divBdr>
        </w:div>
        <w:div w:id="945624772">
          <w:marLeft w:val="0"/>
          <w:marRight w:val="0"/>
          <w:marTop w:val="0"/>
          <w:marBottom w:val="0"/>
          <w:divBdr>
            <w:top w:val="none" w:sz="0" w:space="0" w:color="auto"/>
            <w:left w:val="none" w:sz="0" w:space="0" w:color="auto"/>
            <w:bottom w:val="none" w:sz="0" w:space="0" w:color="auto"/>
            <w:right w:val="none" w:sz="0" w:space="0" w:color="auto"/>
          </w:divBdr>
        </w:div>
        <w:div w:id="2093694715">
          <w:marLeft w:val="0"/>
          <w:marRight w:val="0"/>
          <w:marTop w:val="0"/>
          <w:marBottom w:val="0"/>
          <w:divBdr>
            <w:top w:val="none" w:sz="0" w:space="0" w:color="auto"/>
            <w:left w:val="none" w:sz="0" w:space="0" w:color="auto"/>
            <w:bottom w:val="none" w:sz="0" w:space="0" w:color="auto"/>
            <w:right w:val="none" w:sz="0" w:space="0" w:color="auto"/>
          </w:divBdr>
        </w:div>
        <w:div w:id="1216819109">
          <w:marLeft w:val="0"/>
          <w:marRight w:val="0"/>
          <w:marTop w:val="0"/>
          <w:marBottom w:val="0"/>
          <w:divBdr>
            <w:top w:val="none" w:sz="0" w:space="0" w:color="auto"/>
            <w:left w:val="none" w:sz="0" w:space="0" w:color="auto"/>
            <w:bottom w:val="none" w:sz="0" w:space="0" w:color="auto"/>
            <w:right w:val="none" w:sz="0" w:space="0" w:color="auto"/>
          </w:divBdr>
        </w:div>
        <w:div w:id="1349481867">
          <w:marLeft w:val="0"/>
          <w:marRight w:val="0"/>
          <w:marTop w:val="0"/>
          <w:marBottom w:val="0"/>
          <w:divBdr>
            <w:top w:val="none" w:sz="0" w:space="0" w:color="auto"/>
            <w:left w:val="none" w:sz="0" w:space="0" w:color="auto"/>
            <w:bottom w:val="none" w:sz="0" w:space="0" w:color="auto"/>
            <w:right w:val="none" w:sz="0" w:space="0" w:color="auto"/>
          </w:divBdr>
        </w:div>
        <w:div w:id="1909653768">
          <w:marLeft w:val="0"/>
          <w:marRight w:val="0"/>
          <w:marTop w:val="0"/>
          <w:marBottom w:val="0"/>
          <w:divBdr>
            <w:top w:val="none" w:sz="0" w:space="0" w:color="auto"/>
            <w:left w:val="none" w:sz="0" w:space="0" w:color="auto"/>
            <w:bottom w:val="none" w:sz="0" w:space="0" w:color="auto"/>
            <w:right w:val="none" w:sz="0" w:space="0" w:color="auto"/>
          </w:divBdr>
        </w:div>
        <w:div w:id="134106692">
          <w:marLeft w:val="0"/>
          <w:marRight w:val="0"/>
          <w:marTop w:val="0"/>
          <w:marBottom w:val="0"/>
          <w:divBdr>
            <w:top w:val="none" w:sz="0" w:space="0" w:color="auto"/>
            <w:left w:val="none" w:sz="0" w:space="0" w:color="auto"/>
            <w:bottom w:val="none" w:sz="0" w:space="0" w:color="auto"/>
            <w:right w:val="none" w:sz="0" w:space="0" w:color="auto"/>
          </w:divBdr>
        </w:div>
        <w:div w:id="836454969">
          <w:marLeft w:val="0"/>
          <w:marRight w:val="0"/>
          <w:marTop w:val="0"/>
          <w:marBottom w:val="0"/>
          <w:divBdr>
            <w:top w:val="none" w:sz="0" w:space="0" w:color="auto"/>
            <w:left w:val="none" w:sz="0" w:space="0" w:color="auto"/>
            <w:bottom w:val="none" w:sz="0" w:space="0" w:color="auto"/>
            <w:right w:val="none" w:sz="0" w:space="0" w:color="auto"/>
          </w:divBdr>
        </w:div>
        <w:div w:id="49963206">
          <w:marLeft w:val="0"/>
          <w:marRight w:val="0"/>
          <w:marTop w:val="0"/>
          <w:marBottom w:val="0"/>
          <w:divBdr>
            <w:top w:val="none" w:sz="0" w:space="0" w:color="auto"/>
            <w:left w:val="none" w:sz="0" w:space="0" w:color="auto"/>
            <w:bottom w:val="none" w:sz="0" w:space="0" w:color="auto"/>
            <w:right w:val="none" w:sz="0" w:space="0" w:color="auto"/>
          </w:divBdr>
        </w:div>
        <w:div w:id="519314721">
          <w:marLeft w:val="0"/>
          <w:marRight w:val="0"/>
          <w:marTop w:val="0"/>
          <w:marBottom w:val="0"/>
          <w:divBdr>
            <w:top w:val="none" w:sz="0" w:space="0" w:color="auto"/>
            <w:left w:val="none" w:sz="0" w:space="0" w:color="auto"/>
            <w:bottom w:val="none" w:sz="0" w:space="0" w:color="auto"/>
            <w:right w:val="none" w:sz="0" w:space="0" w:color="auto"/>
          </w:divBdr>
        </w:div>
        <w:div w:id="2104375749">
          <w:marLeft w:val="0"/>
          <w:marRight w:val="0"/>
          <w:marTop w:val="0"/>
          <w:marBottom w:val="0"/>
          <w:divBdr>
            <w:top w:val="none" w:sz="0" w:space="0" w:color="auto"/>
            <w:left w:val="none" w:sz="0" w:space="0" w:color="auto"/>
            <w:bottom w:val="none" w:sz="0" w:space="0" w:color="auto"/>
            <w:right w:val="none" w:sz="0" w:space="0" w:color="auto"/>
          </w:divBdr>
        </w:div>
        <w:div w:id="1378317548">
          <w:marLeft w:val="0"/>
          <w:marRight w:val="0"/>
          <w:marTop w:val="0"/>
          <w:marBottom w:val="0"/>
          <w:divBdr>
            <w:top w:val="none" w:sz="0" w:space="0" w:color="auto"/>
            <w:left w:val="none" w:sz="0" w:space="0" w:color="auto"/>
            <w:bottom w:val="none" w:sz="0" w:space="0" w:color="auto"/>
            <w:right w:val="none" w:sz="0" w:space="0" w:color="auto"/>
          </w:divBdr>
        </w:div>
        <w:div w:id="1007097266">
          <w:marLeft w:val="0"/>
          <w:marRight w:val="0"/>
          <w:marTop w:val="0"/>
          <w:marBottom w:val="0"/>
          <w:divBdr>
            <w:top w:val="none" w:sz="0" w:space="0" w:color="auto"/>
            <w:left w:val="none" w:sz="0" w:space="0" w:color="auto"/>
            <w:bottom w:val="none" w:sz="0" w:space="0" w:color="auto"/>
            <w:right w:val="none" w:sz="0" w:space="0" w:color="auto"/>
          </w:divBdr>
        </w:div>
        <w:div w:id="1800762013">
          <w:marLeft w:val="0"/>
          <w:marRight w:val="0"/>
          <w:marTop w:val="0"/>
          <w:marBottom w:val="0"/>
          <w:divBdr>
            <w:top w:val="none" w:sz="0" w:space="0" w:color="auto"/>
            <w:left w:val="none" w:sz="0" w:space="0" w:color="auto"/>
            <w:bottom w:val="none" w:sz="0" w:space="0" w:color="auto"/>
            <w:right w:val="none" w:sz="0" w:space="0" w:color="auto"/>
          </w:divBdr>
        </w:div>
        <w:div w:id="290135576">
          <w:marLeft w:val="0"/>
          <w:marRight w:val="0"/>
          <w:marTop w:val="0"/>
          <w:marBottom w:val="0"/>
          <w:divBdr>
            <w:top w:val="none" w:sz="0" w:space="0" w:color="auto"/>
            <w:left w:val="none" w:sz="0" w:space="0" w:color="auto"/>
            <w:bottom w:val="none" w:sz="0" w:space="0" w:color="auto"/>
            <w:right w:val="none" w:sz="0" w:space="0" w:color="auto"/>
          </w:divBdr>
        </w:div>
        <w:div w:id="429590325">
          <w:marLeft w:val="0"/>
          <w:marRight w:val="0"/>
          <w:marTop w:val="0"/>
          <w:marBottom w:val="0"/>
          <w:divBdr>
            <w:top w:val="none" w:sz="0" w:space="0" w:color="auto"/>
            <w:left w:val="none" w:sz="0" w:space="0" w:color="auto"/>
            <w:bottom w:val="none" w:sz="0" w:space="0" w:color="auto"/>
            <w:right w:val="none" w:sz="0" w:space="0" w:color="auto"/>
          </w:divBdr>
        </w:div>
        <w:div w:id="2011903406">
          <w:marLeft w:val="0"/>
          <w:marRight w:val="0"/>
          <w:marTop w:val="0"/>
          <w:marBottom w:val="0"/>
          <w:divBdr>
            <w:top w:val="none" w:sz="0" w:space="0" w:color="auto"/>
            <w:left w:val="none" w:sz="0" w:space="0" w:color="auto"/>
            <w:bottom w:val="none" w:sz="0" w:space="0" w:color="auto"/>
            <w:right w:val="none" w:sz="0" w:space="0" w:color="auto"/>
          </w:divBdr>
        </w:div>
        <w:div w:id="2059041835">
          <w:marLeft w:val="0"/>
          <w:marRight w:val="0"/>
          <w:marTop w:val="0"/>
          <w:marBottom w:val="0"/>
          <w:divBdr>
            <w:top w:val="none" w:sz="0" w:space="0" w:color="auto"/>
            <w:left w:val="none" w:sz="0" w:space="0" w:color="auto"/>
            <w:bottom w:val="none" w:sz="0" w:space="0" w:color="auto"/>
            <w:right w:val="none" w:sz="0" w:space="0" w:color="auto"/>
          </w:divBdr>
        </w:div>
        <w:div w:id="688987373">
          <w:marLeft w:val="0"/>
          <w:marRight w:val="0"/>
          <w:marTop w:val="0"/>
          <w:marBottom w:val="0"/>
          <w:divBdr>
            <w:top w:val="none" w:sz="0" w:space="0" w:color="auto"/>
            <w:left w:val="none" w:sz="0" w:space="0" w:color="auto"/>
            <w:bottom w:val="none" w:sz="0" w:space="0" w:color="auto"/>
            <w:right w:val="none" w:sz="0" w:space="0" w:color="auto"/>
          </w:divBdr>
        </w:div>
        <w:div w:id="848567440">
          <w:marLeft w:val="0"/>
          <w:marRight w:val="0"/>
          <w:marTop w:val="0"/>
          <w:marBottom w:val="0"/>
          <w:divBdr>
            <w:top w:val="none" w:sz="0" w:space="0" w:color="auto"/>
            <w:left w:val="none" w:sz="0" w:space="0" w:color="auto"/>
            <w:bottom w:val="none" w:sz="0" w:space="0" w:color="auto"/>
            <w:right w:val="none" w:sz="0" w:space="0" w:color="auto"/>
          </w:divBdr>
        </w:div>
        <w:div w:id="1449273911">
          <w:marLeft w:val="0"/>
          <w:marRight w:val="0"/>
          <w:marTop w:val="0"/>
          <w:marBottom w:val="0"/>
          <w:divBdr>
            <w:top w:val="none" w:sz="0" w:space="0" w:color="auto"/>
            <w:left w:val="none" w:sz="0" w:space="0" w:color="auto"/>
            <w:bottom w:val="none" w:sz="0" w:space="0" w:color="auto"/>
            <w:right w:val="none" w:sz="0" w:space="0" w:color="auto"/>
          </w:divBdr>
        </w:div>
        <w:div w:id="531891095">
          <w:marLeft w:val="0"/>
          <w:marRight w:val="0"/>
          <w:marTop w:val="0"/>
          <w:marBottom w:val="0"/>
          <w:divBdr>
            <w:top w:val="none" w:sz="0" w:space="0" w:color="auto"/>
            <w:left w:val="none" w:sz="0" w:space="0" w:color="auto"/>
            <w:bottom w:val="none" w:sz="0" w:space="0" w:color="auto"/>
            <w:right w:val="none" w:sz="0" w:space="0" w:color="auto"/>
          </w:divBdr>
        </w:div>
        <w:div w:id="1044208635">
          <w:marLeft w:val="0"/>
          <w:marRight w:val="0"/>
          <w:marTop w:val="0"/>
          <w:marBottom w:val="0"/>
          <w:divBdr>
            <w:top w:val="none" w:sz="0" w:space="0" w:color="auto"/>
            <w:left w:val="none" w:sz="0" w:space="0" w:color="auto"/>
            <w:bottom w:val="none" w:sz="0" w:space="0" w:color="auto"/>
            <w:right w:val="none" w:sz="0" w:space="0" w:color="auto"/>
          </w:divBdr>
        </w:div>
        <w:div w:id="1648514371">
          <w:marLeft w:val="0"/>
          <w:marRight w:val="0"/>
          <w:marTop w:val="0"/>
          <w:marBottom w:val="0"/>
          <w:divBdr>
            <w:top w:val="none" w:sz="0" w:space="0" w:color="auto"/>
            <w:left w:val="none" w:sz="0" w:space="0" w:color="auto"/>
            <w:bottom w:val="none" w:sz="0" w:space="0" w:color="auto"/>
            <w:right w:val="none" w:sz="0" w:space="0" w:color="auto"/>
          </w:divBdr>
        </w:div>
        <w:div w:id="166598698">
          <w:marLeft w:val="0"/>
          <w:marRight w:val="0"/>
          <w:marTop w:val="0"/>
          <w:marBottom w:val="0"/>
          <w:divBdr>
            <w:top w:val="none" w:sz="0" w:space="0" w:color="auto"/>
            <w:left w:val="none" w:sz="0" w:space="0" w:color="auto"/>
            <w:bottom w:val="none" w:sz="0" w:space="0" w:color="auto"/>
            <w:right w:val="none" w:sz="0" w:space="0" w:color="auto"/>
          </w:divBdr>
        </w:div>
        <w:div w:id="265190574">
          <w:marLeft w:val="0"/>
          <w:marRight w:val="0"/>
          <w:marTop w:val="0"/>
          <w:marBottom w:val="0"/>
          <w:divBdr>
            <w:top w:val="none" w:sz="0" w:space="0" w:color="auto"/>
            <w:left w:val="none" w:sz="0" w:space="0" w:color="auto"/>
            <w:bottom w:val="none" w:sz="0" w:space="0" w:color="auto"/>
            <w:right w:val="none" w:sz="0" w:space="0" w:color="auto"/>
          </w:divBdr>
        </w:div>
        <w:div w:id="1394356101">
          <w:marLeft w:val="0"/>
          <w:marRight w:val="0"/>
          <w:marTop w:val="0"/>
          <w:marBottom w:val="0"/>
          <w:divBdr>
            <w:top w:val="none" w:sz="0" w:space="0" w:color="auto"/>
            <w:left w:val="none" w:sz="0" w:space="0" w:color="auto"/>
            <w:bottom w:val="none" w:sz="0" w:space="0" w:color="auto"/>
            <w:right w:val="none" w:sz="0" w:space="0" w:color="auto"/>
          </w:divBdr>
        </w:div>
        <w:div w:id="323971209">
          <w:marLeft w:val="0"/>
          <w:marRight w:val="0"/>
          <w:marTop w:val="0"/>
          <w:marBottom w:val="0"/>
          <w:divBdr>
            <w:top w:val="none" w:sz="0" w:space="0" w:color="auto"/>
            <w:left w:val="none" w:sz="0" w:space="0" w:color="auto"/>
            <w:bottom w:val="none" w:sz="0" w:space="0" w:color="auto"/>
            <w:right w:val="none" w:sz="0" w:space="0" w:color="auto"/>
          </w:divBdr>
        </w:div>
        <w:div w:id="1863397600">
          <w:marLeft w:val="0"/>
          <w:marRight w:val="0"/>
          <w:marTop w:val="0"/>
          <w:marBottom w:val="0"/>
          <w:divBdr>
            <w:top w:val="none" w:sz="0" w:space="0" w:color="auto"/>
            <w:left w:val="none" w:sz="0" w:space="0" w:color="auto"/>
            <w:bottom w:val="none" w:sz="0" w:space="0" w:color="auto"/>
            <w:right w:val="none" w:sz="0" w:space="0" w:color="auto"/>
          </w:divBdr>
        </w:div>
        <w:div w:id="716469500">
          <w:marLeft w:val="0"/>
          <w:marRight w:val="0"/>
          <w:marTop w:val="0"/>
          <w:marBottom w:val="0"/>
          <w:divBdr>
            <w:top w:val="none" w:sz="0" w:space="0" w:color="auto"/>
            <w:left w:val="none" w:sz="0" w:space="0" w:color="auto"/>
            <w:bottom w:val="none" w:sz="0" w:space="0" w:color="auto"/>
            <w:right w:val="none" w:sz="0" w:space="0" w:color="auto"/>
          </w:divBdr>
        </w:div>
        <w:div w:id="510679591">
          <w:marLeft w:val="0"/>
          <w:marRight w:val="0"/>
          <w:marTop w:val="0"/>
          <w:marBottom w:val="0"/>
          <w:divBdr>
            <w:top w:val="none" w:sz="0" w:space="0" w:color="auto"/>
            <w:left w:val="none" w:sz="0" w:space="0" w:color="auto"/>
            <w:bottom w:val="none" w:sz="0" w:space="0" w:color="auto"/>
            <w:right w:val="none" w:sz="0" w:space="0" w:color="auto"/>
          </w:divBdr>
        </w:div>
        <w:div w:id="917901359">
          <w:marLeft w:val="0"/>
          <w:marRight w:val="0"/>
          <w:marTop w:val="0"/>
          <w:marBottom w:val="0"/>
          <w:divBdr>
            <w:top w:val="none" w:sz="0" w:space="0" w:color="auto"/>
            <w:left w:val="none" w:sz="0" w:space="0" w:color="auto"/>
            <w:bottom w:val="none" w:sz="0" w:space="0" w:color="auto"/>
            <w:right w:val="none" w:sz="0" w:space="0" w:color="auto"/>
          </w:divBdr>
        </w:div>
        <w:div w:id="1798528663">
          <w:marLeft w:val="0"/>
          <w:marRight w:val="0"/>
          <w:marTop w:val="0"/>
          <w:marBottom w:val="0"/>
          <w:divBdr>
            <w:top w:val="none" w:sz="0" w:space="0" w:color="auto"/>
            <w:left w:val="none" w:sz="0" w:space="0" w:color="auto"/>
            <w:bottom w:val="none" w:sz="0" w:space="0" w:color="auto"/>
            <w:right w:val="none" w:sz="0" w:space="0" w:color="auto"/>
          </w:divBdr>
        </w:div>
        <w:div w:id="1621186158">
          <w:marLeft w:val="0"/>
          <w:marRight w:val="0"/>
          <w:marTop w:val="0"/>
          <w:marBottom w:val="0"/>
          <w:divBdr>
            <w:top w:val="none" w:sz="0" w:space="0" w:color="auto"/>
            <w:left w:val="none" w:sz="0" w:space="0" w:color="auto"/>
            <w:bottom w:val="none" w:sz="0" w:space="0" w:color="auto"/>
            <w:right w:val="none" w:sz="0" w:space="0" w:color="auto"/>
          </w:divBdr>
        </w:div>
        <w:div w:id="1821190922">
          <w:marLeft w:val="0"/>
          <w:marRight w:val="0"/>
          <w:marTop w:val="0"/>
          <w:marBottom w:val="0"/>
          <w:divBdr>
            <w:top w:val="none" w:sz="0" w:space="0" w:color="auto"/>
            <w:left w:val="none" w:sz="0" w:space="0" w:color="auto"/>
            <w:bottom w:val="none" w:sz="0" w:space="0" w:color="auto"/>
            <w:right w:val="none" w:sz="0" w:space="0" w:color="auto"/>
          </w:divBdr>
        </w:div>
        <w:div w:id="633800831">
          <w:marLeft w:val="0"/>
          <w:marRight w:val="0"/>
          <w:marTop w:val="0"/>
          <w:marBottom w:val="0"/>
          <w:divBdr>
            <w:top w:val="none" w:sz="0" w:space="0" w:color="auto"/>
            <w:left w:val="none" w:sz="0" w:space="0" w:color="auto"/>
            <w:bottom w:val="none" w:sz="0" w:space="0" w:color="auto"/>
            <w:right w:val="none" w:sz="0" w:space="0" w:color="auto"/>
          </w:divBdr>
        </w:div>
        <w:div w:id="115953437">
          <w:marLeft w:val="0"/>
          <w:marRight w:val="0"/>
          <w:marTop w:val="0"/>
          <w:marBottom w:val="0"/>
          <w:divBdr>
            <w:top w:val="none" w:sz="0" w:space="0" w:color="auto"/>
            <w:left w:val="none" w:sz="0" w:space="0" w:color="auto"/>
            <w:bottom w:val="none" w:sz="0" w:space="0" w:color="auto"/>
            <w:right w:val="none" w:sz="0" w:space="0" w:color="auto"/>
          </w:divBdr>
        </w:div>
        <w:div w:id="1029718485">
          <w:marLeft w:val="0"/>
          <w:marRight w:val="0"/>
          <w:marTop w:val="0"/>
          <w:marBottom w:val="0"/>
          <w:divBdr>
            <w:top w:val="none" w:sz="0" w:space="0" w:color="auto"/>
            <w:left w:val="none" w:sz="0" w:space="0" w:color="auto"/>
            <w:bottom w:val="none" w:sz="0" w:space="0" w:color="auto"/>
            <w:right w:val="none" w:sz="0" w:space="0" w:color="auto"/>
          </w:divBdr>
        </w:div>
        <w:div w:id="559440371">
          <w:marLeft w:val="0"/>
          <w:marRight w:val="0"/>
          <w:marTop w:val="0"/>
          <w:marBottom w:val="0"/>
          <w:divBdr>
            <w:top w:val="none" w:sz="0" w:space="0" w:color="auto"/>
            <w:left w:val="none" w:sz="0" w:space="0" w:color="auto"/>
            <w:bottom w:val="none" w:sz="0" w:space="0" w:color="auto"/>
            <w:right w:val="none" w:sz="0" w:space="0" w:color="auto"/>
          </w:divBdr>
        </w:div>
        <w:div w:id="1034115388">
          <w:marLeft w:val="0"/>
          <w:marRight w:val="0"/>
          <w:marTop w:val="0"/>
          <w:marBottom w:val="0"/>
          <w:divBdr>
            <w:top w:val="none" w:sz="0" w:space="0" w:color="auto"/>
            <w:left w:val="none" w:sz="0" w:space="0" w:color="auto"/>
            <w:bottom w:val="none" w:sz="0" w:space="0" w:color="auto"/>
            <w:right w:val="none" w:sz="0" w:space="0" w:color="auto"/>
          </w:divBdr>
        </w:div>
        <w:div w:id="1994134874">
          <w:marLeft w:val="0"/>
          <w:marRight w:val="0"/>
          <w:marTop w:val="0"/>
          <w:marBottom w:val="0"/>
          <w:divBdr>
            <w:top w:val="none" w:sz="0" w:space="0" w:color="auto"/>
            <w:left w:val="none" w:sz="0" w:space="0" w:color="auto"/>
            <w:bottom w:val="none" w:sz="0" w:space="0" w:color="auto"/>
            <w:right w:val="none" w:sz="0" w:space="0" w:color="auto"/>
          </w:divBdr>
        </w:div>
        <w:div w:id="536965379">
          <w:marLeft w:val="0"/>
          <w:marRight w:val="0"/>
          <w:marTop w:val="0"/>
          <w:marBottom w:val="0"/>
          <w:divBdr>
            <w:top w:val="none" w:sz="0" w:space="0" w:color="auto"/>
            <w:left w:val="none" w:sz="0" w:space="0" w:color="auto"/>
            <w:bottom w:val="none" w:sz="0" w:space="0" w:color="auto"/>
            <w:right w:val="none" w:sz="0" w:space="0" w:color="auto"/>
          </w:divBdr>
        </w:div>
        <w:div w:id="690493886">
          <w:marLeft w:val="0"/>
          <w:marRight w:val="0"/>
          <w:marTop w:val="0"/>
          <w:marBottom w:val="0"/>
          <w:divBdr>
            <w:top w:val="none" w:sz="0" w:space="0" w:color="auto"/>
            <w:left w:val="none" w:sz="0" w:space="0" w:color="auto"/>
            <w:bottom w:val="none" w:sz="0" w:space="0" w:color="auto"/>
            <w:right w:val="none" w:sz="0" w:space="0" w:color="auto"/>
          </w:divBdr>
        </w:div>
        <w:div w:id="219363222">
          <w:marLeft w:val="0"/>
          <w:marRight w:val="0"/>
          <w:marTop w:val="0"/>
          <w:marBottom w:val="0"/>
          <w:divBdr>
            <w:top w:val="none" w:sz="0" w:space="0" w:color="auto"/>
            <w:left w:val="none" w:sz="0" w:space="0" w:color="auto"/>
            <w:bottom w:val="none" w:sz="0" w:space="0" w:color="auto"/>
            <w:right w:val="none" w:sz="0" w:space="0" w:color="auto"/>
          </w:divBdr>
        </w:div>
        <w:div w:id="241451646">
          <w:marLeft w:val="0"/>
          <w:marRight w:val="0"/>
          <w:marTop w:val="0"/>
          <w:marBottom w:val="0"/>
          <w:divBdr>
            <w:top w:val="none" w:sz="0" w:space="0" w:color="auto"/>
            <w:left w:val="none" w:sz="0" w:space="0" w:color="auto"/>
            <w:bottom w:val="none" w:sz="0" w:space="0" w:color="auto"/>
            <w:right w:val="none" w:sz="0" w:space="0" w:color="auto"/>
          </w:divBdr>
        </w:div>
        <w:div w:id="46420926">
          <w:marLeft w:val="0"/>
          <w:marRight w:val="0"/>
          <w:marTop w:val="0"/>
          <w:marBottom w:val="0"/>
          <w:divBdr>
            <w:top w:val="none" w:sz="0" w:space="0" w:color="auto"/>
            <w:left w:val="none" w:sz="0" w:space="0" w:color="auto"/>
            <w:bottom w:val="none" w:sz="0" w:space="0" w:color="auto"/>
            <w:right w:val="none" w:sz="0" w:space="0" w:color="auto"/>
          </w:divBdr>
        </w:div>
        <w:div w:id="1122001020">
          <w:marLeft w:val="0"/>
          <w:marRight w:val="0"/>
          <w:marTop w:val="0"/>
          <w:marBottom w:val="0"/>
          <w:divBdr>
            <w:top w:val="none" w:sz="0" w:space="0" w:color="auto"/>
            <w:left w:val="none" w:sz="0" w:space="0" w:color="auto"/>
            <w:bottom w:val="none" w:sz="0" w:space="0" w:color="auto"/>
            <w:right w:val="none" w:sz="0" w:space="0" w:color="auto"/>
          </w:divBdr>
        </w:div>
        <w:div w:id="529412625">
          <w:marLeft w:val="0"/>
          <w:marRight w:val="0"/>
          <w:marTop w:val="0"/>
          <w:marBottom w:val="0"/>
          <w:divBdr>
            <w:top w:val="none" w:sz="0" w:space="0" w:color="auto"/>
            <w:left w:val="none" w:sz="0" w:space="0" w:color="auto"/>
            <w:bottom w:val="none" w:sz="0" w:space="0" w:color="auto"/>
            <w:right w:val="none" w:sz="0" w:space="0" w:color="auto"/>
          </w:divBdr>
        </w:div>
        <w:div w:id="1549418981">
          <w:marLeft w:val="0"/>
          <w:marRight w:val="0"/>
          <w:marTop w:val="0"/>
          <w:marBottom w:val="0"/>
          <w:divBdr>
            <w:top w:val="none" w:sz="0" w:space="0" w:color="auto"/>
            <w:left w:val="none" w:sz="0" w:space="0" w:color="auto"/>
            <w:bottom w:val="none" w:sz="0" w:space="0" w:color="auto"/>
            <w:right w:val="none" w:sz="0" w:space="0" w:color="auto"/>
          </w:divBdr>
        </w:div>
        <w:div w:id="111364658">
          <w:marLeft w:val="0"/>
          <w:marRight w:val="0"/>
          <w:marTop w:val="0"/>
          <w:marBottom w:val="0"/>
          <w:divBdr>
            <w:top w:val="none" w:sz="0" w:space="0" w:color="auto"/>
            <w:left w:val="none" w:sz="0" w:space="0" w:color="auto"/>
            <w:bottom w:val="none" w:sz="0" w:space="0" w:color="auto"/>
            <w:right w:val="none" w:sz="0" w:space="0" w:color="auto"/>
          </w:divBdr>
        </w:div>
        <w:div w:id="212548259">
          <w:marLeft w:val="0"/>
          <w:marRight w:val="0"/>
          <w:marTop w:val="0"/>
          <w:marBottom w:val="0"/>
          <w:divBdr>
            <w:top w:val="none" w:sz="0" w:space="0" w:color="auto"/>
            <w:left w:val="none" w:sz="0" w:space="0" w:color="auto"/>
            <w:bottom w:val="none" w:sz="0" w:space="0" w:color="auto"/>
            <w:right w:val="none" w:sz="0" w:space="0" w:color="auto"/>
          </w:divBdr>
        </w:div>
        <w:div w:id="131875969">
          <w:marLeft w:val="0"/>
          <w:marRight w:val="0"/>
          <w:marTop w:val="0"/>
          <w:marBottom w:val="0"/>
          <w:divBdr>
            <w:top w:val="none" w:sz="0" w:space="0" w:color="auto"/>
            <w:left w:val="none" w:sz="0" w:space="0" w:color="auto"/>
            <w:bottom w:val="none" w:sz="0" w:space="0" w:color="auto"/>
            <w:right w:val="none" w:sz="0" w:space="0" w:color="auto"/>
          </w:divBdr>
        </w:div>
        <w:div w:id="454057960">
          <w:marLeft w:val="0"/>
          <w:marRight w:val="0"/>
          <w:marTop w:val="0"/>
          <w:marBottom w:val="0"/>
          <w:divBdr>
            <w:top w:val="none" w:sz="0" w:space="0" w:color="auto"/>
            <w:left w:val="none" w:sz="0" w:space="0" w:color="auto"/>
            <w:bottom w:val="none" w:sz="0" w:space="0" w:color="auto"/>
            <w:right w:val="none" w:sz="0" w:space="0" w:color="auto"/>
          </w:divBdr>
        </w:div>
        <w:div w:id="2130077234">
          <w:marLeft w:val="0"/>
          <w:marRight w:val="0"/>
          <w:marTop w:val="0"/>
          <w:marBottom w:val="0"/>
          <w:divBdr>
            <w:top w:val="none" w:sz="0" w:space="0" w:color="auto"/>
            <w:left w:val="none" w:sz="0" w:space="0" w:color="auto"/>
            <w:bottom w:val="none" w:sz="0" w:space="0" w:color="auto"/>
            <w:right w:val="none" w:sz="0" w:space="0" w:color="auto"/>
          </w:divBdr>
        </w:div>
        <w:div w:id="981930170">
          <w:marLeft w:val="0"/>
          <w:marRight w:val="0"/>
          <w:marTop w:val="0"/>
          <w:marBottom w:val="0"/>
          <w:divBdr>
            <w:top w:val="none" w:sz="0" w:space="0" w:color="auto"/>
            <w:left w:val="none" w:sz="0" w:space="0" w:color="auto"/>
            <w:bottom w:val="none" w:sz="0" w:space="0" w:color="auto"/>
            <w:right w:val="none" w:sz="0" w:space="0" w:color="auto"/>
          </w:divBdr>
        </w:div>
        <w:div w:id="906888781">
          <w:marLeft w:val="0"/>
          <w:marRight w:val="0"/>
          <w:marTop w:val="0"/>
          <w:marBottom w:val="0"/>
          <w:divBdr>
            <w:top w:val="none" w:sz="0" w:space="0" w:color="auto"/>
            <w:left w:val="none" w:sz="0" w:space="0" w:color="auto"/>
            <w:bottom w:val="none" w:sz="0" w:space="0" w:color="auto"/>
            <w:right w:val="none" w:sz="0" w:space="0" w:color="auto"/>
          </w:divBdr>
        </w:div>
        <w:div w:id="994724780">
          <w:marLeft w:val="0"/>
          <w:marRight w:val="0"/>
          <w:marTop w:val="0"/>
          <w:marBottom w:val="0"/>
          <w:divBdr>
            <w:top w:val="none" w:sz="0" w:space="0" w:color="auto"/>
            <w:left w:val="none" w:sz="0" w:space="0" w:color="auto"/>
            <w:bottom w:val="none" w:sz="0" w:space="0" w:color="auto"/>
            <w:right w:val="none" w:sz="0" w:space="0" w:color="auto"/>
          </w:divBdr>
        </w:div>
        <w:div w:id="763038376">
          <w:marLeft w:val="0"/>
          <w:marRight w:val="0"/>
          <w:marTop w:val="0"/>
          <w:marBottom w:val="0"/>
          <w:divBdr>
            <w:top w:val="none" w:sz="0" w:space="0" w:color="auto"/>
            <w:left w:val="none" w:sz="0" w:space="0" w:color="auto"/>
            <w:bottom w:val="none" w:sz="0" w:space="0" w:color="auto"/>
            <w:right w:val="none" w:sz="0" w:space="0" w:color="auto"/>
          </w:divBdr>
        </w:div>
        <w:div w:id="1212308052">
          <w:marLeft w:val="0"/>
          <w:marRight w:val="0"/>
          <w:marTop w:val="0"/>
          <w:marBottom w:val="0"/>
          <w:divBdr>
            <w:top w:val="none" w:sz="0" w:space="0" w:color="auto"/>
            <w:left w:val="none" w:sz="0" w:space="0" w:color="auto"/>
            <w:bottom w:val="none" w:sz="0" w:space="0" w:color="auto"/>
            <w:right w:val="none" w:sz="0" w:space="0" w:color="auto"/>
          </w:divBdr>
        </w:div>
        <w:div w:id="2119715830">
          <w:marLeft w:val="0"/>
          <w:marRight w:val="0"/>
          <w:marTop w:val="0"/>
          <w:marBottom w:val="0"/>
          <w:divBdr>
            <w:top w:val="none" w:sz="0" w:space="0" w:color="auto"/>
            <w:left w:val="none" w:sz="0" w:space="0" w:color="auto"/>
            <w:bottom w:val="none" w:sz="0" w:space="0" w:color="auto"/>
            <w:right w:val="none" w:sz="0" w:space="0" w:color="auto"/>
          </w:divBdr>
        </w:div>
        <w:div w:id="938148856">
          <w:marLeft w:val="0"/>
          <w:marRight w:val="0"/>
          <w:marTop w:val="0"/>
          <w:marBottom w:val="0"/>
          <w:divBdr>
            <w:top w:val="none" w:sz="0" w:space="0" w:color="auto"/>
            <w:left w:val="none" w:sz="0" w:space="0" w:color="auto"/>
            <w:bottom w:val="none" w:sz="0" w:space="0" w:color="auto"/>
            <w:right w:val="none" w:sz="0" w:space="0" w:color="auto"/>
          </w:divBdr>
        </w:div>
        <w:div w:id="1372999580">
          <w:marLeft w:val="0"/>
          <w:marRight w:val="0"/>
          <w:marTop w:val="0"/>
          <w:marBottom w:val="0"/>
          <w:divBdr>
            <w:top w:val="none" w:sz="0" w:space="0" w:color="auto"/>
            <w:left w:val="none" w:sz="0" w:space="0" w:color="auto"/>
            <w:bottom w:val="none" w:sz="0" w:space="0" w:color="auto"/>
            <w:right w:val="none" w:sz="0" w:space="0" w:color="auto"/>
          </w:divBdr>
        </w:div>
        <w:div w:id="1004744559">
          <w:marLeft w:val="0"/>
          <w:marRight w:val="0"/>
          <w:marTop w:val="0"/>
          <w:marBottom w:val="0"/>
          <w:divBdr>
            <w:top w:val="none" w:sz="0" w:space="0" w:color="auto"/>
            <w:left w:val="none" w:sz="0" w:space="0" w:color="auto"/>
            <w:bottom w:val="none" w:sz="0" w:space="0" w:color="auto"/>
            <w:right w:val="none" w:sz="0" w:space="0" w:color="auto"/>
          </w:divBdr>
        </w:div>
        <w:div w:id="1044449408">
          <w:marLeft w:val="0"/>
          <w:marRight w:val="0"/>
          <w:marTop w:val="0"/>
          <w:marBottom w:val="0"/>
          <w:divBdr>
            <w:top w:val="none" w:sz="0" w:space="0" w:color="auto"/>
            <w:left w:val="none" w:sz="0" w:space="0" w:color="auto"/>
            <w:bottom w:val="none" w:sz="0" w:space="0" w:color="auto"/>
            <w:right w:val="none" w:sz="0" w:space="0" w:color="auto"/>
          </w:divBdr>
        </w:div>
        <w:div w:id="427774340">
          <w:marLeft w:val="0"/>
          <w:marRight w:val="0"/>
          <w:marTop w:val="0"/>
          <w:marBottom w:val="0"/>
          <w:divBdr>
            <w:top w:val="none" w:sz="0" w:space="0" w:color="auto"/>
            <w:left w:val="none" w:sz="0" w:space="0" w:color="auto"/>
            <w:bottom w:val="none" w:sz="0" w:space="0" w:color="auto"/>
            <w:right w:val="none" w:sz="0" w:space="0" w:color="auto"/>
          </w:divBdr>
        </w:div>
        <w:div w:id="1118568776">
          <w:marLeft w:val="0"/>
          <w:marRight w:val="0"/>
          <w:marTop w:val="0"/>
          <w:marBottom w:val="0"/>
          <w:divBdr>
            <w:top w:val="none" w:sz="0" w:space="0" w:color="auto"/>
            <w:left w:val="none" w:sz="0" w:space="0" w:color="auto"/>
            <w:bottom w:val="none" w:sz="0" w:space="0" w:color="auto"/>
            <w:right w:val="none" w:sz="0" w:space="0" w:color="auto"/>
          </w:divBdr>
        </w:div>
        <w:div w:id="1102146837">
          <w:marLeft w:val="0"/>
          <w:marRight w:val="0"/>
          <w:marTop w:val="0"/>
          <w:marBottom w:val="0"/>
          <w:divBdr>
            <w:top w:val="none" w:sz="0" w:space="0" w:color="auto"/>
            <w:left w:val="none" w:sz="0" w:space="0" w:color="auto"/>
            <w:bottom w:val="none" w:sz="0" w:space="0" w:color="auto"/>
            <w:right w:val="none" w:sz="0" w:space="0" w:color="auto"/>
          </w:divBdr>
        </w:div>
        <w:div w:id="1724450270">
          <w:marLeft w:val="0"/>
          <w:marRight w:val="0"/>
          <w:marTop w:val="0"/>
          <w:marBottom w:val="0"/>
          <w:divBdr>
            <w:top w:val="none" w:sz="0" w:space="0" w:color="auto"/>
            <w:left w:val="none" w:sz="0" w:space="0" w:color="auto"/>
            <w:bottom w:val="none" w:sz="0" w:space="0" w:color="auto"/>
            <w:right w:val="none" w:sz="0" w:space="0" w:color="auto"/>
          </w:divBdr>
        </w:div>
        <w:div w:id="652215880">
          <w:marLeft w:val="0"/>
          <w:marRight w:val="0"/>
          <w:marTop w:val="0"/>
          <w:marBottom w:val="0"/>
          <w:divBdr>
            <w:top w:val="none" w:sz="0" w:space="0" w:color="auto"/>
            <w:left w:val="none" w:sz="0" w:space="0" w:color="auto"/>
            <w:bottom w:val="none" w:sz="0" w:space="0" w:color="auto"/>
            <w:right w:val="none" w:sz="0" w:space="0" w:color="auto"/>
          </w:divBdr>
        </w:div>
        <w:div w:id="1879388967">
          <w:marLeft w:val="0"/>
          <w:marRight w:val="0"/>
          <w:marTop w:val="0"/>
          <w:marBottom w:val="0"/>
          <w:divBdr>
            <w:top w:val="none" w:sz="0" w:space="0" w:color="auto"/>
            <w:left w:val="none" w:sz="0" w:space="0" w:color="auto"/>
            <w:bottom w:val="none" w:sz="0" w:space="0" w:color="auto"/>
            <w:right w:val="none" w:sz="0" w:space="0" w:color="auto"/>
          </w:divBdr>
        </w:div>
        <w:div w:id="1690836210">
          <w:marLeft w:val="0"/>
          <w:marRight w:val="0"/>
          <w:marTop w:val="0"/>
          <w:marBottom w:val="0"/>
          <w:divBdr>
            <w:top w:val="none" w:sz="0" w:space="0" w:color="auto"/>
            <w:left w:val="none" w:sz="0" w:space="0" w:color="auto"/>
            <w:bottom w:val="none" w:sz="0" w:space="0" w:color="auto"/>
            <w:right w:val="none" w:sz="0" w:space="0" w:color="auto"/>
          </w:divBdr>
        </w:div>
        <w:div w:id="171065910">
          <w:marLeft w:val="0"/>
          <w:marRight w:val="0"/>
          <w:marTop w:val="0"/>
          <w:marBottom w:val="0"/>
          <w:divBdr>
            <w:top w:val="none" w:sz="0" w:space="0" w:color="auto"/>
            <w:left w:val="none" w:sz="0" w:space="0" w:color="auto"/>
            <w:bottom w:val="none" w:sz="0" w:space="0" w:color="auto"/>
            <w:right w:val="none" w:sz="0" w:space="0" w:color="auto"/>
          </w:divBdr>
        </w:div>
        <w:div w:id="472142203">
          <w:marLeft w:val="0"/>
          <w:marRight w:val="0"/>
          <w:marTop w:val="0"/>
          <w:marBottom w:val="0"/>
          <w:divBdr>
            <w:top w:val="none" w:sz="0" w:space="0" w:color="auto"/>
            <w:left w:val="none" w:sz="0" w:space="0" w:color="auto"/>
            <w:bottom w:val="none" w:sz="0" w:space="0" w:color="auto"/>
            <w:right w:val="none" w:sz="0" w:space="0" w:color="auto"/>
          </w:divBdr>
        </w:div>
        <w:div w:id="242640822">
          <w:marLeft w:val="0"/>
          <w:marRight w:val="0"/>
          <w:marTop w:val="0"/>
          <w:marBottom w:val="0"/>
          <w:divBdr>
            <w:top w:val="none" w:sz="0" w:space="0" w:color="auto"/>
            <w:left w:val="none" w:sz="0" w:space="0" w:color="auto"/>
            <w:bottom w:val="none" w:sz="0" w:space="0" w:color="auto"/>
            <w:right w:val="none" w:sz="0" w:space="0" w:color="auto"/>
          </w:divBdr>
        </w:div>
        <w:div w:id="1481652626">
          <w:marLeft w:val="0"/>
          <w:marRight w:val="0"/>
          <w:marTop w:val="0"/>
          <w:marBottom w:val="0"/>
          <w:divBdr>
            <w:top w:val="none" w:sz="0" w:space="0" w:color="auto"/>
            <w:left w:val="none" w:sz="0" w:space="0" w:color="auto"/>
            <w:bottom w:val="none" w:sz="0" w:space="0" w:color="auto"/>
            <w:right w:val="none" w:sz="0" w:space="0" w:color="auto"/>
          </w:divBdr>
        </w:div>
        <w:div w:id="906107403">
          <w:marLeft w:val="0"/>
          <w:marRight w:val="0"/>
          <w:marTop w:val="0"/>
          <w:marBottom w:val="0"/>
          <w:divBdr>
            <w:top w:val="none" w:sz="0" w:space="0" w:color="auto"/>
            <w:left w:val="none" w:sz="0" w:space="0" w:color="auto"/>
            <w:bottom w:val="none" w:sz="0" w:space="0" w:color="auto"/>
            <w:right w:val="none" w:sz="0" w:space="0" w:color="auto"/>
          </w:divBdr>
        </w:div>
        <w:div w:id="806824395">
          <w:marLeft w:val="0"/>
          <w:marRight w:val="0"/>
          <w:marTop w:val="0"/>
          <w:marBottom w:val="0"/>
          <w:divBdr>
            <w:top w:val="none" w:sz="0" w:space="0" w:color="auto"/>
            <w:left w:val="none" w:sz="0" w:space="0" w:color="auto"/>
            <w:bottom w:val="none" w:sz="0" w:space="0" w:color="auto"/>
            <w:right w:val="none" w:sz="0" w:space="0" w:color="auto"/>
          </w:divBdr>
        </w:div>
        <w:div w:id="1933510996">
          <w:marLeft w:val="0"/>
          <w:marRight w:val="0"/>
          <w:marTop w:val="0"/>
          <w:marBottom w:val="0"/>
          <w:divBdr>
            <w:top w:val="none" w:sz="0" w:space="0" w:color="auto"/>
            <w:left w:val="none" w:sz="0" w:space="0" w:color="auto"/>
            <w:bottom w:val="none" w:sz="0" w:space="0" w:color="auto"/>
            <w:right w:val="none" w:sz="0" w:space="0" w:color="auto"/>
          </w:divBdr>
        </w:div>
        <w:div w:id="1630549803">
          <w:marLeft w:val="0"/>
          <w:marRight w:val="0"/>
          <w:marTop w:val="0"/>
          <w:marBottom w:val="0"/>
          <w:divBdr>
            <w:top w:val="none" w:sz="0" w:space="0" w:color="auto"/>
            <w:left w:val="none" w:sz="0" w:space="0" w:color="auto"/>
            <w:bottom w:val="none" w:sz="0" w:space="0" w:color="auto"/>
            <w:right w:val="none" w:sz="0" w:space="0" w:color="auto"/>
          </w:divBdr>
        </w:div>
        <w:div w:id="405490840">
          <w:marLeft w:val="0"/>
          <w:marRight w:val="0"/>
          <w:marTop w:val="0"/>
          <w:marBottom w:val="0"/>
          <w:divBdr>
            <w:top w:val="none" w:sz="0" w:space="0" w:color="auto"/>
            <w:left w:val="none" w:sz="0" w:space="0" w:color="auto"/>
            <w:bottom w:val="none" w:sz="0" w:space="0" w:color="auto"/>
            <w:right w:val="none" w:sz="0" w:space="0" w:color="auto"/>
          </w:divBdr>
        </w:div>
        <w:div w:id="1879127779">
          <w:marLeft w:val="0"/>
          <w:marRight w:val="0"/>
          <w:marTop w:val="0"/>
          <w:marBottom w:val="0"/>
          <w:divBdr>
            <w:top w:val="none" w:sz="0" w:space="0" w:color="auto"/>
            <w:left w:val="none" w:sz="0" w:space="0" w:color="auto"/>
            <w:bottom w:val="none" w:sz="0" w:space="0" w:color="auto"/>
            <w:right w:val="none" w:sz="0" w:space="0" w:color="auto"/>
          </w:divBdr>
        </w:div>
        <w:div w:id="917592812">
          <w:marLeft w:val="0"/>
          <w:marRight w:val="0"/>
          <w:marTop w:val="0"/>
          <w:marBottom w:val="0"/>
          <w:divBdr>
            <w:top w:val="none" w:sz="0" w:space="0" w:color="auto"/>
            <w:left w:val="none" w:sz="0" w:space="0" w:color="auto"/>
            <w:bottom w:val="none" w:sz="0" w:space="0" w:color="auto"/>
            <w:right w:val="none" w:sz="0" w:space="0" w:color="auto"/>
          </w:divBdr>
        </w:div>
        <w:div w:id="837623709">
          <w:marLeft w:val="0"/>
          <w:marRight w:val="0"/>
          <w:marTop w:val="0"/>
          <w:marBottom w:val="0"/>
          <w:divBdr>
            <w:top w:val="none" w:sz="0" w:space="0" w:color="auto"/>
            <w:left w:val="none" w:sz="0" w:space="0" w:color="auto"/>
            <w:bottom w:val="none" w:sz="0" w:space="0" w:color="auto"/>
            <w:right w:val="none" w:sz="0" w:space="0" w:color="auto"/>
          </w:divBdr>
        </w:div>
        <w:div w:id="1327787049">
          <w:marLeft w:val="0"/>
          <w:marRight w:val="0"/>
          <w:marTop w:val="0"/>
          <w:marBottom w:val="0"/>
          <w:divBdr>
            <w:top w:val="none" w:sz="0" w:space="0" w:color="auto"/>
            <w:left w:val="none" w:sz="0" w:space="0" w:color="auto"/>
            <w:bottom w:val="none" w:sz="0" w:space="0" w:color="auto"/>
            <w:right w:val="none" w:sz="0" w:space="0" w:color="auto"/>
          </w:divBdr>
        </w:div>
        <w:div w:id="375158358">
          <w:marLeft w:val="0"/>
          <w:marRight w:val="0"/>
          <w:marTop w:val="0"/>
          <w:marBottom w:val="0"/>
          <w:divBdr>
            <w:top w:val="none" w:sz="0" w:space="0" w:color="auto"/>
            <w:left w:val="none" w:sz="0" w:space="0" w:color="auto"/>
            <w:bottom w:val="none" w:sz="0" w:space="0" w:color="auto"/>
            <w:right w:val="none" w:sz="0" w:space="0" w:color="auto"/>
          </w:divBdr>
        </w:div>
        <w:div w:id="1734430630">
          <w:marLeft w:val="0"/>
          <w:marRight w:val="0"/>
          <w:marTop w:val="0"/>
          <w:marBottom w:val="0"/>
          <w:divBdr>
            <w:top w:val="none" w:sz="0" w:space="0" w:color="auto"/>
            <w:left w:val="none" w:sz="0" w:space="0" w:color="auto"/>
            <w:bottom w:val="none" w:sz="0" w:space="0" w:color="auto"/>
            <w:right w:val="none" w:sz="0" w:space="0" w:color="auto"/>
          </w:divBdr>
        </w:div>
        <w:div w:id="917710953">
          <w:marLeft w:val="0"/>
          <w:marRight w:val="0"/>
          <w:marTop w:val="0"/>
          <w:marBottom w:val="0"/>
          <w:divBdr>
            <w:top w:val="none" w:sz="0" w:space="0" w:color="auto"/>
            <w:left w:val="none" w:sz="0" w:space="0" w:color="auto"/>
            <w:bottom w:val="none" w:sz="0" w:space="0" w:color="auto"/>
            <w:right w:val="none" w:sz="0" w:space="0" w:color="auto"/>
          </w:divBdr>
        </w:div>
        <w:div w:id="1749691436">
          <w:marLeft w:val="0"/>
          <w:marRight w:val="0"/>
          <w:marTop w:val="0"/>
          <w:marBottom w:val="0"/>
          <w:divBdr>
            <w:top w:val="none" w:sz="0" w:space="0" w:color="auto"/>
            <w:left w:val="none" w:sz="0" w:space="0" w:color="auto"/>
            <w:bottom w:val="none" w:sz="0" w:space="0" w:color="auto"/>
            <w:right w:val="none" w:sz="0" w:space="0" w:color="auto"/>
          </w:divBdr>
        </w:div>
        <w:div w:id="538472677">
          <w:marLeft w:val="0"/>
          <w:marRight w:val="0"/>
          <w:marTop w:val="0"/>
          <w:marBottom w:val="0"/>
          <w:divBdr>
            <w:top w:val="none" w:sz="0" w:space="0" w:color="auto"/>
            <w:left w:val="none" w:sz="0" w:space="0" w:color="auto"/>
            <w:bottom w:val="none" w:sz="0" w:space="0" w:color="auto"/>
            <w:right w:val="none" w:sz="0" w:space="0" w:color="auto"/>
          </w:divBdr>
        </w:div>
        <w:div w:id="705183439">
          <w:marLeft w:val="0"/>
          <w:marRight w:val="0"/>
          <w:marTop w:val="0"/>
          <w:marBottom w:val="0"/>
          <w:divBdr>
            <w:top w:val="none" w:sz="0" w:space="0" w:color="auto"/>
            <w:left w:val="none" w:sz="0" w:space="0" w:color="auto"/>
            <w:bottom w:val="none" w:sz="0" w:space="0" w:color="auto"/>
            <w:right w:val="none" w:sz="0" w:space="0" w:color="auto"/>
          </w:divBdr>
        </w:div>
        <w:div w:id="394935944">
          <w:marLeft w:val="0"/>
          <w:marRight w:val="0"/>
          <w:marTop w:val="0"/>
          <w:marBottom w:val="0"/>
          <w:divBdr>
            <w:top w:val="none" w:sz="0" w:space="0" w:color="auto"/>
            <w:left w:val="none" w:sz="0" w:space="0" w:color="auto"/>
            <w:bottom w:val="none" w:sz="0" w:space="0" w:color="auto"/>
            <w:right w:val="none" w:sz="0" w:space="0" w:color="auto"/>
          </w:divBdr>
        </w:div>
        <w:div w:id="138303413">
          <w:marLeft w:val="0"/>
          <w:marRight w:val="0"/>
          <w:marTop w:val="0"/>
          <w:marBottom w:val="0"/>
          <w:divBdr>
            <w:top w:val="none" w:sz="0" w:space="0" w:color="auto"/>
            <w:left w:val="none" w:sz="0" w:space="0" w:color="auto"/>
            <w:bottom w:val="none" w:sz="0" w:space="0" w:color="auto"/>
            <w:right w:val="none" w:sz="0" w:space="0" w:color="auto"/>
          </w:divBdr>
        </w:div>
        <w:div w:id="1653753910">
          <w:marLeft w:val="0"/>
          <w:marRight w:val="0"/>
          <w:marTop w:val="0"/>
          <w:marBottom w:val="0"/>
          <w:divBdr>
            <w:top w:val="none" w:sz="0" w:space="0" w:color="auto"/>
            <w:left w:val="none" w:sz="0" w:space="0" w:color="auto"/>
            <w:bottom w:val="none" w:sz="0" w:space="0" w:color="auto"/>
            <w:right w:val="none" w:sz="0" w:space="0" w:color="auto"/>
          </w:divBdr>
        </w:div>
        <w:div w:id="1476213824">
          <w:marLeft w:val="0"/>
          <w:marRight w:val="0"/>
          <w:marTop w:val="0"/>
          <w:marBottom w:val="0"/>
          <w:divBdr>
            <w:top w:val="none" w:sz="0" w:space="0" w:color="auto"/>
            <w:left w:val="none" w:sz="0" w:space="0" w:color="auto"/>
            <w:bottom w:val="none" w:sz="0" w:space="0" w:color="auto"/>
            <w:right w:val="none" w:sz="0" w:space="0" w:color="auto"/>
          </w:divBdr>
        </w:div>
        <w:div w:id="131022711">
          <w:marLeft w:val="0"/>
          <w:marRight w:val="0"/>
          <w:marTop w:val="0"/>
          <w:marBottom w:val="0"/>
          <w:divBdr>
            <w:top w:val="none" w:sz="0" w:space="0" w:color="auto"/>
            <w:left w:val="none" w:sz="0" w:space="0" w:color="auto"/>
            <w:bottom w:val="none" w:sz="0" w:space="0" w:color="auto"/>
            <w:right w:val="none" w:sz="0" w:space="0" w:color="auto"/>
          </w:divBdr>
        </w:div>
        <w:div w:id="1561819332">
          <w:marLeft w:val="0"/>
          <w:marRight w:val="0"/>
          <w:marTop w:val="0"/>
          <w:marBottom w:val="0"/>
          <w:divBdr>
            <w:top w:val="none" w:sz="0" w:space="0" w:color="auto"/>
            <w:left w:val="none" w:sz="0" w:space="0" w:color="auto"/>
            <w:bottom w:val="none" w:sz="0" w:space="0" w:color="auto"/>
            <w:right w:val="none" w:sz="0" w:space="0" w:color="auto"/>
          </w:divBdr>
        </w:div>
        <w:div w:id="607272578">
          <w:marLeft w:val="0"/>
          <w:marRight w:val="0"/>
          <w:marTop w:val="0"/>
          <w:marBottom w:val="0"/>
          <w:divBdr>
            <w:top w:val="none" w:sz="0" w:space="0" w:color="auto"/>
            <w:left w:val="none" w:sz="0" w:space="0" w:color="auto"/>
            <w:bottom w:val="none" w:sz="0" w:space="0" w:color="auto"/>
            <w:right w:val="none" w:sz="0" w:space="0" w:color="auto"/>
          </w:divBdr>
        </w:div>
        <w:div w:id="772940664">
          <w:marLeft w:val="0"/>
          <w:marRight w:val="0"/>
          <w:marTop w:val="0"/>
          <w:marBottom w:val="0"/>
          <w:divBdr>
            <w:top w:val="none" w:sz="0" w:space="0" w:color="auto"/>
            <w:left w:val="none" w:sz="0" w:space="0" w:color="auto"/>
            <w:bottom w:val="none" w:sz="0" w:space="0" w:color="auto"/>
            <w:right w:val="none" w:sz="0" w:space="0" w:color="auto"/>
          </w:divBdr>
        </w:div>
        <w:div w:id="1235042765">
          <w:marLeft w:val="0"/>
          <w:marRight w:val="0"/>
          <w:marTop w:val="0"/>
          <w:marBottom w:val="0"/>
          <w:divBdr>
            <w:top w:val="none" w:sz="0" w:space="0" w:color="auto"/>
            <w:left w:val="none" w:sz="0" w:space="0" w:color="auto"/>
            <w:bottom w:val="none" w:sz="0" w:space="0" w:color="auto"/>
            <w:right w:val="none" w:sz="0" w:space="0" w:color="auto"/>
          </w:divBdr>
        </w:div>
        <w:div w:id="1896232169">
          <w:marLeft w:val="0"/>
          <w:marRight w:val="0"/>
          <w:marTop w:val="0"/>
          <w:marBottom w:val="0"/>
          <w:divBdr>
            <w:top w:val="none" w:sz="0" w:space="0" w:color="auto"/>
            <w:left w:val="none" w:sz="0" w:space="0" w:color="auto"/>
            <w:bottom w:val="none" w:sz="0" w:space="0" w:color="auto"/>
            <w:right w:val="none" w:sz="0" w:space="0" w:color="auto"/>
          </w:divBdr>
        </w:div>
        <w:div w:id="1818448111">
          <w:marLeft w:val="0"/>
          <w:marRight w:val="0"/>
          <w:marTop w:val="0"/>
          <w:marBottom w:val="0"/>
          <w:divBdr>
            <w:top w:val="none" w:sz="0" w:space="0" w:color="auto"/>
            <w:left w:val="none" w:sz="0" w:space="0" w:color="auto"/>
            <w:bottom w:val="none" w:sz="0" w:space="0" w:color="auto"/>
            <w:right w:val="none" w:sz="0" w:space="0" w:color="auto"/>
          </w:divBdr>
        </w:div>
        <w:div w:id="275793994">
          <w:marLeft w:val="0"/>
          <w:marRight w:val="0"/>
          <w:marTop w:val="0"/>
          <w:marBottom w:val="0"/>
          <w:divBdr>
            <w:top w:val="none" w:sz="0" w:space="0" w:color="auto"/>
            <w:left w:val="none" w:sz="0" w:space="0" w:color="auto"/>
            <w:bottom w:val="none" w:sz="0" w:space="0" w:color="auto"/>
            <w:right w:val="none" w:sz="0" w:space="0" w:color="auto"/>
          </w:divBdr>
        </w:div>
        <w:div w:id="1862010776">
          <w:marLeft w:val="0"/>
          <w:marRight w:val="0"/>
          <w:marTop w:val="0"/>
          <w:marBottom w:val="0"/>
          <w:divBdr>
            <w:top w:val="none" w:sz="0" w:space="0" w:color="auto"/>
            <w:left w:val="none" w:sz="0" w:space="0" w:color="auto"/>
            <w:bottom w:val="none" w:sz="0" w:space="0" w:color="auto"/>
            <w:right w:val="none" w:sz="0" w:space="0" w:color="auto"/>
          </w:divBdr>
        </w:div>
        <w:div w:id="1305352851">
          <w:marLeft w:val="0"/>
          <w:marRight w:val="0"/>
          <w:marTop w:val="0"/>
          <w:marBottom w:val="0"/>
          <w:divBdr>
            <w:top w:val="none" w:sz="0" w:space="0" w:color="auto"/>
            <w:left w:val="none" w:sz="0" w:space="0" w:color="auto"/>
            <w:bottom w:val="none" w:sz="0" w:space="0" w:color="auto"/>
            <w:right w:val="none" w:sz="0" w:space="0" w:color="auto"/>
          </w:divBdr>
        </w:div>
        <w:div w:id="162669592">
          <w:marLeft w:val="0"/>
          <w:marRight w:val="0"/>
          <w:marTop w:val="0"/>
          <w:marBottom w:val="0"/>
          <w:divBdr>
            <w:top w:val="none" w:sz="0" w:space="0" w:color="auto"/>
            <w:left w:val="none" w:sz="0" w:space="0" w:color="auto"/>
            <w:bottom w:val="none" w:sz="0" w:space="0" w:color="auto"/>
            <w:right w:val="none" w:sz="0" w:space="0" w:color="auto"/>
          </w:divBdr>
        </w:div>
        <w:div w:id="1012344609">
          <w:marLeft w:val="0"/>
          <w:marRight w:val="0"/>
          <w:marTop w:val="0"/>
          <w:marBottom w:val="0"/>
          <w:divBdr>
            <w:top w:val="none" w:sz="0" w:space="0" w:color="auto"/>
            <w:left w:val="none" w:sz="0" w:space="0" w:color="auto"/>
            <w:bottom w:val="none" w:sz="0" w:space="0" w:color="auto"/>
            <w:right w:val="none" w:sz="0" w:space="0" w:color="auto"/>
          </w:divBdr>
        </w:div>
        <w:div w:id="891501542">
          <w:marLeft w:val="0"/>
          <w:marRight w:val="0"/>
          <w:marTop w:val="0"/>
          <w:marBottom w:val="0"/>
          <w:divBdr>
            <w:top w:val="none" w:sz="0" w:space="0" w:color="auto"/>
            <w:left w:val="none" w:sz="0" w:space="0" w:color="auto"/>
            <w:bottom w:val="none" w:sz="0" w:space="0" w:color="auto"/>
            <w:right w:val="none" w:sz="0" w:space="0" w:color="auto"/>
          </w:divBdr>
        </w:div>
        <w:div w:id="2037146689">
          <w:marLeft w:val="0"/>
          <w:marRight w:val="0"/>
          <w:marTop w:val="0"/>
          <w:marBottom w:val="0"/>
          <w:divBdr>
            <w:top w:val="none" w:sz="0" w:space="0" w:color="auto"/>
            <w:left w:val="none" w:sz="0" w:space="0" w:color="auto"/>
            <w:bottom w:val="none" w:sz="0" w:space="0" w:color="auto"/>
            <w:right w:val="none" w:sz="0" w:space="0" w:color="auto"/>
          </w:divBdr>
        </w:div>
        <w:div w:id="691298554">
          <w:marLeft w:val="0"/>
          <w:marRight w:val="0"/>
          <w:marTop w:val="0"/>
          <w:marBottom w:val="0"/>
          <w:divBdr>
            <w:top w:val="none" w:sz="0" w:space="0" w:color="auto"/>
            <w:left w:val="none" w:sz="0" w:space="0" w:color="auto"/>
            <w:bottom w:val="none" w:sz="0" w:space="0" w:color="auto"/>
            <w:right w:val="none" w:sz="0" w:space="0" w:color="auto"/>
          </w:divBdr>
        </w:div>
        <w:div w:id="2137721737">
          <w:marLeft w:val="0"/>
          <w:marRight w:val="0"/>
          <w:marTop w:val="0"/>
          <w:marBottom w:val="0"/>
          <w:divBdr>
            <w:top w:val="none" w:sz="0" w:space="0" w:color="auto"/>
            <w:left w:val="none" w:sz="0" w:space="0" w:color="auto"/>
            <w:bottom w:val="none" w:sz="0" w:space="0" w:color="auto"/>
            <w:right w:val="none" w:sz="0" w:space="0" w:color="auto"/>
          </w:divBdr>
        </w:div>
        <w:div w:id="582951276">
          <w:marLeft w:val="0"/>
          <w:marRight w:val="0"/>
          <w:marTop w:val="0"/>
          <w:marBottom w:val="0"/>
          <w:divBdr>
            <w:top w:val="none" w:sz="0" w:space="0" w:color="auto"/>
            <w:left w:val="none" w:sz="0" w:space="0" w:color="auto"/>
            <w:bottom w:val="none" w:sz="0" w:space="0" w:color="auto"/>
            <w:right w:val="none" w:sz="0" w:space="0" w:color="auto"/>
          </w:divBdr>
        </w:div>
        <w:div w:id="1175224072">
          <w:marLeft w:val="0"/>
          <w:marRight w:val="0"/>
          <w:marTop w:val="0"/>
          <w:marBottom w:val="0"/>
          <w:divBdr>
            <w:top w:val="none" w:sz="0" w:space="0" w:color="auto"/>
            <w:left w:val="none" w:sz="0" w:space="0" w:color="auto"/>
            <w:bottom w:val="none" w:sz="0" w:space="0" w:color="auto"/>
            <w:right w:val="none" w:sz="0" w:space="0" w:color="auto"/>
          </w:divBdr>
        </w:div>
        <w:div w:id="153569357">
          <w:marLeft w:val="0"/>
          <w:marRight w:val="0"/>
          <w:marTop w:val="0"/>
          <w:marBottom w:val="0"/>
          <w:divBdr>
            <w:top w:val="none" w:sz="0" w:space="0" w:color="auto"/>
            <w:left w:val="none" w:sz="0" w:space="0" w:color="auto"/>
            <w:bottom w:val="none" w:sz="0" w:space="0" w:color="auto"/>
            <w:right w:val="none" w:sz="0" w:space="0" w:color="auto"/>
          </w:divBdr>
        </w:div>
        <w:div w:id="1018435348">
          <w:marLeft w:val="0"/>
          <w:marRight w:val="0"/>
          <w:marTop w:val="0"/>
          <w:marBottom w:val="0"/>
          <w:divBdr>
            <w:top w:val="none" w:sz="0" w:space="0" w:color="auto"/>
            <w:left w:val="none" w:sz="0" w:space="0" w:color="auto"/>
            <w:bottom w:val="none" w:sz="0" w:space="0" w:color="auto"/>
            <w:right w:val="none" w:sz="0" w:space="0" w:color="auto"/>
          </w:divBdr>
        </w:div>
        <w:div w:id="1960532222">
          <w:marLeft w:val="0"/>
          <w:marRight w:val="0"/>
          <w:marTop w:val="0"/>
          <w:marBottom w:val="0"/>
          <w:divBdr>
            <w:top w:val="none" w:sz="0" w:space="0" w:color="auto"/>
            <w:left w:val="none" w:sz="0" w:space="0" w:color="auto"/>
            <w:bottom w:val="none" w:sz="0" w:space="0" w:color="auto"/>
            <w:right w:val="none" w:sz="0" w:space="0" w:color="auto"/>
          </w:divBdr>
        </w:div>
        <w:div w:id="849219206">
          <w:marLeft w:val="0"/>
          <w:marRight w:val="0"/>
          <w:marTop w:val="0"/>
          <w:marBottom w:val="0"/>
          <w:divBdr>
            <w:top w:val="none" w:sz="0" w:space="0" w:color="auto"/>
            <w:left w:val="none" w:sz="0" w:space="0" w:color="auto"/>
            <w:bottom w:val="none" w:sz="0" w:space="0" w:color="auto"/>
            <w:right w:val="none" w:sz="0" w:space="0" w:color="auto"/>
          </w:divBdr>
        </w:div>
        <w:div w:id="1220096255">
          <w:marLeft w:val="0"/>
          <w:marRight w:val="0"/>
          <w:marTop w:val="0"/>
          <w:marBottom w:val="0"/>
          <w:divBdr>
            <w:top w:val="none" w:sz="0" w:space="0" w:color="auto"/>
            <w:left w:val="none" w:sz="0" w:space="0" w:color="auto"/>
            <w:bottom w:val="none" w:sz="0" w:space="0" w:color="auto"/>
            <w:right w:val="none" w:sz="0" w:space="0" w:color="auto"/>
          </w:divBdr>
        </w:div>
        <w:div w:id="1023357505">
          <w:marLeft w:val="0"/>
          <w:marRight w:val="0"/>
          <w:marTop w:val="0"/>
          <w:marBottom w:val="0"/>
          <w:divBdr>
            <w:top w:val="none" w:sz="0" w:space="0" w:color="auto"/>
            <w:left w:val="none" w:sz="0" w:space="0" w:color="auto"/>
            <w:bottom w:val="none" w:sz="0" w:space="0" w:color="auto"/>
            <w:right w:val="none" w:sz="0" w:space="0" w:color="auto"/>
          </w:divBdr>
        </w:div>
        <w:div w:id="114175752">
          <w:marLeft w:val="0"/>
          <w:marRight w:val="0"/>
          <w:marTop w:val="0"/>
          <w:marBottom w:val="0"/>
          <w:divBdr>
            <w:top w:val="none" w:sz="0" w:space="0" w:color="auto"/>
            <w:left w:val="none" w:sz="0" w:space="0" w:color="auto"/>
            <w:bottom w:val="none" w:sz="0" w:space="0" w:color="auto"/>
            <w:right w:val="none" w:sz="0" w:space="0" w:color="auto"/>
          </w:divBdr>
        </w:div>
        <w:div w:id="1617835756">
          <w:marLeft w:val="0"/>
          <w:marRight w:val="0"/>
          <w:marTop w:val="0"/>
          <w:marBottom w:val="0"/>
          <w:divBdr>
            <w:top w:val="none" w:sz="0" w:space="0" w:color="auto"/>
            <w:left w:val="none" w:sz="0" w:space="0" w:color="auto"/>
            <w:bottom w:val="none" w:sz="0" w:space="0" w:color="auto"/>
            <w:right w:val="none" w:sz="0" w:space="0" w:color="auto"/>
          </w:divBdr>
        </w:div>
        <w:div w:id="219367034">
          <w:marLeft w:val="0"/>
          <w:marRight w:val="0"/>
          <w:marTop w:val="0"/>
          <w:marBottom w:val="0"/>
          <w:divBdr>
            <w:top w:val="none" w:sz="0" w:space="0" w:color="auto"/>
            <w:left w:val="none" w:sz="0" w:space="0" w:color="auto"/>
            <w:bottom w:val="none" w:sz="0" w:space="0" w:color="auto"/>
            <w:right w:val="none" w:sz="0" w:space="0" w:color="auto"/>
          </w:divBdr>
        </w:div>
        <w:div w:id="1390153112">
          <w:marLeft w:val="0"/>
          <w:marRight w:val="0"/>
          <w:marTop w:val="0"/>
          <w:marBottom w:val="0"/>
          <w:divBdr>
            <w:top w:val="none" w:sz="0" w:space="0" w:color="auto"/>
            <w:left w:val="none" w:sz="0" w:space="0" w:color="auto"/>
            <w:bottom w:val="none" w:sz="0" w:space="0" w:color="auto"/>
            <w:right w:val="none" w:sz="0" w:space="0" w:color="auto"/>
          </w:divBdr>
        </w:div>
        <w:div w:id="20668564">
          <w:marLeft w:val="0"/>
          <w:marRight w:val="0"/>
          <w:marTop w:val="0"/>
          <w:marBottom w:val="0"/>
          <w:divBdr>
            <w:top w:val="none" w:sz="0" w:space="0" w:color="auto"/>
            <w:left w:val="none" w:sz="0" w:space="0" w:color="auto"/>
            <w:bottom w:val="none" w:sz="0" w:space="0" w:color="auto"/>
            <w:right w:val="none" w:sz="0" w:space="0" w:color="auto"/>
          </w:divBdr>
        </w:div>
        <w:div w:id="1057120066">
          <w:marLeft w:val="0"/>
          <w:marRight w:val="0"/>
          <w:marTop w:val="0"/>
          <w:marBottom w:val="0"/>
          <w:divBdr>
            <w:top w:val="none" w:sz="0" w:space="0" w:color="auto"/>
            <w:left w:val="none" w:sz="0" w:space="0" w:color="auto"/>
            <w:bottom w:val="none" w:sz="0" w:space="0" w:color="auto"/>
            <w:right w:val="none" w:sz="0" w:space="0" w:color="auto"/>
          </w:divBdr>
        </w:div>
        <w:div w:id="263618177">
          <w:marLeft w:val="0"/>
          <w:marRight w:val="0"/>
          <w:marTop w:val="0"/>
          <w:marBottom w:val="0"/>
          <w:divBdr>
            <w:top w:val="none" w:sz="0" w:space="0" w:color="auto"/>
            <w:left w:val="none" w:sz="0" w:space="0" w:color="auto"/>
            <w:bottom w:val="none" w:sz="0" w:space="0" w:color="auto"/>
            <w:right w:val="none" w:sz="0" w:space="0" w:color="auto"/>
          </w:divBdr>
        </w:div>
        <w:div w:id="1336615579">
          <w:marLeft w:val="0"/>
          <w:marRight w:val="0"/>
          <w:marTop w:val="0"/>
          <w:marBottom w:val="0"/>
          <w:divBdr>
            <w:top w:val="none" w:sz="0" w:space="0" w:color="auto"/>
            <w:left w:val="none" w:sz="0" w:space="0" w:color="auto"/>
            <w:bottom w:val="none" w:sz="0" w:space="0" w:color="auto"/>
            <w:right w:val="none" w:sz="0" w:space="0" w:color="auto"/>
          </w:divBdr>
        </w:div>
        <w:div w:id="563956984">
          <w:marLeft w:val="0"/>
          <w:marRight w:val="0"/>
          <w:marTop w:val="0"/>
          <w:marBottom w:val="0"/>
          <w:divBdr>
            <w:top w:val="none" w:sz="0" w:space="0" w:color="auto"/>
            <w:left w:val="none" w:sz="0" w:space="0" w:color="auto"/>
            <w:bottom w:val="none" w:sz="0" w:space="0" w:color="auto"/>
            <w:right w:val="none" w:sz="0" w:space="0" w:color="auto"/>
          </w:divBdr>
        </w:div>
        <w:div w:id="1598321029">
          <w:marLeft w:val="0"/>
          <w:marRight w:val="0"/>
          <w:marTop w:val="0"/>
          <w:marBottom w:val="0"/>
          <w:divBdr>
            <w:top w:val="none" w:sz="0" w:space="0" w:color="auto"/>
            <w:left w:val="none" w:sz="0" w:space="0" w:color="auto"/>
            <w:bottom w:val="none" w:sz="0" w:space="0" w:color="auto"/>
            <w:right w:val="none" w:sz="0" w:space="0" w:color="auto"/>
          </w:divBdr>
        </w:div>
        <w:div w:id="779029797">
          <w:marLeft w:val="0"/>
          <w:marRight w:val="0"/>
          <w:marTop w:val="0"/>
          <w:marBottom w:val="0"/>
          <w:divBdr>
            <w:top w:val="none" w:sz="0" w:space="0" w:color="auto"/>
            <w:left w:val="none" w:sz="0" w:space="0" w:color="auto"/>
            <w:bottom w:val="none" w:sz="0" w:space="0" w:color="auto"/>
            <w:right w:val="none" w:sz="0" w:space="0" w:color="auto"/>
          </w:divBdr>
        </w:div>
        <w:div w:id="1423136927">
          <w:marLeft w:val="0"/>
          <w:marRight w:val="0"/>
          <w:marTop w:val="0"/>
          <w:marBottom w:val="0"/>
          <w:divBdr>
            <w:top w:val="none" w:sz="0" w:space="0" w:color="auto"/>
            <w:left w:val="none" w:sz="0" w:space="0" w:color="auto"/>
            <w:bottom w:val="none" w:sz="0" w:space="0" w:color="auto"/>
            <w:right w:val="none" w:sz="0" w:space="0" w:color="auto"/>
          </w:divBdr>
        </w:div>
        <w:div w:id="1544708204">
          <w:marLeft w:val="0"/>
          <w:marRight w:val="0"/>
          <w:marTop w:val="0"/>
          <w:marBottom w:val="0"/>
          <w:divBdr>
            <w:top w:val="none" w:sz="0" w:space="0" w:color="auto"/>
            <w:left w:val="none" w:sz="0" w:space="0" w:color="auto"/>
            <w:bottom w:val="none" w:sz="0" w:space="0" w:color="auto"/>
            <w:right w:val="none" w:sz="0" w:space="0" w:color="auto"/>
          </w:divBdr>
        </w:div>
        <w:div w:id="1177841721">
          <w:marLeft w:val="0"/>
          <w:marRight w:val="0"/>
          <w:marTop w:val="0"/>
          <w:marBottom w:val="0"/>
          <w:divBdr>
            <w:top w:val="none" w:sz="0" w:space="0" w:color="auto"/>
            <w:left w:val="none" w:sz="0" w:space="0" w:color="auto"/>
            <w:bottom w:val="none" w:sz="0" w:space="0" w:color="auto"/>
            <w:right w:val="none" w:sz="0" w:space="0" w:color="auto"/>
          </w:divBdr>
        </w:div>
        <w:div w:id="1938709535">
          <w:marLeft w:val="0"/>
          <w:marRight w:val="0"/>
          <w:marTop w:val="0"/>
          <w:marBottom w:val="0"/>
          <w:divBdr>
            <w:top w:val="none" w:sz="0" w:space="0" w:color="auto"/>
            <w:left w:val="none" w:sz="0" w:space="0" w:color="auto"/>
            <w:bottom w:val="none" w:sz="0" w:space="0" w:color="auto"/>
            <w:right w:val="none" w:sz="0" w:space="0" w:color="auto"/>
          </w:divBdr>
        </w:div>
        <w:div w:id="952058862">
          <w:marLeft w:val="0"/>
          <w:marRight w:val="0"/>
          <w:marTop w:val="0"/>
          <w:marBottom w:val="0"/>
          <w:divBdr>
            <w:top w:val="none" w:sz="0" w:space="0" w:color="auto"/>
            <w:left w:val="none" w:sz="0" w:space="0" w:color="auto"/>
            <w:bottom w:val="none" w:sz="0" w:space="0" w:color="auto"/>
            <w:right w:val="none" w:sz="0" w:space="0" w:color="auto"/>
          </w:divBdr>
        </w:div>
        <w:div w:id="506091501">
          <w:marLeft w:val="0"/>
          <w:marRight w:val="0"/>
          <w:marTop w:val="0"/>
          <w:marBottom w:val="0"/>
          <w:divBdr>
            <w:top w:val="none" w:sz="0" w:space="0" w:color="auto"/>
            <w:left w:val="none" w:sz="0" w:space="0" w:color="auto"/>
            <w:bottom w:val="none" w:sz="0" w:space="0" w:color="auto"/>
            <w:right w:val="none" w:sz="0" w:space="0" w:color="auto"/>
          </w:divBdr>
        </w:div>
        <w:div w:id="1132673109">
          <w:marLeft w:val="0"/>
          <w:marRight w:val="0"/>
          <w:marTop w:val="0"/>
          <w:marBottom w:val="0"/>
          <w:divBdr>
            <w:top w:val="none" w:sz="0" w:space="0" w:color="auto"/>
            <w:left w:val="none" w:sz="0" w:space="0" w:color="auto"/>
            <w:bottom w:val="none" w:sz="0" w:space="0" w:color="auto"/>
            <w:right w:val="none" w:sz="0" w:space="0" w:color="auto"/>
          </w:divBdr>
        </w:div>
        <w:div w:id="644117620">
          <w:marLeft w:val="0"/>
          <w:marRight w:val="0"/>
          <w:marTop w:val="0"/>
          <w:marBottom w:val="0"/>
          <w:divBdr>
            <w:top w:val="none" w:sz="0" w:space="0" w:color="auto"/>
            <w:left w:val="none" w:sz="0" w:space="0" w:color="auto"/>
            <w:bottom w:val="none" w:sz="0" w:space="0" w:color="auto"/>
            <w:right w:val="none" w:sz="0" w:space="0" w:color="auto"/>
          </w:divBdr>
        </w:div>
        <w:div w:id="920531782">
          <w:marLeft w:val="0"/>
          <w:marRight w:val="0"/>
          <w:marTop w:val="0"/>
          <w:marBottom w:val="0"/>
          <w:divBdr>
            <w:top w:val="none" w:sz="0" w:space="0" w:color="auto"/>
            <w:left w:val="none" w:sz="0" w:space="0" w:color="auto"/>
            <w:bottom w:val="none" w:sz="0" w:space="0" w:color="auto"/>
            <w:right w:val="none" w:sz="0" w:space="0" w:color="auto"/>
          </w:divBdr>
        </w:div>
        <w:div w:id="627777842">
          <w:marLeft w:val="0"/>
          <w:marRight w:val="0"/>
          <w:marTop w:val="0"/>
          <w:marBottom w:val="0"/>
          <w:divBdr>
            <w:top w:val="none" w:sz="0" w:space="0" w:color="auto"/>
            <w:left w:val="none" w:sz="0" w:space="0" w:color="auto"/>
            <w:bottom w:val="none" w:sz="0" w:space="0" w:color="auto"/>
            <w:right w:val="none" w:sz="0" w:space="0" w:color="auto"/>
          </w:divBdr>
        </w:div>
        <w:div w:id="483861769">
          <w:marLeft w:val="0"/>
          <w:marRight w:val="0"/>
          <w:marTop w:val="0"/>
          <w:marBottom w:val="0"/>
          <w:divBdr>
            <w:top w:val="none" w:sz="0" w:space="0" w:color="auto"/>
            <w:left w:val="none" w:sz="0" w:space="0" w:color="auto"/>
            <w:bottom w:val="none" w:sz="0" w:space="0" w:color="auto"/>
            <w:right w:val="none" w:sz="0" w:space="0" w:color="auto"/>
          </w:divBdr>
        </w:div>
        <w:div w:id="1696999869">
          <w:marLeft w:val="0"/>
          <w:marRight w:val="0"/>
          <w:marTop w:val="0"/>
          <w:marBottom w:val="0"/>
          <w:divBdr>
            <w:top w:val="none" w:sz="0" w:space="0" w:color="auto"/>
            <w:left w:val="none" w:sz="0" w:space="0" w:color="auto"/>
            <w:bottom w:val="none" w:sz="0" w:space="0" w:color="auto"/>
            <w:right w:val="none" w:sz="0" w:space="0" w:color="auto"/>
          </w:divBdr>
        </w:div>
        <w:div w:id="1199247278">
          <w:marLeft w:val="0"/>
          <w:marRight w:val="0"/>
          <w:marTop w:val="0"/>
          <w:marBottom w:val="0"/>
          <w:divBdr>
            <w:top w:val="none" w:sz="0" w:space="0" w:color="auto"/>
            <w:left w:val="none" w:sz="0" w:space="0" w:color="auto"/>
            <w:bottom w:val="none" w:sz="0" w:space="0" w:color="auto"/>
            <w:right w:val="none" w:sz="0" w:space="0" w:color="auto"/>
          </w:divBdr>
        </w:div>
        <w:div w:id="604583698">
          <w:marLeft w:val="0"/>
          <w:marRight w:val="0"/>
          <w:marTop w:val="0"/>
          <w:marBottom w:val="0"/>
          <w:divBdr>
            <w:top w:val="none" w:sz="0" w:space="0" w:color="auto"/>
            <w:left w:val="none" w:sz="0" w:space="0" w:color="auto"/>
            <w:bottom w:val="none" w:sz="0" w:space="0" w:color="auto"/>
            <w:right w:val="none" w:sz="0" w:space="0" w:color="auto"/>
          </w:divBdr>
        </w:div>
        <w:div w:id="1010527432">
          <w:marLeft w:val="0"/>
          <w:marRight w:val="0"/>
          <w:marTop w:val="0"/>
          <w:marBottom w:val="0"/>
          <w:divBdr>
            <w:top w:val="none" w:sz="0" w:space="0" w:color="auto"/>
            <w:left w:val="none" w:sz="0" w:space="0" w:color="auto"/>
            <w:bottom w:val="none" w:sz="0" w:space="0" w:color="auto"/>
            <w:right w:val="none" w:sz="0" w:space="0" w:color="auto"/>
          </w:divBdr>
        </w:div>
        <w:div w:id="1307734694">
          <w:marLeft w:val="0"/>
          <w:marRight w:val="0"/>
          <w:marTop w:val="0"/>
          <w:marBottom w:val="0"/>
          <w:divBdr>
            <w:top w:val="none" w:sz="0" w:space="0" w:color="auto"/>
            <w:left w:val="none" w:sz="0" w:space="0" w:color="auto"/>
            <w:bottom w:val="none" w:sz="0" w:space="0" w:color="auto"/>
            <w:right w:val="none" w:sz="0" w:space="0" w:color="auto"/>
          </w:divBdr>
        </w:div>
        <w:div w:id="1675840616">
          <w:marLeft w:val="0"/>
          <w:marRight w:val="0"/>
          <w:marTop w:val="0"/>
          <w:marBottom w:val="0"/>
          <w:divBdr>
            <w:top w:val="none" w:sz="0" w:space="0" w:color="auto"/>
            <w:left w:val="none" w:sz="0" w:space="0" w:color="auto"/>
            <w:bottom w:val="none" w:sz="0" w:space="0" w:color="auto"/>
            <w:right w:val="none" w:sz="0" w:space="0" w:color="auto"/>
          </w:divBdr>
        </w:div>
        <w:div w:id="1152672068">
          <w:marLeft w:val="0"/>
          <w:marRight w:val="0"/>
          <w:marTop w:val="0"/>
          <w:marBottom w:val="0"/>
          <w:divBdr>
            <w:top w:val="none" w:sz="0" w:space="0" w:color="auto"/>
            <w:left w:val="none" w:sz="0" w:space="0" w:color="auto"/>
            <w:bottom w:val="none" w:sz="0" w:space="0" w:color="auto"/>
            <w:right w:val="none" w:sz="0" w:space="0" w:color="auto"/>
          </w:divBdr>
        </w:div>
        <w:div w:id="415397505">
          <w:marLeft w:val="0"/>
          <w:marRight w:val="0"/>
          <w:marTop w:val="0"/>
          <w:marBottom w:val="0"/>
          <w:divBdr>
            <w:top w:val="none" w:sz="0" w:space="0" w:color="auto"/>
            <w:left w:val="none" w:sz="0" w:space="0" w:color="auto"/>
            <w:bottom w:val="none" w:sz="0" w:space="0" w:color="auto"/>
            <w:right w:val="none" w:sz="0" w:space="0" w:color="auto"/>
          </w:divBdr>
        </w:div>
        <w:div w:id="1513909431">
          <w:marLeft w:val="0"/>
          <w:marRight w:val="0"/>
          <w:marTop w:val="0"/>
          <w:marBottom w:val="0"/>
          <w:divBdr>
            <w:top w:val="none" w:sz="0" w:space="0" w:color="auto"/>
            <w:left w:val="none" w:sz="0" w:space="0" w:color="auto"/>
            <w:bottom w:val="none" w:sz="0" w:space="0" w:color="auto"/>
            <w:right w:val="none" w:sz="0" w:space="0" w:color="auto"/>
          </w:divBdr>
        </w:div>
        <w:div w:id="1085031067">
          <w:marLeft w:val="0"/>
          <w:marRight w:val="0"/>
          <w:marTop w:val="0"/>
          <w:marBottom w:val="0"/>
          <w:divBdr>
            <w:top w:val="none" w:sz="0" w:space="0" w:color="auto"/>
            <w:left w:val="none" w:sz="0" w:space="0" w:color="auto"/>
            <w:bottom w:val="none" w:sz="0" w:space="0" w:color="auto"/>
            <w:right w:val="none" w:sz="0" w:space="0" w:color="auto"/>
          </w:divBdr>
        </w:div>
        <w:div w:id="1124927213">
          <w:marLeft w:val="0"/>
          <w:marRight w:val="0"/>
          <w:marTop w:val="0"/>
          <w:marBottom w:val="0"/>
          <w:divBdr>
            <w:top w:val="none" w:sz="0" w:space="0" w:color="auto"/>
            <w:left w:val="none" w:sz="0" w:space="0" w:color="auto"/>
            <w:bottom w:val="none" w:sz="0" w:space="0" w:color="auto"/>
            <w:right w:val="none" w:sz="0" w:space="0" w:color="auto"/>
          </w:divBdr>
        </w:div>
        <w:div w:id="851919951">
          <w:marLeft w:val="0"/>
          <w:marRight w:val="0"/>
          <w:marTop w:val="0"/>
          <w:marBottom w:val="0"/>
          <w:divBdr>
            <w:top w:val="none" w:sz="0" w:space="0" w:color="auto"/>
            <w:left w:val="none" w:sz="0" w:space="0" w:color="auto"/>
            <w:bottom w:val="none" w:sz="0" w:space="0" w:color="auto"/>
            <w:right w:val="none" w:sz="0" w:space="0" w:color="auto"/>
          </w:divBdr>
        </w:div>
        <w:div w:id="735784542">
          <w:marLeft w:val="0"/>
          <w:marRight w:val="0"/>
          <w:marTop w:val="0"/>
          <w:marBottom w:val="0"/>
          <w:divBdr>
            <w:top w:val="none" w:sz="0" w:space="0" w:color="auto"/>
            <w:left w:val="none" w:sz="0" w:space="0" w:color="auto"/>
            <w:bottom w:val="none" w:sz="0" w:space="0" w:color="auto"/>
            <w:right w:val="none" w:sz="0" w:space="0" w:color="auto"/>
          </w:divBdr>
        </w:div>
        <w:div w:id="1373188112">
          <w:marLeft w:val="0"/>
          <w:marRight w:val="0"/>
          <w:marTop w:val="0"/>
          <w:marBottom w:val="0"/>
          <w:divBdr>
            <w:top w:val="none" w:sz="0" w:space="0" w:color="auto"/>
            <w:left w:val="none" w:sz="0" w:space="0" w:color="auto"/>
            <w:bottom w:val="none" w:sz="0" w:space="0" w:color="auto"/>
            <w:right w:val="none" w:sz="0" w:space="0" w:color="auto"/>
          </w:divBdr>
        </w:div>
        <w:div w:id="2019303774">
          <w:marLeft w:val="0"/>
          <w:marRight w:val="0"/>
          <w:marTop w:val="0"/>
          <w:marBottom w:val="0"/>
          <w:divBdr>
            <w:top w:val="none" w:sz="0" w:space="0" w:color="auto"/>
            <w:left w:val="none" w:sz="0" w:space="0" w:color="auto"/>
            <w:bottom w:val="none" w:sz="0" w:space="0" w:color="auto"/>
            <w:right w:val="none" w:sz="0" w:space="0" w:color="auto"/>
          </w:divBdr>
        </w:div>
        <w:div w:id="384448724">
          <w:marLeft w:val="0"/>
          <w:marRight w:val="0"/>
          <w:marTop w:val="0"/>
          <w:marBottom w:val="0"/>
          <w:divBdr>
            <w:top w:val="none" w:sz="0" w:space="0" w:color="auto"/>
            <w:left w:val="none" w:sz="0" w:space="0" w:color="auto"/>
            <w:bottom w:val="none" w:sz="0" w:space="0" w:color="auto"/>
            <w:right w:val="none" w:sz="0" w:space="0" w:color="auto"/>
          </w:divBdr>
        </w:div>
        <w:div w:id="848252843">
          <w:marLeft w:val="0"/>
          <w:marRight w:val="0"/>
          <w:marTop w:val="0"/>
          <w:marBottom w:val="0"/>
          <w:divBdr>
            <w:top w:val="none" w:sz="0" w:space="0" w:color="auto"/>
            <w:left w:val="none" w:sz="0" w:space="0" w:color="auto"/>
            <w:bottom w:val="none" w:sz="0" w:space="0" w:color="auto"/>
            <w:right w:val="none" w:sz="0" w:space="0" w:color="auto"/>
          </w:divBdr>
        </w:div>
        <w:div w:id="1833177791">
          <w:marLeft w:val="0"/>
          <w:marRight w:val="0"/>
          <w:marTop w:val="0"/>
          <w:marBottom w:val="0"/>
          <w:divBdr>
            <w:top w:val="none" w:sz="0" w:space="0" w:color="auto"/>
            <w:left w:val="none" w:sz="0" w:space="0" w:color="auto"/>
            <w:bottom w:val="none" w:sz="0" w:space="0" w:color="auto"/>
            <w:right w:val="none" w:sz="0" w:space="0" w:color="auto"/>
          </w:divBdr>
        </w:div>
        <w:div w:id="970936797">
          <w:marLeft w:val="0"/>
          <w:marRight w:val="0"/>
          <w:marTop w:val="0"/>
          <w:marBottom w:val="0"/>
          <w:divBdr>
            <w:top w:val="none" w:sz="0" w:space="0" w:color="auto"/>
            <w:left w:val="none" w:sz="0" w:space="0" w:color="auto"/>
            <w:bottom w:val="none" w:sz="0" w:space="0" w:color="auto"/>
            <w:right w:val="none" w:sz="0" w:space="0" w:color="auto"/>
          </w:divBdr>
        </w:div>
        <w:div w:id="581574518">
          <w:marLeft w:val="0"/>
          <w:marRight w:val="0"/>
          <w:marTop w:val="0"/>
          <w:marBottom w:val="0"/>
          <w:divBdr>
            <w:top w:val="none" w:sz="0" w:space="0" w:color="auto"/>
            <w:left w:val="none" w:sz="0" w:space="0" w:color="auto"/>
            <w:bottom w:val="none" w:sz="0" w:space="0" w:color="auto"/>
            <w:right w:val="none" w:sz="0" w:space="0" w:color="auto"/>
          </w:divBdr>
        </w:div>
        <w:div w:id="287207002">
          <w:marLeft w:val="0"/>
          <w:marRight w:val="0"/>
          <w:marTop w:val="0"/>
          <w:marBottom w:val="0"/>
          <w:divBdr>
            <w:top w:val="none" w:sz="0" w:space="0" w:color="auto"/>
            <w:left w:val="none" w:sz="0" w:space="0" w:color="auto"/>
            <w:bottom w:val="none" w:sz="0" w:space="0" w:color="auto"/>
            <w:right w:val="none" w:sz="0" w:space="0" w:color="auto"/>
          </w:divBdr>
        </w:div>
        <w:div w:id="484931044">
          <w:marLeft w:val="0"/>
          <w:marRight w:val="0"/>
          <w:marTop w:val="0"/>
          <w:marBottom w:val="0"/>
          <w:divBdr>
            <w:top w:val="none" w:sz="0" w:space="0" w:color="auto"/>
            <w:left w:val="none" w:sz="0" w:space="0" w:color="auto"/>
            <w:bottom w:val="none" w:sz="0" w:space="0" w:color="auto"/>
            <w:right w:val="none" w:sz="0" w:space="0" w:color="auto"/>
          </w:divBdr>
        </w:div>
        <w:div w:id="1665282667">
          <w:marLeft w:val="0"/>
          <w:marRight w:val="0"/>
          <w:marTop w:val="0"/>
          <w:marBottom w:val="0"/>
          <w:divBdr>
            <w:top w:val="none" w:sz="0" w:space="0" w:color="auto"/>
            <w:left w:val="none" w:sz="0" w:space="0" w:color="auto"/>
            <w:bottom w:val="none" w:sz="0" w:space="0" w:color="auto"/>
            <w:right w:val="none" w:sz="0" w:space="0" w:color="auto"/>
          </w:divBdr>
        </w:div>
        <w:div w:id="930773649">
          <w:marLeft w:val="0"/>
          <w:marRight w:val="0"/>
          <w:marTop w:val="0"/>
          <w:marBottom w:val="0"/>
          <w:divBdr>
            <w:top w:val="none" w:sz="0" w:space="0" w:color="auto"/>
            <w:left w:val="none" w:sz="0" w:space="0" w:color="auto"/>
            <w:bottom w:val="none" w:sz="0" w:space="0" w:color="auto"/>
            <w:right w:val="none" w:sz="0" w:space="0" w:color="auto"/>
          </w:divBdr>
        </w:div>
        <w:div w:id="1012955121">
          <w:marLeft w:val="0"/>
          <w:marRight w:val="0"/>
          <w:marTop w:val="0"/>
          <w:marBottom w:val="0"/>
          <w:divBdr>
            <w:top w:val="none" w:sz="0" w:space="0" w:color="auto"/>
            <w:left w:val="none" w:sz="0" w:space="0" w:color="auto"/>
            <w:bottom w:val="none" w:sz="0" w:space="0" w:color="auto"/>
            <w:right w:val="none" w:sz="0" w:space="0" w:color="auto"/>
          </w:divBdr>
        </w:div>
        <w:div w:id="2136557704">
          <w:marLeft w:val="0"/>
          <w:marRight w:val="0"/>
          <w:marTop w:val="0"/>
          <w:marBottom w:val="0"/>
          <w:divBdr>
            <w:top w:val="none" w:sz="0" w:space="0" w:color="auto"/>
            <w:left w:val="none" w:sz="0" w:space="0" w:color="auto"/>
            <w:bottom w:val="none" w:sz="0" w:space="0" w:color="auto"/>
            <w:right w:val="none" w:sz="0" w:space="0" w:color="auto"/>
          </w:divBdr>
        </w:div>
        <w:div w:id="820314936">
          <w:marLeft w:val="0"/>
          <w:marRight w:val="0"/>
          <w:marTop w:val="0"/>
          <w:marBottom w:val="0"/>
          <w:divBdr>
            <w:top w:val="none" w:sz="0" w:space="0" w:color="auto"/>
            <w:left w:val="none" w:sz="0" w:space="0" w:color="auto"/>
            <w:bottom w:val="none" w:sz="0" w:space="0" w:color="auto"/>
            <w:right w:val="none" w:sz="0" w:space="0" w:color="auto"/>
          </w:divBdr>
        </w:div>
        <w:div w:id="240716784">
          <w:marLeft w:val="0"/>
          <w:marRight w:val="0"/>
          <w:marTop w:val="0"/>
          <w:marBottom w:val="0"/>
          <w:divBdr>
            <w:top w:val="none" w:sz="0" w:space="0" w:color="auto"/>
            <w:left w:val="none" w:sz="0" w:space="0" w:color="auto"/>
            <w:bottom w:val="none" w:sz="0" w:space="0" w:color="auto"/>
            <w:right w:val="none" w:sz="0" w:space="0" w:color="auto"/>
          </w:divBdr>
        </w:div>
        <w:div w:id="1927151793">
          <w:marLeft w:val="0"/>
          <w:marRight w:val="0"/>
          <w:marTop w:val="0"/>
          <w:marBottom w:val="0"/>
          <w:divBdr>
            <w:top w:val="none" w:sz="0" w:space="0" w:color="auto"/>
            <w:left w:val="none" w:sz="0" w:space="0" w:color="auto"/>
            <w:bottom w:val="none" w:sz="0" w:space="0" w:color="auto"/>
            <w:right w:val="none" w:sz="0" w:space="0" w:color="auto"/>
          </w:divBdr>
        </w:div>
        <w:div w:id="158815968">
          <w:marLeft w:val="0"/>
          <w:marRight w:val="0"/>
          <w:marTop w:val="0"/>
          <w:marBottom w:val="0"/>
          <w:divBdr>
            <w:top w:val="none" w:sz="0" w:space="0" w:color="auto"/>
            <w:left w:val="none" w:sz="0" w:space="0" w:color="auto"/>
            <w:bottom w:val="none" w:sz="0" w:space="0" w:color="auto"/>
            <w:right w:val="none" w:sz="0" w:space="0" w:color="auto"/>
          </w:divBdr>
        </w:div>
        <w:div w:id="1665011276">
          <w:marLeft w:val="0"/>
          <w:marRight w:val="0"/>
          <w:marTop w:val="0"/>
          <w:marBottom w:val="0"/>
          <w:divBdr>
            <w:top w:val="none" w:sz="0" w:space="0" w:color="auto"/>
            <w:left w:val="none" w:sz="0" w:space="0" w:color="auto"/>
            <w:bottom w:val="none" w:sz="0" w:space="0" w:color="auto"/>
            <w:right w:val="none" w:sz="0" w:space="0" w:color="auto"/>
          </w:divBdr>
        </w:div>
        <w:div w:id="213933900">
          <w:marLeft w:val="0"/>
          <w:marRight w:val="0"/>
          <w:marTop w:val="0"/>
          <w:marBottom w:val="0"/>
          <w:divBdr>
            <w:top w:val="none" w:sz="0" w:space="0" w:color="auto"/>
            <w:left w:val="none" w:sz="0" w:space="0" w:color="auto"/>
            <w:bottom w:val="none" w:sz="0" w:space="0" w:color="auto"/>
            <w:right w:val="none" w:sz="0" w:space="0" w:color="auto"/>
          </w:divBdr>
        </w:div>
        <w:div w:id="318310030">
          <w:marLeft w:val="0"/>
          <w:marRight w:val="0"/>
          <w:marTop w:val="0"/>
          <w:marBottom w:val="0"/>
          <w:divBdr>
            <w:top w:val="none" w:sz="0" w:space="0" w:color="auto"/>
            <w:left w:val="none" w:sz="0" w:space="0" w:color="auto"/>
            <w:bottom w:val="none" w:sz="0" w:space="0" w:color="auto"/>
            <w:right w:val="none" w:sz="0" w:space="0" w:color="auto"/>
          </w:divBdr>
        </w:div>
        <w:div w:id="1934047307">
          <w:marLeft w:val="0"/>
          <w:marRight w:val="0"/>
          <w:marTop w:val="0"/>
          <w:marBottom w:val="0"/>
          <w:divBdr>
            <w:top w:val="none" w:sz="0" w:space="0" w:color="auto"/>
            <w:left w:val="none" w:sz="0" w:space="0" w:color="auto"/>
            <w:bottom w:val="none" w:sz="0" w:space="0" w:color="auto"/>
            <w:right w:val="none" w:sz="0" w:space="0" w:color="auto"/>
          </w:divBdr>
        </w:div>
        <w:div w:id="600449984">
          <w:marLeft w:val="0"/>
          <w:marRight w:val="0"/>
          <w:marTop w:val="0"/>
          <w:marBottom w:val="0"/>
          <w:divBdr>
            <w:top w:val="none" w:sz="0" w:space="0" w:color="auto"/>
            <w:left w:val="none" w:sz="0" w:space="0" w:color="auto"/>
            <w:bottom w:val="none" w:sz="0" w:space="0" w:color="auto"/>
            <w:right w:val="none" w:sz="0" w:space="0" w:color="auto"/>
          </w:divBdr>
        </w:div>
        <w:div w:id="525287852">
          <w:marLeft w:val="0"/>
          <w:marRight w:val="0"/>
          <w:marTop w:val="0"/>
          <w:marBottom w:val="0"/>
          <w:divBdr>
            <w:top w:val="none" w:sz="0" w:space="0" w:color="auto"/>
            <w:left w:val="none" w:sz="0" w:space="0" w:color="auto"/>
            <w:bottom w:val="none" w:sz="0" w:space="0" w:color="auto"/>
            <w:right w:val="none" w:sz="0" w:space="0" w:color="auto"/>
          </w:divBdr>
        </w:div>
        <w:div w:id="2070415252">
          <w:marLeft w:val="0"/>
          <w:marRight w:val="0"/>
          <w:marTop w:val="0"/>
          <w:marBottom w:val="0"/>
          <w:divBdr>
            <w:top w:val="none" w:sz="0" w:space="0" w:color="auto"/>
            <w:left w:val="none" w:sz="0" w:space="0" w:color="auto"/>
            <w:bottom w:val="none" w:sz="0" w:space="0" w:color="auto"/>
            <w:right w:val="none" w:sz="0" w:space="0" w:color="auto"/>
          </w:divBdr>
        </w:div>
        <w:div w:id="985864752">
          <w:marLeft w:val="0"/>
          <w:marRight w:val="0"/>
          <w:marTop w:val="0"/>
          <w:marBottom w:val="0"/>
          <w:divBdr>
            <w:top w:val="none" w:sz="0" w:space="0" w:color="auto"/>
            <w:left w:val="none" w:sz="0" w:space="0" w:color="auto"/>
            <w:bottom w:val="none" w:sz="0" w:space="0" w:color="auto"/>
            <w:right w:val="none" w:sz="0" w:space="0" w:color="auto"/>
          </w:divBdr>
        </w:div>
        <w:div w:id="594048135">
          <w:marLeft w:val="0"/>
          <w:marRight w:val="0"/>
          <w:marTop w:val="0"/>
          <w:marBottom w:val="0"/>
          <w:divBdr>
            <w:top w:val="none" w:sz="0" w:space="0" w:color="auto"/>
            <w:left w:val="none" w:sz="0" w:space="0" w:color="auto"/>
            <w:bottom w:val="none" w:sz="0" w:space="0" w:color="auto"/>
            <w:right w:val="none" w:sz="0" w:space="0" w:color="auto"/>
          </w:divBdr>
        </w:div>
        <w:div w:id="298076988">
          <w:marLeft w:val="0"/>
          <w:marRight w:val="0"/>
          <w:marTop w:val="0"/>
          <w:marBottom w:val="0"/>
          <w:divBdr>
            <w:top w:val="none" w:sz="0" w:space="0" w:color="auto"/>
            <w:left w:val="none" w:sz="0" w:space="0" w:color="auto"/>
            <w:bottom w:val="none" w:sz="0" w:space="0" w:color="auto"/>
            <w:right w:val="none" w:sz="0" w:space="0" w:color="auto"/>
          </w:divBdr>
        </w:div>
        <w:div w:id="1771582518">
          <w:marLeft w:val="0"/>
          <w:marRight w:val="0"/>
          <w:marTop w:val="0"/>
          <w:marBottom w:val="0"/>
          <w:divBdr>
            <w:top w:val="none" w:sz="0" w:space="0" w:color="auto"/>
            <w:left w:val="none" w:sz="0" w:space="0" w:color="auto"/>
            <w:bottom w:val="none" w:sz="0" w:space="0" w:color="auto"/>
            <w:right w:val="none" w:sz="0" w:space="0" w:color="auto"/>
          </w:divBdr>
        </w:div>
        <w:div w:id="70927511">
          <w:marLeft w:val="0"/>
          <w:marRight w:val="0"/>
          <w:marTop w:val="0"/>
          <w:marBottom w:val="0"/>
          <w:divBdr>
            <w:top w:val="none" w:sz="0" w:space="0" w:color="auto"/>
            <w:left w:val="none" w:sz="0" w:space="0" w:color="auto"/>
            <w:bottom w:val="none" w:sz="0" w:space="0" w:color="auto"/>
            <w:right w:val="none" w:sz="0" w:space="0" w:color="auto"/>
          </w:divBdr>
        </w:div>
        <w:div w:id="1691224640">
          <w:marLeft w:val="0"/>
          <w:marRight w:val="0"/>
          <w:marTop w:val="0"/>
          <w:marBottom w:val="0"/>
          <w:divBdr>
            <w:top w:val="none" w:sz="0" w:space="0" w:color="auto"/>
            <w:left w:val="none" w:sz="0" w:space="0" w:color="auto"/>
            <w:bottom w:val="none" w:sz="0" w:space="0" w:color="auto"/>
            <w:right w:val="none" w:sz="0" w:space="0" w:color="auto"/>
          </w:divBdr>
        </w:div>
        <w:div w:id="1286080167">
          <w:marLeft w:val="0"/>
          <w:marRight w:val="0"/>
          <w:marTop w:val="0"/>
          <w:marBottom w:val="0"/>
          <w:divBdr>
            <w:top w:val="none" w:sz="0" w:space="0" w:color="auto"/>
            <w:left w:val="none" w:sz="0" w:space="0" w:color="auto"/>
            <w:bottom w:val="none" w:sz="0" w:space="0" w:color="auto"/>
            <w:right w:val="none" w:sz="0" w:space="0" w:color="auto"/>
          </w:divBdr>
        </w:div>
        <w:div w:id="826088586">
          <w:marLeft w:val="0"/>
          <w:marRight w:val="0"/>
          <w:marTop w:val="0"/>
          <w:marBottom w:val="0"/>
          <w:divBdr>
            <w:top w:val="none" w:sz="0" w:space="0" w:color="auto"/>
            <w:left w:val="none" w:sz="0" w:space="0" w:color="auto"/>
            <w:bottom w:val="none" w:sz="0" w:space="0" w:color="auto"/>
            <w:right w:val="none" w:sz="0" w:space="0" w:color="auto"/>
          </w:divBdr>
        </w:div>
        <w:div w:id="1930384202">
          <w:marLeft w:val="0"/>
          <w:marRight w:val="0"/>
          <w:marTop w:val="0"/>
          <w:marBottom w:val="0"/>
          <w:divBdr>
            <w:top w:val="none" w:sz="0" w:space="0" w:color="auto"/>
            <w:left w:val="none" w:sz="0" w:space="0" w:color="auto"/>
            <w:bottom w:val="none" w:sz="0" w:space="0" w:color="auto"/>
            <w:right w:val="none" w:sz="0" w:space="0" w:color="auto"/>
          </w:divBdr>
        </w:div>
        <w:div w:id="1613787042">
          <w:marLeft w:val="0"/>
          <w:marRight w:val="0"/>
          <w:marTop w:val="0"/>
          <w:marBottom w:val="0"/>
          <w:divBdr>
            <w:top w:val="none" w:sz="0" w:space="0" w:color="auto"/>
            <w:left w:val="none" w:sz="0" w:space="0" w:color="auto"/>
            <w:bottom w:val="none" w:sz="0" w:space="0" w:color="auto"/>
            <w:right w:val="none" w:sz="0" w:space="0" w:color="auto"/>
          </w:divBdr>
        </w:div>
        <w:div w:id="835222854">
          <w:marLeft w:val="0"/>
          <w:marRight w:val="0"/>
          <w:marTop w:val="0"/>
          <w:marBottom w:val="0"/>
          <w:divBdr>
            <w:top w:val="none" w:sz="0" w:space="0" w:color="auto"/>
            <w:left w:val="none" w:sz="0" w:space="0" w:color="auto"/>
            <w:bottom w:val="none" w:sz="0" w:space="0" w:color="auto"/>
            <w:right w:val="none" w:sz="0" w:space="0" w:color="auto"/>
          </w:divBdr>
        </w:div>
        <w:div w:id="441925267">
          <w:marLeft w:val="0"/>
          <w:marRight w:val="0"/>
          <w:marTop w:val="0"/>
          <w:marBottom w:val="0"/>
          <w:divBdr>
            <w:top w:val="none" w:sz="0" w:space="0" w:color="auto"/>
            <w:left w:val="none" w:sz="0" w:space="0" w:color="auto"/>
            <w:bottom w:val="none" w:sz="0" w:space="0" w:color="auto"/>
            <w:right w:val="none" w:sz="0" w:space="0" w:color="auto"/>
          </w:divBdr>
        </w:div>
        <w:div w:id="651451807">
          <w:marLeft w:val="0"/>
          <w:marRight w:val="0"/>
          <w:marTop w:val="0"/>
          <w:marBottom w:val="0"/>
          <w:divBdr>
            <w:top w:val="none" w:sz="0" w:space="0" w:color="auto"/>
            <w:left w:val="none" w:sz="0" w:space="0" w:color="auto"/>
            <w:bottom w:val="none" w:sz="0" w:space="0" w:color="auto"/>
            <w:right w:val="none" w:sz="0" w:space="0" w:color="auto"/>
          </w:divBdr>
        </w:div>
        <w:div w:id="1330408628">
          <w:marLeft w:val="0"/>
          <w:marRight w:val="0"/>
          <w:marTop w:val="0"/>
          <w:marBottom w:val="0"/>
          <w:divBdr>
            <w:top w:val="none" w:sz="0" w:space="0" w:color="auto"/>
            <w:left w:val="none" w:sz="0" w:space="0" w:color="auto"/>
            <w:bottom w:val="none" w:sz="0" w:space="0" w:color="auto"/>
            <w:right w:val="none" w:sz="0" w:space="0" w:color="auto"/>
          </w:divBdr>
        </w:div>
        <w:div w:id="1444569731">
          <w:marLeft w:val="0"/>
          <w:marRight w:val="0"/>
          <w:marTop w:val="0"/>
          <w:marBottom w:val="0"/>
          <w:divBdr>
            <w:top w:val="none" w:sz="0" w:space="0" w:color="auto"/>
            <w:left w:val="none" w:sz="0" w:space="0" w:color="auto"/>
            <w:bottom w:val="none" w:sz="0" w:space="0" w:color="auto"/>
            <w:right w:val="none" w:sz="0" w:space="0" w:color="auto"/>
          </w:divBdr>
        </w:div>
        <w:div w:id="1872376924">
          <w:marLeft w:val="0"/>
          <w:marRight w:val="0"/>
          <w:marTop w:val="0"/>
          <w:marBottom w:val="0"/>
          <w:divBdr>
            <w:top w:val="none" w:sz="0" w:space="0" w:color="auto"/>
            <w:left w:val="none" w:sz="0" w:space="0" w:color="auto"/>
            <w:bottom w:val="none" w:sz="0" w:space="0" w:color="auto"/>
            <w:right w:val="none" w:sz="0" w:space="0" w:color="auto"/>
          </w:divBdr>
        </w:div>
        <w:div w:id="1448770401">
          <w:marLeft w:val="0"/>
          <w:marRight w:val="0"/>
          <w:marTop w:val="0"/>
          <w:marBottom w:val="0"/>
          <w:divBdr>
            <w:top w:val="none" w:sz="0" w:space="0" w:color="auto"/>
            <w:left w:val="none" w:sz="0" w:space="0" w:color="auto"/>
            <w:bottom w:val="none" w:sz="0" w:space="0" w:color="auto"/>
            <w:right w:val="none" w:sz="0" w:space="0" w:color="auto"/>
          </w:divBdr>
        </w:div>
        <w:div w:id="1531380518">
          <w:marLeft w:val="0"/>
          <w:marRight w:val="0"/>
          <w:marTop w:val="0"/>
          <w:marBottom w:val="0"/>
          <w:divBdr>
            <w:top w:val="none" w:sz="0" w:space="0" w:color="auto"/>
            <w:left w:val="none" w:sz="0" w:space="0" w:color="auto"/>
            <w:bottom w:val="none" w:sz="0" w:space="0" w:color="auto"/>
            <w:right w:val="none" w:sz="0" w:space="0" w:color="auto"/>
          </w:divBdr>
        </w:div>
        <w:div w:id="1066805988">
          <w:marLeft w:val="0"/>
          <w:marRight w:val="0"/>
          <w:marTop w:val="0"/>
          <w:marBottom w:val="0"/>
          <w:divBdr>
            <w:top w:val="none" w:sz="0" w:space="0" w:color="auto"/>
            <w:left w:val="none" w:sz="0" w:space="0" w:color="auto"/>
            <w:bottom w:val="none" w:sz="0" w:space="0" w:color="auto"/>
            <w:right w:val="none" w:sz="0" w:space="0" w:color="auto"/>
          </w:divBdr>
        </w:div>
        <w:div w:id="28724381">
          <w:marLeft w:val="0"/>
          <w:marRight w:val="0"/>
          <w:marTop w:val="0"/>
          <w:marBottom w:val="0"/>
          <w:divBdr>
            <w:top w:val="none" w:sz="0" w:space="0" w:color="auto"/>
            <w:left w:val="none" w:sz="0" w:space="0" w:color="auto"/>
            <w:bottom w:val="none" w:sz="0" w:space="0" w:color="auto"/>
            <w:right w:val="none" w:sz="0" w:space="0" w:color="auto"/>
          </w:divBdr>
        </w:div>
        <w:div w:id="1240824929">
          <w:marLeft w:val="0"/>
          <w:marRight w:val="0"/>
          <w:marTop w:val="0"/>
          <w:marBottom w:val="0"/>
          <w:divBdr>
            <w:top w:val="none" w:sz="0" w:space="0" w:color="auto"/>
            <w:left w:val="none" w:sz="0" w:space="0" w:color="auto"/>
            <w:bottom w:val="none" w:sz="0" w:space="0" w:color="auto"/>
            <w:right w:val="none" w:sz="0" w:space="0" w:color="auto"/>
          </w:divBdr>
        </w:div>
        <w:div w:id="1114980472">
          <w:marLeft w:val="0"/>
          <w:marRight w:val="0"/>
          <w:marTop w:val="0"/>
          <w:marBottom w:val="0"/>
          <w:divBdr>
            <w:top w:val="none" w:sz="0" w:space="0" w:color="auto"/>
            <w:left w:val="none" w:sz="0" w:space="0" w:color="auto"/>
            <w:bottom w:val="none" w:sz="0" w:space="0" w:color="auto"/>
            <w:right w:val="none" w:sz="0" w:space="0" w:color="auto"/>
          </w:divBdr>
        </w:div>
        <w:div w:id="1494446467">
          <w:marLeft w:val="0"/>
          <w:marRight w:val="0"/>
          <w:marTop w:val="0"/>
          <w:marBottom w:val="0"/>
          <w:divBdr>
            <w:top w:val="none" w:sz="0" w:space="0" w:color="auto"/>
            <w:left w:val="none" w:sz="0" w:space="0" w:color="auto"/>
            <w:bottom w:val="none" w:sz="0" w:space="0" w:color="auto"/>
            <w:right w:val="none" w:sz="0" w:space="0" w:color="auto"/>
          </w:divBdr>
        </w:div>
        <w:div w:id="1456829634">
          <w:marLeft w:val="0"/>
          <w:marRight w:val="0"/>
          <w:marTop w:val="0"/>
          <w:marBottom w:val="0"/>
          <w:divBdr>
            <w:top w:val="none" w:sz="0" w:space="0" w:color="auto"/>
            <w:left w:val="none" w:sz="0" w:space="0" w:color="auto"/>
            <w:bottom w:val="none" w:sz="0" w:space="0" w:color="auto"/>
            <w:right w:val="none" w:sz="0" w:space="0" w:color="auto"/>
          </w:divBdr>
        </w:div>
        <w:div w:id="1771467957">
          <w:marLeft w:val="0"/>
          <w:marRight w:val="0"/>
          <w:marTop w:val="0"/>
          <w:marBottom w:val="0"/>
          <w:divBdr>
            <w:top w:val="none" w:sz="0" w:space="0" w:color="auto"/>
            <w:left w:val="none" w:sz="0" w:space="0" w:color="auto"/>
            <w:bottom w:val="none" w:sz="0" w:space="0" w:color="auto"/>
            <w:right w:val="none" w:sz="0" w:space="0" w:color="auto"/>
          </w:divBdr>
        </w:div>
        <w:div w:id="1729768327">
          <w:marLeft w:val="0"/>
          <w:marRight w:val="0"/>
          <w:marTop w:val="0"/>
          <w:marBottom w:val="0"/>
          <w:divBdr>
            <w:top w:val="none" w:sz="0" w:space="0" w:color="auto"/>
            <w:left w:val="none" w:sz="0" w:space="0" w:color="auto"/>
            <w:bottom w:val="none" w:sz="0" w:space="0" w:color="auto"/>
            <w:right w:val="none" w:sz="0" w:space="0" w:color="auto"/>
          </w:divBdr>
        </w:div>
        <w:div w:id="1863783647">
          <w:marLeft w:val="0"/>
          <w:marRight w:val="0"/>
          <w:marTop w:val="0"/>
          <w:marBottom w:val="0"/>
          <w:divBdr>
            <w:top w:val="none" w:sz="0" w:space="0" w:color="auto"/>
            <w:left w:val="none" w:sz="0" w:space="0" w:color="auto"/>
            <w:bottom w:val="none" w:sz="0" w:space="0" w:color="auto"/>
            <w:right w:val="none" w:sz="0" w:space="0" w:color="auto"/>
          </w:divBdr>
        </w:div>
        <w:div w:id="1070229788">
          <w:marLeft w:val="0"/>
          <w:marRight w:val="0"/>
          <w:marTop w:val="0"/>
          <w:marBottom w:val="0"/>
          <w:divBdr>
            <w:top w:val="none" w:sz="0" w:space="0" w:color="auto"/>
            <w:left w:val="none" w:sz="0" w:space="0" w:color="auto"/>
            <w:bottom w:val="none" w:sz="0" w:space="0" w:color="auto"/>
            <w:right w:val="none" w:sz="0" w:space="0" w:color="auto"/>
          </w:divBdr>
        </w:div>
        <w:div w:id="113446629">
          <w:marLeft w:val="0"/>
          <w:marRight w:val="0"/>
          <w:marTop w:val="0"/>
          <w:marBottom w:val="0"/>
          <w:divBdr>
            <w:top w:val="none" w:sz="0" w:space="0" w:color="auto"/>
            <w:left w:val="none" w:sz="0" w:space="0" w:color="auto"/>
            <w:bottom w:val="none" w:sz="0" w:space="0" w:color="auto"/>
            <w:right w:val="none" w:sz="0" w:space="0" w:color="auto"/>
          </w:divBdr>
        </w:div>
        <w:div w:id="2020547579">
          <w:marLeft w:val="0"/>
          <w:marRight w:val="0"/>
          <w:marTop w:val="0"/>
          <w:marBottom w:val="0"/>
          <w:divBdr>
            <w:top w:val="none" w:sz="0" w:space="0" w:color="auto"/>
            <w:left w:val="none" w:sz="0" w:space="0" w:color="auto"/>
            <w:bottom w:val="none" w:sz="0" w:space="0" w:color="auto"/>
            <w:right w:val="none" w:sz="0" w:space="0" w:color="auto"/>
          </w:divBdr>
        </w:div>
        <w:div w:id="224681378">
          <w:marLeft w:val="0"/>
          <w:marRight w:val="0"/>
          <w:marTop w:val="0"/>
          <w:marBottom w:val="0"/>
          <w:divBdr>
            <w:top w:val="none" w:sz="0" w:space="0" w:color="auto"/>
            <w:left w:val="none" w:sz="0" w:space="0" w:color="auto"/>
            <w:bottom w:val="none" w:sz="0" w:space="0" w:color="auto"/>
            <w:right w:val="none" w:sz="0" w:space="0" w:color="auto"/>
          </w:divBdr>
        </w:div>
        <w:div w:id="943653884">
          <w:marLeft w:val="0"/>
          <w:marRight w:val="0"/>
          <w:marTop w:val="0"/>
          <w:marBottom w:val="0"/>
          <w:divBdr>
            <w:top w:val="none" w:sz="0" w:space="0" w:color="auto"/>
            <w:left w:val="none" w:sz="0" w:space="0" w:color="auto"/>
            <w:bottom w:val="none" w:sz="0" w:space="0" w:color="auto"/>
            <w:right w:val="none" w:sz="0" w:space="0" w:color="auto"/>
          </w:divBdr>
        </w:div>
        <w:div w:id="1600334475">
          <w:marLeft w:val="0"/>
          <w:marRight w:val="0"/>
          <w:marTop w:val="0"/>
          <w:marBottom w:val="0"/>
          <w:divBdr>
            <w:top w:val="none" w:sz="0" w:space="0" w:color="auto"/>
            <w:left w:val="none" w:sz="0" w:space="0" w:color="auto"/>
            <w:bottom w:val="none" w:sz="0" w:space="0" w:color="auto"/>
            <w:right w:val="none" w:sz="0" w:space="0" w:color="auto"/>
          </w:divBdr>
        </w:div>
        <w:div w:id="939990381">
          <w:marLeft w:val="0"/>
          <w:marRight w:val="0"/>
          <w:marTop w:val="0"/>
          <w:marBottom w:val="0"/>
          <w:divBdr>
            <w:top w:val="none" w:sz="0" w:space="0" w:color="auto"/>
            <w:left w:val="none" w:sz="0" w:space="0" w:color="auto"/>
            <w:bottom w:val="none" w:sz="0" w:space="0" w:color="auto"/>
            <w:right w:val="none" w:sz="0" w:space="0" w:color="auto"/>
          </w:divBdr>
        </w:div>
        <w:div w:id="1779908557">
          <w:marLeft w:val="0"/>
          <w:marRight w:val="0"/>
          <w:marTop w:val="0"/>
          <w:marBottom w:val="0"/>
          <w:divBdr>
            <w:top w:val="none" w:sz="0" w:space="0" w:color="auto"/>
            <w:left w:val="none" w:sz="0" w:space="0" w:color="auto"/>
            <w:bottom w:val="none" w:sz="0" w:space="0" w:color="auto"/>
            <w:right w:val="none" w:sz="0" w:space="0" w:color="auto"/>
          </w:divBdr>
        </w:div>
        <w:div w:id="641159635">
          <w:marLeft w:val="0"/>
          <w:marRight w:val="0"/>
          <w:marTop w:val="0"/>
          <w:marBottom w:val="0"/>
          <w:divBdr>
            <w:top w:val="none" w:sz="0" w:space="0" w:color="auto"/>
            <w:left w:val="none" w:sz="0" w:space="0" w:color="auto"/>
            <w:bottom w:val="none" w:sz="0" w:space="0" w:color="auto"/>
            <w:right w:val="none" w:sz="0" w:space="0" w:color="auto"/>
          </w:divBdr>
        </w:div>
        <w:div w:id="628711043">
          <w:marLeft w:val="0"/>
          <w:marRight w:val="0"/>
          <w:marTop w:val="0"/>
          <w:marBottom w:val="0"/>
          <w:divBdr>
            <w:top w:val="none" w:sz="0" w:space="0" w:color="auto"/>
            <w:left w:val="none" w:sz="0" w:space="0" w:color="auto"/>
            <w:bottom w:val="none" w:sz="0" w:space="0" w:color="auto"/>
            <w:right w:val="none" w:sz="0" w:space="0" w:color="auto"/>
          </w:divBdr>
        </w:div>
        <w:div w:id="1731537673">
          <w:marLeft w:val="0"/>
          <w:marRight w:val="0"/>
          <w:marTop w:val="0"/>
          <w:marBottom w:val="0"/>
          <w:divBdr>
            <w:top w:val="none" w:sz="0" w:space="0" w:color="auto"/>
            <w:left w:val="none" w:sz="0" w:space="0" w:color="auto"/>
            <w:bottom w:val="none" w:sz="0" w:space="0" w:color="auto"/>
            <w:right w:val="none" w:sz="0" w:space="0" w:color="auto"/>
          </w:divBdr>
        </w:div>
        <w:div w:id="2051301690">
          <w:marLeft w:val="0"/>
          <w:marRight w:val="0"/>
          <w:marTop w:val="0"/>
          <w:marBottom w:val="0"/>
          <w:divBdr>
            <w:top w:val="none" w:sz="0" w:space="0" w:color="auto"/>
            <w:left w:val="none" w:sz="0" w:space="0" w:color="auto"/>
            <w:bottom w:val="none" w:sz="0" w:space="0" w:color="auto"/>
            <w:right w:val="none" w:sz="0" w:space="0" w:color="auto"/>
          </w:divBdr>
        </w:div>
        <w:div w:id="546333978">
          <w:marLeft w:val="0"/>
          <w:marRight w:val="0"/>
          <w:marTop w:val="0"/>
          <w:marBottom w:val="0"/>
          <w:divBdr>
            <w:top w:val="none" w:sz="0" w:space="0" w:color="auto"/>
            <w:left w:val="none" w:sz="0" w:space="0" w:color="auto"/>
            <w:bottom w:val="none" w:sz="0" w:space="0" w:color="auto"/>
            <w:right w:val="none" w:sz="0" w:space="0" w:color="auto"/>
          </w:divBdr>
        </w:div>
        <w:div w:id="789787732">
          <w:marLeft w:val="0"/>
          <w:marRight w:val="0"/>
          <w:marTop w:val="0"/>
          <w:marBottom w:val="0"/>
          <w:divBdr>
            <w:top w:val="none" w:sz="0" w:space="0" w:color="auto"/>
            <w:left w:val="none" w:sz="0" w:space="0" w:color="auto"/>
            <w:bottom w:val="none" w:sz="0" w:space="0" w:color="auto"/>
            <w:right w:val="none" w:sz="0" w:space="0" w:color="auto"/>
          </w:divBdr>
        </w:div>
        <w:div w:id="476698">
          <w:marLeft w:val="0"/>
          <w:marRight w:val="0"/>
          <w:marTop w:val="0"/>
          <w:marBottom w:val="0"/>
          <w:divBdr>
            <w:top w:val="none" w:sz="0" w:space="0" w:color="auto"/>
            <w:left w:val="none" w:sz="0" w:space="0" w:color="auto"/>
            <w:bottom w:val="none" w:sz="0" w:space="0" w:color="auto"/>
            <w:right w:val="none" w:sz="0" w:space="0" w:color="auto"/>
          </w:divBdr>
        </w:div>
        <w:div w:id="1775587042">
          <w:marLeft w:val="0"/>
          <w:marRight w:val="0"/>
          <w:marTop w:val="0"/>
          <w:marBottom w:val="0"/>
          <w:divBdr>
            <w:top w:val="none" w:sz="0" w:space="0" w:color="auto"/>
            <w:left w:val="none" w:sz="0" w:space="0" w:color="auto"/>
            <w:bottom w:val="none" w:sz="0" w:space="0" w:color="auto"/>
            <w:right w:val="none" w:sz="0" w:space="0" w:color="auto"/>
          </w:divBdr>
        </w:div>
        <w:div w:id="1430544318">
          <w:marLeft w:val="0"/>
          <w:marRight w:val="0"/>
          <w:marTop w:val="0"/>
          <w:marBottom w:val="0"/>
          <w:divBdr>
            <w:top w:val="none" w:sz="0" w:space="0" w:color="auto"/>
            <w:left w:val="none" w:sz="0" w:space="0" w:color="auto"/>
            <w:bottom w:val="none" w:sz="0" w:space="0" w:color="auto"/>
            <w:right w:val="none" w:sz="0" w:space="0" w:color="auto"/>
          </w:divBdr>
        </w:div>
        <w:div w:id="635641865">
          <w:marLeft w:val="0"/>
          <w:marRight w:val="0"/>
          <w:marTop w:val="0"/>
          <w:marBottom w:val="0"/>
          <w:divBdr>
            <w:top w:val="none" w:sz="0" w:space="0" w:color="auto"/>
            <w:left w:val="none" w:sz="0" w:space="0" w:color="auto"/>
            <w:bottom w:val="none" w:sz="0" w:space="0" w:color="auto"/>
            <w:right w:val="none" w:sz="0" w:space="0" w:color="auto"/>
          </w:divBdr>
        </w:div>
        <w:div w:id="302546134">
          <w:marLeft w:val="0"/>
          <w:marRight w:val="0"/>
          <w:marTop w:val="0"/>
          <w:marBottom w:val="0"/>
          <w:divBdr>
            <w:top w:val="none" w:sz="0" w:space="0" w:color="auto"/>
            <w:left w:val="none" w:sz="0" w:space="0" w:color="auto"/>
            <w:bottom w:val="none" w:sz="0" w:space="0" w:color="auto"/>
            <w:right w:val="none" w:sz="0" w:space="0" w:color="auto"/>
          </w:divBdr>
        </w:div>
        <w:div w:id="1040932661">
          <w:marLeft w:val="0"/>
          <w:marRight w:val="0"/>
          <w:marTop w:val="0"/>
          <w:marBottom w:val="0"/>
          <w:divBdr>
            <w:top w:val="none" w:sz="0" w:space="0" w:color="auto"/>
            <w:left w:val="none" w:sz="0" w:space="0" w:color="auto"/>
            <w:bottom w:val="none" w:sz="0" w:space="0" w:color="auto"/>
            <w:right w:val="none" w:sz="0" w:space="0" w:color="auto"/>
          </w:divBdr>
        </w:div>
        <w:div w:id="442385202">
          <w:marLeft w:val="0"/>
          <w:marRight w:val="0"/>
          <w:marTop w:val="0"/>
          <w:marBottom w:val="0"/>
          <w:divBdr>
            <w:top w:val="none" w:sz="0" w:space="0" w:color="auto"/>
            <w:left w:val="none" w:sz="0" w:space="0" w:color="auto"/>
            <w:bottom w:val="none" w:sz="0" w:space="0" w:color="auto"/>
            <w:right w:val="none" w:sz="0" w:space="0" w:color="auto"/>
          </w:divBdr>
        </w:div>
        <w:div w:id="1740784467">
          <w:marLeft w:val="0"/>
          <w:marRight w:val="0"/>
          <w:marTop w:val="0"/>
          <w:marBottom w:val="0"/>
          <w:divBdr>
            <w:top w:val="none" w:sz="0" w:space="0" w:color="auto"/>
            <w:left w:val="none" w:sz="0" w:space="0" w:color="auto"/>
            <w:bottom w:val="none" w:sz="0" w:space="0" w:color="auto"/>
            <w:right w:val="none" w:sz="0" w:space="0" w:color="auto"/>
          </w:divBdr>
        </w:div>
        <w:div w:id="1546022351">
          <w:marLeft w:val="0"/>
          <w:marRight w:val="0"/>
          <w:marTop w:val="0"/>
          <w:marBottom w:val="0"/>
          <w:divBdr>
            <w:top w:val="none" w:sz="0" w:space="0" w:color="auto"/>
            <w:left w:val="none" w:sz="0" w:space="0" w:color="auto"/>
            <w:bottom w:val="none" w:sz="0" w:space="0" w:color="auto"/>
            <w:right w:val="none" w:sz="0" w:space="0" w:color="auto"/>
          </w:divBdr>
        </w:div>
        <w:div w:id="1377583976">
          <w:marLeft w:val="0"/>
          <w:marRight w:val="0"/>
          <w:marTop w:val="0"/>
          <w:marBottom w:val="0"/>
          <w:divBdr>
            <w:top w:val="none" w:sz="0" w:space="0" w:color="auto"/>
            <w:left w:val="none" w:sz="0" w:space="0" w:color="auto"/>
            <w:bottom w:val="none" w:sz="0" w:space="0" w:color="auto"/>
            <w:right w:val="none" w:sz="0" w:space="0" w:color="auto"/>
          </w:divBdr>
        </w:div>
        <w:div w:id="302465472">
          <w:marLeft w:val="0"/>
          <w:marRight w:val="0"/>
          <w:marTop w:val="0"/>
          <w:marBottom w:val="0"/>
          <w:divBdr>
            <w:top w:val="none" w:sz="0" w:space="0" w:color="auto"/>
            <w:left w:val="none" w:sz="0" w:space="0" w:color="auto"/>
            <w:bottom w:val="none" w:sz="0" w:space="0" w:color="auto"/>
            <w:right w:val="none" w:sz="0" w:space="0" w:color="auto"/>
          </w:divBdr>
        </w:div>
        <w:div w:id="1893806561">
          <w:marLeft w:val="0"/>
          <w:marRight w:val="0"/>
          <w:marTop w:val="0"/>
          <w:marBottom w:val="0"/>
          <w:divBdr>
            <w:top w:val="none" w:sz="0" w:space="0" w:color="auto"/>
            <w:left w:val="none" w:sz="0" w:space="0" w:color="auto"/>
            <w:bottom w:val="none" w:sz="0" w:space="0" w:color="auto"/>
            <w:right w:val="none" w:sz="0" w:space="0" w:color="auto"/>
          </w:divBdr>
        </w:div>
        <w:div w:id="186985460">
          <w:marLeft w:val="0"/>
          <w:marRight w:val="0"/>
          <w:marTop w:val="0"/>
          <w:marBottom w:val="0"/>
          <w:divBdr>
            <w:top w:val="none" w:sz="0" w:space="0" w:color="auto"/>
            <w:left w:val="none" w:sz="0" w:space="0" w:color="auto"/>
            <w:bottom w:val="none" w:sz="0" w:space="0" w:color="auto"/>
            <w:right w:val="none" w:sz="0" w:space="0" w:color="auto"/>
          </w:divBdr>
        </w:div>
        <w:div w:id="1386563728">
          <w:marLeft w:val="0"/>
          <w:marRight w:val="0"/>
          <w:marTop w:val="0"/>
          <w:marBottom w:val="0"/>
          <w:divBdr>
            <w:top w:val="none" w:sz="0" w:space="0" w:color="auto"/>
            <w:left w:val="none" w:sz="0" w:space="0" w:color="auto"/>
            <w:bottom w:val="none" w:sz="0" w:space="0" w:color="auto"/>
            <w:right w:val="none" w:sz="0" w:space="0" w:color="auto"/>
          </w:divBdr>
        </w:div>
        <w:div w:id="1701277151">
          <w:marLeft w:val="0"/>
          <w:marRight w:val="0"/>
          <w:marTop w:val="0"/>
          <w:marBottom w:val="0"/>
          <w:divBdr>
            <w:top w:val="none" w:sz="0" w:space="0" w:color="auto"/>
            <w:left w:val="none" w:sz="0" w:space="0" w:color="auto"/>
            <w:bottom w:val="none" w:sz="0" w:space="0" w:color="auto"/>
            <w:right w:val="none" w:sz="0" w:space="0" w:color="auto"/>
          </w:divBdr>
        </w:div>
        <w:div w:id="918832259">
          <w:marLeft w:val="0"/>
          <w:marRight w:val="0"/>
          <w:marTop w:val="0"/>
          <w:marBottom w:val="0"/>
          <w:divBdr>
            <w:top w:val="none" w:sz="0" w:space="0" w:color="auto"/>
            <w:left w:val="none" w:sz="0" w:space="0" w:color="auto"/>
            <w:bottom w:val="none" w:sz="0" w:space="0" w:color="auto"/>
            <w:right w:val="none" w:sz="0" w:space="0" w:color="auto"/>
          </w:divBdr>
        </w:div>
        <w:div w:id="84889264">
          <w:marLeft w:val="0"/>
          <w:marRight w:val="0"/>
          <w:marTop w:val="0"/>
          <w:marBottom w:val="0"/>
          <w:divBdr>
            <w:top w:val="none" w:sz="0" w:space="0" w:color="auto"/>
            <w:left w:val="none" w:sz="0" w:space="0" w:color="auto"/>
            <w:bottom w:val="none" w:sz="0" w:space="0" w:color="auto"/>
            <w:right w:val="none" w:sz="0" w:space="0" w:color="auto"/>
          </w:divBdr>
        </w:div>
        <w:div w:id="1118837499">
          <w:marLeft w:val="0"/>
          <w:marRight w:val="0"/>
          <w:marTop w:val="0"/>
          <w:marBottom w:val="0"/>
          <w:divBdr>
            <w:top w:val="none" w:sz="0" w:space="0" w:color="auto"/>
            <w:left w:val="none" w:sz="0" w:space="0" w:color="auto"/>
            <w:bottom w:val="none" w:sz="0" w:space="0" w:color="auto"/>
            <w:right w:val="none" w:sz="0" w:space="0" w:color="auto"/>
          </w:divBdr>
        </w:div>
        <w:div w:id="642544482">
          <w:marLeft w:val="0"/>
          <w:marRight w:val="0"/>
          <w:marTop w:val="0"/>
          <w:marBottom w:val="0"/>
          <w:divBdr>
            <w:top w:val="none" w:sz="0" w:space="0" w:color="auto"/>
            <w:left w:val="none" w:sz="0" w:space="0" w:color="auto"/>
            <w:bottom w:val="none" w:sz="0" w:space="0" w:color="auto"/>
            <w:right w:val="none" w:sz="0" w:space="0" w:color="auto"/>
          </w:divBdr>
        </w:div>
        <w:div w:id="649407061">
          <w:marLeft w:val="0"/>
          <w:marRight w:val="0"/>
          <w:marTop w:val="0"/>
          <w:marBottom w:val="0"/>
          <w:divBdr>
            <w:top w:val="none" w:sz="0" w:space="0" w:color="auto"/>
            <w:left w:val="none" w:sz="0" w:space="0" w:color="auto"/>
            <w:bottom w:val="none" w:sz="0" w:space="0" w:color="auto"/>
            <w:right w:val="none" w:sz="0" w:space="0" w:color="auto"/>
          </w:divBdr>
        </w:div>
        <w:div w:id="187451259">
          <w:marLeft w:val="0"/>
          <w:marRight w:val="0"/>
          <w:marTop w:val="0"/>
          <w:marBottom w:val="0"/>
          <w:divBdr>
            <w:top w:val="none" w:sz="0" w:space="0" w:color="auto"/>
            <w:left w:val="none" w:sz="0" w:space="0" w:color="auto"/>
            <w:bottom w:val="none" w:sz="0" w:space="0" w:color="auto"/>
            <w:right w:val="none" w:sz="0" w:space="0" w:color="auto"/>
          </w:divBdr>
        </w:div>
        <w:div w:id="1153447446">
          <w:marLeft w:val="0"/>
          <w:marRight w:val="0"/>
          <w:marTop w:val="0"/>
          <w:marBottom w:val="0"/>
          <w:divBdr>
            <w:top w:val="none" w:sz="0" w:space="0" w:color="auto"/>
            <w:left w:val="none" w:sz="0" w:space="0" w:color="auto"/>
            <w:bottom w:val="none" w:sz="0" w:space="0" w:color="auto"/>
            <w:right w:val="none" w:sz="0" w:space="0" w:color="auto"/>
          </w:divBdr>
        </w:div>
        <w:div w:id="2079596631">
          <w:marLeft w:val="0"/>
          <w:marRight w:val="0"/>
          <w:marTop w:val="0"/>
          <w:marBottom w:val="0"/>
          <w:divBdr>
            <w:top w:val="none" w:sz="0" w:space="0" w:color="auto"/>
            <w:left w:val="none" w:sz="0" w:space="0" w:color="auto"/>
            <w:bottom w:val="none" w:sz="0" w:space="0" w:color="auto"/>
            <w:right w:val="none" w:sz="0" w:space="0" w:color="auto"/>
          </w:divBdr>
        </w:div>
        <w:div w:id="827133520">
          <w:marLeft w:val="0"/>
          <w:marRight w:val="0"/>
          <w:marTop w:val="0"/>
          <w:marBottom w:val="0"/>
          <w:divBdr>
            <w:top w:val="none" w:sz="0" w:space="0" w:color="auto"/>
            <w:left w:val="none" w:sz="0" w:space="0" w:color="auto"/>
            <w:bottom w:val="none" w:sz="0" w:space="0" w:color="auto"/>
            <w:right w:val="none" w:sz="0" w:space="0" w:color="auto"/>
          </w:divBdr>
        </w:div>
        <w:div w:id="707265086">
          <w:marLeft w:val="0"/>
          <w:marRight w:val="0"/>
          <w:marTop w:val="0"/>
          <w:marBottom w:val="0"/>
          <w:divBdr>
            <w:top w:val="none" w:sz="0" w:space="0" w:color="auto"/>
            <w:left w:val="none" w:sz="0" w:space="0" w:color="auto"/>
            <w:bottom w:val="none" w:sz="0" w:space="0" w:color="auto"/>
            <w:right w:val="none" w:sz="0" w:space="0" w:color="auto"/>
          </w:divBdr>
        </w:div>
        <w:div w:id="83647620">
          <w:marLeft w:val="0"/>
          <w:marRight w:val="0"/>
          <w:marTop w:val="0"/>
          <w:marBottom w:val="0"/>
          <w:divBdr>
            <w:top w:val="none" w:sz="0" w:space="0" w:color="auto"/>
            <w:left w:val="none" w:sz="0" w:space="0" w:color="auto"/>
            <w:bottom w:val="none" w:sz="0" w:space="0" w:color="auto"/>
            <w:right w:val="none" w:sz="0" w:space="0" w:color="auto"/>
          </w:divBdr>
        </w:div>
        <w:div w:id="1175342932">
          <w:marLeft w:val="0"/>
          <w:marRight w:val="0"/>
          <w:marTop w:val="0"/>
          <w:marBottom w:val="0"/>
          <w:divBdr>
            <w:top w:val="none" w:sz="0" w:space="0" w:color="auto"/>
            <w:left w:val="none" w:sz="0" w:space="0" w:color="auto"/>
            <w:bottom w:val="none" w:sz="0" w:space="0" w:color="auto"/>
            <w:right w:val="none" w:sz="0" w:space="0" w:color="auto"/>
          </w:divBdr>
        </w:div>
        <w:div w:id="2073576099">
          <w:marLeft w:val="0"/>
          <w:marRight w:val="0"/>
          <w:marTop w:val="0"/>
          <w:marBottom w:val="0"/>
          <w:divBdr>
            <w:top w:val="none" w:sz="0" w:space="0" w:color="auto"/>
            <w:left w:val="none" w:sz="0" w:space="0" w:color="auto"/>
            <w:bottom w:val="none" w:sz="0" w:space="0" w:color="auto"/>
            <w:right w:val="none" w:sz="0" w:space="0" w:color="auto"/>
          </w:divBdr>
        </w:div>
        <w:div w:id="53705401">
          <w:marLeft w:val="0"/>
          <w:marRight w:val="0"/>
          <w:marTop w:val="0"/>
          <w:marBottom w:val="0"/>
          <w:divBdr>
            <w:top w:val="none" w:sz="0" w:space="0" w:color="auto"/>
            <w:left w:val="none" w:sz="0" w:space="0" w:color="auto"/>
            <w:bottom w:val="none" w:sz="0" w:space="0" w:color="auto"/>
            <w:right w:val="none" w:sz="0" w:space="0" w:color="auto"/>
          </w:divBdr>
        </w:div>
        <w:div w:id="946736422">
          <w:marLeft w:val="0"/>
          <w:marRight w:val="0"/>
          <w:marTop w:val="0"/>
          <w:marBottom w:val="0"/>
          <w:divBdr>
            <w:top w:val="none" w:sz="0" w:space="0" w:color="auto"/>
            <w:left w:val="none" w:sz="0" w:space="0" w:color="auto"/>
            <w:bottom w:val="none" w:sz="0" w:space="0" w:color="auto"/>
            <w:right w:val="none" w:sz="0" w:space="0" w:color="auto"/>
          </w:divBdr>
        </w:div>
        <w:div w:id="2095475164">
          <w:marLeft w:val="0"/>
          <w:marRight w:val="0"/>
          <w:marTop w:val="0"/>
          <w:marBottom w:val="0"/>
          <w:divBdr>
            <w:top w:val="none" w:sz="0" w:space="0" w:color="auto"/>
            <w:left w:val="none" w:sz="0" w:space="0" w:color="auto"/>
            <w:bottom w:val="none" w:sz="0" w:space="0" w:color="auto"/>
            <w:right w:val="none" w:sz="0" w:space="0" w:color="auto"/>
          </w:divBdr>
        </w:div>
        <w:div w:id="1298994118">
          <w:marLeft w:val="0"/>
          <w:marRight w:val="0"/>
          <w:marTop w:val="0"/>
          <w:marBottom w:val="0"/>
          <w:divBdr>
            <w:top w:val="none" w:sz="0" w:space="0" w:color="auto"/>
            <w:left w:val="none" w:sz="0" w:space="0" w:color="auto"/>
            <w:bottom w:val="none" w:sz="0" w:space="0" w:color="auto"/>
            <w:right w:val="none" w:sz="0" w:space="0" w:color="auto"/>
          </w:divBdr>
        </w:div>
        <w:div w:id="643583288">
          <w:marLeft w:val="0"/>
          <w:marRight w:val="0"/>
          <w:marTop w:val="0"/>
          <w:marBottom w:val="0"/>
          <w:divBdr>
            <w:top w:val="none" w:sz="0" w:space="0" w:color="auto"/>
            <w:left w:val="none" w:sz="0" w:space="0" w:color="auto"/>
            <w:bottom w:val="none" w:sz="0" w:space="0" w:color="auto"/>
            <w:right w:val="none" w:sz="0" w:space="0" w:color="auto"/>
          </w:divBdr>
        </w:div>
        <w:div w:id="1908108592">
          <w:marLeft w:val="0"/>
          <w:marRight w:val="0"/>
          <w:marTop w:val="0"/>
          <w:marBottom w:val="0"/>
          <w:divBdr>
            <w:top w:val="none" w:sz="0" w:space="0" w:color="auto"/>
            <w:left w:val="none" w:sz="0" w:space="0" w:color="auto"/>
            <w:bottom w:val="none" w:sz="0" w:space="0" w:color="auto"/>
            <w:right w:val="none" w:sz="0" w:space="0" w:color="auto"/>
          </w:divBdr>
        </w:div>
        <w:div w:id="1745952730">
          <w:marLeft w:val="0"/>
          <w:marRight w:val="0"/>
          <w:marTop w:val="0"/>
          <w:marBottom w:val="0"/>
          <w:divBdr>
            <w:top w:val="none" w:sz="0" w:space="0" w:color="auto"/>
            <w:left w:val="none" w:sz="0" w:space="0" w:color="auto"/>
            <w:bottom w:val="none" w:sz="0" w:space="0" w:color="auto"/>
            <w:right w:val="none" w:sz="0" w:space="0" w:color="auto"/>
          </w:divBdr>
        </w:div>
        <w:div w:id="6181057">
          <w:marLeft w:val="0"/>
          <w:marRight w:val="0"/>
          <w:marTop w:val="0"/>
          <w:marBottom w:val="0"/>
          <w:divBdr>
            <w:top w:val="none" w:sz="0" w:space="0" w:color="auto"/>
            <w:left w:val="none" w:sz="0" w:space="0" w:color="auto"/>
            <w:bottom w:val="none" w:sz="0" w:space="0" w:color="auto"/>
            <w:right w:val="none" w:sz="0" w:space="0" w:color="auto"/>
          </w:divBdr>
        </w:div>
        <w:div w:id="392197683">
          <w:marLeft w:val="0"/>
          <w:marRight w:val="0"/>
          <w:marTop w:val="0"/>
          <w:marBottom w:val="0"/>
          <w:divBdr>
            <w:top w:val="none" w:sz="0" w:space="0" w:color="auto"/>
            <w:left w:val="none" w:sz="0" w:space="0" w:color="auto"/>
            <w:bottom w:val="none" w:sz="0" w:space="0" w:color="auto"/>
            <w:right w:val="none" w:sz="0" w:space="0" w:color="auto"/>
          </w:divBdr>
        </w:div>
        <w:div w:id="832986984">
          <w:marLeft w:val="0"/>
          <w:marRight w:val="0"/>
          <w:marTop w:val="0"/>
          <w:marBottom w:val="0"/>
          <w:divBdr>
            <w:top w:val="none" w:sz="0" w:space="0" w:color="auto"/>
            <w:left w:val="none" w:sz="0" w:space="0" w:color="auto"/>
            <w:bottom w:val="none" w:sz="0" w:space="0" w:color="auto"/>
            <w:right w:val="none" w:sz="0" w:space="0" w:color="auto"/>
          </w:divBdr>
        </w:div>
        <w:div w:id="1215459068">
          <w:marLeft w:val="0"/>
          <w:marRight w:val="0"/>
          <w:marTop w:val="0"/>
          <w:marBottom w:val="0"/>
          <w:divBdr>
            <w:top w:val="none" w:sz="0" w:space="0" w:color="auto"/>
            <w:left w:val="none" w:sz="0" w:space="0" w:color="auto"/>
            <w:bottom w:val="none" w:sz="0" w:space="0" w:color="auto"/>
            <w:right w:val="none" w:sz="0" w:space="0" w:color="auto"/>
          </w:divBdr>
        </w:div>
        <w:div w:id="1514143975">
          <w:marLeft w:val="0"/>
          <w:marRight w:val="0"/>
          <w:marTop w:val="0"/>
          <w:marBottom w:val="0"/>
          <w:divBdr>
            <w:top w:val="none" w:sz="0" w:space="0" w:color="auto"/>
            <w:left w:val="none" w:sz="0" w:space="0" w:color="auto"/>
            <w:bottom w:val="none" w:sz="0" w:space="0" w:color="auto"/>
            <w:right w:val="none" w:sz="0" w:space="0" w:color="auto"/>
          </w:divBdr>
        </w:div>
        <w:div w:id="431825060">
          <w:marLeft w:val="0"/>
          <w:marRight w:val="0"/>
          <w:marTop w:val="0"/>
          <w:marBottom w:val="0"/>
          <w:divBdr>
            <w:top w:val="none" w:sz="0" w:space="0" w:color="auto"/>
            <w:left w:val="none" w:sz="0" w:space="0" w:color="auto"/>
            <w:bottom w:val="none" w:sz="0" w:space="0" w:color="auto"/>
            <w:right w:val="none" w:sz="0" w:space="0" w:color="auto"/>
          </w:divBdr>
        </w:div>
        <w:div w:id="1141458771">
          <w:marLeft w:val="0"/>
          <w:marRight w:val="0"/>
          <w:marTop w:val="0"/>
          <w:marBottom w:val="0"/>
          <w:divBdr>
            <w:top w:val="none" w:sz="0" w:space="0" w:color="auto"/>
            <w:left w:val="none" w:sz="0" w:space="0" w:color="auto"/>
            <w:bottom w:val="none" w:sz="0" w:space="0" w:color="auto"/>
            <w:right w:val="none" w:sz="0" w:space="0" w:color="auto"/>
          </w:divBdr>
        </w:div>
        <w:div w:id="1642341979">
          <w:marLeft w:val="0"/>
          <w:marRight w:val="0"/>
          <w:marTop w:val="0"/>
          <w:marBottom w:val="0"/>
          <w:divBdr>
            <w:top w:val="none" w:sz="0" w:space="0" w:color="auto"/>
            <w:left w:val="none" w:sz="0" w:space="0" w:color="auto"/>
            <w:bottom w:val="none" w:sz="0" w:space="0" w:color="auto"/>
            <w:right w:val="none" w:sz="0" w:space="0" w:color="auto"/>
          </w:divBdr>
        </w:div>
        <w:div w:id="18940345">
          <w:marLeft w:val="0"/>
          <w:marRight w:val="0"/>
          <w:marTop w:val="0"/>
          <w:marBottom w:val="0"/>
          <w:divBdr>
            <w:top w:val="none" w:sz="0" w:space="0" w:color="auto"/>
            <w:left w:val="none" w:sz="0" w:space="0" w:color="auto"/>
            <w:bottom w:val="none" w:sz="0" w:space="0" w:color="auto"/>
            <w:right w:val="none" w:sz="0" w:space="0" w:color="auto"/>
          </w:divBdr>
        </w:div>
        <w:div w:id="791093993">
          <w:marLeft w:val="0"/>
          <w:marRight w:val="0"/>
          <w:marTop w:val="0"/>
          <w:marBottom w:val="0"/>
          <w:divBdr>
            <w:top w:val="none" w:sz="0" w:space="0" w:color="auto"/>
            <w:left w:val="none" w:sz="0" w:space="0" w:color="auto"/>
            <w:bottom w:val="none" w:sz="0" w:space="0" w:color="auto"/>
            <w:right w:val="none" w:sz="0" w:space="0" w:color="auto"/>
          </w:divBdr>
        </w:div>
        <w:div w:id="1639870479">
          <w:marLeft w:val="0"/>
          <w:marRight w:val="0"/>
          <w:marTop w:val="0"/>
          <w:marBottom w:val="0"/>
          <w:divBdr>
            <w:top w:val="none" w:sz="0" w:space="0" w:color="auto"/>
            <w:left w:val="none" w:sz="0" w:space="0" w:color="auto"/>
            <w:bottom w:val="none" w:sz="0" w:space="0" w:color="auto"/>
            <w:right w:val="none" w:sz="0" w:space="0" w:color="auto"/>
          </w:divBdr>
        </w:div>
        <w:div w:id="407726554">
          <w:marLeft w:val="0"/>
          <w:marRight w:val="0"/>
          <w:marTop w:val="0"/>
          <w:marBottom w:val="0"/>
          <w:divBdr>
            <w:top w:val="none" w:sz="0" w:space="0" w:color="auto"/>
            <w:left w:val="none" w:sz="0" w:space="0" w:color="auto"/>
            <w:bottom w:val="none" w:sz="0" w:space="0" w:color="auto"/>
            <w:right w:val="none" w:sz="0" w:space="0" w:color="auto"/>
          </w:divBdr>
        </w:div>
        <w:div w:id="2101246488">
          <w:marLeft w:val="0"/>
          <w:marRight w:val="0"/>
          <w:marTop w:val="0"/>
          <w:marBottom w:val="0"/>
          <w:divBdr>
            <w:top w:val="none" w:sz="0" w:space="0" w:color="auto"/>
            <w:left w:val="none" w:sz="0" w:space="0" w:color="auto"/>
            <w:bottom w:val="none" w:sz="0" w:space="0" w:color="auto"/>
            <w:right w:val="none" w:sz="0" w:space="0" w:color="auto"/>
          </w:divBdr>
        </w:div>
        <w:div w:id="173688553">
          <w:marLeft w:val="0"/>
          <w:marRight w:val="0"/>
          <w:marTop w:val="0"/>
          <w:marBottom w:val="0"/>
          <w:divBdr>
            <w:top w:val="none" w:sz="0" w:space="0" w:color="auto"/>
            <w:left w:val="none" w:sz="0" w:space="0" w:color="auto"/>
            <w:bottom w:val="none" w:sz="0" w:space="0" w:color="auto"/>
            <w:right w:val="none" w:sz="0" w:space="0" w:color="auto"/>
          </w:divBdr>
        </w:div>
        <w:div w:id="2055739724">
          <w:marLeft w:val="0"/>
          <w:marRight w:val="0"/>
          <w:marTop w:val="0"/>
          <w:marBottom w:val="0"/>
          <w:divBdr>
            <w:top w:val="none" w:sz="0" w:space="0" w:color="auto"/>
            <w:left w:val="none" w:sz="0" w:space="0" w:color="auto"/>
            <w:bottom w:val="none" w:sz="0" w:space="0" w:color="auto"/>
            <w:right w:val="none" w:sz="0" w:space="0" w:color="auto"/>
          </w:divBdr>
        </w:div>
        <w:div w:id="91055239">
          <w:marLeft w:val="0"/>
          <w:marRight w:val="0"/>
          <w:marTop w:val="0"/>
          <w:marBottom w:val="0"/>
          <w:divBdr>
            <w:top w:val="none" w:sz="0" w:space="0" w:color="auto"/>
            <w:left w:val="none" w:sz="0" w:space="0" w:color="auto"/>
            <w:bottom w:val="none" w:sz="0" w:space="0" w:color="auto"/>
            <w:right w:val="none" w:sz="0" w:space="0" w:color="auto"/>
          </w:divBdr>
        </w:div>
        <w:div w:id="751589208">
          <w:marLeft w:val="0"/>
          <w:marRight w:val="0"/>
          <w:marTop w:val="0"/>
          <w:marBottom w:val="0"/>
          <w:divBdr>
            <w:top w:val="none" w:sz="0" w:space="0" w:color="auto"/>
            <w:left w:val="none" w:sz="0" w:space="0" w:color="auto"/>
            <w:bottom w:val="none" w:sz="0" w:space="0" w:color="auto"/>
            <w:right w:val="none" w:sz="0" w:space="0" w:color="auto"/>
          </w:divBdr>
        </w:div>
        <w:div w:id="1966542403">
          <w:marLeft w:val="0"/>
          <w:marRight w:val="0"/>
          <w:marTop w:val="0"/>
          <w:marBottom w:val="0"/>
          <w:divBdr>
            <w:top w:val="none" w:sz="0" w:space="0" w:color="auto"/>
            <w:left w:val="none" w:sz="0" w:space="0" w:color="auto"/>
            <w:bottom w:val="none" w:sz="0" w:space="0" w:color="auto"/>
            <w:right w:val="none" w:sz="0" w:space="0" w:color="auto"/>
          </w:divBdr>
        </w:div>
        <w:div w:id="443767192">
          <w:marLeft w:val="0"/>
          <w:marRight w:val="0"/>
          <w:marTop w:val="0"/>
          <w:marBottom w:val="0"/>
          <w:divBdr>
            <w:top w:val="none" w:sz="0" w:space="0" w:color="auto"/>
            <w:left w:val="none" w:sz="0" w:space="0" w:color="auto"/>
            <w:bottom w:val="none" w:sz="0" w:space="0" w:color="auto"/>
            <w:right w:val="none" w:sz="0" w:space="0" w:color="auto"/>
          </w:divBdr>
        </w:div>
        <w:div w:id="1362903842">
          <w:marLeft w:val="0"/>
          <w:marRight w:val="0"/>
          <w:marTop w:val="0"/>
          <w:marBottom w:val="0"/>
          <w:divBdr>
            <w:top w:val="none" w:sz="0" w:space="0" w:color="auto"/>
            <w:left w:val="none" w:sz="0" w:space="0" w:color="auto"/>
            <w:bottom w:val="none" w:sz="0" w:space="0" w:color="auto"/>
            <w:right w:val="none" w:sz="0" w:space="0" w:color="auto"/>
          </w:divBdr>
        </w:div>
        <w:div w:id="441416699">
          <w:marLeft w:val="0"/>
          <w:marRight w:val="0"/>
          <w:marTop w:val="0"/>
          <w:marBottom w:val="0"/>
          <w:divBdr>
            <w:top w:val="none" w:sz="0" w:space="0" w:color="auto"/>
            <w:left w:val="none" w:sz="0" w:space="0" w:color="auto"/>
            <w:bottom w:val="none" w:sz="0" w:space="0" w:color="auto"/>
            <w:right w:val="none" w:sz="0" w:space="0" w:color="auto"/>
          </w:divBdr>
        </w:div>
        <w:div w:id="1905527916">
          <w:marLeft w:val="0"/>
          <w:marRight w:val="0"/>
          <w:marTop w:val="0"/>
          <w:marBottom w:val="0"/>
          <w:divBdr>
            <w:top w:val="none" w:sz="0" w:space="0" w:color="auto"/>
            <w:left w:val="none" w:sz="0" w:space="0" w:color="auto"/>
            <w:bottom w:val="none" w:sz="0" w:space="0" w:color="auto"/>
            <w:right w:val="none" w:sz="0" w:space="0" w:color="auto"/>
          </w:divBdr>
        </w:div>
        <w:div w:id="301741397">
          <w:marLeft w:val="0"/>
          <w:marRight w:val="0"/>
          <w:marTop w:val="0"/>
          <w:marBottom w:val="0"/>
          <w:divBdr>
            <w:top w:val="none" w:sz="0" w:space="0" w:color="auto"/>
            <w:left w:val="none" w:sz="0" w:space="0" w:color="auto"/>
            <w:bottom w:val="none" w:sz="0" w:space="0" w:color="auto"/>
            <w:right w:val="none" w:sz="0" w:space="0" w:color="auto"/>
          </w:divBdr>
        </w:div>
        <w:div w:id="85463566">
          <w:marLeft w:val="0"/>
          <w:marRight w:val="0"/>
          <w:marTop w:val="0"/>
          <w:marBottom w:val="0"/>
          <w:divBdr>
            <w:top w:val="none" w:sz="0" w:space="0" w:color="auto"/>
            <w:left w:val="none" w:sz="0" w:space="0" w:color="auto"/>
            <w:bottom w:val="none" w:sz="0" w:space="0" w:color="auto"/>
            <w:right w:val="none" w:sz="0" w:space="0" w:color="auto"/>
          </w:divBdr>
        </w:div>
        <w:div w:id="1119228343">
          <w:marLeft w:val="0"/>
          <w:marRight w:val="0"/>
          <w:marTop w:val="0"/>
          <w:marBottom w:val="0"/>
          <w:divBdr>
            <w:top w:val="none" w:sz="0" w:space="0" w:color="auto"/>
            <w:left w:val="none" w:sz="0" w:space="0" w:color="auto"/>
            <w:bottom w:val="none" w:sz="0" w:space="0" w:color="auto"/>
            <w:right w:val="none" w:sz="0" w:space="0" w:color="auto"/>
          </w:divBdr>
        </w:div>
        <w:div w:id="410396273">
          <w:marLeft w:val="0"/>
          <w:marRight w:val="0"/>
          <w:marTop w:val="0"/>
          <w:marBottom w:val="0"/>
          <w:divBdr>
            <w:top w:val="none" w:sz="0" w:space="0" w:color="auto"/>
            <w:left w:val="none" w:sz="0" w:space="0" w:color="auto"/>
            <w:bottom w:val="none" w:sz="0" w:space="0" w:color="auto"/>
            <w:right w:val="none" w:sz="0" w:space="0" w:color="auto"/>
          </w:divBdr>
        </w:div>
        <w:div w:id="1460030315">
          <w:marLeft w:val="0"/>
          <w:marRight w:val="0"/>
          <w:marTop w:val="0"/>
          <w:marBottom w:val="0"/>
          <w:divBdr>
            <w:top w:val="none" w:sz="0" w:space="0" w:color="auto"/>
            <w:left w:val="none" w:sz="0" w:space="0" w:color="auto"/>
            <w:bottom w:val="none" w:sz="0" w:space="0" w:color="auto"/>
            <w:right w:val="none" w:sz="0" w:space="0" w:color="auto"/>
          </w:divBdr>
        </w:div>
        <w:div w:id="1411544554">
          <w:marLeft w:val="0"/>
          <w:marRight w:val="0"/>
          <w:marTop w:val="0"/>
          <w:marBottom w:val="0"/>
          <w:divBdr>
            <w:top w:val="none" w:sz="0" w:space="0" w:color="auto"/>
            <w:left w:val="none" w:sz="0" w:space="0" w:color="auto"/>
            <w:bottom w:val="none" w:sz="0" w:space="0" w:color="auto"/>
            <w:right w:val="none" w:sz="0" w:space="0" w:color="auto"/>
          </w:divBdr>
        </w:div>
        <w:div w:id="1347096719">
          <w:marLeft w:val="0"/>
          <w:marRight w:val="0"/>
          <w:marTop w:val="0"/>
          <w:marBottom w:val="0"/>
          <w:divBdr>
            <w:top w:val="none" w:sz="0" w:space="0" w:color="auto"/>
            <w:left w:val="none" w:sz="0" w:space="0" w:color="auto"/>
            <w:bottom w:val="none" w:sz="0" w:space="0" w:color="auto"/>
            <w:right w:val="none" w:sz="0" w:space="0" w:color="auto"/>
          </w:divBdr>
        </w:div>
        <w:div w:id="1218977942">
          <w:marLeft w:val="0"/>
          <w:marRight w:val="0"/>
          <w:marTop w:val="0"/>
          <w:marBottom w:val="0"/>
          <w:divBdr>
            <w:top w:val="none" w:sz="0" w:space="0" w:color="auto"/>
            <w:left w:val="none" w:sz="0" w:space="0" w:color="auto"/>
            <w:bottom w:val="none" w:sz="0" w:space="0" w:color="auto"/>
            <w:right w:val="none" w:sz="0" w:space="0" w:color="auto"/>
          </w:divBdr>
        </w:div>
        <w:div w:id="492912919">
          <w:marLeft w:val="0"/>
          <w:marRight w:val="0"/>
          <w:marTop w:val="0"/>
          <w:marBottom w:val="0"/>
          <w:divBdr>
            <w:top w:val="none" w:sz="0" w:space="0" w:color="auto"/>
            <w:left w:val="none" w:sz="0" w:space="0" w:color="auto"/>
            <w:bottom w:val="none" w:sz="0" w:space="0" w:color="auto"/>
            <w:right w:val="none" w:sz="0" w:space="0" w:color="auto"/>
          </w:divBdr>
        </w:div>
        <w:div w:id="617494005">
          <w:marLeft w:val="0"/>
          <w:marRight w:val="0"/>
          <w:marTop w:val="0"/>
          <w:marBottom w:val="0"/>
          <w:divBdr>
            <w:top w:val="none" w:sz="0" w:space="0" w:color="auto"/>
            <w:left w:val="none" w:sz="0" w:space="0" w:color="auto"/>
            <w:bottom w:val="none" w:sz="0" w:space="0" w:color="auto"/>
            <w:right w:val="none" w:sz="0" w:space="0" w:color="auto"/>
          </w:divBdr>
        </w:div>
        <w:div w:id="166753410">
          <w:marLeft w:val="0"/>
          <w:marRight w:val="0"/>
          <w:marTop w:val="0"/>
          <w:marBottom w:val="0"/>
          <w:divBdr>
            <w:top w:val="none" w:sz="0" w:space="0" w:color="auto"/>
            <w:left w:val="none" w:sz="0" w:space="0" w:color="auto"/>
            <w:bottom w:val="none" w:sz="0" w:space="0" w:color="auto"/>
            <w:right w:val="none" w:sz="0" w:space="0" w:color="auto"/>
          </w:divBdr>
        </w:div>
        <w:div w:id="1231305489">
          <w:marLeft w:val="0"/>
          <w:marRight w:val="0"/>
          <w:marTop w:val="0"/>
          <w:marBottom w:val="0"/>
          <w:divBdr>
            <w:top w:val="none" w:sz="0" w:space="0" w:color="auto"/>
            <w:left w:val="none" w:sz="0" w:space="0" w:color="auto"/>
            <w:bottom w:val="none" w:sz="0" w:space="0" w:color="auto"/>
            <w:right w:val="none" w:sz="0" w:space="0" w:color="auto"/>
          </w:divBdr>
        </w:div>
        <w:div w:id="200048081">
          <w:marLeft w:val="0"/>
          <w:marRight w:val="0"/>
          <w:marTop w:val="0"/>
          <w:marBottom w:val="0"/>
          <w:divBdr>
            <w:top w:val="none" w:sz="0" w:space="0" w:color="auto"/>
            <w:left w:val="none" w:sz="0" w:space="0" w:color="auto"/>
            <w:bottom w:val="none" w:sz="0" w:space="0" w:color="auto"/>
            <w:right w:val="none" w:sz="0" w:space="0" w:color="auto"/>
          </w:divBdr>
        </w:div>
        <w:div w:id="1855613628">
          <w:marLeft w:val="0"/>
          <w:marRight w:val="0"/>
          <w:marTop w:val="0"/>
          <w:marBottom w:val="0"/>
          <w:divBdr>
            <w:top w:val="none" w:sz="0" w:space="0" w:color="auto"/>
            <w:left w:val="none" w:sz="0" w:space="0" w:color="auto"/>
            <w:bottom w:val="none" w:sz="0" w:space="0" w:color="auto"/>
            <w:right w:val="none" w:sz="0" w:space="0" w:color="auto"/>
          </w:divBdr>
        </w:div>
        <w:div w:id="1665430222">
          <w:marLeft w:val="0"/>
          <w:marRight w:val="0"/>
          <w:marTop w:val="0"/>
          <w:marBottom w:val="0"/>
          <w:divBdr>
            <w:top w:val="none" w:sz="0" w:space="0" w:color="auto"/>
            <w:left w:val="none" w:sz="0" w:space="0" w:color="auto"/>
            <w:bottom w:val="none" w:sz="0" w:space="0" w:color="auto"/>
            <w:right w:val="none" w:sz="0" w:space="0" w:color="auto"/>
          </w:divBdr>
        </w:div>
        <w:div w:id="1657803562">
          <w:marLeft w:val="0"/>
          <w:marRight w:val="0"/>
          <w:marTop w:val="0"/>
          <w:marBottom w:val="0"/>
          <w:divBdr>
            <w:top w:val="none" w:sz="0" w:space="0" w:color="auto"/>
            <w:left w:val="none" w:sz="0" w:space="0" w:color="auto"/>
            <w:bottom w:val="none" w:sz="0" w:space="0" w:color="auto"/>
            <w:right w:val="none" w:sz="0" w:space="0" w:color="auto"/>
          </w:divBdr>
        </w:div>
        <w:div w:id="806356699">
          <w:marLeft w:val="0"/>
          <w:marRight w:val="0"/>
          <w:marTop w:val="0"/>
          <w:marBottom w:val="0"/>
          <w:divBdr>
            <w:top w:val="none" w:sz="0" w:space="0" w:color="auto"/>
            <w:left w:val="none" w:sz="0" w:space="0" w:color="auto"/>
            <w:bottom w:val="none" w:sz="0" w:space="0" w:color="auto"/>
            <w:right w:val="none" w:sz="0" w:space="0" w:color="auto"/>
          </w:divBdr>
        </w:div>
        <w:div w:id="140970152">
          <w:marLeft w:val="0"/>
          <w:marRight w:val="0"/>
          <w:marTop w:val="0"/>
          <w:marBottom w:val="0"/>
          <w:divBdr>
            <w:top w:val="none" w:sz="0" w:space="0" w:color="auto"/>
            <w:left w:val="none" w:sz="0" w:space="0" w:color="auto"/>
            <w:bottom w:val="none" w:sz="0" w:space="0" w:color="auto"/>
            <w:right w:val="none" w:sz="0" w:space="0" w:color="auto"/>
          </w:divBdr>
        </w:div>
        <w:div w:id="551697259">
          <w:marLeft w:val="0"/>
          <w:marRight w:val="0"/>
          <w:marTop w:val="0"/>
          <w:marBottom w:val="0"/>
          <w:divBdr>
            <w:top w:val="none" w:sz="0" w:space="0" w:color="auto"/>
            <w:left w:val="none" w:sz="0" w:space="0" w:color="auto"/>
            <w:bottom w:val="none" w:sz="0" w:space="0" w:color="auto"/>
            <w:right w:val="none" w:sz="0" w:space="0" w:color="auto"/>
          </w:divBdr>
        </w:div>
        <w:div w:id="184905340">
          <w:marLeft w:val="0"/>
          <w:marRight w:val="0"/>
          <w:marTop w:val="0"/>
          <w:marBottom w:val="0"/>
          <w:divBdr>
            <w:top w:val="none" w:sz="0" w:space="0" w:color="auto"/>
            <w:left w:val="none" w:sz="0" w:space="0" w:color="auto"/>
            <w:bottom w:val="none" w:sz="0" w:space="0" w:color="auto"/>
            <w:right w:val="none" w:sz="0" w:space="0" w:color="auto"/>
          </w:divBdr>
        </w:div>
        <w:div w:id="638415185">
          <w:marLeft w:val="0"/>
          <w:marRight w:val="0"/>
          <w:marTop w:val="0"/>
          <w:marBottom w:val="0"/>
          <w:divBdr>
            <w:top w:val="none" w:sz="0" w:space="0" w:color="auto"/>
            <w:left w:val="none" w:sz="0" w:space="0" w:color="auto"/>
            <w:bottom w:val="none" w:sz="0" w:space="0" w:color="auto"/>
            <w:right w:val="none" w:sz="0" w:space="0" w:color="auto"/>
          </w:divBdr>
        </w:div>
        <w:div w:id="1736389655">
          <w:marLeft w:val="0"/>
          <w:marRight w:val="0"/>
          <w:marTop w:val="0"/>
          <w:marBottom w:val="0"/>
          <w:divBdr>
            <w:top w:val="none" w:sz="0" w:space="0" w:color="auto"/>
            <w:left w:val="none" w:sz="0" w:space="0" w:color="auto"/>
            <w:bottom w:val="none" w:sz="0" w:space="0" w:color="auto"/>
            <w:right w:val="none" w:sz="0" w:space="0" w:color="auto"/>
          </w:divBdr>
        </w:div>
        <w:div w:id="1560747652">
          <w:marLeft w:val="0"/>
          <w:marRight w:val="0"/>
          <w:marTop w:val="0"/>
          <w:marBottom w:val="0"/>
          <w:divBdr>
            <w:top w:val="none" w:sz="0" w:space="0" w:color="auto"/>
            <w:left w:val="none" w:sz="0" w:space="0" w:color="auto"/>
            <w:bottom w:val="none" w:sz="0" w:space="0" w:color="auto"/>
            <w:right w:val="none" w:sz="0" w:space="0" w:color="auto"/>
          </w:divBdr>
        </w:div>
        <w:div w:id="1024866858">
          <w:marLeft w:val="0"/>
          <w:marRight w:val="0"/>
          <w:marTop w:val="0"/>
          <w:marBottom w:val="0"/>
          <w:divBdr>
            <w:top w:val="none" w:sz="0" w:space="0" w:color="auto"/>
            <w:left w:val="none" w:sz="0" w:space="0" w:color="auto"/>
            <w:bottom w:val="none" w:sz="0" w:space="0" w:color="auto"/>
            <w:right w:val="none" w:sz="0" w:space="0" w:color="auto"/>
          </w:divBdr>
        </w:div>
        <w:div w:id="2085641886">
          <w:marLeft w:val="0"/>
          <w:marRight w:val="0"/>
          <w:marTop w:val="0"/>
          <w:marBottom w:val="0"/>
          <w:divBdr>
            <w:top w:val="none" w:sz="0" w:space="0" w:color="auto"/>
            <w:left w:val="none" w:sz="0" w:space="0" w:color="auto"/>
            <w:bottom w:val="none" w:sz="0" w:space="0" w:color="auto"/>
            <w:right w:val="none" w:sz="0" w:space="0" w:color="auto"/>
          </w:divBdr>
        </w:div>
        <w:div w:id="1827553973">
          <w:marLeft w:val="0"/>
          <w:marRight w:val="0"/>
          <w:marTop w:val="0"/>
          <w:marBottom w:val="0"/>
          <w:divBdr>
            <w:top w:val="none" w:sz="0" w:space="0" w:color="auto"/>
            <w:left w:val="none" w:sz="0" w:space="0" w:color="auto"/>
            <w:bottom w:val="none" w:sz="0" w:space="0" w:color="auto"/>
            <w:right w:val="none" w:sz="0" w:space="0" w:color="auto"/>
          </w:divBdr>
        </w:div>
        <w:div w:id="784151300">
          <w:marLeft w:val="0"/>
          <w:marRight w:val="0"/>
          <w:marTop w:val="0"/>
          <w:marBottom w:val="0"/>
          <w:divBdr>
            <w:top w:val="none" w:sz="0" w:space="0" w:color="auto"/>
            <w:left w:val="none" w:sz="0" w:space="0" w:color="auto"/>
            <w:bottom w:val="none" w:sz="0" w:space="0" w:color="auto"/>
            <w:right w:val="none" w:sz="0" w:space="0" w:color="auto"/>
          </w:divBdr>
        </w:div>
        <w:div w:id="930771040">
          <w:marLeft w:val="0"/>
          <w:marRight w:val="0"/>
          <w:marTop w:val="0"/>
          <w:marBottom w:val="0"/>
          <w:divBdr>
            <w:top w:val="none" w:sz="0" w:space="0" w:color="auto"/>
            <w:left w:val="none" w:sz="0" w:space="0" w:color="auto"/>
            <w:bottom w:val="none" w:sz="0" w:space="0" w:color="auto"/>
            <w:right w:val="none" w:sz="0" w:space="0" w:color="auto"/>
          </w:divBdr>
        </w:div>
        <w:div w:id="1126973564">
          <w:marLeft w:val="0"/>
          <w:marRight w:val="0"/>
          <w:marTop w:val="0"/>
          <w:marBottom w:val="0"/>
          <w:divBdr>
            <w:top w:val="none" w:sz="0" w:space="0" w:color="auto"/>
            <w:left w:val="none" w:sz="0" w:space="0" w:color="auto"/>
            <w:bottom w:val="none" w:sz="0" w:space="0" w:color="auto"/>
            <w:right w:val="none" w:sz="0" w:space="0" w:color="auto"/>
          </w:divBdr>
        </w:div>
        <w:div w:id="38824663">
          <w:marLeft w:val="0"/>
          <w:marRight w:val="0"/>
          <w:marTop w:val="0"/>
          <w:marBottom w:val="0"/>
          <w:divBdr>
            <w:top w:val="none" w:sz="0" w:space="0" w:color="auto"/>
            <w:left w:val="none" w:sz="0" w:space="0" w:color="auto"/>
            <w:bottom w:val="none" w:sz="0" w:space="0" w:color="auto"/>
            <w:right w:val="none" w:sz="0" w:space="0" w:color="auto"/>
          </w:divBdr>
        </w:div>
        <w:div w:id="1627656034">
          <w:marLeft w:val="0"/>
          <w:marRight w:val="0"/>
          <w:marTop w:val="0"/>
          <w:marBottom w:val="0"/>
          <w:divBdr>
            <w:top w:val="none" w:sz="0" w:space="0" w:color="auto"/>
            <w:left w:val="none" w:sz="0" w:space="0" w:color="auto"/>
            <w:bottom w:val="none" w:sz="0" w:space="0" w:color="auto"/>
            <w:right w:val="none" w:sz="0" w:space="0" w:color="auto"/>
          </w:divBdr>
        </w:div>
        <w:div w:id="1106385394">
          <w:marLeft w:val="0"/>
          <w:marRight w:val="0"/>
          <w:marTop w:val="0"/>
          <w:marBottom w:val="0"/>
          <w:divBdr>
            <w:top w:val="none" w:sz="0" w:space="0" w:color="auto"/>
            <w:left w:val="none" w:sz="0" w:space="0" w:color="auto"/>
            <w:bottom w:val="none" w:sz="0" w:space="0" w:color="auto"/>
            <w:right w:val="none" w:sz="0" w:space="0" w:color="auto"/>
          </w:divBdr>
        </w:div>
        <w:div w:id="1636720631">
          <w:marLeft w:val="0"/>
          <w:marRight w:val="0"/>
          <w:marTop w:val="0"/>
          <w:marBottom w:val="0"/>
          <w:divBdr>
            <w:top w:val="none" w:sz="0" w:space="0" w:color="auto"/>
            <w:left w:val="none" w:sz="0" w:space="0" w:color="auto"/>
            <w:bottom w:val="none" w:sz="0" w:space="0" w:color="auto"/>
            <w:right w:val="none" w:sz="0" w:space="0" w:color="auto"/>
          </w:divBdr>
        </w:div>
        <w:div w:id="701631958">
          <w:marLeft w:val="0"/>
          <w:marRight w:val="0"/>
          <w:marTop w:val="0"/>
          <w:marBottom w:val="0"/>
          <w:divBdr>
            <w:top w:val="none" w:sz="0" w:space="0" w:color="auto"/>
            <w:left w:val="none" w:sz="0" w:space="0" w:color="auto"/>
            <w:bottom w:val="none" w:sz="0" w:space="0" w:color="auto"/>
            <w:right w:val="none" w:sz="0" w:space="0" w:color="auto"/>
          </w:divBdr>
        </w:div>
        <w:div w:id="1175219691">
          <w:marLeft w:val="0"/>
          <w:marRight w:val="0"/>
          <w:marTop w:val="0"/>
          <w:marBottom w:val="0"/>
          <w:divBdr>
            <w:top w:val="none" w:sz="0" w:space="0" w:color="auto"/>
            <w:left w:val="none" w:sz="0" w:space="0" w:color="auto"/>
            <w:bottom w:val="none" w:sz="0" w:space="0" w:color="auto"/>
            <w:right w:val="none" w:sz="0" w:space="0" w:color="auto"/>
          </w:divBdr>
        </w:div>
        <w:div w:id="1833832414">
          <w:marLeft w:val="0"/>
          <w:marRight w:val="0"/>
          <w:marTop w:val="0"/>
          <w:marBottom w:val="0"/>
          <w:divBdr>
            <w:top w:val="none" w:sz="0" w:space="0" w:color="auto"/>
            <w:left w:val="none" w:sz="0" w:space="0" w:color="auto"/>
            <w:bottom w:val="none" w:sz="0" w:space="0" w:color="auto"/>
            <w:right w:val="none" w:sz="0" w:space="0" w:color="auto"/>
          </w:divBdr>
        </w:div>
        <w:div w:id="1292514024">
          <w:marLeft w:val="0"/>
          <w:marRight w:val="0"/>
          <w:marTop w:val="0"/>
          <w:marBottom w:val="0"/>
          <w:divBdr>
            <w:top w:val="none" w:sz="0" w:space="0" w:color="auto"/>
            <w:left w:val="none" w:sz="0" w:space="0" w:color="auto"/>
            <w:bottom w:val="none" w:sz="0" w:space="0" w:color="auto"/>
            <w:right w:val="none" w:sz="0" w:space="0" w:color="auto"/>
          </w:divBdr>
        </w:div>
        <w:div w:id="2095083214">
          <w:marLeft w:val="0"/>
          <w:marRight w:val="0"/>
          <w:marTop w:val="0"/>
          <w:marBottom w:val="0"/>
          <w:divBdr>
            <w:top w:val="none" w:sz="0" w:space="0" w:color="auto"/>
            <w:left w:val="none" w:sz="0" w:space="0" w:color="auto"/>
            <w:bottom w:val="none" w:sz="0" w:space="0" w:color="auto"/>
            <w:right w:val="none" w:sz="0" w:space="0" w:color="auto"/>
          </w:divBdr>
        </w:div>
        <w:div w:id="125632994">
          <w:marLeft w:val="0"/>
          <w:marRight w:val="0"/>
          <w:marTop w:val="0"/>
          <w:marBottom w:val="0"/>
          <w:divBdr>
            <w:top w:val="none" w:sz="0" w:space="0" w:color="auto"/>
            <w:left w:val="none" w:sz="0" w:space="0" w:color="auto"/>
            <w:bottom w:val="none" w:sz="0" w:space="0" w:color="auto"/>
            <w:right w:val="none" w:sz="0" w:space="0" w:color="auto"/>
          </w:divBdr>
        </w:div>
        <w:div w:id="1246377446">
          <w:marLeft w:val="0"/>
          <w:marRight w:val="0"/>
          <w:marTop w:val="0"/>
          <w:marBottom w:val="0"/>
          <w:divBdr>
            <w:top w:val="none" w:sz="0" w:space="0" w:color="auto"/>
            <w:left w:val="none" w:sz="0" w:space="0" w:color="auto"/>
            <w:bottom w:val="none" w:sz="0" w:space="0" w:color="auto"/>
            <w:right w:val="none" w:sz="0" w:space="0" w:color="auto"/>
          </w:divBdr>
        </w:div>
        <w:div w:id="1439642636">
          <w:marLeft w:val="0"/>
          <w:marRight w:val="0"/>
          <w:marTop w:val="0"/>
          <w:marBottom w:val="0"/>
          <w:divBdr>
            <w:top w:val="none" w:sz="0" w:space="0" w:color="auto"/>
            <w:left w:val="none" w:sz="0" w:space="0" w:color="auto"/>
            <w:bottom w:val="none" w:sz="0" w:space="0" w:color="auto"/>
            <w:right w:val="none" w:sz="0" w:space="0" w:color="auto"/>
          </w:divBdr>
        </w:div>
        <w:div w:id="1500732487">
          <w:marLeft w:val="0"/>
          <w:marRight w:val="0"/>
          <w:marTop w:val="0"/>
          <w:marBottom w:val="0"/>
          <w:divBdr>
            <w:top w:val="none" w:sz="0" w:space="0" w:color="auto"/>
            <w:left w:val="none" w:sz="0" w:space="0" w:color="auto"/>
            <w:bottom w:val="none" w:sz="0" w:space="0" w:color="auto"/>
            <w:right w:val="none" w:sz="0" w:space="0" w:color="auto"/>
          </w:divBdr>
        </w:div>
        <w:div w:id="1012148961">
          <w:marLeft w:val="0"/>
          <w:marRight w:val="0"/>
          <w:marTop w:val="0"/>
          <w:marBottom w:val="0"/>
          <w:divBdr>
            <w:top w:val="none" w:sz="0" w:space="0" w:color="auto"/>
            <w:left w:val="none" w:sz="0" w:space="0" w:color="auto"/>
            <w:bottom w:val="none" w:sz="0" w:space="0" w:color="auto"/>
            <w:right w:val="none" w:sz="0" w:space="0" w:color="auto"/>
          </w:divBdr>
        </w:div>
        <w:div w:id="361130499">
          <w:marLeft w:val="0"/>
          <w:marRight w:val="0"/>
          <w:marTop w:val="0"/>
          <w:marBottom w:val="0"/>
          <w:divBdr>
            <w:top w:val="none" w:sz="0" w:space="0" w:color="auto"/>
            <w:left w:val="none" w:sz="0" w:space="0" w:color="auto"/>
            <w:bottom w:val="none" w:sz="0" w:space="0" w:color="auto"/>
            <w:right w:val="none" w:sz="0" w:space="0" w:color="auto"/>
          </w:divBdr>
        </w:div>
        <w:div w:id="745883822">
          <w:marLeft w:val="0"/>
          <w:marRight w:val="0"/>
          <w:marTop w:val="0"/>
          <w:marBottom w:val="0"/>
          <w:divBdr>
            <w:top w:val="none" w:sz="0" w:space="0" w:color="auto"/>
            <w:left w:val="none" w:sz="0" w:space="0" w:color="auto"/>
            <w:bottom w:val="none" w:sz="0" w:space="0" w:color="auto"/>
            <w:right w:val="none" w:sz="0" w:space="0" w:color="auto"/>
          </w:divBdr>
        </w:div>
        <w:div w:id="1783456453">
          <w:marLeft w:val="0"/>
          <w:marRight w:val="0"/>
          <w:marTop w:val="0"/>
          <w:marBottom w:val="0"/>
          <w:divBdr>
            <w:top w:val="none" w:sz="0" w:space="0" w:color="auto"/>
            <w:left w:val="none" w:sz="0" w:space="0" w:color="auto"/>
            <w:bottom w:val="none" w:sz="0" w:space="0" w:color="auto"/>
            <w:right w:val="none" w:sz="0" w:space="0" w:color="auto"/>
          </w:divBdr>
        </w:div>
        <w:div w:id="866868507">
          <w:marLeft w:val="0"/>
          <w:marRight w:val="0"/>
          <w:marTop w:val="0"/>
          <w:marBottom w:val="0"/>
          <w:divBdr>
            <w:top w:val="none" w:sz="0" w:space="0" w:color="auto"/>
            <w:left w:val="none" w:sz="0" w:space="0" w:color="auto"/>
            <w:bottom w:val="none" w:sz="0" w:space="0" w:color="auto"/>
            <w:right w:val="none" w:sz="0" w:space="0" w:color="auto"/>
          </w:divBdr>
        </w:div>
        <w:div w:id="1842355376">
          <w:marLeft w:val="0"/>
          <w:marRight w:val="0"/>
          <w:marTop w:val="0"/>
          <w:marBottom w:val="0"/>
          <w:divBdr>
            <w:top w:val="none" w:sz="0" w:space="0" w:color="auto"/>
            <w:left w:val="none" w:sz="0" w:space="0" w:color="auto"/>
            <w:bottom w:val="none" w:sz="0" w:space="0" w:color="auto"/>
            <w:right w:val="none" w:sz="0" w:space="0" w:color="auto"/>
          </w:divBdr>
        </w:div>
        <w:div w:id="677659975">
          <w:marLeft w:val="0"/>
          <w:marRight w:val="0"/>
          <w:marTop w:val="0"/>
          <w:marBottom w:val="0"/>
          <w:divBdr>
            <w:top w:val="none" w:sz="0" w:space="0" w:color="auto"/>
            <w:left w:val="none" w:sz="0" w:space="0" w:color="auto"/>
            <w:bottom w:val="none" w:sz="0" w:space="0" w:color="auto"/>
            <w:right w:val="none" w:sz="0" w:space="0" w:color="auto"/>
          </w:divBdr>
        </w:div>
        <w:div w:id="1195004259">
          <w:marLeft w:val="0"/>
          <w:marRight w:val="0"/>
          <w:marTop w:val="0"/>
          <w:marBottom w:val="0"/>
          <w:divBdr>
            <w:top w:val="none" w:sz="0" w:space="0" w:color="auto"/>
            <w:left w:val="none" w:sz="0" w:space="0" w:color="auto"/>
            <w:bottom w:val="none" w:sz="0" w:space="0" w:color="auto"/>
            <w:right w:val="none" w:sz="0" w:space="0" w:color="auto"/>
          </w:divBdr>
        </w:div>
        <w:div w:id="1440293826">
          <w:marLeft w:val="0"/>
          <w:marRight w:val="0"/>
          <w:marTop w:val="0"/>
          <w:marBottom w:val="0"/>
          <w:divBdr>
            <w:top w:val="none" w:sz="0" w:space="0" w:color="auto"/>
            <w:left w:val="none" w:sz="0" w:space="0" w:color="auto"/>
            <w:bottom w:val="none" w:sz="0" w:space="0" w:color="auto"/>
            <w:right w:val="none" w:sz="0" w:space="0" w:color="auto"/>
          </w:divBdr>
        </w:div>
        <w:div w:id="1750884705">
          <w:marLeft w:val="0"/>
          <w:marRight w:val="0"/>
          <w:marTop w:val="0"/>
          <w:marBottom w:val="0"/>
          <w:divBdr>
            <w:top w:val="none" w:sz="0" w:space="0" w:color="auto"/>
            <w:left w:val="none" w:sz="0" w:space="0" w:color="auto"/>
            <w:bottom w:val="none" w:sz="0" w:space="0" w:color="auto"/>
            <w:right w:val="none" w:sz="0" w:space="0" w:color="auto"/>
          </w:divBdr>
        </w:div>
        <w:div w:id="1491367640">
          <w:marLeft w:val="0"/>
          <w:marRight w:val="0"/>
          <w:marTop w:val="0"/>
          <w:marBottom w:val="0"/>
          <w:divBdr>
            <w:top w:val="none" w:sz="0" w:space="0" w:color="auto"/>
            <w:left w:val="none" w:sz="0" w:space="0" w:color="auto"/>
            <w:bottom w:val="none" w:sz="0" w:space="0" w:color="auto"/>
            <w:right w:val="none" w:sz="0" w:space="0" w:color="auto"/>
          </w:divBdr>
        </w:div>
        <w:div w:id="1751350693">
          <w:marLeft w:val="0"/>
          <w:marRight w:val="0"/>
          <w:marTop w:val="0"/>
          <w:marBottom w:val="0"/>
          <w:divBdr>
            <w:top w:val="none" w:sz="0" w:space="0" w:color="auto"/>
            <w:left w:val="none" w:sz="0" w:space="0" w:color="auto"/>
            <w:bottom w:val="none" w:sz="0" w:space="0" w:color="auto"/>
            <w:right w:val="none" w:sz="0" w:space="0" w:color="auto"/>
          </w:divBdr>
        </w:div>
        <w:div w:id="1636990011">
          <w:marLeft w:val="0"/>
          <w:marRight w:val="0"/>
          <w:marTop w:val="0"/>
          <w:marBottom w:val="0"/>
          <w:divBdr>
            <w:top w:val="none" w:sz="0" w:space="0" w:color="auto"/>
            <w:left w:val="none" w:sz="0" w:space="0" w:color="auto"/>
            <w:bottom w:val="none" w:sz="0" w:space="0" w:color="auto"/>
            <w:right w:val="none" w:sz="0" w:space="0" w:color="auto"/>
          </w:divBdr>
        </w:div>
        <w:div w:id="361828431">
          <w:marLeft w:val="0"/>
          <w:marRight w:val="0"/>
          <w:marTop w:val="0"/>
          <w:marBottom w:val="0"/>
          <w:divBdr>
            <w:top w:val="none" w:sz="0" w:space="0" w:color="auto"/>
            <w:left w:val="none" w:sz="0" w:space="0" w:color="auto"/>
            <w:bottom w:val="none" w:sz="0" w:space="0" w:color="auto"/>
            <w:right w:val="none" w:sz="0" w:space="0" w:color="auto"/>
          </w:divBdr>
        </w:div>
        <w:div w:id="897933860">
          <w:marLeft w:val="0"/>
          <w:marRight w:val="0"/>
          <w:marTop w:val="0"/>
          <w:marBottom w:val="0"/>
          <w:divBdr>
            <w:top w:val="none" w:sz="0" w:space="0" w:color="auto"/>
            <w:left w:val="none" w:sz="0" w:space="0" w:color="auto"/>
            <w:bottom w:val="none" w:sz="0" w:space="0" w:color="auto"/>
            <w:right w:val="none" w:sz="0" w:space="0" w:color="auto"/>
          </w:divBdr>
        </w:div>
        <w:div w:id="605425282">
          <w:marLeft w:val="0"/>
          <w:marRight w:val="0"/>
          <w:marTop w:val="0"/>
          <w:marBottom w:val="0"/>
          <w:divBdr>
            <w:top w:val="none" w:sz="0" w:space="0" w:color="auto"/>
            <w:left w:val="none" w:sz="0" w:space="0" w:color="auto"/>
            <w:bottom w:val="none" w:sz="0" w:space="0" w:color="auto"/>
            <w:right w:val="none" w:sz="0" w:space="0" w:color="auto"/>
          </w:divBdr>
        </w:div>
        <w:div w:id="453325731">
          <w:marLeft w:val="0"/>
          <w:marRight w:val="0"/>
          <w:marTop w:val="0"/>
          <w:marBottom w:val="0"/>
          <w:divBdr>
            <w:top w:val="none" w:sz="0" w:space="0" w:color="auto"/>
            <w:left w:val="none" w:sz="0" w:space="0" w:color="auto"/>
            <w:bottom w:val="none" w:sz="0" w:space="0" w:color="auto"/>
            <w:right w:val="none" w:sz="0" w:space="0" w:color="auto"/>
          </w:divBdr>
        </w:div>
        <w:div w:id="92437969">
          <w:marLeft w:val="0"/>
          <w:marRight w:val="0"/>
          <w:marTop w:val="0"/>
          <w:marBottom w:val="0"/>
          <w:divBdr>
            <w:top w:val="none" w:sz="0" w:space="0" w:color="auto"/>
            <w:left w:val="none" w:sz="0" w:space="0" w:color="auto"/>
            <w:bottom w:val="none" w:sz="0" w:space="0" w:color="auto"/>
            <w:right w:val="none" w:sz="0" w:space="0" w:color="auto"/>
          </w:divBdr>
        </w:div>
        <w:div w:id="1448894450">
          <w:marLeft w:val="0"/>
          <w:marRight w:val="0"/>
          <w:marTop w:val="0"/>
          <w:marBottom w:val="0"/>
          <w:divBdr>
            <w:top w:val="none" w:sz="0" w:space="0" w:color="auto"/>
            <w:left w:val="none" w:sz="0" w:space="0" w:color="auto"/>
            <w:bottom w:val="none" w:sz="0" w:space="0" w:color="auto"/>
            <w:right w:val="none" w:sz="0" w:space="0" w:color="auto"/>
          </w:divBdr>
        </w:div>
        <w:div w:id="1852796761">
          <w:marLeft w:val="0"/>
          <w:marRight w:val="0"/>
          <w:marTop w:val="0"/>
          <w:marBottom w:val="0"/>
          <w:divBdr>
            <w:top w:val="none" w:sz="0" w:space="0" w:color="auto"/>
            <w:left w:val="none" w:sz="0" w:space="0" w:color="auto"/>
            <w:bottom w:val="none" w:sz="0" w:space="0" w:color="auto"/>
            <w:right w:val="none" w:sz="0" w:space="0" w:color="auto"/>
          </w:divBdr>
        </w:div>
        <w:div w:id="1573587422">
          <w:marLeft w:val="0"/>
          <w:marRight w:val="0"/>
          <w:marTop w:val="0"/>
          <w:marBottom w:val="0"/>
          <w:divBdr>
            <w:top w:val="none" w:sz="0" w:space="0" w:color="auto"/>
            <w:left w:val="none" w:sz="0" w:space="0" w:color="auto"/>
            <w:bottom w:val="none" w:sz="0" w:space="0" w:color="auto"/>
            <w:right w:val="none" w:sz="0" w:space="0" w:color="auto"/>
          </w:divBdr>
        </w:div>
        <w:div w:id="69353869">
          <w:marLeft w:val="0"/>
          <w:marRight w:val="0"/>
          <w:marTop w:val="0"/>
          <w:marBottom w:val="0"/>
          <w:divBdr>
            <w:top w:val="none" w:sz="0" w:space="0" w:color="auto"/>
            <w:left w:val="none" w:sz="0" w:space="0" w:color="auto"/>
            <w:bottom w:val="none" w:sz="0" w:space="0" w:color="auto"/>
            <w:right w:val="none" w:sz="0" w:space="0" w:color="auto"/>
          </w:divBdr>
        </w:div>
        <w:div w:id="1455515701">
          <w:marLeft w:val="0"/>
          <w:marRight w:val="0"/>
          <w:marTop w:val="0"/>
          <w:marBottom w:val="0"/>
          <w:divBdr>
            <w:top w:val="none" w:sz="0" w:space="0" w:color="auto"/>
            <w:left w:val="none" w:sz="0" w:space="0" w:color="auto"/>
            <w:bottom w:val="none" w:sz="0" w:space="0" w:color="auto"/>
            <w:right w:val="none" w:sz="0" w:space="0" w:color="auto"/>
          </w:divBdr>
        </w:div>
        <w:div w:id="1368145825">
          <w:marLeft w:val="0"/>
          <w:marRight w:val="0"/>
          <w:marTop w:val="0"/>
          <w:marBottom w:val="0"/>
          <w:divBdr>
            <w:top w:val="none" w:sz="0" w:space="0" w:color="auto"/>
            <w:left w:val="none" w:sz="0" w:space="0" w:color="auto"/>
            <w:bottom w:val="none" w:sz="0" w:space="0" w:color="auto"/>
            <w:right w:val="none" w:sz="0" w:space="0" w:color="auto"/>
          </w:divBdr>
        </w:div>
        <w:div w:id="389306079">
          <w:marLeft w:val="0"/>
          <w:marRight w:val="0"/>
          <w:marTop w:val="0"/>
          <w:marBottom w:val="0"/>
          <w:divBdr>
            <w:top w:val="none" w:sz="0" w:space="0" w:color="auto"/>
            <w:left w:val="none" w:sz="0" w:space="0" w:color="auto"/>
            <w:bottom w:val="none" w:sz="0" w:space="0" w:color="auto"/>
            <w:right w:val="none" w:sz="0" w:space="0" w:color="auto"/>
          </w:divBdr>
        </w:div>
        <w:div w:id="1251543684">
          <w:marLeft w:val="0"/>
          <w:marRight w:val="0"/>
          <w:marTop w:val="0"/>
          <w:marBottom w:val="0"/>
          <w:divBdr>
            <w:top w:val="none" w:sz="0" w:space="0" w:color="auto"/>
            <w:left w:val="none" w:sz="0" w:space="0" w:color="auto"/>
            <w:bottom w:val="none" w:sz="0" w:space="0" w:color="auto"/>
            <w:right w:val="none" w:sz="0" w:space="0" w:color="auto"/>
          </w:divBdr>
        </w:div>
        <w:div w:id="1886016151">
          <w:marLeft w:val="0"/>
          <w:marRight w:val="0"/>
          <w:marTop w:val="0"/>
          <w:marBottom w:val="0"/>
          <w:divBdr>
            <w:top w:val="none" w:sz="0" w:space="0" w:color="auto"/>
            <w:left w:val="none" w:sz="0" w:space="0" w:color="auto"/>
            <w:bottom w:val="none" w:sz="0" w:space="0" w:color="auto"/>
            <w:right w:val="none" w:sz="0" w:space="0" w:color="auto"/>
          </w:divBdr>
        </w:div>
        <w:div w:id="287705609">
          <w:marLeft w:val="0"/>
          <w:marRight w:val="0"/>
          <w:marTop w:val="0"/>
          <w:marBottom w:val="0"/>
          <w:divBdr>
            <w:top w:val="none" w:sz="0" w:space="0" w:color="auto"/>
            <w:left w:val="none" w:sz="0" w:space="0" w:color="auto"/>
            <w:bottom w:val="none" w:sz="0" w:space="0" w:color="auto"/>
            <w:right w:val="none" w:sz="0" w:space="0" w:color="auto"/>
          </w:divBdr>
        </w:div>
        <w:div w:id="194511798">
          <w:marLeft w:val="0"/>
          <w:marRight w:val="0"/>
          <w:marTop w:val="0"/>
          <w:marBottom w:val="0"/>
          <w:divBdr>
            <w:top w:val="none" w:sz="0" w:space="0" w:color="auto"/>
            <w:left w:val="none" w:sz="0" w:space="0" w:color="auto"/>
            <w:bottom w:val="none" w:sz="0" w:space="0" w:color="auto"/>
            <w:right w:val="none" w:sz="0" w:space="0" w:color="auto"/>
          </w:divBdr>
        </w:div>
        <w:div w:id="1788507142">
          <w:marLeft w:val="0"/>
          <w:marRight w:val="0"/>
          <w:marTop w:val="0"/>
          <w:marBottom w:val="0"/>
          <w:divBdr>
            <w:top w:val="none" w:sz="0" w:space="0" w:color="auto"/>
            <w:left w:val="none" w:sz="0" w:space="0" w:color="auto"/>
            <w:bottom w:val="none" w:sz="0" w:space="0" w:color="auto"/>
            <w:right w:val="none" w:sz="0" w:space="0" w:color="auto"/>
          </w:divBdr>
        </w:div>
        <w:div w:id="1093672521">
          <w:marLeft w:val="0"/>
          <w:marRight w:val="0"/>
          <w:marTop w:val="0"/>
          <w:marBottom w:val="0"/>
          <w:divBdr>
            <w:top w:val="none" w:sz="0" w:space="0" w:color="auto"/>
            <w:left w:val="none" w:sz="0" w:space="0" w:color="auto"/>
            <w:bottom w:val="none" w:sz="0" w:space="0" w:color="auto"/>
            <w:right w:val="none" w:sz="0" w:space="0" w:color="auto"/>
          </w:divBdr>
        </w:div>
        <w:div w:id="1769737144">
          <w:marLeft w:val="0"/>
          <w:marRight w:val="0"/>
          <w:marTop w:val="0"/>
          <w:marBottom w:val="0"/>
          <w:divBdr>
            <w:top w:val="none" w:sz="0" w:space="0" w:color="auto"/>
            <w:left w:val="none" w:sz="0" w:space="0" w:color="auto"/>
            <w:bottom w:val="none" w:sz="0" w:space="0" w:color="auto"/>
            <w:right w:val="none" w:sz="0" w:space="0" w:color="auto"/>
          </w:divBdr>
        </w:div>
        <w:div w:id="489829504">
          <w:marLeft w:val="0"/>
          <w:marRight w:val="0"/>
          <w:marTop w:val="0"/>
          <w:marBottom w:val="0"/>
          <w:divBdr>
            <w:top w:val="none" w:sz="0" w:space="0" w:color="auto"/>
            <w:left w:val="none" w:sz="0" w:space="0" w:color="auto"/>
            <w:bottom w:val="none" w:sz="0" w:space="0" w:color="auto"/>
            <w:right w:val="none" w:sz="0" w:space="0" w:color="auto"/>
          </w:divBdr>
        </w:div>
        <w:div w:id="725836875">
          <w:marLeft w:val="0"/>
          <w:marRight w:val="0"/>
          <w:marTop w:val="0"/>
          <w:marBottom w:val="0"/>
          <w:divBdr>
            <w:top w:val="none" w:sz="0" w:space="0" w:color="auto"/>
            <w:left w:val="none" w:sz="0" w:space="0" w:color="auto"/>
            <w:bottom w:val="none" w:sz="0" w:space="0" w:color="auto"/>
            <w:right w:val="none" w:sz="0" w:space="0" w:color="auto"/>
          </w:divBdr>
        </w:div>
        <w:div w:id="1216626765">
          <w:marLeft w:val="0"/>
          <w:marRight w:val="0"/>
          <w:marTop w:val="0"/>
          <w:marBottom w:val="0"/>
          <w:divBdr>
            <w:top w:val="none" w:sz="0" w:space="0" w:color="auto"/>
            <w:left w:val="none" w:sz="0" w:space="0" w:color="auto"/>
            <w:bottom w:val="none" w:sz="0" w:space="0" w:color="auto"/>
            <w:right w:val="none" w:sz="0" w:space="0" w:color="auto"/>
          </w:divBdr>
        </w:div>
        <w:div w:id="2016492437">
          <w:marLeft w:val="0"/>
          <w:marRight w:val="0"/>
          <w:marTop w:val="0"/>
          <w:marBottom w:val="0"/>
          <w:divBdr>
            <w:top w:val="none" w:sz="0" w:space="0" w:color="auto"/>
            <w:left w:val="none" w:sz="0" w:space="0" w:color="auto"/>
            <w:bottom w:val="none" w:sz="0" w:space="0" w:color="auto"/>
            <w:right w:val="none" w:sz="0" w:space="0" w:color="auto"/>
          </w:divBdr>
        </w:div>
        <w:div w:id="1313873772">
          <w:marLeft w:val="0"/>
          <w:marRight w:val="0"/>
          <w:marTop w:val="0"/>
          <w:marBottom w:val="0"/>
          <w:divBdr>
            <w:top w:val="none" w:sz="0" w:space="0" w:color="auto"/>
            <w:left w:val="none" w:sz="0" w:space="0" w:color="auto"/>
            <w:bottom w:val="none" w:sz="0" w:space="0" w:color="auto"/>
            <w:right w:val="none" w:sz="0" w:space="0" w:color="auto"/>
          </w:divBdr>
        </w:div>
        <w:div w:id="2136949371">
          <w:marLeft w:val="0"/>
          <w:marRight w:val="0"/>
          <w:marTop w:val="0"/>
          <w:marBottom w:val="0"/>
          <w:divBdr>
            <w:top w:val="none" w:sz="0" w:space="0" w:color="auto"/>
            <w:left w:val="none" w:sz="0" w:space="0" w:color="auto"/>
            <w:bottom w:val="none" w:sz="0" w:space="0" w:color="auto"/>
            <w:right w:val="none" w:sz="0" w:space="0" w:color="auto"/>
          </w:divBdr>
        </w:div>
        <w:div w:id="302388884">
          <w:marLeft w:val="0"/>
          <w:marRight w:val="0"/>
          <w:marTop w:val="0"/>
          <w:marBottom w:val="0"/>
          <w:divBdr>
            <w:top w:val="none" w:sz="0" w:space="0" w:color="auto"/>
            <w:left w:val="none" w:sz="0" w:space="0" w:color="auto"/>
            <w:bottom w:val="none" w:sz="0" w:space="0" w:color="auto"/>
            <w:right w:val="none" w:sz="0" w:space="0" w:color="auto"/>
          </w:divBdr>
        </w:div>
        <w:div w:id="1131093110">
          <w:marLeft w:val="0"/>
          <w:marRight w:val="0"/>
          <w:marTop w:val="0"/>
          <w:marBottom w:val="0"/>
          <w:divBdr>
            <w:top w:val="none" w:sz="0" w:space="0" w:color="auto"/>
            <w:left w:val="none" w:sz="0" w:space="0" w:color="auto"/>
            <w:bottom w:val="none" w:sz="0" w:space="0" w:color="auto"/>
            <w:right w:val="none" w:sz="0" w:space="0" w:color="auto"/>
          </w:divBdr>
        </w:div>
        <w:div w:id="1958903147">
          <w:marLeft w:val="0"/>
          <w:marRight w:val="0"/>
          <w:marTop w:val="0"/>
          <w:marBottom w:val="0"/>
          <w:divBdr>
            <w:top w:val="none" w:sz="0" w:space="0" w:color="auto"/>
            <w:left w:val="none" w:sz="0" w:space="0" w:color="auto"/>
            <w:bottom w:val="none" w:sz="0" w:space="0" w:color="auto"/>
            <w:right w:val="none" w:sz="0" w:space="0" w:color="auto"/>
          </w:divBdr>
        </w:div>
        <w:div w:id="383332708">
          <w:marLeft w:val="0"/>
          <w:marRight w:val="0"/>
          <w:marTop w:val="0"/>
          <w:marBottom w:val="0"/>
          <w:divBdr>
            <w:top w:val="none" w:sz="0" w:space="0" w:color="auto"/>
            <w:left w:val="none" w:sz="0" w:space="0" w:color="auto"/>
            <w:bottom w:val="none" w:sz="0" w:space="0" w:color="auto"/>
            <w:right w:val="none" w:sz="0" w:space="0" w:color="auto"/>
          </w:divBdr>
        </w:div>
        <w:div w:id="1350328866">
          <w:marLeft w:val="0"/>
          <w:marRight w:val="0"/>
          <w:marTop w:val="0"/>
          <w:marBottom w:val="0"/>
          <w:divBdr>
            <w:top w:val="none" w:sz="0" w:space="0" w:color="auto"/>
            <w:left w:val="none" w:sz="0" w:space="0" w:color="auto"/>
            <w:bottom w:val="none" w:sz="0" w:space="0" w:color="auto"/>
            <w:right w:val="none" w:sz="0" w:space="0" w:color="auto"/>
          </w:divBdr>
        </w:div>
        <w:div w:id="1427730836">
          <w:marLeft w:val="0"/>
          <w:marRight w:val="0"/>
          <w:marTop w:val="0"/>
          <w:marBottom w:val="0"/>
          <w:divBdr>
            <w:top w:val="none" w:sz="0" w:space="0" w:color="auto"/>
            <w:left w:val="none" w:sz="0" w:space="0" w:color="auto"/>
            <w:bottom w:val="none" w:sz="0" w:space="0" w:color="auto"/>
            <w:right w:val="none" w:sz="0" w:space="0" w:color="auto"/>
          </w:divBdr>
        </w:div>
        <w:div w:id="1650480707">
          <w:marLeft w:val="0"/>
          <w:marRight w:val="0"/>
          <w:marTop w:val="0"/>
          <w:marBottom w:val="0"/>
          <w:divBdr>
            <w:top w:val="none" w:sz="0" w:space="0" w:color="auto"/>
            <w:left w:val="none" w:sz="0" w:space="0" w:color="auto"/>
            <w:bottom w:val="none" w:sz="0" w:space="0" w:color="auto"/>
            <w:right w:val="none" w:sz="0" w:space="0" w:color="auto"/>
          </w:divBdr>
        </w:div>
        <w:div w:id="1576669558">
          <w:marLeft w:val="0"/>
          <w:marRight w:val="0"/>
          <w:marTop w:val="0"/>
          <w:marBottom w:val="0"/>
          <w:divBdr>
            <w:top w:val="none" w:sz="0" w:space="0" w:color="auto"/>
            <w:left w:val="none" w:sz="0" w:space="0" w:color="auto"/>
            <w:bottom w:val="none" w:sz="0" w:space="0" w:color="auto"/>
            <w:right w:val="none" w:sz="0" w:space="0" w:color="auto"/>
          </w:divBdr>
        </w:div>
        <w:div w:id="2002348078">
          <w:marLeft w:val="0"/>
          <w:marRight w:val="0"/>
          <w:marTop w:val="0"/>
          <w:marBottom w:val="0"/>
          <w:divBdr>
            <w:top w:val="none" w:sz="0" w:space="0" w:color="auto"/>
            <w:left w:val="none" w:sz="0" w:space="0" w:color="auto"/>
            <w:bottom w:val="none" w:sz="0" w:space="0" w:color="auto"/>
            <w:right w:val="none" w:sz="0" w:space="0" w:color="auto"/>
          </w:divBdr>
        </w:div>
        <w:div w:id="1485850331">
          <w:marLeft w:val="0"/>
          <w:marRight w:val="0"/>
          <w:marTop w:val="0"/>
          <w:marBottom w:val="0"/>
          <w:divBdr>
            <w:top w:val="none" w:sz="0" w:space="0" w:color="auto"/>
            <w:left w:val="none" w:sz="0" w:space="0" w:color="auto"/>
            <w:bottom w:val="none" w:sz="0" w:space="0" w:color="auto"/>
            <w:right w:val="none" w:sz="0" w:space="0" w:color="auto"/>
          </w:divBdr>
        </w:div>
        <w:div w:id="1320765666">
          <w:marLeft w:val="0"/>
          <w:marRight w:val="0"/>
          <w:marTop w:val="0"/>
          <w:marBottom w:val="0"/>
          <w:divBdr>
            <w:top w:val="none" w:sz="0" w:space="0" w:color="auto"/>
            <w:left w:val="none" w:sz="0" w:space="0" w:color="auto"/>
            <w:bottom w:val="none" w:sz="0" w:space="0" w:color="auto"/>
            <w:right w:val="none" w:sz="0" w:space="0" w:color="auto"/>
          </w:divBdr>
        </w:div>
        <w:div w:id="677658707">
          <w:marLeft w:val="0"/>
          <w:marRight w:val="0"/>
          <w:marTop w:val="0"/>
          <w:marBottom w:val="0"/>
          <w:divBdr>
            <w:top w:val="none" w:sz="0" w:space="0" w:color="auto"/>
            <w:left w:val="none" w:sz="0" w:space="0" w:color="auto"/>
            <w:bottom w:val="none" w:sz="0" w:space="0" w:color="auto"/>
            <w:right w:val="none" w:sz="0" w:space="0" w:color="auto"/>
          </w:divBdr>
        </w:div>
        <w:div w:id="1494177931">
          <w:marLeft w:val="0"/>
          <w:marRight w:val="0"/>
          <w:marTop w:val="0"/>
          <w:marBottom w:val="0"/>
          <w:divBdr>
            <w:top w:val="none" w:sz="0" w:space="0" w:color="auto"/>
            <w:left w:val="none" w:sz="0" w:space="0" w:color="auto"/>
            <w:bottom w:val="none" w:sz="0" w:space="0" w:color="auto"/>
            <w:right w:val="none" w:sz="0" w:space="0" w:color="auto"/>
          </w:divBdr>
        </w:div>
        <w:div w:id="1679849572">
          <w:marLeft w:val="0"/>
          <w:marRight w:val="0"/>
          <w:marTop w:val="0"/>
          <w:marBottom w:val="0"/>
          <w:divBdr>
            <w:top w:val="none" w:sz="0" w:space="0" w:color="auto"/>
            <w:left w:val="none" w:sz="0" w:space="0" w:color="auto"/>
            <w:bottom w:val="none" w:sz="0" w:space="0" w:color="auto"/>
            <w:right w:val="none" w:sz="0" w:space="0" w:color="auto"/>
          </w:divBdr>
        </w:div>
        <w:div w:id="1314944070">
          <w:marLeft w:val="0"/>
          <w:marRight w:val="0"/>
          <w:marTop w:val="0"/>
          <w:marBottom w:val="0"/>
          <w:divBdr>
            <w:top w:val="none" w:sz="0" w:space="0" w:color="auto"/>
            <w:left w:val="none" w:sz="0" w:space="0" w:color="auto"/>
            <w:bottom w:val="none" w:sz="0" w:space="0" w:color="auto"/>
            <w:right w:val="none" w:sz="0" w:space="0" w:color="auto"/>
          </w:divBdr>
        </w:div>
        <w:div w:id="1101561473">
          <w:marLeft w:val="0"/>
          <w:marRight w:val="0"/>
          <w:marTop w:val="0"/>
          <w:marBottom w:val="0"/>
          <w:divBdr>
            <w:top w:val="none" w:sz="0" w:space="0" w:color="auto"/>
            <w:left w:val="none" w:sz="0" w:space="0" w:color="auto"/>
            <w:bottom w:val="none" w:sz="0" w:space="0" w:color="auto"/>
            <w:right w:val="none" w:sz="0" w:space="0" w:color="auto"/>
          </w:divBdr>
        </w:div>
        <w:div w:id="1162086570">
          <w:marLeft w:val="0"/>
          <w:marRight w:val="0"/>
          <w:marTop w:val="0"/>
          <w:marBottom w:val="0"/>
          <w:divBdr>
            <w:top w:val="none" w:sz="0" w:space="0" w:color="auto"/>
            <w:left w:val="none" w:sz="0" w:space="0" w:color="auto"/>
            <w:bottom w:val="none" w:sz="0" w:space="0" w:color="auto"/>
            <w:right w:val="none" w:sz="0" w:space="0" w:color="auto"/>
          </w:divBdr>
        </w:div>
        <w:div w:id="1515605268">
          <w:marLeft w:val="0"/>
          <w:marRight w:val="0"/>
          <w:marTop w:val="0"/>
          <w:marBottom w:val="0"/>
          <w:divBdr>
            <w:top w:val="none" w:sz="0" w:space="0" w:color="auto"/>
            <w:left w:val="none" w:sz="0" w:space="0" w:color="auto"/>
            <w:bottom w:val="none" w:sz="0" w:space="0" w:color="auto"/>
            <w:right w:val="none" w:sz="0" w:space="0" w:color="auto"/>
          </w:divBdr>
        </w:div>
        <w:div w:id="550263906">
          <w:marLeft w:val="0"/>
          <w:marRight w:val="0"/>
          <w:marTop w:val="0"/>
          <w:marBottom w:val="0"/>
          <w:divBdr>
            <w:top w:val="none" w:sz="0" w:space="0" w:color="auto"/>
            <w:left w:val="none" w:sz="0" w:space="0" w:color="auto"/>
            <w:bottom w:val="none" w:sz="0" w:space="0" w:color="auto"/>
            <w:right w:val="none" w:sz="0" w:space="0" w:color="auto"/>
          </w:divBdr>
        </w:div>
        <w:div w:id="1169903108">
          <w:marLeft w:val="0"/>
          <w:marRight w:val="0"/>
          <w:marTop w:val="0"/>
          <w:marBottom w:val="0"/>
          <w:divBdr>
            <w:top w:val="none" w:sz="0" w:space="0" w:color="auto"/>
            <w:left w:val="none" w:sz="0" w:space="0" w:color="auto"/>
            <w:bottom w:val="none" w:sz="0" w:space="0" w:color="auto"/>
            <w:right w:val="none" w:sz="0" w:space="0" w:color="auto"/>
          </w:divBdr>
        </w:div>
        <w:div w:id="2088646862">
          <w:marLeft w:val="0"/>
          <w:marRight w:val="0"/>
          <w:marTop w:val="0"/>
          <w:marBottom w:val="0"/>
          <w:divBdr>
            <w:top w:val="none" w:sz="0" w:space="0" w:color="auto"/>
            <w:left w:val="none" w:sz="0" w:space="0" w:color="auto"/>
            <w:bottom w:val="none" w:sz="0" w:space="0" w:color="auto"/>
            <w:right w:val="none" w:sz="0" w:space="0" w:color="auto"/>
          </w:divBdr>
        </w:div>
        <w:div w:id="1357342209">
          <w:marLeft w:val="0"/>
          <w:marRight w:val="0"/>
          <w:marTop w:val="0"/>
          <w:marBottom w:val="0"/>
          <w:divBdr>
            <w:top w:val="none" w:sz="0" w:space="0" w:color="auto"/>
            <w:left w:val="none" w:sz="0" w:space="0" w:color="auto"/>
            <w:bottom w:val="none" w:sz="0" w:space="0" w:color="auto"/>
            <w:right w:val="none" w:sz="0" w:space="0" w:color="auto"/>
          </w:divBdr>
        </w:div>
        <w:div w:id="1497920159">
          <w:marLeft w:val="0"/>
          <w:marRight w:val="0"/>
          <w:marTop w:val="0"/>
          <w:marBottom w:val="0"/>
          <w:divBdr>
            <w:top w:val="none" w:sz="0" w:space="0" w:color="auto"/>
            <w:left w:val="none" w:sz="0" w:space="0" w:color="auto"/>
            <w:bottom w:val="none" w:sz="0" w:space="0" w:color="auto"/>
            <w:right w:val="none" w:sz="0" w:space="0" w:color="auto"/>
          </w:divBdr>
        </w:div>
        <w:div w:id="1464617192">
          <w:marLeft w:val="0"/>
          <w:marRight w:val="0"/>
          <w:marTop w:val="0"/>
          <w:marBottom w:val="0"/>
          <w:divBdr>
            <w:top w:val="none" w:sz="0" w:space="0" w:color="auto"/>
            <w:left w:val="none" w:sz="0" w:space="0" w:color="auto"/>
            <w:bottom w:val="none" w:sz="0" w:space="0" w:color="auto"/>
            <w:right w:val="none" w:sz="0" w:space="0" w:color="auto"/>
          </w:divBdr>
        </w:div>
        <w:div w:id="2060470541">
          <w:marLeft w:val="0"/>
          <w:marRight w:val="0"/>
          <w:marTop w:val="0"/>
          <w:marBottom w:val="0"/>
          <w:divBdr>
            <w:top w:val="none" w:sz="0" w:space="0" w:color="auto"/>
            <w:left w:val="none" w:sz="0" w:space="0" w:color="auto"/>
            <w:bottom w:val="none" w:sz="0" w:space="0" w:color="auto"/>
            <w:right w:val="none" w:sz="0" w:space="0" w:color="auto"/>
          </w:divBdr>
        </w:div>
        <w:div w:id="233660756">
          <w:marLeft w:val="0"/>
          <w:marRight w:val="0"/>
          <w:marTop w:val="0"/>
          <w:marBottom w:val="0"/>
          <w:divBdr>
            <w:top w:val="none" w:sz="0" w:space="0" w:color="auto"/>
            <w:left w:val="none" w:sz="0" w:space="0" w:color="auto"/>
            <w:bottom w:val="none" w:sz="0" w:space="0" w:color="auto"/>
            <w:right w:val="none" w:sz="0" w:space="0" w:color="auto"/>
          </w:divBdr>
        </w:div>
        <w:div w:id="2118793425">
          <w:marLeft w:val="0"/>
          <w:marRight w:val="0"/>
          <w:marTop w:val="0"/>
          <w:marBottom w:val="0"/>
          <w:divBdr>
            <w:top w:val="none" w:sz="0" w:space="0" w:color="auto"/>
            <w:left w:val="none" w:sz="0" w:space="0" w:color="auto"/>
            <w:bottom w:val="none" w:sz="0" w:space="0" w:color="auto"/>
            <w:right w:val="none" w:sz="0" w:space="0" w:color="auto"/>
          </w:divBdr>
        </w:div>
        <w:div w:id="875703213">
          <w:marLeft w:val="0"/>
          <w:marRight w:val="0"/>
          <w:marTop w:val="0"/>
          <w:marBottom w:val="0"/>
          <w:divBdr>
            <w:top w:val="none" w:sz="0" w:space="0" w:color="auto"/>
            <w:left w:val="none" w:sz="0" w:space="0" w:color="auto"/>
            <w:bottom w:val="none" w:sz="0" w:space="0" w:color="auto"/>
            <w:right w:val="none" w:sz="0" w:space="0" w:color="auto"/>
          </w:divBdr>
        </w:div>
        <w:div w:id="587232647">
          <w:marLeft w:val="0"/>
          <w:marRight w:val="0"/>
          <w:marTop w:val="0"/>
          <w:marBottom w:val="0"/>
          <w:divBdr>
            <w:top w:val="none" w:sz="0" w:space="0" w:color="auto"/>
            <w:left w:val="none" w:sz="0" w:space="0" w:color="auto"/>
            <w:bottom w:val="none" w:sz="0" w:space="0" w:color="auto"/>
            <w:right w:val="none" w:sz="0" w:space="0" w:color="auto"/>
          </w:divBdr>
        </w:div>
        <w:div w:id="1982421848">
          <w:marLeft w:val="0"/>
          <w:marRight w:val="0"/>
          <w:marTop w:val="0"/>
          <w:marBottom w:val="0"/>
          <w:divBdr>
            <w:top w:val="none" w:sz="0" w:space="0" w:color="auto"/>
            <w:left w:val="none" w:sz="0" w:space="0" w:color="auto"/>
            <w:bottom w:val="none" w:sz="0" w:space="0" w:color="auto"/>
            <w:right w:val="none" w:sz="0" w:space="0" w:color="auto"/>
          </w:divBdr>
        </w:div>
        <w:div w:id="15167239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420E7-71D7-44EB-8BB9-47EF279C00B5}"/>
</file>

<file path=customXml/itemProps2.xml><?xml version="1.0" encoding="utf-8"?>
<ds:datastoreItem xmlns:ds="http://schemas.openxmlformats.org/officeDocument/2006/customXml" ds:itemID="{E3A5D99D-BCF3-4F76-AE9A-14F8B017CD6B}">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5F71D448-C7C2-4E7B-9448-7CCCBAB06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143471</Words>
  <Characters>81779</Characters>
  <Application>Microsoft Office Word</Application>
  <DocSecurity>0</DocSecurity>
  <Lines>681</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2024-01-05T10:56:00Z</dcterms:created>
  <dcterms:modified xsi:type="dcterms:W3CDTF">2024-08-07T08:14:00Z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