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FDE7F" w14:textId="77777777" w:rsidR="00312570" w:rsidRPr="00312570" w:rsidRDefault="00312570" w:rsidP="00312570">
      <w:pPr>
        <w:shd w:val="clear" w:color="auto" w:fill="FFFFFF"/>
        <w:spacing w:after="0" w:line="240" w:lineRule="auto"/>
        <w:jc w:val="center"/>
        <w:rPr>
          <w:rFonts w:ascii="Times New Roman" w:hAnsi="Times New Roman"/>
          <w:noProof/>
          <w:kern w:val="0"/>
          <w:sz w:val="24"/>
          <w:lang w:val="en-US"/>
        </w:rPr>
      </w:pPr>
      <w:r w:rsidRPr="00312570">
        <w:rPr>
          <w:rFonts w:ascii="Times New Roman" w:hAnsi="Times New Roman"/>
          <w:noProof/>
          <w:kern w:val="0"/>
          <w:sz w:val="24"/>
          <w:lang w:val="en-US"/>
        </w:rPr>
        <w:t>Latvijas Banka</w:t>
      </w:r>
    </w:p>
    <w:p w14:paraId="6267B42F" w14:textId="77777777" w:rsidR="00312570" w:rsidRPr="00312570" w:rsidRDefault="00312570" w:rsidP="00312570">
      <w:pPr>
        <w:shd w:val="clear" w:color="auto" w:fill="FFFFFF"/>
        <w:spacing w:after="0" w:line="240" w:lineRule="auto"/>
        <w:jc w:val="center"/>
        <w:rPr>
          <w:rFonts w:ascii="Times New Roman" w:hAnsi="Times New Roman"/>
          <w:noProof/>
          <w:kern w:val="0"/>
          <w:sz w:val="24"/>
          <w:lang w:val="en-US"/>
        </w:rPr>
      </w:pPr>
      <w:r w:rsidRPr="00312570">
        <w:rPr>
          <w:rFonts w:ascii="Times New Roman" w:hAnsi="Times New Roman"/>
          <w:noProof/>
          <w:kern w:val="0"/>
          <w:sz w:val="24"/>
          <w:lang w:val="en-US"/>
        </w:rPr>
        <w:t>Regulation No. 247</w:t>
      </w:r>
    </w:p>
    <w:p w14:paraId="3F784744" w14:textId="77777777" w:rsidR="00312570" w:rsidRPr="00312570" w:rsidRDefault="00312570" w:rsidP="00312570">
      <w:pPr>
        <w:shd w:val="clear" w:color="auto" w:fill="FFFFFF"/>
        <w:spacing w:after="0" w:line="240" w:lineRule="auto"/>
        <w:jc w:val="center"/>
        <w:rPr>
          <w:rFonts w:ascii="Times New Roman" w:hAnsi="Times New Roman"/>
          <w:noProof/>
          <w:kern w:val="0"/>
          <w:sz w:val="24"/>
          <w:lang w:val="en-US"/>
        </w:rPr>
      </w:pPr>
      <w:r w:rsidRPr="00312570">
        <w:rPr>
          <w:rFonts w:ascii="Times New Roman" w:hAnsi="Times New Roman"/>
          <w:noProof/>
          <w:kern w:val="0"/>
          <w:sz w:val="24"/>
          <w:lang w:val="en-US"/>
        </w:rPr>
        <w:t>Adopted 21 August 2023</w:t>
      </w:r>
    </w:p>
    <w:p w14:paraId="0452CD87" w14:textId="77777777" w:rsidR="00312570" w:rsidRPr="00312570" w:rsidRDefault="00312570" w:rsidP="0031257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7A37501" w14:textId="77777777" w:rsidR="00312570" w:rsidRPr="00312570" w:rsidRDefault="00312570" w:rsidP="0031257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4CC93B5" w14:textId="77777777" w:rsidR="00312570" w:rsidRPr="00312570" w:rsidRDefault="00312570" w:rsidP="00312570">
      <w:pPr>
        <w:shd w:val="clear" w:color="auto" w:fill="FFFFFF"/>
        <w:spacing w:after="0" w:line="240" w:lineRule="auto"/>
        <w:jc w:val="center"/>
        <w:rPr>
          <w:rFonts w:ascii="Times New Roman" w:hAnsi="Times New Roman"/>
          <w:b/>
          <w:noProof/>
          <w:kern w:val="0"/>
          <w:sz w:val="28"/>
          <w:lang w:val="en-US"/>
        </w:rPr>
      </w:pPr>
      <w:r w:rsidRPr="00312570">
        <w:rPr>
          <w:rFonts w:ascii="Times New Roman" w:hAnsi="Times New Roman"/>
          <w:b/>
          <w:noProof/>
          <w:kern w:val="0"/>
          <w:sz w:val="28"/>
          <w:lang w:val="en-US"/>
        </w:rPr>
        <w:t>Regulations for Corrections to Calculations of Modified Duration for Debt Instruments</w:t>
      </w:r>
    </w:p>
    <w:p w14:paraId="474B79C5" w14:textId="77777777" w:rsidR="00312570" w:rsidRPr="00312570" w:rsidRDefault="00312570" w:rsidP="0031257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58B4D70" w14:textId="77777777" w:rsidR="00312570" w:rsidRPr="00312570" w:rsidRDefault="00312570" w:rsidP="0031257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C26977B" w14:textId="77777777" w:rsidR="00312570" w:rsidRPr="00312570" w:rsidRDefault="00312570" w:rsidP="00312570">
      <w:pPr>
        <w:shd w:val="clear" w:color="auto" w:fill="FFFFFF"/>
        <w:spacing w:after="0" w:line="240" w:lineRule="auto"/>
        <w:jc w:val="right"/>
        <w:rPr>
          <w:rFonts w:ascii="Times New Roman" w:hAnsi="Times New Roman"/>
          <w:i/>
          <w:noProof/>
          <w:kern w:val="0"/>
          <w:sz w:val="24"/>
          <w:lang w:val="en-US"/>
        </w:rPr>
      </w:pPr>
      <w:r w:rsidRPr="00312570">
        <w:rPr>
          <w:rFonts w:ascii="Times New Roman" w:hAnsi="Times New Roman"/>
          <w:i/>
          <w:noProof/>
          <w:kern w:val="0"/>
          <w:sz w:val="24"/>
          <w:lang w:val="en-US"/>
        </w:rPr>
        <w:t>Issued pursuant to</w:t>
      </w:r>
    </w:p>
    <w:p w14:paraId="2F8E22B3" w14:textId="77777777" w:rsidR="00312570" w:rsidRPr="00312570" w:rsidRDefault="00312570" w:rsidP="00312570">
      <w:pPr>
        <w:shd w:val="clear" w:color="auto" w:fill="FFFFFF"/>
        <w:spacing w:after="0" w:line="240" w:lineRule="auto"/>
        <w:jc w:val="right"/>
        <w:rPr>
          <w:rFonts w:ascii="Times New Roman" w:eastAsia="Times New Roman" w:hAnsi="Times New Roman" w:cs="Times New Roman"/>
          <w:i/>
          <w:iCs/>
          <w:noProof/>
          <w:kern w:val="0"/>
          <w:sz w:val="24"/>
          <w:szCs w:val="24"/>
          <w:lang w:val="en-US"/>
          <w14:ligatures w14:val="none"/>
        </w:rPr>
      </w:pPr>
      <w:r w:rsidRPr="00312570">
        <w:rPr>
          <w:rFonts w:ascii="Times New Roman" w:hAnsi="Times New Roman"/>
          <w:i/>
          <w:noProof/>
          <w:kern w:val="0"/>
          <w:sz w:val="24"/>
          <w:lang w:val="en-US"/>
        </w:rPr>
        <w:t>Section 50, Paragraph two of the Credit Institution Law, Section 4.</w:t>
      </w:r>
      <w:r w:rsidRPr="00312570">
        <w:rPr>
          <w:rFonts w:ascii="Times New Roman" w:hAnsi="Times New Roman"/>
          <w:i/>
          <w:noProof/>
          <w:kern w:val="0"/>
          <w:sz w:val="24"/>
          <w:vertAlign w:val="superscript"/>
          <w:lang w:val="en-US"/>
        </w:rPr>
        <w:t xml:space="preserve">2 </w:t>
      </w:r>
      <w:r w:rsidRPr="00312570">
        <w:rPr>
          <w:rFonts w:ascii="Times New Roman" w:hAnsi="Times New Roman"/>
          <w:i/>
          <w:noProof/>
          <w:kern w:val="0"/>
          <w:sz w:val="24"/>
          <w:lang w:val="en-US"/>
        </w:rPr>
        <w:t>of the Financial Instrument Market Law, Section 45, Paragraph six of the Law on Investment Firms</w:t>
      </w:r>
    </w:p>
    <w:p w14:paraId="7AD5FEC5" w14:textId="77777777" w:rsidR="00312570" w:rsidRPr="00312570" w:rsidRDefault="00312570" w:rsidP="0031257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9BD249" w14:textId="77777777" w:rsidR="00312570" w:rsidRPr="00312570" w:rsidRDefault="00312570" w:rsidP="0031257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DF2B23" w14:textId="77777777" w:rsidR="00312570" w:rsidRPr="00312570" w:rsidRDefault="00312570" w:rsidP="00312570">
      <w:pPr>
        <w:shd w:val="clear" w:color="auto" w:fill="FFFFFF"/>
        <w:spacing w:after="0" w:line="240" w:lineRule="auto"/>
        <w:jc w:val="both"/>
        <w:rPr>
          <w:rFonts w:ascii="Times New Roman" w:hAnsi="Times New Roman"/>
          <w:noProof/>
          <w:kern w:val="0"/>
          <w:sz w:val="24"/>
          <w:lang w:val="en-US"/>
        </w:rPr>
      </w:pPr>
      <w:bookmarkStart w:id="0" w:name="p-1224738"/>
      <w:bookmarkEnd w:id="0"/>
      <w:r w:rsidRPr="00312570">
        <w:rPr>
          <w:rFonts w:ascii="Times New Roman" w:hAnsi="Times New Roman"/>
          <w:noProof/>
          <w:kern w:val="0"/>
          <w:sz w:val="24"/>
          <w:lang w:val="en-US"/>
        </w:rPr>
        <w:t>1. The Regulation prescribes the procedures whereby investment firms, central securities depositories, and credit institutions registered in Latvia (hereinafter together – the institution), except for the credit institutions supervised by the European Central Bank, make corrections to the calculations of modified duration for debt instruments subject to prepayment risk in accordance with the second subparagraph of Article 340(3) of Regulation (EU) No 575/2013 of the European Parliament and of the Council of 26 June 2013 on prudential requirements for credit institutions and amending Regulation (EU) No 648/2012 (hereinafter – Regulation No 575/2013).</w:t>
      </w:r>
      <w:bookmarkStart w:id="1" w:name="p1"/>
      <w:bookmarkEnd w:id="1"/>
    </w:p>
    <w:p w14:paraId="1E86B7DB" w14:textId="77777777" w:rsidR="00312570" w:rsidRPr="00312570" w:rsidRDefault="00312570" w:rsidP="0031257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224739"/>
      <w:bookmarkEnd w:id="2"/>
    </w:p>
    <w:p w14:paraId="314813BE" w14:textId="77777777" w:rsidR="00312570" w:rsidRPr="00312570" w:rsidRDefault="00312570" w:rsidP="00312570">
      <w:pPr>
        <w:shd w:val="clear" w:color="auto" w:fill="FFFFFF"/>
        <w:spacing w:after="0" w:line="240" w:lineRule="auto"/>
        <w:jc w:val="both"/>
        <w:rPr>
          <w:rFonts w:ascii="Times New Roman" w:hAnsi="Times New Roman"/>
          <w:noProof/>
          <w:kern w:val="0"/>
          <w:sz w:val="24"/>
          <w:lang w:val="en-US"/>
        </w:rPr>
      </w:pPr>
      <w:r w:rsidRPr="00312570">
        <w:rPr>
          <w:rFonts w:ascii="Times New Roman" w:hAnsi="Times New Roman"/>
          <w:noProof/>
          <w:kern w:val="0"/>
          <w:sz w:val="24"/>
          <w:lang w:val="en-US"/>
        </w:rPr>
        <w:t>2. The following terms are used in the Regulation:</w:t>
      </w:r>
      <w:bookmarkStart w:id="3" w:name="p2"/>
      <w:bookmarkEnd w:id="3"/>
    </w:p>
    <w:p w14:paraId="352A28EE" w14:textId="77777777" w:rsidR="00312570" w:rsidRPr="00312570" w:rsidRDefault="00312570" w:rsidP="00312570">
      <w:pPr>
        <w:shd w:val="clear" w:color="auto" w:fill="FFFFFF"/>
        <w:spacing w:after="0" w:line="240" w:lineRule="auto"/>
        <w:ind w:firstLine="709"/>
        <w:jc w:val="both"/>
        <w:rPr>
          <w:rFonts w:ascii="Times New Roman" w:hAnsi="Times New Roman"/>
          <w:noProof/>
          <w:kern w:val="0"/>
          <w:sz w:val="24"/>
          <w:lang w:val="en-US"/>
        </w:rPr>
      </w:pPr>
      <w:r w:rsidRPr="00312570">
        <w:rPr>
          <w:rFonts w:ascii="Times New Roman" w:hAnsi="Times New Roman"/>
          <w:noProof/>
          <w:kern w:val="0"/>
          <w:sz w:val="24"/>
          <w:lang w:val="en-US"/>
        </w:rPr>
        <w:t>2.1. callable bond – a debt instrument that gives its issuer the right, but not the obligation, to redeem the bond before it reaches its date of maturity;</w:t>
      </w:r>
    </w:p>
    <w:p w14:paraId="2D710230" w14:textId="77777777" w:rsidR="00312570" w:rsidRPr="00312570" w:rsidRDefault="00312570" w:rsidP="00312570">
      <w:pPr>
        <w:shd w:val="clear" w:color="auto" w:fill="FFFFFF"/>
        <w:spacing w:after="0" w:line="240" w:lineRule="auto"/>
        <w:ind w:firstLine="709"/>
        <w:jc w:val="both"/>
        <w:rPr>
          <w:rFonts w:ascii="Times New Roman" w:hAnsi="Times New Roman"/>
          <w:noProof/>
          <w:kern w:val="0"/>
          <w:sz w:val="24"/>
          <w:lang w:val="en-US"/>
        </w:rPr>
      </w:pPr>
      <w:r w:rsidRPr="00312570">
        <w:rPr>
          <w:rFonts w:ascii="Times New Roman" w:hAnsi="Times New Roman"/>
          <w:noProof/>
          <w:kern w:val="0"/>
          <w:sz w:val="24"/>
          <w:lang w:val="en-US"/>
        </w:rPr>
        <w:t>2.2. puttable bond – a debt instrument that gives its holder the right, but not the obligation, to demand prepayment of the bond’s principal from the issuer.</w:t>
      </w:r>
    </w:p>
    <w:p w14:paraId="636DA91A" w14:textId="77777777" w:rsidR="00312570" w:rsidRPr="00312570" w:rsidRDefault="00312570" w:rsidP="0031257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1224740"/>
      <w:bookmarkEnd w:id="4"/>
    </w:p>
    <w:p w14:paraId="00FD3718" w14:textId="77777777" w:rsidR="00312570" w:rsidRPr="00312570" w:rsidRDefault="00312570" w:rsidP="00312570">
      <w:pPr>
        <w:shd w:val="clear" w:color="auto" w:fill="FFFFFF"/>
        <w:spacing w:after="0" w:line="240" w:lineRule="auto"/>
        <w:jc w:val="both"/>
        <w:rPr>
          <w:rFonts w:ascii="Times New Roman" w:hAnsi="Times New Roman"/>
          <w:noProof/>
          <w:kern w:val="0"/>
          <w:sz w:val="24"/>
          <w:lang w:val="en-US"/>
        </w:rPr>
      </w:pPr>
      <w:r w:rsidRPr="00312570">
        <w:rPr>
          <w:rFonts w:ascii="Times New Roman" w:hAnsi="Times New Roman"/>
          <w:noProof/>
          <w:kern w:val="0"/>
          <w:sz w:val="24"/>
          <w:lang w:val="en-US"/>
        </w:rPr>
        <w:t>3. When following a standardised method to calculate the own funds requirement against the general risk on debt instruments under the duration-based approach within the meaning of Regulation No 575/2013, the institution shall assess and document whether the debt instruments classified as such in its trading book are subject to prepayment risk.</w:t>
      </w:r>
      <w:bookmarkStart w:id="5" w:name="p3"/>
      <w:bookmarkEnd w:id="5"/>
    </w:p>
    <w:p w14:paraId="0D3755BC" w14:textId="77777777" w:rsidR="00312570" w:rsidRPr="00312570" w:rsidRDefault="00312570" w:rsidP="0031257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1224741"/>
      <w:bookmarkEnd w:id="6"/>
    </w:p>
    <w:p w14:paraId="1EE0C1C0" w14:textId="77777777" w:rsidR="00312570" w:rsidRPr="00312570" w:rsidRDefault="00312570" w:rsidP="00312570">
      <w:pPr>
        <w:shd w:val="clear" w:color="auto" w:fill="FFFFFF"/>
        <w:spacing w:after="0" w:line="240" w:lineRule="auto"/>
        <w:jc w:val="both"/>
        <w:rPr>
          <w:rFonts w:ascii="Times New Roman" w:hAnsi="Times New Roman"/>
          <w:noProof/>
          <w:kern w:val="0"/>
          <w:sz w:val="24"/>
          <w:lang w:val="en-US"/>
        </w:rPr>
      </w:pPr>
      <w:r w:rsidRPr="00312570">
        <w:rPr>
          <w:rFonts w:ascii="Times New Roman" w:hAnsi="Times New Roman"/>
          <w:noProof/>
          <w:kern w:val="0"/>
          <w:sz w:val="24"/>
          <w:lang w:val="en-US"/>
        </w:rPr>
        <w:t>4. To make corrections to the calculations of modified duration for debt instruments subject to prepayment risk referred to in the second subparagraph of Article 340(3) of Regulation No 575/2013, the institution shall use one of the following formulas:</w:t>
      </w:r>
      <w:bookmarkStart w:id="7" w:name="p4"/>
      <w:bookmarkEnd w:id="7"/>
    </w:p>
    <w:p w14:paraId="2F75A76C" w14:textId="77777777" w:rsidR="00312570" w:rsidRPr="00312570" w:rsidRDefault="00312570" w:rsidP="0031257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A4B310" w14:textId="77777777" w:rsidR="00312570" w:rsidRPr="00312570" w:rsidRDefault="00312570" w:rsidP="00312570">
      <w:pPr>
        <w:shd w:val="clear" w:color="auto" w:fill="FFFFFF"/>
        <w:spacing w:after="0" w:line="240" w:lineRule="auto"/>
        <w:ind w:firstLine="709"/>
        <w:jc w:val="both"/>
        <w:rPr>
          <w:rFonts w:ascii="Times New Roman" w:hAnsi="Times New Roman"/>
          <w:noProof/>
          <w:kern w:val="0"/>
          <w:sz w:val="24"/>
          <w:lang w:val="en-US"/>
        </w:rPr>
      </w:pPr>
      <w:r w:rsidRPr="00312570">
        <w:rPr>
          <w:rFonts w:ascii="Times New Roman" w:hAnsi="Times New Roman"/>
          <w:noProof/>
          <w:kern w:val="0"/>
          <w:sz w:val="24"/>
          <w:lang w:val="en-US"/>
        </w:rPr>
        <w:t>4.1.</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278"/>
        <w:gridCol w:w="418"/>
        <w:gridCol w:w="1116"/>
        <w:gridCol w:w="425"/>
        <w:gridCol w:w="2834"/>
      </w:tblGrid>
      <w:tr w:rsidR="00312570" w:rsidRPr="00312570" w14:paraId="7CD51770" w14:textId="77777777" w:rsidTr="0079260D">
        <w:tc>
          <w:tcPr>
            <w:tcW w:w="0" w:type="auto"/>
            <w:vMerge w:val="restart"/>
            <w:tcBorders>
              <w:top w:val="nil"/>
              <w:left w:val="nil"/>
              <w:bottom w:val="nil"/>
              <w:right w:val="nil"/>
            </w:tcBorders>
            <w:vAlign w:val="center"/>
            <w:hideMark/>
          </w:tcPr>
          <w:p w14:paraId="7C764051" w14:textId="77777777" w:rsidR="00312570" w:rsidRPr="00312570" w:rsidRDefault="00312570" w:rsidP="0079260D">
            <w:pPr>
              <w:spacing w:after="0" w:line="240" w:lineRule="auto"/>
              <w:ind w:firstLine="709"/>
              <w:jc w:val="right"/>
              <w:rPr>
                <w:rFonts w:ascii="Times New Roman" w:hAnsi="Times New Roman"/>
                <w:noProof/>
                <w:kern w:val="0"/>
                <w:sz w:val="24"/>
                <w:lang w:val="en-US"/>
              </w:rPr>
            </w:pPr>
            <w:r w:rsidRPr="00312570">
              <w:rPr>
                <w:rFonts w:ascii="Times New Roman" w:hAnsi="Times New Roman"/>
                <w:noProof/>
                <w:kern w:val="0"/>
                <w:sz w:val="24"/>
                <w:lang w:val="en-US"/>
              </w:rPr>
              <w:t xml:space="preserve">CMD = MD ×  </w:t>
            </w:r>
          </w:p>
        </w:tc>
        <w:tc>
          <w:tcPr>
            <w:tcW w:w="0" w:type="auto"/>
            <w:tcBorders>
              <w:top w:val="nil"/>
              <w:left w:val="nil"/>
              <w:bottom w:val="single" w:sz="6" w:space="0" w:color="414142"/>
              <w:right w:val="nil"/>
            </w:tcBorders>
            <w:vAlign w:val="bottom"/>
            <w:hideMark/>
          </w:tcPr>
          <w:p w14:paraId="5F8E614E" w14:textId="77777777" w:rsidR="00312570" w:rsidRPr="00312570" w:rsidRDefault="00312570" w:rsidP="0079260D">
            <w:pPr>
              <w:spacing w:after="0" w:line="240" w:lineRule="auto"/>
              <w:jc w:val="center"/>
              <w:rPr>
                <w:rFonts w:ascii="Times New Roman" w:hAnsi="Times New Roman"/>
                <w:noProof/>
                <w:kern w:val="0"/>
                <w:sz w:val="24"/>
                <w:lang w:val="en-US"/>
              </w:rPr>
            </w:pPr>
            <w:r w:rsidRPr="00312570">
              <w:rPr>
                <w:rFonts w:ascii="Times New Roman" w:hAnsi="Times New Roman"/>
                <w:noProof/>
                <w:kern w:val="0"/>
                <w:sz w:val="24"/>
                <w:lang w:val="en-US"/>
              </w:rPr>
              <w:t>B</w:t>
            </w:r>
          </w:p>
        </w:tc>
        <w:tc>
          <w:tcPr>
            <w:tcW w:w="615" w:type="pct"/>
            <w:vMerge w:val="restart"/>
            <w:tcBorders>
              <w:top w:val="nil"/>
              <w:left w:val="nil"/>
              <w:bottom w:val="nil"/>
              <w:right w:val="nil"/>
            </w:tcBorders>
            <w:vAlign w:val="center"/>
            <w:hideMark/>
          </w:tcPr>
          <w:p w14:paraId="7437CD2B" w14:textId="77777777" w:rsidR="00312570" w:rsidRPr="00312570" w:rsidRDefault="00312570" w:rsidP="0079260D">
            <w:pPr>
              <w:spacing w:after="0" w:line="240" w:lineRule="auto"/>
              <w:jc w:val="both"/>
              <w:rPr>
                <w:rFonts w:ascii="Times New Roman" w:hAnsi="Times New Roman"/>
                <w:noProof/>
                <w:kern w:val="0"/>
                <w:sz w:val="24"/>
                <w:lang w:val="en-US"/>
              </w:rPr>
            </w:pPr>
            <w:r w:rsidRPr="00312570">
              <w:rPr>
                <w:rFonts w:ascii="Times New Roman" w:hAnsi="Times New Roman"/>
                <w:noProof/>
                <w:kern w:val="0"/>
                <w:sz w:val="24"/>
                <w:lang w:val="en-US"/>
              </w:rPr>
              <w:t>× (1 + ∆ +</w:t>
            </w:r>
          </w:p>
        </w:tc>
        <w:tc>
          <w:tcPr>
            <w:tcW w:w="234" w:type="pct"/>
            <w:tcBorders>
              <w:top w:val="nil"/>
              <w:left w:val="nil"/>
              <w:bottom w:val="single" w:sz="6" w:space="0" w:color="414142"/>
              <w:right w:val="nil"/>
            </w:tcBorders>
            <w:vAlign w:val="bottom"/>
            <w:hideMark/>
          </w:tcPr>
          <w:p w14:paraId="1BC6D0AD" w14:textId="77777777" w:rsidR="00312570" w:rsidRPr="00312570" w:rsidRDefault="00312570" w:rsidP="0079260D">
            <w:pPr>
              <w:spacing w:after="0" w:line="240" w:lineRule="auto"/>
              <w:ind w:left="-47" w:firstLine="47"/>
              <w:jc w:val="center"/>
              <w:rPr>
                <w:rFonts w:ascii="Times New Roman" w:eastAsia="Times New Roman" w:hAnsi="Times New Roman" w:cs="Times New Roman"/>
                <w:noProof/>
                <w:kern w:val="0"/>
                <w:sz w:val="24"/>
                <w:szCs w:val="24"/>
                <w:lang w:val="en-US"/>
                <w14:ligatures w14:val="none"/>
              </w:rPr>
            </w:pPr>
            <w:r w:rsidRPr="00312570">
              <w:rPr>
                <w:rFonts w:ascii="Times New Roman" w:eastAsia="Times New Roman" w:hAnsi="Times New Roman" w:cs="Times New Roman"/>
                <w:noProof/>
                <w:kern w:val="0"/>
                <w:sz w:val="24"/>
                <w:szCs w:val="24"/>
                <w:lang w:val="en-US"/>
                <w14:ligatures w14:val="none"/>
              </w:rPr>
              <w:t>1</w:t>
            </w:r>
          </w:p>
        </w:tc>
        <w:tc>
          <w:tcPr>
            <w:tcW w:w="1562" w:type="pct"/>
            <w:vMerge w:val="restart"/>
            <w:tcBorders>
              <w:top w:val="nil"/>
              <w:left w:val="nil"/>
              <w:bottom w:val="nil"/>
              <w:right w:val="nil"/>
            </w:tcBorders>
            <w:vAlign w:val="center"/>
            <w:hideMark/>
          </w:tcPr>
          <w:p w14:paraId="35403F9C" w14:textId="77777777" w:rsidR="00312570" w:rsidRPr="00312570" w:rsidRDefault="00312570" w:rsidP="0079260D">
            <w:pPr>
              <w:spacing w:after="0" w:line="240" w:lineRule="auto"/>
              <w:jc w:val="both"/>
              <w:rPr>
                <w:rFonts w:ascii="Times New Roman" w:hAnsi="Times New Roman"/>
                <w:noProof/>
                <w:kern w:val="0"/>
                <w:sz w:val="24"/>
                <w:lang w:val="en-US"/>
              </w:rPr>
            </w:pPr>
            <w:r w:rsidRPr="00312570">
              <w:rPr>
                <w:rFonts w:ascii="Times New Roman" w:hAnsi="Times New Roman"/>
                <w:noProof/>
                <w:kern w:val="0"/>
                <w:sz w:val="24"/>
                <w:lang w:val="en-US"/>
              </w:rPr>
              <w:t>ГdB + Ψ)</w:t>
            </w:r>
          </w:p>
        </w:tc>
      </w:tr>
      <w:tr w:rsidR="00312570" w:rsidRPr="00312570" w14:paraId="52BC64E5" w14:textId="77777777" w:rsidTr="0079260D">
        <w:tc>
          <w:tcPr>
            <w:tcW w:w="0" w:type="auto"/>
            <w:vMerge/>
            <w:tcBorders>
              <w:top w:val="nil"/>
              <w:left w:val="nil"/>
              <w:bottom w:val="nil"/>
              <w:right w:val="nil"/>
            </w:tcBorders>
            <w:vAlign w:val="center"/>
            <w:hideMark/>
          </w:tcPr>
          <w:p w14:paraId="15F126BD" w14:textId="77777777" w:rsidR="00312570" w:rsidRPr="00312570" w:rsidRDefault="00312570" w:rsidP="0079260D">
            <w:pPr>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tc>
        <w:tc>
          <w:tcPr>
            <w:tcW w:w="0" w:type="auto"/>
            <w:tcBorders>
              <w:top w:val="outset" w:sz="6" w:space="0" w:color="414142"/>
              <w:left w:val="nil"/>
              <w:bottom w:val="nil"/>
              <w:right w:val="nil"/>
            </w:tcBorders>
            <w:hideMark/>
          </w:tcPr>
          <w:p w14:paraId="5F67EEA9" w14:textId="77777777" w:rsidR="00312570" w:rsidRPr="00312570" w:rsidRDefault="00312570" w:rsidP="0079260D">
            <w:pPr>
              <w:spacing w:after="0" w:line="240" w:lineRule="auto"/>
              <w:jc w:val="center"/>
              <w:rPr>
                <w:rFonts w:ascii="Times New Roman" w:hAnsi="Times New Roman"/>
                <w:noProof/>
                <w:kern w:val="0"/>
                <w:sz w:val="24"/>
                <w:lang w:val="en-US"/>
              </w:rPr>
            </w:pPr>
            <w:r w:rsidRPr="00312570">
              <w:rPr>
                <w:rFonts w:ascii="Times New Roman" w:hAnsi="Times New Roman"/>
                <w:noProof/>
                <w:kern w:val="0"/>
                <w:sz w:val="24"/>
                <w:lang w:val="en-US"/>
              </w:rPr>
              <w:t>P</w:t>
            </w:r>
          </w:p>
        </w:tc>
        <w:tc>
          <w:tcPr>
            <w:tcW w:w="615" w:type="pct"/>
            <w:vMerge/>
            <w:tcBorders>
              <w:top w:val="nil"/>
              <w:left w:val="nil"/>
              <w:bottom w:val="nil"/>
              <w:right w:val="nil"/>
            </w:tcBorders>
            <w:vAlign w:val="center"/>
            <w:hideMark/>
          </w:tcPr>
          <w:p w14:paraId="313BA69B" w14:textId="77777777" w:rsidR="00312570" w:rsidRPr="00312570" w:rsidRDefault="00312570" w:rsidP="0079260D">
            <w:pPr>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tc>
        <w:tc>
          <w:tcPr>
            <w:tcW w:w="234" w:type="pct"/>
            <w:tcBorders>
              <w:top w:val="outset" w:sz="6" w:space="0" w:color="414142"/>
              <w:left w:val="nil"/>
              <w:bottom w:val="nil"/>
              <w:right w:val="nil"/>
            </w:tcBorders>
            <w:hideMark/>
          </w:tcPr>
          <w:p w14:paraId="587360A6" w14:textId="77777777" w:rsidR="00312570" w:rsidRPr="00312570" w:rsidRDefault="00312570" w:rsidP="0079260D">
            <w:pPr>
              <w:spacing w:after="0" w:line="240" w:lineRule="auto"/>
              <w:ind w:left="-47" w:firstLine="47"/>
              <w:jc w:val="center"/>
              <w:rPr>
                <w:rFonts w:ascii="Times New Roman" w:hAnsi="Times New Roman"/>
                <w:noProof/>
                <w:kern w:val="0"/>
                <w:sz w:val="24"/>
                <w:lang w:val="en-US"/>
              </w:rPr>
            </w:pPr>
            <w:r w:rsidRPr="00312570">
              <w:rPr>
                <w:rFonts w:ascii="Times New Roman" w:hAnsi="Times New Roman"/>
                <w:noProof/>
                <w:kern w:val="0"/>
                <w:sz w:val="24"/>
                <w:lang w:val="en-US"/>
              </w:rPr>
              <w:t>2</w:t>
            </w:r>
          </w:p>
        </w:tc>
        <w:tc>
          <w:tcPr>
            <w:tcW w:w="1562" w:type="pct"/>
            <w:vMerge/>
            <w:tcBorders>
              <w:top w:val="nil"/>
              <w:left w:val="nil"/>
              <w:bottom w:val="nil"/>
              <w:right w:val="nil"/>
            </w:tcBorders>
            <w:vAlign w:val="center"/>
            <w:hideMark/>
          </w:tcPr>
          <w:p w14:paraId="5D4FA010" w14:textId="77777777" w:rsidR="00312570" w:rsidRPr="00312570" w:rsidRDefault="00312570" w:rsidP="0079260D">
            <w:pPr>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tc>
      </w:tr>
    </w:tbl>
    <w:p w14:paraId="2077924A" w14:textId="77777777" w:rsidR="00312570" w:rsidRPr="00312570" w:rsidRDefault="00312570" w:rsidP="00312570">
      <w:pPr>
        <w:shd w:val="clear" w:color="auto" w:fill="FFFFFF"/>
        <w:spacing w:after="0" w:line="240" w:lineRule="auto"/>
        <w:ind w:firstLine="709"/>
        <w:jc w:val="both"/>
        <w:rPr>
          <w:rFonts w:ascii="Times New Roman" w:hAnsi="Times New Roman"/>
          <w:noProof/>
          <w:kern w:val="0"/>
          <w:sz w:val="24"/>
          <w:lang w:val="en-US"/>
        </w:rPr>
      </w:pPr>
      <w:r w:rsidRPr="00312570">
        <w:rPr>
          <w:rFonts w:ascii="Times New Roman" w:hAnsi="Times New Roman"/>
          <w:noProof/>
          <w:kern w:val="0"/>
          <w:sz w:val="24"/>
          <w:lang w:val="en-US"/>
        </w:rPr>
        <w:t>where:</w:t>
      </w:r>
    </w:p>
    <w:p w14:paraId="2633E658" w14:textId="77777777" w:rsidR="00312570" w:rsidRPr="00312570" w:rsidRDefault="00312570" w:rsidP="00312570">
      <w:pPr>
        <w:shd w:val="clear" w:color="auto" w:fill="FFFFFF"/>
        <w:spacing w:after="0" w:line="240" w:lineRule="auto"/>
        <w:ind w:firstLine="709"/>
        <w:jc w:val="both"/>
        <w:rPr>
          <w:rFonts w:ascii="Times New Roman" w:hAnsi="Times New Roman"/>
          <w:noProof/>
          <w:kern w:val="0"/>
          <w:sz w:val="24"/>
          <w:lang w:val="en-US"/>
        </w:rPr>
      </w:pPr>
      <w:r w:rsidRPr="00312570">
        <w:rPr>
          <w:rFonts w:ascii="Times New Roman" w:hAnsi="Times New Roman"/>
          <w:noProof/>
          <w:kern w:val="0"/>
          <w:sz w:val="24"/>
          <w:lang w:val="en-US"/>
        </w:rPr>
        <w:t>CMD – corrected modified duration;</w:t>
      </w:r>
    </w:p>
    <w:p w14:paraId="3018800F" w14:textId="77777777" w:rsidR="00312570" w:rsidRPr="00312570" w:rsidRDefault="00312570" w:rsidP="00312570">
      <w:pPr>
        <w:shd w:val="clear" w:color="auto" w:fill="FFFFFF"/>
        <w:spacing w:after="0" w:line="240" w:lineRule="auto"/>
        <w:ind w:firstLine="709"/>
        <w:jc w:val="both"/>
        <w:rPr>
          <w:rFonts w:ascii="Times New Roman" w:hAnsi="Times New Roman"/>
          <w:noProof/>
          <w:kern w:val="0"/>
          <w:sz w:val="24"/>
          <w:lang w:val="en-US"/>
        </w:rPr>
      </w:pPr>
      <w:r w:rsidRPr="00312570">
        <w:rPr>
          <w:rFonts w:ascii="Times New Roman" w:hAnsi="Times New Roman"/>
          <w:noProof/>
          <w:kern w:val="0"/>
          <w:sz w:val="24"/>
          <w:lang w:val="en-US"/>
        </w:rPr>
        <w:t>MD </w:t>
      </w:r>
      <w:r w:rsidRPr="00312570">
        <w:rPr>
          <w:rFonts w:ascii="Times New Roman" w:hAnsi="Times New Roman" w:cs="Arial"/>
          <w:noProof/>
          <w:kern w:val="0"/>
          <w:sz w:val="24"/>
          <w:lang w:val="en-US"/>
        </w:rPr>
        <w:t>‒</w:t>
      </w:r>
      <w:r w:rsidRPr="00312570">
        <w:rPr>
          <w:rFonts w:ascii="Times New Roman" w:hAnsi="Times New Roman"/>
          <w:noProof/>
          <w:kern w:val="0"/>
          <w:sz w:val="24"/>
          <w:lang w:val="en-US"/>
        </w:rPr>
        <w:t xml:space="preserve"> modified duration calculated in accordance with the first subparagraph of Article</w:t>
      </w:r>
      <w:r w:rsidRPr="00312570">
        <w:rPr>
          <w:rFonts w:ascii="Times New Roman" w:hAnsi="Times New Roman" w:cs="Aptos"/>
          <w:noProof/>
          <w:kern w:val="0"/>
          <w:sz w:val="24"/>
          <w:lang w:val="en-US"/>
        </w:rPr>
        <w:t> </w:t>
      </w:r>
      <w:r w:rsidRPr="00312570">
        <w:rPr>
          <w:rFonts w:ascii="Times New Roman" w:hAnsi="Times New Roman"/>
          <w:noProof/>
          <w:kern w:val="0"/>
          <w:sz w:val="24"/>
          <w:lang w:val="en-US"/>
        </w:rPr>
        <w:t>340(3) of Regulation No</w:t>
      </w:r>
      <w:r w:rsidRPr="00312570">
        <w:rPr>
          <w:rFonts w:ascii="Times New Roman" w:hAnsi="Times New Roman" w:cs="Aptos"/>
          <w:noProof/>
          <w:kern w:val="0"/>
          <w:sz w:val="24"/>
          <w:lang w:val="en-US"/>
        </w:rPr>
        <w:t> </w:t>
      </w:r>
      <w:r w:rsidRPr="00312570">
        <w:rPr>
          <w:rFonts w:ascii="Times New Roman" w:hAnsi="Times New Roman"/>
          <w:noProof/>
          <w:kern w:val="0"/>
          <w:sz w:val="24"/>
          <w:lang w:val="en-US"/>
        </w:rPr>
        <w:t>575/2013;</w:t>
      </w:r>
    </w:p>
    <w:p w14:paraId="36F57ADE" w14:textId="77777777" w:rsidR="00312570" w:rsidRPr="00312570" w:rsidRDefault="00312570" w:rsidP="00312570">
      <w:pPr>
        <w:shd w:val="clear" w:color="auto" w:fill="FFFFFF"/>
        <w:spacing w:after="0" w:line="240" w:lineRule="auto"/>
        <w:ind w:firstLine="709"/>
        <w:jc w:val="both"/>
        <w:rPr>
          <w:rFonts w:ascii="Times New Roman" w:hAnsi="Times New Roman"/>
          <w:noProof/>
          <w:kern w:val="0"/>
          <w:sz w:val="24"/>
          <w:lang w:val="en-US"/>
        </w:rPr>
      </w:pPr>
      <w:r w:rsidRPr="00312570">
        <w:rPr>
          <w:rFonts w:ascii="Times New Roman" w:hAnsi="Times New Roman"/>
          <w:noProof/>
          <w:kern w:val="0"/>
          <w:sz w:val="24"/>
          <w:lang w:val="en-US"/>
        </w:rPr>
        <w:t>B </w:t>
      </w:r>
      <w:r w:rsidRPr="00312570">
        <w:rPr>
          <w:rFonts w:ascii="Times New Roman" w:hAnsi="Times New Roman" w:cs="Arial"/>
          <w:noProof/>
          <w:kern w:val="0"/>
          <w:sz w:val="24"/>
          <w:lang w:val="en-US"/>
        </w:rPr>
        <w:t>‒</w:t>
      </w:r>
      <w:r w:rsidRPr="00312570">
        <w:rPr>
          <w:rFonts w:ascii="Times New Roman" w:hAnsi="Times New Roman"/>
          <w:noProof/>
          <w:kern w:val="0"/>
          <w:sz w:val="24"/>
          <w:lang w:val="en-US"/>
        </w:rPr>
        <w:t xml:space="preserve"> theoretical market price of a vanilla bond;</w:t>
      </w:r>
    </w:p>
    <w:p w14:paraId="02777211" w14:textId="77777777" w:rsidR="00312570" w:rsidRPr="00312570" w:rsidRDefault="00312570" w:rsidP="00312570">
      <w:pPr>
        <w:shd w:val="clear" w:color="auto" w:fill="FFFFFF"/>
        <w:spacing w:after="0" w:line="240" w:lineRule="auto"/>
        <w:ind w:firstLine="709"/>
        <w:jc w:val="both"/>
        <w:rPr>
          <w:rFonts w:ascii="Times New Roman" w:hAnsi="Times New Roman"/>
          <w:noProof/>
          <w:kern w:val="0"/>
          <w:sz w:val="24"/>
          <w:lang w:val="en-US"/>
        </w:rPr>
      </w:pPr>
      <w:r w:rsidRPr="00312570">
        <w:rPr>
          <w:rFonts w:ascii="Times New Roman" w:hAnsi="Times New Roman"/>
          <w:noProof/>
          <w:kern w:val="0"/>
          <w:sz w:val="24"/>
          <w:lang w:val="en-US"/>
        </w:rPr>
        <w:t>P </w:t>
      </w:r>
      <w:r w:rsidRPr="00312570">
        <w:rPr>
          <w:rFonts w:ascii="Times New Roman" w:hAnsi="Times New Roman" w:cs="Arial"/>
          <w:noProof/>
          <w:kern w:val="0"/>
          <w:sz w:val="24"/>
          <w:lang w:val="en-US"/>
        </w:rPr>
        <w:t>‒</w:t>
      </w:r>
      <w:r w:rsidRPr="00312570">
        <w:rPr>
          <w:rFonts w:ascii="Times New Roman" w:hAnsi="Times New Roman"/>
          <w:noProof/>
          <w:kern w:val="0"/>
          <w:sz w:val="24"/>
          <w:lang w:val="en-US"/>
        </w:rPr>
        <w:t xml:space="preserve"> market price of a callable or puttable bond;</w:t>
      </w:r>
    </w:p>
    <w:p w14:paraId="3B5F9A5E" w14:textId="77777777" w:rsidR="00312570" w:rsidRPr="00312570" w:rsidRDefault="00312570" w:rsidP="00312570">
      <w:pPr>
        <w:shd w:val="clear" w:color="auto" w:fill="FFFFFF"/>
        <w:spacing w:after="0" w:line="240" w:lineRule="auto"/>
        <w:ind w:firstLine="709"/>
        <w:jc w:val="both"/>
        <w:rPr>
          <w:rFonts w:ascii="Times New Roman" w:hAnsi="Times New Roman"/>
          <w:noProof/>
          <w:kern w:val="0"/>
          <w:sz w:val="24"/>
          <w:lang w:val="en-US"/>
        </w:rPr>
      </w:pPr>
      <w:r w:rsidRPr="00312570">
        <w:rPr>
          <w:rFonts w:ascii="Times New Roman" w:hAnsi="Times New Roman"/>
          <w:noProof/>
          <w:kern w:val="0"/>
          <w:sz w:val="24"/>
          <w:lang w:val="en-US"/>
        </w:rPr>
        <w:t>Δ </w:t>
      </w:r>
      <w:r w:rsidRPr="00312570">
        <w:rPr>
          <w:rFonts w:ascii="Times New Roman" w:hAnsi="Times New Roman" w:cs="Arial"/>
          <w:noProof/>
          <w:kern w:val="0"/>
          <w:sz w:val="24"/>
          <w:lang w:val="en-US"/>
        </w:rPr>
        <w:t>‒</w:t>
      </w:r>
      <w:r w:rsidRPr="00312570">
        <w:rPr>
          <w:rFonts w:ascii="Times New Roman" w:hAnsi="Times New Roman"/>
          <w:noProof/>
          <w:kern w:val="0"/>
          <w:sz w:val="24"/>
          <w:lang w:val="en-US"/>
        </w:rPr>
        <w:t xml:space="preserve"> delta of the embedded option;</w:t>
      </w:r>
    </w:p>
    <w:p w14:paraId="5DB1D7B9" w14:textId="77777777" w:rsidR="00312570" w:rsidRPr="00312570" w:rsidRDefault="00312570" w:rsidP="00312570">
      <w:pPr>
        <w:shd w:val="clear" w:color="auto" w:fill="FFFFFF"/>
        <w:spacing w:after="0" w:line="240" w:lineRule="auto"/>
        <w:ind w:firstLine="709"/>
        <w:jc w:val="both"/>
        <w:rPr>
          <w:rFonts w:ascii="Times New Roman" w:hAnsi="Times New Roman"/>
          <w:noProof/>
          <w:kern w:val="0"/>
          <w:sz w:val="24"/>
          <w:lang w:val="en-US"/>
        </w:rPr>
      </w:pPr>
      <w:r w:rsidRPr="00312570">
        <w:rPr>
          <w:rFonts w:ascii="Times New Roman" w:hAnsi="Times New Roman"/>
          <w:noProof/>
          <w:kern w:val="0"/>
          <w:sz w:val="24"/>
          <w:lang w:val="en-US"/>
        </w:rPr>
        <w:t>Г </w:t>
      </w:r>
      <w:r w:rsidRPr="00312570">
        <w:rPr>
          <w:rFonts w:ascii="Times New Roman" w:hAnsi="Times New Roman" w:cs="Arial"/>
          <w:noProof/>
          <w:kern w:val="0"/>
          <w:sz w:val="24"/>
          <w:lang w:val="en-US"/>
        </w:rPr>
        <w:t>‒</w:t>
      </w:r>
      <w:r w:rsidRPr="00312570">
        <w:rPr>
          <w:rFonts w:ascii="Times New Roman" w:hAnsi="Times New Roman"/>
          <w:noProof/>
          <w:kern w:val="0"/>
          <w:sz w:val="24"/>
          <w:lang w:val="en-US"/>
        </w:rPr>
        <w:t xml:space="preserve"> gamma of the embedded option;</w:t>
      </w:r>
    </w:p>
    <w:p w14:paraId="0AADC14E" w14:textId="77777777" w:rsidR="00312570" w:rsidRPr="00312570" w:rsidRDefault="00312570" w:rsidP="00312570">
      <w:pPr>
        <w:shd w:val="clear" w:color="auto" w:fill="FFFFFF"/>
        <w:spacing w:after="0" w:line="240" w:lineRule="auto"/>
        <w:ind w:firstLine="709"/>
        <w:jc w:val="both"/>
        <w:rPr>
          <w:rFonts w:ascii="Times New Roman" w:hAnsi="Times New Roman"/>
          <w:noProof/>
          <w:kern w:val="0"/>
          <w:sz w:val="24"/>
          <w:lang w:val="en-US"/>
        </w:rPr>
      </w:pPr>
      <w:r w:rsidRPr="00312570">
        <w:rPr>
          <w:rFonts w:ascii="Times New Roman" w:hAnsi="Times New Roman"/>
          <w:noProof/>
          <w:kern w:val="0"/>
          <w:sz w:val="24"/>
          <w:lang w:val="en-US"/>
        </w:rPr>
        <w:t>dB </w:t>
      </w:r>
      <w:r w:rsidRPr="00312570">
        <w:rPr>
          <w:rFonts w:ascii="Times New Roman" w:hAnsi="Times New Roman" w:cs="Arial"/>
          <w:noProof/>
          <w:kern w:val="0"/>
          <w:sz w:val="24"/>
          <w:lang w:val="en-US"/>
        </w:rPr>
        <w:t>‒</w:t>
      </w:r>
      <w:r w:rsidRPr="00312570">
        <w:rPr>
          <w:rFonts w:ascii="Times New Roman" w:hAnsi="Times New Roman"/>
          <w:noProof/>
          <w:kern w:val="0"/>
          <w:sz w:val="24"/>
          <w:lang w:val="en-US"/>
        </w:rPr>
        <w:t xml:space="preserve"> change in the value of a vanilla bond;</w:t>
      </w:r>
    </w:p>
    <w:p w14:paraId="46DD92CB" w14:textId="77777777" w:rsidR="00312570" w:rsidRPr="00312570" w:rsidRDefault="00312570" w:rsidP="00312570">
      <w:pPr>
        <w:shd w:val="clear" w:color="auto" w:fill="FFFFFF"/>
        <w:spacing w:after="0" w:line="240" w:lineRule="auto"/>
        <w:ind w:firstLine="709"/>
        <w:jc w:val="both"/>
        <w:rPr>
          <w:rFonts w:ascii="Times New Roman" w:hAnsi="Times New Roman"/>
          <w:noProof/>
          <w:kern w:val="0"/>
          <w:sz w:val="24"/>
          <w:lang w:val="en-US"/>
        </w:rPr>
      </w:pPr>
      <w:r w:rsidRPr="00312570">
        <w:rPr>
          <w:rFonts w:ascii="Times New Roman" w:hAnsi="Times New Roman"/>
          <w:noProof/>
          <w:kern w:val="0"/>
          <w:sz w:val="24"/>
          <w:lang w:val="en-US"/>
        </w:rPr>
        <w:t>Ψ </w:t>
      </w:r>
      <w:r w:rsidRPr="00312570">
        <w:rPr>
          <w:rFonts w:ascii="Times New Roman" w:hAnsi="Times New Roman" w:cs="Arial"/>
          <w:noProof/>
          <w:kern w:val="0"/>
          <w:sz w:val="24"/>
          <w:lang w:val="en-US"/>
        </w:rPr>
        <w:t>‒</w:t>
      </w:r>
      <w:r w:rsidRPr="00312570">
        <w:rPr>
          <w:rFonts w:ascii="Times New Roman" w:hAnsi="Times New Roman"/>
          <w:noProof/>
          <w:kern w:val="0"/>
          <w:sz w:val="24"/>
          <w:lang w:val="en-US"/>
        </w:rPr>
        <w:t xml:space="preserve"> additional factor that describes the transaction costs and behavioural variables consistent with a change of 100</w:t>
      </w:r>
      <w:r w:rsidRPr="00312570">
        <w:rPr>
          <w:rFonts w:ascii="Times New Roman" w:hAnsi="Times New Roman" w:cs="Aptos"/>
          <w:noProof/>
          <w:kern w:val="0"/>
          <w:sz w:val="24"/>
          <w:lang w:val="en-US"/>
        </w:rPr>
        <w:t> </w:t>
      </w:r>
      <w:r w:rsidRPr="00312570">
        <w:rPr>
          <w:rFonts w:ascii="Times New Roman" w:hAnsi="Times New Roman"/>
          <w:noProof/>
          <w:kern w:val="0"/>
          <w:sz w:val="24"/>
          <w:lang w:val="en-US"/>
        </w:rPr>
        <w:t>basis points in the internal rate of return;</w:t>
      </w:r>
    </w:p>
    <w:p w14:paraId="3D555E32" w14:textId="77777777" w:rsidR="00312570" w:rsidRPr="00312570" w:rsidRDefault="00312570" w:rsidP="0031257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0B85F3" w14:textId="77777777" w:rsidR="00312570" w:rsidRPr="00312570" w:rsidRDefault="00312570" w:rsidP="00312570">
      <w:pPr>
        <w:shd w:val="clear" w:color="auto" w:fill="FFFFFF"/>
        <w:spacing w:after="0" w:line="240" w:lineRule="auto"/>
        <w:ind w:firstLine="709"/>
        <w:jc w:val="both"/>
        <w:rPr>
          <w:rFonts w:ascii="Times New Roman" w:hAnsi="Times New Roman"/>
          <w:noProof/>
          <w:kern w:val="0"/>
          <w:sz w:val="24"/>
          <w:lang w:val="en-US"/>
        </w:rPr>
      </w:pPr>
      <w:r w:rsidRPr="00312570">
        <w:rPr>
          <w:rFonts w:ascii="Times New Roman" w:hAnsi="Times New Roman"/>
          <w:noProof/>
          <w:kern w:val="0"/>
          <w:sz w:val="24"/>
          <w:lang w:val="en-US"/>
        </w:rPr>
        <w:t>4.2.</w:t>
      </w:r>
    </w:p>
    <w:p w14:paraId="481E7054" w14:textId="77777777" w:rsidR="00312570" w:rsidRPr="00312570" w:rsidRDefault="00312570" w:rsidP="00312570">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828"/>
        <w:gridCol w:w="1702"/>
        <w:gridCol w:w="3541"/>
      </w:tblGrid>
      <w:tr w:rsidR="00312570" w:rsidRPr="00312570" w14:paraId="1B8E0C04" w14:textId="77777777" w:rsidTr="0079260D">
        <w:tc>
          <w:tcPr>
            <w:tcW w:w="2110" w:type="pct"/>
            <w:vMerge w:val="restart"/>
            <w:tcBorders>
              <w:top w:val="nil"/>
              <w:left w:val="nil"/>
              <w:bottom w:val="nil"/>
              <w:right w:val="nil"/>
            </w:tcBorders>
            <w:vAlign w:val="center"/>
            <w:hideMark/>
          </w:tcPr>
          <w:p w14:paraId="52C81112" w14:textId="77777777" w:rsidR="00312570" w:rsidRPr="00312570" w:rsidRDefault="00312570" w:rsidP="0079260D">
            <w:pPr>
              <w:spacing w:after="0" w:line="240" w:lineRule="auto"/>
              <w:ind w:firstLine="709"/>
              <w:jc w:val="right"/>
              <w:rPr>
                <w:rFonts w:ascii="Times New Roman" w:hAnsi="Times New Roman"/>
                <w:noProof/>
                <w:kern w:val="0"/>
                <w:sz w:val="24"/>
                <w:lang w:val="en-US"/>
              </w:rPr>
            </w:pPr>
            <w:r w:rsidRPr="00312570">
              <w:rPr>
                <w:rFonts w:ascii="Times New Roman" w:hAnsi="Times New Roman"/>
                <w:noProof/>
                <w:kern w:val="0"/>
                <w:sz w:val="24"/>
                <w:lang w:val="en-US"/>
              </w:rPr>
              <w:t xml:space="preserve">CMD =  </w:t>
            </w:r>
          </w:p>
        </w:tc>
        <w:tc>
          <w:tcPr>
            <w:tcW w:w="938" w:type="pct"/>
            <w:tcBorders>
              <w:top w:val="nil"/>
              <w:left w:val="nil"/>
              <w:bottom w:val="single" w:sz="6" w:space="0" w:color="414142"/>
              <w:right w:val="nil"/>
            </w:tcBorders>
            <w:vAlign w:val="center"/>
            <w:hideMark/>
          </w:tcPr>
          <w:p w14:paraId="6043AF1C" w14:textId="77777777" w:rsidR="00312570" w:rsidRPr="00312570" w:rsidRDefault="00312570" w:rsidP="0079260D">
            <w:pPr>
              <w:spacing w:after="0" w:line="240" w:lineRule="auto"/>
              <w:jc w:val="center"/>
              <w:rPr>
                <w:rFonts w:ascii="Times New Roman" w:eastAsia="Times New Roman" w:hAnsi="Times New Roman" w:cs="Times New Roman"/>
                <w:noProof/>
                <w:kern w:val="0"/>
                <w:sz w:val="24"/>
                <w:szCs w:val="24"/>
                <w:lang w:val="en-US"/>
                <w14:ligatures w14:val="none"/>
              </w:rPr>
            </w:pPr>
            <w:r w:rsidRPr="00312570">
              <w:rPr>
                <w:rFonts w:ascii="Times New Roman" w:hAnsi="Times New Roman"/>
                <w:noProof/>
                <w:kern w:val="0"/>
                <w:sz w:val="24"/>
                <w:lang w:val="en-US"/>
              </w:rPr>
              <w:t>P ‒ </w:t>
            </w:r>
            <w:r w:rsidRPr="00312570">
              <w:rPr>
                <w:rFonts w:ascii="Times New Roman" w:hAnsi="Times New Roman"/>
                <w:noProof/>
                <w:kern w:val="0"/>
                <w:sz w:val="24"/>
                <w:vertAlign w:val="subscript"/>
                <w:lang w:val="en-US"/>
              </w:rPr>
              <w:t>Δr </w:t>
            </w:r>
            <w:r w:rsidRPr="00312570">
              <w:rPr>
                <w:rFonts w:ascii="Times New Roman" w:hAnsi="Times New Roman"/>
                <w:noProof/>
                <w:kern w:val="0"/>
                <w:sz w:val="24"/>
                <w:lang w:val="en-US"/>
              </w:rPr>
              <w:t>‒ P + </w:t>
            </w:r>
            <w:r w:rsidRPr="00312570">
              <w:rPr>
                <w:rFonts w:ascii="Times New Roman" w:hAnsi="Times New Roman"/>
                <w:noProof/>
                <w:kern w:val="0"/>
                <w:sz w:val="24"/>
                <w:vertAlign w:val="subscript"/>
                <w:lang w:val="en-US"/>
              </w:rPr>
              <w:t>Δr</w:t>
            </w:r>
          </w:p>
        </w:tc>
        <w:tc>
          <w:tcPr>
            <w:tcW w:w="1952" w:type="pct"/>
            <w:vMerge w:val="restart"/>
            <w:tcBorders>
              <w:top w:val="nil"/>
              <w:left w:val="nil"/>
              <w:bottom w:val="nil"/>
              <w:right w:val="nil"/>
            </w:tcBorders>
            <w:vAlign w:val="center"/>
            <w:hideMark/>
          </w:tcPr>
          <w:p w14:paraId="1FA1C1A1" w14:textId="77777777" w:rsidR="00312570" w:rsidRPr="00312570" w:rsidRDefault="00312570" w:rsidP="0079260D">
            <w:pPr>
              <w:spacing w:after="0" w:line="240" w:lineRule="auto"/>
              <w:jc w:val="both"/>
              <w:rPr>
                <w:rFonts w:ascii="Times New Roman" w:hAnsi="Times New Roman"/>
                <w:noProof/>
                <w:kern w:val="0"/>
                <w:sz w:val="24"/>
                <w:lang w:val="en-US"/>
              </w:rPr>
            </w:pPr>
            <w:r w:rsidRPr="00312570">
              <w:rPr>
                <w:rFonts w:ascii="Times New Roman" w:hAnsi="Times New Roman"/>
                <w:noProof/>
                <w:kern w:val="0"/>
                <w:sz w:val="24"/>
                <w:lang w:val="en-US"/>
              </w:rPr>
              <w:t>+ Ψ</w:t>
            </w:r>
          </w:p>
        </w:tc>
      </w:tr>
      <w:tr w:rsidR="00312570" w:rsidRPr="00312570" w14:paraId="56591D8E" w14:textId="77777777" w:rsidTr="0079260D">
        <w:tc>
          <w:tcPr>
            <w:tcW w:w="2110" w:type="pct"/>
            <w:vMerge/>
            <w:tcBorders>
              <w:top w:val="nil"/>
              <w:left w:val="nil"/>
              <w:bottom w:val="nil"/>
              <w:right w:val="nil"/>
            </w:tcBorders>
            <w:vAlign w:val="center"/>
            <w:hideMark/>
          </w:tcPr>
          <w:p w14:paraId="336FB6B7" w14:textId="77777777" w:rsidR="00312570" w:rsidRPr="00312570" w:rsidRDefault="00312570" w:rsidP="0079260D">
            <w:pPr>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tc>
        <w:tc>
          <w:tcPr>
            <w:tcW w:w="938" w:type="pct"/>
            <w:tcBorders>
              <w:top w:val="outset" w:sz="6" w:space="0" w:color="414142"/>
              <w:left w:val="nil"/>
              <w:bottom w:val="nil"/>
              <w:right w:val="nil"/>
            </w:tcBorders>
            <w:vAlign w:val="center"/>
            <w:hideMark/>
          </w:tcPr>
          <w:p w14:paraId="5FC16C56" w14:textId="77777777" w:rsidR="00312570" w:rsidRPr="00312570" w:rsidRDefault="00312570" w:rsidP="0079260D">
            <w:pPr>
              <w:spacing w:after="0" w:line="240" w:lineRule="auto"/>
              <w:jc w:val="center"/>
              <w:rPr>
                <w:rFonts w:ascii="Times New Roman" w:hAnsi="Times New Roman"/>
                <w:noProof/>
                <w:kern w:val="0"/>
                <w:sz w:val="24"/>
                <w:lang w:val="en-US"/>
              </w:rPr>
            </w:pPr>
            <w:r w:rsidRPr="00312570">
              <w:rPr>
                <w:rFonts w:ascii="Times New Roman" w:hAnsi="Times New Roman"/>
                <w:noProof/>
                <w:kern w:val="0"/>
                <w:sz w:val="24"/>
                <w:lang w:val="en-US"/>
              </w:rPr>
              <w:t>2 × P0 × Δr</w:t>
            </w:r>
          </w:p>
        </w:tc>
        <w:tc>
          <w:tcPr>
            <w:tcW w:w="1952" w:type="pct"/>
            <w:vMerge/>
            <w:tcBorders>
              <w:top w:val="nil"/>
              <w:left w:val="nil"/>
              <w:bottom w:val="nil"/>
              <w:right w:val="nil"/>
            </w:tcBorders>
            <w:vAlign w:val="center"/>
            <w:hideMark/>
          </w:tcPr>
          <w:p w14:paraId="1A6601A0" w14:textId="77777777" w:rsidR="00312570" w:rsidRPr="00312570" w:rsidRDefault="00312570" w:rsidP="0079260D">
            <w:pPr>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tc>
      </w:tr>
    </w:tbl>
    <w:p w14:paraId="33CFC6E6" w14:textId="77777777" w:rsidR="00312570" w:rsidRPr="00312570" w:rsidRDefault="00312570" w:rsidP="00312570">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450E3820" w14:textId="77777777" w:rsidR="00312570" w:rsidRPr="00312570" w:rsidRDefault="00312570" w:rsidP="00312570">
      <w:pPr>
        <w:shd w:val="clear" w:color="auto" w:fill="FFFFFF"/>
        <w:spacing w:after="0" w:line="240" w:lineRule="auto"/>
        <w:ind w:firstLine="709"/>
        <w:jc w:val="both"/>
        <w:rPr>
          <w:rFonts w:ascii="Times New Roman" w:hAnsi="Times New Roman"/>
          <w:noProof/>
          <w:kern w:val="0"/>
          <w:sz w:val="24"/>
          <w:lang w:val="en-US"/>
        </w:rPr>
      </w:pPr>
      <w:r w:rsidRPr="00312570">
        <w:rPr>
          <w:rFonts w:ascii="Times New Roman" w:hAnsi="Times New Roman"/>
          <w:noProof/>
          <w:kern w:val="0"/>
          <w:sz w:val="24"/>
          <w:lang w:val="en-US"/>
        </w:rPr>
        <w:t>where:</w:t>
      </w:r>
    </w:p>
    <w:p w14:paraId="4D8C03E8" w14:textId="77777777" w:rsidR="00312570" w:rsidRPr="00312570" w:rsidRDefault="00312570" w:rsidP="00312570">
      <w:pPr>
        <w:shd w:val="clear" w:color="auto" w:fill="FFFFFF"/>
        <w:spacing w:after="0" w:line="240" w:lineRule="auto"/>
        <w:ind w:firstLine="709"/>
        <w:jc w:val="both"/>
        <w:rPr>
          <w:rFonts w:ascii="Times New Roman" w:hAnsi="Times New Roman"/>
          <w:noProof/>
          <w:kern w:val="0"/>
          <w:sz w:val="24"/>
          <w:lang w:val="en-US"/>
        </w:rPr>
      </w:pPr>
      <w:r w:rsidRPr="00312570">
        <w:rPr>
          <w:rFonts w:ascii="Times New Roman" w:hAnsi="Times New Roman"/>
          <w:noProof/>
          <w:kern w:val="0"/>
          <w:sz w:val="24"/>
          <w:lang w:val="en-US"/>
        </w:rPr>
        <w:t>CMD – corrected modified duration;</w:t>
      </w:r>
    </w:p>
    <w:p w14:paraId="0F7EC4C9" w14:textId="77777777" w:rsidR="00312570" w:rsidRPr="00312570" w:rsidRDefault="00312570" w:rsidP="0031257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312570">
        <w:rPr>
          <w:rFonts w:ascii="Times New Roman" w:hAnsi="Times New Roman"/>
          <w:noProof/>
          <w:kern w:val="0"/>
          <w:sz w:val="24"/>
          <w:lang w:val="en-US"/>
        </w:rPr>
        <w:t>P</w:t>
      </w:r>
      <w:r w:rsidRPr="00312570">
        <w:rPr>
          <w:rFonts w:ascii="Times New Roman" w:hAnsi="Times New Roman"/>
          <w:noProof/>
          <w:kern w:val="0"/>
          <w:sz w:val="24"/>
          <w:vertAlign w:val="subscript"/>
          <w:lang w:val="en-US"/>
        </w:rPr>
        <w:t>0</w:t>
      </w:r>
      <w:r w:rsidRPr="00312570">
        <w:rPr>
          <w:rFonts w:ascii="Times New Roman" w:hAnsi="Times New Roman"/>
          <w:noProof/>
          <w:kern w:val="0"/>
          <w:sz w:val="24"/>
          <w:lang w:val="en-US"/>
        </w:rPr>
        <w:t> ‒ current market price of the debt instrument subject to prepayment risk;</w:t>
      </w:r>
    </w:p>
    <w:p w14:paraId="0D4FFCE8" w14:textId="77777777" w:rsidR="00312570" w:rsidRPr="00312570" w:rsidRDefault="00312570" w:rsidP="00312570">
      <w:pPr>
        <w:shd w:val="clear" w:color="auto" w:fill="FFFFFF"/>
        <w:spacing w:after="0" w:line="240" w:lineRule="auto"/>
        <w:ind w:firstLine="709"/>
        <w:jc w:val="both"/>
        <w:rPr>
          <w:rFonts w:ascii="Times New Roman" w:hAnsi="Times New Roman"/>
          <w:noProof/>
          <w:kern w:val="0"/>
          <w:sz w:val="24"/>
          <w:lang w:val="en-US"/>
        </w:rPr>
      </w:pPr>
      <w:r w:rsidRPr="00312570">
        <w:rPr>
          <w:rFonts w:ascii="Times New Roman" w:hAnsi="Times New Roman"/>
          <w:noProof/>
          <w:kern w:val="0"/>
          <w:sz w:val="24"/>
          <w:lang w:val="en-US"/>
        </w:rPr>
        <w:t>P</w:t>
      </w:r>
      <w:r w:rsidRPr="00312570">
        <w:rPr>
          <w:rFonts w:ascii="Times New Roman" w:hAnsi="Times New Roman"/>
          <w:noProof/>
          <w:kern w:val="0"/>
          <w:sz w:val="24"/>
          <w:lang w:val="en-US"/>
        </w:rPr>
        <w:drawing>
          <wp:inline distT="0" distB="0" distL="0" distR="0" wp14:anchorId="7C617EF8" wp14:editId="4350F072">
            <wp:extent cx="207010" cy="87630"/>
            <wp:effectExtent l="0" t="0" r="2540" b="7620"/>
            <wp:docPr id="1706181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87630"/>
                    </a:xfrm>
                    <a:prstGeom prst="rect">
                      <a:avLst/>
                    </a:prstGeom>
                    <a:noFill/>
                    <a:ln>
                      <a:noFill/>
                    </a:ln>
                  </pic:spPr>
                </pic:pic>
              </a:graphicData>
            </a:graphic>
          </wp:inline>
        </w:drawing>
      </w:r>
      <w:r w:rsidRPr="00312570">
        <w:rPr>
          <w:rFonts w:ascii="Times New Roman" w:hAnsi="Times New Roman"/>
          <w:noProof/>
          <w:kern w:val="0"/>
          <w:sz w:val="24"/>
          <w:lang w:val="en-US"/>
        </w:rPr>
        <w:t> – theoretical market price of the debt instrument subject to prepayment risk after a positive and a negative change in the internal rate of return by Δr;</w:t>
      </w:r>
    </w:p>
    <w:p w14:paraId="50A6185D" w14:textId="77777777" w:rsidR="00312570" w:rsidRPr="00312570" w:rsidRDefault="00312570" w:rsidP="00312570">
      <w:pPr>
        <w:shd w:val="clear" w:color="auto" w:fill="FFFFFF"/>
        <w:spacing w:after="0" w:line="240" w:lineRule="auto"/>
        <w:ind w:firstLine="709"/>
        <w:jc w:val="both"/>
        <w:rPr>
          <w:rFonts w:ascii="Times New Roman" w:hAnsi="Times New Roman"/>
          <w:noProof/>
          <w:kern w:val="0"/>
          <w:sz w:val="24"/>
          <w:lang w:val="en-US"/>
        </w:rPr>
      </w:pPr>
      <w:r w:rsidRPr="00312570">
        <w:rPr>
          <w:rFonts w:ascii="Times New Roman" w:hAnsi="Times New Roman"/>
          <w:noProof/>
          <w:kern w:val="0"/>
          <w:sz w:val="24"/>
          <w:lang w:val="en-US"/>
        </w:rPr>
        <w:t>Δr </w:t>
      </w:r>
      <w:r w:rsidRPr="00312570">
        <w:rPr>
          <w:rFonts w:ascii="Times New Roman" w:hAnsi="Times New Roman" w:cs="Arial"/>
          <w:noProof/>
          <w:kern w:val="0"/>
          <w:sz w:val="24"/>
          <w:lang w:val="en-US"/>
        </w:rPr>
        <w:t>‒</w:t>
      </w:r>
      <w:r w:rsidRPr="00312570">
        <w:rPr>
          <w:rFonts w:ascii="Times New Roman" w:hAnsi="Times New Roman"/>
          <w:noProof/>
          <w:kern w:val="0"/>
          <w:sz w:val="24"/>
          <w:lang w:val="en-US"/>
        </w:rPr>
        <w:t xml:space="preserve"> change of 50</w:t>
      </w:r>
      <w:r w:rsidRPr="00312570">
        <w:rPr>
          <w:rFonts w:ascii="Times New Roman" w:hAnsi="Times New Roman" w:cs="Aptos"/>
          <w:noProof/>
          <w:kern w:val="0"/>
          <w:sz w:val="24"/>
          <w:lang w:val="en-US"/>
        </w:rPr>
        <w:t> </w:t>
      </w:r>
      <w:r w:rsidRPr="00312570">
        <w:rPr>
          <w:rFonts w:ascii="Times New Roman" w:hAnsi="Times New Roman"/>
          <w:noProof/>
          <w:kern w:val="0"/>
          <w:sz w:val="24"/>
          <w:lang w:val="en-US"/>
        </w:rPr>
        <w:t>basis points in the internal rate of return;</w:t>
      </w:r>
    </w:p>
    <w:p w14:paraId="0F017796" w14:textId="77777777" w:rsidR="00312570" w:rsidRPr="00312570" w:rsidRDefault="00312570" w:rsidP="00312570">
      <w:pPr>
        <w:shd w:val="clear" w:color="auto" w:fill="FFFFFF"/>
        <w:spacing w:after="0" w:line="240" w:lineRule="auto"/>
        <w:ind w:firstLine="709"/>
        <w:jc w:val="both"/>
        <w:rPr>
          <w:rFonts w:ascii="Times New Roman" w:hAnsi="Times New Roman"/>
          <w:noProof/>
          <w:kern w:val="0"/>
          <w:sz w:val="24"/>
          <w:lang w:val="en-US"/>
        </w:rPr>
      </w:pPr>
      <w:r w:rsidRPr="00312570">
        <w:rPr>
          <w:rFonts w:ascii="Times New Roman" w:hAnsi="Times New Roman"/>
          <w:noProof/>
          <w:kern w:val="0"/>
          <w:sz w:val="24"/>
          <w:lang w:val="en-US"/>
        </w:rPr>
        <w:t>Ψ </w:t>
      </w:r>
      <w:r w:rsidRPr="00312570">
        <w:rPr>
          <w:rFonts w:ascii="Times New Roman" w:hAnsi="Times New Roman" w:cs="Arial"/>
          <w:noProof/>
          <w:kern w:val="0"/>
          <w:sz w:val="24"/>
          <w:lang w:val="en-US"/>
        </w:rPr>
        <w:t>‒</w:t>
      </w:r>
      <w:r w:rsidRPr="00312570">
        <w:rPr>
          <w:rFonts w:ascii="Times New Roman" w:hAnsi="Times New Roman"/>
          <w:noProof/>
          <w:kern w:val="0"/>
          <w:sz w:val="24"/>
          <w:lang w:val="en-US"/>
        </w:rPr>
        <w:t xml:space="preserve"> additional factor that describes the transaction costs and behavioural variables consistent with a change of 100</w:t>
      </w:r>
      <w:r w:rsidRPr="00312570">
        <w:rPr>
          <w:rFonts w:ascii="Times New Roman" w:hAnsi="Times New Roman" w:cs="Aptos"/>
          <w:noProof/>
          <w:kern w:val="0"/>
          <w:sz w:val="24"/>
          <w:lang w:val="en-US"/>
        </w:rPr>
        <w:t> </w:t>
      </w:r>
      <w:r w:rsidRPr="00312570">
        <w:rPr>
          <w:rFonts w:ascii="Times New Roman" w:hAnsi="Times New Roman"/>
          <w:noProof/>
          <w:kern w:val="0"/>
          <w:sz w:val="24"/>
          <w:lang w:val="en-US"/>
        </w:rPr>
        <w:t>basis points in the internal rate of return.</w:t>
      </w:r>
    </w:p>
    <w:p w14:paraId="46557A20" w14:textId="77777777" w:rsidR="00312570" w:rsidRPr="00312570" w:rsidRDefault="00312570" w:rsidP="0031257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1224742"/>
      <w:bookmarkEnd w:id="8"/>
    </w:p>
    <w:p w14:paraId="583B0626" w14:textId="77777777" w:rsidR="00312570" w:rsidRPr="00312570" w:rsidRDefault="00312570" w:rsidP="00312570">
      <w:pPr>
        <w:shd w:val="clear" w:color="auto" w:fill="FFFFFF"/>
        <w:spacing w:after="0" w:line="240" w:lineRule="auto"/>
        <w:jc w:val="both"/>
        <w:rPr>
          <w:rFonts w:ascii="Times New Roman" w:hAnsi="Times New Roman"/>
          <w:noProof/>
          <w:kern w:val="0"/>
          <w:sz w:val="24"/>
          <w:lang w:val="en-US"/>
        </w:rPr>
      </w:pPr>
      <w:r w:rsidRPr="00312570">
        <w:rPr>
          <w:rFonts w:ascii="Times New Roman" w:hAnsi="Times New Roman"/>
          <w:noProof/>
          <w:kern w:val="0"/>
          <w:sz w:val="24"/>
          <w:lang w:val="en-US"/>
        </w:rPr>
        <w:t>5. When following a standardised method to calculate the own funds requirement against the general risk on debt instruments under the duration-based approach, the institution shall assess and document whether the debt instruments and behavioural variables materially affect the corrected modified duration and shall, where necessary, determine the additional factor Ψ. If the institution has the right to demand prepayment of the debt instrument’s principal, the additional factor for the embedded optionality shall not be determined.</w:t>
      </w:r>
      <w:bookmarkStart w:id="9" w:name="p5"/>
      <w:bookmarkEnd w:id="9"/>
    </w:p>
    <w:p w14:paraId="6B67C88D" w14:textId="77777777" w:rsidR="00312570" w:rsidRPr="00312570" w:rsidRDefault="00312570" w:rsidP="0031257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1224743"/>
      <w:bookmarkEnd w:id="10"/>
    </w:p>
    <w:p w14:paraId="0785C6E2" w14:textId="77777777" w:rsidR="00312570" w:rsidRPr="00312570" w:rsidRDefault="00312570" w:rsidP="00312570">
      <w:pPr>
        <w:shd w:val="clear" w:color="auto" w:fill="FFFFFF"/>
        <w:spacing w:after="0" w:line="240" w:lineRule="auto"/>
        <w:jc w:val="both"/>
        <w:rPr>
          <w:rFonts w:ascii="Times New Roman" w:hAnsi="Times New Roman"/>
          <w:noProof/>
          <w:kern w:val="0"/>
          <w:sz w:val="24"/>
          <w:lang w:val="en-US"/>
        </w:rPr>
      </w:pPr>
      <w:r w:rsidRPr="00312570">
        <w:rPr>
          <w:rFonts w:ascii="Times New Roman" w:hAnsi="Times New Roman"/>
          <w:noProof/>
          <w:kern w:val="0"/>
          <w:sz w:val="24"/>
          <w:lang w:val="en-US"/>
        </w:rPr>
        <w:t>6. When determining the additional factor Ψ in accordance with Sub-paragraph 4.2 of this Regulation, the institution shall take into account that the transaction costs reduce the optionality value of a callable or puttable bond and that certain customers, retail clients in particular, may, in some cases, not take advantage of the optionality even though it is financially beneficial.</w:t>
      </w:r>
      <w:bookmarkStart w:id="11" w:name="p6"/>
      <w:bookmarkEnd w:id="11"/>
    </w:p>
    <w:p w14:paraId="322B70BE" w14:textId="77777777" w:rsidR="00312570" w:rsidRPr="00312570" w:rsidRDefault="00312570" w:rsidP="0031257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1224744"/>
      <w:bookmarkEnd w:id="12"/>
    </w:p>
    <w:p w14:paraId="4790FC0B" w14:textId="77777777" w:rsidR="00312570" w:rsidRPr="00312570" w:rsidRDefault="00312570" w:rsidP="00312570">
      <w:pPr>
        <w:shd w:val="clear" w:color="auto" w:fill="FFFFFF"/>
        <w:spacing w:after="0" w:line="240" w:lineRule="auto"/>
        <w:jc w:val="both"/>
        <w:rPr>
          <w:rFonts w:ascii="Times New Roman" w:hAnsi="Times New Roman"/>
          <w:noProof/>
          <w:kern w:val="0"/>
          <w:sz w:val="24"/>
          <w:lang w:val="en-US"/>
        </w:rPr>
      </w:pPr>
      <w:r w:rsidRPr="00312570">
        <w:rPr>
          <w:rFonts w:ascii="Times New Roman" w:hAnsi="Times New Roman"/>
          <w:noProof/>
          <w:kern w:val="0"/>
          <w:sz w:val="24"/>
          <w:lang w:val="en-US"/>
        </w:rPr>
        <w:t>7. The institution shall ensure that by incorporating the additional factor Ψ into the calculations according to Sub-paragraphs 4.1 and 4.2 of this Regulation the corrected modified duration is not shorter than the corrected modified duration calculated without incorporating the additional factor Ψ.</w:t>
      </w:r>
      <w:bookmarkStart w:id="13" w:name="p7"/>
      <w:bookmarkEnd w:id="13"/>
    </w:p>
    <w:p w14:paraId="202215BA" w14:textId="77777777" w:rsidR="00312570" w:rsidRPr="00312570" w:rsidRDefault="00312570" w:rsidP="0031257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1224745"/>
      <w:bookmarkEnd w:id="14"/>
    </w:p>
    <w:p w14:paraId="56A85158" w14:textId="77777777" w:rsidR="00312570" w:rsidRPr="00312570" w:rsidRDefault="00312570" w:rsidP="00312570">
      <w:pPr>
        <w:shd w:val="clear" w:color="auto" w:fill="FFFFFF"/>
        <w:spacing w:after="0" w:line="240" w:lineRule="auto"/>
        <w:jc w:val="both"/>
        <w:rPr>
          <w:rFonts w:ascii="Times New Roman" w:hAnsi="Times New Roman"/>
          <w:noProof/>
          <w:kern w:val="0"/>
          <w:sz w:val="24"/>
          <w:lang w:val="en-US"/>
        </w:rPr>
      </w:pPr>
      <w:r w:rsidRPr="00312570">
        <w:rPr>
          <w:rFonts w:ascii="Times New Roman" w:hAnsi="Times New Roman"/>
          <w:noProof/>
          <w:kern w:val="0"/>
          <w:sz w:val="24"/>
          <w:lang w:val="en-US"/>
        </w:rPr>
        <w:t>8. The institution shall determine the additional factor Ψ based on internal or external data sources. Information on other balance sheet items subject to prepayment risk, such as the positions held in the non-trading book, inter alia loans, within the meaning of Regulation No 575/2013, is considered a suitable internal data source.</w:t>
      </w:r>
      <w:bookmarkStart w:id="15" w:name="p8"/>
      <w:bookmarkEnd w:id="15"/>
    </w:p>
    <w:p w14:paraId="12456F78" w14:textId="77777777" w:rsidR="00312570" w:rsidRPr="00312570" w:rsidRDefault="00312570" w:rsidP="0031257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1224746"/>
      <w:bookmarkEnd w:id="16"/>
    </w:p>
    <w:p w14:paraId="0CD2018C" w14:textId="77777777" w:rsidR="00312570" w:rsidRPr="00312570" w:rsidRDefault="00312570" w:rsidP="00312570">
      <w:pPr>
        <w:shd w:val="clear" w:color="auto" w:fill="FFFFFF"/>
        <w:spacing w:after="0" w:line="240" w:lineRule="auto"/>
        <w:jc w:val="both"/>
        <w:rPr>
          <w:rFonts w:ascii="Times New Roman" w:hAnsi="Times New Roman"/>
          <w:noProof/>
          <w:kern w:val="0"/>
          <w:sz w:val="24"/>
          <w:lang w:val="en-US"/>
        </w:rPr>
      </w:pPr>
      <w:r w:rsidRPr="00312570">
        <w:rPr>
          <w:rFonts w:ascii="Times New Roman" w:hAnsi="Times New Roman"/>
          <w:noProof/>
          <w:kern w:val="0"/>
          <w:sz w:val="24"/>
          <w:lang w:val="en-US"/>
        </w:rPr>
        <w:t>9. To calibrate the additional factor Ψ, the institution shall evaluate divergences between the real observed historical behaviour of a specific customer group and the theoretical expected behaviour of a customer group that acts rationally. The institution shall calibrate the additional factor Ψ if at least the following conditions are met:</w:t>
      </w:r>
      <w:bookmarkStart w:id="17" w:name="p9"/>
      <w:bookmarkEnd w:id="17"/>
    </w:p>
    <w:p w14:paraId="6F921F1D" w14:textId="77777777" w:rsidR="00312570" w:rsidRPr="00312570" w:rsidRDefault="00312570" w:rsidP="00312570">
      <w:pPr>
        <w:shd w:val="clear" w:color="auto" w:fill="FFFFFF"/>
        <w:spacing w:after="0" w:line="240" w:lineRule="auto"/>
        <w:ind w:firstLine="709"/>
        <w:jc w:val="both"/>
        <w:rPr>
          <w:rFonts w:ascii="Times New Roman" w:hAnsi="Times New Roman"/>
          <w:noProof/>
          <w:kern w:val="0"/>
          <w:sz w:val="24"/>
          <w:lang w:val="en-US"/>
        </w:rPr>
      </w:pPr>
      <w:r w:rsidRPr="00312570">
        <w:rPr>
          <w:rFonts w:ascii="Times New Roman" w:hAnsi="Times New Roman"/>
          <w:noProof/>
          <w:kern w:val="0"/>
          <w:sz w:val="24"/>
          <w:lang w:val="en-US"/>
        </w:rPr>
        <w:t>9.1. the trading portfolio contains a significant number of debt instruments subject to prepayment risk;</w:t>
      </w:r>
    </w:p>
    <w:p w14:paraId="53C091C5" w14:textId="77777777" w:rsidR="00312570" w:rsidRPr="00312570" w:rsidRDefault="00312570" w:rsidP="00312570">
      <w:pPr>
        <w:shd w:val="clear" w:color="auto" w:fill="FFFFFF"/>
        <w:spacing w:after="0" w:line="240" w:lineRule="auto"/>
        <w:ind w:firstLine="709"/>
        <w:jc w:val="both"/>
        <w:rPr>
          <w:rFonts w:ascii="Times New Roman" w:hAnsi="Times New Roman"/>
          <w:noProof/>
          <w:kern w:val="0"/>
          <w:sz w:val="24"/>
          <w:lang w:val="en-US"/>
        </w:rPr>
      </w:pPr>
      <w:r w:rsidRPr="00312570">
        <w:rPr>
          <w:rFonts w:ascii="Times New Roman" w:hAnsi="Times New Roman"/>
          <w:noProof/>
          <w:kern w:val="0"/>
          <w:sz w:val="24"/>
          <w:lang w:val="en-US"/>
        </w:rPr>
        <w:t>9.2. the counterparty is a retail client.</w:t>
      </w:r>
    </w:p>
    <w:p w14:paraId="1DA524AF" w14:textId="77777777" w:rsidR="00312570" w:rsidRPr="00312570" w:rsidRDefault="00312570" w:rsidP="0031257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1224747"/>
      <w:bookmarkEnd w:id="18"/>
    </w:p>
    <w:p w14:paraId="637D198D" w14:textId="77777777" w:rsidR="00312570" w:rsidRPr="00312570" w:rsidRDefault="00312570" w:rsidP="00312570">
      <w:pPr>
        <w:shd w:val="clear" w:color="auto" w:fill="FFFFFF"/>
        <w:spacing w:after="0" w:line="240" w:lineRule="auto"/>
        <w:jc w:val="both"/>
        <w:rPr>
          <w:rFonts w:ascii="Times New Roman" w:hAnsi="Times New Roman"/>
          <w:noProof/>
          <w:kern w:val="0"/>
          <w:sz w:val="24"/>
          <w:lang w:val="en-US"/>
        </w:rPr>
      </w:pPr>
      <w:r w:rsidRPr="00312570">
        <w:rPr>
          <w:rFonts w:ascii="Times New Roman" w:hAnsi="Times New Roman"/>
          <w:noProof/>
          <w:kern w:val="0"/>
          <w:sz w:val="24"/>
          <w:lang w:val="en-US"/>
        </w:rPr>
        <w:t>10. The Financial and Capital Market Commission’s Regulation No. 104 of 21 July 2020, Regulations for Corrections to Modified Duration for Debt Instruments (</w:t>
      </w:r>
      <w:r w:rsidRPr="00312570">
        <w:rPr>
          <w:rFonts w:ascii="Times New Roman" w:hAnsi="Times New Roman"/>
          <w:i/>
          <w:iCs/>
          <w:noProof/>
          <w:kern w:val="0"/>
          <w:sz w:val="24"/>
          <w:lang w:val="en-US"/>
        </w:rPr>
        <w:t>Latvijas Vēstnesis</w:t>
      </w:r>
      <w:r w:rsidRPr="00312570">
        <w:rPr>
          <w:rFonts w:ascii="Times New Roman" w:hAnsi="Times New Roman"/>
          <w:noProof/>
          <w:kern w:val="0"/>
          <w:sz w:val="24"/>
          <w:lang w:val="en-US"/>
        </w:rPr>
        <w:t>, 2020, No. 143, 2022, No. 126), is repealed.</w:t>
      </w:r>
      <w:bookmarkStart w:id="19" w:name="p10"/>
      <w:bookmarkEnd w:id="19"/>
    </w:p>
    <w:p w14:paraId="514A171B" w14:textId="77777777" w:rsidR="00312570" w:rsidRPr="00312570" w:rsidRDefault="00312570" w:rsidP="00312570">
      <w:pPr>
        <w:shd w:val="clear" w:color="auto" w:fill="FFFFFF"/>
        <w:spacing w:after="0" w:line="240" w:lineRule="auto"/>
        <w:jc w:val="both"/>
        <w:rPr>
          <w:rFonts w:ascii="Times New Roman" w:hAnsi="Times New Roman"/>
          <w:noProof/>
          <w:kern w:val="0"/>
          <w:sz w:val="24"/>
          <w:lang w:val="en-US"/>
        </w:rPr>
      </w:pPr>
    </w:p>
    <w:p w14:paraId="22653B54" w14:textId="77777777" w:rsidR="00312570" w:rsidRPr="00312570" w:rsidRDefault="00312570" w:rsidP="00312570">
      <w:pPr>
        <w:shd w:val="clear" w:color="auto" w:fill="FFFFFF"/>
        <w:spacing w:after="0" w:line="240" w:lineRule="auto"/>
        <w:jc w:val="both"/>
        <w:rPr>
          <w:rFonts w:ascii="Times New Roman" w:hAnsi="Times New Roman"/>
          <w:noProof/>
          <w:kern w:val="0"/>
          <w:sz w:val="24"/>
          <w:lang w:val="en-US"/>
        </w:rPr>
      </w:pPr>
    </w:p>
    <w:p w14:paraId="20A1DB29" w14:textId="77777777" w:rsidR="00312570" w:rsidRPr="00312570" w:rsidRDefault="00312570" w:rsidP="00312570">
      <w:pPr>
        <w:shd w:val="clear" w:color="auto" w:fill="FFFFFF"/>
        <w:tabs>
          <w:tab w:val="left" w:pos="8222"/>
        </w:tabs>
        <w:spacing w:after="0" w:line="240" w:lineRule="auto"/>
        <w:jc w:val="both"/>
        <w:rPr>
          <w:rFonts w:ascii="Times New Roman" w:hAnsi="Times New Roman"/>
          <w:noProof/>
          <w:kern w:val="0"/>
          <w:sz w:val="24"/>
          <w:lang w:val="en-US"/>
        </w:rPr>
      </w:pPr>
      <w:r w:rsidRPr="00312570">
        <w:rPr>
          <w:rFonts w:ascii="Times New Roman" w:hAnsi="Times New Roman"/>
          <w:noProof/>
          <w:kern w:val="0"/>
          <w:sz w:val="24"/>
          <w:lang w:val="en-US"/>
        </w:rPr>
        <w:t>Deputy Governor of Latvijas Banka</w:t>
      </w:r>
      <w:r w:rsidRPr="00312570">
        <w:rPr>
          <w:rFonts w:ascii="Times New Roman" w:hAnsi="Times New Roman"/>
          <w:noProof/>
          <w:kern w:val="0"/>
          <w:sz w:val="24"/>
          <w:lang w:val="en-US"/>
        </w:rPr>
        <w:tab/>
        <w:t>M. Kālis</w:t>
      </w:r>
    </w:p>
    <w:sectPr w:rsidR="00312570" w:rsidRPr="00312570" w:rsidSect="00F71248">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3DA3B" w14:textId="77777777" w:rsidR="001C52CB" w:rsidRPr="00312570" w:rsidRDefault="001C52CB" w:rsidP="00AD3EA5">
      <w:pPr>
        <w:spacing w:after="0" w:line="240" w:lineRule="auto"/>
        <w:rPr>
          <w:noProof/>
          <w:kern w:val="0"/>
          <w:lang w:val="en-US"/>
        </w:rPr>
      </w:pPr>
      <w:r w:rsidRPr="00312570">
        <w:rPr>
          <w:noProof/>
          <w:kern w:val="0"/>
          <w:lang w:val="en-US"/>
        </w:rPr>
        <w:separator/>
      </w:r>
    </w:p>
  </w:endnote>
  <w:endnote w:type="continuationSeparator" w:id="0">
    <w:p w14:paraId="728649B8" w14:textId="77777777" w:rsidR="001C52CB" w:rsidRPr="00312570" w:rsidRDefault="001C52CB" w:rsidP="00AD3EA5">
      <w:pPr>
        <w:spacing w:after="0" w:line="240" w:lineRule="auto"/>
        <w:rPr>
          <w:noProof/>
          <w:kern w:val="0"/>
          <w:lang w:val="en-US"/>
        </w:rPr>
      </w:pPr>
      <w:r w:rsidRPr="00312570">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B90C5" w14:textId="77777777" w:rsidR="00312570" w:rsidRDefault="003125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F609D" w14:textId="77777777" w:rsidR="00260CF3" w:rsidRPr="00312570" w:rsidRDefault="00260CF3" w:rsidP="00260CF3">
    <w:pPr>
      <w:pStyle w:val="Footer"/>
      <w:tabs>
        <w:tab w:val="right" w:pos="9072"/>
      </w:tabs>
      <w:rPr>
        <w:rFonts w:ascii="Times New Roman" w:hAnsi="Times New Roman"/>
        <w:noProof/>
        <w:kern w:val="0"/>
        <w:sz w:val="20"/>
        <w:lang w:val="en-US"/>
      </w:rPr>
    </w:pPr>
  </w:p>
  <w:p w14:paraId="3E74D8FF" w14:textId="05BFE928" w:rsidR="00132345" w:rsidRPr="00312570" w:rsidRDefault="00260CF3" w:rsidP="00260CF3">
    <w:pPr>
      <w:pStyle w:val="Footer"/>
      <w:tabs>
        <w:tab w:val="clear" w:pos="8306"/>
        <w:tab w:val="right" w:pos="9071"/>
      </w:tabs>
      <w:rPr>
        <w:rFonts w:ascii="Times New Roman" w:hAnsi="Times New Roman"/>
        <w:noProof/>
        <w:kern w:val="0"/>
        <w:sz w:val="20"/>
        <w:lang w:val="en-US"/>
      </w:rPr>
    </w:pPr>
    <w:r w:rsidRPr="00312570">
      <w:rPr>
        <w:rFonts w:ascii="Times New Roman" w:hAnsi="Times New Roman"/>
        <w:noProof/>
        <w:kern w:val="0"/>
        <w:sz w:val="20"/>
        <w:lang w:val="en-US"/>
      </w:rPr>
      <w:t xml:space="preserve">Translation </w:t>
    </w:r>
    <w:r w:rsidRPr="00312570">
      <w:rPr>
        <w:rFonts w:ascii="Times New Roman" w:hAnsi="Times New Roman"/>
        <w:noProof/>
        <w:kern w:val="0"/>
        <w:sz w:val="20"/>
        <w:lang w:val="en-US"/>
      </w:rPr>
      <w:fldChar w:fldCharType="begin"/>
    </w:r>
    <w:r w:rsidRPr="00312570">
      <w:rPr>
        <w:rFonts w:ascii="Times New Roman" w:hAnsi="Times New Roman"/>
        <w:noProof/>
        <w:kern w:val="0"/>
        <w:sz w:val="20"/>
        <w:lang w:val="en-US"/>
      </w:rPr>
      <w:instrText>symbol 169 \f "UnivrstyRoman TL" \s 8</w:instrText>
    </w:r>
    <w:r w:rsidRPr="00312570">
      <w:rPr>
        <w:rFonts w:ascii="Times New Roman" w:hAnsi="Times New Roman"/>
        <w:noProof/>
        <w:kern w:val="0"/>
        <w:sz w:val="20"/>
        <w:lang w:val="en-US"/>
      </w:rPr>
      <w:fldChar w:fldCharType="separate"/>
    </w:r>
    <w:r w:rsidRPr="00312570">
      <w:rPr>
        <w:rFonts w:ascii="Times New Roman" w:hAnsi="Times New Roman"/>
        <w:noProof/>
        <w:kern w:val="0"/>
        <w:sz w:val="20"/>
        <w:lang w:val="en-US"/>
      </w:rPr>
      <w:t>©</w:t>
    </w:r>
    <w:r w:rsidRPr="00312570">
      <w:rPr>
        <w:rFonts w:ascii="Times New Roman" w:hAnsi="Times New Roman"/>
        <w:noProof/>
        <w:kern w:val="0"/>
        <w:sz w:val="20"/>
        <w:lang w:val="en-US"/>
      </w:rPr>
      <w:fldChar w:fldCharType="end"/>
    </w:r>
    <w:r w:rsidRPr="00312570">
      <w:rPr>
        <w:rFonts w:ascii="Times New Roman" w:hAnsi="Times New Roman"/>
        <w:noProof/>
        <w:kern w:val="0"/>
        <w:sz w:val="20"/>
        <w:lang w:val="en-US"/>
      </w:rPr>
      <w:t xml:space="preserve"> 2024 Valsts valodas centrs (State Language Centre)</w:t>
    </w:r>
    <w:r w:rsidRPr="00312570">
      <w:rPr>
        <w:rFonts w:ascii="Times New Roman" w:hAnsi="Times New Roman"/>
        <w:noProof/>
        <w:kern w:val="0"/>
        <w:sz w:val="20"/>
        <w:lang w:val="en-US"/>
      </w:rPr>
      <w:tab/>
    </w:r>
    <w:r w:rsidRPr="00312570">
      <w:rPr>
        <w:rStyle w:val="PageNumber"/>
        <w:rFonts w:ascii="Times New Roman" w:hAnsi="Times New Roman"/>
        <w:noProof/>
        <w:kern w:val="0"/>
        <w:sz w:val="20"/>
        <w:lang w:val="en-US"/>
      </w:rPr>
      <w:fldChar w:fldCharType="begin"/>
    </w:r>
    <w:r w:rsidRPr="00312570">
      <w:rPr>
        <w:rStyle w:val="PageNumber"/>
        <w:rFonts w:ascii="Times New Roman" w:hAnsi="Times New Roman"/>
        <w:noProof/>
        <w:kern w:val="0"/>
        <w:sz w:val="20"/>
        <w:lang w:val="en-US"/>
      </w:rPr>
      <w:instrText xml:space="preserve"> PAGE </w:instrText>
    </w:r>
    <w:r w:rsidRPr="00312570">
      <w:rPr>
        <w:rStyle w:val="PageNumber"/>
        <w:rFonts w:ascii="Times New Roman" w:hAnsi="Times New Roman"/>
        <w:noProof/>
        <w:kern w:val="0"/>
        <w:sz w:val="20"/>
        <w:lang w:val="en-US"/>
      </w:rPr>
      <w:fldChar w:fldCharType="separate"/>
    </w:r>
    <w:r w:rsidRPr="00312570">
      <w:rPr>
        <w:rStyle w:val="PageNumber"/>
        <w:rFonts w:ascii="Times New Roman" w:hAnsi="Times New Roman"/>
        <w:noProof/>
        <w:kern w:val="0"/>
        <w:sz w:val="20"/>
        <w:lang w:val="en-US"/>
      </w:rPr>
      <w:t>2</w:t>
    </w:r>
    <w:r w:rsidRPr="00312570">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0E0FE" w14:textId="77777777" w:rsidR="00132345" w:rsidRPr="00312570" w:rsidRDefault="00132345" w:rsidP="00132345">
    <w:pPr>
      <w:pStyle w:val="Footer"/>
      <w:rPr>
        <w:rFonts w:ascii="Times New Roman" w:hAnsi="Times New Roman"/>
        <w:noProof/>
        <w:kern w:val="0"/>
        <w:sz w:val="20"/>
        <w:lang w:val="en-US"/>
      </w:rPr>
    </w:pPr>
    <w:bookmarkStart w:id="20" w:name="_Hlk60653308"/>
    <w:bookmarkStart w:id="21" w:name="_Hlk60653309"/>
  </w:p>
  <w:p w14:paraId="04959CE6" w14:textId="68AB8437" w:rsidR="00132345" w:rsidRPr="00312570" w:rsidRDefault="00132345">
    <w:pPr>
      <w:pStyle w:val="Footer"/>
      <w:rPr>
        <w:rFonts w:ascii="Times New Roman" w:hAnsi="Times New Roman"/>
        <w:noProof/>
        <w:kern w:val="0"/>
        <w:sz w:val="20"/>
        <w:lang w:val="en-US"/>
      </w:rPr>
    </w:pPr>
    <w:bookmarkStart w:id="22" w:name="_Hlk31896922"/>
    <w:bookmarkStart w:id="23" w:name="_Hlk31896923"/>
    <w:r w:rsidRPr="00312570">
      <w:rPr>
        <w:rFonts w:ascii="Times New Roman" w:hAnsi="Times New Roman"/>
        <w:noProof/>
        <w:kern w:val="0"/>
        <w:sz w:val="20"/>
        <w:lang w:val="en-US"/>
      </w:rPr>
      <w:t xml:space="preserve">Translation </w:t>
    </w:r>
    <w:r w:rsidRPr="00312570">
      <w:rPr>
        <w:rFonts w:ascii="Times New Roman" w:hAnsi="Times New Roman"/>
        <w:noProof/>
        <w:kern w:val="0"/>
        <w:sz w:val="20"/>
        <w:lang w:val="en-US"/>
      </w:rPr>
      <w:fldChar w:fldCharType="begin"/>
    </w:r>
    <w:r w:rsidRPr="00312570">
      <w:rPr>
        <w:rFonts w:ascii="Times New Roman" w:hAnsi="Times New Roman"/>
        <w:noProof/>
        <w:kern w:val="0"/>
        <w:sz w:val="20"/>
        <w:lang w:val="en-US"/>
      </w:rPr>
      <w:instrText>symbol 169 \f "UnivrstyRoman TL" \s 8</w:instrText>
    </w:r>
    <w:r w:rsidRPr="00312570">
      <w:rPr>
        <w:rFonts w:ascii="Times New Roman" w:hAnsi="Times New Roman"/>
        <w:noProof/>
        <w:kern w:val="0"/>
        <w:sz w:val="20"/>
        <w:lang w:val="en-US"/>
      </w:rPr>
      <w:fldChar w:fldCharType="separate"/>
    </w:r>
    <w:r w:rsidRPr="00312570">
      <w:rPr>
        <w:rFonts w:ascii="Times New Roman" w:hAnsi="Times New Roman"/>
        <w:noProof/>
        <w:kern w:val="0"/>
        <w:sz w:val="20"/>
        <w:lang w:val="en-US"/>
      </w:rPr>
      <w:t>©</w:t>
    </w:r>
    <w:r w:rsidRPr="00312570">
      <w:rPr>
        <w:rFonts w:ascii="Times New Roman" w:hAnsi="Times New Roman"/>
        <w:noProof/>
        <w:kern w:val="0"/>
        <w:sz w:val="20"/>
        <w:lang w:val="en-US"/>
      </w:rPr>
      <w:fldChar w:fldCharType="end"/>
    </w:r>
    <w:r w:rsidRPr="00312570">
      <w:rPr>
        <w:rFonts w:ascii="Times New Roman" w:hAnsi="Times New Roman"/>
        <w:noProof/>
        <w:kern w:val="0"/>
        <w:sz w:val="20"/>
        <w:lang w:val="en-US"/>
      </w:rPr>
      <w:t xml:space="preserve"> 2024 Valsts valodas centrs (State Language Centre)</w:t>
    </w:r>
    <w:bookmarkEnd w:id="20"/>
    <w:bookmarkEnd w:id="21"/>
    <w:bookmarkEnd w:id="22"/>
    <w:bookmarkEnd w:id="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CCED5" w14:textId="77777777" w:rsidR="001C52CB" w:rsidRPr="00312570" w:rsidRDefault="001C52CB" w:rsidP="00AD3EA5">
      <w:pPr>
        <w:spacing w:after="0" w:line="240" w:lineRule="auto"/>
        <w:rPr>
          <w:noProof/>
          <w:kern w:val="0"/>
          <w:lang w:val="en-US"/>
        </w:rPr>
      </w:pPr>
      <w:r w:rsidRPr="00312570">
        <w:rPr>
          <w:noProof/>
          <w:kern w:val="0"/>
          <w:lang w:val="en-US"/>
        </w:rPr>
        <w:separator/>
      </w:r>
    </w:p>
  </w:footnote>
  <w:footnote w:type="continuationSeparator" w:id="0">
    <w:p w14:paraId="7A891434" w14:textId="77777777" w:rsidR="001C52CB" w:rsidRPr="00312570" w:rsidRDefault="001C52CB" w:rsidP="00AD3EA5">
      <w:pPr>
        <w:spacing w:after="0" w:line="240" w:lineRule="auto"/>
        <w:rPr>
          <w:noProof/>
          <w:kern w:val="0"/>
          <w:lang w:val="en-US"/>
        </w:rPr>
      </w:pPr>
      <w:r w:rsidRPr="00312570">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78EF8" w14:textId="77777777" w:rsidR="00312570" w:rsidRDefault="003125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CCEC7" w14:textId="77777777" w:rsidR="00312570" w:rsidRDefault="003125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4F01C" w14:textId="77777777" w:rsidR="00312570" w:rsidRDefault="003125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F5"/>
    <w:rsid w:val="00052489"/>
    <w:rsid w:val="00132345"/>
    <w:rsid w:val="001629DD"/>
    <w:rsid w:val="001C52CB"/>
    <w:rsid w:val="00260CF3"/>
    <w:rsid w:val="00312570"/>
    <w:rsid w:val="003666FE"/>
    <w:rsid w:val="003E6A15"/>
    <w:rsid w:val="00432CC9"/>
    <w:rsid w:val="004454AB"/>
    <w:rsid w:val="00472A22"/>
    <w:rsid w:val="00486F89"/>
    <w:rsid w:val="004A7CD8"/>
    <w:rsid w:val="004F61AE"/>
    <w:rsid w:val="0052147E"/>
    <w:rsid w:val="00525F36"/>
    <w:rsid w:val="00564499"/>
    <w:rsid w:val="00581328"/>
    <w:rsid w:val="00641CE0"/>
    <w:rsid w:val="00683FF2"/>
    <w:rsid w:val="00725D38"/>
    <w:rsid w:val="00772D7B"/>
    <w:rsid w:val="007C397E"/>
    <w:rsid w:val="007C4F5A"/>
    <w:rsid w:val="00806B9E"/>
    <w:rsid w:val="008411C8"/>
    <w:rsid w:val="008824E4"/>
    <w:rsid w:val="0089716F"/>
    <w:rsid w:val="00913D7A"/>
    <w:rsid w:val="00914D4A"/>
    <w:rsid w:val="009601F5"/>
    <w:rsid w:val="00964D47"/>
    <w:rsid w:val="00992A0A"/>
    <w:rsid w:val="00994854"/>
    <w:rsid w:val="00A65E5B"/>
    <w:rsid w:val="00AD3EA5"/>
    <w:rsid w:val="00BE69CA"/>
    <w:rsid w:val="00C1584D"/>
    <w:rsid w:val="00CA469E"/>
    <w:rsid w:val="00D02A0F"/>
    <w:rsid w:val="00D07F48"/>
    <w:rsid w:val="00D226C8"/>
    <w:rsid w:val="00D61025"/>
    <w:rsid w:val="00DC2BE4"/>
    <w:rsid w:val="00E12FC3"/>
    <w:rsid w:val="00E41EAC"/>
    <w:rsid w:val="00E651C5"/>
    <w:rsid w:val="00F22D59"/>
    <w:rsid w:val="00F3535C"/>
    <w:rsid w:val="00F52D71"/>
    <w:rsid w:val="00F71248"/>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781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0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1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1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01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0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1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1F5"/>
    <w:rPr>
      <w:rFonts w:eastAsiaTheme="majorEastAsia" w:cstheme="majorBidi"/>
      <w:color w:val="272727" w:themeColor="text1" w:themeTint="D8"/>
    </w:rPr>
  </w:style>
  <w:style w:type="paragraph" w:styleId="Title">
    <w:name w:val="Title"/>
    <w:basedOn w:val="Normal"/>
    <w:next w:val="Normal"/>
    <w:link w:val="TitleChar"/>
    <w:uiPriority w:val="10"/>
    <w:qFormat/>
    <w:rsid w:val="00960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1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1F5"/>
    <w:pPr>
      <w:spacing w:before="160"/>
      <w:jc w:val="center"/>
    </w:pPr>
    <w:rPr>
      <w:i/>
      <w:iCs/>
      <w:color w:val="404040" w:themeColor="text1" w:themeTint="BF"/>
    </w:rPr>
  </w:style>
  <w:style w:type="character" w:customStyle="1" w:styleId="QuoteChar">
    <w:name w:val="Quote Char"/>
    <w:basedOn w:val="DefaultParagraphFont"/>
    <w:link w:val="Quote"/>
    <w:uiPriority w:val="29"/>
    <w:rsid w:val="009601F5"/>
    <w:rPr>
      <w:i/>
      <w:iCs/>
      <w:color w:val="404040" w:themeColor="text1" w:themeTint="BF"/>
    </w:rPr>
  </w:style>
  <w:style w:type="paragraph" w:styleId="ListParagraph">
    <w:name w:val="List Paragraph"/>
    <w:basedOn w:val="Normal"/>
    <w:uiPriority w:val="34"/>
    <w:qFormat/>
    <w:rsid w:val="009601F5"/>
    <w:pPr>
      <w:ind w:left="720"/>
      <w:contextualSpacing/>
    </w:pPr>
  </w:style>
  <w:style w:type="character" w:styleId="IntenseEmphasis">
    <w:name w:val="Intense Emphasis"/>
    <w:basedOn w:val="DefaultParagraphFont"/>
    <w:uiPriority w:val="21"/>
    <w:qFormat/>
    <w:rsid w:val="009601F5"/>
    <w:rPr>
      <w:i/>
      <w:iCs/>
      <w:color w:val="0F4761" w:themeColor="accent1" w:themeShade="BF"/>
    </w:rPr>
  </w:style>
  <w:style w:type="paragraph" w:styleId="IntenseQuote">
    <w:name w:val="Intense Quote"/>
    <w:basedOn w:val="Normal"/>
    <w:next w:val="Normal"/>
    <w:link w:val="IntenseQuoteChar"/>
    <w:uiPriority w:val="30"/>
    <w:qFormat/>
    <w:rsid w:val="00960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1F5"/>
    <w:rPr>
      <w:i/>
      <w:iCs/>
      <w:color w:val="0F4761" w:themeColor="accent1" w:themeShade="BF"/>
    </w:rPr>
  </w:style>
  <w:style w:type="character" w:styleId="IntenseReference">
    <w:name w:val="Intense Reference"/>
    <w:basedOn w:val="DefaultParagraphFont"/>
    <w:uiPriority w:val="32"/>
    <w:qFormat/>
    <w:rsid w:val="009601F5"/>
    <w:rPr>
      <w:b/>
      <w:bCs/>
      <w:smallCaps/>
      <w:color w:val="0F4761" w:themeColor="accent1" w:themeShade="BF"/>
      <w:spacing w:val="5"/>
    </w:rPr>
  </w:style>
  <w:style w:type="character" w:styleId="Hyperlink">
    <w:name w:val="Hyperlink"/>
    <w:basedOn w:val="DefaultParagraphFont"/>
    <w:uiPriority w:val="99"/>
    <w:semiHidden/>
    <w:unhideWhenUsed/>
    <w:rsid w:val="00AD3EA5"/>
    <w:rPr>
      <w:color w:val="0000FF"/>
      <w:u w:val="single"/>
    </w:rPr>
  </w:style>
  <w:style w:type="paragraph" w:customStyle="1" w:styleId="tv213">
    <w:name w:val="tv213"/>
    <w:basedOn w:val="Normal"/>
    <w:rsid w:val="00AD3EA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AD3EA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AD3EA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D3EA5"/>
  </w:style>
  <w:style w:type="paragraph" w:styleId="Footer">
    <w:name w:val="footer"/>
    <w:basedOn w:val="Normal"/>
    <w:link w:val="FooterChar"/>
    <w:unhideWhenUsed/>
    <w:rsid w:val="00AD3EA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D3EA5"/>
  </w:style>
  <w:style w:type="character" w:styleId="PageNumber">
    <w:name w:val="page number"/>
    <w:rsid w:val="00260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542039">
      <w:bodyDiv w:val="1"/>
      <w:marLeft w:val="0"/>
      <w:marRight w:val="0"/>
      <w:marTop w:val="0"/>
      <w:marBottom w:val="0"/>
      <w:divBdr>
        <w:top w:val="none" w:sz="0" w:space="0" w:color="auto"/>
        <w:left w:val="none" w:sz="0" w:space="0" w:color="auto"/>
        <w:bottom w:val="none" w:sz="0" w:space="0" w:color="auto"/>
        <w:right w:val="none" w:sz="0" w:space="0" w:color="auto"/>
      </w:divBdr>
      <w:divsChild>
        <w:div w:id="1466314335">
          <w:marLeft w:val="0"/>
          <w:marRight w:val="0"/>
          <w:marTop w:val="480"/>
          <w:marBottom w:val="240"/>
          <w:divBdr>
            <w:top w:val="none" w:sz="0" w:space="0" w:color="auto"/>
            <w:left w:val="none" w:sz="0" w:space="0" w:color="auto"/>
            <w:bottom w:val="none" w:sz="0" w:space="0" w:color="auto"/>
            <w:right w:val="none" w:sz="0" w:space="0" w:color="auto"/>
          </w:divBdr>
        </w:div>
        <w:div w:id="193663352">
          <w:marLeft w:val="0"/>
          <w:marRight w:val="0"/>
          <w:marTop w:val="0"/>
          <w:marBottom w:val="567"/>
          <w:divBdr>
            <w:top w:val="none" w:sz="0" w:space="0" w:color="auto"/>
            <w:left w:val="none" w:sz="0" w:space="0" w:color="auto"/>
            <w:bottom w:val="none" w:sz="0" w:space="0" w:color="auto"/>
            <w:right w:val="none" w:sz="0" w:space="0" w:color="auto"/>
          </w:divBdr>
        </w:div>
        <w:div w:id="977999322">
          <w:marLeft w:val="0"/>
          <w:marRight w:val="0"/>
          <w:marTop w:val="0"/>
          <w:marBottom w:val="567"/>
          <w:divBdr>
            <w:top w:val="none" w:sz="0" w:space="0" w:color="auto"/>
            <w:left w:val="none" w:sz="0" w:space="0" w:color="auto"/>
            <w:bottom w:val="none" w:sz="0" w:space="0" w:color="auto"/>
            <w:right w:val="none" w:sz="0" w:space="0" w:color="auto"/>
          </w:divBdr>
        </w:div>
        <w:div w:id="1610549283">
          <w:marLeft w:val="0"/>
          <w:marRight w:val="0"/>
          <w:marTop w:val="0"/>
          <w:marBottom w:val="0"/>
          <w:divBdr>
            <w:top w:val="none" w:sz="0" w:space="0" w:color="auto"/>
            <w:left w:val="none" w:sz="0" w:space="0" w:color="auto"/>
            <w:bottom w:val="none" w:sz="0" w:space="0" w:color="auto"/>
            <w:right w:val="none" w:sz="0" w:space="0" w:color="auto"/>
          </w:divBdr>
        </w:div>
        <w:div w:id="859052633">
          <w:marLeft w:val="0"/>
          <w:marRight w:val="0"/>
          <w:marTop w:val="0"/>
          <w:marBottom w:val="0"/>
          <w:divBdr>
            <w:top w:val="none" w:sz="0" w:space="0" w:color="auto"/>
            <w:left w:val="none" w:sz="0" w:space="0" w:color="auto"/>
            <w:bottom w:val="none" w:sz="0" w:space="0" w:color="auto"/>
            <w:right w:val="none" w:sz="0" w:space="0" w:color="auto"/>
          </w:divBdr>
        </w:div>
        <w:div w:id="1477837216">
          <w:marLeft w:val="0"/>
          <w:marRight w:val="0"/>
          <w:marTop w:val="0"/>
          <w:marBottom w:val="0"/>
          <w:divBdr>
            <w:top w:val="none" w:sz="0" w:space="0" w:color="auto"/>
            <w:left w:val="none" w:sz="0" w:space="0" w:color="auto"/>
            <w:bottom w:val="none" w:sz="0" w:space="0" w:color="auto"/>
            <w:right w:val="none" w:sz="0" w:space="0" w:color="auto"/>
          </w:divBdr>
        </w:div>
        <w:div w:id="730269336">
          <w:marLeft w:val="0"/>
          <w:marRight w:val="0"/>
          <w:marTop w:val="0"/>
          <w:marBottom w:val="0"/>
          <w:divBdr>
            <w:top w:val="none" w:sz="0" w:space="0" w:color="auto"/>
            <w:left w:val="none" w:sz="0" w:space="0" w:color="auto"/>
            <w:bottom w:val="none" w:sz="0" w:space="0" w:color="auto"/>
            <w:right w:val="none" w:sz="0" w:space="0" w:color="auto"/>
          </w:divBdr>
        </w:div>
        <w:div w:id="2065130000">
          <w:marLeft w:val="0"/>
          <w:marRight w:val="0"/>
          <w:marTop w:val="0"/>
          <w:marBottom w:val="0"/>
          <w:divBdr>
            <w:top w:val="none" w:sz="0" w:space="0" w:color="auto"/>
            <w:left w:val="none" w:sz="0" w:space="0" w:color="auto"/>
            <w:bottom w:val="none" w:sz="0" w:space="0" w:color="auto"/>
            <w:right w:val="none" w:sz="0" w:space="0" w:color="auto"/>
          </w:divBdr>
        </w:div>
        <w:div w:id="621351632">
          <w:marLeft w:val="0"/>
          <w:marRight w:val="0"/>
          <w:marTop w:val="0"/>
          <w:marBottom w:val="0"/>
          <w:divBdr>
            <w:top w:val="none" w:sz="0" w:space="0" w:color="auto"/>
            <w:left w:val="none" w:sz="0" w:space="0" w:color="auto"/>
            <w:bottom w:val="none" w:sz="0" w:space="0" w:color="auto"/>
            <w:right w:val="none" w:sz="0" w:space="0" w:color="auto"/>
          </w:divBdr>
        </w:div>
        <w:div w:id="1078550512">
          <w:marLeft w:val="0"/>
          <w:marRight w:val="0"/>
          <w:marTop w:val="0"/>
          <w:marBottom w:val="0"/>
          <w:divBdr>
            <w:top w:val="none" w:sz="0" w:space="0" w:color="auto"/>
            <w:left w:val="none" w:sz="0" w:space="0" w:color="auto"/>
            <w:bottom w:val="none" w:sz="0" w:space="0" w:color="auto"/>
            <w:right w:val="none" w:sz="0" w:space="0" w:color="auto"/>
          </w:divBdr>
        </w:div>
        <w:div w:id="746850621">
          <w:marLeft w:val="0"/>
          <w:marRight w:val="0"/>
          <w:marTop w:val="0"/>
          <w:marBottom w:val="0"/>
          <w:divBdr>
            <w:top w:val="none" w:sz="0" w:space="0" w:color="auto"/>
            <w:left w:val="none" w:sz="0" w:space="0" w:color="auto"/>
            <w:bottom w:val="none" w:sz="0" w:space="0" w:color="auto"/>
            <w:right w:val="none" w:sz="0" w:space="0" w:color="auto"/>
          </w:divBdr>
        </w:div>
        <w:div w:id="1900556457">
          <w:marLeft w:val="0"/>
          <w:marRight w:val="0"/>
          <w:marTop w:val="0"/>
          <w:marBottom w:val="0"/>
          <w:divBdr>
            <w:top w:val="none" w:sz="0" w:space="0" w:color="auto"/>
            <w:left w:val="none" w:sz="0" w:space="0" w:color="auto"/>
            <w:bottom w:val="none" w:sz="0" w:space="0" w:color="auto"/>
            <w:right w:val="none" w:sz="0" w:space="0" w:color="auto"/>
          </w:divBdr>
        </w:div>
        <w:div w:id="1408382414">
          <w:marLeft w:val="0"/>
          <w:marRight w:val="0"/>
          <w:marTop w:val="0"/>
          <w:marBottom w:val="0"/>
          <w:divBdr>
            <w:top w:val="none" w:sz="0" w:space="0" w:color="auto"/>
            <w:left w:val="none" w:sz="0" w:space="0" w:color="auto"/>
            <w:bottom w:val="none" w:sz="0" w:space="0" w:color="auto"/>
            <w:right w:val="none" w:sz="0" w:space="0" w:color="auto"/>
          </w:divBdr>
        </w:div>
        <w:div w:id="62496471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F41C-A5C6-4D9A-8092-3AF0E3CA601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AE926788-5F76-4805-881B-66D2DFDB1C3F}">
  <ds:schemaRefs>
    <ds:schemaRef ds:uri="http://schemas.microsoft.com/sharepoint/v3/contenttype/forms"/>
  </ds:schemaRefs>
</ds:datastoreItem>
</file>

<file path=customXml/itemProps3.xml><?xml version="1.0" encoding="utf-8"?>
<ds:datastoreItem xmlns:ds="http://schemas.openxmlformats.org/officeDocument/2006/customXml" ds:itemID="{C83B354D-CEAD-42C0-B1AE-25D847599607}"/>
</file>

<file path=docProps/app.xml><?xml version="1.0" encoding="utf-8"?>
<Properties xmlns="http://schemas.openxmlformats.org/officeDocument/2006/extended-properties" xmlns:vt="http://schemas.openxmlformats.org/officeDocument/2006/docPropsVTypes">
  <Template>Normal</Template>
  <TotalTime>0</TotalTime>
  <Pages>2</Pages>
  <Words>3449</Words>
  <Characters>1967</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2024-04-11T06:31:00Z</dcterms:created>
  <dcterms:modified xsi:type="dcterms:W3CDTF">2024-08-07T11:25:00Z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