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9E4D1" w14:textId="77777777" w:rsidR="00694EBF" w:rsidRPr="008D74C2" w:rsidRDefault="00694EBF">
      <w:pPr>
        <w:rPr>
          <w:rFonts w:ascii="Times New Roman" w:hAnsi="Times New Roman"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7400"/>
        <w:gridCol w:w="1731"/>
      </w:tblGrid>
      <w:tr w:rsidR="00E54A7E" w:rsidRPr="008D74C2" w14:paraId="6B1ED4F9" w14:textId="77777777" w:rsidTr="00694EBF">
        <w:tc>
          <w:tcPr>
            <w:tcW w:w="4052" w:type="pct"/>
            <w:tcBorders>
              <w:bottom w:val="single" w:sz="4" w:space="0" w:color="auto"/>
            </w:tcBorders>
          </w:tcPr>
          <w:p w14:paraId="0248C9EF" w14:textId="77777777" w:rsidR="00E54A7E" w:rsidRPr="008D74C2" w:rsidRDefault="00E54A7E" w:rsidP="00E54A7E">
            <w:pPr>
              <w:pStyle w:val="BodyText"/>
              <w:jc w:val="both"/>
              <w:rPr>
                <w:rFonts w:ascii="Times New Roman" w:hAnsi="Times New Roman" w:cs="Times New Roman"/>
                <w:b/>
                <w:bCs/>
                <w:color w:val="001F5F"/>
                <w:sz w:val="24"/>
                <w:szCs w:val="24"/>
              </w:rPr>
            </w:pPr>
            <w:r w:rsidRPr="008D74C2">
              <w:rPr>
                <w:rFonts w:ascii="Times New Roman" w:hAnsi="Times New Roman" w:cs="Times New Roman"/>
                <w:b/>
                <w:color w:val="001F5F"/>
                <w:sz w:val="24"/>
              </w:rPr>
              <w:t>Medicīniskas ierīces</w:t>
            </w:r>
          </w:p>
          <w:p w14:paraId="432A21B7" w14:textId="37005565" w:rsidR="00E54A7E" w:rsidRPr="008D74C2" w:rsidRDefault="00E54A7E" w:rsidP="00E54A7E">
            <w:pPr>
              <w:pStyle w:val="BodyText"/>
              <w:jc w:val="both"/>
              <w:rPr>
                <w:rFonts w:ascii="Times New Roman" w:hAnsi="Times New Roman" w:cs="Times New Roman"/>
                <w:noProof/>
                <w:sz w:val="24"/>
                <w:szCs w:val="24"/>
              </w:rPr>
            </w:pPr>
            <w:r w:rsidRPr="008D74C2">
              <w:rPr>
                <w:rFonts w:ascii="Times New Roman" w:hAnsi="Times New Roman" w:cs="Times New Roman"/>
                <w:color w:val="001F5F"/>
                <w:sz w:val="24"/>
              </w:rPr>
              <w:t>Medicīnisku ierīču koordinācijas grupas dokuments</w:t>
            </w:r>
          </w:p>
        </w:tc>
        <w:tc>
          <w:tcPr>
            <w:tcW w:w="948" w:type="pct"/>
            <w:tcBorders>
              <w:bottom w:val="single" w:sz="4" w:space="0" w:color="auto"/>
            </w:tcBorders>
          </w:tcPr>
          <w:p w14:paraId="6B3D7E4E" w14:textId="77777777" w:rsidR="00694EBF" w:rsidRPr="008D74C2" w:rsidRDefault="00694EBF" w:rsidP="00694EBF">
            <w:pPr>
              <w:pStyle w:val="BodyText"/>
              <w:jc w:val="both"/>
              <w:rPr>
                <w:rFonts w:ascii="Times New Roman" w:hAnsi="Times New Roman" w:cs="Times New Roman"/>
                <w:color w:val="001F5F"/>
                <w:sz w:val="24"/>
                <w:szCs w:val="24"/>
              </w:rPr>
            </w:pPr>
          </w:p>
          <w:p w14:paraId="425C5467" w14:textId="595349A7" w:rsidR="00E54A7E" w:rsidRPr="008D74C2" w:rsidRDefault="00E54A7E" w:rsidP="00694EBF">
            <w:pPr>
              <w:pStyle w:val="BodyText"/>
              <w:jc w:val="both"/>
              <w:rPr>
                <w:rFonts w:ascii="Times New Roman" w:hAnsi="Times New Roman" w:cs="Times New Roman"/>
                <w:noProof/>
                <w:sz w:val="24"/>
                <w:szCs w:val="24"/>
              </w:rPr>
            </w:pPr>
            <w:r w:rsidRPr="008D74C2">
              <w:rPr>
                <w:rFonts w:ascii="Times New Roman" w:hAnsi="Times New Roman" w:cs="Times New Roman"/>
                <w:color w:val="001F5F"/>
                <w:sz w:val="24"/>
              </w:rPr>
              <w:t>MDCG 2023-5</w:t>
            </w:r>
          </w:p>
        </w:tc>
      </w:tr>
    </w:tbl>
    <w:p w14:paraId="44A63EF5" w14:textId="77777777" w:rsidR="009E4F36" w:rsidRPr="008D74C2" w:rsidRDefault="009E4F36" w:rsidP="00C30294">
      <w:pPr>
        <w:pStyle w:val="BodyText"/>
        <w:jc w:val="both"/>
        <w:rPr>
          <w:rFonts w:ascii="Times New Roman" w:hAnsi="Times New Roman" w:cs="Times New Roman"/>
          <w:sz w:val="24"/>
        </w:rPr>
      </w:pPr>
    </w:p>
    <w:p w14:paraId="38CA1725" w14:textId="77777777" w:rsidR="009E4F36" w:rsidRPr="008D74C2" w:rsidRDefault="009E4F36" w:rsidP="00C30294">
      <w:pPr>
        <w:pStyle w:val="BodyText"/>
        <w:jc w:val="both"/>
        <w:rPr>
          <w:rFonts w:ascii="Times New Roman" w:hAnsi="Times New Roman" w:cs="Times New Roman"/>
          <w:sz w:val="24"/>
        </w:rPr>
      </w:pPr>
    </w:p>
    <w:p w14:paraId="7482C07A" w14:textId="77777777" w:rsidR="00694EBF" w:rsidRPr="008D74C2" w:rsidRDefault="00694EBF" w:rsidP="00C30294">
      <w:pPr>
        <w:pStyle w:val="BodyText"/>
        <w:jc w:val="both"/>
        <w:rPr>
          <w:rFonts w:ascii="Times New Roman" w:hAnsi="Times New Roman" w:cs="Times New Roman"/>
          <w:sz w:val="24"/>
        </w:rPr>
      </w:pPr>
    </w:p>
    <w:p w14:paraId="5B57D3C9" w14:textId="77777777" w:rsidR="00694EBF" w:rsidRPr="008D74C2" w:rsidRDefault="00694EBF" w:rsidP="00C30294">
      <w:pPr>
        <w:pStyle w:val="BodyText"/>
        <w:jc w:val="both"/>
        <w:rPr>
          <w:rFonts w:ascii="Times New Roman" w:hAnsi="Times New Roman" w:cs="Times New Roman"/>
          <w:sz w:val="24"/>
        </w:rPr>
      </w:pPr>
    </w:p>
    <w:p w14:paraId="5583B609" w14:textId="77777777" w:rsidR="00694EBF" w:rsidRPr="008D74C2" w:rsidRDefault="00694EBF" w:rsidP="00C30294">
      <w:pPr>
        <w:pStyle w:val="BodyText"/>
        <w:jc w:val="both"/>
        <w:rPr>
          <w:rFonts w:ascii="Times New Roman" w:hAnsi="Times New Roman" w:cs="Times New Roman"/>
          <w:sz w:val="24"/>
        </w:rPr>
      </w:pPr>
    </w:p>
    <w:p w14:paraId="35995C19" w14:textId="77777777" w:rsidR="00694EBF" w:rsidRPr="008D74C2" w:rsidRDefault="00694EBF" w:rsidP="00C30294">
      <w:pPr>
        <w:pStyle w:val="BodyText"/>
        <w:jc w:val="both"/>
        <w:rPr>
          <w:rFonts w:ascii="Times New Roman" w:hAnsi="Times New Roman" w:cs="Times New Roman"/>
          <w:sz w:val="24"/>
        </w:rPr>
      </w:pPr>
    </w:p>
    <w:p w14:paraId="55486F81" w14:textId="77777777" w:rsidR="00694EBF" w:rsidRPr="008D74C2" w:rsidRDefault="00694EBF" w:rsidP="00C30294">
      <w:pPr>
        <w:pStyle w:val="BodyText"/>
        <w:jc w:val="both"/>
        <w:rPr>
          <w:rFonts w:ascii="Times New Roman" w:hAnsi="Times New Roman" w:cs="Times New Roman"/>
          <w:sz w:val="24"/>
        </w:rPr>
      </w:pPr>
    </w:p>
    <w:p w14:paraId="010DDF12" w14:textId="77777777" w:rsidR="00694EBF" w:rsidRPr="008D74C2" w:rsidRDefault="00694EBF" w:rsidP="00C30294">
      <w:pPr>
        <w:pStyle w:val="BodyText"/>
        <w:jc w:val="both"/>
        <w:rPr>
          <w:rFonts w:ascii="Times New Roman" w:hAnsi="Times New Roman" w:cs="Times New Roman"/>
          <w:sz w:val="24"/>
        </w:rPr>
      </w:pPr>
    </w:p>
    <w:p w14:paraId="33DE94EC" w14:textId="77777777" w:rsidR="00694EBF" w:rsidRPr="008D74C2" w:rsidRDefault="00694EBF" w:rsidP="00C30294">
      <w:pPr>
        <w:pStyle w:val="BodyText"/>
        <w:jc w:val="both"/>
        <w:rPr>
          <w:rFonts w:ascii="Times New Roman" w:hAnsi="Times New Roman" w:cs="Times New Roman"/>
          <w:sz w:val="24"/>
        </w:rPr>
      </w:pPr>
    </w:p>
    <w:p w14:paraId="19DBDA6A" w14:textId="77777777" w:rsidR="00694EBF" w:rsidRPr="008D74C2" w:rsidRDefault="00694EBF" w:rsidP="00C30294">
      <w:pPr>
        <w:pStyle w:val="BodyText"/>
        <w:jc w:val="both"/>
        <w:rPr>
          <w:rFonts w:ascii="Times New Roman" w:hAnsi="Times New Roman" w:cs="Times New Roman"/>
          <w:sz w:val="24"/>
        </w:rPr>
      </w:pPr>
    </w:p>
    <w:p w14:paraId="76541F71" w14:textId="77777777" w:rsidR="00694EBF" w:rsidRPr="008D74C2" w:rsidRDefault="00694EBF" w:rsidP="00C30294">
      <w:pPr>
        <w:pStyle w:val="BodyText"/>
        <w:jc w:val="both"/>
        <w:rPr>
          <w:rFonts w:ascii="Times New Roman" w:hAnsi="Times New Roman" w:cs="Times New Roman"/>
          <w:sz w:val="24"/>
        </w:rPr>
      </w:pPr>
    </w:p>
    <w:p w14:paraId="3DF89046" w14:textId="77777777" w:rsidR="00694EBF" w:rsidRPr="008D74C2" w:rsidRDefault="00694EBF" w:rsidP="00C30294">
      <w:pPr>
        <w:pStyle w:val="BodyText"/>
        <w:jc w:val="both"/>
        <w:rPr>
          <w:rFonts w:ascii="Times New Roman" w:hAnsi="Times New Roman" w:cs="Times New Roman"/>
          <w:sz w:val="24"/>
        </w:rPr>
      </w:pPr>
    </w:p>
    <w:p w14:paraId="3BE6ADA0" w14:textId="77777777" w:rsidR="009E4F36" w:rsidRPr="008D74C2" w:rsidRDefault="009E4F36" w:rsidP="00C30294">
      <w:pPr>
        <w:pStyle w:val="BodyText"/>
        <w:jc w:val="both"/>
        <w:rPr>
          <w:rFonts w:ascii="Times New Roman" w:hAnsi="Times New Roman" w:cs="Times New Roman"/>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31"/>
      </w:tblGrid>
      <w:tr w:rsidR="00F429AD" w:rsidRPr="008D74C2" w14:paraId="5ED7311E" w14:textId="77777777" w:rsidTr="00101BF6">
        <w:tc>
          <w:tcPr>
            <w:tcW w:w="5000" w:type="pct"/>
          </w:tcPr>
          <w:p w14:paraId="5183C8C1" w14:textId="77777777" w:rsidR="00F429AD" w:rsidRPr="008D74C2" w:rsidRDefault="00F429AD" w:rsidP="00C30294">
            <w:pPr>
              <w:jc w:val="both"/>
              <w:rPr>
                <w:rFonts w:ascii="Times New Roman" w:hAnsi="Times New Roman" w:cs="Times New Roman"/>
                <w:b/>
                <w:color w:val="001F5F"/>
                <w:sz w:val="32"/>
                <w:szCs w:val="28"/>
              </w:rPr>
            </w:pPr>
            <w:r w:rsidRPr="008D74C2">
              <w:rPr>
                <w:rFonts w:ascii="Times New Roman" w:hAnsi="Times New Roman" w:cs="Times New Roman"/>
                <w:b/>
                <w:color w:val="001F5F"/>
                <w:sz w:val="32"/>
              </w:rPr>
              <w:t>MDCG 2023-5</w:t>
            </w:r>
          </w:p>
          <w:p w14:paraId="15A331CB" w14:textId="77777777" w:rsidR="008A5401" w:rsidRPr="008D74C2" w:rsidRDefault="008A5401" w:rsidP="00C30294">
            <w:pPr>
              <w:jc w:val="both"/>
              <w:rPr>
                <w:rFonts w:ascii="Times New Roman" w:hAnsi="Times New Roman" w:cs="Times New Roman"/>
                <w:b/>
                <w:color w:val="001F5F"/>
                <w:sz w:val="32"/>
                <w:szCs w:val="28"/>
              </w:rPr>
            </w:pPr>
          </w:p>
          <w:p w14:paraId="47B97C7D" w14:textId="553F344E" w:rsidR="00F429AD" w:rsidRPr="008D74C2" w:rsidRDefault="00F429AD" w:rsidP="00C30294">
            <w:pPr>
              <w:jc w:val="both"/>
              <w:rPr>
                <w:rFonts w:ascii="Times New Roman" w:hAnsi="Times New Roman" w:cs="Times New Roman"/>
                <w:b/>
                <w:color w:val="001F5F"/>
                <w:sz w:val="32"/>
                <w:szCs w:val="28"/>
              </w:rPr>
            </w:pPr>
            <w:r w:rsidRPr="008D74C2">
              <w:rPr>
                <w:rFonts w:ascii="Times New Roman" w:hAnsi="Times New Roman" w:cs="Times New Roman"/>
                <w:b/>
                <w:color w:val="001F5F"/>
                <w:sz w:val="32"/>
              </w:rPr>
              <w:t>Norādījumi par XVI pielikuma izstrādājumu kvalifikāciju un klasifi</w:t>
            </w:r>
            <w:r w:rsidR="00F02DC1">
              <w:rPr>
                <w:rFonts w:ascii="Times New Roman" w:hAnsi="Times New Roman" w:cs="Times New Roman"/>
                <w:b/>
                <w:color w:val="001F5F"/>
                <w:sz w:val="32"/>
              </w:rPr>
              <w:t>cēšanu</w:t>
            </w:r>
          </w:p>
          <w:p w14:paraId="4FCCE861" w14:textId="77777777" w:rsidR="008A5401" w:rsidRPr="008D74C2" w:rsidRDefault="008A5401" w:rsidP="00C30294">
            <w:pPr>
              <w:jc w:val="both"/>
              <w:rPr>
                <w:rFonts w:ascii="Times New Roman" w:hAnsi="Times New Roman" w:cs="Times New Roman"/>
                <w:b/>
                <w:color w:val="001F5F"/>
                <w:sz w:val="28"/>
                <w:szCs w:val="24"/>
              </w:rPr>
            </w:pPr>
          </w:p>
          <w:p w14:paraId="31E9A239" w14:textId="77777777" w:rsidR="00F429AD" w:rsidRPr="008D74C2" w:rsidRDefault="00F429AD" w:rsidP="00C30294">
            <w:pPr>
              <w:jc w:val="both"/>
              <w:rPr>
                <w:rFonts w:ascii="Times New Roman" w:hAnsi="Times New Roman" w:cs="Times New Roman"/>
                <w:b/>
                <w:color w:val="001F5F"/>
                <w:sz w:val="28"/>
                <w:szCs w:val="24"/>
              </w:rPr>
            </w:pPr>
            <w:r w:rsidRPr="008D74C2">
              <w:rPr>
                <w:rFonts w:ascii="Times New Roman" w:hAnsi="Times New Roman" w:cs="Times New Roman"/>
                <w:b/>
                <w:color w:val="001F5F"/>
                <w:sz w:val="28"/>
              </w:rPr>
              <w:t>Metodiskais līdzeklis ražotājiem un paziņotajām institūcijām</w:t>
            </w:r>
          </w:p>
          <w:p w14:paraId="6B01443D" w14:textId="77777777" w:rsidR="00F429AD" w:rsidRPr="008D74C2" w:rsidRDefault="00F429AD" w:rsidP="00C30294">
            <w:pPr>
              <w:pStyle w:val="BodyText"/>
              <w:jc w:val="both"/>
              <w:rPr>
                <w:rFonts w:ascii="Times New Roman" w:hAnsi="Times New Roman" w:cs="Times New Roman"/>
                <w:b/>
                <w:sz w:val="28"/>
                <w:szCs w:val="24"/>
              </w:rPr>
            </w:pPr>
          </w:p>
          <w:p w14:paraId="2AA3C8B4" w14:textId="77777777" w:rsidR="00F429AD" w:rsidRPr="008D74C2" w:rsidRDefault="00F429AD" w:rsidP="00C30294">
            <w:pPr>
              <w:jc w:val="both"/>
              <w:rPr>
                <w:rFonts w:ascii="Times New Roman" w:hAnsi="Times New Roman" w:cs="Times New Roman"/>
                <w:b/>
                <w:color w:val="001F5F"/>
                <w:sz w:val="28"/>
                <w:szCs w:val="24"/>
              </w:rPr>
            </w:pPr>
            <w:r w:rsidRPr="008D74C2">
              <w:rPr>
                <w:rFonts w:ascii="Times New Roman" w:hAnsi="Times New Roman" w:cs="Times New Roman"/>
                <w:b/>
                <w:color w:val="001F5F"/>
                <w:sz w:val="28"/>
              </w:rPr>
              <w:t>2023. gada decembris</w:t>
            </w:r>
          </w:p>
          <w:p w14:paraId="5A78941E" w14:textId="77777777" w:rsidR="00F429AD" w:rsidRPr="008D74C2" w:rsidRDefault="00F429AD" w:rsidP="00C30294">
            <w:pPr>
              <w:pStyle w:val="BodyText"/>
              <w:jc w:val="both"/>
              <w:rPr>
                <w:rFonts w:ascii="Times New Roman" w:hAnsi="Times New Roman" w:cs="Times New Roman"/>
                <w:sz w:val="24"/>
              </w:rPr>
            </w:pPr>
          </w:p>
        </w:tc>
      </w:tr>
    </w:tbl>
    <w:p w14:paraId="1B9F9C08" w14:textId="77777777" w:rsidR="009E4F36" w:rsidRPr="008D74C2" w:rsidRDefault="009E4F36" w:rsidP="00C30294">
      <w:pPr>
        <w:pStyle w:val="BodyText"/>
        <w:jc w:val="both"/>
        <w:rPr>
          <w:rFonts w:ascii="Times New Roman" w:hAnsi="Times New Roman" w:cs="Times New Roman"/>
          <w:sz w:val="24"/>
        </w:rPr>
      </w:pPr>
    </w:p>
    <w:p w14:paraId="5531AEA1" w14:textId="77777777" w:rsidR="009E4F36" w:rsidRPr="008D74C2" w:rsidRDefault="009E4F36" w:rsidP="00C30294">
      <w:pPr>
        <w:pStyle w:val="BodyText"/>
        <w:jc w:val="both"/>
        <w:rPr>
          <w:rFonts w:ascii="Times New Roman" w:hAnsi="Times New Roman" w:cs="Times New Roman"/>
          <w:sz w:val="24"/>
        </w:rPr>
      </w:pPr>
    </w:p>
    <w:p w14:paraId="6E053A84" w14:textId="15A25A21" w:rsidR="00694EBF" w:rsidRPr="008D74C2" w:rsidRDefault="00694EBF">
      <w:pPr>
        <w:rPr>
          <w:rFonts w:ascii="Times New Roman" w:hAnsi="Times New Roman" w:cs="Times New Roman"/>
          <w:sz w:val="24"/>
        </w:rPr>
      </w:pPr>
      <w:r w:rsidRPr="008D74C2">
        <w:rPr>
          <w:rFonts w:ascii="Times New Roman" w:hAnsi="Times New Roman" w:cs="Times New Roman"/>
        </w:rPr>
        <w:br w:type="page"/>
      </w:r>
    </w:p>
    <w:p w14:paraId="0FD52890" w14:textId="77777777" w:rsidR="009E4F36" w:rsidRPr="008D74C2" w:rsidRDefault="009E4F36" w:rsidP="00C30294">
      <w:pPr>
        <w:jc w:val="both"/>
        <w:rPr>
          <w:rFonts w:ascii="Times New Roman" w:hAnsi="Times New Roman" w:cs="Times New Roman"/>
          <w:sz w:val="24"/>
        </w:rPr>
      </w:pPr>
      <w:r w:rsidRPr="008D74C2">
        <w:rPr>
          <w:rFonts w:ascii="Times New Roman" w:hAnsi="Times New Roman" w:cs="Times New Roman"/>
          <w:sz w:val="24"/>
        </w:rPr>
        <w:lastRenderedPageBreak/>
        <w:t>Šo dokumentu ir apstiprinājusi Medicīnisku ierīču koordinācijas grupa (</w:t>
      </w:r>
      <w:r w:rsidRPr="008D74C2">
        <w:rPr>
          <w:rFonts w:ascii="Times New Roman" w:hAnsi="Times New Roman" w:cs="Times New Roman"/>
          <w:i/>
          <w:sz w:val="24"/>
        </w:rPr>
        <w:t>MDCG</w:t>
      </w:r>
      <w:r w:rsidRPr="008D74C2">
        <w:rPr>
          <w:rFonts w:ascii="Times New Roman" w:hAnsi="Times New Roman" w:cs="Times New Roman"/>
          <w:sz w:val="24"/>
        </w:rPr>
        <w:t xml:space="preserve">), kas izveidota saskaņā ar Regulas (ES) 2017/745 103. pantu. </w:t>
      </w:r>
      <w:r w:rsidRPr="008D74C2">
        <w:rPr>
          <w:rFonts w:ascii="Times New Roman" w:hAnsi="Times New Roman" w:cs="Times New Roman"/>
          <w:i/>
          <w:sz w:val="24"/>
        </w:rPr>
        <w:t>MDCG</w:t>
      </w:r>
      <w:r w:rsidRPr="008D74C2">
        <w:rPr>
          <w:rFonts w:ascii="Times New Roman" w:hAnsi="Times New Roman" w:cs="Times New Roman"/>
          <w:sz w:val="24"/>
        </w:rPr>
        <w:t xml:space="preserve"> veido visu dalībvalstu pārstāvji, un to vada Eiropas Komisijas pārstāvis.</w:t>
      </w:r>
    </w:p>
    <w:p w14:paraId="7B84F770" w14:textId="77777777" w:rsidR="00692484" w:rsidRPr="008D74C2" w:rsidRDefault="00692484" w:rsidP="00C30294">
      <w:pPr>
        <w:jc w:val="both"/>
        <w:rPr>
          <w:rFonts w:ascii="Times New Roman" w:hAnsi="Times New Roman" w:cs="Times New Roman"/>
          <w:sz w:val="24"/>
        </w:rPr>
      </w:pPr>
    </w:p>
    <w:p w14:paraId="7F81CD3D" w14:textId="77777777" w:rsidR="009E4F36" w:rsidRPr="008D74C2" w:rsidRDefault="009E4F36" w:rsidP="00C30294">
      <w:pPr>
        <w:jc w:val="both"/>
        <w:rPr>
          <w:rFonts w:ascii="Times New Roman" w:hAnsi="Times New Roman" w:cs="Times New Roman"/>
          <w:sz w:val="24"/>
        </w:rPr>
      </w:pPr>
      <w:r w:rsidRPr="008D74C2">
        <w:rPr>
          <w:rFonts w:ascii="Times New Roman" w:hAnsi="Times New Roman" w:cs="Times New Roman"/>
          <w:sz w:val="24"/>
        </w:rPr>
        <w:t>Šis dokuments nav Eiropas Komisijas dokuments, un tas neatspoguļo Eiropas Komisijas oficiālo nostāju. Neviens šajā dokumentā paustais viedoklis nav juridiski saistošs, un tikai Eiropas Savienības Tiesa var sniegt saistošas Savienības tiesību aktu interpretācijas.</w:t>
      </w:r>
    </w:p>
    <w:p w14:paraId="244C8D60" w14:textId="37157967" w:rsidR="00692484" w:rsidRPr="008D74C2" w:rsidRDefault="00692484">
      <w:pPr>
        <w:rPr>
          <w:rFonts w:ascii="Times New Roman" w:hAnsi="Times New Roman" w:cs="Times New Roman"/>
          <w:sz w:val="24"/>
        </w:rPr>
      </w:pPr>
      <w:r w:rsidRPr="008D74C2">
        <w:rPr>
          <w:rFonts w:ascii="Times New Roman" w:hAnsi="Times New Roman" w:cs="Times New Roman"/>
        </w:rPr>
        <w:br w:type="page"/>
      </w:r>
    </w:p>
    <w:p w14:paraId="096773A8" w14:textId="55D17B06" w:rsidR="009E4F36" w:rsidRPr="008D74C2" w:rsidRDefault="003B232B" w:rsidP="00692484">
      <w:pPr>
        <w:pStyle w:val="Heading1"/>
        <w:tabs>
          <w:tab w:val="left" w:pos="650"/>
        </w:tabs>
        <w:ind w:left="0" w:firstLine="0"/>
        <w:jc w:val="both"/>
        <w:rPr>
          <w:rFonts w:ascii="Times New Roman" w:hAnsi="Times New Roman" w:cs="Times New Roman"/>
          <w:color w:val="365F91"/>
          <w:sz w:val="28"/>
          <w:szCs w:val="36"/>
        </w:rPr>
      </w:pPr>
      <w:bookmarkStart w:id="0" w:name="1_Introduction"/>
      <w:bookmarkEnd w:id="0"/>
      <w:r w:rsidRPr="008D74C2">
        <w:rPr>
          <w:rFonts w:ascii="Times New Roman" w:hAnsi="Times New Roman" w:cs="Times New Roman"/>
          <w:color w:val="365F91"/>
          <w:sz w:val="28"/>
        </w:rPr>
        <w:lastRenderedPageBreak/>
        <w:t>1. Ievads</w:t>
      </w:r>
    </w:p>
    <w:p w14:paraId="494D738C" w14:textId="77777777" w:rsidR="003B232B" w:rsidRPr="008D74C2" w:rsidRDefault="003B232B" w:rsidP="00692484">
      <w:pPr>
        <w:pStyle w:val="Heading1"/>
        <w:tabs>
          <w:tab w:val="left" w:pos="650"/>
        </w:tabs>
        <w:ind w:left="0" w:firstLine="0"/>
        <w:jc w:val="both"/>
        <w:rPr>
          <w:rFonts w:ascii="Times New Roman" w:hAnsi="Times New Roman" w:cs="Times New Roman"/>
          <w:color w:val="365F91"/>
          <w:sz w:val="24"/>
        </w:rPr>
      </w:pPr>
    </w:p>
    <w:p w14:paraId="60CC9E10" w14:textId="63867378" w:rsidR="009E4F36" w:rsidRPr="008D74C2" w:rsidRDefault="009E4F36" w:rsidP="00C30294">
      <w:pPr>
        <w:pStyle w:val="BodyText"/>
        <w:jc w:val="both"/>
        <w:rPr>
          <w:rFonts w:ascii="Times New Roman" w:hAnsi="Times New Roman" w:cs="Times New Roman"/>
          <w:sz w:val="24"/>
        </w:rPr>
      </w:pPr>
      <w:r w:rsidRPr="008D74C2">
        <w:rPr>
          <w:rFonts w:ascii="Times New Roman" w:hAnsi="Times New Roman" w:cs="Times New Roman"/>
          <w:sz w:val="24"/>
        </w:rPr>
        <w:t>Regula (ES) 2017/745 par medicīniskām ierīcēm</w:t>
      </w:r>
      <w:r w:rsidR="003B232B" w:rsidRPr="008D74C2">
        <w:rPr>
          <w:rStyle w:val="FootnoteReference"/>
          <w:rFonts w:ascii="Times New Roman" w:hAnsi="Times New Roman" w:cs="Times New Roman"/>
          <w:sz w:val="24"/>
        </w:rPr>
        <w:footnoteReference w:id="2"/>
      </w:r>
      <w:r w:rsidRPr="008D74C2">
        <w:rPr>
          <w:rFonts w:ascii="Times New Roman" w:hAnsi="Times New Roman" w:cs="Times New Roman"/>
          <w:sz w:val="24"/>
        </w:rPr>
        <w:t xml:space="preserve">, turpmāk dēvēta par </w:t>
      </w:r>
      <w:r w:rsidRPr="008D74C2">
        <w:rPr>
          <w:rFonts w:ascii="Times New Roman" w:hAnsi="Times New Roman" w:cs="Times New Roman"/>
          <w:i/>
          <w:sz w:val="24"/>
        </w:rPr>
        <w:t>MDR</w:t>
      </w:r>
      <w:r w:rsidRPr="008D74C2">
        <w:rPr>
          <w:rFonts w:ascii="Times New Roman" w:hAnsi="Times New Roman" w:cs="Times New Roman"/>
          <w:sz w:val="24"/>
        </w:rPr>
        <w:t>, ir piemērojama</w:t>
      </w:r>
      <w:r w:rsidR="003B232B" w:rsidRPr="008D74C2">
        <w:rPr>
          <w:rStyle w:val="FootnoteReference"/>
          <w:rFonts w:ascii="Times New Roman" w:hAnsi="Times New Roman" w:cs="Times New Roman"/>
          <w:sz w:val="24"/>
        </w:rPr>
        <w:footnoteReference w:id="3"/>
      </w:r>
      <w:r w:rsidRPr="008D74C2">
        <w:rPr>
          <w:rFonts w:ascii="Times New Roman" w:hAnsi="Times New Roman" w:cs="Times New Roman"/>
          <w:sz w:val="24"/>
        </w:rPr>
        <w:t xml:space="preserve"> tādu izstrādājumu grupām, kas nav paredzēti medicīniskam nolūkam un ir minēti XVI pielikumā, sākot no dienas, kad sāk piemērot Komisijas Īstenošanas regulu (ES) 2022/2346</w:t>
      </w:r>
      <w:r w:rsidR="003B232B" w:rsidRPr="008D74C2">
        <w:rPr>
          <w:rStyle w:val="FootnoteReference"/>
          <w:rFonts w:ascii="Times New Roman" w:hAnsi="Times New Roman" w:cs="Times New Roman"/>
          <w:sz w:val="24"/>
        </w:rPr>
        <w:footnoteReference w:id="4"/>
      </w:r>
      <w:r w:rsidRPr="008D74C2">
        <w:rPr>
          <w:rFonts w:ascii="Times New Roman" w:hAnsi="Times New Roman" w:cs="Times New Roman"/>
          <w:sz w:val="24"/>
        </w:rPr>
        <w:t>, turpmāk tekstā – kopīgās specifikācijas (KS).</w:t>
      </w:r>
    </w:p>
    <w:p w14:paraId="24D8C832" w14:textId="77777777" w:rsidR="009E4F36" w:rsidRPr="008D74C2" w:rsidRDefault="009E4F36" w:rsidP="00C30294">
      <w:pPr>
        <w:pStyle w:val="BodyText"/>
        <w:jc w:val="both"/>
        <w:rPr>
          <w:rFonts w:ascii="Times New Roman" w:hAnsi="Times New Roman" w:cs="Times New Roman"/>
          <w:sz w:val="24"/>
        </w:rPr>
      </w:pPr>
    </w:p>
    <w:p w14:paraId="2B84EDB9" w14:textId="7BAEBF08" w:rsidR="009E4F36" w:rsidRPr="008D74C2" w:rsidRDefault="001219F0" w:rsidP="00C30294">
      <w:pPr>
        <w:pStyle w:val="BodyText"/>
        <w:jc w:val="both"/>
        <w:rPr>
          <w:rFonts w:ascii="Times New Roman" w:hAnsi="Times New Roman" w:cs="Times New Roman"/>
          <w:sz w:val="24"/>
        </w:rPr>
      </w:pPr>
      <w:r w:rsidRPr="001219F0">
        <w:rPr>
          <w:rFonts w:ascii="Times New Roman" w:hAnsi="Times New Roman" w:cs="Times New Roman"/>
          <w:i/>
          <w:sz w:val="24"/>
        </w:rPr>
        <w:t>MDR</w:t>
      </w:r>
      <w:r w:rsidRPr="001219F0">
        <w:rPr>
          <w:rFonts w:ascii="Times New Roman" w:hAnsi="Times New Roman" w:cs="Times New Roman"/>
          <w:iCs/>
          <w:sz w:val="24"/>
        </w:rPr>
        <w:t xml:space="preserve"> un KS ir piemērojamas arī </w:t>
      </w:r>
      <w:r w:rsidRPr="001219F0">
        <w:rPr>
          <w:rFonts w:ascii="Times New Roman" w:hAnsi="Times New Roman" w:cs="Times New Roman"/>
          <w:i/>
          <w:sz w:val="24"/>
        </w:rPr>
        <w:t>MDR</w:t>
      </w:r>
      <w:r w:rsidRPr="001219F0">
        <w:rPr>
          <w:rFonts w:ascii="Times New Roman" w:hAnsi="Times New Roman" w:cs="Times New Roman"/>
          <w:iCs/>
          <w:sz w:val="24"/>
        </w:rPr>
        <w:t xml:space="preserve"> XVI pielikuma izstrādājumiem, kas nav paredzēti medicīniskam nolūkam.</w:t>
      </w:r>
      <w:r w:rsidR="009E4F36" w:rsidRPr="008D74C2">
        <w:rPr>
          <w:rFonts w:ascii="Times New Roman" w:hAnsi="Times New Roman" w:cs="Times New Roman"/>
          <w:sz w:val="24"/>
        </w:rPr>
        <w:t xml:space="preserve"> Medicīniskam nolūkam neparedzēta izstrādājuma kvalificēšana notiek pirms tā klasificēšanas. Tikai tie izstrādājumi, kas ir kvalificējami kā ierīces</w:t>
      </w:r>
      <w:r w:rsidR="003B232B" w:rsidRPr="008D74C2">
        <w:rPr>
          <w:rStyle w:val="FootnoteReference"/>
          <w:rFonts w:ascii="Times New Roman" w:hAnsi="Times New Roman" w:cs="Times New Roman"/>
          <w:sz w:val="24"/>
        </w:rPr>
        <w:footnoteReference w:id="5"/>
      </w:r>
      <w:r w:rsidR="009E4F36" w:rsidRPr="008D74C2">
        <w:rPr>
          <w:rFonts w:ascii="Times New Roman" w:hAnsi="Times New Roman" w:cs="Times New Roman"/>
          <w:sz w:val="24"/>
        </w:rPr>
        <w:t xml:space="preserve"> un ir ietverti </w:t>
      </w:r>
      <w:r w:rsidR="00672A56">
        <w:rPr>
          <w:rFonts w:ascii="Times New Roman" w:hAnsi="Times New Roman" w:cs="Times New Roman"/>
          <w:sz w:val="24"/>
        </w:rPr>
        <w:t>KS</w:t>
      </w:r>
      <w:r w:rsidR="009E4F36" w:rsidRPr="008D74C2">
        <w:rPr>
          <w:rFonts w:ascii="Times New Roman" w:hAnsi="Times New Roman" w:cs="Times New Roman"/>
          <w:sz w:val="24"/>
        </w:rPr>
        <w:t xml:space="preserve"> un</w:t>
      </w:r>
      <w:r w:rsidR="00672A56">
        <w:rPr>
          <w:rFonts w:ascii="Times New Roman" w:hAnsi="Times New Roman" w:cs="Times New Roman"/>
          <w:sz w:val="24"/>
        </w:rPr>
        <w:t xml:space="preserve"> kam piemērojama</w:t>
      </w:r>
      <w:r w:rsidR="009E4F36" w:rsidRPr="008D74C2">
        <w:rPr>
          <w:rFonts w:ascii="Times New Roman" w:hAnsi="Times New Roman" w:cs="Times New Roman"/>
          <w:sz w:val="24"/>
        </w:rPr>
        <w:t xml:space="preserve"> </w:t>
      </w:r>
      <w:r w:rsidR="009E4F36" w:rsidRPr="008D74C2">
        <w:rPr>
          <w:rFonts w:ascii="Times New Roman" w:hAnsi="Times New Roman" w:cs="Times New Roman"/>
          <w:i/>
          <w:sz w:val="24"/>
        </w:rPr>
        <w:t>MDR</w:t>
      </w:r>
      <w:r w:rsidR="009E4F36" w:rsidRPr="008D74C2">
        <w:rPr>
          <w:rFonts w:ascii="Times New Roman" w:hAnsi="Times New Roman" w:cs="Times New Roman"/>
          <w:sz w:val="24"/>
        </w:rPr>
        <w:t xml:space="preserve">, ir jāklasificē atbilstoši noteikumiem, kuri ir izklāstīti </w:t>
      </w:r>
      <w:r w:rsidR="009E4F36" w:rsidRPr="008D74C2">
        <w:rPr>
          <w:rFonts w:ascii="Times New Roman" w:hAnsi="Times New Roman" w:cs="Times New Roman"/>
          <w:i/>
          <w:sz w:val="24"/>
        </w:rPr>
        <w:t>MDR</w:t>
      </w:r>
      <w:r w:rsidR="009E4F36" w:rsidRPr="008D74C2">
        <w:rPr>
          <w:rFonts w:ascii="Times New Roman" w:hAnsi="Times New Roman" w:cs="Times New Roman"/>
          <w:sz w:val="24"/>
        </w:rPr>
        <w:t xml:space="preserve"> VIII pielikumā un Komisijas Īstenošanas regulā (ES) 2022/2347 par pārklasificēšanu</w:t>
      </w:r>
      <w:r w:rsidR="003B232B" w:rsidRPr="008D74C2">
        <w:rPr>
          <w:rStyle w:val="FootnoteReference"/>
          <w:rFonts w:ascii="Times New Roman" w:hAnsi="Times New Roman" w:cs="Times New Roman"/>
          <w:sz w:val="24"/>
        </w:rPr>
        <w:footnoteReference w:id="6"/>
      </w:r>
      <w:r w:rsidR="009E4F36" w:rsidRPr="008D74C2">
        <w:rPr>
          <w:rFonts w:ascii="Times New Roman" w:hAnsi="Times New Roman" w:cs="Times New Roman"/>
          <w:sz w:val="24"/>
        </w:rPr>
        <w:t>.</w:t>
      </w:r>
    </w:p>
    <w:p w14:paraId="04245944" w14:textId="77777777" w:rsidR="003B232B" w:rsidRPr="008D74C2" w:rsidRDefault="003B232B" w:rsidP="00C30294">
      <w:pPr>
        <w:pStyle w:val="BodyText"/>
        <w:jc w:val="both"/>
        <w:rPr>
          <w:rFonts w:ascii="Times New Roman" w:hAnsi="Times New Roman" w:cs="Times New Roman"/>
          <w:sz w:val="24"/>
        </w:rPr>
      </w:pPr>
    </w:p>
    <w:p w14:paraId="25A09798" w14:textId="4C39BB8C" w:rsidR="009E4F36" w:rsidRPr="008D74C2" w:rsidRDefault="009E4F36" w:rsidP="00C30294">
      <w:pPr>
        <w:pStyle w:val="BodyText"/>
        <w:jc w:val="both"/>
        <w:rPr>
          <w:rFonts w:ascii="Times New Roman" w:hAnsi="Times New Roman" w:cs="Times New Roman"/>
          <w:sz w:val="24"/>
        </w:rPr>
      </w:pPr>
      <w:r w:rsidRPr="008D74C2">
        <w:rPr>
          <w:rFonts w:ascii="Times New Roman" w:hAnsi="Times New Roman" w:cs="Times New Roman"/>
          <w:sz w:val="24"/>
        </w:rPr>
        <w:t>Attiecībā uz šiem izstrādājumiem ir piemērojami klasifi</w:t>
      </w:r>
      <w:r w:rsidR="00D95BA9">
        <w:rPr>
          <w:rFonts w:ascii="Times New Roman" w:hAnsi="Times New Roman" w:cs="Times New Roman"/>
          <w:sz w:val="24"/>
        </w:rPr>
        <w:t>cēšanas</w:t>
      </w:r>
      <w:r w:rsidRPr="008D74C2">
        <w:rPr>
          <w:rFonts w:ascii="Times New Roman" w:hAnsi="Times New Roman" w:cs="Times New Roman"/>
          <w:sz w:val="24"/>
        </w:rPr>
        <w:t xml:space="preserve"> noteikumi, kas izklāstīti </w:t>
      </w:r>
      <w:r w:rsidRPr="008D74C2">
        <w:rPr>
          <w:rFonts w:ascii="Times New Roman" w:hAnsi="Times New Roman" w:cs="Times New Roman"/>
          <w:i/>
          <w:sz w:val="24"/>
        </w:rPr>
        <w:t>MDR</w:t>
      </w:r>
      <w:r w:rsidRPr="008D74C2">
        <w:rPr>
          <w:rFonts w:ascii="Times New Roman" w:hAnsi="Times New Roman" w:cs="Times New Roman"/>
          <w:sz w:val="24"/>
        </w:rPr>
        <w:t xml:space="preserve"> VIII pielikumā. Komisijas Īstenošanas regulu (ES) 2022/2347 piemēro atsevišķ</w:t>
      </w:r>
      <w:r w:rsidR="00777999">
        <w:rPr>
          <w:rFonts w:ascii="Times New Roman" w:hAnsi="Times New Roman" w:cs="Times New Roman"/>
          <w:sz w:val="24"/>
        </w:rPr>
        <w:t>os gadījumos</w:t>
      </w:r>
      <w:r w:rsidRPr="008D74C2">
        <w:rPr>
          <w:rFonts w:ascii="Times New Roman" w:hAnsi="Times New Roman" w:cs="Times New Roman"/>
          <w:sz w:val="24"/>
        </w:rPr>
        <w:t xml:space="preserve"> tādu aktīvu ierīču klasificēšanai, kas nav paredzētas medicīniskam nolūkam.</w:t>
      </w:r>
    </w:p>
    <w:p w14:paraId="1CE45D57" w14:textId="77777777" w:rsidR="009E4F36" w:rsidRPr="008D74C2" w:rsidRDefault="009E4F36" w:rsidP="00C30294">
      <w:pPr>
        <w:pStyle w:val="BodyText"/>
        <w:jc w:val="both"/>
        <w:rPr>
          <w:rFonts w:ascii="Times New Roman" w:hAnsi="Times New Roman" w:cs="Times New Roman"/>
          <w:sz w:val="24"/>
        </w:rPr>
      </w:pPr>
    </w:p>
    <w:p w14:paraId="7FDD9224" w14:textId="268584DD" w:rsidR="009E4F36" w:rsidRPr="008D74C2" w:rsidRDefault="009E4F36" w:rsidP="00C30294">
      <w:pPr>
        <w:pStyle w:val="BodyText"/>
        <w:jc w:val="both"/>
        <w:rPr>
          <w:rFonts w:ascii="Times New Roman" w:hAnsi="Times New Roman" w:cs="Times New Roman"/>
          <w:sz w:val="24"/>
        </w:rPr>
      </w:pPr>
      <w:r w:rsidRPr="008D74C2">
        <w:rPr>
          <w:rFonts w:ascii="Times New Roman" w:hAnsi="Times New Roman" w:cs="Times New Roman"/>
          <w:sz w:val="24"/>
        </w:rPr>
        <w:t>Dokuments MDCG 2021-24 “Guidance on classification of medical devices” [Norādījumi par medicīnisku ierīču klasifi</w:t>
      </w:r>
      <w:r w:rsidR="00777999">
        <w:rPr>
          <w:rFonts w:ascii="Times New Roman" w:hAnsi="Times New Roman" w:cs="Times New Roman"/>
          <w:sz w:val="24"/>
        </w:rPr>
        <w:t>cēšanu</w:t>
      </w:r>
      <w:r w:rsidRPr="008D74C2">
        <w:rPr>
          <w:rFonts w:ascii="Times New Roman" w:hAnsi="Times New Roman" w:cs="Times New Roman"/>
          <w:sz w:val="24"/>
        </w:rPr>
        <w:t>]</w:t>
      </w:r>
      <w:r w:rsidR="00195897" w:rsidRPr="008D74C2">
        <w:rPr>
          <w:rStyle w:val="FootnoteReference"/>
          <w:rFonts w:ascii="Times New Roman" w:hAnsi="Times New Roman" w:cs="Times New Roman"/>
          <w:sz w:val="24"/>
        </w:rPr>
        <w:footnoteReference w:id="7"/>
      </w:r>
      <w:r w:rsidRPr="008D74C2">
        <w:rPr>
          <w:rFonts w:ascii="Times New Roman" w:hAnsi="Times New Roman" w:cs="Times New Roman"/>
          <w:sz w:val="24"/>
        </w:rPr>
        <w:t xml:space="preserve"> jālasa kopā ar šo norādījumu dokumentu, izņemot attiecībā uz elementiem, kas attiecas uz medicīniskam nolūkam paredzētām ierīcēm.</w:t>
      </w:r>
    </w:p>
    <w:p w14:paraId="723C707A" w14:textId="77777777" w:rsidR="009E4F36" w:rsidRPr="008D74C2" w:rsidRDefault="009E4F36" w:rsidP="00C30294">
      <w:pPr>
        <w:pStyle w:val="BodyText"/>
        <w:jc w:val="both"/>
        <w:rPr>
          <w:rFonts w:ascii="Times New Roman" w:hAnsi="Times New Roman" w:cs="Times New Roman"/>
          <w:sz w:val="24"/>
        </w:rPr>
      </w:pPr>
    </w:p>
    <w:p w14:paraId="5339A560" w14:textId="77777777" w:rsidR="003B232B" w:rsidRPr="008D74C2" w:rsidRDefault="003B232B" w:rsidP="00C30294">
      <w:pPr>
        <w:pStyle w:val="BodyText"/>
        <w:jc w:val="both"/>
        <w:rPr>
          <w:rFonts w:ascii="Times New Roman" w:hAnsi="Times New Roman" w:cs="Times New Roman"/>
          <w:sz w:val="24"/>
        </w:rPr>
      </w:pPr>
    </w:p>
    <w:p w14:paraId="13B3ECD6" w14:textId="045E5C36" w:rsidR="009E4F36" w:rsidRPr="008D74C2" w:rsidRDefault="003B232B" w:rsidP="003B232B">
      <w:pPr>
        <w:pStyle w:val="Heading1"/>
        <w:tabs>
          <w:tab w:val="left" w:pos="650"/>
        </w:tabs>
        <w:ind w:left="0" w:firstLine="0"/>
        <w:jc w:val="both"/>
        <w:rPr>
          <w:rFonts w:ascii="Times New Roman" w:hAnsi="Times New Roman" w:cs="Times New Roman"/>
          <w:color w:val="365F91"/>
          <w:sz w:val="28"/>
          <w:szCs w:val="36"/>
        </w:rPr>
      </w:pPr>
      <w:bookmarkStart w:id="1" w:name="2_Scope"/>
      <w:bookmarkEnd w:id="1"/>
      <w:r w:rsidRPr="008D74C2">
        <w:rPr>
          <w:rFonts w:ascii="Times New Roman" w:hAnsi="Times New Roman" w:cs="Times New Roman"/>
          <w:color w:val="365F91"/>
          <w:sz w:val="28"/>
        </w:rPr>
        <w:t>2. Tvērums</w:t>
      </w:r>
    </w:p>
    <w:p w14:paraId="430A6DAB" w14:textId="77777777" w:rsidR="003B232B" w:rsidRPr="008D74C2" w:rsidRDefault="003B232B" w:rsidP="003B232B">
      <w:pPr>
        <w:pStyle w:val="Heading1"/>
        <w:tabs>
          <w:tab w:val="left" w:pos="650"/>
        </w:tabs>
        <w:ind w:left="0" w:firstLine="0"/>
        <w:jc w:val="both"/>
        <w:rPr>
          <w:rFonts w:ascii="Times New Roman" w:hAnsi="Times New Roman" w:cs="Times New Roman"/>
          <w:color w:val="365F91"/>
          <w:sz w:val="28"/>
          <w:szCs w:val="36"/>
        </w:rPr>
      </w:pPr>
    </w:p>
    <w:p w14:paraId="78919299" w14:textId="3C2E1AFA" w:rsidR="009E4F36" w:rsidRPr="008D74C2" w:rsidRDefault="008C7A10" w:rsidP="00C30294">
      <w:pPr>
        <w:pStyle w:val="BodyText"/>
        <w:jc w:val="both"/>
        <w:rPr>
          <w:rFonts w:ascii="Times New Roman" w:hAnsi="Times New Roman" w:cs="Times New Roman"/>
          <w:sz w:val="24"/>
        </w:rPr>
      </w:pPr>
      <w:r w:rsidRPr="008C7A10">
        <w:rPr>
          <w:rFonts w:ascii="Times New Roman" w:hAnsi="Times New Roman" w:cs="Times New Roman"/>
          <w:sz w:val="24"/>
        </w:rPr>
        <w:t>Šajā norādījumu dokumentā ir sniegta informācija par MDR XVI pielikuma izstrādājumu kvalificēšanu par tādām ierīcēm, kas nav paredzētas medicīniskam nolūkam.</w:t>
      </w:r>
      <w:r w:rsidR="009E4F36" w:rsidRPr="008D74C2">
        <w:rPr>
          <w:rFonts w:ascii="Times New Roman" w:hAnsi="Times New Roman" w:cs="Times New Roman"/>
          <w:sz w:val="24"/>
        </w:rPr>
        <w:t xml:space="preserve"> </w:t>
      </w:r>
      <w:r w:rsidR="00F04E13" w:rsidRPr="00F04E13">
        <w:rPr>
          <w:rFonts w:ascii="Times New Roman" w:hAnsi="Times New Roman" w:cs="Times New Roman"/>
          <w:sz w:val="24"/>
        </w:rPr>
        <w:t>Dokumentā sniegti arī skaidrojumi un piemēri par dažu klasificēšanas noteikumu piemērošanu attiecībā uz izstrādājumiem, kas nav paredzēti medicīniskam nolūkam, turpmāk tekstā – ierīces.</w:t>
      </w:r>
    </w:p>
    <w:p w14:paraId="03B1F504" w14:textId="2B774893" w:rsidR="009E4F36" w:rsidRPr="008D74C2" w:rsidRDefault="009E4F36" w:rsidP="00C30294">
      <w:pPr>
        <w:pStyle w:val="BodyText"/>
        <w:jc w:val="both"/>
        <w:rPr>
          <w:rFonts w:ascii="Times New Roman" w:hAnsi="Times New Roman" w:cs="Times New Roman"/>
          <w:sz w:val="24"/>
        </w:rPr>
      </w:pPr>
    </w:p>
    <w:p w14:paraId="00897CBD" w14:textId="63BC8936" w:rsidR="009E4F36" w:rsidRPr="008D74C2" w:rsidRDefault="009E4F36" w:rsidP="00C30294">
      <w:pPr>
        <w:pStyle w:val="BodyText"/>
        <w:jc w:val="both"/>
        <w:rPr>
          <w:rFonts w:ascii="Times New Roman" w:hAnsi="Times New Roman" w:cs="Times New Roman"/>
          <w:sz w:val="24"/>
        </w:rPr>
      </w:pPr>
      <w:r w:rsidRPr="008D74C2">
        <w:rPr>
          <w:rFonts w:ascii="Times New Roman" w:hAnsi="Times New Roman" w:cs="Times New Roman"/>
          <w:sz w:val="24"/>
        </w:rPr>
        <w:t xml:space="preserve">Sniegtie piemēri nenozīmē, ka izstrādājumi </w:t>
      </w:r>
      <w:r w:rsidRPr="008D74C2">
        <w:rPr>
          <w:rFonts w:ascii="Times New Roman" w:hAnsi="Times New Roman" w:cs="Times New Roman"/>
          <w:i/>
          <w:sz w:val="24"/>
        </w:rPr>
        <w:t>a priori</w:t>
      </w:r>
      <w:r w:rsidRPr="008D74C2">
        <w:rPr>
          <w:rFonts w:ascii="Times New Roman" w:hAnsi="Times New Roman" w:cs="Times New Roman"/>
          <w:sz w:val="24"/>
        </w:rPr>
        <w:t xml:space="preserve"> ir kvalificēti par ierīcēm. Klasifi</w:t>
      </w:r>
      <w:r w:rsidR="00F04E13">
        <w:rPr>
          <w:rFonts w:ascii="Times New Roman" w:hAnsi="Times New Roman" w:cs="Times New Roman"/>
          <w:sz w:val="24"/>
        </w:rPr>
        <w:t xml:space="preserve">cēšanas </w:t>
      </w:r>
      <w:r w:rsidRPr="008D74C2">
        <w:rPr>
          <w:rFonts w:ascii="Times New Roman" w:hAnsi="Times New Roman" w:cs="Times New Roman"/>
          <w:sz w:val="24"/>
        </w:rPr>
        <w:t>noteikumus piemēro pēc tam, kad izstrādājums ir kvalificēts par ierīci.</w:t>
      </w:r>
    </w:p>
    <w:p w14:paraId="3583021A" w14:textId="77777777" w:rsidR="009E4F36" w:rsidRPr="008D74C2" w:rsidRDefault="009E4F36" w:rsidP="00C30294">
      <w:pPr>
        <w:pStyle w:val="BodyText"/>
        <w:jc w:val="both"/>
        <w:rPr>
          <w:rFonts w:ascii="Times New Roman" w:hAnsi="Times New Roman" w:cs="Times New Roman"/>
          <w:sz w:val="24"/>
        </w:rPr>
      </w:pPr>
    </w:p>
    <w:p w14:paraId="7DF4760F" w14:textId="4F1531FC" w:rsidR="009E4F36" w:rsidRPr="008D74C2" w:rsidRDefault="009E4F36" w:rsidP="00C30294">
      <w:pPr>
        <w:pStyle w:val="BodyText"/>
        <w:jc w:val="both"/>
        <w:rPr>
          <w:rFonts w:ascii="Times New Roman" w:hAnsi="Times New Roman" w:cs="Times New Roman"/>
          <w:sz w:val="24"/>
        </w:rPr>
      </w:pPr>
      <w:r w:rsidRPr="008D74C2">
        <w:rPr>
          <w:rFonts w:ascii="Times New Roman" w:hAnsi="Times New Roman" w:cs="Times New Roman"/>
          <w:sz w:val="24"/>
        </w:rPr>
        <w:t>Šis norādījumu dokuments jāizmanto kopā ar MDCG 2021-24 par medicīnisko ierīču klasifi</w:t>
      </w:r>
      <w:r w:rsidR="00F04E13">
        <w:rPr>
          <w:rFonts w:ascii="Times New Roman" w:hAnsi="Times New Roman" w:cs="Times New Roman"/>
          <w:sz w:val="24"/>
        </w:rPr>
        <w:t>cēšanu</w:t>
      </w:r>
      <w:r w:rsidRPr="008D74C2">
        <w:rPr>
          <w:rFonts w:ascii="Times New Roman" w:hAnsi="Times New Roman" w:cs="Times New Roman"/>
          <w:sz w:val="24"/>
        </w:rPr>
        <w:t>, un jāņem vērā Komisijas Īstenošanas regula (ES) 2022/2347 par pārklasificēšanu</w:t>
      </w:r>
      <w:r w:rsidR="00195897" w:rsidRPr="008D74C2">
        <w:rPr>
          <w:rStyle w:val="FootnoteReference"/>
          <w:rFonts w:ascii="Times New Roman" w:hAnsi="Times New Roman" w:cs="Times New Roman"/>
          <w:sz w:val="24"/>
        </w:rPr>
        <w:footnoteReference w:id="8"/>
      </w:r>
      <w:r w:rsidRPr="008D74C2">
        <w:rPr>
          <w:rFonts w:ascii="Times New Roman" w:hAnsi="Times New Roman" w:cs="Times New Roman"/>
          <w:sz w:val="24"/>
        </w:rPr>
        <w:t>.</w:t>
      </w:r>
    </w:p>
    <w:p w14:paraId="26622838" w14:textId="77777777" w:rsidR="009E4F36" w:rsidRPr="008D74C2" w:rsidRDefault="009E4F36" w:rsidP="00C30294">
      <w:pPr>
        <w:pStyle w:val="BodyText"/>
        <w:jc w:val="both"/>
        <w:rPr>
          <w:rFonts w:ascii="Times New Roman" w:hAnsi="Times New Roman" w:cs="Times New Roman"/>
          <w:sz w:val="24"/>
        </w:rPr>
      </w:pPr>
    </w:p>
    <w:p w14:paraId="151CAA19" w14:textId="77777777" w:rsidR="00195897" w:rsidRPr="008D74C2" w:rsidRDefault="00195897" w:rsidP="00C30294">
      <w:pPr>
        <w:pStyle w:val="BodyText"/>
        <w:jc w:val="both"/>
        <w:rPr>
          <w:rFonts w:ascii="Times New Roman" w:hAnsi="Times New Roman" w:cs="Times New Roman"/>
          <w:sz w:val="24"/>
        </w:rPr>
      </w:pPr>
    </w:p>
    <w:p w14:paraId="1EADAF1B" w14:textId="7746FE5F" w:rsidR="009E4F36" w:rsidRPr="008D74C2" w:rsidRDefault="00195897" w:rsidP="00195897">
      <w:pPr>
        <w:pStyle w:val="Heading1"/>
        <w:tabs>
          <w:tab w:val="left" w:pos="650"/>
        </w:tabs>
        <w:ind w:left="0" w:firstLine="0"/>
        <w:jc w:val="both"/>
        <w:rPr>
          <w:rFonts w:ascii="Times New Roman" w:hAnsi="Times New Roman" w:cs="Times New Roman"/>
          <w:color w:val="365F91"/>
          <w:sz w:val="28"/>
          <w:szCs w:val="36"/>
        </w:rPr>
      </w:pPr>
      <w:bookmarkStart w:id="2" w:name="3_Qualification"/>
      <w:bookmarkEnd w:id="2"/>
      <w:r w:rsidRPr="008D74C2">
        <w:rPr>
          <w:rFonts w:ascii="Times New Roman" w:hAnsi="Times New Roman" w:cs="Times New Roman"/>
          <w:color w:val="365F91"/>
          <w:sz w:val="28"/>
        </w:rPr>
        <w:t>3. Kvalifikācija</w:t>
      </w:r>
    </w:p>
    <w:p w14:paraId="118334DE" w14:textId="77777777" w:rsidR="00195897" w:rsidRPr="008D74C2" w:rsidRDefault="00195897" w:rsidP="00C30294">
      <w:pPr>
        <w:pStyle w:val="BodyText"/>
        <w:jc w:val="both"/>
        <w:rPr>
          <w:rFonts w:ascii="Times New Roman" w:hAnsi="Times New Roman" w:cs="Times New Roman"/>
          <w:sz w:val="24"/>
        </w:rPr>
      </w:pPr>
    </w:p>
    <w:p w14:paraId="08237295" w14:textId="471D9A29" w:rsidR="009E4F36" w:rsidRPr="008D74C2" w:rsidRDefault="00B3468A" w:rsidP="00C30294">
      <w:pPr>
        <w:pStyle w:val="BodyText"/>
        <w:jc w:val="both"/>
        <w:rPr>
          <w:rFonts w:ascii="Times New Roman" w:hAnsi="Times New Roman" w:cs="Times New Roman"/>
          <w:sz w:val="24"/>
        </w:rPr>
      </w:pPr>
      <w:r w:rsidRPr="00B3468A">
        <w:rPr>
          <w:rFonts w:ascii="Times New Roman" w:hAnsi="Times New Roman" w:cs="Times New Roman"/>
          <w:sz w:val="24"/>
        </w:rPr>
        <w:t>Šīs nodaļas mērķis ir sniegt detalizētu informāciju, kas atvieglotu izstrādājumu kvalificēšanu par XVI pielikuma izstrādājumiem, kuriem piemērojamas KS.</w:t>
      </w:r>
      <w:r w:rsidR="009E4F36" w:rsidRPr="008D74C2">
        <w:rPr>
          <w:rFonts w:ascii="Times New Roman" w:hAnsi="Times New Roman" w:cs="Times New Roman"/>
          <w:sz w:val="24"/>
        </w:rPr>
        <w:t xml:space="preserve"> </w:t>
      </w:r>
      <w:r w:rsidRPr="00B3468A">
        <w:rPr>
          <w:rFonts w:ascii="Times New Roman" w:hAnsi="Times New Roman" w:cs="Times New Roman"/>
          <w:sz w:val="24"/>
        </w:rPr>
        <w:t>Turpmāk sniegtā informācija un skaidrojumi nav pilnīgi.</w:t>
      </w:r>
    </w:p>
    <w:p w14:paraId="52EF7473" w14:textId="77777777" w:rsidR="009E4F36" w:rsidRPr="008D74C2" w:rsidRDefault="009E4F36" w:rsidP="00C30294">
      <w:pPr>
        <w:pStyle w:val="BodyText"/>
        <w:jc w:val="both"/>
        <w:rPr>
          <w:rFonts w:ascii="Times New Roman" w:hAnsi="Times New Roman" w:cs="Times New Roman"/>
          <w:sz w:val="24"/>
        </w:rPr>
      </w:pPr>
    </w:p>
    <w:p w14:paraId="47535411" w14:textId="781CA603" w:rsidR="009E4F36" w:rsidRPr="008D74C2" w:rsidRDefault="00BC22A9" w:rsidP="00C30294">
      <w:pPr>
        <w:pStyle w:val="BodyText"/>
        <w:jc w:val="both"/>
        <w:rPr>
          <w:rFonts w:ascii="Times New Roman" w:hAnsi="Times New Roman" w:cs="Times New Roman"/>
          <w:sz w:val="24"/>
        </w:rPr>
      </w:pPr>
      <w:r w:rsidRPr="00BC22A9">
        <w:rPr>
          <w:rFonts w:ascii="Times New Roman" w:hAnsi="Times New Roman" w:cs="Times New Roman"/>
          <w:sz w:val="24"/>
        </w:rPr>
        <w:t>Papildinformācija var būt norādīta arī dokumentā “Manual on borderline and classification for medical devices” [Rokasgrāmata par robežgadījumiem un medicīnisko ierīču klasificēšanu</w:t>
      </w:r>
      <w:r w:rsidR="009E4F36" w:rsidRPr="008D74C2">
        <w:rPr>
          <w:rFonts w:ascii="Times New Roman" w:hAnsi="Times New Roman" w:cs="Times New Roman"/>
          <w:sz w:val="24"/>
        </w:rPr>
        <w:t>]</w:t>
      </w:r>
      <w:r w:rsidR="004B3BE4" w:rsidRPr="008D74C2">
        <w:rPr>
          <w:rStyle w:val="FootnoteReference"/>
          <w:rFonts w:ascii="Times New Roman" w:hAnsi="Times New Roman" w:cs="Times New Roman"/>
          <w:sz w:val="24"/>
        </w:rPr>
        <w:footnoteReference w:id="9"/>
      </w:r>
      <w:r w:rsidR="009E4F36" w:rsidRPr="008D74C2">
        <w:rPr>
          <w:rFonts w:ascii="Times New Roman" w:hAnsi="Times New Roman" w:cs="Times New Roman"/>
          <w:sz w:val="24"/>
        </w:rPr>
        <w:t xml:space="preserve"> un MDCG 2022-5 “Guidance on borderline between medical devices and medicinal products” [Norādījumi par šķirtni starp medicīniskajām ierīcēm un zālēm]</w:t>
      </w:r>
      <w:r w:rsidR="00474661" w:rsidRPr="008D74C2">
        <w:rPr>
          <w:rStyle w:val="FootnoteReference"/>
          <w:rFonts w:ascii="Times New Roman" w:hAnsi="Times New Roman" w:cs="Times New Roman"/>
          <w:sz w:val="24"/>
        </w:rPr>
        <w:footnoteReference w:id="10"/>
      </w:r>
      <w:r w:rsidR="009E4F36" w:rsidRPr="008D74C2">
        <w:rPr>
          <w:rFonts w:ascii="Times New Roman" w:hAnsi="Times New Roman" w:cs="Times New Roman"/>
          <w:sz w:val="24"/>
        </w:rPr>
        <w:t xml:space="preserve">, </w:t>
      </w:r>
      <w:r w:rsidR="00291F85" w:rsidRPr="00291F85">
        <w:rPr>
          <w:rFonts w:ascii="Times New Roman" w:hAnsi="Times New Roman" w:cs="Times New Roman"/>
          <w:sz w:val="24"/>
        </w:rPr>
        <w:t>lai arī šī informācija galvenokārt ir saistīta ar medicīniskām ierīcēm.</w:t>
      </w:r>
    </w:p>
    <w:p w14:paraId="0372CD0E" w14:textId="77777777" w:rsidR="00BA0D46" w:rsidRPr="008D74C2" w:rsidRDefault="00BA0D46" w:rsidP="00C30294">
      <w:pPr>
        <w:pStyle w:val="BodyText"/>
        <w:jc w:val="both"/>
        <w:rPr>
          <w:rFonts w:ascii="Times New Roman" w:hAnsi="Times New Roman" w:cs="Times New Roman"/>
          <w:sz w:val="24"/>
        </w:rPr>
      </w:pPr>
    </w:p>
    <w:p w14:paraId="62CCE66B" w14:textId="24B20F8B" w:rsidR="009E4F36" w:rsidRPr="008D74C2" w:rsidRDefault="00BB5703" w:rsidP="00BB5703">
      <w:pPr>
        <w:pStyle w:val="Heading2"/>
        <w:tabs>
          <w:tab w:val="left" w:pos="797"/>
        </w:tabs>
        <w:spacing w:before="0"/>
        <w:ind w:left="0" w:firstLine="0"/>
        <w:jc w:val="both"/>
        <w:rPr>
          <w:rFonts w:ascii="Times New Roman" w:hAnsi="Times New Roman" w:cs="Times New Roman"/>
          <w:color w:val="365F91"/>
          <w:sz w:val="24"/>
        </w:rPr>
      </w:pPr>
      <w:bookmarkStart w:id="3" w:name="3.1_General_requirements"/>
      <w:bookmarkEnd w:id="3"/>
      <w:r w:rsidRPr="008D74C2">
        <w:rPr>
          <w:rFonts w:ascii="Times New Roman" w:hAnsi="Times New Roman" w:cs="Times New Roman"/>
          <w:color w:val="365F91"/>
          <w:sz w:val="24"/>
        </w:rPr>
        <w:t>3.1. Vispārīgās prasības</w:t>
      </w:r>
      <w:bookmarkStart w:id="4" w:name="_bookmark0"/>
      <w:bookmarkEnd w:id="4"/>
    </w:p>
    <w:p w14:paraId="6A83C380" w14:textId="77777777" w:rsidR="00BB5703" w:rsidRPr="008D74C2" w:rsidRDefault="00BB5703" w:rsidP="00BB5703">
      <w:pPr>
        <w:pStyle w:val="Heading2"/>
        <w:tabs>
          <w:tab w:val="left" w:pos="797"/>
        </w:tabs>
        <w:spacing w:before="0"/>
        <w:ind w:left="0" w:firstLine="0"/>
        <w:jc w:val="both"/>
        <w:rPr>
          <w:rFonts w:ascii="Times New Roman" w:hAnsi="Times New Roman" w:cs="Times New Roman"/>
          <w:color w:val="365F91"/>
          <w:sz w:val="24"/>
        </w:rPr>
      </w:pPr>
    </w:p>
    <w:p w14:paraId="69B07355" w14:textId="7C6EED3C" w:rsidR="009E4F36" w:rsidRPr="008D74C2" w:rsidRDefault="009E4F36" w:rsidP="00C30294">
      <w:pPr>
        <w:pStyle w:val="BodyText"/>
        <w:jc w:val="both"/>
        <w:rPr>
          <w:rFonts w:ascii="Times New Roman" w:hAnsi="Times New Roman" w:cs="Times New Roman"/>
          <w:sz w:val="24"/>
        </w:rPr>
      </w:pPr>
      <w:r w:rsidRPr="008D74C2">
        <w:rPr>
          <w:rFonts w:ascii="Times New Roman" w:hAnsi="Times New Roman" w:cs="Times New Roman"/>
          <w:i/>
          <w:sz w:val="24"/>
        </w:rPr>
        <w:t>MDR</w:t>
      </w:r>
      <w:r w:rsidRPr="008D74C2">
        <w:rPr>
          <w:rFonts w:ascii="Times New Roman" w:hAnsi="Times New Roman" w:cs="Times New Roman"/>
          <w:sz w:val="24"/>
        </w:rPr>
        <w:t xml:space="preserve"> 1. panta 1. punkts attiecas tikai uz medicīniskām ierīcēm un medicīnisk</w:t>
      </w:r>
      <w:r w:rsidR="00060AB1">
        <w:rPr>
          <w:rFonts w:ascii="Times New Roman" w:hAnsi="Times New Roman" w:cs="Times New Roman"/>
          <w:sz w:val="24"/>
        </w:rPr>
        <w:t>o</w:t>
      </w:r>
      <w:r w:rsidRPr="008D74C2">
        <w:rPr>
          <w:rFonts w:ascii="Times New Roman" w:hAnsi="Times New Roman" w:cs="Times New Roman"/>
          <w:sz w:val="24"/>
        </w:rPr>
        <w:t xml:space="preserve"> ierīču piederumiem, savukārt </w:t>
      </w:r>
      <w:r w:rsidRPr="008D74C2">
        <w:rPr>
          <w:rFonts w:ascii="Times New Roman" w:hAnsi="Times New Roman" w:cs="Times New Roman"/>
          <w:i/>
          <w:sz w:val="24"/>
        </w:rPr>
        <w:t>MDR</w:t>
      </w:r>
      <w:r w:rsidRPr="008D74C2">
        <w:rPr>
          <w:rFonts w:ascii="Times New Roman" w:hAnsi="Times New Roman" w:cs="Times New Roman"/>
          <w:sz w:val="24"/>
        </w:rPr>
        <w:t xml:space="preserve"> 1. panta 2. punktā noteikts, ka </w:t>
      </w:r>
      <w:r w:rsidRPr="008D74C2">
        <w:rPr>
          <w:rFonts w:ascii="Times New Roman" w:hAnsi="Times New Roman" w:cs="Times New Roman"/>
          <w:i/>
          <w:sz w:val="24"/>
        </w:rPr>
        <w:t>MDR</w:t>
      </w:r>
      <w:r w:rsidRPr="008D74C2">
        <w:rPr>
          <w:rFonts w:ascii="Times New Roman" w:hAnsi="Times New Roman" w:cs="Times New Roman"/>
          <w:sz w:val="24"/>
        </w:rPr>
        <w:t xml:space="preserve"> piemēro arī attiecībā uz XVI pielikumā minētajiem izstrādājumiem. Terminiem “medicīniska ierīce” un “medicīniskas ierīces piederums” ir sniegtas definīcijas, kas nosaka abu šo terminu nozīmi, savukārt XVI pielikuma izstrādājumiem definīcija Regulā nav sniegta. Tāpēc, lai noteiktu, vai izstrādājums ietilpst </w:t>
      </w:r>
      <w:r w:rsidRPr="008D74C2">
        <w:rPr>
          <w:rFonts w:ascii="Times New Roman" w:hAnsi="Times New Roman" w:cs="Times New Roman"/>
          <w:i/>
          <w:sz w:val="24"/>
        </w:rPr>
        <w:t>MDR</w:t>
      </w:r>
      <w:r w:rsidRPr="008D74C2">
        <w:rPr>
          <w:rFonts w:ascii="Times New Roman" w:hAnsi="Times New Roman" w:cs="Times New Roman"/>
          <w:sz w:val="24"/>
        </w:rPr>
        <w:t xml:space="preserve"> darbības jomā, jāizmanto XVI pielikumā minēto izstrādājumu grupu apraksti. Nedrīkst izmantot terminu “medicīniska ierīce” un “medicīniskas ierīces piederums” definīcijas.</w:t>
      </w:r>
    </w:p>
    <w:p w14:paraId="31456344" w14:textId="77777777" w:rsidR="009E4F36" w:rsidRPr="008D74C2" w:rsidRDefault="009E4F36" w:rsidP="00C30294">
      <w:pPr>
        <w:pStyle w:val="BodyText"/>
        <w:jc w:val="both"/>
        <w:rPr>
          <w:rFonts w:ascii="Times New Roman" w:hAnsi="Times New Roman" w:cs="Times New Roman"/>
          <w:sz w:val="24"/>
        </w:rPr>
      </w:pPr>
    </w:p>
    <w:p w14:paraId="47E2DDB5" w14:textId="277F6CCF" w:rsidR="009E4F36" w:rsidRPr="008D74C2" w:rsidRDefault="009E4F36" w:rsidP="00C30294">
      <w:pPr>
        <w:pStyle w:val="BodyText"/>
        <w:jc w:val="both"/>
        <w:rPr>
          <w:rFonts w:ascii="Times New Roman" w:hAnsi="Times New Roman" w:cs="Times New Roman"/>
          <w:sz w:val="24"/>
        </w:rPr>
      </w:pPr>
      <w:r w:rsidRPr="008D74C2">
        <w:rPr>
          <w:rFonts w:ascii="Times New Roman" w:hAnsi="Times New Roman" w:cs="Times New Roman"/>
          <w:i/>
          <w:sz w:val="24"/>
        </w:rPr>
        <w:t>MDR</w:t>
      </w:r>
      <w:r w:rsidRPr="008D74C2">
        <w:rPr>
          <w:rFonts w:ascii="Times New Roman" w:hAnsi="Times New Roman" w:cs="Times New Roman"/>
          <w:sz w:val="24"/>
        </w:rPr>
        <w:t xml:space="preserve"> ir piemērojama attiecībā uz XVI pielikuma izstrādājumiem no dienas, kad tiek piemērotas </w:t>
      </w:r>
      <w:r w:rsidR="000149B7">
        <w:rPr>
          <w:rFonts w:ascii="Times New Roman" w:hAnsi="Times New Roman" w:cs="Times New Roman"/>
          <w:sz w:val="24"/>
        </w:rPr>
        <w:t>KS</w:t>
      </w:r>
      <w:r w:rsidRPr="008D74C2">
        <w:rPr>
          <w:rFonts w:ascii="Times New Roman" w:hAnsi="Times New Roman" w:cs="Times New Roman"/>
          <w:sz w:val="24"/>
        </w:rPr>
        <w:t xml:space="preserve">, kas ietver izstrādājumus vai izstrādājumu grupas. Ja izstrādājumam vai izstrādājumu grupai nav kopīgo specifikāciju, </w:t>
      </w:r>
      <w:r w:rsidRPr="008D74C2">
        <w:rPr>
          <w:rFonts w:ascii="Times New Roman" w:hAnsi="Times New Roman" w:cs="Times New Roman"/>
          <w:i/>
          <w:sz w:val="24"/>
        </w:rPr>
        <w:t>MDR</w:t>
      </w:r>
      <w:r w:rsidRPr="008D74C2">
        <w:rPr>
          <w:rFonts w:ascii="Times New Roman" w:hAnsi="Times New Roman" w:cs="Times New Roman"/>
          <w:sz w:val="24"/>
        </w:rPr>
        <w:t xml:space="preserve"> nepiemēro attiecībā uz šiem izstrādājumiem. Var būt piemērojami citi ES tiesību akti. Noderīga informācija ir sniegta “Zilajā rokasgrāmatā” par produktu noteikumu īstenošanu</w:t>
      </w:r>
      <w:r w:rsidR="00BB5703" w:rsidRPr="008D74C2">
        <w:rPr>
          <w:rStyle w:val="FootnoteReference"/>
          <w:rFonts w:ascii="Times New Roman" w:hAnsi="Times New Roman" w:cs="Times New Roman"/>
          <w:sz w:val="24"/>
        </w:rPr>
        <w:footnoteReference w:id="11"/>
      </w:r>
      <w:r w:rsidRPr="008D74C2">
        <w:rPr>
          <w:rFonts w:ascii="Times New Roman" w:hAnsi="Times New Roman" w:cs="Times New Roman"/>
          <w:sz w:val="24"/>
        </w:rPr>
        <w:t>.</w:t>
      </w:r>
    </w:p>
    <w:p w14:paraId="3DC60B03" w14:textId="77777777" w:rsidR="00BB5703" w:rsidRPr="008D74C2" w:rsidRDefault="00BB5703" w:rsidP="00C30294">
      <w:pPr>
        <w:pStyle w:val="BodyText"/>
        <w:jc w:val="both"/>
        <w:rPr>
          <w:rFonts w:ascii="Times New Roman" w:hAnsi="Times New Roman" w:cs="Times New Roman"/>
          <w:sz w:val="24"/>
        </w:rPr>
      </w:pPr>
    </w:p>
    <w:p w14:paraId="656044B0" w14:textId="77777777" w:rsidR="009E4F36" w:rsidRPr="008D74C2" w:rsidRDefault="009E4F36" w:rsidP="00C30294">
      <w:pPr>
        <w:pStyle w:val="BodyText"/>
        <w:jc w:val="both"/>
        <w:rPr>
          <w:rFonts w:ascii="Times New Roman" w:hAnsi="Times New Roman" w:cs="Times New Roman"/>
          <w:sz w:val="24"/>
        </w:rPr>
      </w:pPr>
      <w:r w:rsidRPr="008D74C2">
        <w:rPr>
          <w:rFonts w:ascii="Times New Roman" w:hAnsi="Times New Roman" w:cs="Times New Roman"/>
          <w:sz w:val="24"/>
        </w:rPr>
        <w:t>Izstrādājumu kvalificē kā ierīci, pamatojoties uz informāciju, kas sniegta XVI pielikuma sarakstā un kopīgo specifikāciju tvēruma punktos. Proti, jāpastāv atbilstībai tādiem minētajos noteikumos norādītiem raksturlielumiem kā, piemēram, izstrādājuma veids, tehnoloģija, darbības režīmi, mērķa ķermeņa daļa, orgāns vai audi un nolūks, kam izstrādājums ir paredzēts. XVI pielikuma sarakstā un kopīgo specifikāciju tvēruma punktos sniegtie izstrādājumu piemēri jāuzskata par papildu informācijas avotiem kvalifikācijai, pat ja to apraksts nav izsmeļošs.</w:t>
      </w:r>
    </w:p>
    <w:p w14:paraId="39380F45" w14:textId="77777777" w:rsidR="009E4F36" w:rsidRPr="008D74C2" w:rsidRDefault="009E4F36" w:rsidP="007D1A8F">
      <w:pPr>
        <w:pStyle w:val="BodyText"/>
        <w:keepNext/>
        <w:keepLines/>
        <w:jc w:val="both"/>
        <w:rPr>
          <w:rFonts w:ascii="Times New Roman" w:hAnsi="Times New Roman" w:cs="Times New Roman"/>
          <w:sz w:val="24"/>
        </w:rPr>
      </w:pPr>
    </w:p>
    <w:p w14:paraId="36AEA328" w14:textId="605D15ED" w:rsidR="009E4F36" w:rsidRPr="008D74C2" w:rsidRDefault="009E4F36" w:rsidP="007D1A8F">
      <w:pPr>
        <w:pStyle w:val="BodyText"/>
        <w:keepNext/>
        <w:keepLines/>
        <w:jc w:val="both"/>
        <w:rPr>
          <w:rFonts w:ascii="Times New Roman" w:hAnsi="Times New Roman" w:cs="Times New Roman"/>
          <w:sz w:val="24"/>
        </w:rPr>
      </w:pPr>
      <w:r w:rsidRPr="008D74C2">
        <w:rPr>
          <w:rFonts w:ascii="Times New Roman" w:hAnsi="Times New Roman" w:cs="Times New Roman"/>
          <w:i/>
          <w:sz w:val="24"/>
        </w:rPr>
        <w:t>MDR</w:t>
      </w:r>
      <w:r w:rsidRPr="008D74C2">
        <w:rPr>
          <w:rFonts w:ascii="Times New Roman" w:hAnsi="Times New Roman" w:cs="Times New Roman"/>
          <w:sz w:val="24"/>
        </w:rPr>
        <w:t xml:space="preserve"> 12. apsvērumā</w:t>
      </w:r>
      <w:r w:rsidR="006C78AB" w:rsidRPr="008D74C2">
        <w:rPr>
          <w:rStyle w:val="FootnoteReference"/>
          <w:rFonts w:ascii="Times New Roman" w:hAnsi="Times New Roman" w:cs="Times New Roman"/>
          <w:sz w:val="24"/>
        </w:rPr>
        <w:footnoteReference w:id="12"/>
      </w:r>
      <w:r w:rsidRPr="008D74C2">
        <w:rPr>
          <w:rFonts w:ascii="Times New Roman" w:hAnsi="Times New Roman" w:cs="Times New Roman"/>
          <w:sz w:val="24"/>
        </w:rPr>
        <w:t xml:space="preserve"> noteikts, ka XVI pielikuma izstrādājumiem to darbības un riska profila ziņā ir jālīdzinās medicīniskām ierīcēm. Šis pamatprincips ir atspoguļots </w:t>
      </w:r>
      <w:r w:rsidRPr="008D74C2">
        <w:rPr>
          <w:rFonts w:ascii="Times New Roman" w:hAnsi="Times New Roman" w:cs="Times New Roman"/>
          <w:i/>
          <w:sz w:val="24"/>
        </w:rPr>
        <w:t>MDR</w:t>
      </w:r>
      <w:r w:rsidRPr="008D74C2">
        <w:rPr>
          <w:rFonts w:ascii="Times New Roman" w:hAnsi="Times New Roman" w:cs="Times New Roman"/>
          <w:sz w:val="24"/>
        </w:rPr>
        <w:t xml:space="preserve"> 1. panta 2. punktā, lai ņemtu vērā jaunākos sasniegumus un jo īpaši spēkā esošos saskaņotos standartus attiecībā uz analoģiskām ierīcēm, kuras ir paredzētas medicīniskam nolūkam un kuru pamatā ir līdzīga tehnoloģija. Tāpēc līdzības ar analoģiskām medicīniskām ierīcēm var uzskatīt arī par pamatprincipu, kas nosaka, vai izstrādājumu var kvalificēt par ierīci.</w:t>
      </w:r>
    </w:p>
    <w:p w14:paraId="64B60E3F" w14:textId="77777777" w:rsidR="009E4F36" w:rsidRPr="008D74C2" w:rsidRDefault="009E4F36" w:rsidP="00C30294">
      <w:pPr>
        <w:pStyle w:val="BodyText"/>
        <w:jc w:val="both"/>
        <w:rPr>
          <w:rFonts w:ascii="Times New Roman" w:hAnsi="Times New Roman" w:cs="Times New Roman"/>
          <w:sz w:val="24"/>
        </w:rPr>
      </w:pPr>
    </w:p>
    <w:p w14:paraId="374D6320" w14:textId="1A7EE059" w:rsidR="009E4F36" w:rsidRPr="008D74C2" w:rsidRDefault="006C78AB" w:rsidP="006C78AB">
      <w:pPr>
        <w:pStyle w:val="Heading2"/>
        <w:tabs>
          <w:tab w:val="left" w:pos="797"/>
        </w:tabs>
        <w:spacing w:before="0"/>
        <w:ind w:left="0" w:firstLine="0"/>
        <w:jc w:val="both"/>
        <w:rPr>
          <w:rFonts w:ascii="Times New Roman" w:hAnsi="Times New Roman" w:cs="Times New Roman"/>
          <w:color w:val="365F91"/>
          <w:sz w:val="24"/>
        </w:rPr>
      </w:pPr>
      <w:bookmarkStart w:id="5" w:name="3.2_Accessories"/>
      <w:bookmarkEnd w:id="5"/>
      <w:r w:rsidRPr="008D74C2">
        <w:rPr>
          <w:rFonts w:ascii="Times New Roman" w:hAnsi="Times New Roman" w:cs="Times New Roman"/>
          <w:color w:val="365F91"/>
          <w:sz w:val="24"/>
        </w:rPr>
        <w:t>3.2. Piederumi</w:t>
      </w:r>
    </w:p>
    <w:p w14:paraId="1883D349" w14:textId="77777777" w:rsidR="006C78AB" w:rsidRPr="008D74C2" w:rsidRDefault="006C78AB" w:rsidP="006C78AB">
      <w:pPr>
        <w:pStyle w:val="Heading2"/>
        <w:tabs>
          <w:tab w:val="left" w:pos="797"/>
        </w:tabs>
        <w:spacing w:before="0"/>
        <w:ind w:left="0" w:firstLine="0"/>
        <w:jc w:val="both"/>
        <w:rPr>
          <w:rFonts w:ascii="Times New Roman" w:hAnsi="Times New Roman" w:cs="Times New Roman"/>
          <w:color w:val="365F91"/>
          <w:sz w:val="24"/>
        </w:rPr>
      </w:pPr>
    </w:p>
    <w:p w14:paraId="2EE08D1B" w14:textId="77777777" w:rsidR="009E4F36" w:rsidRPr="008D74C2" w:rsidRDefault="009E4F36" w:rsidP="00C30294">
      <w:pPr>
        <w:pStyle w:val="BodyText"/>
        <w:jc w:val="both"/>
        <w:rPr>
          <w:rFonts w:ascii="Times New Roman" w:hAnsi="Times New Roman" w:cs="Times New Roman"/>
          <w:sz w:val="24"/>
        </w:rPr>
      </w:pPr>
      <w:r w:rsidRPr="008D74C2">
        <w:rPr>
          <w:rFonts w:ascii="Times New Roman" w:hAnsi="Times New Roman" w:cs="Times New Roman"/>
          <w:sz w:val="24"/>
        </w:rPr>
        <w:t xml:space="preserve">XVI pielikuma izstrādājumu piederumi nav definēti </w:t>
      </w:r>
      <w:r w:rsidRPr="008D74C2">
        <w:rPr>
          <w:rFonts w:ascii="Times New Roman" w:hAnsi="Times New Roman" w:cs="Times New Roman"/>
          <w:i/>
          <w:sz w:val="24"/>
        </w:rPr>
        <w:t>MDR</w:t>
      </w:r>
      <w:r w:rsidRPr="008D74C2">
        <w:rPr>
          <w:rFonts w:ascii="Times New Roman" w:hAnsi="Times New Roman" w:cs="Times New Roman"/>
          <w:sz w:val="24"/>
        </w:rPr>
        <w:t xml:space="preserve"> 2. pantā. Tomēr šādi priekšmeti ietilpst </w:t>
      </w:r>
      <w:r w:rsidRPr="008D74C2">
        <w:rPr>
          <w:rFonts w:ascii="Times New Roman" w:hAnsi="Times New Roman" w:cs="Times New Roman"/>
          <w:i/>
          <w:sz w:val="24"/>
        </w:rPr>
        <w:t>MDR</w:t>
      </w:r>
      <w:r w:rsidRPr="008D74C2">
        <w:rPr>
          <w:rFonts w:ascii="Times New Roman" w:hAnsi="Times New Roman" w:cs="Times New Roman"/>
          <w:sz w:val="24"/>
        </w:rPr>
        <w:t xml:space="preserve"> darbības jomā, ja atbilst </w:t>
      </w:r>
      <w:r w:rsidRPr="008D74C2">
        <w:rPr>
          <w:rFonts w:ascii="Times New Roman" w:hAnsi="Times New Roman" w:cs="Times New Roman"/>
          <w:i/>
          <w:sz w:val="24"/>
        </w:rPr>
        <w:t>MDR</w:t>
      </w:r>
      <w:r w:rsidRPr="008D74C2">
        <w:rPr>
          <w:rFonts w:ascii="Times New Roman" w:hAnsi="Times New Roman" w:cs="Times New Roman"/>
          <w:sz w:val="24"/>
        </w:rPr>
        <w:t xml:space="preserve"> XVI pielikumā sniegtajiem aprakstiem un ja ietilpst kopējo specifikāciju tvēruma punktos.</w:t>
      </w:r>
    </w:p>
    <w:p w14:paraId="77920D69" w14:textId="77777777" w:rsidR="009E4F36" w:rsidRPr="008D74C2" w:rsidRDefault="009E4F36" w:rsidP="00C30294">
      <w:pPr>
        <w:pStyle w:val="BodyText"/>
        <w:jc w:val="both"/>
        <w:rPr>
          <w:rFonts w:ascii="Times New Roman" w:hAnsi="Times New Roman" w:cs="Times New Roman"/>
          <w:sz w:val="24"/>
        </w:rPr>
      </w:pPr>
    </w:p>
    <w:p w14:paraId="391975B9" w14:textId="77777777" w:rsidR="009E4F36" w:rsidRPr="008D74C2" w:rsidRDefault="009E4F36" w:rsidP="00C30294">
      <w:pPr>
        <w:pStyle w:val="BodyText"/>
        <w:jc w:val="both"/>
        <w:rPr>
          <w:rFonts w:ascii="Times New Roman" w:hAnsi="Times New Roman" w:cs="Times New Roman"/>
          <w:sz w:val="24"/>
        </w:rPr>
      </w:pPr>
      <w:r w:rsidRPr="008D74C2">
        <w:rPr>
          <w:rFonts w:ascii="Times New Roman" w:hAnsi="Times New Roman" w:cs="Times New Roman"/>
          <w:sz w:val="24"/>
        </w:rPr>
        <w:t>Ja priekšmetu var izmantot tikai kopā ar XVI pielikuma izstrādājumu, to var laist tirgū kopā ar šo izstrādājumu un uzskatīt par šā izstrādājuma daļu.</w:t>
      </w:r>
    </w:p>
    <w:p w14:paraId="20C6085C" w14:textId="77777777" w:rsidR="009E4F36" w:rsidRPr="008D74C2" w:rsidRDefault="009E4F36" w:rsidP="00C30294">
      <w:pPr>
        <w:pStyle w:val="BodyText"/>
        <w:jc w:val="both"/>
        <w:rPr>
          <w:rFonts w:ascii="Times New Roman" w:hAnsi="Times New Roman" w:cs="Times New Roman"/>
          <w:sz w:val="24"/>
        </w:rPr>
      </w:pPr>
    </w:p>
    <w:p w14:paraId="683B7634" w14:textId="77777777" w:rsidR="009E4F36" w:rsidRPr="008D74C2" w:rsidRDefault="009E4F36" w:rsidP="00C30294">
      <w:pPr>
        <w:pStyle w:val="BodyText"/>
        <w:jc w:val="both"/>
        <w:rPr>
          <w:rFonts w:ascii="Times New Roman" w:hAnsi="Times New Roman" w:cs="Times New Roman"/>
          <w:sz w:val="24"/>
        </w:rPr>
      </w:pPr>
      <w:r w:rsidRPr="008D74C2">
        <w:rPr>
          <w:rFonts w:ascii="Times New Roman" w:hAnsi="Times New Roman" w:cs="Times New Roman"/>
          <w:sz w:val="24"/>
        </w:rPr>
        <w:t>Ja priekšmetu var izmantot atsevišķi vai kopā ar citiem XVI pielikuma izstrādājumiem, to var laist tirgū vai nu atsevišķi kā XVI pielikuma izstrādājumu, vai kopā ar citiem XVI pielikuma izstrādājumiem, ar kuriem tas ir saderīgs. Otrajā minētajā gadījumā to varētu uzskatīt par šo izstrādājumu daļu.</w:t>
      </w:r>
    </w:p>
    <w:p w14:paraId="4C329F5A" w14:textId="77777777" w:rsidR="009E4F36" w:rsidRPr="008D74C2" w:rsidRDefault="009E4F36" w:rsidP="00C30294">
      <w:pPr>
        <w:pStyle w:val="BodyText"/>
        <w:jc w:val="both"/>
        <w:rPr>
          <w:rFonts w:ascii="Times New Roman" w:hAnsi="Times New Roman" w:cs="Times New Roman"/>
          <w:sz w:val="24"/>
        </w:rPr>
      </w:pPr>
    </w:p>
    <w:p w14:paraId="3F177783" w14:textId="69FF44A6" w:rsidR="009E4F36" w:rsidRPr="008D74C2" w:rsidRDefault="006C78AB" w:rsidP="006C78AB">
      <w:pPr>
        <w:pStyle w:val="Heading2"/>
        <w:tabs>
          <w:tab w:val="left" w:pos="797"/>
        </w:tabs>
        <w:spacing w:before="0"/>
        <w:ind w:left="0" w:firstLine="0"/>
        <w:jc w:val="both"/>
        <w:rPr>
          <w:rFonts w:ascii="Times New Roman" w:hAnsi="Times New Roman" w:cs="Times New Roman"/>
          <w:color w:val="365F91"/>
          <w:sz w:val="24"/>
        </w:rPr>
      </w:pPr>
      <w:bookmarkStart w:id="6" w:name="3.3_Dual-purpose_devices"/>
      <w:bookmarkEnd w:id="6"/>
      <w:r w:rsidRPr="008D74C2">
        <w:rPr>
          <w:rFonts w:ascii="Times New Roman" w:hAnsi="Times New Roman" w:cs="Times New Roman"/>
          <w:color w:val="365F91"/>
          <w:sz w:val="24"/>
        </w:rPr>
        <w:t>3.3. Divējāda lietojuma ierīces</w:t>
      </w:r>
    </w:p>
    <w:p w14:paraId="00C33C6A" w14:textId="77777777" w:rsidR="006C78AB" w:rsidRPr="008D74C2" w:rsidRDefault="006C78AB" w:rsidP="00C30294">
      <w:pPr>
        <w:pStyle w:val="BodyText"/>
        <w:jc w:val="both"/>
        <w:rPr>
          <w:rFonts w:ascii="Times New Roman" w:hAnsi="Times New Roman" w:cs="Times New Roman"/>
          <w:sz w:val="24"/>
        </w:rPr>
      </w:pPr>
    </w:p>
    <w:p w14:paraId="0250A460" w14:textId="1BBA2797" w:rsidR="009E4F36" w:rsidRPr="008D74C2" w:rsidRDefault="009E4F36" w:rsidP="00C30294">
      <w:pPr>
        <w:pStyle w:val="BodyText"/>
        <w:jc w:val="both"/>
        <w:rPr>
          <w:rFonts w:ascii="Times New Roman" w:hAnsi="Times New Roman" w:cs="Times New Roman"/>
          <w:sz w:val="24"/>
        </w:rPr>
      </w:pPr>
      <w:r w:rsidRPr="008D74C2">
        <w:rPr>
          <w:rFonts w:ascii="Times New Roman" w:hAnsi="Times New Roman" w:cs="Times New Roman"/>
          <w:sz w:val="24"/>
        </w:rPr>
        <w:t>Ja ražotājs norāda, ka ierīcei ir gan medicīnisks, gan nemedicīnisks nolūks, šīm ierīcēm, dēvētām par divējāda lietojuma ierīcēm, kumulatīvi jāatbilst gan prasībām, ko attiecina uz medicīniskam nolūkam paredzētām ierīcēm, gan arī prasībām, ko attiecina uz ierīcēm, kuras nav paredzētas medicīniskam nolūkam</w:t>
      </w:r>
      <w:r w:rsidR="00E72F23" w:rsidRPr="008D74C2">
        <w:rPr>
          <w:rStyle w:val="FootnoteReference"/>
          <w:rFonts w:ascii="Times New Roman" w:hAnsi="Times New Roman" w:cs="Times New Roman"/>
          <w:sz w:val="24"/>
        </w:rPr>
        <w:footnoteReference w:id="13"/>
      </w:r>
      <w:r w:rsidRPr="008D74C2">
        <w:rPr>
          <w:rFonts w:ascii="Times New Roman" w:hAnsi="Times New Roman" w:cs="Times New Roman"/>
          <w:sz w:val="24"/>
        </w:rPr>
        <w:t>.</w:t>
      </w:r>
    </w:p>
    <w:p w14:paraId="30B0DB98" w14:textId="77777777" w:rsidR="006C78AB" w:rsidRPr="008D74C2" w:rsidRDefault="006C78AB" w:rsidP="00C30294">
      <w:pPr>
        <w:pStyle w:val="BodyText"/>
        <w:jc w:val="both"/>
        <w:rPr>
          <w:rFonts w:ascii="Times New Roman" w:hAnsi="Times New Roman" w:cs="Times New Roman"/>
          <w:sz w:val="24"/>
        </w:rPr>
      </w:pPr>
    </w:p>
    <w:p w14:paraId="6ABEAACC" w14:textId="77777777" w:rsidR="009E4F36" w:rsidRPr="008D74C2" w:rsidRDefault="009E4F36" w:rsidP="00C30294">
      <w:pPr>
        <w:pStyle w:val="BodyText"/>
        <w:jc w:val="both"/>
        <w:rPr>
          <w:rFonts w:ascii="Times New Roman" w:hAnsi="Times New Roman" w:cs="Times New Roman"/>
          <w:sz w:val="24"/>
        </w:rPr>
      </w:pPr>
      <w:r w:rsidRPr="008D74C2">
        <w:rPr>
          <w:rFonts w:ascii="Times New Roman" w:hAnsi="Times New Roman" w:cs="Times New Roman"/>
          <w:sz w:val="24"/>
        </w:rPr>
        <w:t xml:space="preserve">Dažas prasības no kopīgajām specifikācijām un </w:t>
      </w:r>
      <w:r w:rsidRPr="008D74C2">
        <w:rPr>
          <w:rFonts w:ascii="Times New Roman" w:hAnsi="Times New Roman" w:cs="Times New Roman"/>
          <w:i/>
          <w:sz w:val="24"/>
        </w:rPr>
        <w:t>MDR</w:t>
      </w:r>
      <w:r w:rsidRPr="008D74C2">
        <w:rPr>
          <w:rFonts w:ascii="Times New Roman" w:hAnsi="Times New Roman" w:cs="Times New Roman"/>
          <w:sz w:val="24"/>
        </w:rPr>
        <w:t>, piemēram, prasības par risku pieņemamību, var nesakrist. Šādos gadījumos jāpiemēro stingrākās no prasībām.</w:t>
      </w:r>
    </w:p>
    <w:p w14:paraId="70101C89" w14:textId="77777777" w:rsidR="006C78AB" w:rsidRPr="008D74C2" w:rsidRDefault="006C78AB" w:rsidP="00C30294">
      <w:pPr>
        <w:pStyle w:val="BodyText"/>
        <w:jc w:val="both"/>
        <w:rPr>
          <w:rFonts w:ascii="Times New Roman" w:hAnsi="Times New Roman" w:cs="Times New Roman"/>
          <w:sz w:val="24"/>
        </w:rPr>
      </w:pPr>
    </w:p>
    <w:p w14:paraId="2FAB4F98" w14:textId="37B48042" w:rsidR="009E4F36" w:rsidRPr="008D74C2" w:rsidRDefault="009E4F36" w:rsidP="00C30294">
      <w:pPr>
        <w:pStyle w:val="BodyText"/>
        <w:jc w:val="both"/>
        <w:rPr>
          <w:rFonts w:ascii="Times New Roman" w:hAnsi="Times New Roman" w:cs="Times New Roman"/>
          <w:sz w:val="24"/>
        </w:rPr>
      </w:pPr>
      <w:r w:rsidRPr="008D74C2">
        <w:rPr>
          <w:rFonts w:ascii="Times New Roman" w:hAnsi="Times New Roman" w:cs="Times New Roman"/>
          <w:sz w:val="24"/>
        </w:rPr>
        <w:t xml:space="preserve">Ja divējādais lietojums nekad netiek vienlaicīgi piemērots attiecībā uz vienu pacientu (piemēram, aprīkojumu var izmantot medicīniskam nolūkam vai nemedicīniskam nolūkam, bet ne abiem nolūkiem vienlaikus), </w:t>
      </w:r>
      <w:r w:rsidRPr="008D74C2">
        <w:rPr>
          <w:rFonts w:ascii="Times New Roman" w:hAnsi="Times New Roman" w:cs="Times New Roman"/>
          <w:i/>
          <w:sz w:val="24"/>
        </w:rPr>
        <w:t>MDR</w:t>
      </w:r>
      <w:r w:rsidRPr="008D74C2">
        <w:rPr>
          <w:rFonts w:ascii="Times New Roman" w:hAnsi="Times New Roman" w:cs="Times New Roman"/>
          <w:sz w:val="24"/>
        </w:rPr>
        <w:t xml:space="preserve"> un kopējo specifikāciju prasības var tikt piemērotas atsevišķi, ņemot vērā abus paredzētos nolūkus. Tomēr dažas prasības, piemēram, prasības par riska kontroles pasākumiem, jāapsver arī kopā, jo pasākumi, kas tiek veikti saistībā ar vienu no paredzētajiem nolūkiem, varētu ietekmēt arī izmantošanu otram paredzētajam nolūkam. Šāda situācija var pastāvēt saistībā ar kontroles pasākumiem attiecībā uz medicīniskā nolūka riskiem, kuri varētu radīt jaunus riskus saistībā ar nemedicīnisko nolūku un otrādi</w:t>
      </w:r>
      <w:r w:rsidR="00E72F23" w:rsidRPr="008D74C2">
        <w:rPr>
          <w:rStyle w:val="FootnoteReference"/>
          <w:rFonts w:ascii="Times New Roman" w:hAnsi="Times New Roman" w:cs="Times New Roman"/>
          <w:sz w:val="24"/>
        </w:rPr>
        <w:footnoteReference w:id="14"/>
      </w:r>
      <w:r w:rsidRPr="008D74C2">
        <w:rPr>
          <w:rFonts w:ascii="Times New Roman" w:hAnsi="Times New Roman" w:cs="Times New Roman"/>
          <w:sz w:val="24"/>
        </w:rPr>
        <w:t>.</w:t>
      </w:r>
    </w:p>
    <w:p w14:paraId="499B1C63" w14:textId="77777777" w:rsidR="00E72F23" w:rsidRPr="008D74C2" w:rsidRDefault="00E72F23" w:rsidP="00C30294">
      <w:pPr>
        <w:pStyle w:val="BodyText"/>
        <w:jc w:val="both"/>
        <w:rPr>
          <w:rFonts w:ascii="Times New Roman" w:hAnsi="Times New Roman" w:cs="Times New Roman"/>
          <w:sz w:val="24"/>
        </w:rPr>
      </w:pPr>
    </w:p>
    <w:p w14:paraId="5A1951E2" w14:textId="17052F54" w:rsidR="009E4F36" w:rsidRPr="008D74C2" w:rsidRDefault="00E72F23" w:rsidP="007D1A8F">
      <w:pPr>
        <w:pStyle w:val="Heading2"/>
        <w:keepNext/>
        <w:keepLines/>
        <w:tabs>
          <w:tab w:val="left" w:pos="797"/>
        </w:tabs>
        <w:spacing w:before="0"/>
        <w:ind w:left="0" w:firstLine="0"/>
        <w:jc w:val="both"/>
        <w:rPr>
          <w:rFonts w:ascii="Times New Roman" w:hAnsi="Times New Roman" w:cs="Times New Roman"/>
          <w:color w:val="365F91"/>
          <w:sz w:val="24"/>
        </w:rPr>
      </w:pPr>
      <w:bookmarkStart w:id="7" w:name="3.4_Multiple_intended_purposes"/>
      <w:bookmarkEnd w:id="7"/>
      <w:r w:rsidRPr="008D74C2">
        <w:rPr>
          <w:rFonts w:ascii="Times New Roman" w:hAnsi="Times New Roman" w:cs="Times New Roman"/>
          <w:color w:val="365F91"/>
          <w:sz w:val="24"/>
        </w:rPr>
        <w:lastRenderedPageBreak/>
        <w:t>3.4. Vairāki paredzētie nolūki</w:t>
      </w:r>
    </w:p>
    <w:p w14:paraId="2BA15216" w14:textId="77777777" w:rsidR="00E72F23" w:rsidRPr="008D74C2" w:rsidRDefault="00E72F23" w:rsidP="007D1A8F">
      <w:pPr>
        <w:pStyle w:val="BodyText"/>
        <w:keepNext/>
        <w:keepLines/>
        <w:jc w:val="both"/>
        <w:rPr>
          <w:rFonts w:ascii="Times New Roman" w:hAnsi="Times New Roman" w:cs="Times New Roman"/>
          <w:sz w:val="24"/>
        </w:rPr>
      </w:pPr>
    </w:p>
    <w:p w14:paraId="186738E0" w14:textId="3CF55A98" w:rsidR="009E4F36" w:rsidRPr="008D74C2" w:rsidRDefault="009E4F36" w:rsidP="00C30294">
      <w:pPr>
        <w:pStyle w:val="BodyText"/>
        <w:jc w:val="both"/>
        <w:rPr>
          <w:rFonts w:ascii="Times New Roman" w:hAnsi="Times New Roman" w:cs="Times New Roman"/>
          <w:sz w:val="24"/>
        </w:rPr>
      </w:pPr>
      <w:r w:rsidRPr="008D74C2">
        <w:rPr>
          <w:rFonts w:ascii="Times New Roman" w:hAnsi="Times New Roman" w:cs="Times New Roman"/>
          <w:sz w:val="24"/>
        </w:rPr>
        <w:t xml:space="preserve">Izstrādājumi, kas aprakstīti katrā no </w:t>
      </w:r>
      <w:r w:rsidRPr="008D74C2">
        <w:rPr>
          <w:rFonts w:ascii="Times New Roman" w:hAnsi="Times New Roman" w:cs="Times New Roman"/>
          <w:i/>
          <w:sz w:val="24"/>
        </w:rPr>
        <w:t>MDR</w:t>
      </w:r>
      <w:r w:rsidRPr="008D74C2">
        <w:rPr>
          <w:rFonts w:ascii="Times New Roman" w:hAnsi="Times New Roman" w:cs="Times New Roman"/>
          <w:sz w:val="24"/>
        </w:rPr>
        <w:t xml:space="preserve"> XVI pielikumā minētajām sešām grupām, atšķiras pēc paredzētā nolūka un raksturlielumiem. Pat ja izstrādājumam piemīt daži raksturlielumi, kas ir aprakstīti vairāk nekā vienā grupā, maz ticams, ka tas varētu būt izmantojams paredzētajiem nolūkiem vairāk nekā vienā grupā. Šā iemesla dēļ principā katram izstrādājumam ir jāietilpst tikai vienā no </w:t>
      </w:r>
      <w:r w:rsidRPr="008D74C2">
        <w:rPr>
          <w:rFonts w:ascii="Times New Roman" w:hAnsi="Times New Roman" w:cs="Times New Roman"/>
          <w:i/>
          <w:sz w:val="24"/>
        </w:rPr>
        <w:t>MDR</w:t>
      </w:r>
      <w:r w:rsidRPr="008D74C2">
        <w:rPr>
          <w:rFonts w:ascii="Times New Roman" w:hAnsi="Times New Roman" w:cs="Times New Roman"/>
          <w:sz w:val="24"/>
        </w:rPr>
        <w:t xml:space="preserve"> XVI pielikumā minētajām sešām grupām. Ja tomēr izstrādājums ir izmantojams divu vai vairāku izstrādājumu grupu paredzētajiem nolūkiem un tam piemīt visi šajās grupās aprakstītie raksturlielumi, kopīgajās specifikācijās izklāstītās prasības attiecībā uz šīm grupām ir jāpiemēro kumulatīvi.</w:t>
      </w:r>
    </w:p>
    <w:p w14:paraId="4AFDA0D2" w14:textId="77777777" w:rsidR="009E4F36" w:rsidRPr="008D74C2" w:rsidRDefault="009E4F36" w:rsidP="00C30294">
      <w:pPr>
        <w:pStyle w:val="BodyText"/>
        <w:jc w:val="both"/>
        <w:rPr>
          <w:rFonts w:ascii="Times New Roman" w:hAnsi="Times New Roman" w:cs="Times New Roman"/>
          <w:sz w:val="24"/>
        </w:rPr>
      </w:pPr>
    </w:p>
    <w:p w14:paraId="05BC556D" w14:textId="77777777" w:rsidR="009E4F36" w:rsidRPr="008D74C2" w:rsidRDefault="009E4F36" w:rsidP="00C30294">
      <w:pPr>
        <w:pStyle w:val="BodyText"/>
        <w:jc w:val="both"/>
        <w:rPr>
          <w:rFonts w:ascii="Times New Roman" w:hAnsi="Times New Roman" w:cs="Times New Roman"/>
          <w:sz w:val="24"/>
        </w:rPr>
      </w:pPr>
      <w:r w:rsidRPr="008D74C2">
        <w:rPr>
          <w:rFonts w:ascii="Times New Roman" w:hAnsi="Times New Roman" w:cs="Times New Roman"/>
          <w:sz w:val="24"/>
        </w:rPr>
        <w:t>Piemēri:</w:t>
      </w:r>
    </w:p>
    <w:p w14:paraId="2525EE45" w14:textId="77777777" w:rsidR="009E4F36" w:rsidRPr="008D74C2" w:rsidRDefault="009E4F36" w:rsidP="00C30294">
      <w:pPr>
        <w:pStyle w:val="BodyText"/>
        <w:jc w:val="both"/>
        <w:rPr>
          <w:rFonts w:ascii="Times New Roman" w:hAnsi="Times New Roman" w:cs="Times New Roman"/>
          <w:sz w:val="24"/>
        </w:rPr>
      </w:pPr>
    </w:p>
    <w:p w14:paraId="3B32A555" w14:textId="77777777" w:rsidR="009E4F36" w:rsidRPr="008D74C2" w:rsidRDefault="009E4F36" w:rsidP="00E53DA1">
      <w:pPr>
        <w:pStyle w:val="ListParagraph"/>
        <w:numPr>
          <w:ilvl w:val="2"/>
          <w:numId w:val="8"/>
        </w:numPr>
        <w:tabs>
          <w:tab w:val="left" w:pos="938"/>
        </w:tabs>
        <w:spacing w:before="0"/>
        <w:ind w:left="567" w:hanging="283"/>
        <w:jc w:val="both"/>
        <w:rPr>
          <w:rFonts w:ascii="Times New Roman" w:hAnsi="Times New Roman" w:cs="Times New Roman"/>
          <w:sz w:val="24"/>
        </w:rPr>
      </w:pPr>
      <w:r w:rsidRPr="008D74C2">
        <w:rPr>
          <w:rFonts w:ascii="Times New Roman" w:hAnsi="Times New Roman" w:cs="Times New Roman"/>
          <w:sz w:val="24"/>
        </w:rPr>
        <w:t>lāzerlipolīzes iekārta – tā izstaro augstas intensitātes elektromagnētisko starojumu un likvidē taukaudus. Ja lāzers sekmē taukaudu likvidēšanu un nenodrošina ādas ārstēšanu, tad šis izstrādājums ietilpst tikai 4. grupā. Ja turpretī lāzers sekmē taukaudu likvidēšanu un arī nodrošina ādas ārstēšanu, piemēram, uzlabo ādas stingrību, tad šis izstrādājums ietilpst gan 4. grupā, gan 5. grupā;</w:t>
      </w:r>
    </w:p>
    <w:p w14:paraId="39243154" w14:textId="70DB350F" w:rsidR="009E4F36" w:rsidRPr="008D74C2" w:rsidRDefault="009E4F36" w:rsidP="00E53DA1">
      <w:pPr>
        <w:pStyle w:val="ListParagraph"/>
        <w:numPr>
          <w:ilvl w:val="2"/>
          <w:numId w:val="8"/>
        </w:numPr>
        <w:tabs>
          <w:tab w:val="left" w:pos="938"/>
        </w:tabs>
        <w:spacing w:before="0"/>
        <w:ind w:left="567" w:hanging="283"/>
        <w:jc w:val="both"/>
        <w:rPr>
          <w:rFonts w:ascii="Times New Roman" w:hAnsi="Times New Roman" w:cs="Times New Roman"/>
          <w:sz w:val="24"/>
        </w:rPr>
      </w:pPr>
      <w:r w:rsidRPr="008D74C2">
        <w:rPr>
          <w:rFonts w:ascii="Times New Roman" w:hAnsi="Times New Roman" w:cs="Times New Roman"/>
          <w:sz w:val="24"/>
        </w:rPr>
        <w:t>radiofrekvenču liposakcijas iekārta – tā izstaro augstas intensitātes elektromagnētisko starojumu un likvidē taukaudus. Ja radiofrekvenču starojums sekmē taukaudu likvidēšanu un nenodrošina ādas ārstēšanu, tad šis izstrādājums ietilpst tikai 4. grupā. Ja turpretī radiofrekvenču starojums nodrošina arī ādas ārstēšanu, piemēram, uzlabo ādas stingrību, tad šis izstrādājums ietilpst gan 4. grupā, gan 5. grupā.</w:t>
      </w:r>
    </w:p>
    <w:p w14:paraId="3C8529E0" w14:textId="77777777" w:rsidR="009E4F36" w:rsidRPr="008D74C2" w:rsidRDefault="009E4F36" w:rsidP="00C30294">
      <w:pPr>
        <w:pStyle w:val="BodyText"/>
        <w:jc w:val="both"/>
        <w:rPr>
          <w:rFonts w:ascii="Times New Roman" w:hAnsi="Times New Roman" w:cs="Times New Roman"/>
          <w:sz w:val="24"/>
        </w:rPr>
      </w:pPr>
    </w:p>
    <w:p w14:paraId="5BA43F5B" w14:textId="109984CA" w:rsidR="009E4F36" w:rsidRPr="008D74C2" w:rsidRDefault="00E53DA1" w:rsidP="00E53DA1">
      <w:pPr>
        <w:pStyle w:val="Heading2"/>
        <w:tabs>
          <w:tab w:val="left" w:pos="797"/>
        </w:tabs>
        <w:spacing w:before="0"/>
        <w:ind w:left="0" w:firstLine="0"/>
        <w:jc w:val="both"/>
        <w:rPr>
          <w:rFonts w:ascii="Times New Roman" w:hAnsi="Times New Roman" w:cs="Times New Roman"/>
          <w:color w:val="365F91"/>
          <w:sz w:val="24"/>
        </w:rPr>
      </w:pPr>
      <w:bookmarkStart w:id="8" w:name="3.5_Practical_issues_of_qualification"/>
      <w:bookmarkEnd w:id="8"/>
      <w:r w:rsidRPr="008D74C2">
        <w:rPr>
          <w:rFonts w:ascii="Times New Roman" w:hAnsi="Times New Roman" w:cs="Times New Roman"/>
          <w:color w:val="365F91"/>
          <w:sz w:val="24"/>
        </w:rPr>
        <w:t>3.5. Praktiski kvalifikācijas jautājumi</w:t>
      </w:r>
    </w:p>
    <w:p w14:paraId="36515D30" w14:textId="77777777" w:rsidR="00E53DA1" w:rsidRPr="008D74C2" w:rsidRDefault="00E53DA1" w:rsidP="00C30294">
      <w:pPr>
        <w:pStyle w:val="BodyText"/>
        <w:jc w:val="both"/>
        <w:rPr>
          <w:rFonts w:ascii="Times New Roman" w:hAnsi="Times New Roman" w:cs="Times New Roman"/>
          <w:sz w:val="24"/>
        </w:rPr>
      </w:pPr>
    </w:p>
    <w:p w14:paraId="471F5CC0" w14:textId="6C87F1BA" w:rsidR="009E4F36" w:rsidRPr="008D74C2" w:rsidRDefault="009E4F36" w:rsidP="00C30294">
      <w:pPr>
        <w:pStyle w:val="BodyText"/>
        <w:jc w:val="both"/>
        <w:rPr>
          <w:rFonts w:ascii="Times New Roman" w:hAnsi="Times New Roman" w:cs="Times New Roman"/>
          <w:sz w:val="24"/>
        </w:rPr>
      </w:pPr>
      <w:r w:rsidRPr="008D74C2">
        <w:rPr>
          <w:rFonts w:ascii="Times New Roman" w:hAnsi="Times New Roman" w:cs="Times New Roman"/>
          <w:i/>
          <w:sz w:val="24"/>
        </w:rPr>
        <w:t>MDR</w:t>
      </w:r>
      <w:r w:rsidRPr="008D74C2">
        <w:rPr>
          <w:rFonts w:ascii="Times New Roman" w:hAnsi="Times New Roman" w:cs="Times New Roman"/>
          <w:sz w:val="24"/>
        </w:rPr>
        <w:t xml:space="preserve"> XVI pielikumā uzskaitīto izstrādājumu grupu apraksti ietver terminus vai jēdzienus, kas nav definēti un sīkāk izskaidroti Regulā. Turpmāk tabulā sniegti norādījumi par to, kā piemērot šos terminus vai jēdzienus kvalifikācijas nolūkā.</w:t>
      </w:r>
    </w:p>
    <w:p w14:paraId="193611A9" w14:textId="77777777" w:rsidR="009E4F36" w:rsidRPr="008D74C2" w:rsidRDefault="009E4F36" w:rsidP="00C30294">
      <w:pPr>
        <w:pStyle w:val="BodyText"/>
        <w:jc w:val="both"/>
        <w:rPr>
          <w:rFonts w:ascii="Times New Roman" w:hAnsi="Times New Roman" w:cs="Times New Roman"/>
          <w:sz w:val="24"/>
        </w:rPr>
      </w:pPr>
    </w:p>
    <w:p w14:paraId="04C2A294" w14:textId="77777777" w:rsidR="009E4F36" w:rsidRPr="008D74C2" w:rsidRDefault="009E4F36" w:rsidP="00C30294">
      <w:pPr>
        <w:pStyle w:val="BodyText"/>
        <w:jc w:val="both"/>
        <w:rPr>
          <w:rFonts w:ascii="Times New Roman" w:hAnsi="Times New Roman" w:cs="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738"/>
        <w:gridCol w:w="8393"/>
      </w:tblGrid>
      <w:tr w:rsidR="009E4F36" w:rsidRPr="008D74C2" w14:paraId="04E4BF39" w14:textId="77777777" w:rsidTr="00D25FAF">
        <w:trPr>
          <w:trHeight w:val="268"/>
          <w:tblHeader/>
        </w:trPr>
        <w:tc>
          <w:tcPr>
            <w:tcW w:w="404" w:type="pct"/>
          </w:tcPr>
          <w:p w14:paraId="39E3CDF9" w14:textId="77777777" w:rsidR="009E4F36" w:rsidRPr="008D74C2" w:rsidRDefault="009E4F36" w:rsidP="00C30294">
            <w:pPr>
              <w:pStyle w:val="TableParagraph"/>
              <w:spacing w:line="240" w:lineRule="auto"/>
              <w:ind w:left="0"/>
              <w:jc w:val="both"/>
              <w:rPr>
                <w:rFonts w:ascii="Times New Roman" w:hAnsi="Times New Roman" w:cs="Times New Roman"/>
                <w:b/>
                <w:sz w:val="24"/>
              </w:rPr>
            </w:pPr>
            <w:r w:rsidRPr="008D74C2">
              <w:rPr>
                <w:rFonts w:ascii="Times New Roman" w:hAnsi="Times New Roman" w:cs="Times New Roman"/>
                <w:b/>
                <w:sz w:val="24"/>
              </w:rPr>
              <w:t>Grupa</w:t>
            </w:r>
          </w:p>
        </w:tc>
        <w:tc>
          <w:tcPr>
            <w:tcW w:w="4596" w:type="pct"/>
          </w:tcPr>
          <w:p w14:paraId="7361AADC" w14:textId="77777777" w:rsidR="009E4F36" w:rsidRPr="008D74C2" w:rsidRDefault="009E4F36" w:rsidP="00C30294">
            <w:pPr>
              <w:pStyle w:val="TableParagraph"/>
              <w:spacing w:line="240" w:lineRule="auto"/>
              <w:ind w:left="0"/>
              <w:jc w:val="both"/>
              <w:rPr>
                <w:rFonts w:ascii="Times New Roman" w:hAnsi="Times New Roman" w:cs="Times New Roman"/>
                <w:b/>
                <w:sz w:val="24"/>
              </w:rPr>
            </w:pPr>
            <w:r w:rsidRPr="008D74C2">
              <w:rPr>
                <w:rFonts w:ascii="Times New Roman" w:hAnsi="Times New Roman" w:cs="Times New Roman"/>
                <w:b/>
                <w:sz w:val="24"/>
              </w:rPr>
              <w:t>Skaidrojums</w:t>
            </w:r>
          </w:p>
        </w:tc>
      </w:tr>
      <w:tr w:rsidR="009E4F36" w:rsidRPr="008D74C2" w14:paraId="3FF8A81E" w14:textId="77777777" w:rsidTr="00E53DA1">
        <w:trPr>
          <w:trHeight w:val="806"/>
        </w:trPr>
        <w:tc>
          <w:tcPr>
            <w:tcW w:w="404" w:type="pct"/>
          </w:tcPr>
          <w:p w14:paraId="5688A694" w14:textId="77777777" w:rsidR="009E4F36" w:rsidRPr="008D74C2" w:rsidRDefault="009E4F36" w:rsidP="00C30294">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1.</w:t>
            </w:r>
          </w:p>
        </w:tc>
        <w:tc>
          <w:tcPr>
            <w:tcW w:w="4596" w:type="pct"/>
          </w:tcPr>
          <w:p w14:paraId="56F995E7" w14:textId="348FAA5D" w:rsidR="009E4F36" w:rsidRPr="008D74C2" w:rsidRDefault="009E4F36" w:rsidP="00E53DA1">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Kontaktlēcas, kas ir krāsainas vai apdrukātas nemedicīniskā nolūkā un kas ir paredzētas arī redzes defekta koriģēšanai, jāuzskata par divējāda lietojuma ierīci, kura vienlaikus izmantojama gan medicīniskā, gan nemedicīniskā nolūkā. Izstrādājumu var uzskatīt par medicīnisku ierīci (proti, abām funkcijām ir medicīnisks nolūks) tikai tad, ja krāsa vai apdruka tiek izmantota medicīniskā nolūkā.</w:t>
            </w:r>
          </w:p>
        </w:tc>
      </w:tr>
      <w:tr w:rsidR="009E4F36" w:rsidRPr="008D74C2" w14:paraId="57CB89B9" w14:textId="77777777" w:rsidTr="00E53DA1">
        <w:trPr>
          <w:trHeight w:val="537"/>
        </w:trPr>
        <w:tc>
          <w:tcPr>
            <w:tcW w:w="404" w:type="pct"/>
          </w:tcPr>
          <w:p w14:paraId="415661A3" w14:textId="77777777" w:rsidR="009E4F36" w:rsidRPr="008D74C2" w:rsidRDefault="009E4F36" w:rsidP="00C30294">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2.</w:t>
            </w:r>
          </w:p>
        </w:tc>
        <w:tc>
          <w:tcPr>
            <w:tcW w:w="4596" w:type="pct"/>
          </w:tcPr>
          <w:p w14:paraId="716200F4" w14:textId="57FC553F" w:rsidR="009E4F36" w:rsidRPr="008D74C2" w:rsidRDefault="009E4F36" w:rsidP="00E53DA1">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Termins “fiksācija” jātraktē kā divu vai vairāku ķermeņa daļu stingra un stabila savienošana bez jebkādas relatīvu kustību iespējas starp šīm daļām.</w:t>
            </w:r>
          </w:p>
        </w:tc>
      </w:tr>
      <w:tr w:rsidR="009E4F36" w:rsidRPr="008D74C2" w14:paraId="061C8B11" w14:textId="77777777" w:rsidTr="00E53DA1">
        <w:trPr>
          <w:trHeight w:val="535"/>
        </w:trPr>
        <w:tc>
          <w:tcPr>
            <w:tcW w:w="404" w:type="pct"/>
          </w:tcPr>
          <w:p w14:paraId="366F6C6D" w14:textId="77777777" w:rsidR="009E4F36" w:rsidRPr="008D74C2" w:rsidRDefault="009E4F36" w:rsidP="00C30294">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3.</w:t>
            </w:r>
          </w:p>
        </w:tc>
        <w:tc>
          <w:tcPr>
            <w:tcW w:w="4596" w:type="pct"/>
          </w:tcPr>
          <w:p w14:paraId="5F060C8E" w14:textId="7203EBD4" w:rsidR="009E4F36" w:rsidRPr="008D74C2" w:rsidRDefault="009E4F36" w:rsidP="00E53DA1">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Izstrādājuma paredzētajam nolūkam jābūt sejas vai citas ādas vai gļotādas aizpildīšanai. Tāpēc mezoterapijas izstrādājumus uzskata par kopīgajās specifikācijās ietvertiem izstrādājumiem tikai tad, ja to paredzētais nolūks ir aizpildīšana vai ietver aizpildīšanu.</w:t>
            </w:r>
          </w:p>
        </w:tc>
      </w:tr>
      <w:tr w:rsidR="009E4F36" w:rsidRPr="008D74C2" w14:paraId="6686ACD7" w14:textId="77777777" w:rsidTr="00D25FAF">
        <w:trPr>
          <w:trHeight w:val="530"/>
        </w:trPr>
        <w:tc>
          <w:tcPr>
            <w:tcW w:w="404" w:type="pct"/>
          </w:tcPr>
          <w:p w14:paraId="100FB8BC" w14:textId="77777777" w:rsidR="009E4F36" w:rsidRPr="008D74C2" w:rsidRDefault="009E4F36" w:rsidP="00C30294">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3.</w:t>
            </w:r>
          </w:p>
        </w:tc>
        <w:tc>
          <w:tcPr>
            <w:tcW w:w="4596" w:type="pct"/>
          </w:tcPr>
          <w:p w14:paraId="462EC88E" w14:textId="77777777" w:rsidR="009E4F36" w:rsidRPr="008D74C2" w:rsidRDefault="009E4F36" w:rsidP="00C30294">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Viela, vielu vai priekšmetu kombinācija jāinjicē, izmantojot zemādas, zemgļotādas vai ādas injekciju (intradermāli) vai citu ievadīšanas veidu. Saistībā ar kvalifikāciju jāuzskata, ka šiem terminiem ir turpmāk norādītā nozīme. “Zemādas” nozīmē “zem ādas”, un parasti šis termins norāda uz taukaudiem zem dermas; “zemgļotāda” ir saistaudi zem gļotādas; “intradermāli” nozīmē “dermā”, proti, tieši zem epidermas. Ievadīšanas metode var būt injekcija vai “cita ievadīšana”.</w:t>
            </w:r>
          </w:p>
          <w:p w14:paraId="0BD0DBA3" w14:textId="7FB4DB38" w:rsidR="009E4F36" w:rsidRPr="008D74C2" w:rsidRDefault="009E4F36" w:rsidP="00C30294">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lastRenderedPageBreak/>
              <w:t xml:space="preserve">Citu ievadīšanas līdzekļu piemēri ir hialuronskābes injekcijas pildspalvas vai iepriekš uzpildīti </w:t>
            </w:r>
            <w:r w:rsidR="009064B3" w:rsidRPr="009064B3">
              <w:rPr>
                <w:rFonts w:ascii="Times New Roman" w:hAnsi="Times New Roman" w:cs="Times New Roman"/>
                <w:sz w:val="24"/>
              </w:rPr>
              <w:t>dermas rullīši ar mikroadatām.</w:t>
            </w:r>
          </w:p>
        </w:tc>
      </w:tr>
      <w:tr w:rsidR="00E53DA1" w:rsidRPr="008D74C2" w14:paraId="6FE93693" w14:textId="77777777" w:rsidTr="00E53DA1">
        <w:trPr>
          <w:trHeight w:val="671"/>
        </w:trPr>
        <w:tc>
          <w:tcPr>
            <w:tcW w:w="404" w:type="pct"/>
          </w:tcPr>
          <w:p w14:paraId="76FF1B1E" w14:textId="01E7D7DF" w:rsidR="00E53DA1" w:rsidRPr="008D74C2" w:rsidRDefault="00E53DA1" w:rsidP="00E53DA1">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lastRenderedPageBreak/>
              <w:t>5.</w:t>
            </w:r>
          </w:p>
        </w:tc>
        <w:tc>
          <w:tcPr>
            <w:tcW w:w="4596" w:type="pct"/>
          </w:tcPr>
          <w:p w14:paraId="36513285" w14:textId="0F538DE5" w:rsidR="00E53DA1" w:rsidRPr="008D74C2" w:rsidRDefault="00E53DA1" w:rsidP="00E53DA1">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 xml:space="preserve">Terminu “augsta intensitāte” izmanto elektromagnētiskā starojuma kvalificēšanai, bet </w:t>
            </w:r>
            <w:r w:rsidRPr="008D74C2">
              <w:rPr>
                <w:rFonts w:ascii="Times New Roman" w:hAnsi="Times New Roman" w:cs="Times New Roman"/>
                <w:i/>
                <w:sz w:val="24"/>
              </w:rPr>
              <w:t>MDR</w:t>
            </w:r>
            <w:r w:rsidRPr="008D74C2">
              <w:rPr>
                <w:rFonts w:ascii="Times New Roman" w:hAnsi="Times New Roman" w:cs="Times New Roman"/>
                <w:sz w:val="24"/>
              </w:rPr>
              <w:t xml:space="preserve"> 2. pantā tas nav definēts un tā nozīme nav izskaidrota. Infrasarkanais, redzamās gaismas un ultravioletais starojums</w:t>
            </w:r>
            <w:r w:rsidR="00FB59CE" w:rsidRPr="008D74C2">
              <w:rPr>
                <w:rStyle w:val="FootnoteReference"/>
                <w:rFonts w:ascii="Times New Roman" w:hAnsi="Times New Roman" w:cs="Times New Roman"/>
                <w:sz w:val="24"/>
              </w:rPr>
              <w:footnoteReference w:id="15"/>
            </w:r>
            <w:r w:rsidRPr="008D74C2">
              <w:rPr>
                <w:rFonts w:ascii="Times New Roman" w:hAnsi="Times New Roman" w:cs="Times New Roman"/>
                <w:sz w:val="24"/>
              </w:rPr>
              <w:t xml:space="preserve"> </w:t>
            </w:r>
            <w:r w:rsidRPr="008D74C2">
              <w:rPr>
                <w:rFonts w:ascii="Times New Roman" w:hAnsi="Times New Roman" w:cs="Times New Roman"/>
                <w:i/>
                <w:sz w:val="24"/>
              </w:rPr>
              <w:t>MDR</w:t>
            </w:r>
            <w:r w:rsidRPr="008D74C2">
              <w:rPr>
                <w:rFonts w:ascii="Times New Roman" w:hAnsi="Times New Roman" w:cs="Times New Roman"/>
                <w:sz w:val="24"/>
              </w:rPr>
              <w:t xml:space="preserve"> XVI pielikuma 5. punktā ir minēts kā elektromagnētiskā starojuma piemērs, tāpēc tas nav jāuzskata par pietiekamu pamatu termina “augsta intensitāte” kvalificēšanai. Piemēram, radiofrekvenci</w:t>
            </w:r>
            <w:r w:rsidR="00FB59CE" w:rsidRPr="008D74C2">
              <w:rPr>
                <w:rStyle w:val="FootnoteReference"/>
                <w:rFonts w:ascii="Times New Roman" w:hAnsi="Times New Roman" w:cs="Times New Roman"/>
                <w:sz w:val="24"/>
              </w:rPr>
              <w:footnoteReference w:id="16"/>
            </w:r>
            <w:r w:rsidRPr="008D74C2">
              <w:rPr>
                <w:rFonts w:ascii="Times New Roman" w:hAnsi="Times New Roman" w:cs="Times New Roman"/>
                <w:sz w:val="24"/>
              </w:rPr>
              <w:t xml:space="preserve"> var uzskatīt par cita veida elektromagnētisko starojumu.</w:t>
            </w:r>
          </w:p>
          <w:p w14:paraId="33C03620" w14:textId="37D65186" w:rsidR="00E53DA1" w:rsidRPr="008D74C2" w:rsidRDefault="00E53DA1" w:rsidP="00E53DA1">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 xml:space="preserve">Lai noteiktu, vai izstrādājums emitē augstas intensitātes elektromagnētisko starojumu un līdz ar to ietilpst </w:t>
            </w:r>
            <w:r w:rsidRPr="008D74C2">
              <w:rPr>
                <w:rFonts w:ascii="Times New Roman" w:hAnsi="Times New Roman" w:cs="Times New Roman"/>
                <w:i/>
                <w:sz w:val="24"/>
              </w:rPr>
              <w:t>MDR</w:t>
            </w:r>
            <w:r w:rsidRPr="008D74C2">
              <w:rPr>
                <w:rFonts w:ascii="Times New Roman" w:hAnsi="Times New Roman" w:cs="Times New Roman"/>
                <w:sz w:val="24"/>
              </w:rPr>
              <w:t xml:space="preserve"> XVI pielikuma 5. grupā, elektromagnētisko starojumu uzskata par augstas intensitātes starojumu tad, ja tas spēj radīt tādu iedarbību</w:t>
            </w:r>
            <w:r w:rsidR="00FB59CE" w:rsidRPr="008D74C2">
              <w:rPr>
                <w:rStyle w:val="FootnoteReference"/>
                <w:rFonts w:ascii="Times New Roman" w:hAnsi="Times New Roman" w:cs="Times New Roman"/>
                <w:sz w:val="24"/>
              </w:rPr>
              <w:footnoteReference w:id="17"/>
            </w:r>
            <w:r w:rsidRPr="008D74C2">
              <w:rPr>
                <w:rFonts w:ascii="Times New Roman" w:hAnsi="Times New Roman" w:cs="Times New Roman"/>
                <w:sz w:val="24"/>
              </w:rPr>
              <w:t xml:space="preserve"> uz mērķaudiem, kāda nepieciešama, lai īstenotu nolūku, kam izstrādājums paredzēts.</w:t>
            </w:r>
          </w:p>
        </w:tc>
      </w:tr>
    </w:tbl>
    <w:p w14:paraId="5E3C375E" w14:textId="77777777" w:rsidR="00FB59CE" w:rsidRPr="008D74C2" w:rsidRDefault="00FB59CE" w:rsidP="00C30294">
      <w:pPr>
        <w:jc w:val="both"/>
        <w:rPr>
          <w:rFonts w:ascii="Times New Roman" w:hAnsi="Times New Roman" w:cs="Times New Roman"/>
          <w:sz w:val="24"/>
        </w:rPr>
      </w:pPr>
    </w:p>
    <w:p w14:paraId="4A337FEB" w14:textId="302FFE65" w:rsidR="009E4F36" w:rsidRPr="008D74C2" w:rsidRDefault="00FB59CE" w:rsidP="00FB59CE">
      <w:pPr>
        <w:pStyle w:val="Heading2"/>
        <w:tabs>
          <w:tab w:val="left" w:pos="797"/>
        </w:tabs>
        <w:spacing w:before="0"/>
        <w:ind w:left="0" w:firstLine="0"/>
        <w:jc w:val="both"/>
        <w:rPr>
          <w:rFonts w:ascii="Times New Roman" w:hAnsi="Times New Roman" w:cs="Times New Roman"/>
          <w:color w:val="365F91"/>
          <w:sz w:val="24"/>
        </w:rPr>
      </w:pPr>
      <w:bookmarkStart w:id="9" w:name="3.6_Examples_of_products_that_do_not_qua"/>
      <w:bookmarkEnd w:id="9"/>
      <w:r w:rsidRPr="008D74C2">
        <w:rPr>
          <w:rFonts w:ascii="Times New Roman" w:hAnsi="Times New Roman" w:cs="Times New Roman"/>
          <w:color w:val="365F91"/>
          <w:sz w:val="24"/>
        </w:rPr>
        <w:t>3.6. Piemēri izstrādājumiem, kas nav kvalificējami kā XVI pielikuma izstrādājumi</w:t>
      </w:r>
    </w:p>
    <w:p w14:paraId="6F0155F3" w14:textId="77777777" w:rsidR="00FB59CE" w:rsidRPr="008D74C2" w:rsidRDefault="00FB59CE" w:rsidP="00C30294">
      <w:pPr>
        <w:pStyle w:val="BodyText"/>
        <w:jc w:val="both"/>
        <w:rPr>
          <w:rFonts w:ascii="Times New Roman" w:hAnsi="Times New Roman" w:cs="Times New Roman"/>
          <w:sz w:val="24"/>
        </w:rPr>
      </w:pPr>
    </w:p>
    <w:p w14:paraId="34BF31E3" w14:textId="3FDAB741" w:rsidR="009E4F36" w:rsidRPr="008D74C2" w:rsidRDefault="00D60212" w:rsidP="00C30294">
      <w:pPr>
        <w:pStyle w:val="BodyText"/>
        <w:jc w:val="both"/>
        <w:rPr>
          <w:rFonts w:ascii="Times New Roman" w:hAnsi="Times New Roman" w:cs="Times New Roman"/>
          <w:sz w:val="24"/>
        </w:rPr>
      </w:pPr>
      <w:r w:rsidRPr="00D60212">
        <w:rPr>
          <w:rFonts w:ascii="Times New Roman" w:hAnsi="Times New Roman" w:cs="Times New Roman"/>
          <w:sz w:val="24"/>
        </w:rPr>
        <w:t>Turpmāk tabulā sniegts tādu izstrādājumu uzskaitījums, kas nav kvalificējami kā XVI pielikuma izstrādājumi un kas nav ietverti kopīgajās specifikācijās. Jāņem vērā, ka uzskaitījums nav pilnīgs</w:t>
      </w:r>
      <w:r w:rsidR="009E4F36" w:rsidRPr="008D74C2">
        <w:rPr>
          <w:rFonts w:ascii="Times New Roman" w:hAnsi="Times New Roman" w:cs="Times New Roman"/>
          <w:sz w:val="24"/>
        </w:rPr>
        <w:t xml:space="preserve">. Šajā sarakstā nav iekļauti izstrādājumi, ko tieši izslēdz </w:t>
      </w:r>
      <w:r w:rsidR="009E4F36" w:rsidRPr="008D74C2">
        <w:rPr>
          <w:rFonts w:ascii="Times New Roman" w:hAnsi="Times New Roman" w:cs="Times New Roman"/>
          <w:i/>
          <w:sz w:val="24"/>
        </w:rPr>
        <w:t>MDR</w:t>
      </w:r>
      <w:r w:rsidR="009E4F36" w:rsidRPr="008D74C2">
        <w:rPr>
          <w:rFonts w:ascii="Times New Roman" w:hAnsi="Times New Roman" w:cs="Times New Roman"/>
          <w:sz w:val="24"/>
        </w:rPr>
        <w:t xml:space="preserve"> regula un </w:t>
      </w:r>
      <w:r>
        <w:rPr>
          <w:rFonts w:ascii="Times New Roman" w:hAnsi="Times New Roman" w:cs="Times New Roman"/>
          <w:sz w:val="24"/>
        </w:rPr>
        <w:t>KS</w:t>
      </w:r>
      <w:r w:rsidR="00832858" w:rsidRPr="008D74C2">
        <w:rPr>
          <w:rStyle w:val="FootnoteReference"/>
          <w:rFonts w:ascii="Times New Roman" w:hAnsi="Times New Roman" w:cs="Times New Roman"/>
          <w:sz w:val="24"/>
        </w:rPr>
        <w:footnoteReference w:id="18"/>
      </w:r>
      <w:r w:rsidR="009E4F36" w:rsidRPr="008D74C2">
        <w:rPr>
          <w:rFonts w:ascii="Times New Roman" w:hAnsi="Times New Roman" w:cs="Times New Roman"/>
          <w:sz w:val="24"/>
        </w:rPr>
        <w:t>.</w:t>
      </w:r>
    </w:p>
    <w:p w14:paraId="114396AA" w14:textId="77777777" w:rsidR="009E4F36" w:rsidRPr="008D74C2" w:rsidRDefault="009E4F36" w:rsidP="00C30294">
      <w:pPr>
        <w:pStyle w:val="BodyText"/>
        <w:jc w:val="both"/>
        <w:rPr>
          <w:rFonts w:ascii="Times New Roman" w:hAnsi="Times New Roman" w:cs="Times New Roman"/>
          <w:sz w:val="24"/>
        </w:rPr>
      </w:pPr>
    </w:p>
    <w:p w14:paraId="68F7BA5E" w14:textId="77777777" w:rsidR="009E4F36" w:rsidRPr="008D74C2" w:rsidRDefault="009E4F36" w:rsidP="00C30294">
      <w:pPr>
        <w:pStyle w:val="BodyText"/>
        <w:jc w:val="both"/>
        <w:rPr>
          <w:rFonts w:ascii="Times New Roman" w:hAnsi="Times New Roman" w:cs="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738"/>
        <w:gridCol w:w="3859"/>
        <w:gridCol w:w="4534"/>
      </w:tblGrid>
      <w:tr w:rsidR="009E4F36" w:rsidRPr="008D74C2" w14:paraId="58D64636" w14:textId="77777777" w:rsidTr="00D25FAF">
        <w:trPr>
          <w:trHeight w:val="268"/>
          <w:tblHeader/>
        </w:trPr>
        <w:tc>
          <w:tcPr>
            <w:tcW w:w="404" w:type="pct"/>
          </w:tcPr>
          <w:p w14:paraId="02B59459" w14:textId="77777777" w:rsidR="009E4F36" w:rsidRPr="008D74C2" w:rsidRDefault="009E4F36" w:rsidP="00C30294">
            <w:pPr>
              <w:pStyle w:val="TableParagraph"/>
              <w:spacing w:line="240" w:lineRule="auto"/>
              <w:ind w:left="0"/>
              <w:jc w:val="both"/>
              <w:rPr>
                <w:rFonts w:ascii="Times New Roman" w:hAnsi="Times New Roman" w:cs="Times New Roman"/>
                <w:b/>
                <w:sz w:val="24"/>
              </w:rPr>
            </w:pPr>
            <w:r w:rsidRPr="008D74C2">
              <w:rPr>
                <w:rFonts w:ascii="Times New Roman" w:hAnsi="Times New Roman" w:cs="Times New Roman"/>
                <w:b/>
                <w:sz w:val="24"/>
              </w:rPr>
              <w:t>Grupa</w:t>
            </w:r>
          </w:p>
        </w:tc>
        <w:tc>
          <w:tcPr>
            <w:tcW w:w="2113" w:type="pct"/>
          </w:tcPr>
          <w:p w14:paraId="0B08D8E7" w14:textId="77777777" w:rsidR="009E4F36" w:rsidRPr="008D74C2" w:rsidRDefault="009E4F36" w:rsidP="00C30294">
            <w:pPr>
              <w:pStyle w:val="TableParagraph"/>
              <w:spacing w:line="240" w:lineRule="auto"/>
              <w:ind w:left="0"/>
              <w:jc w:val="both"/>
              <w:rPr>
                <w:rFonts w:ascii="Times New Roman" w:hAnsi="Times New Roman" w:cs="Times New Roman"/>
                <w:b/>
                <w:sz w:val="24"/>
              </w:rPr>
            </w:pPr>
            <w:r w:rsidRPr="008D74C2">
              <w:rPr>
                <w:rFonts w:ascii="Times New Roman" w:hAnsi="Times New Roman" w:cs="Times New Roman"/>
                <w:b/>
                <w:sz w:val="24"/>
              </w:rPr>
              <w:t>Izstrādājums</w:t>
            </w:r>
          </w:p>
        </w:tc>
        <w:tc>
          <w:tcPr>
            <w:tcW w:w="2483" w:type="pct"/>
          </w:tcPr>
          <w:p w14:paraId="6D75BCBB" w14:textId="77777777" w:rsidR="009E4F36" w:rsidRPr="008D74C2" w:rsidRDefault="009E4F36" w:rsidP="00C30294">
            <w:pPr>
              <w:pStyle w:val="TableParagraph"/>
              <w:spacing w:line="240" w:lineRule="auto"/>
              <w:ind w:left="0"/>
              <w:jc w:val="both"/>
              <w:rPr>
                <w:rFonts w:ascii="Times New Roman" w:hAnsi="Times New Roman" w:cs="Times New Roman"/>
                <w:b/>
                <w:sz w:val="24"/>
              </w:rPr>
            </w:pPr>
            <w:r w:rsidRPr="008D74C2">
              <w:rPr>
                <w:rFonts w:ascii="Times New Roman" w:hAnsi="Times New Roman" w:cs="Times New Roman"/>
                <w:b/>
                <w:sz w:val="24"/>
              </w:rPr>
              <w:t>Izslēgšanas iemesli</w:t>
            </w:r>
          </w:p>
        </w:tc>
      </w:tr>
      <w:tr w:rsidR="009E4F36" w:rsidRPr="008D74C2" w14:paraId="0116BAE6" w14:textId="77777777" w:rsidTr="00832858">
        <w:trPr>
          <w:trHeight w:val="537"/>
        </w:trPr>
        <w:tc>
          <w:tcPr>
            <w:tcW w:w="404" w:type="pct"/>
            <w:vMerge w:val="restart"/>
          </w:tcPr>
          <w:p w14:paraId="2F507317" w14:textId="77777777" w:rsidR="009E4F36" w:rsidRPr="008D74C2" w:rsidRDefault="009E4F36" w:rsidP="00C30294">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1.</w:t>
            </w:r>
          </w:p>
        </w:tc>
        <w:tc>
          <w:tcPr>
            <w:tcW w:w="2113" w:type="pct"/>
          </w:tcPr>
          <w:p w14:paraId="3C5BFB4B" w14:textId="77777777" w:rsidR="009E4F36" w:rsidRPr="008D74C2" w:rsidRDefault="009E4F36" w:rsidP="00C30294">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Šķīdumi kontaktlēcu dezinficēšanai, tīrīšanai un skalošanai</w:t>
            </w:r>
          </w:p>
        </w:tc>
        <w:tc>
          <w:tcPr>
            <w:tcW w:w="2483" w:type="pct"/>
          </w:tcPr>
          <w:p w14:paraId="16DB9603" w14:textId="3EA1A4E8" w:rsidR="009E4F36" w:rsidRPr="008D74C2" w:rsidRDefault="009E4F36" w:rsidP="00832858">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 xml:space="preserve">Saskaņā ar </w:t>
            </w:r>
            <w:r w:rsidRPr="008D74C2">
              <w:rPr>
                <w:rFonts w:ascii="Times New Roman" w:hAnsi="Times New Roman" w:cs="Times New Roman"/>
                <w:i/>
                <w:sz w:val="24"/>
              </w:rPr>
              <w:t>MDR</w:t>
            </w:r>
            <w:r w:rsidRPr="008D74C2">
              <w:rPr>
                <w:rFonts w:ascii="Times New Roman" w:hAnsi="Times New Roman" w:cs="Times New Roman"/>
                <w:sz w:val="24"/>
              </w:rPr>
              <w:t xml:space="preserve"> 2. panta 1) punkta pēdējo daļu šie izstrādājumi ir kvalificējami kā medicīniskas ierīces</w:t>
            </w:r>
          </w:p>
        </w:tc>
      </w:tr>
      <w:tr w:rsidR="009E4F36" w:rsidRPr="008D74C2" w14:paraId="5AD9F6A2" w14:textId="77777777" w:rsidTr="00832858">
        <w:trPr>
          <w:trHeight w:val="805"/>
        </w:trPr>
        <w:tc>
          <w:tcPr>
            <w:tcW w:w="404" w:type="pct"/>
            <w:vMerge/>
            <w:tcBorders>
              <w:top w:val="nil"/>
            </w:tcBorders>
          </w:tcPr>
          <w:p w14:paraId="600CB9CF" w14:textId="77777777" w:rsidR="009E4F36" w:rsidRPr="008D74C2" w:rsidRDefault="009E4F36" w:rsidP="00C30294">
            <w:pPr>
              <w:jc w:val="both"/>
              <w:rPr>
                <w:rFonts w:ascii="Times New Roman" w:hAnsi="Times New Roman" w:cs="Times New Roman"/>
                <w:sz w:val="24"/>
                <w:szCs w:val="2"/>
              </w:rPr>
            </w:pPr>
          </w:p>
        </w:tc>
        <w:tc>
          <w:tcPr>
            <w:tcW w:w="2113" w:type="pct"/>
          </w:tcPr>
          <w:p w14:paraId="63411323" w14:textId="77777777" w:rsidR="009E4F36" w:rsidRPr="008D74C2" w:rsidRDefault="009E4F36" w:rsidP="00C30294">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Keratopigmentācijas izstrādājumi</w:t>
            </w:r>
          </w:p>
        </w:tc>
        <w:tc>
          <w:tcPr>
            <w:tcW w:w="2483" w:type="pct"/>
          </w:tcPr>
          <w:p w14:paraId="4B998040" w14:textId="363C593B" w:rsidR="009E4F36" w:rsidRPr="008D74C2" w:rsidRDefault="009E4F36" w:rsidP="00832858">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 xml:space="preserve">Nav ietverti kopīgajās specifikācijās. Ja izstrādājumi ir paredzēti traucējošu radzenes apduļķojumu ārstēšanai, tos uzskata par medicīniskām ierīcēm saskaņā ar </w:t>
            </w:r>
            <w:r w:rsidRPr="008D74C2">
              <w:rPr>
                <w:rFonts w:ascii="Times New Roman" w:hAnsi="Times New Roman" w:cs="Times New Roman"/>
                <w:i/>
                <w:sz w:val="24"/>
              </w:rPr>
              <w:t>MDR</w:t>
            </w:r>
            <w:r w:rsidRPr="008D74C2">
              <w:rPr>
                <w:rFonts w:ascii="Times New Roman" w:hAnsi="Times New Roman" w:cs="Times New Roman"/>
                <w:sz w:val="24"/>
              </w:rPr>
              <w:t xml:space="preserve"> 2. panta 1) punkta pēdējo daļu</w:t>
            </w:r>
          </w:p>
        </w:tc>
      </w:tr>
      <w:tr w:rsidR="009E4F36" w:rsidRPr="008D74C2" w14:paraId="3D2384A7" w14:textId="77777777" w:rsidTr="00832858">
        <w:trPr>
          <w:trHeight w:val="268"/>
        </w:trPr>
        <w:tc>
          <w:tcPr>
            <w:tcW w:w="404" w:type="pct"/>
          </w:tcPr>
          <w:p w14:paraId="76D78774" w14:textId="77777777" w:rsidR="009E4F36" w:rsidRPr="008D74C2" w:rsidRDefault="009E4F36" w:rsidP="00C30294">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2.</w:t>
            </w:r>
          </w:p>
        </w:tc>
        <w:tc>
          <w:tcPr>
            <w:tcW w:w="2113" w:type="pct"/>
          </w:tcPr>
          <w:p w14:paraId="45746ED7" w14:textId="77777777" w:rsidR="009E4F36" w:rsidRPr="008D74C2" w:rsidRDefault="009E4F36" w:rsidP="00C30294">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Keratopigmentācijas izstrādājumi</w:t>
            </w:r>
          </w:p>
        </w:tc>
        <w:tc>
          <w:tcPr>
            <w:tcW w:w="2483" w:type="pct"/>
          </w:tcPr>
          <w:p w14:paraId="1ECD1822" w14:textId="77777777" w:rsidR="009E4F36" w:rsidRPr="008D74C2" w:rsidRDefault="009E4F36" w:rsidP="00C30294">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Izstrādājums nemaina ķermeņa daļas anatomiju</w:t>
            </w:r>
          </w:p>
        </w:tc>
      </w:tr>
      <w:tr w:rsidR="00832858" w:rsidRPr="008D74C2" w14:paraId="366F80A7" w14:textId="77777777" w:rsidTr="00832858">
        <w:trPr>
          <w:trHeight w:val="537"/>
        </w:trPr>
        <w:tc>
          <w:tcPr>
            <w:tcW w:w="404" w:type="pct"/>
            <w:vMerge w:val="restart"/>
          </w:tcPr>
          <w:p w14:paraId="16A4CC45" w14:textId="77777777" w:rsidR="00832858" w:rsidRPr="008D74C2" w:rsidRDefault="00832858" w:rsidP="00C30294">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3.</w:t>
            </w:r>
          </w:p>
        </w:tc>
        <w:tc>
          <w:tcPr>
            <w:tcW w:w="2113" w:type="pct"/>
          </w:tcPr>
          <w:p w14:paraId="02DFE0FA" w14:textId="0A8FAF6B" w:rsidR="00832858" w:rsidRPr="008D74C2" w:rsidRDefault="00832858" w:rsidP="00832858">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Aprīkojums matu folikulu pārstādīšanai matu transplantācijas ķirurģijā (folikulu injicēšanas ierīce)</w:t>
            </w:r>
          </w:p>
        </w:tc>
        <w:tc>
          <w:tcPr>
            <w:tcW w:w="2483" w:type="pct"/>
          </w:tcPr>
          <w:p w14:paraId="1689903F" w14:textId="731B2C2A" w:rsidR="00832858" w:rsidRPr="008D74C2" w:rsidRDefault="00832858" w:rsidP="00832858">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Aprīkojumu neizmanto sejas vai citas ādas vai gļotādas aizpildīšanai</w:t>
            </w:r>
          </w:p>
        </w:tc>
      </w:tr>
      <w:tr w:rsidR="00832858" w:rsidRPr="008D74C2" w14:paraId="255E8BE4" w14:textId="77777777" w:rsidTr="00832858">
        <w:trPr>
          <w:trHeight w:val="537"/>
        </w:trPr>
        <w:tc>
          <w:tcPr>
            <w:tcW w:w="404" w:type="pct"/>
            <w:vMerge/>
          </w:tcPr>
          <w:p w14:paraId="07B3E087" w14:textId="77777777" w:rsidR="00832858" w:rsidRPr="008D74C2" w:rsidRDefault="00832858" w:rsidP="00832858">
            <w:pPr>
              <w:pStyle w:val="TableParagraph"/>
              <w:spacing w:line="240" w:lineRule="auto"/>
              <w:ind w:left="0"/>
              <w:jc w:val="both"/>
              <w:rPr>
                <w:rFonts w:ascii="Times New Roman" w:hAnsi="Times New Roman" w:cs="Times New Roman"/>
                <w:sz w:val="24"/>
              </w:rPr>
            </w:pPr>
          </w:p>
        </w:tc>
        <w:tc>
          <w:tcPr>
            <w:tcW w:w="2113" w:type="pct"/>
          </w:tcPr>
          <w:p w14:paraId="1AB94694" w14:textId="0BB70A3D" w:rsidR="00832858" w:rsidRPr="008D74C2" w:rsidRDefault="00832858" w:rsidP="00832858">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Serumi un krēmi pēc pildvielas lietošanas</w:t>
            </w:r>
          </w:p>
        </w:tc>
        <w:tc>
          <w:tcPr>
            <w:tcW w:w="2483" w:type="pct"/>
          </w:tcPr>
          <w:p w14:paraId="50D563B2" w14:textId="1548A2FE" w:rsidR="00832858" w:rsidRPr="008D74C2" w:rsidRDefault="00832858" w:rsidP="00832858">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 xml:space="preserve">Izstrādājumu neizmanto sejas vai citas ādas vai gļotādas aizpildīšanai. Izstrādājumu nelieto zemādas, zemgļotādas vai </w:t>
            </w:r>
            <w:r w:rsidRPr="008D74C2">
              <w:rPr>
                <w:rFonts w:ascii="Times New Roman" w:hAnsi="Times New Roman" w:cs="Times New Roman"/>
                <w:sz w:val="24"/>
              </w:rPr>
              <w:lastRenderedPageBreak/>
              <w:t>intradermālai injicēšanai, ne arī citam ievadīšanas veidam</w:t>
            </w:r>
          </w:p>
        </w:tc>
      </w:tr>
      <w:tr w:rsidR="00832858" w:rsidRPr="008D74C2" w14:paraId="48ACF939" w14:textId="77777777" w:rsidTr="00832858">
        <w:trPr>
          <w:trHeight w:val="537"/>
        </w:trPr>
        <w:tc>
          <w:tcPr>
            <w:tcW w:w="404" w:type="pct"/>
            <w:vMerge/>
          </w:tcPr>
          <w:p w14:paraId="283932DD" w14:textId="77777777" w:rsidR="00832858" w:rsidRPr="008D74C2" w:rsidRDefault="00832858" w:rsidP="00832858">
            <w:pPr>
              <w:pStyle w:val="TableParagraph"/>
              <w:spacing w:line="240" w:lineRule="auto"/>
              <w:ind w:left="0"/>
              <w:jc w:val="both"/>
              <w:rPr>
                <w:rFonts w:ascii="Times New Roman" w:hAnsi="Times New Roman" w:cs="Times New Roman"/>
                <w:sz w:val="24"/>
              </w:rPr>
            </w:pPr>
          </w:p>
        </w:tc>
        <w:tc>
          <w:tcPr>
            <w:tcW w:w="2113" w:type="pct"/>
          </w:tcPr>
          <w:p w14:paraId="35610F78" w14:textId="2A9DB5D7" w:rsidR="00832858" w:rsidRPr="008D74C2" w:rsidRDefault="00832858" w:rsidP="00832858">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Mezoterapijas izstrādājumi, piemēram, tādi, ko izmanto biorevitalizācijai, bioatjaunošanai, polirevitalizācijai, dermas hidratācijai, kolagēna sintēzei, fibroblasta stimulācijai, ādas mirdzumam, brīvo radikāļu likvidēšanai</w:t>
            </w:r>
          </w:p>
        </w:tc>
        <w:tc>
          <w:tcPr>
            <w:tcW w:w="2483" w:type="pct"/>
          </w:tcPr>
          <w:p w14:paraId="679B377F" w14:textId="32FB38B3" w:rsidR="00832858" w:rsidRPr="008D74C2" w:rsidRDefault="00832858" w:rsidP="00832858">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Izstrādājumus neizmanto sejas vai citas ādas vai gļotādas aizpildīšanai</w:t>
            </w:r>
          </w:p>
        </w:tc>
      </w:tr>
      <w:tr w:rsidR="00832858" w:rsidRPr="008D74C2" w14:paraId="18924F0E" w14:textId="77777777" w:rsidTr="00832858">
        <w:trPr>
          <w:trHeight w:val="537"/>
        </w:trPr>
        <w:tc>
          <w:tcPr>
            <w:tcW w:w="404" w:type="pct"/>
            <w:vMerge/>
          </w:tcPr>
          <w:p w14:paraId="21321E2D" w14:textId="77777777" w:rsidR="00832858" w:rsidRPr="008D74C2" w:rsidRDefault="00832858" w:rsidP="00832858">
            <w:pPr>
              <w:pStyle w:val="TableParagraph"/>
              <w:spacing w:line="240" w:lineRule="auto"/>
              <w:ind w:left="0"/>
              <w:jc w:val="both"/>
              <w:rPr>
                <w:rFonts w:ascii="Times New Roman" w:hAnsi="Times New Roman" w:cs="Times New Roman"/>
                <w:sz w:val="24"/>
              </w:rPr>
            </w:pPr>
          </w:p>
        </w:tc>
        <w:tc>
          <w:tcPr>
            <w:tcW w:w="2113" w:type="pct"/>
          </w:tcPr>
          <w:p w14:paraId="1ABC79D8" w14:textId="29D9BF09" w:rsidR="00832858" w:rsidRPr="008D74C2" w:rsidRDefault="00832858" w:rsidP="00832858">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Mikroadatu terapijas aprīkojums</w:t>
            </w:r>
          </w:p>
        </w:tc>
        <w:tc>
          <w:tcPr>
            <w:tcW w:w="2483" w:type="pct"/>
          </w:tcPr>
          <w:p w14:paraId="4B9B1C1D" w14:textId="21F9BF67" w:rsidR="00832858" w:rsidRPr="008D74C2" w:rsidRDefault="00832858" w:rsidP="00832858">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Aprīkojumu neizmanto sejas vai citas ādas vai gļotādas aizpildīšanai</w:t>
            </w:r>
          </w:p>
        </w:tc>
      </w:tr>
      <w:tr w:rsidR="00832858" w:rsidRPr="008D74C2" w14:paraId="02A7CE85" w14:textId="77777777" w:rsidTr="00832858">
        <w:trPr>
          <w:trHeight w:val="537"/>
        </w:trPr>
        <w:tc>
          <w:tcPr>
            <w:tcW w:w="404" w:type="pct"/>
            <w:vMerge w:val="restart"/>
          </w:tcPr>
          <w:p w14:paraId="2FED6D9E" w14:textId="7B0B07D9" w:rsidR="00832858" w:rsidRPr="008D74C2" w:rsidRDefault="00832858" w:rsidP="00832858">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5.</w:t>
            </w:r>
          </w:p>
        </w:tc>
        <w:tc>
          <w:tcPr>
            <w:tcW w:w="2113" w:type="pct"/>
          </w:tcPr>
          <w:p w14:paraId="42931A3E" w14:textId="398DEB09" w:rsidR="00832858" w:rsidRPr="008D74C2" w:rsidRDefault="00832858" w:rsidP="00832858">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Aukstu plazmu emitējošs aprīkojums</w:t>
            </w:r>
          </w:p>
        </w:tc>
        <w:tc>
          <w:tcPr>
            <w:tcW w:w="2483" w:type="pct"/>
          </w:tcPr>
          <w:p w14:paraId="2062A02E" w14:textId="6BA91384" w:rsidR="00832858" w:rsidRPr="008D74C2" w:rsidRDefault="00832858" w:rsidP="00832858">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Paredzēto nolūku īsteno ar jonizētu gāzi, nevis ar elektromagnētisko starojumu</w:t>
            </w:r>
          </w:p>
        </w:tc>
      </w:tr>
      <w:tr w:rsidR="00832858" w:rsidRPr="008D74C2" w14:paraId="74A08807" w14:textId="77777777" w:rsidTr="00832858">
        <w:trPr>
          <w:trHeight w:val="537"/>
        </w:trPr>
        <w:tc>
          <w:tcPr>
            <w:tcW w:w="404" w:type="pct"/>
            <w:vMerge/>
          </w:tcPr>
          <w:p w14:paraId="48CF2904" w14:textId="77777777" w:rsidR="00832858" w:rsidRPr="008D74C2" w:rsidRDefault="00832858" w:rsidP="00832858">
            <w:pPr>
              <w:pStyle w:val="TableParagraph"/>
              <w:spacing w:line="240" w:lineRule="auto"/>
              <w:ind w:left="0"/>
              <w:jc w:val="both"/>
              <w:rPr>
                <w:rFonts w:ascii="Times New Roman" w:hAnsi="Times New Roman" w:cs="Times New Roman"/>
                <w:sz w:val="24"/>
              </w:rPr>
            </w:pPr>
          </w:p>
        </w:tc>
        <w:tc>
          <w:tcPr>
            <w:tcW w:w="2113" w:type="pct"/>
          </w:tcPr>
          <w:p w14:paraId="4E6563C1" w14:textId="485FA65D" w:rsidR="00832858" w:rsidRPr="008D74C2" w:rsidRDefault="00832858" w:rsidP="00832858">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Lāzeri gļotādas atjaunošanai</w:t>
            </w:r>
          </w:p>
        </w:tc>
        <w:tc>
          <w:tcPr>
            <w:tcW w:w="2483" w:type="pct"/>
          </w:tcPr>
          <w:p w14:paraId="22B0D322" w14:textId="187E099E" w:rsidR="00832858" w:rsidRPr="008D74C2" w:rsidRDefault="00832858" w:rsidP="00832858">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Gļotādas atjaunošana nav ādas ārstēšana</w:t>
            </w:r>
          </w:p>
        </w:tc>
      </w:tr>
      <w:tr w:rsidR="00832858" w:rsidRPr="008D74C2" w14:paraId="40359B1A" w14:textId="77777777" w:rsidTr="00832858">
        <w:trPr>
          <w:trHeight w:val="537"/>
        </w:trPr>
        <w:tc>
          <w:tcPr>
            <w:tcW w:w="404" w:type="pct"/>
            <w:vMerge/>
          </w:tcPr>
          <w:p w14:paraId="64FDEF52" w14:textId="77777777" w:rsidR="00832858" w:rsidRPr="008D74C2" w:rsidRDefault="00832858" w:rsidP="00832858">
            <w:pPr>
              <w:pStyle w:val="TableParagraph"/>
              <w:spacing w:line="240" w:lineRule="auto"/>
              <w:ind w:left="0"/>
              <w:jc w:val="both"/>
              <w:rPr>
                <w:rFonts w:ascii="Times New Roman" w:hAnsi="Times New Roman" w:cs="Times New Roman"/>
                <w:sz w:val="24"/>
              </w:rPr>
            </w:pPr>
          </w:p>
        </w:tc>
        <w:tc>
          <w:tcPr>
            <w:tcW w:w="2113" w:type="pct"/>
          </w:tcPr>
          <w:p w14:paraId="7CD307EF" w14:textId="322AC95B" w:rsidR="00832858" w:rsidRPr="008D74C2" w:rsidRDefault="00832858" w:rsidP="00832858">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Tādi izstrādājumi, kā, piemēram, serumi, krēmi vai želejas izmantošanai pirms un/vai pēc apmatojuma likvidēšanas procedūras</w:t>
            </w:r>
          </w:p>
        </w:tc>
        <w:tc>
          <w:tcPr>
            <w:tcW w:w="2483" w:type="pct"/>
          </w:tcPr>
          <w:p w14:paraId="46E45249" w14:textId="633A1BCE" w:rsidR="00832858" w:rsidRPr="008D74C2" w:rsidRDefault="00832858" w:rsidP="00832858">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Nav ietverti kopīgajās specifikācijās</w:t>
            </w:r>
          </w:p>
        </w:tc>
      </w:tr>
    </w:tbl>
    <w:p w14:paraId="6EA7503F" w14:textId="2037C1EC" w:rsidR="009E4F36" w:rsidRPr="008D74C2" w:rsidRDefault="009E4F36" w:rsidP="00C30294">
      <w:pPr>
        <w:pStyle w:val="BodyText"/>
        <w:jc w:val="both"/>
        <w:rPr>
          <w:rFonts w:ascii="Times New Roman" w:hAnsi="Times New Roman" w:cs="Times New Roman"/>
          <w:sz w:val="24"/>
        </w:rPr>
      </w:pPr>
    </w:p>
    <w:p w14:paraId="57920CAA" w14:textId="77777777" w:rsidR="009E4F36" w:rsidRPr="008D74C2" w:rsidRDefault="009E4F36" w:rsidP="00C30294">
      <w:pPr>
        <w:pStyle w:val="BodyText"/>
        <w:jc w:val="both"/>
        <w:rPr>
          <w:rFonts w:ascii="Times New Roman" w:hAnsi="Times New Roman" w:cs="Times New Roman"/>
          <w:sz w:val="24"/>
        </w:rPr>
      </w:pPr>
    </w:p>
    <w:p w14:paraId="18FCC9F9" w14:textId="6A2059C9" w:rsidR="009E4F36" w:rsidRPr="008D74C2" w:rsidRDefault="00AF5174" w:rsidP="00AF5174">
      <w:pPr>
        <w:pStyle w:val="Heading1"/>
        <w:tabs>
          <w:tab w:val="left" w:pos="650"/>
        </w:tabs>
        <w:ind w:left="0" w:firstLine="0"/>
        <w:jc w:val="both"/>
        <w:rPr>
          <w:rFonts w:ascii="Times New Roman" w:hAnsi="Times New Roman" w:cs="Times New Roman"/>
          <w:color w:val="365F91"/>
          <w:sz w:val="28"/>
          <w:szCs w:val="36"/>
        </w:rPr>
      </w:pPr>
      <w:bookmarkStart w:id="10" w:name="4_Classification"/>
      <w:bookmarkEnd w:id="10"/>
      <w:r w:rsidRPr="008D74C2">
        <w:rPr>
          <w:rFonts w:ascii="Times New Roman" w:hAnsi="Times New Roman" w:cs="Times New Roman"/>
          <w:color w:val="365F91"/>
          <w:sz w:val="28"/>
        </w:rPr>
        <w:t>4. Klasifi</w:t>
      </w:r>
      <w:r w:rsidR="00B0624C">
        <w:rPr>
          <w:rFonts w:ascii="Times New Roman" w:hAnsi="Times New Roman" w:cs="Times New Roman"/>
          <w:color w:val="365F91"/>
          <w:sz w:val="28"/>
        </w:rPr>
        <w:t>cēšana</w:t>
      </w:r>
    </w:p>
    <w:p w14:paraId="6BD01611" w14:textId="77777777" w:rsidR="00AF5174" w:rsidRPr="008D74C2" w:rsidRDefault="00AF5174" w:rsidP="00AF5174">
      <w:pPr>
        <w:pStyle w:val="Heading2"/>
        <w:tabs>
          <w:tab w:val="left" w:pos="797"/>
        </w:tabs>
        <w:spacing w:before="0"/>
        <w:ind w:left="0" w:firstLine="0"/>
        <w:jc w:val="both"/>
        <w:rPr>
          <w:rFonts w:ascii="Times New Roman" w:hAnsi="Times New Roman" w:cs="Times New Roman"/>
          <w:color w:val="365F91"/>
          <w:sz w:val="24"/>
        </w:rPr>
      </w:pPr>
      <w:bookmarkStart w:id="11" w:name="4.1_General_principles"/>
      <w:bookmarkEnd w:id="11"/>
    </w:p>
    <w:p w14:paraId="34DD24BB" w14:textId="2FCAF837" w:rsidR="009E4F36" w:rsidRPr="008D74C2" w:rsidRDefault="00AF5174" w:rsidP="00AF5174">
      <w:pPr>
        <w:pStyle w:val="Heading2"/>
        <w:tabs>
          <w:tab w:val="left" w:pos="797"/>
        </w:tabs>
        <w:spacing w:before="0"/>
        <w:ind w:left="0" w:firstLine="0"/>
        <w:jc w:val="both"/>
        <w:rPr>
          <w:rFonts w:ascii="Times New Roman" w:hAnsi="Times New Roman" w:cs="Times New Roman"/>
          <w:color w:val="365F91"/>
          <w:sz w:val="24"/>
        </w:rPr>
      </w:pPr>
      <w:r w:rsidRPr="008D74C2">
        <w:rPr>
          <w:rFonts w:ascii="Times New Roman" w:hAnsi="Times New Roman" w:cs="Times New Roman"/>
          <w:color w:val="365F91"/>
          <w:sz w:val="24"/>
        </w:rPr>
        <w:t>4.1. Vispār</w:t>
      </w:r>
      <w:r w:rsidR="00B0624C">
        <w:rPr>
          <w:rFonts w:ascii="Times New Roman" w:hAnsi="Times New Roman" w:cs="Times New Roman"/>
          <w:color w:val="365F91"/>
          <w:sz w:val="24"/>
        </w:rPr>
        <w:t>īgi</w:t>
      </w:r>
      <w:r w:rsidRPr="008D74C2">
        <w:rPr>
          <w:rFonts w:ascii="Times New Roman" w:hAnsi="Times New Roman" w:cs="Times New Roman"/>
          <w:color w:val="365F91"/>
          <w:sz w:val="24"/>
        </w:rPr>
        <w:t xml:space="preserve"> principi</w:t>
      </w:r>
    </w:p>
    <w:p w14:paraId="1F028541" w14:textId="77777777" w:rsidR="00AF5174" w:rsidRPr="008D74C2" w:rsidRDefault="00AF5174" w:rsidP="00C30294">
      <w:pPr>
        <w:pStyle w:val="BodyText"/>
        <w:jc w:val="both"/>
        <w:rPr>
          <w:rFonts w:ascii="Times New Roman" w:hAnsi="Times New Roman" w:cs="Times New Roman"/>
          <w:sz w:val="24"/>
        </w:rPr>
      </w:pPr>
    </w:p>
    <w:p w14:paraId="22D6FA85" w14:textId="18E5FAFE" w:rsidR="009E4F36" w:rsidRPr="008D74C2" w:rsidRDefault="009E4F36" w:rsidP="00C30294">
      <w:pPr>
        <w:pStyle w:val="BodyText"/>
        <w:jc w:val="both"/>
        <w:rPr>
          <w:rFonts w:ascii="Times New Roman" w:hAnsi="Times New Roman" w:cs="Times New Roman"/>
          <w:sz w:val="24"/>
        </w:rPr>
      </w:pPr>
      <w:r w:rsidRPr="008D74C2">
        <w:rPr>
          <w:rFonts w:ascii="Times New Roman" w:hAnsi="Times New Roman" w:cs="Times New Roman"/>
          <w:i/>
          <w:sz w:val="24"/>
        </w:rPr>
        <w:t>MDR</w:t>
      </w:r>
      <w:r w:rsidRPr="008D74C2">
        <w:rPr>
          <w:rFonts w:ascii="Times New Roman" w:hAnsi="Times New Roman" w:cs="Times New Roman"/>
          <w:sz w:val="24"/>
        </w:rPr>
        <w:t xml:space="preserve"> darbības jomā ietilpstoši izstrādājumi, kas nav paredzēti medicīniskam nolūkam, jāklasificē saskaņā ar </w:t>
      </w:r>
      <w:r w:rsidRPr="008D74C2">
        <w:rPr>
          <w:rFonts w:ascii="Times New Roman" w:hAnsi="Times New Roman" w:cs="Times New Roman"/>
          <w:i/>
          <w:sz w:val="24"/>
        </w:rPr>
        <w:t>MDR</w:t>
      </w:r>
      <w:r w:rsidRPr="008D74C2">
        <w:rPr>
          <w:rFonts w:ascii="Times New Roman" w:hAnsi="Times New Roman" w:cs="Times New Roman"/>
          <w:sz w:val="24"/>
        </w:rPr>
        <w:t xml:space="preserve"> VIII pielikumā izklāstītajiem noteikumiem. Turklāt attiecīgā gadījumā tiks ņemta vērā Komisijas Īstenošanas regula (ES) 2022/2347</w:t>
      </w:r>
      <w:r w:rsidR="00AF5174" w:rsidRPr="008D74C2">
        <w:rPr>
          <w:rStyle w:val="FootnoteReference"/>
          <w:rFonts w:ascii="Times New Roman" w:hAnsi="Times New Roman" w:cs="Times New Roman"/>
          <w:sz w:val="24"/>
        </w:rPr>
        <w:footnoteReference w:id="19"/>
      </w:r>
      <w:r w:rsidRPr="008D74C2">
        <w:rPr>
          <w:rFonts w:ascii="Times New Roman" w:hAnsi="Times New Roman" w:cs="Times New Roman"/>
          <w:sz w:val="24"/>
        </w:rPr>
        <w:t xml:space="preserve">, ar kuru paredz noteikumus par tādu noteiktu aktīvo izstrādājumu grupu pārklasificēšanu, kas nav paredzēti medicīniskam nolūkam, atkāpjoties no </w:t>
      </w:r>
      <w:r w:rsidRPr="008D74C2">
        <w:rPr>
          <w:rFonts w:ascii="Times New Roman" w:hAnsi="Times New Roman" w:cs="Times New Roman"/>
          <w:i/>
          <w:sz w:val="24"/>
        </w:rPr>
        <w:t>MDR</w:t>
      </w:r>
      <w:r w:rsidRPr="008D74C2">
        <w:rPr>
          <w:rFonts w:ascii="Times New Roman" w:hAnsi="Times New Roman" w:cs="Times New Roman"/>
          <w:sz w:val="24"/>
        </w:rPr>
        <w:t xml:space="preserve"> VIII pielikuma piemērošanas, ja attiecināms.</w:t>
      </w:r>
    </w:p>
    <w:p w14:paraId="2C5578F7" w14:textId="77777777" w:rsidR="009E4F36" w:rsidRPr="008D74C2" w:rsidRDefault="009E4F36" w:rsidP="00C30294">
      <w:pPr>
        <w:pStyle w:val="BodyText"/>
        <w:jc w:val="both"/>
        <w:rPr>
          <w:rFonts w:ascii="Times New Roman" w:hAnsi="Times New Roman" w:cs="Times New Roman"/>
          <w:sz w:val="24"/>
        </w:rPr>
      </w:pPr>
    </w:p>
    <w:p w14:paraId="2F882002" w14:textId="30ABB3AF" w:rsidR="00AF5174" w:rsidRPr="008D74C2" w:rsidRDefault="009E4F36" w:rsidP="00C30294">
      <w:pPr>
        <w:pStyle w:val="BodyText"/>
        <w:jc w:val="both"/>
        <w:rPr>
          <w:rFonts w:ascii="Times New Roman" w:hAnsi="Times New Roman" w:cs="Times New Roman"/>
          <w:sz w:val="24"/>
        </w:rPr>
      </w:pPr>
      <w:r w:rsidRPr="008D74C2">
        <w:rPr>
          <w:rFonts w:ascii="Times New Roman" w:hAnsi="Times New Roman" w:cs="Times New Roman"/>
          <w:sz w:val="24"/>
        </w:rPr>
        <w:t>Divējāda lietojuma ierīču klasifi</w:t>
      </w:r>
      <w:r w:rsidR="009F5295">
        <w:rPr>
          <w:rFonts w:ascii="Times New Roman" w:hAnsi="Times New Roman" w:cs="Times New Roman"/>
          <w:sz w:val="24"/>
        </w:rPr>
        <w:t>cēšanā</w:t>
      </w:r>
      <w:r w:rsidRPr="008D74C2">
        <w:rPr>
          <w:rFonts w:ascii="Times New Roman" w:hAnsi="Times New Roman" w:cs="Times New Roman"/>
          <w:sz w:val="24"/>
        </w:rPr>
        <w:t xml:space="preserve"> jāņem vērā gan medicīniskais, gan nemedicīniskais nolūks. Ja vienai un tai pašai ierīcei, pamatojoties uz tās paredzēto nolūku, ir piemērojami vairāki noteikumi vai arī vairāki viena un tā paša noteikuma apakšnoteikumi, uz to attiecina stingrāko noteikumu un apakšnoteikumu, no kura izriet augstāka klasifikācijas pakāpe</w:t>
      </w:r>
      <w:r w:rsidR="00AF5174" w:rsidRPr="008D74C2">
        <w:rPr>
          <w:rStyle w:val="FootnoteReference"/>
          <w:rFonts w:ascii="Times New Roman" w:hAnsi="Times New Roman" w:cs="Times New Roman"/>
          <w:sz w:val="24"/>
        </w:rPr>
        <w:footnoteReference w:id="20"/>
      </w:r>
      <w:r w:rsidRPr="008D74C2">
        <w:rPr>
          <w:rFonts w:ascii="Times New Roman" w:hAnsi="Times New Roman" w:cs="Times New Roman"/>
          <w:sz w:val="24"/>
        </w:rPr>
        <w:t>.</w:t>
      </w:r>
    </w:p>
    <w:p w14:paraId="6C0B447B" w14:textId="77777777" w:rsidR="009E4F36" w:rsidRPr="008D74C2" w:rsidRDefault="009E4F36" w:rsidP="00C30294">
      <w:pPr>
        <w:pStyle w:val="BodyText"/>
        <w:jc w:val="both"/>
        <w:rPr>
          <w:rFonts w:ascii="Times New Roman" w:hAnsi="Times New Roman" w:cs="Times New Roman"/>
          <w:sz w:val="24"/>
        </w:rPr>
      </w:pPr>
    </w:p>
    <w:p w14:paraId="074F11BB" w14:textId="1289B1F2" w:rsidR="009E4F36" w:rsidRPr="008D74C2" w:rsidRDefault="009F5295" w:rsidP="00C30294">
      <w:pPr>
        <w:pStyle w:val="BodyText"/>
        <w:jc w:val="both"/>
        <w:rPr>
          <w:rFonts w:ascii="Times New Roman" w:hAnsi="Times New Roman" w:cs="Times New Roman"/>
          <w:sz w:val="24"/>
        </w:rPr>
      </w:pPr>
      <w:r w:rsidRPr="009F5295">
        <w:rPr>
          <w:rFonts w:ascii="Times New Roman" w:hAnsi="Times New Roman" w:cs="Times New Roman"/>
          <w:sz w:val="24"/>
        </w:rPr>
        <w:t>Vispārīga informācija par klasificēšanas noteikumiem ir sniegta MDCG 2021-24 norādījumos par klasificēšanu.</w:t>
      </w:r>
      <w:r w:rsidR="009E4F36" w:rsidRPr="008D74C2">
        <w:rPr>
          <w:rFonts w:ascii="Times New Roman" w:hAnsi="Times New Roman" w:cs="Times New Roman"/>
          <w:sz w:val="24"/>
        </w:rPr>
        <w:t xml:space="preserve"> </w:t>
      </w:r>
      <w:r w:rsidRPr="009F5295">
        <w:rPr>
          <w:rFonts w:ascii="Times New Roman" w:hAnsi="Times New Roman" w:cs="Times New Roman"/>
          <w:sz w:val="24"/>
        </w:rPr>
        <w:t>Šajos norādījumos ir sniegta papildinformācija un piemēri, kam var būt nozīme saistībā ar XVI pielikuma izstrādājumiem.</w:t>
      </w:r>
    </w:p>
    <w:p w14:paraId="7F67EDE6" w14:textId="77777777" w:rsidR="009E4F36" w:rsidRPr="008D74C2" w:rsidRDefault="009E4F36" w:rsidP="00C30294">
      <w:pPr>
        <w:pStyle w:val="BodyText"/>
        <w:jc w:val="both"/>
        <w:rPr>
          <w:rFonts w:ascii="Times New Roman" w:hAnsi="Times New Roman" w:cs="Times New Roman"/>
          <w:sz w:val="24"/>
        </w:rPr>
      </w:pPr>
    </w:p>
    <w:p w14:paraId="511E8EE2" w14:textId="1C87A576" w:rsidR="009E4F36" w:rsidRPr="008D74C2" w:rsidRDefault="00C550B6" w:rsidP="00017F7D">
      <w:pPr>
        <w:pStyle w:val="BodyText"/>
        <w:keepNext/>
        <w:keepLines/>
        <w:jc w:val="both"/>
        <w:rPr>
          <w:rFonts w:ascii="Times New Roman" w:hAnsi="Times New Roman" w:cs="Times New Roman"/>
          <w:sz w:val="24"/>
        </w:rPr>
      </w:pPr>
      <w:r w:rsidRPr="00C550B6">
        <w:rPr>
          <w:rFonts w:ascii="Times New Roman" w:hAnsi="Times New Roman" w:cs="Times New Roman"/>
          <w:sz w:val="24"/>
        </w:rPr>
        <w:lastRenderedPageBreak/>
        <w:t xml:space="preserve">Šajā nodaļā ir izklāstīta klasificēšanas informācija, kas jāņem vērā attiecībā uz katru tādu izstrādājumu grupu, kuri nav paredzēti medicīniskam nolūkam, kuri minēti un aprakstīti </w:t>
      </w:r>
      <w:r w:rsidRPr="00C550B6">
        <w:rPr>
          <w:rFonts w:ascii="Times New Roman" w:hAnsi="Times New Roman" w:cs="Times New Roman"/>
          <w:i/>
          <w:iCs/>
          <w:sz w:val="24"/>
        </w:rPr>
        <w:t>MDR</w:t>
      </w:r>
      <w:r w:rsidRPr="00C550B6">
        <w:rPr>
          <w:rFonts w:ascii="Times New Roman" w:hAnsi="Times New Roman" w:cs="Times New Roman"/>
          <w:sz w:val="24"/>
        </w:rPr>
        <w:t xml:space="preserve"> XVI pielikumā un kuriem piemērojamas KS.</w:t>
      </w:r>
      <w:r w:rsidR="009E4F36" w:rsidRPr="008D74C2">
        <w:rPr>
          <w:rFonts w:ascii="Times New Roman" w:hAnsi="Times New Roman" w:cs="Times New Roman"/>
          <w:sz w:val="24"/>
        </w:rPr>
        <w:t xml:space="preserve"> Tā kā katras izstrādājumu grupas aprakstā ir ietverta būtiska informācija par izstrādājuma raksturlielumiem, kas varētu būt izmantojama izstrādājuma klasificēšanai (skat. arī piezīmes 3.1. punktā), ir sniegti izstrādājuma apraksti no </w:t>
      </w:r>
      <w:r w:rsidR="00DA372C">
        <w:rPr>
          <w:rFonts w:ascii="Times New Roman" w:hAnsi="Times New Roman" w:cs="Times New Roman"/>
          <w:sz w:val="24"/>
        </w:rPr>
        <w:t>KS</w:t>
      </w:r>
      <w:r w:rsidR="009E4F36" w:rsidRPr="008D74C2">
        <w:rPr>
          <w:rFonts w:ascii="Times New Roman" w:hAnsi="Times New Roman" w:cs="Times New Roman"/>
          <w:sz w:val="24"/>
        </w:rPr>
        <w:t>.</w:t>
      </w:r>
    </w:p>
    <w:p w14:paraId="1C5C5789" w14:textId="77777777" w:rsidR="009E4F36" w:rsidRPr="008D74C2" w:rsidRDefault="009E4F36" w:rsidP="00C30294">
      <w:pPr>
        <w:pStyle w:val="BodyText"/>
        <w:jc w:val="both"/>
        <w:rPr>
          <w:rFonts w:ascii="Times New Roman" w:hAnsi="Times New Roman" w:cs="Times New Roman"/>
          <w:sz w:val="24"/>
        </w:rPr>
      </w:pPr>
    </w:p>
    <w:p w14:paraId="1D96D7AC" w14:textId="62253106" w:rsidR="009E4F36" w:rsidRPr="008D74C2" w:rsidRDefault="00AF5174" w:rsidP="00AF5174">
      <w:pPr>
        <w:pStyle w:val="Heading2"/>
        <w:tabs>
          <w:tab w:val="left" w:pos="797"/>
        </w:tabs>
        <w:spacing w:before="0"/>
        <w:ind w:left="0" w:firstLine="0"/>
        <w:jc w:val="both"/>
        <w:rPr>
          <w:rFonts w:ascii="Times New Roman" w:hAnsi="Times New Roman" w:cs="Times New Roman"/>
          <w:color w:val="365F91"/>
          <w:sz w:val="24"/>
        </w:rPr>
      </w:pPr>
      <w:bookmarkStart w:id="12" w:name="4.2_Group_1"/>
      <w:bookmarkEnd w:id="12"/>
      <w:r w:rsidRPr="008D74C2">
        <w:rPr>
          <w:rFonts w:ascii="Times New Roman" w:hAnsi="Times New Roman" w:cs="Times New Roman"/>
          <w:color w:val="365F91"/>
          <w:sz w:val="24"/>
        </w:rPr>
        <w:t>4.2. 1. grupa</w:t>
      </w:r>
    </w:p>
    <w:p w14:paraId="1025C560" w14:textId="77777777" w:rsidR="00AF5174" w:rsidRPr="008D74C2" w:rsidRDefault="00AF5174" w:rsidP="00C30294">
      <w:pPr>
        <w:pStyle w:val="BodyText"/>
        <w:jc w:val="both"/>
        <w:rPr>
          <w:rFonts w:ascii="Times New Roman" w:hAnsi="Times New Roman" w:cs="Times New Roman"/>
          <w:sz w:val="24"/>
        </w:rPr>
      </w:pPr>
    </w:p>
    <w:p w14:paraId="3EDC9E1A" w14:textId="0A2AF964" w:rsidR="009E4F36" w:rsidRPr="008D74C2" w:rsidRDefault="009E4F36" w:rsidP="00C30294">
      <w:pPr>
        <w:pStyle w:val="BodyText"/>
        <w:jc w:val="both"/>
        <w:rPr>
          <w:rFonts w:ascii="Times New Roman" w:hAnsi="Times New Roman" w:cs="Times New Roman"/>
          <w:sz w:val="24"/>
        </w:rPr>
      </w:pPr>
      <w:r w:rsidRPr="008D74C2">
        <w:rPr>
          <w:rFonts w:ascii="Times New Roman" w:hAnsi="Times New Roman" w:cs="Times New Roman"/>
          <w:sz w:val="24"/>
        </w:rPr>
        <w:t>K</w:t>
      </w:r>
      <w:r w:rsidR="00DA372C">
        <w:rPr>
          <w:rFonts w:ascii="Times New Roman" w:hAnsi="Times New Roman" w:cs="Times New Roman"/>
          <w:sz w:val="24"/>
        </w:rPr>
        <w:t>S</w:t>
      </w:r>
      <w:r w:rsidRPr="008D74C2">
        <w:rPr>
          <w:rFonts w:ascii="Times New Roman" w:hAnsi="Times New Roman" w:cs="Times New Roman"/>
          <w:sz w:val="24"/>
        </w:rPr>
        <w:t xml:space="preserve"> ir piemērojamas attiecībā uz kontaktlēcām, kas ir norādītas Regulas (ES) 2017/745 XVI pielikuma 1. punktā. K</w:t>
      </w:r>
      <w:r w:rsidR="00DA372C">
        <w:rPr>
          <w:rFonts w:ascii="Times New Roman" w:hAnsi="Times New Roman" w:cs="Times New Roman"/>
          <w:sz w:val="24"/>
        </w:rPr>
        <w:t>S</w:t>
      </w:r>
      <w:r w:rsidRPr="008D74C2">
        <w:rPr>
          <w:rFonts w:ascii="Times New Roman" w:hAnsi="Times New Roman" w:cs="Times New Roman"/>
          <w:sz w:val="24"/>
        </w:rPr>
        <w:t xml:space="preserve"> neattiecas uz kontaktlēcām, kas satur rīkus, piemēram, antenu vai mikroshēmu, uz kontaktlēcām, kas ir aktīvas ierīces, un uz citiem priekšmetiem, kurus paredzēts ievadīt acī vai uz tās.</w:t>
      </w:r>
    </w:p>
    <w:p w14:paraId="30AA2343" w14:textId="77777777" w:rsidR="009E4F36" w:rsidRPr="008D74C2" w:rsidRDefault="009E4F36" w:rsidP="00C30294">
      <w:pPr>
        <w:pStyle w:val="BodyText"/>
        <w:jc w:val="both"/>
        <w:rPr>
          <w:rFonts w:ascii="Times New Roman" w:hAnsi="Times New Roman" w:cs="Times New Roman"/>
          <w:sz w:val="24"/>
        </w:rPr>
      </w:pPr>
    </w:p>
    <w:p w14:paraId="45FC8D24" w14:textId="77777777" w:rsidR="009E4F36" w:rsidRPr="008D74C2" w:rsidRDefault="009E4F36" w:rsidP="00C30294">
      <w:pPr>
        <w:pStyle w:val="BodyText"/>
        <w:jc w:val="both"/>
        <w:rPr>
          <w:rFonts w:ascii="Times New Roman" w:hAnsi="Times New Roman" w:cs="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630"/>
        <w:gridCol w:w="252"/>
        <w:gridCol w:w="5306"/>
        <w:gridCol w:w="2943"/>
      </w:tblGrid>
      <w:tr w:rsidR="009E4F36" w:rsidRPr="008D74C2" w14:paraId="3A78B834" w14:textId="77777777" w:rsidTr="00AF5174">
        <w:trPr>
          <w:trHeight w:val="271"/>
        </w:trPr>
        <w:tc>
          <w:tcPr>
            <w:tcW w:w="285" w:type="pct"/>
          </w:tcPr>
          <w:p w14:paraId="04BF888E" w14:textId="77777777" w:rsidR="009E4F36" w:rsidRPr="008D74C2" w:rsidRDefault="009E4F36" w:rsidP="00C30294">
            <w:pPr>
              <w:pStyle w:val="TableParagraph"/>
              <w:spacing w:line="240" w:lineRule="auto"/>
              <w:ind w:left="0"/>
              <w:jc w:val="both"/>
              <w:rPr>
                <w:rFonts w:ascii="Times New Roman" w:hAnsi="Times New Roman" w:cs="Times New Roman"/>
                <w:b/>
                <w:sz w:val="24"/>
              </w:rPr>
            </w:pPr>
            <w:r w:rsidRPr="008D74C2">
              <w:rPr>
                <w:rFonts w:ascii="Times New Roman" w:hAnsi="Times New Roman" w:cs="Times New Roman"/>
                <w:b/>
                <w:sz w:val="24"/>
              </w:rPr>
              <w:t>Klase</w:t>
            </w:r>
          </w:p>
        </w:tc>
        <w:tc>
          <w:tcPr>
            <w:tcW w:w="3084" w:type="pct"/>
            <w:gridSpan w:val="2"/>
          </w:tcPr>
          <w:p w14:paraId="42E66755" w14:textId="77777777" w:rsidR="009E4F36" w:rsidRPr="008D74C2" w:rsidRDefault="009E4F36" w:rsidP="00C30294">
            <w:pPr>
              <w:pStyle w:val="TableParagraph"/>
              <w:spacing w:line="240" w:lineRule="auto"/>
              <w:ind w:left="0"/>
              <w:jc w:val="both"/>
              <w:rPr>
                <w:rFonts w:ascii="Times New Roman" w:hAnsi="Times New Roman" w:cs="Times New Roman"/>
                <w:b/>
                <w:sz w:val="24"/>
              </w:rPr>
            </w:pPr>
            <w:r w:rsidRPr="008D74C2">
              <w:rPr>
                <w:rFonts w:ascii="Times New Roman" w:hAnsi="Times New Roman" w:cs="Times New Roman"/>
                <w:b/>
                <w:sz w:val="24"/>
              </w:rPr>
              <w:t>Noteikums</w:t>
            </w:r>
          </w:p>
        </w:tc>
        <w:tc>
          <w:tcPr>
            <w:tcW w:w="1631" w:type="pct"/>
          </w:tcPr>
          <w:p w14:paraId="1C17071E" w14:textId="77777777" w:rsidR="009E4F36" w:rsidRPr="008D74C2" w:rsidRDefault="009E4F36" w:rsidP="00C30294">
            <w:pPr>
              <w:pStyle w:val="TableParagraph"/>
              <w:spacing w:line="240" w:lineRule="auto"/>
              <w:ind w:left="0"/>
              <w:jc w:val="both"/>
              <w:rPr>
                <w:rFonts w:ascii="Times New Roman" w:hAnsi="Times New Roman" w:cs="Times New Roman"/>
                <w:b/>
                <w:sz w:val="24"/>
              </w:rPr>
            </w:pPr>
            <w:r w:rsidRPr="008D74C2">
              <w:rPr>
                <w:rFonts w:ascii="Times New Roman" w:hAnsi="Times New Roman" w:cs="Times New Roman"/>
                <w:b/>
                <w:sz w:val="24"/>
              </w:rPr>
              <w:t>XVI pielikuma izstrādājumu piemēri</w:t>
            </w:r>
          </w:p>
        </w:tc>
      </w:tr>
      <w:tr w:rsidR="009E4F36" w:rsidRPr="008D74C2" w14:paraId="3EC7C8C4" w14:textId="77777777" w:rsidTr="00AF5174">
        <w:trPr>
          <w:trHeight w:val="1096"/>
        </w:trPr>
        <w:tc>
          <w:tcPr>
            <w:tcW w:w="285" w:type="pct"/>
          </w:tcPr>
          <w:p w14:paraId="443F8678" w14:textId="77777777" w:rsidR="009E4F36" w:rsidRPr="008D74C2" w:rsidRDefault="009E4F36" w:rsidP="00C30294">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IIa</w:t>
            </w:r>
          </w:p>
        </w:tc>
        <w:tc>
          <w:tcPr>
            <w:tcW w:w="158" w:type="pct"/>
            <w:tcBorders>
              <w:right w:val="nil"/>
            </w:tcBorders>
          </w:tcPr>
          <w:p w14:paraId="541692CB" w14:textId="77777777" w:rsidR="009E4F36" w:rsidRPr="008D74C2" w:rsidRDefault="009E4F36" w:rsidP="00C30294">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5.</w:t>
            </w:r>
          </w:p>
        </w:tc>
        <w:tc>
          <w:tcPr>
            <w:tcW w:w="2926" w:type="pct"/>
            <w:tcBorders>
              <w:left w:val="nil"/>
            </w:tcBorders>
          </w:tcPr>
          <w:p w14:paraId="010A507D" w14:textId="77777777" w:rsidR="009E4F36" w:rsidRPr="008D74C2" w:rsidRDefault="009E4F36" w:rsidP="00AF5174">
            <w:pPr>
              <w:pStyle w:val="TableParagraph"/>
              <w:spacing w:line="240" w:lineRule="auto"/>
              <w:ind w:left="123"/>
              <w:jc w:val="both"/>
              <w:rPr>
                <w:rFonts w:ascii="Times New Roman" w:hAnsi="Times New Roman" w:cs="Times New Roman"/>
                <w:sz w:val="24"/>
              </w:rPr>
            </w:pPr>
            <w:r w:rsidRPr="008D74C2">
              <w:rPr>
                <w:rFonts w:ascii="Times New Roman" w:hAnsi="Times New Roman" w:cs="Times New Roman"/>
                <w:sz w:val="24"/>
              </w:rPr>
              <w:t>Visas invazīvās ierīces, ko ievada caur ķermeņa atverēm, izņemot ķirurģiski invazīvās ierīces, un kas nav paredzētas pievienošanai kādai aktīvai ierīcei vai kas ir paredzētas pievienošanai kādai aktīvai I klases ierīcei, klasificē:</w:t>
            </w:r>
          </w:p>
          <w:p w14:paraId="03BE7D9E" w14:textId="76F5EE56" w:rsidR="009E4F36" w:rsidRPr="008D74C2" w:rsidRDefault="009E4F36" w:rsidP="00AF5174">
            <w:pPr>
              <w:pStyle w:val="TableParagraph"/>
              <w:numPr>
                <w:ilvl w:val="0"/>
                <w:numId w:val="9"/>
              </w:numPr>
              <w:tabs>
                <w:tab w:val="left" w:pos="594"/>
              </w:tabs>
              <w:spacing w:line="240" w:lineRule="auto"/>
              <w:ind w:left="548"/>
              <w:jc w:val="both"/>
              <w:rPr>
                <w:rFonts w:ascii="Times New Roman" w:hAnsi="Times New Roman" w:cs="Times New Roman"/>
                <w:sz w:val="24"/>
              </w:rPr>
            </w:pPr>
            <w:r w:rsidRPr="008D74C2">
              <w:rPr>
                <w:rFonts w:ascii="Times New Roman" w:hAnsi="Times New Roman" w:cs="Times New Roman"/>
                <w:sz w:val="24"/>
              </w:rPr>
              <w:t>IIa klasē, ja tās ir paredzētas īstermiņa lietošanai, (..)</w:t>
            </w:r>
          </w:p>
        </w:tc>
        <w:tc>
          <w:tcPr>
            <w:tcW w:w="1631" w:type="pct"/>
          </w:tcPr>
          <w:p w14:paraId="3DE5BE56" w14:textId="6B85E312" w:rsidR="009E4F36" w:rsidRPr="008D74C2" w:rsidRDefault="009E4F36" w:rsidP="00AF5174">
            <w:pPr>
              <w:pStyle w:val="TableParagraph"/>
              <w:numPr>
                <w:ilvl w:val="0"/>
                <w:numId w:val="7"/>
              </w:numPr>
              <w:tabs>
                <w:tab w:val="left" w:pos="435"/>
                <w:tab w:val="left" w:pos="1653"/>
                <w:tab w:val="left" w:pos="2193"/>
                <w:tab w:val="left" w:pos="3213"/>
              </w:tabs>
              <w:spacing w:line="240" w:lineRule="auto"/>
              <w:ind w:left="342" w:hanging="284"/>
              <w:jc w:val="both"/>
              <w:rPr>
                <w:rFonts w:ascii="Times New Roman" w:hAnsi="Times New Roman" w:cs="Times New Roman"/>
                <w:sz w:val="24"/>
              </w:rPr>
            </w:pPr>
            <w:r w:rsidRPr="008D74C2">
              <w:rPr>
                <w:rFonts w:ascii="Times New Roman" w:hAnsi="Times New Roman" w:cs="Times New Roman"/>
                <w:sz w:val="24"/>
              </w:rPr>
              <w:t>Īstermiņa lietošanai paredzētas krāsainas nekoriģējošas kontaktlēcas</w:t>
            </w:r>
          </w:p>
          <w:p w14:paraId="31C3C776" w14:textId="77777777" w:rsidR="009E4F36" w:rsidRPr="008D74C2" w:rsidRDefault="009E4F36" w:rsidP="00AF5174">
            <w:pPr>
              <w:pStyle w:val="TableParagraph"/>
              <w:numPr>
                <w:ilvl w:val="0"/>
                <w:numId w:val="7"/>
              </w:numPr>
              <w:tabs>
                <w:tab w:val="left" w:pos="435"/>
              </w:tabs>
              <w:spacing w:line="240" w:lineRule="auto"/>
              <w:ind w:left="342" w:hanging="284"/>
              <w:jc w:val="both"/>
              <w:rPr>
                <w:rFonts w:ascii="Times New Roman" w:hAnsi="Times New Roman" w:cs="Times New Roman"/>
                <w:sz w:val="24"/>
              </w:rPr>
            </w:pPr>
            <w:r w:rsidRPr="008D74C2">
              <w:rPr>
                <w:rFonts w:ascii="Times New Roman" w:hAnsi="Times New Roman" w:cs="Times New Roman"/>
                <w:sz w:val="24"/>
              </w:rPr>
              <w:t>Īstermiņa lietošanai paredzētas nekoriģējošas kontaktlēcas ar apdruku</w:t>
            </w:r>
          </w:p>
        </w:tc>
      </w:tr>
      <w:tr w:rsidR="009E4F36" w:rsidRPr="008D74C2" w14:paraId="244992C6" w14:textId="77777777" w:rsidTr="00AF5174">
        <w:trPr>
          <w:trHeight w:val="1084"/>
        </w:trPr>
        <w:tc>
          <w:tcPr>
            <w:tcW w:w="285" w:type="pct"/>
          </w:tcPr>
          <w:p w14:paraId="116DEB4F" w14:textId="77777777" w:rsidR="009E4F36" w:rsidRPr="008D74C2" w:rsidRDefault="009E4F36" w:rsidP="00C30294">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IIb</w:t>
            </w:r>
          </w:p>
        </w:tc>
        <w:tc>
          <w:tcPr>
            <w:tcW w:w="158" w:type="pct"/>
            <w:tcBorders>
              <w:right w:val="nil"/>
            </w:tcBorders>
          </w:tcPr>
          <w:p w14:paraId="40E902F3" w14:textId="77777777" w:rsidR="009E4F36" w:rsidRPr="008D74C2" w:rsidRDefault="009E4F36" w:rsidP="00C30294">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5.</w:t>
            </w:r>
          </w:p>
        </w:tc>
        <w:tc>
          <w:tcPr>
            <w:tcW w:w="2926" w:type="pct"/>
            <w:tcBorders>
              <w:left w:val="nil"/>
            </w:tcBorders>
          </w:tcPr>
          <w:p w14:paraId="46230888" w14:textId="77777777" w:rsidR="009E4F36" w:rsidRPr="008D74C2" w:rsidRDefault="009E4F36" w:rsidP="00AF5174">
            <w:pPr>
              <w:pStyle w:val="TableParagraph"/>
              <w:spacing w:line="240" w:lineRule="auto"/>
              <w:ind w:left="123"/>
              <w:jc w:val="both"/>
              <w:rPr>
                <w:rFonts w:ascii="Times New Roman" w:hAnsi="Times New Roman" w:cs="Times New Roman"/>
                <w:sz w:val="24"/>
              </w:rPr>
            </w:pPr>
            <w:r w:rsidRPr="008D74C2">
              <w:rPr>
                <w:rFonts w:ascii="Times New Roman" w:hAnsi="Times New Roman" w:cs="Times New Roman"/>
                <w:sz w:val="24"/>
              </w:rPr>
              <w:t>Visas invazīvās ierīces, ko ievada caur ķermeņa atverēm, izņemot ķirurģiski invazīvās ierīces, un kas nav paredzētas pievienošanai kādai aktīvai ierīcei vai kas ir paredzētas pievienošanai kādai aktīvai I klases ierīcei, klasificē:</w:t>
            </w:r>
          </w:p>
          <w:p w14:paraId="490B2498" w14:textId="558C5628" w:rsidR="009E4F36" w:rsidRPr="008D74C2" w:rsidRDefault="009E4F36" w:rsidP="00AF5174">
            <w:pPr>
              <w:pStyle w:val="TableParagraph"/>
              <w:numPr>
                <w:ilvl w:val="0"/>
                <w:numId w:val="9"/>
              </w:numPr>
              <w:tabs>
                <w:tab w:val="left" w:pos="594"/>
              </w:tabs>
              <w:spacing w:line="240" w:lineRule="auto"/>
              <w:ind w:left="548"/>
              <w:jc w:val="both"/>
              <w:rPr>
                <w:rFonts w:ascii="Times New Roman" w:hAnsi="Times New Roman" w:cs="Times New Roman"/>
                <w:sz w:val="24"/>
              </w:rPr>
            </w:pPr>
            <w:r w:rsidRPr="008D74C2">
              <w:rPr>
                <w:rFonts w:ascii="Times New Roman" w:hAnsi="Times New Roman" w:cs="Times New Roman"/>
                <w:sz w:val="24"/>
              </w:rPr>
              <w:t>IIb klasē, ja tās ir paredzētas ilgtermiņa lietošanai, (..)</w:t>
            </w:r>
          </w:p>
        </w:tc>
        <w:tc>
          <w:tcPr>
            <w:tcW w:w="1631" w:type="pct"/>
          </w:tcPr>
          <w:p w14:paraId="4B87B73B" w14:textId="7CED4836" w:rsidR="009E4F36" w:rsidRPr="008D74C2" w:rsidRDefault="009E4F36" w:rsidP="00AF5174">
            <w:pPr>
              <w:pStyle w:val="TableParagraph"/>
              <w:numPr>
                <w:ilvl w:val="0"/>
                <w:numId w:val="6"/>
              </w:numPr>
              <w:tabs>
                <w:tab w:val="left" w:pos="464"/>
                <w:tab w:val="left" w:pos="1634"/>
                <w:tab w:val="left" w:pos="2184"/>
                <w:tab w:val="left" w:pos="3213"/>
              </w:tabs>
              <w:spacing w:line="240" w:lineRule="auto"/>
              <w:ind w:left="342" w:hanging="284"/>
              <w:jc w:val="both"/>
              <w:rPr>
                <w:rFonts w:ascii="Times New Roman" w:hAnsi="Times New Roman" w:cs="Times New Roman"/>
                <w:sz w:val="24"/>
              </w:rPr>
            </w:pPr>
            <w:r w:rsidRPr="008D74C2">
              <w:rPr>
                <w:rFonts w:ascii="Times New Roman" w:hAnsi="Times New Roman" w:cs="Times New Roman"/>
                <w:sz w:val="24"/>
              </w:rPr>
              <w:t>Ilgtermiņa lietošanai paredzētas krāsainas nekoriģējošas kontaktlēcas</w:t>
            </w:r>
          </w:p>
          <w:p w14:paraId="3338C77B" w14:textId="1444648B" w:rsidR="009E4F36" w:rsidRPr="008D74C2" w:rsidRDefault="009E4F36" w:rsidP="00AF5174">
            <w:pPr>
              <w:pStyle w:val="TableParagraph"/>
              <w:numPr>
                <w:ilvl w:val="0"/>
                <w:numId w:val="6"/>
              </w:numPr>
              <w:tabs>
                <w:tab w:val="left" w:pos="464"/>
              </w:tabs>
              <w:spacing w:line="240" w:lineRule="auto"/>
              <w:ind w:left="342" w:hanging="284"/>
              <w:jc w:val="both"/>
              <w:rPr>
                <w:rFonts w:ascii="Times New Roman" w:hAnsi="Times New Roman" w:cs="Times New Roman"/>
                <w:sz w:val="24"/>
              </w:rPr>
            </w:pPr>
            <w:r w:rsidRPr="008D74C2">
              <w:rPr>
                <w:rFonts w:ascii="Times New Roman" w:hAnsi="Times New Roman" w:cs="Times New Roman"/>
                <w:sz w:val="24"/>
              </w:rPr>
              <w:t>Ilgtermiņa lietošanai paredzētas nekoriģējošas kontaktlēcas ar apdruku</w:t>
            </w:r>
          </w:p>
        </w:tc>
      </w:tr>
    </w:tbl>
    <w:p w14:paraId="35908EA5" w14:textId="77777777" w:rsidR="009E4F36" w:rsidRPr="008D74C2" w:rsidRDefault="009E4F36" w:rsidP="00C30294">
      <w:pPr>
        <w:pStyle w:val="BodyText"/>
        <w:jc w:val="both"/>
        <w:rPr>
          <w:rFonts w:ascii="Times New Roman" w:hAnsi="Times New Roman" w:cs="Times New Roman"/>
          <w:sz w:val="24"/>
        </w:rPr>
      </w:pPr>
    </w:p>
    <w:p w14:paraId="4554AB31" w14:textId="48D0C323" w:rsidR="009E4F36" w:rsidRPr="008D74C2" w:rsidRDefault="001365BC" w:rsidP="001365BC">
      <w:pPr>
        <w:pStyle w:val="Heading2"/>
        <w:tabs>
          <w:tab w:val="left" w:pos="797"/>
        </w:tabs>
        <w:spacing w:before="0"/>
        <w:ind w:left="0" w:firstLine="0"/>
        <w:jc w:val="both"/>
        <w:rPr>
          <w:rFonts w:ascii="Times New Roman" w:hAnsi="Times New Roman" w:cs="Times New Roman"/>
          <w:color w:val="365F91"/>
          <w:sz w:val="24"/>
        </w:rPr>
      </w:pPr>
      <w:bookmarkStart w:id="13" w:name="4.3_Group_2"/>
      <w:bookmarkEnd w:id="13"/>
      <w:r w:rsidRPr="008D74C2">
        <w:rPr>
          <w:rFonts w:ascii="Times New Roman" w:hAnsi="Times New Roman" w:cs="Times New Roman"/>
          <w:color w:val="365F91"/>
          <w:sz w:val="24"/>
        </w:rPr>
        <w:t>4.3. 2. grupa</w:t>
      </w:r>
    </w:p>
    <w:p w14:paraId="66FD0516" w14:textId="77777777" w:rsidR="001365BC" w:rsidRPr="008D74C2" w:rsidRDefault="001365BC" w:rsidP="001365BC">
      <w:pPr>
        <w:pStyle w:val="Heading2"/>
        <w:tabs>
          <w:tab w:val="left" w:pos="797"/>
        </w:tabs>
        <w:spacing w:before="0"/>
        <w:ind w:left="0" w:firstLine="0"/>
        <w:jc w:val="both"/>
        <w:rPr>
          <w:rFonts w:ascii="Times New Roman" w:hAnsi="Times New Roman" w:cs="Times New Roman"/>
          <w:color w:val="365F91"/>
          <w:sz w:val="24"/>
        </w:rPr>
      </w:pPr>
    </w:p>
    <w:p w14:paraId="72B3D4F0" w14:textId="3C3C0EB3" w:rsidR="009E4F36" w:rsidRPr="008D74C2" w:rsidRDefault="009E4F36" w:rsidP="00C30294">
      <w:pPr>
        <w:pStyle w:val="BodyText"/>
        <w:jc w:val="both"/>
        <w:rPr>
          <w:rFonts w:ascii="Times New Roman" w:hAnsi="Times New Roman" w:cs="Times New Roman"/>
          <w:sz w:val="24"/>
        </w:rPr>
      </w:pPr>
      <w:r w:rsidRPr="008D74C2">
        <w:rPr>
          <w:rFonts w:ascii="Times New Roman" w:hAnsi="Times New Roman" w:cs="Times New Roman"/>
          <w:sz w:val="24"/>
        </w:rPr>
        <w:t>K</w:t>
      </w:r>
      <w:r w:rsidR="00DA0160">
        <w:rPr>
          <w:rFonts w:ascii="Times New Roman" w:hAnsi="Times New Roman" w:cs="Times New Roman"/>
          <w:sz w:val="24"/>
        </w:rPr>
        <w:t>S</w:t>
      </w:r>
      <w:r w:rsidRPr="008D74C2">
        <w:rPr>
          <w:rFonts w:ascii="Times New Roman" w:hAnsi="Times New Roman" w:cs="Times New Roman"/>
          <w:sz w:val="24"/>
        </w:rPr>
        <w:t xml:space="preserve"> attiecas uz izstrādājumiem, kas paredzēti pilnīgai vai daļējai ievadīšanai cilvēka ķermenī, izmantojot ķirurģiski invazīvus līdzekļus, lai modificētu anatomiju, un kas ir minēti Regulas (ES) 2017/745 XVI pielikuma 2. punktā. K</w:t>
      </w:r>
      <w:r w:rsidR="00DA0160">
        <w:rPr>
          <w:rFonts w:ascii="Times New Roman" w:hAnsi="Times New Roman" w:cs="Times New Roman"/>
          <w:sz w:val="24"/>
        </w:rPr>
        <w:t>S</w:t>
      </w:r>
      <w:r w:rsidRPr="008D74C2">
        <w:rPr>
          <w:rFonts w:ascii="Times New Roman" w:hAnsi="Times New Roman" w:cs="Times New Roman"/>
          <w:sz w:val="24"/>
        </w:rPr>
        <w:t xml:space="preserve"> neattiecas uz tetovēšanas izstrādājumiem, pīrsingiem</w:t>
      </w:r>
      <w:r w:rsidR="001365BC" w:rsidRPr="008D74C2">
        <w:rPr>
          <w:rStyle w:val="FootnoteReference"/>
          <w:rFonts w:ascii="Times New Roman" w:hAnsi="Times New Roman" w:cs="Times New Roman"/>
          <w:sz w:val="24"/>
        </w:rPr>
        <w:footnoteReference w:id="21"/>
      </w:r>
      <w:r w:rsidRPr="008D74C2">
        <w:rPr>
          <w:rFonts w:ascii="Times New Roman" w:hAnsi="Times New Roman" w:cs="Times New Roman"/>
          <w:sz w:val="24"/>
        </w:rPr>
        <w:t xml:space="preserve"> un izstrādājumiem, kas paredzēti pilnīgai vai daļējai ievadīšanai cilvēka ķermenī, izmantojot ķirurģiski invazīvus līdzekļus, lai fiksētu ķermeņa daļas. K</w:t>
      </w:r>
      <w:r w:rsidR="00903A7A">
        <w:rPr>
          <w:rFonts w:ascii="Times New Roman" w:hAnsi="Times New Roman" w:cs="Times New Roman"/>
          <w:sz w:val="24"/>
        </w:rPr>
        <w:t>S</w:t>
      </w:r>
      <w:r w:rsidRPr="008D74C2">
        <w:rPr>
          <w:rFonts w:ascii="Times New Roman" w:hAnsi="Times New Roman" w:cs="Times New Roman"/>
          <w:sz w:val="24"/>
        </w:rPr>
        <w:t xml:space="preserve"> neattiecas arī uz aktīvām implantējamām ierīcēm.</w:t>
      </w:r>
    </w:p>
    <w:p w14:paraId="3B73A90C" w14:textId="77777777" w:rsidR="009E4F36" w:rsidRPr="008D74C2" w:rsidRDefault="009E4F36" w:rsidP="00C30294">
      <w:pPr>
        <w:pStyle w:val="BodyText"/>
        <w:jc w:val="both"/>
        <w:rPr>
          <w:rFonts w:ascii="Times New Roman" w:hAnsi="Times New Roman" w:cs="Times New Roman"/>
          <w:sz w:val="24"/>
        </w:rPr>
      </w:pPr>
    </w:p>
    <w:p w14:paraId="5F28FF82" w14:textId="77777777" w:rsidR="009E4F36" w:rsidRPr="008D74C2" w:rsidRDefault="009E4F36" w:rsidP="00C30294">
      <w:pPr>
        <w:pStyle w:val="BodyText"/>
        <w:jc w:val="both"/>
        <w:rPr>
          <w:rFonts w:ascii="Times New Roman" w:hAnsi="Times New Roman" w:cs="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630"/>
        <w:gridCol w:w="270"/>
        <w:gridCol w:w="5166"/>
        <w:gridCol w:w="3065"/>
      </w:tblGrid>
      <w:tr w:rsidR="009E4F36" w:rsidRPr="008D74C2" w14:paraId="1234BAC7" w14:textId="77777777" w:rsidTr="001365BC">
        <w:trPr>
          <w:trHeight w:val="268"/>
        </w:trPr>
        <w:tc>
          <w:tcPr>
            <w:tcW w:w="288" w:type="pct"/>
          </w:tcPr>
          <w:p w14:paraId="42DF0960" w14:textId="77777777" w:rsidR="009E4F36" w:rsidRPr="008D74C2" w:rsidRDefault="009E4F36" w:rsidP="003A01E5">
            <w:pPr>
              <w:pStyle w:val="TableParagraph"/>
              <w:keepNext/>
              <w:keepLines/>
              <w:spacing w:line="240" w:lineRule="auto"/>
              <w:ind w:left="0"/>
              <w:jc w:val="both"/>
              <w:rPr>
                <w:rFonts w:ascii="Times New Roman" w:hAnsi="Times New Roman" w:cs="Times New Roman"/>
                <w:b/>
                <w:sz w:val="24"/>
              </w:rPr>
            </w:pPr>
            <w:r w:rsidRPr="008D74C2">
              <w:rPr>
                <w:rFonts w:ascii="Times New Roman" w:hAnsi="Times New Roman" w:cs="Times New Roman"/>
                <w:b/>
                <w:sz w:val="24"/>
              </w:rPr>
              <w:lastRenderedPageBreak/>
              <w:t>Klase</w:t>
            </w:r>
          </w:p>
        </w:tc>
        <w:tc>
          <w:tcPr>
            <w:tcW w:w="3015" w:type="pct"/>
            <w:gridSpan w:val="2"/>
          </w:tcPr>
          <w:p w14:paraId="017777FA" w14:textId="77777777" w:rsidR="009E4F36" w:rsidRPr="008D74C2" w:rsidRDefault="009E4F36" w:rsidP="003A01E5">
            <w:pPr>
              <w:pStyle w:val="TableParagraph"/>
              <w:keepNext/>
              <w:keepLines/>
              <w:spacing w:line="240" w:lineRule="auto"/>
              <w:ind w:left="0"/>
              <w:jc w:val="both"/>
              <w:rPr>
                <w:rFonts w:ascii="Times New Roman" w:hAnsi="Times New Roman" w:cs="Times New Roman"/>
                <w:b/>
                <w:sz w:val="24"/>
              </w:rPr>
            </w:pPr>
            <w:r w:rsidRPr="008D74C2">
              <w:rPr>
                <w:rFonts w:ascii="Times New Roman" w:hAnsi="Times New Roman" w:cs="Times New Roman"/>
                <w:b/>
                <w:sz w:val="24"/>
              </w:rPr>
              <w:t>Noteikums</w:t>
            </w:r>
          </w:p>
        </w:tc>
        <w:tc>
          <w:tcPr>
            <w:tcW w:w="1697" w:type="pct"/>
          </w:tcPr>
          <w:p w14:paraId="5F426BF7" w14:textId="77777777" w:rsidR="009E4F36" w:rsidRPr="008D74C2" w:rsidRDefault="009E4F36" w:rsidP="003A01E5">
            <w:pPr>
              <w:pStyle w:val="TableParagraph"/>
              <w:keepNext/>
              <w:keepLines/>
              <w:spacing w:line="240" w:lineRule="auto"/>
              <w:ind w:left="0"/>
              <w:jc w:val="both"/>
              <w:rPr>
                <w:rFonts w:ascii="Times New Roman" w:hAnsi="Times New Roman" w:cs="Times New Roman"/>
                <w:b/>
                <w:sz w:val="24"/>
              </w:rPr>
            </w:pPr>
            <w:r w:rsidRPr="008D74C2">
              <w:rPr>
                <w:rFonts w:ascii="Times New Roman" w:hAnsi="Times New Roman" w:cs="Times New Roman"/>
                <w:b/>
                <w:sz w:val="24"/>
              </w:rPr>
              <w:t>XVI pielikuma izstrādājumu piemēri</w:t>
            </w:r>
          </w:p>
        </w:tc>
      </w:tr>
      <w:tr w:rsidR="009E4F36" w:rsidRPr="008D74C2" w14:paraId="4F6354DC" w14:textId="77777777" w:rsidTr="001365BC">
        <w:trPr>
          <w:trHeight w:val="842"/>
        </w:trPr>
        <w:tc>
          <w:tcPr>
            <w:tcW w:w="288" w:type="pct"/>
          </w:tcPr>
          <w:p w14:paraId="0BEE0D48" w14:textId="77777777" w:rsidR="009E4F36" w:rsidRPr="008D74C2" w:rsidRDefault="009E4F36" w:rsidP="003A01E5">
            <w:pPr>
              <w:pStyle w:val="TableParagraph"/>
              <w:keepNext/>
              <w:keepLines/>
              <w:spacing w:line="240" w:lineRule="auto"/>
              <w:ind w:left="0"/>
              <w:jc w:val="both"/>
              <w:rPr>
                <w:rFonts w:ascii="Times New Roman" w:hAnsi="Times New Roman" w:cs="Times New Roman"/>
                <w:sz w:val="24"/>
              </w:rPr>
            </w:pPr>
            <w:r w:rsidRPr="008D74C2">
              <w:rPr>
                <w:rFonts w:ascii="Times New Roman" w:hAnsi="Times New Roman" w:cs="Times New Roman"/>
                <w:sz w:val="24"/>
              </w:rPr>
              <w:t>IIb</w:t>
            </w:r>
          </w:p>
        </w:tc>
        <w:tc>
          <w:tcPr>
            <w:tcW w:w="167" w:type="pct"/>
            <w:tcBorders>
              <w:right w:val="nil"/>
            </w:tcBorders>
          </w:tcPr>
          <w:p w14:paraId="46804458" w14:textId="77777777" w:rsidR="009E4F36" w:rsidRPr="008D74C2" w:rsidRDefault="009E4F36" w:rsidP="003A01E5">
            <w:pPr>
              <w:pStyle w:val="TableParagraph"/>
              <w:keepNext/>
              <w:keepLines/>
              <w:spacing w:line="240" w:lineRule="auto"/>
              <w:ind w:left="0"/>
              <w:jc w:val="both"/>
              <w:rPr>
                <w:rFonts w:ascii="Times New Roman" w:hAnsi="Times New Roman" w:cs="Times New Roman"/>
                <w:sz w:val="24"/>
              </w:rPr>
            </w:pPr>
            <w:r w:rsidRPr="008D74C2">
              <w:rPr>
                <w:rFonts w:ascii="Times New Roman" w:hAnsi="Times New Roman" w:cs="Times New Roman"/>
                <w:sz w:val="24"/>
              </w:rPr>
              <w:t>8.</w:t>
            </w:r>
          </w:p>
        </w:tc>
        <w:tc>
          <w:tcPr>
            <w:tcW w:w="2848" w:type="pct"/>
            <w:tcBorders>
              <w:left w:val="nil"/>
            </w:tcBorders>
          </w:tcPr>
          <w:p w14:paraId="41CABEDB" w14:textId="77777777" w:rsidR="009E4F36" w:rsidRPr="008D74C2" w:rsidRDefault="009E4F36" w:rsidP="003A01E5">
            <w:pPr>
              <w:pStyle w:val="TableParagraph"/>
              <w:keepNext/>
              <w:keepLines/>
              <w:spacing w:line="240" w:lineRule="auto"/>
              <w:ind w:left="108"/>
              <w:jc w:val="both"/>
              <w:rPr>
                <w:rFonts w:ascii="Times New Roman" w:hAnsi="Times New Roman" w:cs="Times New Roman"/>
                <w:sz w:val="24"/>
              </w:rPr>
            </w:pPr>
            <w:r w:rsidRPr="008D74C2">
              <w:rPr>
                <w:rFonts w:ascii="Times New Roman" w:hAnsi="Times New Roman" w:cs="Times New Roman"/>
                <w:sz w:val="24"/>
              </w:rPr>
              <w:t>Visas implantējamās ierīces un ilgtermiņa ķirurģiski invazīvās ierīces klasificē IIb klasē (..)</w:t>
            </w:r>
          </w:p>
        </w:tc>
        <w:tc>
          <w:tcPr>
            <w:tcW w:w="1697" w:type="pct"/>
          </w:tcPr>
          <w:p w14:paraId="73CCEE11" w14:textId="77777777" w:rsidR="007F25A0" w:rsidRPr="008D74C2" w:rsidRDefault="009E4F36" w:rsidP="003A01E5">
            <w:pPr>
              <w:pStyle w:val="TableParagraph"/>
              <w:keepNext/>
              <w:keepLines/>
              <w:numPr>
                <w:ilvl w:val="0"/>
                <w:numId w:val="5"/>
              </w:numPr>
              <w:tabs>
                <w:tab w:val="left" w:pos="745"/>
              </w:tabs>
              <w:spacing w:line="240" w:lineRule="auto"/>
              <w:ind w:left="320" w:hanging="283"/>
              <w:jc w:val="both"/>
              <w:rPr>
                <w:rFonts w:ascii="Times New Roman" w:hAnsi="Times New Roman" w:cs="Times New Roman"/>
                <w:sz w:val="24"/>
              </w:rPr>
            </w:pPr>
            <w:r w:rsidRPr="008D74C2">
              <w:rPr>
                <w:rFonts w:ascii="Times New Roman" w:hAnsi="Times New Roman" w:cs="Times New Roman"/>
                <w:sz w:val="24"/>
              </w:rPr>
              <w:t>Zemādas un transdermāli implanti</w:t>
            </w:r>
          </w:p>
          <w:p w14:paraId="33A10F6E" w14:textId="77777777" w:rsidR="007F25A0" w:rsidRPr="008D74C2" w:rsidRDefault="009E4F36" w:rsidP="003A01E5">
            <w:pPr>
              <w:pStyle w:val="TableParagraph"/>
              <w:keepNext/>
              <w:keepLines/>
              <w:numPr>
                <w:ilvl w:val="0"/>
                <w:numId w:val="5"/>
              </w:numPr>
              <w:tabs>
                <w:tab w:val="left" w:pos="745"/>
              </w:tabs>
              <w:spacing w:line="240" w:lineRule="auto"/>
              <w:ind w:left="320" w:hanging="283"/>
              <w:jc w:val="both"/>
              <w:rPr>
                <w:rFonts w:ascii="Times New Roman" w:hAnsi="Times New Roman" w:cs="Times New Roman"/>
                <w:sz w:val="24"/>
              </w:rPr>
            </w:pPr>
            <w:r w:rsidRPr="008D74C2">
              <w:rPr>
                <w:rFonts w:ascii="Times New Roman" w:hAnsi="Times New Roman" w:cs="Times New Roman"/>
                <w:sz w:val="24"/>
              </w:rPr>
              <w:t>Sēžas implanti</w:t>
            </w:r>
          </w:p>
          <w:p w14:paraId="57360B7B" w14:textId="32A9B567" w:rsidR="009E4F36" w:rsidRPr="008D74C2" w:rsidRDefault="009E4F36" w:rsidP="003A01E5">
            <w:pPr>
              <w:pStyle w:val="TableParagraph"/>
              <w:keepNext/>
              <w:keepLines/>
              <w:numPr>
                <w:ilvl w:val="0"/>
                <w:numId w:val="5"/>
              </w:numPr>
              <w:tabs>
                <w:tab w:val="left" w:pos="745"/>
              </w:tabs>
              <w:spacing w:line="240" w:lineRule="auto"/>
              <w:ind w:left="320" w:hanging="283"/>
              <w:jc w:val="both"/>
              <w:rPr>
                <w:rFonts w:ascii="Times New Roman" w:hAnsi="Times New Roman" w:cs="Times New Roman"/>
                <w:sz w:val="24"/>
              </w:rPr>
            </w:pPr>
            <w:r w:rsidRPr="008D74C2">
              <w:rPr>
                <w:rFonts w:ascii="Times New Roman" w:hAnsi="Times New Roman" w:cs="Times New Roman"/>
                <w:sz w:val="24"/>
              </w:rPr>
              <w:t>Diegi</w:t>
            </w:r>
          </w:p>
        </w:tc>
      </w:tr>
      <w:tr w:rsidR="009E4F36" w:rsidRPr="008D74C2" w14:paraId="1BB05FB3" w14:textId="77777777" w:rsidTr="001365BC">
        <w:trPr>
          <w:trHeight w:val="817"/>
        </w:trPr>
        <w:tc>
          <w:tcPr>
            <w:tcW w:w="288" w:type="pct"/>
            <w:vMerge w:val="restart"/>
          </w:tcPr>
          <w:p w14:paraId="30BB5A55" w14:textId="77777777" w:rsidR="009E4F36" w:rsidRPr="008D74C2" w:rsidRDefault="009E4F36" w:rsidP="003A01E5">
            <w:pPr>
              <w:pStyle w:val="TableParagraph"/>
              <w:keepNext/>
              <w:keepLines/>
              <w:spacing w:line="240" w:lineRule="auto"/>
              <w:ind w:left="0"/>
              <w:jc w:val="both"/>
              <w:rPr>
                <w:rFonts w:ascii="Times New Roman" w:hAnsi="Times New Roman" w:cs="Times New Roman"/>
                <w:sz w:val="24"/>
              </w:rPr>
            </w:pPr>
            <w:r w:rsidRPr="008D74C2">
              <w:rPr>
                <w:rFonts w:ascii="Times New Roman" w:hAnsi="Times New Roman" w:cs="Times New Roman"/>
                <w:sz w:val="24"/>
              </w:rPr>
              <w:t>III</w:t>
            </w:r>
          </w:p>
        </w:tc>
        <w:tc>
          <w:tcPr>
            <w:tcW w:w="167" w:type="pct"/>
            <w:tcBorders>
              <w:right w:val="nil"/>
            </w:tcBorders>
          </w:tcPr>
          <w:p w14:paraId="1E8543A0" w14:textId="77777777" w:rsidR="009E4F36" w:rsidRPr="008D74C2" w:rsidRDefault="009E4F36" w:rsidP="003A01E5">
            <w:pPr>
              <w:pStyle w:val="TableParagraph"/>
              <w:keepNext/>
              <w:keepLines/>
              <w:spacing w:line="240" w:lineRule="auto"/>
              <w:ind w:left="0"/>
              <w:jc w:val="both"/>
              <w:rPr>
                <w:rFonts w:ascii="Times New Roman" w:hAnsi="Times New Roman" w:cs="Times New Roman"/>
                <w:sz w:val="24"/>
              </w:rPr>
            </w:pPr>
            <w:r w:rsidRPr="008D74C2">
              <w:rPr>
                <w:rFonts w:ascii="Times New Roman" w:hAnsi="Times New Roman" w:cs="Times New Roman"/>
                <w:sz w:val="24"/>
              </w:rPr>
              <w:t>8.</w:t>
            </w:r>
          </w:p>
        </w:tc>
        <w:tc>
          <w:tcPr>
            <w:tcW w:w="2848" w:type="pct"/>
            <w:tcBorders>
              <w:left w:val="nil"/>
            </w:tcBorders>
          </w:tcPr>
          <w:p w14:paraId="7980154E" w14:textId="77777777" w:rsidR="009E4F36" w:rsidRPr="008D74C2" w:rsidRDefault="009E4F36" w:rsidP="003A01E5">
            <w:pPr>
              <w:pStyle w:val="TableParagraph"/>
              <w:keepNext/>
              <w:keepLines/>
              <w:spacing w:line="240" w:lineRule="auto"/>
              <w:ind w:left="108"/>
              <w:jc w:val="both"/>
              <w:rPr>
                <w:rFonts w:ascii="Times New Roman" w:hAnsi="Times New Roman" w:cs="Times New Roman"/>
                <w:sz w:val="24"/>
              </w:rPr>
            </w:pPr>
            <w:r w:rsidRPr="008D74C2">
              <w:rPr>
                <w:rFonts w:ascii="Times New Roman" w:hAnsi="Times New Roman" w:cs="Times New Roman"/>
                <w:sz w:val="24"/>
              </w:rPr>
              <w:t>Visas implantējamās ierīces un ilgtermiņa ķirurģiski invazīvās ierīces klasificē IIb klasē, ja vien tās:</w:t>
            </w:r>
          </w:p>
          <w:p w14:paraId="41BE5CC7" w14:textId="2A366625" w:rsidR="009E4F36" w:rsidRPr="008D74C2" w:rsidRDefault="009E4F36" w:rsidP="003A01E5">
            <w:pPr>
              <w:pStyle w:val="TableParagraph"/>
              <w:keepNext/>
              <w:keepLines/>
              <w:numPr>
                <w:ilvl w:val="0"/>
                <w:numId w:val="9"/>
              </w:numPr>
              <w:spacing w:line="240" w:lineRule="auto"/>
              <w:ind w:left="391" w:hanging="284"/>
              <w:jc w:val="both"/>
              <w:rPr>
                <w:rFonts w:ascii="Times New Roman" w:hAnsi="Times New Roman" w:cs="Times New Roman"/>
                <w:sz w:val="24"/>
              </w:rPr>
            </w:pPr>
            <w:r w:rsidRPr="008D74C2">
              <w:rPr>
                <w:rFonts w:ascii="Times New Roman" w:hAnsi="Times New Roman" w:cs="Times New Roman"/>
                <w:sz w:val="24"/>
              </w:rPr>
              <w:t>(..) pilnīgi vai lielākoties neuzsūcas, jo šādā gadījumā tās ir jāklasificē III klasē;</w:t>
            </w:r>
          </w:p>
        </w:tc>
        <w:tc>
          <w:tcPr>
            <w:tcW w:w="1697" w:type="pct"/>
          </w:tcPr>
          <w:p w14:paraId="3EFA197B" w14:textId="292F45BD" w:rsidR="009E4F36" w:rsidRPr="008D74C2" w:rsidRDefault="009E4F36" w:rsidP="003A01E5">
            <w:pPr>
              <w:pStyle w:val="TableParagraph"/>
              <w:keepNext/>
              <w:keepLines/>
              <w:numPr>
                <w:ilvl w:val="0"/>
                <w:numId w:val="9"/>
              </w:numPr>
              <w:tabs>
                <w:tab w:val="left" w:pos="1029"/>
              </w:tabs>
              <w:spacing w:line="240" w:lineRule="auto"/>
              <w:ind w:left="320" w:hanging="284"/>
              <w:jc w:val="both"/>
              <w:rPr>
                <w:rFonts w:ascii="Times New Roman" w:hAnsi="Times New Roman" w:cs="Times New Roman"/>
                <w:sz w:val="24"/>
              </w:rPr>
            </w:pPr>
            <w:r w:rsidRPr="008D74C2">
              <w:rPr>
                <w:rFonts w:ascii="Times New Roman" w:hAnsi="Times New Roman" w:cs="Times New Roman"/>
                <w:sz w:val="24"/>
              </w:rPr>
              <w:t>Uzsūcošies diegi</w:t>
            </w:r>
          </w:p>
        </w:tc>
      </w:tr>
      <w:tr w:rsidR="009E4F36" w:rsidRPr="008D74C2" w14:paraId="7C00CEE2" w14:textId="77777777" w:rsidTr="001365BC">
        <w:trPr>
          <w:trHeight w:val="561"/>
        </w:trPr>
        <w:tc>
          <w:tcPr>
            <w:tcW w:w="288" w:type="pct"/>
            <w:vMerge/>
            <w:tcBorders>
              <w:top w:val="nil"/>
            </w:tcBorders>
          </w:tcPr>
          <w:p w14:paraId="58540B9A" w14:textId="77777777" w:rsidR="009E4F36" w:rsidRPr="008D74C2" w:rsidRDefault="009E4F36" w:rsidP="00C30294">
            <w:pPr>
              <w:jc w:val="both"/>
              <w:rPr>
                <w:rFonts w:ascii="Times New Roman" w:hAnsi="Times New Roman" w:cs="Times New Roman"/>
                <w:sz w:val="24"/>
                <w:szCs w:val="2"/>
              </w:rPr>
            </w:pPr>
          </w:p>
        </w:tc>
        <w:tc>
          <w:tcPr>
            <w:tcW w:w="167" w:type="pct"/>
            <w:tcBorders>
              <w:right w:val="nil"/>
            </w:tcBorders>
          </w:tcPr>
          <w:p w14:paraId="2B4DE7EA" w14:textId="77777777" w:rsidR="009E4F36" w:rsidRPr="008D74C2" w:rsidRDefault="009E4F36" w:rsidP="00C30294">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8.</w:t>
            </w:r>
          </w:p>
        </w:tc>
        <w:tc>
          <w:tcPr>
            <w:tcW w:w="2848" w:type="pct"/>
            <w:tcBorders>
              <w:left w:val="nil"/>
            </w:tcBorders>
          </w:tcPr>
          <w:p w14:paraId="66C6D518" w14:textId="134FA843" w:rsidR="009E4F36" w:rsidRPr="008D74C2" w:rsidRDefault="009E4F36" w:rsidP="007F25A0">
            <w:pPr>
              <w:pStyle w:val="TableParagraph"/>
              <w:numPr>
                <w:ilvl w:val="0"/>
                <w:numId w:val="9"/>
              </w:numPr>
              <w:tabs>
                <w:tab w:val="left" w:pos="816"/>
              </w:tabs>
              <w:spacing w:line="240" w:lineRule="auto"/>
              <w:ind w:left="391" w:hanging="284"/>
              <w:jc w:val="both"/>
              <w:rPr>
                <w:rFonts w:ascii="Times New Roman" w:hAnsi="Times New Roman" w:cs="Times New Roman"/>
                <w:sz w:val="24"/>
              </w:rPr>
            </w:pPr>
            <w:r w:rsidRPr="008D74C2">
              <w:rPr>
                <w:rFonts w:ascii="Times New Roman" w:hAnsi="Times New Roman" w:cs="Times New Roman"/>
                <w:sz w:val="24"/>
              </w:rPr>
              <w:t>ir krūšu implanti vai ķirurģiskie tīkli, jo šādā gadījumā tie ir jāklasificē III klasē; (..)</w:t>
            </w:r>
          </w:p>
        </w:tc>
        <w:tc>
          <w:tcPr>
            <w:tcW w:w="1697" w:type="pct"/>
          </w:tcPr>
          <w:p w14:paraId="74E9F8CB" w14:textId="77777777" w:rsidR="009E4F36" w:rsidRPr="008D74C2" w:rsidRDefault="009E4F36" w:rsidP="007F25A0">
            <w:pPr>
              <w:pStyle w:val="TableParagraph"/>
              <w:numPr>
                <w:ilvl w:val="0"/>
                <w:numId w:val="4"/>
              </w:numPr>
              <w:tabs>
                <w:tab w:val="left" w:pos="887"/>
              </w:tabs>
              <w:spacing w:line="240" w:lineRule="auto"/>
              <w:ind w:left="320" w:hanging="284"/>
              <w:jc w:val="both"/>
              <w:rPr>
                <w:rFonts w:ascii="Times New Roman" w:hAnsi="Times New Roman" w:cs="Times New Roman"/>
                <w:sz w:val="24"/>
              </w:rPr>
            </w:pPr>
            <w:r w:rsidRPr="008D74C2">
              <w:rPr>
                <w:rFonts w:ascii="Times New Roman" w:hAnsi="Times New Roman" w:cs="Times New Roman"/>
                <w:sz w:val="24"/>
              </w:rPr>
              <w:t>Krūšu implanti</w:t>
            </w:r>
          </w:p>
          <w:p w14:paraId="4EFA8658" w14:textId="77777777" w:rsidR="009E4F36" w:rsidRPr="008D74C2" w:rsidRDefault="009E4F36" w:rsidP="007F25A0">
            <w:pPr>
              <w:pStyle w:val="TableParagraph"/>
              <w:numPr>
                <w:ilvl w:val="0"/>
                <w:numId w:val="4"/>
              </w:numPr>
              <w:tabs>
                <w:tab w:val="left" w:pos="887"/>
              </w:tabs>
              <w:spacing w:line="240" w:lineRule="auto"/>
              <w:ind w:left="320" w:hanging="284"/>
              <w:jc w:val="both"/>
              <w:rPr>
                <w:rFonts w:ascii="Times New Roman" w:hAnsi="Times New Roman" w:cs="Times New Roman"/>
                <w:sz w:val="24"/>
              </w:rPr>
            </w:pPr>
            <w:r w:rsidRPr="008D74C2">
              <w:rPr>
                <w:rFonts w:ascii="Times New Roman" w:hAnsi="Times New Roman" w:cs="Times New Roman"/>
                <w:sz w:val="24"/>
              </w:rPr>
              <w:t>Ķirurģiskie tīkli krūšu pacelšanai</w:t>
            </w:r>
          </w:p>
        </w:tc>
      </w:tr>
    </w:tbl>
    <w:p w14:paraId="460DAA0A" w14:textId="77777777" w:rsidR="009E4F36" w:rsidRPr="008D74C2" w:rsidRDefault="009E4F36" w:rsidP="00C30294">
      <w:pPr>
        <w:pStyle w:val="BodyText"/>
        <w:jc w:val="both"/>
        <w:rPr>
          <w:rFonts w:ascii="Times New Roman" w:hAnsi="Times New Roman" w:cs="Times New Roman"/>
          <w:sz w:val="24"/>
        </w:rPr>
      </w:pPr>
    </w:p>
    <w:p w14:paraId="7D3DC8D5" w14:textId="46A49DE7" w:rsidR="009E4F36" w:rsidRPr="008D74C2" w:rsidRDefault="005C14CB" w:rsidP="005C14CB">
      <w:pPr>
        <w:pStyle w:val="Heading2"/>
        <w:tabs>
          <w:tab w:val="left" w:pos="797"/>
        </w:tabs>
        <w:spacing w:before="0"/>
        <w:ind w:left="0" w:firstLine="0"/>
        <w:jc w:val="both"/>
        <w:rPr>
          <w:rFonts w:ascii="Times New Roman" w:hAnsi="Times New Roman" w:cs="Times New Roman"/>
          <w:color w:val="365F91"/>
          <w:sz w:val="24"/>
        </w:rPr>
      </w:pPr>
      <w:bookmarkStart w:id="14" w:name="4.4_Group_3"/>
      <w:bookmarkEnd w:id="14"/>
      <w:r w:rsidRPr="008D74C2">
        <w:rPr>
          <w:rFonts w:ascii="Times New Roman" w:hAnsi="Times New Roman" w:cs="Times New Roman"/>
          <w:color w:val="365F91"/>
          <w:sz w:val="24"/>
        </w:rPr>
        <w:t>4.4. 3. grupa</w:t>
      </w:r>
    </w:p>
    <w:p w14:paraId="2B4B4C5B" w14:textId="77777777" w:rsidR="005C14CB" w:rsidRPr="008D74C2" w:rsidRDefault="005C14CB" w:rsidP="00C30294">
      <w:pPr>
        <w:pStyle w:val="BodyText"/>
        <w:jc w:val="both"/>
        <w:rPr>
          <w:rFonts w:ascii="Times New Roman" w:hAnsi="Times New Roman" w:cs="Times New Roman"/>
          <w:sz w:val="24"/>
        </w:rPr>
      </w:pPr>
    </w:p>
    <w:p w14:paraId="464E9920" w14:textId="7396D7FA" w:rsidR="009E4F36" w:rsidRPr="008D74C2" w:rsidRDefault="009E4F36" w:rsidP="00C30294">
      <w:pPr>
        <w:pStyle w:val="BodyText"/>
        <w:jc w:val="both"/>
        <w:rPr>
          <w:rFonts w:ascii="Times New Roman" w:hAnsi="Times New Roman" w:cs="Times New Roman"/>
          <w:sz w:val="24"/>
        </w:rPr>
      </w:pPr>
      <w:r w:rsidRPr="008D74C2">
        <w:rPr>
          <w:rFonts w:ascii="Times New Roman" w:hAnsi="Times New Roman" w:cs="Times New Roman"/>
          <w:sz w:val="24"/>
        </w:rPr>
        <w:t>K</w:t>
      </w:r>
      <w:r w:rsidR="004D4281">
        <w:rPr>
          <w:rFonts w:ascii="Times New Roman" w:hAnsi="Times New Roman" w:cs="Times New Roman"/>
          <w:sz w:val="24"/>
        </w:rPr>
        <w:t>S</w:t>
      </w:r>
      <w:r w:rsidRPr="008D74C2">
        <w:rPr>
          <w:rFonts w:ascii="Times New Roman" w:hAnsi="Times New Roman" w:cs="Times New Roman"/>
          <w:sz w:val="24"/>
        </w:rPr>
        <w:t xml:space="preserve"> attiecas uz Regulas (ES) 2017/745 XVI pielikuma 3. punktā minētajām vielām, vielu kombinācijām vai izstrādājumiem, kas paredzēti izmantošanai sejas vai citas ādas vai gļotādas aizpildīšanai ar zemādas, zemgļotādas vai intradermālu injekciju vai citu ievadīšanas veidu, izņemot tos, kuri paredzēti tetovēšanai</w:t>
      </w:r>
      <w:r w:rsidR="005C14CB" w:rsidRPr="008D74C2">
        <w:rPr>
          <w:rStyle w:val="FootnoteReference"/>
          <w:rFonts w:ascii="Times New Roman" w:hAnsi="Times New Roman" w:cs="Times New Roman"/>
          <w:sz w:val="24"/>
        </w:rPr>
        <w:footnoteReference w:id="22"/>
      </w:r>
      <w:r w:rsidRPr="008D74C2">
        <w:rPr>
          <w:rFonts w:ascii="Times New Roman" w:hAnsi="Times New Roman" w:cs="Times New Roman"/>
          <w:sz w:val="24"/>
        </w:rPr>
        <w:t xml:space="preserve">. </w:t>
      </w:r>
      <w:r w:rsidR="004D4281">
        <w:rPr>
          <w:rFonts w:ascii="Times New Roman" w:hAnsi="Times New Roman" w:cs="Times New Roman"/>
          <w:sz w:val="24"/>
        </w:rPr>
        <w:t>KS</w:t>
      </w:r>
      <w:r w:rsidRPr="008D74C2">
        <w:rPr>
          <w:rFonts w:ascii="Times New Roman" w:hAnsi="Times New Roman" w:cs="Times New Roman"/>
          <w:sz w:val="24"/>
        </w:rPr>
        <w:t xml:space="preserve"> attiecas uz līdzekļiem, ko izmanto ievadīšanai ķermenī, piemēram, uz šļircēm un </w:t>
      </w:r>
      <w:r w:rsidR="00541DF7">
        <w:rPr>
          <w:rFonts w:ascii="Times New Roman" w:hAnsi="Times New Roman" w:cs="Times New Roman"/>
          <w:sz w:val="24"/>
        </w:rPr>
        <w:t>dermas rullīti ar mikroadatām</w:t>
      </w:r>
      <w:r w:rsidRPr="008D74C2">
        <w:rPr>
          <w:rFonts w:ascii="Times New Roman" w:hAnsi="Times New Roman" w:cs="Times New Roman"/>
          <w:sz w:val="24"/>
        </w:rPr>
        <w:t>, ja tie ir iepriekš piepildīti ar Regulas (ES) 2017/745 XVI pielikuma 3. punktā minētajām vielām, vielu kombinācijām vai citiem izstrādājumiem. K</w:t>
      </w:r>
      <w:r w:rsidR="00321D6F">
        <w:rPr>
          <w:rFonts w:ascii="Times New Roman" w:hAnsi="Times New Roman" w:cs="Times New Roman"/>
          <w:sz w:val="24"/>
        </w:rPr>
        <w:t>S</w:t>
      </w:r>
      <w:r w:rsidRPr="008D74C2">
        <w:rPr>
          <w:rFonts w:ascii="Times New Roman" w:hAnsi="Times New Roman" w:cs="Times New Roman"/>
          <w:sz w:val="24"/>
        </w:rPr>
        <w:t xml:space="preserve"> neattiecas uz aktīvām ierīcēm.</w:t>
      </w:r>
    </w:p>
    <w:p w14:paraId="7203E9A4" w14:textId="77777777" w:rsidR="009E4F36" w:rsidRPr="008D74C2" w:rsidRDefault="009E4F36" w:rsidP="00C30294">
      <w:pPr>
        <w:pStyle w:val="BodyText"/>
        <w:jc w:val="both"/>
        <w:rPr>
          <w:rFonts w:ascii="Times New Roman" w:hAnsi="Times New Roman" w:cs="Times New Roman"/>
          <w:sz w:val="24"/>
        </w:rPr>
      </w:pPr>
    </w:p>
    <w:p w14:paraId="1B271E69" w14:textId="77777777" w:rsidR="009E4F36" w:rsidRPr="008D74C2" w:rsidRDefault="009E4F36" w:rsidP="00C30294">
      <w:pPr>
        <w:pStyle w:val="BodyText"/>
        <w:jc w:val="both"/>
        <w:rPr>
          <w:rFonts w:ascii="Times New Roman" w:hAnsi="Times New Roman" w:cs="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630"/>
        <w:gridCol w:w="356"/>
        <w:gridCol w:w="5133"/>
        <w:gridCol w:w="3012"/>
      </w:tblGrid>
      <w:tr w:rsidR="009E4F36" w:rsidRPr="008D74C2" w14:paraId="3656504C" w14:textId="77777777" w:rsidTr="008B1050">
        <w:trPr>
          <w:trHeight w:val="268"/>
        </w:trPr>
        <w:tc>
          <w:tcPr>
            <w:tcW w:w="330" w:type="pct"/>
          </w:tcPr>
          <w:p w14:paraId="46C64FED" w14:textId="77777777" w:rsidR="009E4F36" w:rsidRPr="008D74C2" w:rsidRDefault="009E4F36" w:rsidP="00C30294">
            <w:pPr>
              <w:pStyle w:val="TableParagraph"/>
              <w:spacing w:line="240" w:lineRule="auto"/>
              <w:ind w:left="0"/>
              <w:jc w:val="both"/>
              <w:rPr>
                <w:rFonts w:ascii="Times New Roman" w:hAnsi="Times New Roman" w:cs="Times New Roman"/>
                <w:b/>
                <w:sz w:val="24"/>
              </w:rPr>
            </w:pPr>
            <w:r w:rsidRPr="008D74C2">
              <w:rPr>
                <w:rFonts w:ascii="Times New Roman" w:hAnsi="Times New Roman" w:cs="Times New Roman"/>
                <w:b/>
                <w:sz w:val="24"/>
              </w:rPr>
              <w:t>Klase</w:t>
            </w:r>
          </w:p>
        </w:tc>
        <w:tc>
          <w:tcPr>
            <w:tcW w:w="3009" w:type="pct"/>
            <w:gridSpan w:val="2"/>
          </w:tcPr>
          <w:p w14:paraId="40F51043" w14:textId="77777777" w:rsidR="009E4F36" w:rsidRPr="008D74C2" w:rsidRDefault="009E4F36" w:rsidP="00C30294">
            <w:pPr>
              <w:pStyle w:val="TableParagraph"/>
              <w:spacing w:line="240" w:lineRule="auto"/>
              <w:ind w:left="0"/>
              <w:jc w:val="both"/>
              <w:rPr>
                <w:rFonts w:ascii="Times New Roman" w:hAnsi="Times New Roman" w:cs="Times New Roman"/>
                <w:b/>
                <w:sz w:val="24"/>
              </w:rPr>
            </w:pPr>
            <w:r w:rsidRPr="008D74C2">
              <w:rPr>
                <w:rFonts w:ascii="Times New Roman" w:hAnsi="Times New Roman" w:cs="Times New Roman"/>
                <w:b/>
                <w:sz w:val="24"/>
              </w:rPr>
              <w:t>Noteikums</w:t>
            </w:r>
          </w:p>
        </w:tc>
        <w:tc>
          <w:tcPr>
            <w:tcW w:w="1661" w:type="pct"/>
          </w:tcPr>
          <w:p w14:paraId="147DBA07" w14:textId="77777777" w:rsidR="009E4F36" w:rsidRPr="008D74C2" w:rsidRDefault="009E4F36" w:rsidP="00C30294">
            <w:pPr>
              <w:pStyle w:val="TableParagraph"/>
              <w:spacing w:line="240" w:lineRule="auto"/>
              <w:ind w:left="0"/>
              <w:jc w:val="both"/>
              <w:rPr>
                <w:rFonts w:ascii="Times New Roman" w:hAnsi="Times New Roman" w:cs="Times New Roman"/>
                <w:b/>
                <w:sz w:val="24"/>
              </w:rPr>
            </w:pPr>
            <w:r w:rsidRPr="008D74C2">
              <w:rPr>
                <w:rFonts w:ascii="Times New Roman" w:hAnsi="Times New Roman" w:cs="Times New Roman"/>
                <w:b/>
                <w:sz w:val="24"/>
              </w:rPr>
              <w:t>XVI pielikuma izstrādājumu piemēri</w:t>
            </w:r>
          </w:p>
        </w:tc>
      </w:tr>
      <w:tr w:rsidR="009E4F36" w:rsidRPr="008D74C2" w14:paraId="26A0D72F" w14:textId="77777777" w:rsidTr="008B1050">
        <w:trPr>
          <w:trHeight w:val="537"/>
        </w:trPr>
        <w:tc>
          <w:tcPr>
            <w:tcW w:w="330" w:type="pct"/>
          </w:tcPr>
          <w:p w14:paraId="28533E77" w14:textId="77777777" w:rsidR="009E4F36" w:rsidRPr="008D74C2" w:rsidRDefault="009E4F36" w:rsidP="00C30294">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IIb</w:t>
            </w:r>
          </w:p>
        </w:tc>
        <w:tc>
          <w:tcPr>
            <w:tcW w:w="186" w:type="pct"/>
            <w:tcBorders>
              <w:right w:val="nil"/>
            </w:tcBorders>
          </w:tcPr>
          <w:p w14:paraId="1C902051" w14:textId="77777777" w:rsidR="009E4F36" w:rsidRPr="008D74C2" w:rsidRDefault="009E4F36" w:rsidP="00C30294">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8.</w:t>
            </w:r>
          </w:p>
        </w:tc>
        <w:tc>
          <w:tcPr>
            <w:tcW w:w="2823" w:type="pct"/>
            <w:tcBorders>
              <w:left w:val="nil"/>
            </w:tcBorders>
          </w:tcPr>
          <w:p w14:paraId="5A79EE4B" w14:textId="69B18800" w:rsidR="009E4F36" w:rsidRPr="008D74C2" w:rsidRDefault="009E4F36" w:rsidP="00541861">
            <w:pPr>
              <w:pStyle w:val="TableParagraph"/>
              <w:spacing w:line="240" w:lineRule="auto"/>
              <w:ind w:left="48"/>
              <w:jc w:val="both"/>
              <w:rPr>
                <w:rFonts w:ascii="Times New Roman" w:hAnsi="Times New Roman" w:cs="Times New Roman"/>
                <w:sz w:val="24"/>
              </w:rPr>
            </w:pPr>
            <w:r w:rsidRPr="008D74C2">
              <w:rPr>
                <w:rFonts w:ascii="Times New Roman" w:hAnsi="Times New Roman" w:cs="Times New Roman"/>
                <w:sz w:val="24"/>
              </w:rPr>
              <w:t>Visas implantējamās ierīces un ilgtermiņa ķirurģiski invazīvās ierīces klasificē IIb klasē (..):</w:t>
            </w:r>
          </w:p>
        </w:tc>
        <w:tc>
          <w:tcPr>
            <w:tcW w:w="1661" w:type="pct"/>
          </w:tcPr>
          <w:p w14:paraId="12B78CCA" w14:textId="491BB73F" w:rsidR="009E4F36" w:rsidRPr="008D74C2" w:rsidRDefault="009E4F36" w:rsidP="008B1050">
            <w:pPr>
              <w:pStyle w:val="TableParagraph"/>
              <w:numPr>
                <w:ilvl w:val="0"/>
                <w:numId w:val="9"/>
              </w:numPr>
              <w:tabs>
                <w:tab w:val="left" w:pos="984"/>
              </w:tabs>
              <w:spacing w:line="240" w:lineRule="auto"/>
              <w:ind w:left="275" w:hanging="284"/>
              <w:jc w:val="both"/>
              <w:rPr>
                <w:rFonts w:ascii="Times New Roman" w:hAnsi="Times New Roman" w:cs="Times New Roman"/>
                <w:sz w:val="24"/>
              </w:rPr>
            </w:pPr>
            <w:r w:rsidRPr="008D74C2">
              <w:rPr>
                <w:rFonts w:ascii="Times New Roman" w:hAnsi="Times New Roman" w:cs="Times New Roman"/>
                <w:sz w:val="24"/>
              </w:rPr>
              <w:t>Pastāvīgās ādas pildvielas</w:t>
            </w:r>
          </w:p>
        </w:tc>
      </w:tr>
      <w:tr w:rsidR="008B1050" w:rsidRPr="008D74C2" w14:paraId="6C49D684" w14:textId="77777777" w:rsidTr="008B1050">
        <w:trPr>
          <w:trHeight w:val="537"/>
        </w:trPr>
        <w:tc>
          <w:tcPr>
            <w:tcW w:w="330" w:type="pct"/>
            <w:vMerge w:val="restart"/>
          </w:tcPr>
          <w:p w14:paraId="036BE997" w14:textId="77777777" w:rsidR="008B1050" w:rsidRPr="008D74C2" w:rsidRDefault="008B1050" w:rsidP="00C30294">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III</w:t>
            </w:r>
          </w:p>
        </w:tc>
        <w:tc>
          <w:tcPr>
            <w:tcW w:w="186" w:type="pct"/>
            <w:tcBorders>
              <w:right w:val="nil"/>
            </w:tcBorders>
          </w:tcPr>
          <w:p w14:paraId="5DECEC38" w14:textId="77777777" w:rsidR="008B1050" w:rsidRPr="008D74C2" w:rsidRDefault="008B1050" w:rsidP="00C30294">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8.</w:t>
            </w:r>
          </w:p>
        </w:tc>
        <w:tc>
          <w:tcPr>
            <w:tcW w:w="2823" w:type="pct"/>
            <w:tcBorders>
              <w:left w:val="nil"/>
            </w:tcBorders>
          </w:tcPr>
          <w:p w14:paraId="4F5118BB" w14:textId="77777777" w:rsidR="008B1050" w:rsidRPr="008D74C2" w:rsidRDefault="008B1050" w:rsidP="00541861">
            <w:pPr>
              <w:pStyle w:val="TableParagraph"/>
              <w:spacing w:line="240" w:lineRule="auto"/>
              <w:ind w:left="48"/>
              <w:jc w:val="both"/>
              <w:rPr>
                <w:rFonts w:ascii="Times New Roman" w:hAnsi="Times New Roman" w:cs="Times New Roman"/>
                <w:sz w:val="24"/>
              </w:rPr>
            </w:pPr>
            <w:r w:rsidRPr="008D74C2">
              <w:rPr>
                <w:rFonts w:ascii="Times New Roman" w:hAnsi="Times New Roman" w:cs="Times New Roman"/>
                <w:sz w:val="24"/>
              </w:rPr>
              <w:t>Visas implantējamās ierīces un ilgtermiņa ķirurģiski invazīvās ierīces klasificē IIb klasē, ja vien:</w:t>
            </w:r>
          </w:p>
          <w:p w14:paraId="5640AEBF" w14:textId="36E42275" w:rsidR="008B1050" w:rsidRPr="008D74C2" w:rsidRDefault="008B1050" w:rsidP="00541861">
            <w:pPr>
              <w:pStyle w:val="TableParagraph"/>
              <w:numPr>
                <w:ilvl w:val="0"/>
                <w:numId w:val="9"/>
              </w:numPr>
              <w:spacing w:line="240" w:lineRule="auto"/>
              <w:ind w:left="48" w:hanging="228"/>
              <w:jc w:val="both"/>
              <w:rPr>
                <w:rFonts w:ascii="Times New Roman" w:hAnsi="Times New Roman" w:cs="Times New Roman"/>
                <w:sz w:val="24"/>
              </w:rPr>
            </w:pPr>
            <w:r w:rsidRPr="008D74C2">
              <w:rPr>
                <w:rFonts w:ascii="Times New Roman" w:hAnsi="Times New Roman" w:cs="Times New Roman"/>
                <w:sz w:val="24"/>
              </w:rPr>
              <w:t>tām nav bioloģiskas iedarbības vai tās pilnīgi vai lielākoties neuzsūcas, jo šādā gadījumā tās ir jāklasificē III klasē; (..)</w:t>
            </w:r>
          </w:p>
        </w:tc>
        <w:tc>
          <w:tcPr>
            <w:tcW w:w="1661" w:type="pct"/>
          </w:tcPr>
          <w:p w14:paraId="68BF7F4A" w14:textId="77777777" w:rsidR="008B1050" w:rsidRPr="008D74C2" w:rsidRDefault="008B1050" w:rsidP="008B1050">
            <w:pPr>
              <w:pStyle w:val="TableParagraph"/>
              <w:numPr>
                <w:ilvl w:val="0"/>
                <w:numId w:val="9"/>
              </w:numPr>
              <w:tabs>
                <w:tab w:val="left" w:pos="842"/>
              </w:tabs>
              <w:spacing w:line="240" w:lineRule="auto"/>
              <w:ind w:left="275" w:hanging="284"/>
              <w:jc w:val="both"/>
              <w:rPr>
                <w:rFonts w:ascii="Times New Roman" w:hAnsi="Times New Roman" w:cs="Times New Roman"/>
                <w:sz w:val="24"/>
              </w:rPr>
            </w:pPr>
            <w:r w:rsidRPr="008D74C2">
              <w:rPr>
                <w:rFonts w:ascii="Times New Roman" w:hAnsi="Times New Roman" w:cs="Times New Roman"/>
                <w:sz w:val="24"/>
              </w:rPr>
              <w:t>Uzsūcošās ādas pildvielas</w:t>
            </w:r>
          </w:p>
          <w:p w14:paraId="0A7CAEC8" w14:textId="36835E25" w:rsidR="008B1050" w:rsidRPr="008D74C2" w:rsidRDefault="008B1050" w:rsidP="008B1050">
            <w:pPr>
              <w:pStyle w:val="TableParagraph"/>
              <w:numPr>
                <w:ilvl w:val="0"/>
                <w:numId w:val="9"/>
              </w:numPr>
              <w:tabs>
                <w:tab w:val="left" w:pos="842"/>
              </w:tabs>
              <w:spacing w:line="240" w:lineRule="auto"/>
              <w:ind w:left="275" w:hanging="284"/>
              <w:jc w:val="both"/>
              <w:rPr>
                <w:rFonts w:ascii="Times New Roman" w:hAnsi="Times New Roman" w:cs="Times New Roman"/>
                <w:sz w:val="24"/>
              </w:rPr>
            </w:pPr>
            <w:r w:rsidRPr="008D74C2">
              <w:rPr>
                <w:rFonts w:ascii="Times New Roman" w:hAnsi="Times New Roman" w:cs="Times New Roman"/>
                <w:sz w:val="24"/>
              </w:rPr>
              <w:t>Mezoterapijas izstrādājumi aizpildīšanai</w:t>
            </w:r>
          </w:p>
        </w:tc>
      </w:tr>
      <w:tr w:rsidR="008B1050" w:rsidRPr="008D74C2" w14:paraId="31DDE497" w14:textId="77777777" w:rsidTr="008B1050">
        <w:trPr>
          <w:trHeight w:val="537"/>
        </w:trPr>
        <w:tc>
          <w:tcPr>
            <w:tcW w:w="330" w:type="pct"/>
            <w:vMerge/>
          </w:tcPr>
          <w:p w14:paraId="093B4F17" w14:textId="77777777" w:rsidR="008B1050" w:rsidRPr="008D74C2" w:rsidRDefault="008B1050" w:rsidP="008B1050">
            <w:pPr>
              <w:pStyle w:val="TableParagraph"/>
              <w:spacing w:line="240" w:lineRule="auto"/>
              <w:ind w:left="0"/>
              <w:jc w:val="both"/>
              <w:rPr>
                <w:rFonts w:ascii="Times New Roman" w:hAnsi="Times New Roman" w:cs="Times New Roman"/>
                <w:sz w:val="24"/>
              </w:rPr>
            </w:pPr>
          </w:p>
        </w:tc>
        <w:tc>
          <w:tcPr>
            <w:tcW w:w="186" w:type="pct"/>
            <w:tcBorders>
              <w:right w:val="nil"/>
            </w:tcBorders>
          </w:tcPr>
          <w:p w14:paraId="4355CECA" w14:textId="67B4FEAF" w:rsidR="008B1050" w:rsidRPr="008D74C2" w:rsidRDefault="008B1050" w:rsidP="008B1050">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14.</w:t>
            </w:r>
          </w:p>
        </w:tc>
        <w:tc>
          <w:tcPr>
            <w:tcW w:w="2823" w:type="pct"/>
            <w:tcBorders>
              <w:left w:val="nil"/>
            </w:tcBorders>
          </w:tcPr>
          <w:p w14:paraId="4DEB0661" w14:textId="61F58CC3" w:rsidR="008B1050" w:rsidRPr="008D74C2" w:rsidRDefault="008B1050" w:rsidP="00541861">
            <w:pPr>
              <w:pStyle w:val="TableParagraph"/>
              <w:spacing w:line="240" w:lineRule="auto"/>
              <w:ind w:left="48"/>
              <w:jc w:val="both"/>
              <w:rPr>
                <w:rFonts w:ascii="Times New Roman" w:hAnsi="Times New Roman" w:cs="Times New Roman"/>
                <w:sz w:val="24"/>
              </w:rPr>
            </w:pPr>
            <w:r w:rsidRPr="008D74C2">
              <w:rPr>
                <w:rFonts w:ascii="Times New Roman" w:hAnsi="Times New Roman" w:cs="Times New Roman"/>
                <w:sz w:val="24"/>
              </w:rPr>
              <w:t>Visas ierīces, kurās kā neatņemama sastāvdaļa ietilpst viela, ko, ja to lieto atsevišķi, var uzskatīt par zālēm atbilstoši Direktīvas 2001/83/EK 1. panta 2. punkta definīcijai, tostarp zāles, kas iegūtas no cilvēka asinīm vai cilvēka plazmas atbilstoši minētās direktīvas 1. panta 10. punkta definīcijai, un kam ir iedarbība, kura papildina minēto ierīču iedarbību, ir klasificējamas III klasē</w:t>
            </w:r>
          </w:p>
        </w:tc>
        <w:tc>
          <w:tcPr>
            <w:tcW w:w="1661" w:type="pct"/>
          </w:tcPr>
          <w:p w14:paraId="4C609FC3" w14:textId="78D47408" w:rsidR="008B1050" w:rsidRPr="008D74C2" w:rsidRDefault="008B1050" w:rsidP="008B1050">
            <w:pPr>
              <w:pStyle w:val="TableParagraph"/>
              <w:numPr>
                <w:ilvl w:val="0"/>
                <w:numId w:val="10"/>
              </w:numPr>
              <w:tabs>
                <w:tab w:val="left" w:pos="842"/>
              </w:tabs>
              <w:spacing w:line="240" w:lineRule="auto"/>
              <w:ind w:left="275" w:hanging="303"/>
              <w:jc w:val="both"/>
              <w:rPr>
                <w:rFonts w:ascii="Times New Roman" w:hAnsi="Times New Roman" w:cs="Times New Roman"/>
                <w:sz w:val="24"/>
              </w:rPr>
            </w:pPr>
            <w:r w:rsidRPr="008D74C2">
              <w:rPr>
                <w:rFonts w:ascii="Times New Roman" w:hAnsi="Times New Roman" w:cs="Times New Roman"/>
                <w:sz w:val="24"/>
              </w:rPr>
              <w:t>Ādas pildvielas, kas satur anestēzijas līdzekļus vai citas vielas, kuras, ja tās lieto atsevišķi, var uzskatīt par zālēm</w:t>
            </w:r>
          </w:p>
        </w:tc>
      </w:tr>
    </w:tbl>
    <w:p w14:paraId="67B77811" w14:textId="276574F6" w:rsidR="009E4F36" w:rsidRPr="008D74C2" w:rsidRDefault="009E4F36" w:rsidP="00C30294">
      <w:pPr>
        <w:pStyle w:val="BodyText"/>
        <w:jc w:val="both"/>
        <w:rPr>
          <w:rFonts w:ascii="Times New Roman" w:hAnsi="Times New Roman" w:cs="Times New Roman"/>
          <w:sz w:val="24"/>
        </w:rPr>
      </w:pPr>
    </w:p>
    <w:p w14:paraId="77C5B7A0" w14:textId="34940C11" w:rsidR="009E4F36" w:rsidRPr="008D74C2" w:rsidRDefault="00541861" w:rsidP="003A01E5">
      <w:pPr>
        <w:pStyle w:val="Heading2"/>
        <w:keepNext/>
        <w:keepLines/>
        <w:tabs>
          <w:tab w:val="left" w:pos="797"/>
        </w:tabs>
        <w:spacing w:before="0"/>
        <w:ind w:left="0" w:firstLine="0"/>
        <w:jc w:val="both"/>
        <w:rPr>
          <w:rFonts w:ascii="Times New Roman" w:hAnsi="Times New Roman" w:cs="Times New Roman"/>
          <w:color w:val="365F91"/>
          <w:sz w:val="24"/>
        </w:rPr>
      </w:pPr>
      <w:bookmarkStart w:id="15" w:name="4.5_Group_4"/>
      <w:bookmarkEnd w:id="15"/>
      <w:r w:rsidRPr="008D74C2">
        <w:rPr>
          <w:rFonts w:ascii="Times New Roman" w:hAnsi="Times New Roman" w:cs="Times New Roman"/>
          <w:color w:val="365F91"/>
          <w:sz w:val="24"/>
        </w:rPr>
        <w:lastRenderedPageBreak/>
        <w:t>4.5. 4. grupa</w:t>
      </w:r>
    </w:p>
    <w:p w14:paraId="3FD7BCAA" w14:textId="77777777" w:rsidR="00541861" w:rsidRPr="008D74C2" w:rsidRDefault="00541861" w:rsidP="003A01E5">
      <w:pPr>
        <w:pStyle w:val="Heading2"/>
        <w:keepNext/>
        <w:keepLines/>
        <w:tabs>
          <w:tab w:val="left" w:pos="797"/>
        </w:tabs>
        <w:spacing w:before="0"/>
        <w:ind w:left="0" w:firstLine="0"/>
        <w:jc w:val="both"/>
        <w:rPr>
          <w:rFonts w:ascii="Times New Roman" w:hAnsi="Times New Roman" w:cs="Times New Roman"/>
          <w:color w:val="365F91"/>
          <w:sz w:val="24"/>
        </w:rPr>
      </w:pPr>
    </w:p>
    <w:p w14:paraId="77227D6B" w14:textId="312D4220" w:rsidR="009E4F36" w:rsidRPr="008D74C2" w:rsidRDefault="009E4F36" w:rsidP="00C30294">
      <w:pPr>
        <w:pStyle w:val="BodyText"/>
        <w:jc w:val="both"/>
        <w:rPr>
          <w:rFonts w:ascii="Times New Roman" w:hAnsi="Times New Roman" w:cs="Times New Roman"/>
          <w:sz w:val="24"/>
        </w:rPr>
      </w:pPr>
      <w:r w:rsidRPr="008D74C2">
        <w:rPr>
          <w:rFonts w:ascii="Times New Roman" w:hAnsi="Times New Roman" w:cs="Times New Roman"/>
          <w:sz w:val="24"/>
        </w:rPr>
        <w:t>K</w:t>
      </w:r>
      <w:r w:rsidR="00321D6F">
        <w:rPr>
          <w:rFonts w:ascii="Times New Roman" w:hAnsi="Times New Roman" w:cs="Times New Roman"/>
          <w:sz w:val="24"/>
        </w:rPr>
        <w:t>S</w:t>
      </w:r>
      <w:r w:rsidRPr="008D74C2">
        <w:rPr>
          <w:rFonts w:ascii="Times New Roman" w:hAnsi="Times New Roman" w:cs="Times New Roman"/>
          <w:sz w:val="24"/>
        </w:rPr>
        <w:t xml:space="preserve"> attiecas uz Regulas (ES) 2017/745 XVI pielikuma 4. punktā minēto aprīkojumu, ko paredzēts izmantot taukaudu samazināšanai, likvidēšanai vai iznīcināšanai, piemēram, uz aprīkojumu tauku atsūkšanai, lipolīzei vai lipoplastikai. K</w:t>
      </w:r>
      <w:r w:rsidR="00321D6F">
        <w:rPr>
          <w:rFonts w:ascii="Times New Roman" w:hAnsi="Times New Roman" w:cs="Times New Roman"/>
          <w:sz w:val="24"/>
        </w:rPr>
        <w:t>S</w:t>
      </w:r>
      <w:r w:rsidRPr="008D74C2">
        <w:rPr>
          <w:rFonts w:ascii="Times New Roman" w:hAnsi="Times New Roman" w:cs="Times New Roman"/>
          <w:sz w:val="24"/>
        </w:rPr>
        <w:t xml:space="preserve"> neattiecas uz aktīvām implantējamām ierīcēm.</w:t>
      </w:r>
    </w:p>
    <w:p w14:paraId="01325B4D" w14:textId="77777777" w:rsidR="009E4F36" w:rsidRPr="008D74C2" w:rsidRDefault="009E4F36" w:rsidP="00C30294">
      <w:pPr>
        <w:pStyle w:val="BodyText"/>
        <w:jc w:val="both"/>
        <w:rPr>
          <w:rFonts w:ascii="Times New Roman" w:hAnsi="Times New Roman" w:cs="Times New Roman"/>
          <w:sz w:val="24"/>
        </w:rPr>
      </w:pPr>
    </w:p>
    <w:p w14:paraId="0C3A45E8" w14:textId="77777777" w:rsidR="009E4F36" w:rsidRPr="008D74C2" w:rsidRDefault="009E4F36" w:rsidP="00C30294">
      <w:pPr>
        <w:pStyle w:val="BodyText"/>
        <w:jc w:val="both"/>
        <w:rPr>
          <w:rFonts w:ascii="Times New Roman" w:hAnsi="Times New Roman" w:cs="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630"/>
        <w:gridCol w:w="270"/>
        <w:gridCol w:w="5166"/>
        <w:gridCol w:w="3065"/>
      </w:tblGrid>
      <w:tr w:rsidR="009E4F36" w:rsidRPr="008D74C2" w14:paraId="270320C1" w14:textId="77777777" w:rsidTr="00541861">
        <w:trPr>
          <w:trHeight w:val="268"/>
        </w:trPr>
        <w:tc>
          <w:tcPr>
            <w:tcW w:w="288" w:type="pct"/>
          </w:tcPr>
          <w:p w14:paraId="329885B8" w14:textId="77777777" w:rsidR="009E4F36" w:rsidRPr="008D74C2" w:rsidRDefault="009E4F36" w:rsidP="00C30294">
            <w:pPr>
              <w:pStyle w:val="TableParagraph"/>
              <w:spacing w:line="240" w:lineRule="auto"/>
              <w:ind w:left="0"/>
              <w:jc w:val="both"/>
              <w:rPr>
                <w:rFonts w:ascii="Times New Roman" w:hAnsi="Times New Roman" w:cs="Times New Roman"/>
                <w:b/>
                <w:sz w:val="24"/>
              </w:rPr>
            </w:pPr>
            <w:r w:rsidRPr="008D74C2">
              <w:rPr>
                <w:rFonts w:ascii="Times New Roman" w:hAnsi="Times New Roman" w:cs="Times New Roman"/>
                <w:b/>
                <w:sz w:val="24"/>
              </w:rPr>
              <w:t>Klase</w:t>
            </w:r>
          </w:p>
        </w:tc>
        <w:tc>
          <w:tcPr>
            <w:tcW w:w="3015" w:type="pct"/>
            <w:gridSpan w:val="2"/>
          </w:tcPr>
          <w:p w14:paraId="204EB367" w14:textId="77777777" w:rsidR="009E4F36" w:rsidRPr="008D74C2" w:rsidRDefault="009E4F36" w:rsidP="00C30294">
            <w:pPr>
              <w:pStyle w:val="TableParagraph"/>
              <w:spacing w:line="240" w:lineRule="auto"/>
              <w:ind w:left="0"/>
              <w:jc w:val="both"/>
              <w:rPr>
                <w:rFonts w:ascii="Times New Roman" w:hAnsi="Times New Roman" w:cs="Times New Roman"/>
                <w:b/>
                <w:sz w:val="24"/>
              </w:rPr>
            </w:pPr>
            <w:r w:rsidRPr="008D74C2">
              <w:rPr>
                <w:rFonts w:ascii="Times New Roman" w:hAnsi="Times New Roman" w:cs="Times New Roman"/>
                <w:b/>
                <w:sz w:val="24"/>
              </w:rPr>
              <w:t>Noteikums</w:t>
            </w:r>
          </w:p>
        </w:tc>
        <w:tc>
          <w:tcPr>
            <w:tcW w:w="1697" w:type="pct"/>
          </w:tcPr>
          <w:p w14:paraId="06452E05" w14:textId="77777777" w:rsidR="009E4F36" w:rsidRPr="008D74C2" w:rsidRDefault="009E4F36" w:rsidP="00C30294">
            <w:pPr>
              <w:pStyle w:val="TableParagraph"/>
              <w:spacing w:line="240" w:lineRule="auto"/>
              <w:ind w:left="0"/>
              <w:jc w:val="both"/>
              <w:rPr>
                <w:rFonts w:ascii="Times New Roman" w:hAnsi="Times New Roman" w:cs="Times New Roman"/>
                <w:b/>
                <w:sz w:val="24"/>
              </w:rPr>
            </w:pPr>
            <w:r w:rsidRPr="008D74C2">
              <w:rPr>
                <w:rFonts w:ascii="Times New Roman" w:hAnsi="Times New Roman" w:cs="Times New Roman"/>
                <w:b/>
                <w:sz w:val="24"/>
              </w:rPr>
              <w:t>XVI pielikuma izstrādājumu piemēri</w:t>
            </w:r>
          </w:p>
        </w:tc>
      </w:tr>
      <w:tr w:rsidR="009E4F36" w:rsidRPr="008D74C2" w14:paraId="51F542BE" w14:textId="77777777" w:rsidTr="00541861">
        <w:trPr>
          <w:trHeight w:val="537"/>
        </w:trPr>
        <w:tc>
          <w:tcPr>
            <w:tcW w:w="288" w:type="pct"/>
            <w:vMerge w:val="restart"/>
          </w:tcPr>
          <w:p w14:paraId="3E0C42A9" w14:textId="77777777" w:rsidR="009E4F36" w:rsidRPr="008D74C2" w:rsidRDefault="009E4F36" w:rsidP="00C30294">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I</w:t>
            </w:r>
          </w:p>
        </w:tc>
        <w:tc>
          <w:tcPr>
            <w:tcW w:w="167" w:type="pct"/>
            <w:tcBorders>
              <w:right w:val="nil"/>
            </w:tcBorders>
          </w:tcPr>
          <w:p w14:paraId="77663039" w14:textId="77777777" w:rsidR="009E4F36" w:rsidRPr="008D74C2" w:rsidRDefault="009E4F36" w:rsidP="00C30294">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1.</w:t>
            </w:r>
          </w:p>
        </w:tc>
        <w:tc>
          <w:tcPr>
            <w:tcW w:w="2848" w:type="pct"/>
            <w:tcBorders>
              <w:left w:val="nil"/>
            </w:tcBorders>
          </w:tcPr>
          <w:p w14:paraId="22C64A04" w14:textId="19607520" w:rsidR="009E4F36" w:rsidRPr="008D74C2" w:rsidRDefault="009E4F36" w:rsidP="00AA0B28">
            <w:pPr>
              <w:pStyle w:val="TableParagraph"/>
              <w:spacing w:line="240" w:lineRule="auto"/>
              <w:ind w:left="108"/>
              <w:jc w:val="both"/>
              <w:rPr>
                <w:rFonts w:ascii="Times New Roman" w:hAnsi="Times New Roman" w:cs="Times New Roman"/>
                <w:sz w:val="24"/>
              </w:rPr>
            </w:pPr>
            <w:r w:rsidRPr="008D74C2">
              <w:rPr>
                <w:rFonts w:ascii="Times New Roman" w:hAnsi="Times New Roman" w:cs="Times New Roman"/>
                <w:sz w:val="24"/>
              </w:rPr>
              <w:t>Visas neinvazīvās ierīces klasificē kā I klases ierīces, ja vien tām nav piemērojams viens no turpmāk minētajiem noteikumiem.</w:t>
            </w:r>
          </w:p>
        </w:tc>
        <w:tc>
          <w:tcPr>
            <w:tcW w:w="1697" w:type="pct"/>
          </w:tcPr>
          <w:p w14:paraId="2C1237D9" w14:textId="77A4D424" w:rsidR="009E4F36" w:rsidRPr="008D74C2" w:rsidRDefault="009E4F36" w:rsidP="00AA0B28">
            <w:pPr>
              <w:pStyle w:val="TableParagraph"/>
              <w:numPr>
                <w:ilvl w:val="0"/>
                <w:numId w:val="10"/>
              </w:numPr>
              <w:tabs>
                <w:tab w:val="left" w:pos="435"/>
              </w:tabs>
              <w:spacing w:line="240" w:lineRule="auto"/>
              <w:ind w:left="320" w:hanging="258"/>
              <w:jc w:val="both"/>
              <w:rPr>
                <w:rFonts w:ascii="Times New Roman" w:hAnsi="Times New Roman" w:cs="Times New Roman"/>
                <w:sz w:val="24"/>
              </w:rPr>
            </w:pPr>
            <w:r w:rsidRPr="008D74C2">
              <w:rPr>
                <w:rFonts w:ascii="Times New Roman" w:hAnsi="Times New Roman" w:cs="Times New Roman"/>
                <w:sz w:val="24"/>
              </w:rPr>
              <w:t>Savienotājcaurules</w:t>
            </w:r>
          </w:p>
        </w:tc>
      </w:tr>
      <w:tr w:rsidR="009E4F36" w:rsidRPr="008D74C2" w14:paraId="0D32DAC8" w14:textId="77777777" w:rsidTr="00541861">
        <w:trPr>
          <w:trHeight w:val="818"/>
        </w:trPr>
        <w:tc>
          <w:tcPr>
            <w:tcW w:w="288" w:type="pct"/>
            <w:vMerge/>
            <w:tcBorders>
              <w:top w:val="nil"/>
            </w:tcBorders>
          </w:tcPr>
          <w:p w14:paraId="490E54BB" w14:textId="77777777" w:rsidR="009E4F36" w:rsidRPr="008D74C2" w:rsidRDefault="009E4F36" w:rsidP="00C30294">
            <w:pPr>
              <w:jc w:val="both"/>
              <w:rPr>
                <w:rFonts w:ascii="Times New Roman" w:hAnsi="Times New Roman" w:cs="Times New Roman"/>
                <w:sz w:val="24"/>
                <w:szCs w:val="2"/>
              </w:rPr>
            </w:pPr>
          </w:p>
        </w:tc>
        <w:tc>
          <w:tcPr>
            <w:tcW w:w="167" w:type="pct"/>
            <w:tcBorders>
              <w:right w:val="nil"/>
            </w:tcBorders>
          </w:tcPr>
          <w:p w14:paraId="45D55E61" w14:textId="77777777" w:rsidR="009E4F36" w:rsidRPr="008D74C2" w:rsidRDefault="009E4F36" w:rsidP="00C30294">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6.</w:t>
            </w:r>
          </w:p>
        </w:tc>
        <w:tc>
          <w:tcPr>
            <w:tcW w:w="2848" w:type="pct"/>
            <w:tcBorders>
              <w:left w:val="nil"/>
            </w:tcBorders>
          </w:tcPr>
          <w:p w14:paraId="25927DEA" w14:textId="77777777" w:rsidR="009E4F36" w:rsidRPr="008D74C2" w:rsidRDefault="009E4F36" w:rsidP="00AA0B28">
            <w:pPr>
              <w:pStyle w:val="TableParagraph"/>
              <w:spacing w:line="240" w:lineRule="auto"/>
              <w:ind w:left="108"/>
              <w:jc w:val="both"/>
              <w:rPr>
                <w:rFonts w:ascii="Times New Roman" w:hAnsi="Times New Roman" w:cs="Times New Roman"/>
                <w:sz w:val="24"/>
              </w:rPr>
            </w:pPr>
            <w:r w:rsidRPr="008D74C2">
              <w:rPr>
                <w:rFonts w:ascii="Times New Roman" w:hAnsi="Times New Roman" w:cs="Times New Roman"/>
                <w:sz w:val="24"/>
              </w:rPr>
              <w:t>Visas ķirurģiski invazīvās ierīces, kas paredzētas īslaicīgai lietošanai, klasificē IIa klasē, ja vien tās:</w:t>
            </w:r>
          </w:p>
          <w:p w14:paraId="7FF54934" w14:textId="3FD30392" w:rsidR="009E4F36" w:rsidRPr="008D74C2" w:rsidRDefault="009E4F36" w:rsidP="00AA0B28">
            <w:pPr>
              <w:pStyle w:val="TableParagraph"/>
              <w:numPr>
                <w:ilvl w:val="0"/>
                <w:numId w:val="10"/>
              </w:numPr>
              <w:tabs>
                <w:tab w:val="left" w:pos="620"/>
              </w:tabs>
              <w:spacing w:line="240" w:lineRule="auto"/>
              <w:ind w:left="391" w:hanging="283"/>
              <w:jc w:val="both"/>
              <w:rPr>
                <w:rFonts w:ascii="Times New Roman" w:hAnsi="Times New Roman" w:cs="Times New Roman"/>
                <w:sz w:val="24"/>
              </w:rPr>
            </w:pPr>
            <w:r w:rsidRPr="008D74C2">
              <w:rPr>
                <w:rFonts w:ascii="Times New Roman" w:hAnsi="Times New Roman" w:cs="Times New Roman"/>
                <w:sz w:val="24"/>
              </w:rPr>
              <w:t>nav atkārtoti lietojami ķirurģiskie instrumenti – šādā gadījumā tās klasificē I klasē; (..)</w:t>
            </w:r>
          </w:p>
        </w:tc>
        <w:tc>
          <w:tcPr>
            <w:tcW w:w="1697" w:type="pct"/>
          </w:tcPr>
          <w:p w14:paraId="00064FDF" w14:textId="487E0F61" w:rsidR="009E4F36" w:rsidRPr="008D74C2" w:rsidRDefault="009E4F36" w:rsidP="00AA0B28">
            <w:pPr>
              <w:pStyle w:val="TableParagraph"/>
              <w:numPr>
                <w:ilvl w:val="0"/>
                <w:numId w:val="10"/>
              </w:numPr>
              <w:tabs>
                <w:tab w:val="left" w:pos="435"/>
              </w:tabs>
              <w:spacing w:line="240" w:lineRule="auto"/>
              <w:ind w:left="320" w:hanging="258"/>
              <w:jc w:val="both"/>
              <w:rPr>
                <w:rFonts w:ascii="Times New Roman" w:hAnsi="Times New Roman" w:cs="Times New Roman"/>
                <w:sz w:val="24"/>
              </w:rPr>
            </w:pPr>
            <w:r w:rsidRPr="008D74C2">
              <w:rPr>
                <w:rFonts w:ascii="Times New Roman" w:hAnsi="Times New Roman" w:cs="Times New Roman"/>
                <w:sz w:val="24"/>
              </w:rPr>
              <w:t>Kanulas (atkārtoti lietojamas)</w:t>
            </w:r>
          </w:p>
        </w:tc>
      </w:tr>
      <w:tr w:rsidR="009E4F36" w:rsidRPr="008D74C2" w14:paraId="2DC9BFB4" w14:textId="77777777" w:rsidTr="00541861">
        <w:trPr>
          <w:trHeight w:val="537"/>
        </w:trPr>
        <w:tc>
          <w:tcPr>
            <w:tcW w:w="288" w:type="pct"/>
          </w:tcPr>
          <w:p w14:paraId="72FFEA0B" w14:textId="77777777" w:rsidR="009E4F36" w:rsidRPr="008D74C2" w:rsidRDefault="009E4F36" w:rsidP="00C30294">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IIa</w:t>
            </w:r>
          </w:p>
        </w:tc>
        <w:tc>
          <w:tcPr>
            <w:tcW w:w="167" w:type="pct"/>
            <w:tcBorders>
              <w:right w:val="nil"/>
            </w:tcBorders>
          </w:tcPr>
          <w:p w14:paraId="5EC2A91D" w14:textId="77777777" w:rsidR="009E4F36" w:rsidRPr="008D74C2" w:rsidRDefault="009E4F36" w:rsidP="00C30294">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6.</w:t>
            </w:r>
          </w:p>
        </w:tc>
        <w:tc>
          <w:tcPr>
            <w:tcW w:w="2848" w:type="pct"/>
            <w:tcBorders>
              <w:left w:val="nil"/>
            </w:tcBorders>
          </w:tcPr>
          <w:p w14:paraId="6CDEB4BE" w14:textId="77777777" w:rsidR="009E4F36" w:rsidRPr="008D74C2" w:rsidRDefault="009E4F36" w:rsidP="00AA0B28">
            <w:pPr>
              <w:pStyle w:val="TableParagraph"/>
              <w:spacing w:line="240" w:lineRule="auto"/>
              <w:ind w:left="108"/>
              <w:jc w:val="both"/>
              <w:rPr>
                <w:rFonts w:ascii="Times New Roman" w:hAnsi="Times New Roman" w:cs="Times New Roman"/>
                <w:sz w:val="24"/>
              </w:rPr>
            </w:pPr>
            <w:r w:rsidRPr="008D74C2">
              <w:rPr>
                <w:rFonts w:ascii="Times New Roman" w:hAnsi="Times New Roman" w:cs="Times New Roman"/>
                <w:sz w:val="24"/>
              </w:rPr>
              <w:t>Visas ķirurģiski invazīvās ierīces, kas paredzētas īslaicīgai lietošanai, klasificē IIa klasē, ja vien tās:</w:t>
            </w:r>
          </w:p>
          <w:p w14:paraId="36C8DCDA" w14:textId="77777777" w:rsidR="009E4F36" w:rsidRPr="008D74C2" w:rsidRDefault="009E4F36" w:rsidP="00AA0B28">
            <w:pPr>
              <w:pStyle w:val="TableParagraph"/>
              <w:spacing w:line="240" w:lineRule="auto"/>
              <w:ind w:left="108"/>
              <w:jc w:val="both"/>
              <w:rPr>
                <w:rFonts w:ascii="Times New Roman" w:hAnsi="Times New Roman" w:cs="Times New Roman"/>
                <w:sz w:val="24"/>
              </w:rPr>
            </w:pPr>
            <w:r w:rsidRPr="008D74C2">
              <w:rPr>
                <w:rFonts w:ascii="Times New Roman" w:hAnsi="Times New Roman" w:cs="Times New Roman"/>
                <w:sz w:val="24"/>
              </w:rPr>
              <w:t xml:space="preserve"> (..)</w:t>
            </w:r>
          </w:p>
        </w:tc>
        <w:tc>
          <w:tcPr>
            <w:tcW w:w="1697" w:type="pct"/>
          </w:tcPr>
          <w:p w14:paraId="52CD6C8A" w14:textId="18519B34" w:rsidR="009E4F36" w:rsidRPr="008D74C2" w:rsidRDefault="009E4F36" w:rsidP="00AA0B28">
            <w:pPr>
              <w:pStyle w:val="TableParagraph"/>
              <w:numPr>
                <w:ilvl w:val="0"/>
                <w:numId w:val="10"/>
              </w:numPr>
              <w:tabs>
                <w:tab w:val="left" w:pos="435"/>
              </w:tabs>
              <w:spacing w:line="240" w:lineRule="auto"/>
              <w:ind w:left="320" w:hanging="258"/>
              <w:jc w:val="both"/>
              <w:rPr>
                <w:rFonts w:ascii="Times New Roman" w:hAnsi="Times New Roman" w:cs="Times New Roman"/>
                <w:sz w:val="24"/>
              </w:rPr>
            </w:pPr>
            <w:r w:rsidRPr="008D74C2">
              <w:rPr>
                <w:rFonts w:ascii="Times New Roman" w:hAnsi="Times New Roman" w:cs="Times New Roman"/>
                <w:sz w:val="24"/>
              </w:rPr>
              <w:t>Kanulas</w:t>
            </w:r>
          </w:p>
        </w:tc>
      </w:tr>
      <w:tr w:rsidR="009E4F36" w:rsidRPr="008D74C2" w14:paraId="31815629" w14:textId="77777777" w:rsidTr="00541861">
        <w:trPr>
          <w:trHeight w:val="1120"/>
        </w:trPr>
        <w:tc>
          <w:tcPr>
            <w:tcW w:w="288" w:type="pct"/>
          </w:tcPr>
          <w:p w14:paraId="2FCC2080" w14:textId="77777777" w:rsidR="009E4F36" w:rsidRPr="008D74C2" w:rsidRDefault="009E4F36" w:rsidP="00C30294">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IIb</w:t>
            </w:r>
          </w:p>
        </w:tc>
        <w:tc>
          <w:tcPr>
            <w:tcW w:w="167" w:type="pct"/>
            <w:tcBorders>
              <w:right w:val="nil"/>
            </w:tcBorders>
          </w:tcPr>
          <w:p w14:paraId="4507AC9C" w14:textId="77777777" w:rsidR="009E4F36" w:rsidRPr="008D74C2" w:rsidRDefault="009E4F36" w:rsidP="00C30294">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w:t>
            </w:r>
          </w:p>
        </w:tc>
        <w:tc>
          <w:tcPr>
            <w:tcW w:w="2848" w:type="pct"/>
            <w:tcBorders>
              <w:left w:val="nil"/>
            </w:tcBorders>
          </w:tcPr>
          <w:p w14:paraId="5275BBE8" w14:textId="77777777" w:rsidR="009E4F36" w:rsidRPr="008D74C2" w:rsidRDefault="009E4F36" w:rsidP="00AA0B28">
            <w:pPr>
              <w:pStyle w:val="TableParagraph"/>
              <w:spacing w:line="240" w:lineRule="auto"/>
              <w:ind w:left="108"/>
              <w:jc w:val="both"/>
              <w:rPr>
                <w:rFonts w:ascii="Times New Roman" w:hAnsi="Times New Roman" w:cs="Times New Roman"/>
                <w:sz w:val="24"/>
              </w:rPr>
            </w:pPr>
            <w:r w:rsidRPr="008D74C2">
              <w:rPr>
                <w:rFonts w:ascii="Times New Roman" w:hAnsi="Times New Roman" w:cs="Times New Roman"/>
                <w:sz w:val="24"/>
              </w:rPr>
              <w:t>Īstenošanas regulas (ES) 2022/2347 1. panta b) punkts:</w:t>
            </w:r>
          </w:p>
          <w:p w14:paraId="09B687F4" w14:textId="3F44FB06" w:rsidR="009E4F36" w:rsidRPr="008D74C2" w:rsidRDefault="009E4F36" w:rsidP="00F61E26">
            <w:pPr>
              <w:pStyle w:val="TableParagraph"/>
              <w:numPr>
                <w:ilvl w:val="0"/>
                <w:numId w:val="10"/>
              </w:numPr>
              <w:spacing w:line="240" w:lineRule="auto"/>
              <w:ind w:left="391" w:hanging="249"/>
              <w:jc w:val="both"/>
              <w:rPr>
                <w:rFonts w:ascii="Times New Roman" w:hAnsi="Times New Roman" w:cs="Times New Roman"/>
                <w:sz w:val="24"/>
              </w:rPr>
            </w:pPr>
            <w:r w:rsidRPr="008D74C2">
              <w:rPr>
                <w:rFonts w:ascii="Times New Roman" w:hAnsi="Times New Roman" w:cs="Times New Roman"/>
                <w:sz w:val="24"/>
              </w:rPr>
              <w:t>Regulas (ES) 2017/745 XVI pielikuma 4. iedaļā minēto aprīkojumu, ko paredzēts izmantot, lai samazinātu, izņemtu vai iznīcinātu taukaudus, pārklasificē IIb klasē.</w:t>
            </w:r>
          </w:p>
        </w:tc>
        <w:tc>
          <w:tcPr>
            <w:tcW w:w="1697" w:type="pct"/>
          </w:tcPr>
          <w:p w14:paraId="3A8A58DC" w14:textId="77777777" w:rsidR="009E4F36" w:rsidRPr="008D74C2" w:rsidRDefault="009E4F36" w:rsidP="00F61E26">
            <w:pPr>
              <w:pStyle w:val="TableParagraph"/>
              <w:numPr>
                <w:ilvl w:val="0"/>
                <w:numId w:val="3"/>
              </w:numPr>
              <w:tabs>
                <w:tab w:val="left" w:pos="604"/>
              </w:tabs>
              <w:spacing w:line="240" w:lineRule="auto"/>
              <w:ind w:left="320" w:hanging="284"/>
              <w:jc w:val="both"/>
              <w:rPr>
                <w:rFonts w:ascii="Times New Roman" w:hAnsi="Times New Roman" w:cs="Times New Roman"/>
                <w:sz w:val="24"/>
              </w:rPr>
            </w:pPr>
            <w:r w:rsidRPr="008D74C2">
              <w:rPr>
                <w:rFonts w:ascii="Times New Roman" w:hAnsi="Times New Roman" w:cs="Times New Roman"/>
                <w:sz w:val="24"/>
              </w:rPr>
              <w:t>Liposkulpturēšana (</w:t>
            </w:r>
            <w:r w:rsidRPr="008D74C2">
              <w:rPr>
                <w:rFonts w:ascii="Times New Roman" w:hAnsi="Times New Roman" w:cs="Times New Roman"/>
                <w:i/>
                <w:sz w:val="24"/>
              </w:rPr>
              <w:t>SAL</w:t>
            </w:r>
            <w:r w:rsidRPr="008D74C2">
              <w:rPr>
                <w:rFonts w:ascii="Times New Roman" w:hAnsi="Times New Roman" w:cs="Times New Roman"/>
                <w:sz w:val="24"/>
              </w:rPr>
              <w:t>)</w:t>
            </w:r>
          </w:p>
          <w:p w14:paraId="687FB2C1" w14:textId="77777777" w:rsidR="009E4F36" w:rsidRPr="008D74C2" w:rsidRDefault="009E4F36" w:rsidP="00F61E26">
            <w:pPr>
              <w:pStyle w:val="TableParagraph"/>
              <w:numPr>
                <w:ilvl w:val="0"/>
                <w:numId w:val="3"/>
              </w:numPr>
              <w:tabs>
                <w:tab w:val="left" w:pos="604"/>
              </w:tabs>
              <w:spacing w:line="240" w:lineRule="auto"/>
              <w:ind w:left="320" w:hanging="284"/>
              <w:jc w:val="both"/>
              <w:rPr>
                <w:rFonts w:ascii="Times New Roman" w:hAnsi="Times New Roman" w:cs="Times New Roman"/>
                <w:sz w:val="24"/>
              </w:rPr>
            </w:pPr>
            <w:r w:rsidRPr="008D74C2">
              <w:rPr>
                <w:rFonts w:ascii="Times New Roman" w:hAnsi="Times New Roman" w:cs="Times New Roman"/>
                <w:sz w:val="24"/>
              </w:rPr>
              <w:t>Trīs dimensiju liposakcija (</w:t>
            </w:r>
            <w:r w:rsidRPr="008D74C2">
              <w:rPr>
                <w:rFonts w:ascii="Times New Roman" w:hAnsi="Times New Roman" w:cs="Times New Roman"/>
                <w:i/>
                <w:sz w:val="24"/>
              </w:rPr>
              <w:t>PAL</w:t>
            </w:r>
            <w:r w:rsidRPr="008D74C2">
              <w:rPr>
                <w:rFonts w:ascii="Times New Roman" w:hAnsi="Times New Roman" w:cs="Times New Roman"/>
                <w:sz w:val="24"/>
              </w:rPr>
              <w:t>)</w:t>
            </w:r>
          </w:p>
          <w:p w14:paraId="05F99738" w14:textId="77777777" w:rsidR="009E4F36" w:rsidRPr="008D74C2" w:rsidRDefault="009E4F36" w:rsidP="00F61E26">
            <w:pPr>
              <w:pStyle w:val="TableParagraph"/>
              <w:numPr>
                <w:ilvl w:val="0"/>
                <w:numId w:val="3"/>
              </w:numPr>
              <w:tabs>
                <w:tab w:val="left" w:pos="604"/>
              </w:tabs>
              <w:spacing w:line="240" w:lineRule="auto"/>
              <w:ind w:left="320" w:hanging="284"/>
              <w:jc w:val="both"/>
              <w:rPr>
                <w:rFonts w:ascii="Times New Roman" w:hAnsi="Times New Roman" w:cs="Times New Roman"/>
                <w:sz w:val="24"/>
              </w:rPr>
            </w:pPr>
            <w:r w:rsidRPr="008D74C2">
              <w:rPr>
                <w:rFonts w:ascii="Times New Roman" w:hAnsi="Times New Roman" w:cs="Times New Roman"/>
                <w:sz w:val="24"/>
              </w:rPr>
              <w:t>Sūcējsūkņi</w:t>
            </w:r>
          </w:p>
          <w:p w14:paraId="532AF18B" w14:textId="77777777" w:rsidR="009E4F36" w:rsidRPr="008D74C2" w:rsidRDefault="009E4F36" w:rsidP="00F61E26">
            <w:pPr>
              <w:pStyle w:val="TableParagraph"/>
              <w:numPr>
                <w:ilvl w:val="0"/>
                <w:numId w:val="3"/>
              </w:numPr>
              <w:tabs>
                <w:tab w:val="left" w:pos="604"/>
              </w:tabs>
              <w:spacing w:line="240" w:lineRule="auto"/>
              <w:ind w:left="320" w:hanging="284"/>
              <w:jc w:val="both"/>
              <w:rPr>
                <w:rFonts w:ascii="Times New Roman" w:hAnsi="Times New Roman" w:cs="Times New Roman"/>
                <w:sz w:val="24"/>
              </w:rPr>
            </w:pPr>
            <w:r w:rsidRPr="008D74C2">
              <w:rPr>
                <w:rFonts w:ascii="Times New Roman" w:hAnsi="Times New Roman" w:cs="Times New Roman"/>
                <w:sz w:val="24"/>
              </w:rPr>
              <w:t>Kriolipolīzes aprīkojums</w:t>
            </w:r>
          </w:p>
        </w:tc>
      </w:tr>
    </w:tbl>
    <w:p w14:paraId="405C8379" w14:textId="77777777" w:rsidR="00F429AD" w:rsidRPr="008D74C2" w:rsidRDefault="00F429AD" w:rsidP="00C30294">
      <w:pPr>
        <w:jc w:val="both"/>
        <w:rPr>
          <w:rFonts w:ascii="Times New Roman" w:hAnsi="Times New Roman" w:cs="Times New Roman"/>
          <w:sz w:val="24"/>
        </w:rPr>
      </w:pPr>
    </w:p>
    <w:p w14:paraId="50A8BCDF" w14:textId="15914CB1" w:rsidR="009E4F36" w:rsidRPr="008D74C2" w:rsidRDefault="00461C41" w:rsidP="00461C41">
      <w:pPr>
        <w:pStyle w:val="Heading2"/>
        <w:tabs>
          <w:tab w:val="left" w:pos="797"/>
        </w:tabs>
        <w:spacing w:before="0"/>
        <w:ind w:left="0" w:firstLine="0"/>
        <w:jc w:val="both"/>
        <w:rPr>
          <w:rFonts w:ascii="Times New Roman" w:hAnsi="Times New Roman" w:cs="Times New Roman"/>
          <w:color w:val="365F91"/>
          <w:sz w:val="24"/>
        </w:rPr>
      </w:pPr>
      <w:bookmarkStart w:id="16" w:name="4.6_Group_5"/>
      <w:bookmarkEnd w:id="16"/>
      <w:r w:rsidRPr="008D74C2">
        <w:rPr>
          <w:rFonts w:ascii="Times New Roman" w:hAnsi="Times New Roman" w:cs="Times New Roman"/>
          <w:color w:val="365F91"/>
          <w:sz w:val="24"/>
        </w:rPr>
        <w:t>4.6. 5. grupa</w:t>
      </w:r>
    </w:p>
    <w:p w14:paraId="36D3F9A4" w14:textId="77777777" w:rsidR="00461C41" w:rsidRPr="008D74C2" w:rsidRDefault="00461C41" w:rsidP="00C30294">
      <w:pPr>
        <w:pStyle w:val="BodyText"/>
        <w:jc w:val="both"/>
        <w:rPr>
          <w:rFonts w:ascii="Times New Roman" w:hAnsi="Times New Roman" w:cs="Times New Roman"/>
          <w:sz w:val="24"/>
        </w:rPr>
      </w:pPr>
    </w:p>
    <w:p w14:paraId="74628802" w14:textId="51B82911" w:rsidR="009E4F36" w:rsidRPr="008D74C2" w:rsidRDefault="009E4F36" w:rsidP="00C30294">
      <w:pPr>
        <w:pStyle w:val="BodyText"/>
        <w:jc w:val="both"/>
        <w:rPr>
          <w:rFonts w:ascii="Times New Roman" w:hAnsi="Times New Roman" w:cs="Times New Roman"/>
          <w:sz w:val="24"/>
        </w:rPr>
      </w:pPr>
      <w:r w:rsidRPr="008D74C2">
        <w:rPr>
          <w:rFonts w:ascii="Times New Roman" w:hAnsi="Times New Roman" w:cs="Times New Roman"/>
          <w:sz w:val="24"/>
        </w:rPr>
        <w:t>K</w:t>
      </w:r>
      <w:r w:rsidR="000B1501">
        <w:rPr>
          <w:rFonts w:ascii="Times New Roman" w:hAnsi="Times New Roman" w:cs="Times New Roman"/>
          <w:sz w:val="24"/>
        </w:rPr>
        <w:t>S</w:t>
      </w:r>
      <w:r w:rsidRPr="008D74C2">
        <w:rPr>
          <w:rFonts w:ascii="Times New Roman" w:hAnsi="Times New Roman" w:cs="Times New Roman"/>
          <w:sz w:val="24"/>
        </w:rPr>
        <w:t xml:space="preserve"> attiecas uz Regulas (ES) 2017/745 XVI pielikuma 5. punktā minēto augstas intensitātes elektromagnētisko starojumu (piemēram, infrasarkano starojumu, redzamo gaismu un ultravioleto starojumu) izstarojošu aprīkojumu, kas paredzēts lietošanai uz cilvēka ķermeņa, tostarp uz koherentiem un nekoherentiem avotiem, monohromatiskiem un ar plašu spektru, piemēram, uz lāzeriem un spēcīgu gaismas impulsa aprīkojumu ādas atjaunošanai, tetovējumu vai apmatojuma noņemšanai, vai citādai ādas apstrādei. K</w:t>
      </w:r>
      <w:r w:rsidR="000B1501">
        <w:rPr>
          <w:rFonts w:ascii="Times New Roman" w:hAnsi="Times New Roman" w:cs="Times New Roman"/>
          <w:sz w:val="24"/>
        </w:rPr>
        <w:t>S</w:t>
      </w:r>
      <w:r w:rsidRPr="008D74C2">
        <w:rPr>
          <w:rFonts w:ascii="Times New Roman" w:hAnsi="Times New Roman" w:cs="Times New Roman"/>
          <w:sz w:val="24"/>
        </w:rPr>
        <w:t xml:space="preserve"> attiecas arī uz augstas intensitātes elektromagnētisko starojumu izstarojošu aprīkojumu, kurš paredzēts ādas atjaunošanai, permanentā grima noņemšanai un </w:t>
      </w:r>
      <w:r w:rsidRPr="008D74C2">
        <w:rPr>
          <w:rFonts w:ascii="Times New Roman" w:hAnsi="Times New Roman" w:cs="Times New Roman"/>
          <w:i/>
          <w:sz w:val="24"/>
        </w:rPr>
        <w:t>Nevus flammeus</w:t>
      </w:r>
      <w:r w:rsidRPr="008D74C2">
        <w:rPr>
          <w:rFonts w:ascii="Times New Roman" w:hAnsi="Times New Roman" w:cs="Times New Roman"/>
          <w:sz w:val="24"/>
        </w:rPr>
        <w:t xml:space="preserve">, hemangiomas, teleangiektāzijas, pigmentētu ādas laukumu un rētu, kas nav traumas, nemedicīniskai apstrādei Regulas (ES) 2017/745 2. panta 1) punkta otrā ievilkuma nozīmē. Piemēram, </w:t>
      </w:r>
      <w:r w:rsidR="000B1501">
        <w:rPr>
          <w:rFonts w:ascii="Times New Roman" w:hAnsi="Times New Roman" w:cs="Times New Roman"/>
          <w:sz w:val="24"/>
        </w:rPr>
        <w:t>KS</w:t>
      </w:r>
      <w:r w:rsidRPr="008D74C2">
        <w:rPr>
          <w:rFonts w:ascii="Times New Roman" w:hAnsi="Times New Roman" w:cs="Times New Roman"/>
          <w:sz w:val="24"/>
        </w:rPr>
        <w:t xml:space="preserve"> attiecas uz izstrādājumiem, kuri paredzēti aknes radītu rētu apstrādei, bet neattiecas uz ierīcēm, kas paredzētas citai aknes apstrādei. K</w:t>
      </w:r>
      <w:r w:rsidR="000B1501">
        <w:rPr>
          <w:rFonts w:ascii="Times New Roman" w:hAnsi="Times New Roman" w:cs="Times New Roman"/>
          <w:sz w:val="24"/>
        </w:rPr>
        <w:t>S</w:t>
      </w:r>
      <w:r w:rsidRPr="008D74C2">
        <w:rPr>
          <w:rFonts w:ascii="Times New Roman" w:hAnsi="Times New Roman" w:cs="Times New Roman"/>
          <w:sz w:val="24"/>
        </w:rPr>
        <w:t xml:space="preserve"> neattiecas uz aprīkojumu, kurā izmanto infrasarkano starojumu optiskajā diapazonā, lai sildītu ķermeni vai ķermeņa daļas, ne arī uz sauļošanās gultām.</w:t>
      </w:r>
    </w:p>
    <w:p w14:paraId="03089C22" w14:textId="77777777" w:rsidR="009E4F36" w:rsidRPr="008D74C2" w:rsidRDefault="009E4F36" w:rsidP="00C30294">
      <w:pPr>
        <w:pStyle w:val="BodyText"/>
        <w:jc w:val="both"/>
        <w:rPr>
          <w:rFonts w:ascii="Times New Roman" w:hAnsi="Times New Roman" w:cs="Times New Roman"/>
          <w:sz w:val="24"/>
        </w:rPr>
      </w:pPr>
    </w:p>
    <w:p w14:paraId="33C567EF" w14:textId="77777777" w:rsidR="009E4F36" w:rsidRPr="008D74C2" w:rsidRDefault="009E4F36" w:rsidP="00C30294">
      <w:pPr>
        <w:pStyle w:val="BodyText"/>
        <w:jc w:val="both"/>
        <w:rPr>
          <w:rFonts w:ascii="Times New Roman" w:hAnsi="Times New Roman" w:cs="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630"/>
        <w:gridCol w:w="262"/>
        <w:gridCol w:w="5175"/>
        <w:gridCol w:w="3064"/>
      </w:tblGrid>
      <w:tr w:rsidR="009E4F36" w:rsidRPr="008D74C2" w14:paraId="06501EE5" w14:textId="77777777" w:rsidTr="00461C41">
        <w:trPr>
          <w:trHeight w:val="268"/>
        </w:trPr>
        <w:tc>
          <w:tcPr>
            <w:tcW w:w="287" w:type="pct"/>
          </w:tcPr>
          <w:p w14:paraId="37311836" w14:textId="77777777" w:rsidR="009E4F36" w:rsidRPr="008D74C2" w:rsidRDefault="009E4F36" w:rsidP="002E10BE">
            <w:pPr>
              <w:pStyle w:val="TableParagraph"/>
              <w:keepNext/>
              <w:keepLines/>
              <w:spacing w:line="240" w:lineRule="auto"/>
              <w:ind w:left="0"/>
              <w:jc w:val="both"/>
              <w:rPr>
                <w:rFonts w:ascii="Times New Roman" w:hAnsi="Times New Roman" w:cs="Times New Roman"/>
                <w:b/>
                <w:sz w:val="24"/>
              </w:rPr>
            </w:pPr>
            <w:r w:rsidRPr="008D74C2">
              <w:rPr>
                <w:rFonts w:ascii="Times New Roman" w:hAnsi="Times New Roman" w:cs="Times New Roman"/>
                <w:b/>
                <w:sz w:val="24"/>
              </w:rPr>
              <w:lastRenderedPageBreak/>
              <w:t>Klase</w:t>
            </w:r>
          </w:p>
        </w:tc>
        <w:tc>
          <w:tcPr>
            <w:tcW w:w="3015" w:type="pct"/>
            <w:gridSpan w:val="2"/>
          </w:tcPr>
          <w:p w14:paraId="717AA808" w14:textId="77777777" w:rsidR="009E4F36" w:rsidRPr="008D74C2" w:rsidRDefault="009E4F36" w:rsidP="002E10BE">
            <w:pPr>
              <w:pStyle w:val="TableParagraph"/>
              <w:keepNext/>
              <w:keepLines/>
              <w:spacing w:line="240" w:lineRule="auto"/>
              <w:ind w:left="0"/>
              <w:jc w:val="both"/>
              <w:rPr>
                <w:rFonts w:ascii="Times New Roman" w:hAnsi="Times New Roman" w:cs="Times New Roman"/>
                <w:b/>
                <w:sz w:val="24"/>
              </w:rPr>
            </w:pPr>
            <w:r w:rsidRPr="008D74C2">
              <w:rPr>
                <w:rFonts w:ascii="Times New Roman" w:hAnsi="Times New Roman" w:cs="Times New Roman"/>
                <w:b/>
                <w:sz w:val="24"/>
              </w:rPr>
              <w:t>Noteikums</w:t>
            </w:r>
          </w:p>
        </w:tc>
        <w:tc>
          <w:tcPr>
            <w:tcW w:w="1697" w:type="pct"/>
          </w:tcPr>
          <w:p w14:paraId="098D21A3" w14:textId="77777777" w:rsidR="009E4F36" w:rsidRPr="008D74C2" w:rsidRDefault="009E4F36" w:rsidP="002E10BE">
            <w:pPr>
              <w:pStyle w:val="TableParagraph"/>
              <w:keepNext/>
              <w:keepLines/>
              <w:spacing w:line="240" w:lineRule="auto"/>
              <w:ind w:left="0"/>
              <w:jc w:val="both"/>
              <w:rPr>
                <w:rFonts w:ascii="Times New Roman" w:hAnsi="Times New Roman" w:cs="Times New Roman"/>
                <w:b/>
                <w:sz w:val="24"/>
              </w:rPr>
            </w:pPr>
            <w:r w:rsidRPr="008D74C2">
              <w:rPr>
                <w:rFonts w:ascii="Times New Roman" w:hAnsi="Times New Roman" w:cs="Times New Roman"/>
                <w:b/>
                <w:sz w:val="24"/>
              </w:rPr>
              <w:t>XVI pielikuma izstrādājumu piemēri</w:t>
            </w:r>
          </w:p>
        </w:tc>
      </w:tr>
      <w:tr w:rsidR="009E4F36" w:rsidRPr="008D74C2" w14:paraId="7A270AB1" w14:textId="77777777" w:rsidTr="00461C41">
        <w:trPr>
          <w:trHeight w:val="818"/>
        </w:trPr>
        <w:tc>
          <w:tcPr>
            <w:tcW w:w="287" w:type="pct"/>
          </w:tcPr>
          <w:p w14:paraId="4ABDDEE7" w14:textId="77777777" w:rsidR="009E4F36" w:rsidRPr="008D74C2" w:rsidRDefault="009E4F36" w:rsidP="002E10BE">
            <w:pPr>
              <w:pStyle w:val="TableParagraph"/>
              <w:keepNext/>
              <w:keepLines/>
              <w:spacing w:line="240" w:lineRule="auto"/>
              <w:ind w:left="0"/>
              <w:jc w:val="both"/>
              <w:rPr>
                <w:rFonts w:ascii="Times New Roman" w:hAnsi="Times New Roman" w:cs="Times New Roman"/>
                <w:sz w:val="24"/>
              </w:rPr>
            </w:pPr>
            <w:r w:rsidRPr="008D74C2">
              <w:rPr>
                <w:rFonts w:ascii="Times New Roman" w:hAnsi="Times New Roman" w:cs="Times New Roman"/>
                <w:sz w:val="24"/>
              </w:rPr>
              <w:t>IIa</w:t>
            </w:r>
          </w:p>
        </w:tc>
        <w:tc>
          <w:tcPr>
            <w:tcW w:w="163" w:type="pct"/>
            <w:tcBorders>
              <w:right w:val="nil"/>
            </w:tcBorders>
          </w:tcPr>
          <w:p w14:paraId="711D2818" w14:textId="77777777" w:rsidR="009E4F36" w:rsidRPr="008D74C2" w:rsidRDefault="009E4F36" w:rsidP="002E10BE">
            <w:pPr>
              <w:pStyle w:val="TableParagraph"/>
              <w:keepNext/>
              <w:keepLines/>
              <w:spacing w:line="240" w:lineRule="auto"/>
              <w:ind w:left="0"/>
              <w:jc w:val="both"/>
              <w:rPr>
                <w:rFonts w:ascii="Times New Roman" w:hAnsi="Times New Roman" w:cs="Times New Roman"/>
                <w:sz w:val="24"/>
              </w:rPr>
            </w:pPr>
            <w:r w:rsidRPr="008D74C2">
              <w:rPr>
                <w:rFonts w:ascii="Times New Roman" w:hAnsi="Times New Roman" w:cs="Times New Roman"/>
                <w:sz w:val="24"/>
              </w:rPr>
              <w:t>/</w:t>
            </w:r>
          </w:p>
        </w:tc>
        <w:tc>
          <w:tcPr>
            <w:tcW w:w="2853" w:type="pct"/>
            <w:tcBorders>
              <w:left w:val="nil"/>
            </w:tcBorders>
          </w:tcPr>
          <w:p w14:paraId="06981B4E" w14:textId="77777777" w:rsidR="009E4F36" w:rsidRPr="008D74C2" w:rsidRDefault="009E4F36" w:rsidP="002E10BE">
            <w:pPr>
              <w:pStyle w:val="TableParagraph"/>
              <w:keepNext/>
              <w:keepLines/>
              <w:spacing w:line="240" w:lineRule="auto"/>
              <w:ind w:left="123"/>
              <w:jc w:val="both"/>
              <w:rPr>
                <w:rFonts w:ascii="Times New Roman" w:hAnsi="Times New Roman" w:cs="Times New Roman"/>
                <w:sz w:val="24"/>
              </w:rPr>
            </w:pPr>
            <w:r w:rsidRPr="008D74C2">
              <w:rPr>
                <w:rFonts w:ascii="Times New Roman" w:hAnsi="Times New Roman" w:cs="Times New Roman"/>
                <w:sz w:val="24"/>
              </w:rPr>
              <w:t>Īstenošanas regulas (ES) 2022/2347 1. panta a) punkts:</w:t>
            </w:r>
          </w:p>
          <w:p w14:paraId="31079C5F" w14:textId="2F9D9B17" w:rsidR="009E4F36" w:rsidRPr="008D74C2" w:rsidRDefault="009E4F36" w:rsidP="002E10BE">
            <w:pPr>
              <w:pStyle w:val="TableParagraph"/>
              <w:keepNext/>
              <w:keepLines/>
              <w:numPr>
                <w:ilvl w:val="0"/>
                <w:numId w:val="10"/>
              </w:numPr>
              <w:tabs>
                <w:tab w:val="left" w:pos="1257"/>
              </w:tabs>
              <w:spacing w:line="240" w:lineRule="auto"/>
              <w:ind w:left="406" w:hanging="314"/>
              <w:jc w:val="both"/>
              <w:rPr>
                <w:rFonts w:ascii="Times New Roman" w:hAnsi="Times New Roman" w:cs="Times New Roman"/>
                <w:sz w:val="24"/>
              </w:rPr>
            </w:pPr>
            <w:r w:rsidRPr="008D74C2">
              <w:rPr>
                <w:rFonts w:ascii="Times New Roman" w:hAnsi="Times New Roman" w:cs="Times New Roman"/>
                <w:sz w:val="24"/>
              </w:rPr>
              <w:t>(..) izņemot aprīkojumu, kas paredzēts tikai apmatojuma noņemšanai un kuru šādā gadījumā pārklasificē IIa klasē.</w:t>
            </w:r>
          </w:p>
        </w:tc>
        <w:tc>
          <w:tcPr>
            <w:tcW w:w="1697" w:type="pct"/>
          </w:tcPr>
          <w:p w14:paraId="0C06C101" w14:textId="556C6756" w:rsidR="009E4F36" w:rsidRPr="008D74C2" w:rsidRDefault="009E4F36" w:rsidP="002E10BE">
            <w:pPr>
              <w:pStyle w:val="TableParagraph"/>
              <w:keepNext/>
              <w:keepLines/>
              <w:numPr>
                <w:ilvl w:val="0"/>
                <w:numId w:val="10"/>
              </w:numPr>
              <w:tabs>
                <w:tab w:val="left" w:pos="438"/>
              </w:tabs>
              <w:spacing w:line="240" w:lineRule="auto"/>
              <w:ind w:left="320" w:hanging="258"/>
              <w:jc w:val="both"/>
              <w:rPr>
                <w:rFonts w:ascii="Times New Roman" w:hAnsi="Times New Roman" w:cs="Times New Roman"/>
                <w:sz w:val="24"/>
              </w:rPr>
            </w:pPr>
            <w:r w:rsidRPr="008D74C2">
              <w:rPr>
                <w:rFonts w:ascii="Times New Roman" w:hAnsi="Times New Roman" w:cs="Times New Roman"/>
                <w:i/>
                <w:sz w:val="24"/>
              </w:rPr>
              <w:t>IPL</w:t>
            </w:r>
            <w:r w:rsidRPr="008D74C2">
              <w:rPr>
                <w:rFonts w:ascii="Times New Roman" w:hAnsi="Times New Roman" w:cs="Times New Roman"/>
                <w:sz w:val="24"/>
              </w:rPr>
              <w:t>/</w:t>
            </w:r>
            <w:r w:rsidRPr="008D74C2">
              <w:rPr>
                <w:rFonts w:ascii="Times New Roman" w:hAnsi="Times New Roman" w:cs="Times New Roman"/>
                <w:i/>
                <w:sz w:val="24"/>
              </w:rPr>
              <w:t>LED</w:t>
            </w:r>
            <w:r w:rsidRPr="008D74C2">
              <w:rPr>
                <w:rFonts w:ascii="Times New Roman" w:hAnsi="Times New Roman" w:cs="Times New Roman"/>
                <w:sz w:val="24"/>
              </w:rPr>
              <w:t>/lāzera aprīkojums tikai apmatojuma noņemšanai</w:t>
            </w:r>
          </w:p>
        </w:tc>
      </w:tr>
      <w:tr w:rsidR="009E4F36" w:rsidRPr="008D74C2" w14:paraId="2DCF0A38" w14:textId="77777777" w:rsidTr="00CC224A">
        <w:trPr>
          <w:trHeight w:val="245"/>
        </w:trPr>
        <w:tc>
          <w:tcPr>
            <w:tcW w:w="287" w:type="pct"/>
          </w:tcPr>
          <w:p w14:paraId="46D22582" w14:textId="77777777" w:rsidR="009E4F36" w:rsidRPr="008D74C2" w:rsidRDefault="009E4F36" w:rsidP="00C30294">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IIb</w:t>
            </w:r>
          </w:p>
        </w:tc>
        <w:tc>
          <w:tcPr>
            <w:tcW w:w="163" w:type="pct"/>
            <w:tcBorders>
              <w:right w:val="nil"/>
            </w:tcBorders>
          </w:tcPr>
          <w:p w14:paraId="06F5B3C9" w14:textId="77777777" w:rsidR="009E4F36" w:rsidRPr="008D74C2" w:rsidRDefault="009E4F36" w:rsidP="00C30294">
            <w:pPr>
              <w:pStyle w:val="TableParagraph"/>
              <w:spacing w:line="240" w:lineRule="auto"/>
              <w:ind w:left="0"/>
              <w:jc w:val="both"/>
              <w:rPr>
                <w:rFonts w:ascii="Times New Roman" w:hAnsi="Times New Roman" w:cs="Times New Roman"/>
                <w:sz w:val="24"/>
              </w:rPr>
            </w:pPr>
            <w:r w:rsidRPr="008D74C2">
              <w:rPr>
                <w:rFonts w:ascii="Times New Roman" w:hAnsi="Times New Roman" w:cs="Times New Roman"/>
                <w:sz w:val="24"/>
              </w:rPr>
              <w:t>/</w:t>
            </w:r>
          </w:p>
        </w:tc>
        <w:tc>
          <w:tcPr>
            <w:tcW w:w="2853" w:type="pct"/>
            <w:tcBorders>
              <w:left w:val="nil"/>
            </w:tcBorders>
          </w:tcPr>
          <w:p w14:paraId="1AFEEB68" w14:textId="77777777" w:rsidR="009E4F36" w:rsidRPr="008D74C2" w:rsidRDefault="009E4F36" w:rsidP="00461C41">
            <w:pPr>
              <w:pStyle w:val="TableParagraph"/>
              <w:spacing w:line="240" w:lineRule="auto"/>
              <w:ind w:left="123"/>
              <w:jc w:val="both"/>
              <w:rPr>
                <w:rFonts w:ascii="Times New Roman" w:hAnsi="Times New Roman" w:cs="Times New Roman"/>
                <w:sz w:val="24"/>
              </w:rPr>
            </w:pPr>
            <w:r w:rsidRPr="008D74C2">
              <w:rPr>
                <w:rFonts w:ascii="Times New Roman" w:hAnsi="Times New Roman" w:cs="Times New Roman"/>
                <w:sz w:val="24"/>
              </w:rPr>
              <w:t>Īstenošanas regulas (ES) 2022/2347 1. panta a) punkts:</w:t>
            </w:r>
          </w:p>
          <w:p w14:paraId="4099AFE6" w14:textId="3CA9B387" w:rsidR="009E4F36" w:rsidRPr="008D74C2" w:rsidRDefault="009E4F36" w:rsidP="00461C41">
            <w:pPr>
              <w:pStyle w:val="TableParagraph"/>
              <w:numPr>
                <w:ilvl w:val="0"/>
                <w:numId w:val="11"/>
              </w:numPr>
              <w:spacing w:line="240" w:lineRule="auto"/>
              <w:ind w:left="406" w:hanging="295"/>
              <w:jc w:val="both"/>
              <w:rPr>
                <w:rFonts w:ascii="Times New Roman" w:hAnsi="Times New Roman" w:cs="Times New Roman"/>
                <w:sz w:val="24"/>
              </w:rPr>
            </w:pPr>
            <w:r w:rsidRPr="008D74C2">
              <w:rPr>
                <w:rFonts w:ascii="Times New Roman" w:hAnsi="Times New Roman" w:cs="Times New Roman"/>
                <w:sz w:val="24"/>
              </w:rPr>
              <w:t>Regulas (ES) 2017/745 XVI pielikuma 5. iedaļā minēto aprīkojumu, kas izstaro augstas intensitātes elektromagnētisko starojumu un ko paredzēts izmantot uz cilvēka ķermeņa, proti, ādas apstrādei, pārklasificē IIb klasē (..)</w:t>
            </w:r>
          </w:p>
        </w:tc>
        <w:tc>
          <w:tcPr>
            <w:tcW w:w="1697" w:type="pct"/>
          </w:tcPr>
          <w:p w14:paraId="62FDF075" w14:textId="77777777" w:rsidR="009E4F36" w:rsidRPr="008D74C2" w:rsidRDefault="009E4F36" w:rsidP="00461C41">
            <w:pPr>
              <w:pStyle w:val="TableParagraph"/>
              <w:numPr>
                <w:ilvl w:val="0"/>
                <w:numId w:val="2"/>
              </w:numPr>
              <w:tabs>
                <w:tab w:val="left" w:pos="438"/>
              </w:tabs>
              <w:spacing w:line="240" w:lineRule="auto"/>
              <w:ind w:left="320" w:hanging="283"/>
              <w:jc w:val="both"/>
              <w:rPr>
                <w:rFonts w:ascii="Times New Roman" w:hAnsi="Times New Roman" w:cs="Times New Roman"/>
                <w:sz w:val="24"/>
              </w:rPr>
            </w:pPr>
            <w:r w:rsidRPr="008D74C2">
              <w:rPr>
                <w:rFonts w:ascii="Times New Roman" w:hAnsi="Times New Roman" w:cs="Times New Roman"/>
                <w:sz w:val="24"/>
              </w:rPr>
              <w:t>Lāzera aprīkojums apmatojuma noņemšanai, ādas izlīdzināšanai, tetovējuma noņemšanai, hipertrofiskām rētām un keloīdrētām, pigmentācijas problēmu (piemēram, saules radītu bojājumu, vecuma plankumu) mazināšanai, asinsvadu bojājumu izskata uzlabošanai</w:t>
            </w:r>
          </w:p>
          <w:p w14:paraId="42FE938B" w14:textId="77777777" w:rsidR="009E4F36" w:rsidRPr="008D74C2" w:rsidRDefault="009E4F36" w:rsidP="00461C41">
            <w:pPr>
              <w:pStyle w:val="TableParagraph"/>
              <w:numPr>
                <w:ilvl w:val="0"/>
                <w:numId w:val="2"/>
              </w:numPr>
              <w:tabs>
                <w:tab w:val="left" w:pos="438"/>
              </w:tabs>
              <w:spacing w:line="240" w:lineRule="auto"/>
              <w:ind w:left="320" w:hanging="283"/>
              <w:jc w:val="both"/>
              <w:rPr>
                <w:rFonts w:ascii="Times New Roman" w:hAnsi="Times New Roman" w:cs="Times New Roman"/>
                <w:sz w:val="24"/>
              </w:rPr>
            </w:pPr>
            <w:r w:rsidRPr="008D74C2">
              <w:rPr>
                <w:rFonts w:ascii="Times New Roman" w:hAnsi="Times New Roman" w:cs="Times New Roman"/>
                <w:i/>
                <w:sz w:val="24"/>
              </w:rPr>
              <w:t>IPL</w:t>
            </w:r>
            <w:r w:rsidRPr="008D74C2">
              <w:rPr>
                <w:rFonts w:ascii="Times New Roman" w:hAnsi="Times New Roman" w:cs="Times New Roman"/>
                <w:sz w:val="24"/>
              </w:rPr>
              <w:t xml:space="preserve"> aprīkojums apmatojuma noņemšanai, ādas atjaunošanai, pigmentācijas problēmu (piemēram, saules radītu bojājumu, vecuma plankumu) mazināšanai, asinsvadu bojājumu izskata uzlabošanai</w:t>
            </w:r>
          </w:p>
          <w:p w14:paraId="3B6F0992" w14:textId="77777777" w:rsidR="009E4F36" w:rsidRPr="008D74C2" w:rsidRDefault="009E4F36" w:rsidP="00461C41">
            <w:pPr>
              <w:pStyle w:val="TableParagraph"/>
              <w:numPr>
                <w:ilvl w:val="0"/>
                <w:numId w:val="2"/>
              </w:numPr>
              <w:tabs>
                <w:tab w:val="left" w:pos="438"/>
              </w:tabs>
              <w:spacing w:line="240" w:lineRule="auto"/>
              <w:ind w:left="320" w:hanging="283"/>
              <w:jc w:val="both"/>
              <w:rPr>
                <w:rFonts w:ascii="Times New Roman" w:hAnsi="Times New Roman" w:cs="Times New Roman"/>
                <w:sz w:val="24"/>
              </w:rPr>
            </w:pPr>
            <w:r w:rsidRPr="008D74C2">
              <w:rPr>
                <w:rFonts w:ascii="Times New Roman" w:hAnsi="Times New Roman" w:cs="Times New Roman"/>
                <w:i/>
                <w:sz w:val="24"/>
              </w:rPr>
              <w:t>LED</w:t>
            </w:r>
            <w:r w:rsidRPr="008D74C2">
              <w:rPr>
                <w:rFonts w:ascii="Times New Roman" w:hAnsi="Times New Roman" w:cs="Times New Roman"/>
                <w:sz w:val="24"/>
              </w:rPr>
              <w:t xml:space="preserve"> aprīkojums ādas atjaunošanai, matu augšanas stimulēšanai, aknes radītu rētu izskata uzlabošanai (piemēram, </w:t>
            </w:r>
            <w:r w:rsidRPr="008D74C2">
              <w:rPr>
                <w:rFonts w:ascii="Times New Roman" w:hAnsi="Times New Roman" w:cs="Times New Roman"/>
                <w:i/>
                <w:sz w:val="24"/>
              </w:rPr>
              <w:t>LED</w:t>
            </w:r>
            <w:r w:rsidRPr="008D74C2">
              <w:rPr>
                <w:rFonts w:ascii="Times New Roman" w:hAnsi="Times New Roman" w:cs="Times New Roman"/>
                <w:sz w:val="24"/>
              </w:rPr>
              <w:t xml:space="preserve"> sejas maskas)</w:t>
            </w:r>
          </w:p>
        </w:tc>
      </w:tr>
    </w:tbl>
    <w:p w14:paraId="6018A672" w14:textId="77777777" w:rsidR="009E4F36" w:rsidRPr="008D74C2" w:rsidRDefault="009E4F36" w:rsidP="00C30294">
      <w:pPr>
        <w:pStyle w:val="BodyText"/>
        <w:jc w:val="both"/>
        <w:rPr>
          <w:rFonts w:ascii="Times New Roman" w:hAnsi="Times New Roman" w:cs="Times New Roman"/>
          <w:sz w:val="24"/>
        </w:rPr>
      </w:pPr>
    </w:p>
    <w:p w14:paraId="2CB63F0E" w14:textId="7154C001" w:rsidR="009E4F36" w:rsidRPr="008D74C2" w:rsidRDefault="00CC224A" w:rsidP="00CC224A">
      <w:pPr>
        <w:pStyle w:val="Heading2"/>
        <w:tabs>
          <w:tab w:val="left" w:pos="797"/>
        </w:tabs>
        <w:spacing w:before="0"/>
        <w:ind w:left="0" w:firstLine="0"/>
        <w:jc w:val="both"/>
        <w:rPr>
          <w:rFonts w:ascii="Times New Roman" w:hAnsi="Times New Roman" w:cs="Times New Roman"/>
          <w:color w:val="365F91"/>
          <w:sz w:val="24"/>
        </w:rPr>
      </w:pPr>
      <w:bookmarkStart w:id="17" w:name="4.7_Group_6"/>
      <w:bookmarkEnd w:id="17"/>
      <w:r w:rsidRPr="008D74C2">
        <w:rPr>
          <w:rFonts w:ascii="Times New Roman" w:hAnsi="Times New Roman" w:cs="Times New Roman"/>
          <w:color w:val="365F91"/>
          <w:sz w:val="24"/>
        </w:rPr>
        <w:t>4.7. 6. grupa</w:t>
      </w:r>
    </w:p>
    <w:p w14:paraId="2FE959A6" w14:textId="77777777" w:rsidR="00CC224A" w:rsidRPr="008D74C2" w:rsidRDefault="00CC224A" w:rsidP="00C30294">
      <w:pPr>
        <w:pStyle w:val="BodyText"/>
        <w:jc w:val="both"/>
        <w:rPr>
          <w:rFonts w:ascii="Times New Roman" w:hAnsi="Times New Roman" w:cs="Times New Roman"/>
          <w:sz w:val="24"/>
        </w:rPr>
      </w:pPr>
    </w:p>
    <w:p w14:paraId="669DB52E" w14:textId="7BEEA05F" w:rsidR="009E4F36" w:rsidRPr="008D74C2" w:rsidRDefault="009E4F36" w:rsidP="00C30294">
      <w:pPr>
        <w:pStyle w:val="BodyText"/>
        <w:jc w:val="both"/>
        <w:rPr>
          <w:rFonts w:ascii="Times New Roman" w:hAnsi="Times New Roman" w:cs="Times New Roman"/>
          <w:sz w:val="24"/>
        </w:rPr>
      </w:pPr>
      <w:r w:rsidRPr="008D74C2">
        <w:rPr>
          <w:rFonts w:ascii="Times New Roman" w:hAnsi="Times New Roman" w:cs="Times New Roman"/>
          <w:sz w:val="24"/>
        </w:rPr>
        <w:t>K</w:t>
      </w:r>
      <w:r w:rsidR="0091145D">
        <w:rPr>
          <w:rFonts w:ascii="Times New Roman" w:hAnsi="Times New Roman" w:cs="Times New Roman"/>
          <w:sz w:val="24"/>
        </w:rPr>
        <w:t>S</w:t>
      </w:r>
      <w:r w:rsidRPr="008D74C2">
        <w:rPr>
          <w:rFonts w:ascii="Times New Roman" w:hAnsi="Times New Roman" w:cs="Times New Roman"/>
          <w:sz w:val="24"/>
        </w:rPr>
        <w:t xml:space="preserve"> attiecas uz Regulas (ES) 2017/745 XVI pielikuma 6. punktā minēto aprīkojumu, kas paredzēts smadzeņu stimulācijai un kas izmanto elektrisko strāvu vai magnētisko vai elektromagnētisko lauku, kurš iekļūst galvaskausā, lai modificētu neironu aktivitāti smadzenēs. Šāds aprīkojums ietver ierīces transkraniālajai maiņstrāvas stimulācijai, transkraniālajai līdzstrāvas stimulācijai, transkraniālajai magnētiskajai stimulācijai un transkraniālajai stimulācijai ar gadījuma trokšņiem. K</w:t>
      </w:r>
      <w:r w:rsidR="0091145D">
        <w:rPr>
          <w:rFonts w:ascii="Times New Roman" w:hAnsi="Times New Roman" w:cs="Times New Roman"/>
          <w:sz w:val="24"/>
        </w:rPr>
        <w:t>S</w:t>
      </w:r>
      <w:r w:rsidRPr="008D74C2">
        <w:rPr>
          <w:rFonts w:ascii="Times New Roman" w:hAnsi="Times New Roman" w:cs="Times New Roman"/>
          <w:sz w:val="24"/>
        </w:rPr>
        <w:t xml:space="preserve"> neattiecas uz invazīvām ierīcēm.</w:t>
      </w:r>
    </w:p>
    <w:p w14:paraId="4B3C8F49" w14:textId="77777777" w:rsidR="009E4F36" w:rsidRPr="008D74C2" w:rsidRDefault="009E4F36" w:rsidP="00C30294">
      <w:pPr>
        <w:pStyle w:val="BodyText"/>
        <w:jc w:val="both"/>
        <w:rPr>
          <w:rFonts w:ascii="Times New Roman" w:hAnsi="Times New Roman" w:cs="Times New Roman"/>
          <w:sz w:val="24"/>
        </w:rPr>
      </w:pPr>
    </w:p>
    <w:p w14:paraId="7375A89E" w14:textId="77777777" w:rsidR="009E4F36" w:rsidRPr="008D74C2" w:rsidRDefault="009E4F36" w:rsidP="00C30294">
      <w:pPr>
        <w:pStyle w:val="BodyText"/>
        <w:jc w:val="both"/>
        <w:rPr>
          <w:rFonts w:ascii="Times New Roman" w:hAnsi="Times New Roman" w:cs="Times New Roman"/>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630"/>
        <w:gridCol w:w="255"/>
        <w:gridCol w:w="5182"/>
        <w:gridCol w:w="3064"/>
      </w:tblGrid>
      <w:tr w:rsidR="009E4F36" w:rsidRPr="008D74C2" w14:paraId="3537678C" w14:textId="77777777" w:rsidTr="00CC224A">
        <w:trPr>
          <w:trHeight w:val="268"/>
        </w:trPr>
        <w:tc>
          <w:tcPr>
            <w:tcW w:w="287" w:type="pct"/>
          </w:tcPr>
          <w:p w14:paraId="03D2AC04" w14:textId="77777777" w:rsidR="009E4F36" w:rsidRPr="008D74C2" w:rsidRDefault="009E4F36" w:rsidP="002E10BE">
            <w:pPr>
              <w:pStyle w:val="TableParagraph"/>
              <w:keepNext/>
              <w:keepLines/>
              <w:spacing w:line="240" w:lineRule="auto"/>
              <w:ind w:left="0"/>
              <w:jc w:val="both"/>
              <w:rPr>
                <w:rFonts w:ascii="Times New Roman" w:hAnsi="Times New Roman" w:cs="Times New Roman"/>
                <w:b/>
                <w:sz w:val="24"/>
              </w:rPr>
            </w:pPr>
            <w:r w:rsidRPr="008D74C2">
              <w:rPr>
                <w:rFonts w:ascii="Times New Roman" w:hAnsi="Times New Roman" w:cs="Times New Roman"/>
                <w:b/>
                <w:sz w:val="24"/>
              </w:rPr>
              <w:lastRenderedPageBreak/>
              <w:t>Klase</w:t>
            </w:r>
          </w:p>
        </w:tc>
        <w:tc>
          <w:tcPr>
            <w:tcW w:w="3015" w:type="pct"/>
            <w:gridSpan w:val="2"/>
          </w:tcPr>
          <w:p w14:paraId="441DB73F" w14:textId="77777777" w:rsidR="009E4F36" w:rsidRPr="008D74C2" w:rsidRDefault="009E4F36" w:rsidP="002E10BE">
            <w:pPr>
              <w:pStyle w:val="TableParagraph"/>
              <w:keepNext/>
              <w:keepLines/>
              <w:spacing w:line="240" w:lineRule="auto"/>
              <w:ind w:left="0"/>
              <w:jc w:val="both"/>
              <w:rPr>
                <w:rFonts w:ascii="Times New Roman" w:hAnsi="Times New Roman" w:cs="Times New Roman"/>
                <w:b/>
                <w:sz w:val="24"/>
              </w:rPr>
            </w:pPr>
            <w:r w:rsidRPr="008D74C2">
              <w:rPr>
                <w:rFonts w:ascii="Times New Roman" w:hAnsi="Times New Roman" w:cs="Times New Roman"/>
                <w:b/>
                <w:sz w:val="24"/>
              </w:rPr>
              <w:t>Noteikums</w:t>
            </w:r>
          </w:p>
        </w:tc>
        <w:tc>
          <w:tcPr>
            <w:tcW w:w="1697" w:type="pct"/>
          </w:tcPr>
          <w:p w14:paraId="430BC2A7" w14:textId="77777777" w:rsidR="009E4F36" w:rsidRPr="008D74C2" w:rsidRDefault="009E4F36" w:rsidP="002E10BE">
            <w:pPr>
              <w:pStyle w:val="TableParagraph"/>
              <w:keepNext/>
              <w:keepLines/>
              <w:spacing w:line="240" w:lineRule="auto"/>
              <w:ind w:left="0"/>
              <w:jc w:val="both"/>
              <w:rPr>
                <w:rFonts w:ascii="Times New Roman" w:hAnsi="Times New Roman" w:cs="Times New Roman"/>
                <w:b/>
                <w:sz w:val="24"/>
              </w:rPr>
            </w:pPr>
            <w:r w:rsidRPr="008D74C2">
              <w:rPr>
                <w:rFonts w:ascii="Times New Roman" w:hAnsi="Times New Roman" w:cs="Times New Roman"/>
                <w:b/>
                <w:sz w:val="24"/>
              </w:rPr>
              <w:t>XVI pielikuma izstrādājumu piemēri</w:t>
            </w:r>
          </w:p>
        </w:tc>
      </w:tr>
      <w:tr w:rsidR="009E4F36" w:rsidRPr="008D74C2" w14:paraId="17CED405" w14:textId="77777777" w:rsidTr="00CC224A">
        <w:trPr>
          <w:trHeight w:val="1365"/>
        </w:trPr>
        <w:tc>
          <w:tcPr>
            <w:tcW w:w="287" w:type="pct"/>
          </w:tcPr>
          <w:p w14:paraId="298C2866" w14:textId="77777777" w:rsidR="009E4F36" w:rsidRPr="008D74C2" w:rsidRDefault="009E4F36" w:rsidP="002E10BE">
            <w:pPr>
              <w:pStyle w:val="TableParagraph"/>
              <w:keepNext/>
              <w:keepLines/>
              <w:spacing w:line="240" w:lineRule="auto"/>
              <w:ind w:left="0"/>
              <w:jc w:val="both"/>
              <w:rPr>
                <w:rFonts w:ascii="Times New Roman" w:hAnsi="Times New Roman" w:cs="Times New Roman"/>
                <w:sz w:val="24"/>
              </w:rPr>
            </w:pPr>
            <w:r w:rsidRPr="008D74C2">
              <w:rPr>
                <w:rFonts w:ascii="Times New Roman" w:hAnsi="Times New Roman" w:cs="Times New Roman"/>
                <w:sz w:val="24"/>
              </w:rPr>
              <w:t>III</w:t>
            </w:r>
          </w:p>
        </w:tc>
        <w:tc>
          <w:tcPr>
            <w:tcW w:w="159" w:type="pct"/>
            <w:tcBorders>
              <w:right w:val="nil"/>
            </w:tcBorders>
          </w:tcPr>
          <w:p w14:paraId="00F68FEC" w14:textId="77777777" w:rsidR="009E4F36" w:rsidRPr="008D74C2" w:rsidRDefault="009E4F36" w:rsidP="002E10BE">
            <w:pPr>
              <w:pStyle w:val="TableParagraph"/>
              <w:keepNext/>
              <w:keepLines/>
              <w:spacing w:line="240" w:lineRule="auto"/>
              <w:ind w:left="0"/>
              <w:jc w:val="both"/>
              <w:rPr>
                <w:rFonts w:ascii="Times New Roman" w:hAnsi="Times New Roman" w:cs="Times New Roman"/>
                <w:sz w:val="24"/>
              </w:rPr>
            </w:pPr>
            <w:r w:rsidRPr="008D74C2">
              <w:rPr>
                <w:rFonts w:ascii="Times New Roman" w:hAnsi="Times New Roman" w:cs="Times New Roman"/>
                <w:sz w:val="24"/>
              </w:rPr>
              <w:t>/</w:t>
            </w:r>
          </w:p>
        </w:tc>
        <w:tc>
          <w:tcPr>
            <w:tcW w:w="2857" w:type="pct"/>
            <w:tcBorders>
              <w:left w:val="nil"/>
            </w:tcBorders>
          </w:tcPr>
          <w:p w14:paraId="0DFC136D" w14:textId="77777777" w:rsidR="009E4F36" w:rsidRPr="008D74C2" w:rsidRDefault="009E4F36" w:rsidP="002E10BE">
            <w:pPr>
              <w:pStyle w:val="TableParagraph"/>
              <w:keepNext/>
              <w:keepLines/>
              <w:spacing w:line="240" w:lineRule="auto"/>
              <w:ind w:left="123"/>
              <w:jc w:val="both"/>
              <w:rPr>
                <w:rFonts w:ascii="Times New Roman" w:hAnsi="Times New Roman" w:cs="Times New Roman"/>
                <w:sz w:val="24"/>
              </w:rPr>
            </w:pPr>
            <w:r w:rsidRPr="008D74C2">
              <w:rPr>
                <w:rFonts w:ascii="Times New Roman" w:hAnsi="Times New Roman" w:cs="Times New Roman"/>
                <w:sz w:val="24"/>
              </w:rPr>
              <w:t>Īstenošanas regulas (ES) 2022/2347 1. panta c) punkts:</w:t>
            </w:r>
          </w:p>
          <w:p w14:paraId="03EFBC95" w14:textId="1F601F06" w:rsidR="009E4F36" w:rsidRPr="008D74C2" w:rsidRDefault="009E4F36" w:rsidP="002E10BE">
            <w:pPr>
              <w:pStyle w:val="TableParagraph"/>
              <w:keepNext/>
              <w:keepLines/>
              <w:numPr>
                <w:ilvl w:val="0"/>
                <w:numId w:val="11"/>
              </w:numPr>
              <w:spacing w:line="240" w:lineRule="auto"/>
              <w:ind w:left="406" w:hanging="295"/>
              <w:jc w:val="both"/>
              <w:rPr>
                <w:rFonts w:ascii="Times New Roman" w:hAnsi="Times New Roman" w:cs="Times New Roman"/>
                <w:sz w:val="24"/>
              </w:rPr>
            </w:pPr>
            <w:r w:rsidRPr="008D74C2">
              <w:rPr>
                <w:rFonts w:ascii="Times New Roman" w:hAnsi="Times New Roman" w:cs="Times New Roman"/>
                <w:sz w:val="24"/>
              </w:rPr>
              <w:t>Regulas (ES) 2017/745 XVI pielikuma 6. iedaļā minēto aprīkojumu, kas paredzēts smadzeņu stimulācijai un izmanto elektrisko strāvu vai magnētisko vai elektromagnētisko lauku, kurš iekļūst galvaskausā, lai modificētu neironu aktivitāti smadzenēs, pārklasificē III klasē.</w:t>
            </w:r>
          </w:p>
        </w:tc>
        <w:tc>
          <w:tcPr>
            <w:tcW w:w="1697" w:type="pct"/>
          </w:tcPr>
          <w:p w14:paraId="1F2255F8" w14:textId="3BF974E1" w:rsidR="009E4F36" w:rsidRPr="008D74C2" w:rsidRDefault="009E4F36" w:rsidP="002E10BE">
            <w:pPr>
              <w:pStyle w:val="TableParagraph"/>
              <w:keepNext/>
              <w:keepLines/>
              <w:numPr>
                <w:ilvl w:val="0"/>
                <w:numId w:val="1"/>
              </w:numPr>
              <w:tabs>
                <w:tab w:val="left" w:pos="745"/>
                <w:tab w:val="left" w:pos="1807"/>
                <w:tab w:val="left" w:pos="2457"/>
                <w:tab w:val="left" w:pos="3899"/>
              </w:tabs>
              <w:spacing w:line="240" w:lineRule="auto"/>
              <w:ind w:left="320" w:hanging="284"/>
              <w:jc w:val="both"/>
              <w:rPr>
                <w:rFonts w:ascii="Times New Roman" w:hAnsi="Times New Roman" w:cs="Times New Roman"/>
                <w:sz w:val="24"/>
              </w:rPr>
            </w:pPr>
            <w:r w:rsidRPr="008D74C2">
              <w:rPr>
                <w:rFonts w:ascii="Times New Roman" w:hAnsi="Times New Roman" w:cs="Times New Roman"/>
                <w:sz w:val="24"/>
              </w:rPr>
              <w:t>Aprīkojums transkraniālajai elektriskajai stimulācijai, lai uzlabotu kognitīvo darbību</w:t>
            </w:r>
          </w:p>
          <w:p w14:paraId="18D0A822" w14:textId="158429C8" w:rsidR="009E4F36" w:rsidRPr="008D74C2" w:rsidRDefault="009E4F36" w:rsidP="002E10BE">
            <w:pPr>
              <w:pStyle w:val="TableParagraph"/>
              <w:keepNext/>
              <w:keepLines/>
              <w:numPr>
                <w:ilvl w:val="0"/>
                <w:numId w:val="1"/>
              </w:numPr>
              <w:tabs>
                <w:tab w:val="left" w:pos="745"/>
                <w:tab w:val="left" w:pos="1659"/>
                <w:tab w:val="left" w:pos="2159"/>
                <w:tab w:val="left" w:pos="3453"/>
                <w:tab w:val="left" w:pos="3950"/>
                <w:tab w:val="left" w:pos="4520"/>
              </w:tabs>
              <w:spacing w:line="240" w:lineRule="auto"/>
              <w:ind w:left="320" w:hanging="284"/>
              <w:jc w:val="both"/>
              <w:rPr>
                <w:rFonts w:ascii="Times New Roman" w:hAnsi="Times New Roman" w:cs="Times New Roman"/>
                <w:sz w:val="24"/>
              </w:rPr>
            </w:pPr>
            <w:r w:rsidRPr="008D74C2">
              <w:rPr>
                <w:rFonts w:ascii="Times New Roman" w:hAnsi="Times New Roman" w:cs="Times New Roman"/>
                <w:sz w:val="24"/>
              </w:rPr>
              <w:t>Aprīkojums transkraniālajai magnētiskajai vai elektromagnētiskajai stimulācijai, lai uzlabotu kognitīvo darbību</w:t>
            </w:r>
          </w:p>
        </w:tc>
      </w:tr>
    </w:tbl>
    <w:p w14:paraId="74A8845D" w14:textId="77777777" w:rsidR="009E4F36" w:rsidRPr="008D74C2" w:rsidRDefault="009E4F36" w:rsidP="00C30294">
      <w:pPr>
        <w:jc w:val="both"/>
        <w:rPr>
          <w:rFonts w:ascii="Times New Roman" w:hAnsi="Times New Roman" w:cs="Times New Roman"/>
          <w:sz w:val="24"/>
        </w:rPr>
      </w:pPr>
    </w:p>
    <w:sectPr w:rsidR="009E4F36" w:rsidRPr="008D74C2" w:rsidSect="00573E74">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77551" w14:textId="77777777" w:rsidR="00F918B8" w:rsidRPr="009E4F36" w:rsidRDefault="00F918B8">
      <w:pPr>
        <w:rPr>
          <w:noProof/>
        </w:rPr>
      </w:pPr>
      <w:r w:rsidRPr="009E4F36">
        <w:rPr>
          <w:noProof/>
        </w:rPr>
        <w:separator/>
      </w:r>
    </w:p>
  </w:endnote>
  <w:endnote w:type="continuationSeparator" w:id="0">
    <w:p w14:paraId="5FA09D20" w14:textId="77777777" w:rsidR="00F918B8" w:rsidRPr="009E4F36" w:rsidRDefault="00F918B8">
      <w:pPr>
        <w:rPr>
          <w:noProof/>
        </w:rPr>
      </w:pPr>
      <w:r w:rsidRPr="009E4F36">
        <w:rPr>
          <w:noProof/>
        </w:rPr>
        <w:continuationSeparator/>
      </w:r>
    </w:p>
  </w:endnote>
  <w:endnote w:type="continuationNotice" w:id="1">
    <w:p w14:paraId="5F372CCB" w14:textId="77777777" w:rsidR="00F918B8" w:rsidRDefault="00F91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CC0D5" w14:textId="77777777" w:rsidR="00223575" w:rsidRPr="009C04EC" w:rsidRDefault="00223575" w:rsidP="00223575">
    <w:pPr>
      <w:pStyle w:val="Header"/>
      <w:tabs>
        <w:tab w:val="left" w:pos="9072"/>
      </w:tabs>
      <w:rPr>
        <w:rStyle w:val="PageNumber"/>
        <w:rFonts w:ascii="Times New Roman" w:hAnsi="Times New Roman" w:cs="Times New Roman"/>
        <w:noProof/>
        <w:sz w:val="20"/>
        <w:szCs w:val="20"/>
        <w:u w:val="single"/>
        <w:lang w:val="en-US"/>
      </w:rPr>
    </w:pPr>
  </w:p>
  <w:p w14:paraId="3DEE92B5" w14:textId="77777777" w:rsidR="00223575" w:rsidRPr="009C04EC" w:rsidRDefault="00223575" w:rsidP="00223575">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047EEFBE" w14:textId="77777777" w:rsidR="00223575" w:rsidRPr="009C04EC" w:rsidRDefault="00223575" w:rsidP="00223575">
    <w:pPr>
      <w:pStyle w:val="Header"/>
      <w:tabs>
        <w:tab w:val="right" w:pos="9072"/>
      </w:tabs>
      <w:rPr>
        <w:rStyle w:val="PageNumber"/>
        <w:rFonts w:ascii="Times New Roman" w:hAnsi="Times New Roman" w:cs="Times New Roman"/>
        <w:noProof/>
        <w:sz w:val="20"/>
        <w:szCs w:val="20"/>
        <w:u w:val="single"/>
        <w:lang w:val="en-US"/>
      </w:rPr>
    </w:pPr>
  </w:p>
  <w:p w14:paraId="349082F2" w14:textId="39BFC86F" w:rsidR="00215731" w:rsidRPr="00223575" w:rsidRDefault="00223575" w:rsidP="00223575">
    <w:pPr>
      <w:pStyle w:val="Footer"/>
      <w:tabs>
        <w:tab w:val="clear" w:pos="4513"/>
        <w:tab w:val="center" w:pos="9072"/>
      </w:tabs>
      <w:rPr>
        <w:rFonts w:ascii="Times New Roman" w:hAnsi="Times New Roman" w:cs="Times New Roman"/>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DE9DC" w14:textId="77777777" w:rsidR="00DA4566" w:rsidRPr="009C04EC" w:rsidRDefault="00DA4566" w:rsidP="00DA4566">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6E419781" w14:textId="77777777" w:rsidR="00DA4566" w:rsidRPr="009C04EC" w:rsidRDefault="00DA4566" w:rsidP="00DA4566">
    <w:pPr>
      <w:pStyle w:val="Header"/>
      <w:tabs>
        <w:tab w:val="left" w:pos="9072"/>
      </w:tabs>
      <w:rPr>
        <w:rStyle w:val="PageNumber"/>
        <w:rFonts w:ascii="Times New Roman" w:hAnsi="Times New Roman" w:cs="Times New Roman"/>
        <w:noProof/>
        <w:sz w:val="20"/>
        <w:szCs w:val="20"/>
        <w:u w:val="single"/>
        <w:lang w:val="en-US"/>
      </w:rPr>
    </w:pPr>
  </w:p>
  <w:p w14:paraId="10447A49" w14:textId="76ACF4CD" w:rsidR="009E4F36" w:rsidRPr="00DA4566" w:rsidRDefault="00DA4566">
    <w:pPr>
      <w:pStyle w:val="Footer"/>
      <w:rPr>
        <w:rFonts w:ascii="Times New Roman" w:hAnsi="Times New Roman" w:cs="Times New Roman"/>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E78F9" w14:textId="77777777" w:rsidR="00F918B8" w:rsidRPr="009E4F36" w:rsidRDefault="00F918B8">
      <w:pPr>
        <w:rPr>
          <w:noProof/>
        </w:rPr>
      </w:pPr>
      <w:r w:rsidRPr="009E4F36">
        <w:rPr>
          <w:noProof/>
        </w:rPr>
        <w:separator/>
      </w:r>
    </w:p>
  </w:footnote>
  <w:footnote w:type="continuationSeparator" w:id="0">
    <w:p w14:paraId="2B251A43" w14:textId="77777777" w:rsidR="00F918B8" w:rsidRPr="009E4F36" w:rsidRDefault="00F918B8">
      <w:pPr>
        <w:rPr>
          <w:noProof/>
        </w:rPr>
      </w:pPr>
      <w:r w:rsidRPr="009E4F36">
        <w:rPr>
          <w:noProof/>
        </w:rPr>
        <w:continuationSeparator/>
      </w:r>
    </w:p>
  </w:footnote>
  <w:footnote w:type="continuationNotice" w:id="1">
    <w:p w14:paraId="7F9BF664" w14:textId="77777777" w:rsidR="00F918B8" w:rsidRDefault="00F918B8"/>
  </w:footnote>
  <w:footnote w:id="2">
    <w:p w14:paraId="2177F337" w14:textId="79B3AF2E" w:rsidR="003B232B" w:rsidRPr="003B232B" w:rsidRDefault="003B232B">
      <w:pPr>
        <w:pStyle w:val="FootnoteText"/>
      </w:pPr>
      <w:r>
        <w:rPr>
          <w:rStyle w:val="FootnoteReference"/>
        </w:rPr>
        <w:footnoteRef/>
      </w:r>
      <w:r>
        <w:t xml:space="preserve"> </w:t>
      </w:r>
      <w:r>
        <w:rPr>
          <w:rFonts w:ascii="Times New Roman" w:hAnsi="Times New Roman"/>
        </w:rPr>
        <w:t xml:space="preserve">Eiropas Parlamenta un Padomes 2017. gada 5. aprīļa Regula (ES) 2017/745, kas attiecas uz medicīniskām ierīcēm – </w:t>
      </w:r>
      <w:r>
        <w:rPr>
          <w:rFonts w:ascii="Times New Roman" w:hAnsi="Times New Roman"/>
          <w:u w:color="0000FF"/>
        </w:rPr>
        <w:t>http://data.europa.eu/eli/reg/2017/745/2020-04-24</w:t>
      </w:r>
      <w:r>
        <w:rPr>
          <w:rFonts w:ascii="Times New Roman" w:hAnsi="Times New Roman"/>
        </w:rPr>
        <w:t>.</w:t>
      </w:r>
    </w:p>
  </w:footnote>
  <w:footnote w:id="3">
    <w:p w14:paraId="1A664985" w14:textId="297C2C16" w:rsidR="003B232B" w:rsidRPr="003B232B" w:rsidRDefault="003B232B" w:rsidP="003B232B">
      <w:pPr>
        <w:jc w:val="both"/>
        <w:rPr>
          <w:rFonts w:ascii="Times New Roman" w:hAnsi="Times New Roman"/>
          <w:noProof/>
          <w:sz w:val="20"/>
          <w:szCs w:val="18"/>
        </w:rPr>
      </w:pPr>
      <w:r>
        <w:rPr>
          <w:rStyle w:val="FootnoteReference"/>
        </w:rPr>
        <w:footnoteRef/>
      </w:r>
      <w:r>
        <w:t xml:space="preserve"> </w:t>
      </w:r>
      <w:r>
        <w:rPr>
          <w:rFonts w:ascii="Times New Roman" w:hAnsi="Times New Roman"/>
          <w:i/>
          <w:iCs/>
          <w:sz w:val="20"/>
        </w:rPr>
        <w:t>MDR</w:t>
      </w:r>
      <w:r>
        <w:rPr>
          <w:rFonts w:ascii="Times New Roman" w:hAnsi="Times New Roman"/>
          <w:sz w:val="20"/>
        </w:rPr>
        <w:t xml:space="preserve"> 1. panta 2. punkts.</w:t>
      </w:r>
    </w:p>
  </w:footnote>
  <w:footnote w:id="4">
    <w:p w14:paraId="3808B6A9" w14:textId="28EA4EEE" w:rsidR="003B232B" w:rsidRPr="003B232B" w:rsidRDefault="003B232B">
      <w:pPr>
        <w:pStyle w:val="FootnoteText"/>
      </w:pPr>
      <w:r>
        <w:rPr>
          <w:rStyle w:val="FootnoteReference"/>
        </w:rPr>
        <w:footnoteRef/>
      </w:r>
      <w:r>
        <w:t xml:space="preserve"> </w:t>
      </w:r>
      <w:r>
        <w:rPr>
          <w:rFonts w:ascii="Times New Roman" w:hAnsi="Times New Roman"/>
        </w:rPr>
        <w:t xml:space="preserve">Komisijas Īstenošanas regula (ES) 2022/2346, ar ko noteic kopīgas specifikācijas tādu Eiropas Parlamenta un Padomes Regulas (ES) 2017/745 par medicīniskām ierīcēm XVI pielikuma sarakstā norādīto izstrādājumu grupām, kas nav paredzēti medicīniskam nolūkam – </w:t>
      </w:r>
      <w:r>
        <w:rPr>
          <w:rFonts w:ascii="Times New Roman" w:hAnsi="Times New Roman"/>
          <w:u w:color="0000FF"/>
        </w:rPr>
        <w:t>http://data.europa.eu/eli/reg_impl/2022/2346/oj</w:t>
      </w:r>
      <w:r>
        <w:rPr>
          <w:rFonts w:ascii="Times New Roman" w:hAnsi="Times New Roman"/>
        </w:rPr>
        <w:t>.</w:t>
      </w:r>
    </w:p>
  </w:footnote>
  <w:footnote w:id="5">
    <w:p w14:paraId="64E18195" w14:textId="2F1B4641" w:rsidR="003B232B" w:rsidRPr="003B232B" w:rsidRDefault="003B232B" w:rsidP="003B232B">
      <w:pPr>
        <w:jc w:val="both"/>
        <w:rPr>
          <w:rFonts w:ascii="Times New Roman" w:hAnsi="Times New Roman"/>
          <w:noProof/>
          <w:sz w:val="20"/>
          <w:szCs w:val="18"/>
        </w:rPr>
      </w:pPr>
      <w:r>
        <w:rPr>
          <w:rStyle w:val="FootnoteReference"/>
        </w:rPr>
        <w:footnoteRef/>
      </w:r>
      <w:r>
        <w:t xml:space="preserve"> </w:t>
      </w:r>
      <w:r>
        <w:rPr>
          <w:rFonts w:ascii="Times New Roman" w:hAnsi="Times New Roman"/>
          <w:i/>
          <w:iCs/>
          <w:sz w:val="20"/>
        </w:rPr>
        <w:t>MDR</w:t>
      </w:r>
      <w:r>
        <w:rPr>
          <w:rFonts w:ascii="Times New Roman" w:hAnsi="Times New Roman"/>
          <w:sz w:val="20"/>
        </w:rPr>
        <w:t xml:space="preserve"> 1. panta 4. punkts.</w:t>
      </w:r>
    </w:p>
  </w:footnote>
  <w:footnote w:id="6">
    <w:p w14:paraId="06508127" w14:textId="1A14CFDE" w:rsidR="003B232B" w:rsidRPr="003B232B" w:rsidRDefault="003B232B" w:rsidP="003B232B">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Komisijas 2022. gada 1. decembra Īstenošanas regula (ES) 2022/2347, ar kuru paredz noteikumus par to, kā Eiropas Parlamenta un Padomes Regulu (ES) 2017/745 piemēro attiecībā uz noteiktu nemedicīniskam nolūkam paredzētu aktīvo izstrādājumu grupu pārklasificēšanu – </w:t>
      </w:r>
      <w:r>
        <w:rPr>
          <w:rFonts w:ascii="Times New Roman" w:hAnsi="Times New Roman"/>
          <w:sz w:val="20"/>
          <w:u w:color="0000FF"/>
        </w:rPr>
        <w:t>http://data.europa.eu/eli/reg_impl/2022/2347/oj</w:t>
      </w:r>
      <w:r>
        <w:rPr>
          <w:rFonts w:ascii="Times New Roman" w:hAnsi="Times New Roman"/>
          <w:sz w:val="20"/>
        </w:rPr>
        <w:t>.</w:t>
      </w:r>
    </w:p>
  </w:footnote>
  <w:footnote w:id="7">
    <w:p w14:paraId="7F349580" w14:textId="1386165E" w:rsidR="00195897" w:rsidRPr="00195897" w:rsidRDefault="00195897">
      <w:pPr>
        <w:pStyle w:val="FootnoteText"/>
      </w:pPr>
      <w:r>
        <w:rPr>
          <w:rStyle w:val="FootnoteReference"/>
        </w:rPr>
        <w:footnoteRef/>
      </w:r>
      <w:r>
        <w:t xml:space="preserve"> </w:t>
      </w:r>
      <w:r>
        <w:rPr>
          <w:rFonts w:ascii="Times New Roman" w:hAnsi="Times New Roman"/>
          <w:u w:color="0000FF"/>
        </w:rPr>
        <w:t>https://health.ec.europa.eu/medical-devices-sector/new-regulations/guidance-mdcg-endorsed-documents-and-other-guidance_en#sec1</w:t>
      </w:r>
      <w:r>
        <w:rPr>
          <w:rFonts w:ascii="Times New Roman" w:hAnsi="Times New Roman"/>
        </w:rPr>
        <w:t>.</w:t>
      </w:r>
    </w:p>
  </w:footnote>
  <w:footnote w:id="8">
    <w:p w14:paraId="228840CA" w14:textId="751D1472" w:rsidR="00195897" w:rsidRPr="00195897" w:rsidRDefault="00195897" w:rsidP="00195897">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Izstrādājuma normatīvā statusa noteikšana, izlemjot, vai uz to attiecas vai neattiecas Eiropas Parlamenta un Padomes 2017. gada 5. aprīļa Regula (ES) 2017/745 par medicīniskām ierīcēm.</w:t>
      </w:r>
    </w:p>
  </w:footnote>
  <w:footnote w:id="9">
    <w:p w14:paraId="3809A8A9" w14:textId="602BADDD" w:rsidR="004B3BE4" w:rsidRPr="004B3BE4" w:rsidRDefault="004B3BE4" w:rsidP="004B3BE4">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Manual on borderline and classification for medical devices under Regulation (EU) 2017/745 on medical devices and Regulation (EU) 2017/746 on in vitro diagnostic medical devices – </w:t>
      </w:r>
      <w:r>
        <w:rPr>
          <w:rFonts w:ascii="Times New Roman" w:hAnsi="Times New Roman"/>
          <w:sz w:val="20"/>
          <w:u w:color="0000FF"/>
        </w:rPr>
        <w:t>https://health.ec.europa.eu/system/files/2022-12/md_borderline_manual_12-2022_en.pdf</w:t>
      </w:r>
      <w:r>
        <w:rPr>
          <w:rFonts w:ascii="Times New Roman" w:hAnsi="Times New Roman"/>
          <w:sz w:val="20"/>
        </w:rPr>
        <w:t>.</w:t>
      </w:r>
    </w:p>
  </w:footnote>
  <w:footnote w:id="10">
    <w:p w14:paraId="7012C1EA" w14:textId="6DB281D5" w:rsidR="00474661" w:rsidRPr="00BB5703" w:rsidRDefault="00474661" w:rsidP="00BB5703">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MDCG 2022-5 “Guidance on borderline between medical devices and medicinal products under Regulation (EU) 2017/745 on medical devices” – </w:t>
      </w:r>
      <w:r>
        <w:rPr>
          <w:rFonts w:ascii="Times New Roman" w:hAnsi="Times New Roman"/>
          <w:sz w:val="20"/>
          <w:u w:color="0000FF"/>
        </w:rPr>
        <w:t>https://health.ec.europa.eu/system/files/2022-04/mdcg_2022-5_en_0.pdf</w:t>
      </w:r>
      <w:r>
        <w:rPr>
          <w:rFonts w:ascii="Times New Roman" w:hAnsi="Times New Roman"/>
          <w:sz w:val="20"/>
        </w:rPr>
        <w:t>.</w:t>
      </w:r>
    </w:p>
  </w:footnote>
  <w:footnote w:id="11">
    <w:p w14:paraId="0E19D303" w14:textId="1D63D804" w:rsidR="00BB5703" w:rsidRPr="00BB5703" w:rsidRDefault="00BB5703" w:rsidP="00BB5703">
      <w:pPr>
        <w:tabs>
          <w:tab w:val="left" w:pos="631"/>
          <w:tab w:val="left" w:pos="2039"/>
          <w:tab w:val="left" w:pos="2940"/>
          <w:tab w:val="left" w:pos="3283"/>
          <w:tab w:val="left" w:pos="3868"/>
          <w:tab w:val="left" w:pos="4562"/>
          <w:tab w:val="left" w:pos="5377"/>
          <w:tab w:val="left" w:pos="5870"/>
          <w:tab w:val="left" w:pos="6424"/>
          <w:tab w:val="left" w:pos="8014"/>
          <w:tab w:val="left" w:pos="8462"/>
          <w:tab w:val="left" w:pos="8971"/>
          <w:tab w:val="left" w:pos="9896"/>
          <w:tab w:val="left" w:pos="10577"/>
          <w:tab w:val="left" w:pos="11274"/>
          <w:tab w:val="left" w:pos="11617"/>
        </w:tab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COMMISSION NOTICE – The ‘Blue Guide’ on the implementation of EU product rules 2022 – </w:t>
      </w:r>
      <w:r>
        <w:rPr>
          <w:rFonts w:ascii="Times New Roman" w:hAnsi="Times New Roman"/>
          <w:sz w:val="20"/>
          <w:u w:color="0000FF"/>
        </w:rPr>
        <w:t>https://eur-lex.europa.eu/legal-</w:t>
      </w:r>
      <w:r>
        <w:rPr>
          <w:rFonts w:ascii="Times New Roman" w:hAnsi="Times New Roman"/>
          <w:sz w:val="20"/>
        </w:rPr>
        <w:t xml:space="preserve"> </w:t>
      </w:r>
      <w:r>
        <w:rPr>
          <w:rFonts w:ascii="Times New Roman" w:hAnsi="Times New Roman"/>
          <w:sz w:val="20"/>
          <w:u w:color="0000FF"/>
        </w:rPr>
        <w:t>content/EN/TXT/?uri=CELEX%3A52022XC0629%2804%29&amp;qid=1683791254087</w:t>
      </w:r>
      <w:r>
        <w:rPr>
          <w:rFonts w:ascii="Times New Roman" w:hAnsi="Times New Roman"/>
          <w:sz w:val="20"/>
        </w:rPr>
        <w:t>.</w:t>
      </w:r>
    </w:p>
  </w:footnote>
  <w:footnote w:id="12">
    <w:p w14:paraId="6E1F14D0" w14:textId="7625D66A" w:rsidR="006C78AB" w:rsidRPr="006C78AB" w:rsidRDefault="006C78AB" w:rsidP="006C78AB">
      <w:pPr>
        <w:jc w:val="both"/>
        <w:rPr>
          <w:rFonts w:ascii="Times New Roman" w:hAnsi="Times New Roman"/>
          <w:noProof/>
          <w:sz w:val="20"/>
          <w:szCs w:val="18"/>
        </w:rPr>
      </w:pPr>
      <w:r>
        <w:rPr>
          <w:rStyle w:val="FootnoteReference"/>
        </w:rPr>
        <w:footnoteRef/>
      </w:r>
      <w:r>
        <w:t xml:space="preserve"> </w:t>
      </w:r>
      <w:r>
        <w:rPr>
          <w:rFonts w:ascii="Times New Roman" w:hAnsi="Times New Roman"/>
          <w:i/>
          <w:iCs/>
          <w:sz w:val="20"/>
        </w:rPr>
        <w:t>MDR</w:t>
      </w:r>
      <w:r>
        <w:rPr>
          <w:rFonts w:ascii="Times New Roman" w:hAnsi="Times New Roman"/>
          <w:sz w:val="20"/>
        </w:rPr>
        <w:t xml:space="preserve"> 12. apsvērums: “Šī regula būtu jāpiemēro konkrētām izstrādājumu grupām, kuri saskaņā ar ražotāja sniegto informāciju ir izmantojami tikai estētiskam vai citam ar medicīnu nesaistītam nolūkam, bet kuri darbības un riska profila ziņā ir pielīdzināmi medicīniskām ierīcēm. (..)”</w:t>
      </w:r>
    </w:p>
  </w:footnote>
  <w:footnote w:id="13">
    <w:p w14:paraId="4F8D8E2B" w14:textId="52F43FF4" w:rsidR="00E72F23" w:rsidRPr="00E72F23" w:rsidRDefault="00E72F23" w:rsidP="00E72F23">
      <w:pPr>
        <w:jc w:val="both"/>
        <w:rPr>
          <w:rFonts w:ascii="Times New Roman" w:hAnsi="Times New Roman"/>
          <w:noProof/>
          <w:sz w:val="20"/>
          <w:szCs w:val="18"/>
        </w:rPr>
      </w:pPr>
      <w:r>
        <w:rPr>
          <w:rStyle w:val="FootnoteReference"/>
        </w:rPr>
        <w:footnoteRef/>
      </w:r>
      <w:r>
        <w:t xml:space="preserve"> </w:t>
      </w:r>
      <w:r>
        <w:rPr>
          <w:rFonts w:ascii="Times New Roman" w:hAnsi="Times New Roman"/>
          <w:i/>
          <w:iCs/>
          <w:sz w:val="20"/>
        </w:rPr>
        <w:t>MDR</w:t>
      </w:r>
      <w:r>
        <w:rPr>
          <w:rFonts w:ascii="Times New Roman" w:hAnsi="Times New Roman"/>
          <w:sz w:val="20"/>
        </w:rPr>
        <w:t xml:space="preserve"> 1. panta 3. punkts.</w:t>
      </w:r>
    </w:p>
  </w:footnote>
  <w:footnote w:id="14">
    <w:p w14:paraId="22A93726" w14:textId="6E827FAF" w:rsidR="00E72F23" w:rsidRPr="00E72F23" w:rsidRDefault="00E72F23" w:rsidP="00E72F23">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Piemēram, enerģijas emisijas ierobežojums līdz konkrētam viļņu garuma diapazonam medicīniskam nolūkam (piemēram, aktīniskās keratozes ārstēšanai) izmantotai lāzera iekārtai var bojāt ādu gadījumā, ja šo lāzera iekārtu izmanto nemedicīniskam nolūkam (piemēram, apmatojuma likvidēšanai), kam nepieciešams, lai enerģija tiktu izstarota citā viļņu garuma diapazonā. Savukārt enerģijas ierobežojums nemedicīniskiem nolūkiem izmantotai lāzera iekārtai var negatīvi ietekmēt šīs ierīces veiktspēju, kad tā tiek izmantota medicīniskiem nolūkiem.</w:t>
      </w:r>
    </w:p>
  </w:footnote>
  <w:footnote w:id="15">
    <w:p w14:paraId="2672E4FB" w14:textId="74702475" w:rsidR="00FB59CE" w:rsidRPr="00FB59CE" w:rsidRDefault="00FB59CE" w:rsidP="00FB59CE">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Piemēros minētā elektromagnētiskā starojuma viļņu garumu diapazoni ir aptuveni šādi: ultravioletais starojums – no 100 nm līdz 400 nm; redzamās gaismas starojums – no 400 nm līdz 780 nm; infrasarkanais starojums – no 780 nm līdz 1 000 000 nm (vai 1,0 mm).</w:t>
      </w:r>
    </w:p>
  </w:footnote>
  <w:footnote w:id="16">
    <w:p w14:paraId="13774A1C" w14:textId="1D7803D5" w:rsidR="00FB59CE" w:rsidRPr="00FB59CE" w:rsidRDefault="00FB59CE" w:rsidP="00FB59CE">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Elektromagnētiskā spektra daļa, kas ietver frekvenču diapazonu aptuveni no 100 kHz līdz 300 GHz.</w:t>
      </w:r>
    </w:p>
  </w:footnote>
  <w:footnote w:id="17">
    <w:p w14:paraId="340255E6" w14:textId="7BD118B6" w:rsidR="00FB59CE" w:rsidRPr="00FB59CE" w:rsidRDefault="00FB59CE" w:rsidP="00FB59CE">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Iespējamo iedarbību var radīt kavitācija, iztvaicēšana, triecienviļņi, dielektriķa caursite, termiskā iedarbība vai fotoķīmiskā iedarbība. Šis uzskaitījums nav pilnīgs.</w:t>
      </w:r>
    </w:p>
  </w:footnote>
  <w:footnote w:id="18">
    <w:p w14:paraId="1B1E94AF" w14:textId="48AC518B" w:rsidR="00832858" w:rsidRPr="00832858" w:rsidRDefault="00832858" w:rsidP="00832858">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Iemesli izslēgšanai no kopīgo specifikāciju tvēruma ir tieši norādīti īstenošanas tiesību akta 4., 5. un 6. apsvērumā.</w:t>
      </w:r>
    </w:p>
  </w:footnote>
  <w:footnote w:id="19">
    <w:p w14:paraId="49DAA76F" w14:textId="7E6CFE1A" w:rsidR="00AF5174" w:rsidRPr="00AF5174" w:rsidRDefault="00AF5174" w:rsidP="00AF5174">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Komisijas 2022. gada 1. decembra Īstenošanas regula (ES) 2022/2347, ar kuru paredz noteikumus par to, kā Eiropas Parlamenta un Padomes Regulu (ES) 2017/745 piemēro attiecībā uz noteiktu nemedicīniskam nolūkam paredzētu aktīvo izstrādājumu grupu pārklasificēšanu – </w:t>
      </w:r>
      <w:r>
        <w:rPr>
          <w:rFonts w:ascii="Times New Roman" w:hAnsi="Times New Roman"/>
          <w:sz w:val="20"/>
          <w:u w:color="0000FF"/>
        </w:rPr>
        <w:t>http://data.europa.eu/eli/reg_impl/2022/2347/oj</w:t>
      </w:r>
      <w:r>
        <w:rPr>
          <w:rFonts w:ascii="Times New Roman" w:hAnsi="Times New Roman"/>
          <w:sz w:val="20"/>
        </w:rPr>
        <w:t>.</w:t>
      </w:r>
    </w:p>
  </w:footnote>
  <w:footnote w:id="20">
    <w:p w14:paraId="00E480D7" w14:textId="2FA12FBB" w:rsidR="00AF5174" w:rsidRPr="00AF5174" w:rsidRDefault="00AF5174" w:rsidP="00AF5174">
      <w:pPr>
        <w:jc w:val="both"/>
        <w:rPr>
          <w:rFonts w:ascii="Times New Roman" w:hAnsi="Times New Roman"/>
          <w:noProof/>
          <w:sz w:val="20"/>
          <w:szCs w:val="18"/>
        </w:rPr>
      </w:pPr>
      <w:r>
        <w:rPr>
          <w:rStyle w:val="FootnoteReference"/>
        </w:rPr>
        <w:footnoteRef/>
      </w:r>
      <w:r>
        <w:t xml:space="preserve"> </w:t>
      </w:r>
      <w:r>
        <w:rPr>
          <w:rFonts w:ascii="Times New Roman" w:hAnsi="Times New Roman"/>
          <w:i/>
          <w:iCs/>
          <w:sz w:val="20"/>
        </w:rPr>
        <w:t>MDR</w:t>
      </w:r>
      <w:r>
        <w:rPr>
          <w:rFonts w:ascii="Times New Roman" w:hAnsi="Times New Roman"/>
          <w:sz w:val="20"/>
        </w:rPr>
        <w:t xml:space="preserve"> VIII pielikuma 3.5. punkts.</w:t>
      </w:r>
    </w:p>
  </w:footnote>
  <w:footnote w:id="21">
    <w:p w14:paraId="040DAF9C" w14:textId="19F1D707" w:rsidR="001365BC" w:rsidRPr="001365BC" w:rsidRDefault="001365BC" w:rsidP="001365BC">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Tetovēšanas izstrādājumi un pīrsingi jau ir izslēgti no </w:t>
      </w:r>
      <w:r>
        <w:rPr>
          <w:rFonts w:ascii="Times New Roman" w:hAnsi="Times New Roman"/>
          <w:i/>
          <w:iCs/>
          <w:sz w:val="20"/>
        </w:rPr>
        <w:t>MDR</w:t>
      </w:r>
      <w:r>
        <w:rPr>
          <w:rFonts w:ascii="Times New Roman" w:hAnsi="Times New Roman"/>
          <w:sz w:val="20"/>
        </w:rPr>
        <w:t xml:space="preserve"> XVI pielikuma 2. punkta.</w:t>
      </w:r>
    </w:p>
  </w:footnote>
  <w:footnote w:id="22">
    <w:p w14:paraId="4C3FCE65" w14:textId="7AAF522A" w:rsidR="005C14CB" w:rsidRPr="005C14CB" w:rsidRDefault="005C14CB" w:rsidP="005C14CB">
      <w:pPr>
        <w:keepNext/>
        <w:keepLines/>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Vielas, vielu kombinācijas un izstrādājumi, kas paredzēti tetovēšanas izstrādājumiem, jau ir izslēgti no </w:t>
      </w:r>
      <w:r>
        <w:rPr>
          <w:rFonts w:ascii="Times New Roman" w:hAnsi="Times New Roman"/>
          <w:i/>
          <w:iCs/>
          <w:sz w:val="20"/>
        </w:rPr>
        <w:t>MDR</w:t>
      </w:r>
      <w:r>
        <w:rPr>
          <w:rFonts w:ascii="Times New Roman" w:hAnsi="Times New Roman"/>
          <w:sz w:val="20"/>
        </w:rPr>
        <w:t xml:space="preserve"> regulas XVI pielikuma 3. punkta.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9FA8B" w14:textId="77777777" w:rsidR="00F50EB9" w:rsidRPr="009C04EC" w:rsidRDefault="00F50EB9" w:rsidP="00F50EB9">
    <w:pPr>
      <w:pStyle w:val="Header"/>
      <w:rPr>
        <w:rStyle w:val="PageNumber"/>
        <w:noProof/>
        <w:sz w:val="18"/>
        <w:szCs w:val="18"/>
        <w:u w:val="single"/>
        <w:lang w:val="en-US"/>
      </w:rPr>
    </w:pPr>
  </w:p>
  <w:p w14:paraId="700D8F51" w14:textId="77777777" w:rsidR="00F50EB9" w:rsidRPr="009C04EC" w:rsidRDefault="00F50EB9" w:rsidP="00F50EB9">
    <w:pPr>
      <w:pStyle w:val="Header"/>
      <w:tabs>
        <w:tab w:val="clear" w:pos="4513"/>
        <w:tab w:val="center" w:pos="9072"/>
      </w:tabs>
      <w:rPr>
        <w:noProof/>
        <w:sz w:val="18"/>
        <w:szCs w:val="18"/>
        <w:u w:val="single"/>
        <w:lang w:val="en-US"/>
      </w:rPr>
    </w:pPr>
    <w:r w:rsidRPr="009C04EC">
      <w:rPr>
        <w:noProof/>
        <w:sz w:val="18"/>
        <w:szCs w:val="18"/>
        <w:u w:val="single"/>
        <w:lang w:val="en-US"/>
      </w:rPr>
      <w:tab/>
    </w:r>
  </w:p>
  <w:p w14:paraId="349082F1" w14:textId="47D692B1" w:rsidR="00215731" w:rsidRPr="00DA4566" w:rsidRDefault="00215731" w:rsidP="00DA45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CA83E" w14:textId="77777777" w:rsidR="00EB5DD6" w:rsidRPr="009C04EC" w:rsidRDefault="00EB5DD6" w:rsidP="00EB5DD6">
    <w:pPr>
      <w:pStyle w:val="Header"/>
      <w:pBdr>
        <w:bottom w:val="single" w:sz="12" w:space="1" w:color="auto"/>
      </w:pBdr>
      <w:rPr>
        <w:noProof/>
        <w:sz w:val="18"/>
        <w:szCs w:val="18"/>
        <w:lang w:val="en-US"/>
      </w:rPr>
    </w:pPr>
  </w:p>
  <w:p w14:paraId="0EA739D4" w14:textId="77777777" w:rsidR="009E4F36" w:rsidRDefault="009E4F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A51DC"/>
    <w:multiLevelType w:val="hybridMultilevel"/>
    <w:tmpl w:val="720A4AA0"/>
    <w:lvl w:ilvl="0" w:tplc="56C674EA">
      <w:numFmt w:val="bullet"/>
      <w:lvlText w:val="-"/>
      <w:lvlJc w:val="left"/>
      <w:pPr>
        <w:ind w:left="464" w:hanging="361"/>
      </w:pPr>
      <w:rPr>
        <w:rFonts w:ascii="Calibri" w:eastAsia="Calibri" w:hAnsi="Calibri" w:cs="Calibri" w:hint="default"/>
        <w:b w:val="0"/>
        <w:bCs w:val="0"/>
        <w:i w:val="0"/>
        <w:iCs w:val="0"/>
        <w:spacing w:val="0"/>
        <w:w w:val="100"/>
        <w:sz w:val="22"/>
        <w:szCs w:val="22"/>
        <w:lang w:val="en-US" w:eastAsia="en-US" w:bidi="ar-SA"/>
      </w:rPr>
    </w:lvl>
    <w:lvl w:ilvl="1" w:tplc="C6D0A4E0">
      <w:numFmt w:val="bullet"/>
      <w:lvlText w:val="•"/>
      <w:lvlJc w:val="left"/>
      <w:pPr>
        <w:ind w:left="876" w:hanging="361"/>
      </w:pPr>
      <w:rPr>
        <w:rFonts w:hint="default"/>
        <w:lang w:val="en-US" w:eastAsia="en-US" w:bidi="ar-SA"/>
      </w:rPr>
    </w:lvl>
    <w:lvl w:ilvl="2" w:tplc="AEEE8DD2">
      <w:numFmt w:val="bullet"/>
      <w:lvlText w:val="•"/>
      <w:lvlJc w:val="left"/>
      <w:pPr>
        <w:ind w:left="1293" w:hanging="361"/>
      </w:pPr>
      <w:rPr>
        <w:rFonts w:hint="default"/>
        <w:lang w:val="en-US" w:eastAsia="en-US" w:bidi="ar-SA"/>
      </w:rPr>
    </w:lvl>
    <w:lvl w:ilvl="3" w:tplc="1EDC644E">
      <w:numFmt w:val="bullet"/>
      <w:lvlText w:val="•"/>
      <w:lvlJc w:val="left"/>
      <w:pPr>
        <w:ind w:left="1710" w:hanging="361"/>
      </w:pPr>
      <w:rPr>
        <w:rFonts w:hint="default"/>
        <w:lang w:val="en-US" w:eastAsia="en-US" w:bidi="ar-SA"/>
      </w:rPr>
    </w:lvl>
    <w:lvl w:ilvl="4" w:tplc="7CCE4A84">
      <w:numFmt w:val="bullet"/>
      <w:lvlText w:val="•"/>
      <w:lvlJc w:val="left"/>
      <w:pPr>
        <w:ind w:left="2127" w:hanging="361"/>
      </w:pPr>
      <w:rPr>
        <w:rFonts w:hint="default"/>
        <w:lang w:val="en-US" w:eastAsia="en-US" w:bidi="ar-SA"/>
      </w:rPr>
    </w:lvl>
    <w:lvl w:ilvl="5" w:tplc="177895D6">
      <w:numFmt w:val="bullet"/>
      <w:lvlText w:val="•"/>
      <w:lvlJc w:val="left"/>
      <w:pPr>
        <w:ind w:left="2544" w:hanging="361"/>
      </w:pPr>
      <w:rPr>
        <w:rFonts w:hint="default"/>
        <w:lang w:val="en-US" w:eastAsia="en-US" w:bidi="ar-SA"/>
      </w:rPr>
    </w:lvl>
    <w:lvl w:ilvl="6" w:tplc="B9301A6C">
      <w:numFmt w:val="bullet"/>
      <w:lvlText w:val="•"/>
      <w:lvlJc w:val="left"/>
      <w:pPr>
        <w:ind w:left="2961" w:hanging="361"/>
      </w:pPr>
      <w:rPr>
        <w:rFonts w:hint="default"/>
        <w:lang w:val="en-US" w:eastAsia="en-US" w:bidi="ar-SA"/>
      </w:rPr>
    </w:lvl>
    <w:lvl w:ilvl="7" w:tplc="FF3C5D5C">
      <w:numFmt w:val="bullet"/>
      <w:lvlText w:val="•"/>
      <w:lvlJc w:val="left"/>
      <w:pPr>
        <w:ind w:left="3378" w:hanging="361"/>
      </w:pPr>
      <w:rPr>
        <w:rFonts w:hint="default"/>
        <w:lang w:val="en-US" w:eastAsia="en-US" w:bidi="ar-SA"/>
      </w:rPr>
    </w:lvl>
    <w:lvl w:ilvl="8" w:tplc="F318798E">
      <w:numFmt w:val="bullet"/>
      <w:lvlText w:val="•"/>
      <w:lvlJc w:val="left"/>
      <w:pPr>
        <w:ind w:left="3795" w:hanging="361"/>
      </w:pPr>
      <w:rPr>
        <w:rFonts w:hint="default"/>
        <w:lang w:val="en-US" w:eastAsia="en-US" w:bidi="ar-SA"/>
      </w:rPr>
    </w:lvl>
  </w:abstractNum>
  <w:abstractNum w:abstractNumId="1" w15:restartNumberingAfterBreak="0">
    <w:nsid w:val="143E3FD0"/>
    <w:multiLevelType w:val="hybridMultilevel"/>
    <w:tmpl w:val="3552E62E"/>
    <w:lvl w:ilvl="0" w:tplc="C5ACFE56">
      <w:numFmt w:val="bullet"/>
      <w:lvlText w:val=""/>
      <w:lvlJc w:val="left"/>
      <w:pPr>
        <w:ind w:left="843" w:hanging="360"/>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2" w15:restartNumberingAfterBreak="0">
    <w:nsid w:val="232C1166"/>
    <w:multiLevelType w:val="hybridMultilevel"/>
    <w:tmpl w:val="5F04A06E"/>
    <w:lvl w:ilvl="0" w:tplc="2D509C90">
      <w:numFmt w:val="bullet"/>
      <w:lvlText w:val=""/>
      <w:lvlJc w:val="left"/>
      <w:pPr>
        <w:ind w:left="435" w:hanging="360"/>
      </w:pPr>
      <w:rPr>
        <w:rFonts w:ascii="Symbol" w:eastAsia="Symbol" w:hAnsi="Symbol" w:cs="Symbol" w:hint="default"/>
        <w:b w:val="0"/>
        <w:bCs w:val="0"/>
        <w:i w:val="0"/>
        <w:iCs w:val="0"/>
        <w:spacing w:val="0"/>
        <w:w w:val="100"/>
        <w:sz w:val="22"/>
        <w:szCs w:val="22"/>
        <w:lang w:val="en-US" w:eastAsia="en-US" w:bidi="ar-SA"/>
      </w:rPr>
    </w:lvl>
    <w:lvl w:ilvl="1" w:tplc="CC3A4B88">
      <w:numFmt w:val="bullet"/>
      <w:lvlText w:val="•"/>
      <w:lvlJc w:val="left"/>
      <w:pPr>
        <w:ind w:left="877" w:hanging="360"/>
      </w:pPr>
      <w:rPr>
        <w:rFonts w:hint="default"/>
        <w:lang w:val="en-US" w:eastAsia="en-US" w:bidi="ar-SA"/>
      </w:rPr>
    </w:lvl>
    <w:lvl w:ilvl="2" w:tplc="1BBEB88E">
      <w:numFmt w:val="bullet"/>
      <w:lvlText w:val="•"/>
      <w:lvlJc w:val="left"/>
      <w:pPr>
        <w:ind w:left="1314" w:hanging="360"/>
      </w:pPr>
      <w:rPr>
        <w:rFonts w:hint="default"/>
        <w:lang w:val="en-US" w:eastAsia="en-US" w:bidi="ar-SA"/>
      </w:rPr>
    </w:lvl>
    <w:lvl w:ilvl="3" w:tplc="CAE65354">
      <w:numFmt w:val="bullet"/>
      <w:lvlText w:val="•"/>
      <w:lvlJc w:val="left"/>
      <w:pPr>
        <w:ind w:left="1751" w:hanging="360"/>
      </w:pPr>
      <w:rPr>
        <w:rFonts w:hint="default"/>
        <w:lang w:val="en-US" w:eastAsia="en-US" w:bidi="ar-SA"/>
      </w:rPr>
    </w:lvl>
    <w:lvl w:ilvl="4" w:tplc="2BD4F27A">
      <w:numFmt w:val="bullet"/>
      <w:lvlText w:val="•"/>
      <w:lvlJc w:val="left"/>
      <w:pPr>
        <w:ind w:left="2188" w:hanging="360"/>
      </w:pPr>
      <w:rPr>
        <w:rFonts w:hint="default"/>
        <w:lang w:val="en-US" w:eastAsia="en-US" w:bidi="ar-SA"/>
      </w:rPr>
    </w:lvl>
    <w:lvl w:ilvl="5" w:tplc="E24E4C4E">
      <w:numFmt w:val="bullet"/>
      <w:lvlText w:val="•"/>
      <w:lvlJc w:val="left"/>
      <w:pPr>
        <w:ind w:left="2625" w:hanging="360"/>
      </w:pPr>
      <w:rPr>
        <w:rFonts w:hint="default"/>
        <w:lang w:val="en-US" w:eastAsia="en-US" w:bidi="ar-SA"/>
      </w:rPr>
    </w:lvl>
    <w:lvl w:ilvl="6" w:tplc="C7BE79BE">
      <w:numFmt w:val="bullet"/>
      <w:lvlText w:val="•"/>
      <w:lvlJc w:val="left"/>
      <w:pPr>
        <w:ind w:left="3062" w:hanging="360"/>
      </w:pPr>
      <w:rPr>
        <w:rFonts w:hint="default"/>
        <w:lang w:val="en-US" w:eastAsia="en-US" w:bidi="ar-SA"/>
      </w:rPr>
    </w:lvl>
    <w:lvl w:ilvl="7" w:tplc="D8DE4C58">
      <w:numFmt w:val="bullet"/>
      <w:lvlText w:val="•"/>
      <w:lvlJc w:val="left"/>
      <w:pPr>
        <w:ind w:left="3499" w:hanging="360"/>
      </w:pPr>
      <w:rPr>
        <w:rFonts w:hint="default"/>
        <w:lang w:val="en-US" w:eastAsia="en-US" w:bidi="ar-SA"/>
      </w:rPr>
    </w:lvl>
    <w:lvl w:ilvl="8" w:tplc="20FCD938">
      <w:numFmt w:val="bullet"/>
      <w:lvlText w:val="•"/>
      <w:lvlJc w:val="left"/>
      <w:pPr>
        <w:ind w:left="3936" w:hanging="360"/>
      </w:pPr>
      <w:rPr>
        <w:rFonts w:hint="default"/>
        <w:lang w:val="en-US" w:eastAsia="en-US" w:bidi="ar-SA"/>
      </w:rPr>
    </w:lvl>
  </w:abstractNum>
  <w:abstractNum w:abstractNumId="3" w15:restartNumberingAfterBreak="0">
    <w:nsid w:val="26BD6B92"/>
    <w:multiLevelType w:val="hybridMultilevel"/>
    <w:tmpl w:val="3E2EC9C2"/>
    <w:lvl w:ilvl="0" w:tplc="C5ACFE56">
      <w:numFmt w:val="bullet"/>
      <w:lvlText w:val=""/>
      <w:lvlJc w:val="left"/>
      <w:pPr>
        <w:ind w:left="438" w:hanging="360"/>
      </w:pPr>
      <w:rPr>
        <w:rFonts w:ascii="Symbol" w:eastAsia="Symbol" w:hAnsi="Symbol" w:cs="Symbol" w:hint="default"/>
        <w:b w:val="0"/>
        <w:bCs w:val="0"/>
        <w:i w:val="0"/>
        <w:iCs w:val="0"/>
        <w:spacing w:val="0"/>
        <w:w w:val="100"/>
        <w:sz w:val="22"/>
        <w:szCs w:val="22"/>
        <w:lang w:val="en-US" w:eastAsia="en-US" w:bidi="ar-SA"/>
      </w:rPr>
    </w:lvl>
    <w:lvl w:ilvl="1" w:tplc="BB82FE4E">
      <w:numFmt w:val="bullet"/>
      <w:lvlText w:val="•"/>
      <w:lvlJc w:val="left"/>
      <w:pPr>
        <w:ind w:left="877" w:hanging="360"/>
      </w:pPr>
      <w:rPr>
        <w:rFonts w:hint="default"/>
        <w:lang w:val="en-US" w:eastAsia="en-US" w:bidi="ar-SA"/>
      </w:rPr>
    </w:lvl>
    <w:lvl w:ilvl="2" w:tplc="B70E3D06">
      <w:numFmt w:val="bullet"/>
      <w:lvlText w:val="•"/>
      <w:lvlJc w:val="left"/>
      <w:pPr>
        <w:ind w:left="1314" w:hanging="360"/>
      </w:pPr>
      <w:rPr>
        <w:rFonts w:hint="default"/>
        <w:lang w:val="en-US" w:eastAsia="en-US" w:bidi="ar-SA"/>
      </w:rPr>
    </w:lvl>
    <w:lvl w:ilvl="3" w:tplc="5DD8B62E">
      <w:numFmt w:val="bullet"/>
      <w:lvlText w:val="•"/>
      <w:lvlJc w:val="left"/>
      <w:pPr>
        <w:ind w:left="1751" w:hanging="360"/>
      </w:pPr>
      <w:rPr>
        <w:rFonts w:hint="default"/>
        <w:lang w:val="en-US" w:eastAsia="en-US" w:bidi="ar-SA"/>
      </w:rPr>
    </w:lvl>
    <w:lvl w:ilvl="4" w:tplc="96085C24">
      <w:numFmt w:val="bullet"/>
      <w:lvlText w:val="•"/>
      <w:lvlJc w:val="left"/>
      <w:pPr>
        <w:ind w:left="2188" w:hanging="360"/>
      </w:pPr>
      <w:rPr>
        <w:rFonts w:hint="default"/>
        <w:lang w:val="en-US" w:eastAsia="en-US" w:bidi="ar-SA"/>
      </w:rPr>
    </w:lvl>
    <w:lvl w:ilvl="5" w:tplc="692051D2">
      <w:numFmt w:val="bullet"/>
      <w:lvlText w:val="•"/>
      <w:lvlJc w:val="left"/>
      <w:pPr>
        <w:ind w:left="2625" w:hanging="360"/>
      </w:pPr>
      <w:rPr>
        <w:rFonts w:hint="default"/>
        <w:lang w:val="en-US" w:eastAsia="en-US" w:bidi="ar-SA"/>
      </w:rPr>
    </w:lvl>
    <w:lvl w:ilvl="6" w:tplc="3F12160E">
      <w:numFmt w:val="bullet"/>
      <w:lvlText w:val="•"/>
      <w:lvlJc w:val="left"/>
      <w:pPr>
        <w:ind w:left="3062" w:hanging="360"/>
      </w:pPr>
      <w:rPr>
        <w:rFonts w:hint="default"/>
        <w:lang w:val="en-US" w:eastAsia="en-US" w:bidi="ar-SA"/>
      </w:rPr>
    </w:lvl>
    <w:lvl w:ilvl="7" w:tplc="825EC478">
      <w:numFmt w:val="bullet"/>
      <w:lvlText w:val="•"/>
      <w:lvlJc w:val="left"/>
      <w:pPr>
        <w:ind w:left="3499" w:hanging="360"/>
      </w:pPr>
      <w:rPr>
        <w:rFonts w:hint="default"/>
        <w:lang w:val="en-US" w:eastAsia="en-US" w:bidi="ar-SA"/>
      </w:rPr>
    </w:lvl>
    <w:lvl w:ilvl="8" w:tplc="D7D82036">
      <w:numFmt w:val="bullet"/>
      <w:lvlText w:val="•"/>
      <w:lvlJc w:val="left"/>
      <w:pPr>
        <w:ind w:left="3936" w:hanging="360"/>
      </w:pPr>
      <w:rPr>
        <w:rFonts w:hint="default"/>
        <w:lang w:val="en-US" w:eastAsia="en-US" w:bidi="ar-SA"/>
      </w:rPr>
    </w:lvl>
  </w:abstractNum>
  <w:abstractNum w:abstractNumId="4" w15:restartNumberingAfterBreak="0">
    <w:nsid w:val="26E010A6"/>
    <w:multiLevelType w:val="hybridMultilevel"/>
    <w:tmpl w:val="A332397C"/>
    <w:lvl w:ilvl="0" w:tplc="B6D23368">
      <w:numFmt w:val="bullet"/>
      <w:lvlText w:val=""/>
      <w:lvlJc w:val="left"/>
      <w:pPr>
        <w:ind w:left="438" w:hanging="360"/>
      </w:pPr>
      <w:rPr>
        <w:rFonts w:ascii="Symbol" w:eastAsia="Symbol" w:hAnsi="Symbol" w:cs="Symbol" w:hint="default"/>
        <w:b w:val="0"/>
        <w:bCs w:val="0"/>
        <w:i w:val="0"/>
        <w:iCs w:val="0"/>
        <w:spacing w:val="0"/>
        <w:w w:val="100"/>
        <w:sz w:val="22"/>
        <w:szCs w:val="22"/>
        <w:lang w:val="en-US" w:eastAsia="en-US" w:bidi="ar-SA"/>
      </w:rPr>
    </w:lvl>
    <w:lvl w:ilvl="1" w:tplc="7B8E80F8">
      <w:numFmt w:val="bullet"/>
      <w:lvlText w:val="•"/>
      <w:lvlJc w:val="left"/>
      <w:pPr>
        <w:ind w:left="877" w:hanging="360"/>
      </w:pPr>
      <w:rPr>
        <w:rFonts w:hint="default"/>
        <w:lang w:val="en-US" w:eastAsia="en-US" w:bidi="ar-SA"/>
      </w:rPr>
    </w:lvl>
    <w:lvl w:ilvl="2" w:tplc="14C40106">
      <w:numFmt w:val="bullet"/>
      <w:lvlText w:val="•"/>
      <w:lvlJc w:val="left"/>
      <w:pPr>
        <w:ind w:left="1314" w:hanging="360"/>
      </w:pPr>
      <w:rPr>
        <w:rFonts w:hint="default"/>
        <w:lang w:val="en-US" w:eastAsia="en-US" w:bidi="ar-SA"/>
      </w:rPr>
    </w:lvl>
    <w:lvl w:ilvl="3" w:tplc="B292202E">
      <w:numFmt w:val="bullet"/>
      <w:lvlText w:val="•"/>
      <w:lvlJc w:val="left"/>
      <w:pPr>
        <w:ind w:left="1751" w:hanging="360"/>
      </w:pPr>
      <w:rPr>
        <w:rFonts w:hint="default"/>
        <w:lang w:val="en-US" w:eastAsia="en-US" w:bidi="ar-SA"/>
      </w:rPr>
    </w:lvl>
    <w:lvl w:ilvl="4" w:tplc="F47002F0">
      <w:numFmt w:val="bullet"/>
      <w:lvlText w:val="•"/>
      <w:lvlJc w:val="left"/>
      <w:pPr>
        <w:ind w:left="2188" w:hanging="360"/>
      </w:pPr>
      <w:rPr>
        <w:rFonts w:hint="default"/>
        <w:lang w:val="en-US" w:eastAsia="en-US" w:bidi="ar-SA"/>
      </w:rPr>
    </w:lvl>
    <w:lvl w:ilvl="5" w:tplc="F1863C2A">
      <w:numFmt w:val="bullet"/>
      <w:lvlText w:val="•"/>
      <w:lvlJc w:val="left"/>
      <w:pPr>
        <w:ind w:left="2625" w:hanging="360"/>
      </w:pPr>
      <w:rPr>
        <w:rFonts w:hint="default"/>
        <w:lang w:val="en-US" w:eastAsia="en-US" w:bidi="ar-SA"/>
      </w:rPr>
    </w:lvl>
    <w:lvl w:ilvl="6" w:tplc="779C3318">
      <w:numFmt w:val="bullet"/>
      <w:lvlText w:val="•"/>
      <w:lvlJc w:val="left"/>
      <w:pPr>
        <w:ind w:left="3062" w:hanging="360"/>
      </w:pPr>
      <w:rPr>
        <w:rFonts w:hint="default"/>
        <w:lang w:val="en-US" w:eastAsia="en-US" w:bidi="ar-SA"/>
      </w:rPr>
    </w:lvl>
    <w:lvl w:ilvl="7" w:tplc="A1D4EF5A">
      <w:numFmt w:val="bullet"/>
      <w:lvlText w:val="•"/>
      <w:lvlJc w:val="left"/>
      <w:pPr>
        <w:ind w:left="3499" w:hanging="360"/>
      </w:pPr>
      <w:rPr>
        <w:rFonts w:hint="default"/>
        <w:lang w:val="en-US" w:eastAsia="en-US" w:bidi="ar-SA"/>
      </w:rPr>
    </w:lvl>
    <w:lvl w:ilvl="8" w:tplc="E38C1A24">
      <w:numFmt w:val="bullet"/>
      <w:lvlText w:val="•"/>
      <w:lvlJc w:val="left"/>
      <w:pPr>
        <w:ind w:left="3936" w:hanging="360"/>
      </w:pPr>
      <w:rPr>
        <w:rFonts w:hint="default"/>
        <w:lang w:val="en-US" w:eastAsia="en-US" w:bidi="ar-SA"/>
      </w:rPr>
    </w:lvl>
  </w:abstractNum>
  <w:abstractNum w:abstractNumId="5" w15:restartNumberingAfterBreak="0">
    <w:nsid w:val="2C2A78A5"/>
    <w:multiLevelType w:val="hybridMultilevel"/>
    <w:tmpl w:val="3D70620A"/>
    <w:lvl w:ilvl="0" w:tplc="A69ADC22">
      <w:numFmt w:val="bullet"/>
      <w:lvlText w:val=""/>
      <w:lvlJc w:val="left"/>
      <w:pPr>
        <w:ind w:left="435" w:hanging="360"/>
      </w:pPr>
      <w:rPr>
        <w:rFonts w:ascii="Symbol" w:eastAsia="Symbol" w:hAnsi="Symbol" w:cs="Symbol" w:hint="default"/>
        <w:b w:val="0"/>
        <w:bCs w:val="0"/>
        <w:i w:val="0"/>
        <w:iCs w:val="0"/>
        <w:spacing w:val="0"/>
        <w:w w:val="100"/>
        <w:sz w:val="22"/>
        <w:szCs w:val="22"/>
        <w:lang w:val="en-US" w:eastAsia="en-US" w:bidi="ar-SA"/>
      </w:rPr>
    </w:lvl>
    <w:lvl w:ilvl="1" w:tplc="B64AA6A8">
      <w:numFmt w:val="bullet"/>
      <w:lvlText w:val="•"/>
      <w:lvlJc w:val="left"/>
      <w:pPr>
        <w:ind w:left="877" w:hanging="360"/>
      </w:pPr>
      <w:rPr>
        <w:rFonts w:hint="default"/>
        <w:lang w:val="en-US" w:eastAsia="en-US" w:bidi="ar-SA"/>
      </w:rPr>
    </w:lvl>
    <w:lvl w:ilvl="2" w:tplc="08EA7ABE">
      <w:numFmt w:val="bullet"/>
      <w:lvlText w:val="•"/>
      <w:lvlJc w:val="left"/>
      <w:pPr>
        <w:ind w:left="1314" w:hanging="360"/>
      </w:pPr>
      <w:rPr>
        <w:rFonts w:hint="default"/>
        <w:lang w:val="en-US" w:eastAsia="en-US" w:bidi="ar-SA"/>
      </w:rPr>
    </w:lvl>
    <w:lvl w:ilvl="3" w:tplc="3AE4CF30">
      <w:numFmt w:val="bullet"/>
      <w:lvlText w:val="•"/>
      <w:lvlJc w:val="left"/>
      <w:pPr>
        <w:ind w:left="1751" w:hanging="360"/>
      </w:pPr>
      <w:rPr>
        <w:rFonts w:hint="default"/>
        <w:lang w:val="en-US" w:eastAsia="en-US" w:bidi="ar-SA"/>
      </w:rPr>
    </w:lvl>
    <w:lvl w:ilvl="4" w:tplc="062C421E">
      <w:numFmt w:val="bullet"/>
      <w:lvlText w:val="•"/>
      <w:lvlJc w:val="left"/>
      <w:pPr>
        <w:ind w:left="2188" w:hanging="360"/>
      </w:pPr>
      <w:rPr>
        <w:rFonts w:hint="default"/>
        <w:lang w:val="en-US" w:eastAsia="en-US" w:bidi="ar-SA"/>
      </w:rPr>
    </w:lvl>
    <w:lvl w:ilvl="5" w:tplc="DEF0437A">
      <w:numFmt w:val="bullet"/>
      <w:lvlText w:val="•"/>
      <w:lvlJc w:val="left"/>
      <w:pPr>
        <w:ind w:left="2625" w:hanging="360"/>
      </w:pPr>
      <w:rPr>
        <w:rFonts w:hint="default"/>
        <w:lang w:val="en-US" w:eastAsia="en-US" w:bidi="ar-SA"/>
      </w:rPr>
    </w:lvl>
    <w:lvl w:ilvl="6" w:tplc="1660E280">
      <w:numFmt w:val="bullet"/>
      <w:lvlText w:val="•"/>
      <w:lvlJc w:val="left"/>
      <w:pPr>
        <w:ind w:left="3062" w:hanging="360"/>
      </w:pPr>
      <w:rPr>
        <w:rFonts w:hint="default"/>
        <w:lang w:val="en-US" w:eastAsia="en-US" w:bidi="ar-SA"/>
      </w:rPr>
    </w:lvl>
    <w:lvl w:ilvl="7" w:tplc="CA7460A2">
      <w:numFmt w:val="bullet"/>
      <w:lvlText w:val="•"/>
      <w:lvlJc w:val="left"/>
      <w:pPr>
        <w:ind w:left="3499" w:hanging="360"/>
      </w:pPr>
      <w:rPr>
        <w:rFonts w:hint="default"/>
        <w:lang w:val="en-US" w:eastAsia="en-US" w:bidi="ar-SA"/>
      </w:rPr>
    </w:lvl>
    <w:lvl w:ilvl="8" w:tplc="C6240412">
      <w:numFmt w:val="bullet"/>
      <w:lvlText w:val="•"/>
      <w:lvlJc w:val="left"/>
      <w:pPr>
        <w:ind w:left="3936" w:hanging="360"/>
      </w:pPr>
      <w:rPr>
        <w:rFonts w:hint="default"/>
        <w:lang w:val="en-US" w:eastAsia="en-US" w:bidi="ar-SA"/>
      </w:rPr>
    </w:lvl>
  </w:abstractNum>
  <w:abstractNum w:abstractNumId="6" w15:restartNumberingAfterBreak="0">
    <w:nsid w:val="2FC429E7"/>
    <w:multiLevelType w:val="hybridMultilevel"/>
    <w:tmpl w:val="119A807E"/>
    <w:lvl w:ilvl="0" w:tplc="C5ACFE56">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55329C"/>
    <w:multiLevelType w:val="hybridMultilevel"/>
    <w:tmpl w:val="C2665B1C"/>
    <w:lvl w:ilvl="0" w:tplc="C5ACFE56">
      <w:numFmt w:val="bullet"/>
      <w:lvlText w:val=""/>
      <w:lvlJc w:val="left"/>
      <w:pPr>
        <w:ind w:left="843" w:hanging="360"/>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8" w15:restartNumberingAfterBreak="0">
    <w:nsid w:val="616E08B9"/>
    <w:multiLevelType w:val="multilevel"/>
    <w:tmpl w:val="890C2A0C"/>
    <w:lvl w:ilvl="0">
      <w:start w:val="1"/>
      <w:numFmt w:val="decimal"/>
      <w:lvlText w:val="%1"/>
      <w:lvlJc w:val="left"/>
      <w:pPr>
        <w:ind w:left="650" w:hanging="433"/>
        <w:jc w:val="left"/>
      </w:pPr>
      <w:rPr>
        <w:rFonts w:ascii="Arial" w:eastAsia="Arial" w:hAnsi="Arial" w:cs="Arial" w:hint="default"/>
        <w:b w:val="0"/>
        <w:bCs w:val="0"/>
        <w:i w:val="0"/>
        <w:iCs w:val="0"/>
        <w:color w:val="365F91"/>
        <w:spacing w:val="0"/>
        <w:w w:val="99"/>
        <w:sz w:val="32"/>
        <w:szCs w:val="32"/>
        <w:lang w:val="en-US" w:eastAsia="en-US" w:bidi="ar-SA"/>
      </w:rPr>
    </w:lvl>
    <w:lvl w:ilvl="1">
      <w:start w:val="1"/>
      <w:numFmt w:val="decimal"/>
      <w:lvlText w:val="%1.%2"/>
      <w:lvlJc w:val="left"/>
      <w:pPr>
        <w:ind w:left="797" w:hanging="579"/>
        <w:jc w:val="left"/>
      </w:pPr>
      <w:rPr>
        <w:rFonts w:ascii="Calibri" w:eastAsia="Calibri" w:hAnsi="Calibri" w:cs="Calibri" w:hint="default"/>
        <w:b w:val="0"/>
        <w:bCs w:val="0"/>
        <w:i w:val="0"/>
        <w:iCs w:val="0"/>
        <w:color w:val="365F91"/>
        <w:spacing w:val="0"/>
        <w:w w:val="99"/>
        <w:sz w:val="26"/>
        <w:szCs w:val="26"/>
        <w:lang w:val="en-US" w:eastAsia="en-US" w:bidi="ar-SA"/>
      </w:rPr>
    </w:lvl>
    <w:lvl w:ilvl="2">
      <w:numFmt w:val="bullet"/>
      <w:lvlText w:val=""/>
      <w:lvlJc w:val="left"/>
      <w:pPr>
        <w:ind w:left="938"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629" w:hanging="360"/>
      </w:pPr>
      <w:rPr>
        <w:rFonts w:hint="default"/>
        <w:lang w:val="en-US" w:eastAsia="en-US" w:bidi="ar-SA"/>
      </w:rPr>
    </w:lvl>
    <w:lvl w:ilvl="4">
      <w:numFmt w:val="bullet"/>
      <w:lvlText w:val="•"/>
      <w:lvlJc w:val="left"/>
      <w:pPr>
        <w:ind w:left="4319" w:hanging="360"/>
      </w:pPr>
      <w:rPr>
        <w:rFonts w:hint="default"/>
        <w:lang w:val="en-US" w:eastAsia="en-US" w:bidi="ar-SA"/>
      </w:rPr>
    </w:lvl>
    <w:lvl w:ilvl="5">
      <w:numFmt w:val="bullet"/>
      <w:lvlText w:val="•"/>
      <w:lvlJc w:val="left"/>
      <w:pPr>
        <w:ind w:left="6009" w:hanging="360"/>
      </w:pPr>
      <w:rPr>
        <w:rFonts w:hint="default"/>
        <w:lang w:val="en-US" w:eastAsia="en-US" w:bidi="ar-SA"/>
      </w:rPr>
    </w:lvl>
    <w:lvl w:ilvl="6">
      <w:numFmt w:val="bullet"/>
      <w:lvlText w:val="•"/>
      <w:lvlJc w:val="left"/>
      <w:pPr>
        <w:ind w:left="7699" w:hanging="360"/>
      </w:pPr>
      <w:rPr>
        <w:rFonts w:hint="default"/>
        <w:lang w:val="en-US" w:eastAsia="en-US" w:bidi="ar-SA"/>
      </w:rPr>
    </w:lvl>
    <w:lvl w:ilvl="7">
      <w:numFmt w:val="bullet"/>
      <w:lvlText w:val="•"/>
      <w:lvlJc w:val="left"/>
      <w:pPr>
        <w:ind w:left="9389" w:hanging="360"/>
      </w:pPr>
      <w:rPr>
        <w:rFonts w:hint="default"/>
        <w:lang w:val="en-US" w:eastAsia="en-US" w:bidi="ar-SA"/>
      </w:rPr>
    </w:lvl>
    <w:lvl w:ilvl="8">
      <w:numFmt w:val="bullet"/>
      <w:lvlText w:val="•"/>
      <w:lvlJc w:val="left"/>
      <w:pPr>
        <w:ind w:left="11078" w:hanging="360"/>
      </w:pPr>
      <w:rPr>
        <w:rFonts w:hint="default"/>
        <w:lang w:val="en-US" w:eastAsia="en-US" w:bidi="ar-SA"/>
      </w:rPr>
    </w:lvl>
  </w:abstractNum>
  <w:abstractNum w:abstractNumId="9" w15:restartNumberingAfterBreak="0">
    <w:nsid w:val="619D1B49"/>
    <w:multiLevelType w:val="hybridMultilevel"/>
    <w:tmpl w:val="FD9E1C90"/>
    <w:lvl w:ilvl="0" w:tplc="09D8F0AE">
      <w:numFmt w:val="bullet"/>
      <w:lvlText w:val=""/>
      <w:lvlJc w:val="left"/>
      <w:pPr>
        <w:ind w:left="435" w:hanging="361"/>
      </w:pPr>
      <w:rPr>
        <w:rFonts w:ascii="Symbol" w:eastAsia="Symbol" w:hAnsi="Symbol" w:cs="Symbol" w:hint="default"/>
        <w:b w:val="0"/>
        <w:bCs w:val="0"/>
        <w:i w:val="0"/>
        <w:iCs w:val="0"/>
        <w:spacing w:val="0"/>
        <w:w w:val="100"/>
        <w:sz w:val="22"/>
        <w:szCs w:val="22"/>
        <w:lang w:val="en-US" w:eastAsia="en-US" w:bidi="ar-SA"/>
      </w:rPr>
    </w:lvl>
    <w:lvl w:ilvl="1" w:tplc="EFA63C62">
      <w:numFmt w:val="bullet"/>
      <w:lvlText w:val="•"/>
      <w:lvlJc w:val="left"/>
      <w:pPr>
        <w:ind w:left="858" w:hanging="361"/>
      </w:pPr>
      <w:rPr>
        <w:rFonts w:hint="default"/>
        <w:lang w:val="en-US" w:eastAsia="en-US" w:bidi="ar-SA"/>
      </w:rPr>
    </w:lvl>
    <w:lvl w:ilvl="2" w:tplc="F28EE30A">
      <w:numFmt w:val="bullet"/>
      <w:lvlText w:val="•"/>
      <w:lvlJc w:val="left"/>
      <w:pPr>
        <w:ind w:left="1277" w:hanging="361"/>
      </w:pPr>
      <w:rPr>
        <w:rFonts w:hint="default"/>
        <w:lang w:val="en-US" w:eastAsia="en-US" w:bidi="ar-SA"/>
      </w:rPr>
    </w:lvl>
    <w:lvl w:ilvl="3" w:tplc="812E5F3C">
      <w:numFmt w:val="bullet"/>
      <w:lvlText w:val="•"/>
      <w:lvlJc w:val="left"/>
      <w:pPr>
        <w:ind w:left="1696" w:hanging="361"/>
      </w:pPr>
      <w:rPr>
        <w:rFonts w:hint="default"/>
        <w:lang w:val="en-US" w:eastAsia="en-US" w:bidi="ar-SA"/>
      </w:rPr>
    </w:lvl>
    <w:lvl w:ilvl="4" w:tplc="DD80FBBA">
      <w:numFmt w:val="bullet"/>
      <w:lvlText w:val="•"/>
      <w:lvlJc w:val="left"/>
      <w:pPr>
        <w:ind w:left="2115" w:hanging="361"/>
      </w:pPr>
      <w:rPr>
        <w:rFonts w:hint="default"/>
        <w:lang w:val="en-US" w:eastAsia="en-US" w:bidi="ar-SA"/>
      </w:rPr>
    </w:lvl>
    <w:lvl w:ilvl="5" w:tplc="AB462710">
      <w:numFmt w:val="bullet"/>
      <w:lvlText w:val="•"/>
      <w:lvlJc w:val="left"/>
      <w:pPr>
        <w:ind w:left="2534" w:hanging="361"/>
      </w:pPr>
      <w:rPr>
        <w:rFonts w:hint="default"/>
        <w:lang w:val="en-US" w:eastAsia="en-US" w:bidi="ar-SA"/>
      </w:rPr>
    </w:lvl>
    <w:lvl w:ilvl="6" w:tplc="EA9615A2">
      <w:numFmt w:val="bullet"/>
      <w:lvlText w:val="•"/>
      <w:lvlJc w:val="left"/>
      <w:pPr>
        <w:ind w:left="2953" w:hanging="361"/>
      </w:pPr>
      <w:rPr>
        <w:rFonts w:hint="default"/>
        <w:lang w:val="en-US" w:eastAsia="en-US" w:bidi="ar-SA"/>
      </w:rPr>
    </w:lvl>
    <w:lvl w:ilvl="7" w:tplc="605406F0">
      <w:numFmt w:val="bullet"/>
      <w:lvlText w:val="•"/>
      <w:lvlJc w:val="left"/>
      <w:pPr>
        <w:ind w:left="3372" w:hanging="361"/>
      </w:pPr>
      <w:rPr>
        <w:rFonts w:hint="default"/>
        <w:lang w:val="en-US" w:eastAsia="en-US" w:bidi="ar-SA"/>
      </w:rPr>
    </w:lvl>
    <w:lvl w:ilvl="8" w:tplc="838C1C60">
      <w:numFmt w:val="bullet"/>
      <w:lvlText w:val="•"/>
      <w:lvlJc w:val="left"/>
      <w:pPr>
        <w:ind w:left="3791" w:hanging="361"/>
      </w:pPr>
      <w:rPr>
        <w:rFonts w:hint="default"/>
        <w:lang w:val="en-US" w:eastAsia="en-US" w:bidi="ar-SA"/>
      </w:rPr>
    </w:lvl>
  </w:abstractNum>
  <w:abstractNum w:abstractNumId="10" w15:restartNumberingAfterBreak="0">
    <w:nsid w:val="6DBF1753"/>
    <w:multiLevelType w:val="hybridMultilevel"/>
    <w:tmpl w:val="EE4A250C"/>
    <w:lvl w:ilvl="0" w:tplc="AE28C896">
      <w:numFmt w:val="bullet"/>
      <w:lvlText w:val=""/>
      <w:lvlJc w:val="left"/>
      <w:pPr>
        <w:ind w:left="435" w:hanging="360"/>
      </w:pPr>
      <w:rPr>
        <w:rFonts w:ascii="Symbol" w:eastAsia="Symbol" w:hAnsi="Symbol" w:cs="Symbol" w:hint="default"/>
        <w:b w:val="0"/>
        <w:bCs w:val="0"/>
        <w:i w:val="0"/>
        <w:iCs w:val="0"/>
        <w:spacing w:val="0"/>
        <w:w w:val="100"/>
        <w:sz w:val="22"/>
        <w:szCs w:val="22"/>
        <w:lang w:val="en-US" w:eastAsia="en-US" w:bidi="ar-SA"/>
      </w:rPr>
    </w:lvl>
    <w:lvl w:ilvl="1" w:tplc="D3109C24">
      <w:numFmt w:val="bullet"/>
      <w:lvlText w:val="•"/>
      <w:lvlJc w:val="left"/>
      <w:pPr>
        <w:ind w:left="877" w:hanging="360"/>
      </w:pPr>
      <w:rPr>
        <w:rFonts w:hint="default"/>
        <w:lang w:val="en-US" w:eastAsia="en-US" w:bidi="ar-SA"/>
      </w:rPr>
    </w:lvl>
    <w:lvl w:ilvl="2" w:tplc="9FA2856A">
      <w:numFmt w:val="bullet"/>
      <w:lvlText w:val="•"/>
      <w:lvlJc w:val="left"/>
      <w:pPr>
        <w:ind w:left="1314" w:hanging="360"/>
      </w:pPr>
      <w:rPr>
        <w:rFonts w:hint="default"/>
        <w:lang w:val="en-US" w:eastAsia="en-US" w:bidi="ar-SA"/>
      </w:rPr>
    </w:lvl>
    <w:lvl w:ilvl="3" w:tplc="CFBCEB04">
      <w:numFmt w:val="bullet"/>
      <w:lvlText w:val="•"/>
      <w:lvlJc w:val="left"/>
      <w:pPr>
        <w:ind w:left="1751" w:hanging="360"/>
      </w:pPr>
      <w:rPr>
        <w:rFonts w:hint="default"/>
        <w:lang w:val="en-US" w:eastAsia="en-US" w:bidi="ar-SA"/>
      </w:rPr>
    </w:lvl>
    <w:lvl w:ilvl="4" w:tplc="8C9CA7A8">
      <w:numFmt w:val="bullet"/>
      <w:lvlText w:val="•"/>
      <w:lvlJc w:val="left"/>
      <w:pPr>
        <w:ind w:left="2188" w:hanging="360"/>
      </w:pPr>
      <w:rPr>
        <w:rFonts w:hint="default"/>
        <w:lang w:val="en-US" w:eastAsia="en-US" w:bidi="ar-SA"/>
      </w:rPr>
    </w:lvl>
    <w:lvl w:ilvl="5" w:tplc="413646E4">
      <w:numFmt w:val="bullet"/>
      <w:lvlText w:val="•"/>
      <w:lvlJc w:val="left"/>
      <w:pPr>
        <w:ind w:left="2625" w:hanging="360"/>
      </w:pPr>
      <w:rPr>
        <w:rFonts w:hint="default"/>
        <w:lang w:val="en-US" w:eastAsia="en-US" w:bidi="ar-SA"/>
      </w:rPr>
    </w:lvl>
    <w:lvl w:ilvl="6" w:tplc="FD7E4F52">
      <w:numFmt w:val="bullet"/>
      <w:lvlText w:val="•"/>
      <w:lvlJc w:val="left"/>
      <w:pPr>
        <w:ind w:left="3062" w:hanging="360"/>
      </w:pPr>
      <w:rPr>
        <w:rFonts w:hint="default"/>
        <w:lang w:val="en-US" w:eastAsia="en-US" w:bidi="ar-SA"/>
      </w:rPr>
    </w:lvl>
    <w:lvl w:ilvl="7" w:tplc="95EE5B06">
      <w:numFmt w:val="bullet"/>
      <w:lvlText w:val="•"/>
      <w:lvlJc w:val="left"/>
      <w:pPr>
        <w:ind w:left="3499" w:hanging="360"/>
      </w:pPr>
      <w:rPr>
        <w:rFonts w:hint="default"/>
        <w:lang w:val="en-US" w:eastAsia="en-US" w:bidi="ar-SA"/>
      </w:rPr>
    </w:lvl>
    <w:lvl w:ilvl="8" w:tplc="84180560">
      <w:numFmt w:val="bullet"/>
      <w:lvlText w:val="•"/>
      <w:lvlJc w:val="left"/>
      <w:pPr>
        <w:ind w:left="3936" w:hanging="360"/>
      </w:pPr>
      <w:rPr>
        <w:rFonts w:hint="default"/>
        <w:lang w:val="en-US" w:eastAsia="en-US" w:bidi="ar-SA"/>
      </w:rPr>
    </w:lvl>
  </w:abstractNum>
  <w:num w:numId="1" w16cid:durableId="425350638">
    <w:abstractNumId w:val="3"/>
  </w:num>
  <w:num w:numId="2" w16cid:durableId="578446748">
    <w:abstractNumId w:val="4"/>
  </w:num>
  <w:num w:numId="3" w16cid:durableId="1764298288">
    <w:abstractNumId w:val="5"/>
  </w:num>
  <w:num w:numId="4" w16cid:durableId="607273810">
    <w:abstractNumId w:val="2"/>
  </w:num>
  <w:num w:numId="5" w16cid:durableId="1355305180">
    <w:abstractNumId w:val="10"/>
  </w:num>
  <w:num w:numId="6" w16cid:durableId="615063802">
    <w:abstractNumId w:val="0"/>
  </w:num>
  <w:num w:numId="7" w16cid:durableId="1531919637">
    <w:abstractNumId w:val="9"/>
  </w:num>
  <w:num w:numId="8" w16cid:durableId="1886790396">
    <w:abstractNumId w:val="8"/>
  </w:num>
  <w:num w:numId="9" w16cid:durableId="2048793749">
    <w:abstractNumId w:val="7"/>
  </w:num>
  <w:num w:numId="10" w16cid:durableId="1073813266">
    <w:abstractNumId w:val="6"/>
  </w:num>
  <w:num w:numId="11" w16cid:durableId="1942372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215731"/>
    <w:rsid w:val="000149B7"/>
    <w:rsid w:val="00017F7D"/>
    <w:rsid w:val="00060AB1"/>
    <w:rsid w:val="000B1501"/>
    <w:rsid w:val="000B6B1A"/>
    <w:rsid w:val="000E5713"/>
    <w:rsid w:val="00101BF6"/>
    <w:rsid w:val="001219F0"/>
    <w:rsid w:val="001365BC"/>
    <w:rsid w:val="00195897"/>
    <w:rsid w:val="001B4F34"/>
    <w:rsid w:val="001C2338"/>
    <w:rsid w:val="001C6907"/>
    <w:rsid w:val="00215731"/>
    <w:rsid w:val="00223575"/>
    <w:rsid w:val="00291F85"/>
    <w:rsid w:val="002C4341"/>
    <w:rsid w:val="002C747F"/>
    <w:rsid w:val="002E10BE"/>
    <w:rsid w:val="00321D6F"/>
    <w:rsid w:val="003255C2"/>
    <w:rsid w:val="003A01E5"/>
    <w:rsid w:val="003B232B"/>
    <w:rsid w:val="00461C41"/>
    <w:rsid w:val="00474661"/>
    <w:rsid w:val="004B3BE4"/>
    <w:rsid w:val="004C7F23"/>
    <w:rsid w:val="004D4281"/>
    <w:rsid w:val="004F641F"/>
    <w:rsid w:val="004F77B8"/>
    <w:rsid w:val="00541861"/>
    <w:rsid w:val="00541DF7"/>
    <w:rsid w:val="00573E74"/>
    <w:rsid w:val="005C14CB"/>
    <w:rsid w:val="006048E8"/>
    <w:rsid w:val="0061116C"/>
    <w:rsid w:val="00672A56"/>
    <w:rsid w:val="00692484"/>
    <w:rsid w:val="00694EBF"/>
    <w:rsid w:val="006C400A"/>
    <w:rsid w:val="006C78AB"/>
    <w:rsid w:val="00777999"/>
    <w:rsid w:val="007C303B"/>
    <w:rsid w:val="007D1A8F"/>
    <w:rsid w:val="007F25A0"/>
    <w:rsid w:val="00832858"/>
    <w:rsid w:val="00843745"/>
    <w:rsid w:val="00895378"/>
    <w:rsid w:val="008A5401"/>
    <w:rsid w:val="008B1050"/>
    <w:rsid w:val="008C7A10"/>
    <w:rsid w:val="008D74C2"/>
    <w:rsid w:val="008E5A04"/>
    <w:rsid w:val="00903A7A"/>
    <w:rsid w:val="009061B4"/>
    <w:rsid w:val="009064B3"/>
    <w:rsid w:val="0091145D"/>
    <w:rsid w:val="00981F78"/>
    <w:rsid w:val="009C1ADC"/>
    <w:rsid w:val="009D4EF5"/>
    <w:rsid w:val="009E4F36"/>
    <w:rsid w:val="009F5295"/>
    <w:rsid w:val="00AA0B28"/>
    <w:rsid w:val="00AF5174"/>
    <w:rsid w:val="00B0624C"/>
    <w:rsid w:val="00B3468A"/>
    <w:rsid w:val="00B35F40"/>
    <w:rsid w:val="00B450CB"/>
    <w:rsid w:val="00B979E0"/>
    <w:rsid w:val="00BA0D46"/>
    <w:rsid w:val="00BB5703"/>
    <w:rsid w:val="00BC22A9"/>
    <w:rsid w:val="00C07F88"/>
    <w:rsid w:val="00C30294"/>
    <w:rsid w:val="00C4190C"/>
    <w:rsid w:val="00C550B6"/>
    <w:rsid w:val="00C90C88"/>
    <w:rsid w:val="00CC224A"/>
    <w:rsid w:val="00D25FAF"/>
    <w:rsid w:val="00D35E85"/>
    <w:rsid w:val="00D5251E"/>
    <w:rsid w:val="00D60212"/>
    <w:rsid w:val="00D95BA9"/>
    <w:rsid w:val="00DA0160"/>
    <w:rsid w:val="00DA372C"/>
    <w:rsid w:val="00DA4566"/>
    <w:rsid w:val="00DE75CC"/>
    <w:rsid w:val="00E53DA1"/>
    <w:rsid w:val="00E54A7E"/>
    <w:rsid w:val="00E613A7"/>
    <w:rsid w:val="00E72F23"/>
    <w:rsid w:val="00E90D04"/>
    <w:rsid w:val="00EB5DD6"/>
    <w:rsid w:val="00EE7EFE"/>
    <w:rsid w:val="00F02DC1"/>
    <w:rsid w:val="00F04E13"/>
    <w:rsid w:val="00F429AD"/>
    <w:rsid w:val="00F50EB9"/>
    <w:rsid w:val="00F61E26"/>
    <w:rsid w:val="00F636D0"/>
    <w:rsid w:val="00F918B8"/>
    <w:rsid w:val="00FB59CE"/>
    <w:rsid w:val="00FE2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08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50" w:hanging="432"/>
      <w:outlineLvl w:val="0"/>
    </w:pPr>
    <w:rPr>
      <w:rFonts w:ascii="Arial" w:eastAsia="Arial" w:hAnsi="Arial" w:cs="Arial"/>
      <w:sz w:val="32"/>
      <w:szCs w:val="32"/>
    </w:rPr>
  </w:style>
  <w:style w:type="paragraph" w:styleId="Heading2">
    <w:name w:val="heading 2"/>
    <w:basedOn w:val="Normal"/>
    <w:uiPriority w:val="9"/>
    <w:unhideWhenUsed/>
    <w:qFormat/>
    <w:pPr>
      <w:spacing w:before="47"/>
      <w:ind w:left="797" w:hanging="579"/>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108"/>
    </w:pPr>
    <w:rPr>
      <w:rFonts w:ascii="Arial" w:eastAsia="Arial" w:hAnsi="Arial" w:cs="Arial"/>
      <w:b/>
      <w:bCs/>
      <w:sz w:val="48"/>
      <w:szCs w:val="48"/>
    </w:rPr>
  </w:style>
  <w:style w:type="paragraph" w:styleId="ListParagraph">
    <w:name w:val="List Paragraph"/>
    <w:basedOn w:val="Normal"/>
    <w:uiPriority w:val="1"/>
    <w:qFormat/>
    <w:pPr>
      <w:spacing w:before="47"/>
      <w:ind w:left="797" w:hanging="579"/>
    </w:pPr>
  </w:style>
  <w:style w:type="paragraph" w:customStyle="1" w:styleId="TableParagraph">
    <w:name w:val="Table Paragraph"/>
    <w:basedOn w:val="Normal"/>
    <w:uiPriority w:val="1"/>
    <w:qFormat/>
    <w:pPr>
      <w:spacing w:line="268" w:lineRule="exact"/>
      <w:ind w:left="107"/>
    </w:pPr>
  </w:style>
  <w:style w:type="paragraph" w:styleId="Header">
    <w:name w:val="header"/>
    <w:basedOn w:val="Normal"/>
    <w:link w:val="HeaderChar"/>
    <w:unhideWhenUsed/>
    <w:rsid w:val="009E4F36"/>
    <w:pPr>
      <w:tabs>
        <w:tab w:val="center" w:pos="4513"/>
        <w:tab w:val="right" w:pos="9026"/>
      </w:tabs>
    </w:pPr>
  </w:style>
  <w:style w:type="character" w:customStyle="1" w:styleId="HeaderChar">
    <w:name w:val="Header Char"/>
    <w:basedOn w:val="DefaultParagraphFont"/>
    <w:link w:val="Header"/>
    <w:uiPriority w:val="99"/>
    <w:rsid w:val="009E4F36"/>
    <w:rPr>
      <w:rFonts w:ascii="Calibri" w:eastAsia="Calibri" w:hAnsi="Calibri" w:cs="Calibri"/>
    </w:rPr>
  </w:style>
  <w:style w:type="paragraph" w:styleId="Footer">
    <w:name w:val="footer"/>
    <w:basedOn w:val="Normal"/>
    <w:link w:val="FooterChar"/>
    <w:unhideWhenUsed/>
    <w:rsid w:val="009E4F36"/>
    <w:pPr>
      <w:tabs>
        <w:tab w:val="center" w:pos="4513"/>
        <w:tab w:val="right" w:pos="9026"/>
      </w:tabs>
    </w:pPr>
  </w:style>
  <w:style w:type="character" w:customStyle="1" w:styleId="FooterChar">
    <w:name w:val="Footer Char"/>
    <w:basedOn w:val="DefaultParagraphFont"/>
    <w:link w:val="Footer"/>
    <w:uiPriority w:val="99"/>
    <w:rsid w:val="009E4F36"/>
    <w:rPr>
      <w:rFonts w:ascii="Calibri" w:eastAsia="Calibri" w:hAnsi="Calibri" w:cs="Calibri"/>
    </w:rPr>
  </w:style>
  <w:style w:type="table" w:styleId="TableGrid">
    <w:name w:val="Table Grid"/>
    <w:basedOn w:val="TableNormal"/>
    <w:uiPriority w:val="39"/>
    <w:rsid w:val="00F42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4A7E"/>
    <w:pPr>
      <w:widowControl/>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3B232B"/>
    <w:rPr>
      <w:sz w:val="20"/>
      <w:szCs w:val="20"/>
    </w:rPr>
  </w:style>
  <w:style w:type="character" w:customStyle="1" w:styleId="FootnoteTextChar">
    <w:name w:val="Footnote Text Char"/>
    <w:basedOn w:val="DefaultParagraphFont"/>
    <w:link w:val="FootnoteText"/>
    <w:uiPriority w:val="99"/>
    <w:semiHidden/>
    <w:rsid w:val="003B232B"/>
    <w:rPr>
      <w:rFonts w:ascii="Calibri" w:eastAsia="Calibri" w:hAnsi="Calibri" w:cs="Calibri"/>
      <w:sz w:val="20"/>
      <w:szCs w:val="20"/>
    </w:rPr>
  </w:style>
  <w:style w:type="character" w:styleId="FootnoteReference">
    <w:name w:val="footnote reference"/>
    <w:basedOn w:val="DefaultParagraphFont"/>
    <w:uiPriority w:val="99"/>
    <w:semiHidden/>
    <w:unhideWhenUsed/>
    <w:rsid w:val="003B232B"/>
    <w:rPr>
      <w:vertAlign w:val="superscript"/>
    </w:rPr>
  </w:style>
  <w:style w:type="character" w:styleId="PageNumber">
    <w:name w:val="page number"/>
    <w:basedOn w:val="DefaultParagraphFont"/>
    <w:semiHidden/>
    <w:rsid w:val="00981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E6A6D-F9E9-48B4-AC01-A6C7187CBAB5}">
  <ds:schemaRefs>
    <ds:schemaRef ds:uri="http://schemas.microsoft.com/sharepoint/v3/contenttype/forms"/>
  </ds:schemaRefs>
</ds:datastoreItem>
</file>

<file path=customXml/itemProps2.xml><?xml version="1.0" encoding="utf-8"?>
<ds:datastoreItem xmlns:ds="http://schemas.openxmlformats.org/officeDocument/2006/customXml" ds:itemID="{2E911619-2873-4DE8-9271-9C6BC7B3EC56}">
  <ds:schemaRefs>
    <ds:schemaRef ds:uri="http://schemas.openxmlformats.org/officeDocument/2006/bibliography"/>
  </ds:schemaRefs>
</ds:datastoreItem>
</file>

<file path=customXml/itemProps3.xml><?xml version="1.0" encoding="utf-8"?>
<ds:datastoreItem xmlns:ds="http://schemas.openxmlformats.org/officeDocument/2006/customXml" ds:itemID="{1FCB57BC-D36A-4348-AB02-C127A8C66698}">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CAA7F97A-C694-4937-9C0C-AAE5A89AD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3515</Words>
  <Characters>20041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keywords/>
  <cp:lastModifiedBy/>
  <cp:revision>1</cp:revision>
  <dcterms:created xsi:type="dcterms:W3CDTF">2024-02-02T08:57:00Z</dcterms:created>
  <dcterms:modified xsi:type="dcterms:W3CDTF">2024-09-05T10:10:00Z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