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DDDDD" w14:textId="12089708" w:rsidR="00AD4B3F" w:rsidRDefault="00234A76" w:rsidP="00234A76">
      <w:pPr>
        <w:pStyle w:val="BodyText"/>
        <w:jc w:val="right"/>
        <w:rPr>
          <w:rFonts w:ascii="Times New Roman" w:hAnsi="Times New Roman"/>
          <w:noProof/>
          <w:sz w:val="24"/>
        </w:rPr>
      </w:pPr>
      <w:r>
        <w:rPr>
          <w:rFonts w:ascii="Times New Roman" w:hAnsi="Times New Roman"/>
          <w:noProof/>
          <w:sz w:val="24"/>
        </w:rPr>
        <w:drawing>
          <wp:inline distT="0" distB="0" distL="0" distR="0" wp14:anchorId="6E96C666" wp14:editId="318EE1C6">
            <wp:extent cx="2310369" cy="838200"/>
            <wp:effectExtent l="0" t="0" r="0" b="0"/>
            <wp:docPr id="63252572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25721" name="Picture 1" descr="A close-up of a logo&#10;&#10;Description automatically generated"/>
                    <pic:cNvPicPr/>
                  </pic:nvPicPr>
                  <pic:blipFill>
                    <a:blip r:embed="rId11"/>
                    <a:stretch>
                      <a:fillRect/>
                    </a:stretch>
                  </pic:blipFill>
                  <pic:spPr>
                    <a:xfrm>
                      <a:off x="0" y="0"/>
                      <a:ext cx="2319144" cy="841384"/>
                    </a:xfrm>
                    <a:prstGeom prst="rect">
                      <a:avLst/>
                    </a:prstGeom>
                  </pic:spPr>
                </pic:pic>
              </a:graphicData>
            </a:graphic>
          </wp:inline>
        </w:drawing>
      </w:r>
    </w:p>
    <w:p w14:paraId="1389FB7D" w14:textId="77777777" w:rsidR="00234A76" w:rsidRDefault="00234A76" w:rsidP="00234A76">
      <w:pPr>
        <w:pStyle w:val="BodyText"/>
        <w:jc w:val="right"/>
        <w:rPr>
          <w:rFonts w:ascii="Times New Roman" w:hAnsi="Times New Roman"/>
          <w:noProof/>
          <w:sz w:val="24"/>
        </w:rPr>
      </w:pPr>
    </w:p>
    <w:p w14:paraId="50488A7F" w14:textId="77777777" w:rsidR="00234A76" w:rsidRPr="003043CA" w:rsidRDefault="00234A76" w:rsidP="00234A76">
      <w:pPr>
        <w:pStyle w:val="BodyText"/>
        <w:jc w:val="right"/>
        <w:rPr>
          <w:rFonts w:ascii="Times New Roman" w:hAnsi="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3007"/>
        <w:gridCol w:w="1700"/>
        <w:gridCol w:w="2267"/>
        <w:gridCol w:w="2154"/>
      </w:tblGrid>
      <w:tr w:rsidR="00234A76" w:rsidRPr="003043CA" w14:paraId="7BE7B5E0" w14:textId="77777777" w:rsidTr="008E08A1">
        <w:trPr>
          <w:trHeight w:val="275"/>
        </w:trPr>
        <w:tc>
          <w:tcPr>
            <w:tcW w:w="1647" w:type="pct"/>
          </w:tcPr>
          <w:p w14:paraId="6AD551C2" w14:textId="77777777" w:rsidR="00AD4B3F" w:rsidRPr="003043CA" w:rsidRDefault="00AD4B3F" w:rsidP="003043CA">
            <w:pPr>
              <w:pStyle w:val="TableParagraph"/>
              <w:spacing w:before="0"/>
              <w:ind w:left="0"/>
              <w:jc w:val="both"/>
              <w:rPr>
                <w:rFonts w:ascii="Times New Roman" w:hAnsi="Times New Roman"/>
                <w:b/>
                <w:noProof/>
                <w:sz w:val="24"/>
              </w:rPr>
            </w:pPr>
            <w:r>
              <w:rPr>
                <w:rFonts w:ascii="Times New Roman" w:hAnsi="Times New Roman"/>
                <w:b/>
                <w:sz w:val="24"/>
              </w:rPr>
              <w:t>MINISTRU VIETNIEKI</w:t>
            </w:r>
          </w:p>
        </w:tc>
        <w:tc>
          <w:tcPr>
            <w:tcW w:w="931" w:type="pct"/>
          </w:tcPr>
          <w:p w14:paraId="14AE7498" w14:textId="77777777" w:rsidR="00AD4B3F" w:rsidRPr="003043CA" w:rsidRDefault="00AD4B3F" w:rsidP="003043CA">
            <w:pPr>
              <w:pStyle w:val="TableParagraph"/>
              <w:spacing w:before="0"/>
              <w:ind w:left="0"/>
              <w:jc w:val="both"/>
              <w:rPr>
                <w:rFonts w:ascii="Times New Roman" w:hAnsi="Times New Roman"/>
                <w:noProof/>
                <w:sz w:val="24"/>
              </w:rPr>
            </w:pPr>
            <w:r>
              <w:rPr>
                <w:rFonts w:ascii="Times New Roman" w:hAnsi="Times New Roman"/>
                <w:sz w:val="24"/>
              </w:rPr>
              <w:t>Ieteikumi</w:t>
            </w:r>
          </w:p>
        </w:tc>
        <w:tc>
          <w:tcPr>
            <w:tcW w:w="1242" w:type="pct"/>
          </w:tcPr>
          <w:p w14:paraId="03BB9B1A" w14:textId="77777777" w:rsidR="00AD4B3F" w:rsidRPr="003043CA" w:rsidRDefault="00AD4B3F" w:rsidP="003043CA">
            <w:pPr>
              <w:pStyle w:val="TableParagraph"/>
              <w:spacing w:before="0"/>
              <w:ind w:left="0"/>
              <w:jc w:val="both"/>
              <w:rPr>
                <w:rFonts w:ascii="Times New Roman" w:hAnsi="Times New Roman"/>
                <w:b/>
                <w:noProof/>
                <w:sz w:val="24"/>
              </w:rPr>
            </w:pPr>
            <w:r>
              <w:rPr>
                <w:rFonts w:ascii="Times New Roman" w:hAnsi="Times New Roman"/>
                <w:b/>
                <w:sz w:val="24"/>
              </w:rPr>
              <w:t>CM/Rec(2021)2</w:t>
            </w:r>
          </w:p>
        </w:tc>
        <w:tc>
          <w:tcPr>
            <w:tcW w:w="1180" w:type="pct"/>
          </w:tcPr>
          <w:p w14:paraId="4F39EA8B" w14:textId="77777777" w:rsidR="00AD4B3F" w:rsidRPr="003043CA" w:rsidRDefault="00AD4B3F" w:rsidP="003043CA">
            <w:pPr>
              <w:pStyle w:val="TableParagraph"/>
              <w:spacing w:before="0"/>
              <w:ind w:left="0"/>
              <w:jc w:val="both"/>
              <w:rPr>
                <w:rFonts w:ascii="Times New Roman" w:hAnsi="Times New Roman"/>
                <w:noProof/>
                <w:sz w:val="24"/>
              </w:rPr>
            </w:pPr>
            <w:r>
              <w:rPr>
                <w:rFonts w:ascii="Times New Roman" w:hAnsi="Times New Roman"/>
                <w:sz w:val="24"/>
              </w:rPr>
              <w:t>2021. gada 31. marts</w:t>
            </w:r>
          </w:p>
        </w:tc>
      </w:tr>
    </w:tbl>
    <w:p w14:paraId="03395B59" w14:textId="1F274020" w:rsidR="00AD4B3F" w:rsidRDefault="00AD4B3F" w:rsidP="003043CA">
      <w:pPr>
        <w:pStyle w:val="BodyText"/>
        <w:jc w:val="both"/>
        <w:rPr>
          <w:rFonts w:ascii="Times New Roman" w:hAnsi="Times New Roman"/>
          <w:noProof/>
          <w:sz w:val="24"/>
        </w:rPr>
      </w:pPr>
    </w:p>
    <w:p w14:paraId="3F56903B" w14:textId="77777777" w:rsidR="00234A76" w:rsidRDefault="00234A76" w:rsidP="003043CA">
      <w:pPr>
        <w:pStyle w:val="BodyText"/>
        <w:jc w:val="both"/>
        <w:rPr>
          <w:rFonts w:ascii="Times New Roman" w:hAnsi="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234A76" w14:paraId="091C2D86" w14:textId="77777777" w:rsidTr="0001602A">
        <w:tc>
          <w:tcPr>
            <w:tcW w:w="5000" w:type="pct"/>
            <w:tcBorders>
              <w:left w:val="nil"/>
              <w:right w:val="nil"/>
            </w:tcBorders>
          </w:tcPr>
          <w:p w14:paraId="395DDC78" w14:textId="77777777" w:rsidR="0001602A" w:rsidRPr="003043CA" w:rsidRDefault="0001602A" w:rsidP="0001602A">
            <w:pPr>
              <w:pStyle w:val="BodyText"/>
              <w:jc w:val="both"/>
              <w:rPr>
                <w:rFonts w:ascii="Times New Roman" w:hAnsi="Times New Roman"/>
                <w:noProof/>
                <w:sz w:val="24"/>
              </w:rPr>
            </w:pPr>
          </w:p>
          <w:p w14:paraId="60DFBE6F" w14:textId="77777777" w:rsidR="0001602A" w:rsidRPr="000E7831" w:rsidRDefault="0001602A" w:rsidP="0001602A">
            <w:pPr>
              <w:pStyle w:val="Title"/>
              <w:spacing w:before="0"/>
              <w:ind w:left="0" w:right="0"/>
              <w:jc w:val="both"/>
              <w:rPr>
                <w:rFonts w:ascii="Times New Roman" w:hAnsi="Times New Roman"/>
                <w:noProof/>
                <w:szCs w:val="32"/>
              </w:rPr>
            </w:pPr>
            <w:r>
              <w:rPr>
                <w:rFonts w:ascii="Times New Roman" w:hAnsi="Times New Roman"/>
              </w:rPr>
              <w:t>Ministru komitejas Ieteikums CM/Rec(2021)2 dalībvalstīm par pasākumiem, kas veicami, lai novērstu tādu preču tirdzniecību, ko varētu izmantot nāvessoda izpildei, spīdzināšanai un citiem nežēlīgas, necilvēcīgas vai pazemojošas izturēšanās vai sodīšanas veidiem</w:t>
            </w:r>
          </w:p>
          <w:p w14:paraId="0299962C" w14:textId="77777777" w:rsidR="0001602A" w:rsidRPr="003043CA" w:rsidRDefault="0001602A" w:rsidP="0001602A">
            <w:pPr>
              <w:pStyle w:val="Title"/>
              <w:spacing w:before="0"/>
              <w:ind w:left="0" w:right="0"/>
              <w:jc w:val="both"/>
              <w:rPr>
                <w:rFonts w:ascii="Times New Roman" w:hAnsi="Times New Roman"/>
                <w:noProof/>
                <w:sz w:val="24"/>
              </w:rPr>
            </w:pPr>
          </w:p>
          <w:p w14:paraId="5922D466" w14:textId="77777777" w:rsidR="0001602A" w:rsidRPr="003043CA" w:rsidRDefault="0001602A" w:rsidP="0001602A">
            <w:pPr>
              <w:jc w:val="both"/>
              <w:rPr>
                <w:rFonts w:ascii="Times New Roman" w:hAnsi="Times New Roman"/>
                <w:i/>
                <w:noProof/>
                <w:sz w:val="24"/>
              </w:rPr>
            </w:pPr>
            <w:r>
              <w:rPr>
                <w:rFonts w:ascii="Times New Roman" w:hAnsi="Times New Roman"/>
                <w:i/>
                <w:sz w:val="24"/>
              </w:rPr>
              <w:t>(Pieņēmusi Ministru komiteja ministru vietnieku 1400. sanāksmē 2021. gada 31. martā.)</w:t>
            </w:r>
          </w:p>
          <w:p w14:paraId="23081BB8" w14:textId="77777777" w:rsidR="00234A76" w:rsidRDefault="00234A76" w:rsidP="003043CA">
            <w:pPr>
              <w:pStyle w:val="BodyText"/>
              <w:jc w:val="both"/>
              <w:rPr>
                <w:rFonts w:ascii="Times New Roman" w:hAnsi="Times New Roman"/>
                <w:noProof/>
                <w:sz w:val="24"/>
              </w:rPr>
            </w:pPr>
          </w:p>
        </w:tc>
      </w:tr>
    </w:tbl>
    <w:p w14:paraId="5F822EE3" w14:textId="2121429F" w:rsidR="008E37A4" w:rsidRDefault="008E37A4" w:rsidP="008E37A4">
      <w:pPr>
        <w:pStyle w:val="BodyText"/>
        <w:tabs>
          <w:tab w:val="left" w:pos="6828"/>
        </w:tabs>
        <w:jc w:val="both"/>
        <w:rPr>
          <w:rFonts w:ascii="Times New Roman" w:hAnsi="Times New Roman"/>
          <w:i/>
          <w:noProof/>
          <w:sz w:val="24"/>
        </w:rPr>
      </w:pPr>
    </w:p>
    <w:p w14:paraId="3221F3FF" w14:textId="77777777" w:rsidR="008E37A4" w:rsidRPr="003043CA" w:rsidRDefault="008E37A4" w:rsidP="008E37A4">
      <w:pPr>
        <w:pStyle w:val="BodyText"/>
        <w:tabs>
          <w:tab w:val="left" w:pos="6828"/>
        </w:tabs>
        <w:jc w:val="both"/>
        <w:rPr>
          <w:rFonts w:ascii="Times New Roman" w:hAnsi="Times New Roman"/>
          <w:i/>
          <w:noProof/>
          <w:sz w:val="24"/>
        </w:rPr>
      </w:pPr>
    </w:p>
    <w:p w14:paraId="7BD7A881" w14:textId="77777777" w:rsidR="00AD4B3F" w:rsidRDefault="00AD4B3F" w:rsidP="003043CA">
      <w:pPr>
        <w:pStyle w:val="BodyText"/>
        <w:jc w:val="both"/>
        <w:rPr>
          <w:rFonts w:ascii="Times New Roman" w:hAnsi="Times New Roman"/>
          <w:noProof/>
          <w:sz w:val="24"/>
        </w:rPr>
      </w:pPr>
      <w:r>
        <w:rPr>
          <w:rFonts w:ascii="Times New Roman" w:hAnsi="Times New Roman"/>
          <w:sz w:val="24"/>
        </w:rPr>
        <w:t>Ministru komiteja saskaņā ar Eiropas Padomes Statūtu 15. panta b) punkta noteikumiem (ELS Nr. 1),</w:t>
      </w:r>
    </w:p>
    <w:p w14:paraId="1C195716" w14:textId="77777777" w:rsidR="00FC60F2" w:rsidRPr="003043CA" w:rsidRDefault="00FC60F2" w:rsidP="003043CA">
      <w:pPr>
        <w:pStyle w:val="BodyText"/>
        <w:jc w:val="both"/>
        <w:rPr>
          <w:rFonts w:ascii="Times New Roman" w:hAnsi="Times New Roman"/>
          <w:noProof/>
          <w:sz w:val="24"/>
        </w:rPr>
      </w:pPr>
    </w:p>
    <w:p w14:paraId="0D2BEDE9" w14:textId="228B2EE8" w:rsidR="00AD4B3F" w:rsidRPr="003043CA" w:rsidRDefault="00AD4B3F" w:rsidP="003043CA">
      <w:pPr>
        <w:pStyle w:val="BodyText"/>
        <w:jc w:val="both"/>
        <w:rPr>
          <w:rFonts w:ascii="Times New Roman" w:hAnsi="Times New Roman"/>
          <w:noProof/>
          <w:sz w:val="24"/>
        </w:rPr>
      </w:pPr>
      <w:r>
        <w:rPr>
          <w:rFonts w:ascii="Times New Roman" w:hAnsi="Times New Roman"/>
          <w:sz w:val="24"/>
        </w:rPr>
        <w:t xml:space="preserve">ņemot vērā, ka Eiropas Padomes mērķis ir panākt lielāku tās dalībvalstu vienotību, </w:t>
      </w:r>
      <w:r>
        <w:rPr>
          <w:rFonts w:ascii="Times New Roman" w:hAnsi="Times New Roman"/>
          <w:i/>
          <w:sz w:val="24"/>
        </w:rPr>
        <w:t xml:space="preserve">inter alia </w:t>
      </w:r>
      <w:r>
        <w:rPr>
          <w:rFonts w:ascii="Times New Roman" w:hAnsi="Times New Roman"/>
          <w:sz w:val="24"/>
        </w:rPr>
        <w:t xml:space="preserve"> veicinot kopīgus standartus un īstenojot darbības cilvēktiesību jomā;</w:t>
      </w:r>
    </w:p>
    <w:p w14:paraId="6952B5FF" w14:textId="77777777" w:rsidR="00AD4B3F" w:rsidRPr="003043CA" w:rsidRDefault="00AD4B3F" w:rsidP="003043CA">
      <w:pPr>
        <w:pStyle w:val="BodyText"/>
        <w:jc w:val="both"/>
        <w:rPr>
          <w:rFonts w:ascii="Times New Roman" w:hAnsi="Times New Roman"/>
          <w:noProof/>
          <w:sz w:val="24"/>
        </w:rPr>
      </w:pPr>
    </w:p>
    <w:p w14:paraId="251CD3E0" w14:textId="77777777" w:rsidR="00AD4B3F" w:rsidRPr="003043CA" w:rsidRDefault="00AD4B3F" w:rsidP="003043CA">
      <w:pPr>
        <w:pStyle w:val="BodyText"/>
        <w:jc w:val="both"/>
        <w:rPr>
          <w:rFonts w:ascii="Times New Roman" w:hAnsi="Times New Roman"/>
          <w:noProof/>
          <w:sz w:val="24"/>
        </w:rPr>
      </w:pPr>
      <w:r>
        <w:rPr>
          <w:rFonts w:ascii="Times New Roman" w:hAnsi="Times New Roman"/>
          <w:sz w:val="24"/>
        </w:rPr>
        <w:t>atgādinot, ka dalībvalstu pienākums ir nodrošināt visām personām, kuras ir to jurisdikcijā, tiesības un brīvības, kas noteiktas Eiropas Cilvēktiesību konvencijā (ELS Nr. 5) un tās protokolos;</w:t>
      </w:r>
    </w:p>
    <w:p w14:paraId="5EA84C26" w14:textId="77777777" w:rsidR="00FC60F2" w:rsidRDefault="00FC60F2" w:rsidP="003043CA">
      <w:pPr>
        <w:pStyle w:val="BodyText"/>
        <w:jc w:val="both"/>
        <w:rPr>
          <w:rFonts w:ascii="Times New Roman" w:hAnsi="Times New Roman"/>
          <w:noProof/>
          <w:sz w:val="24"/>
        </w:rPr>
      </w:pPr>
    </w:p>
    <w:p w14:paraId="5DF902DA" w14:textId="4CF49942" w:rsidR="00AD4B3F" w:rsidRPr="003043CA" w:rsidRDefault="00AD4B3F" w:rsidP="003043CA">
      <w:pPr>
        <w:pStyle w:val="BodyText"/>
        <w:jc w:val="both"/>
        <w:rPr>
          <w:rFonts w:ascii="Times New Roman" w:hAnsi="Times New Roman"/>
          <w:noProof/>
          <w:sz w:val="24"/>
        </w:rPr>
      </w:pPr>
      <w:r>
        <w:rPr>
          <w:rFonts w:ascii="Times New Roman" w:hAnsi="Times New Roman"/>
          <w:sz w:val="24"/>
        </w:rPr>
        <w:t>atkārtoti uzsverot, ka tās ir nelokāmi apņēmušās atcelt nāvessodu saskaņā ar Eiropas Cilvēktiesību konvencijas Protokolu Nr. 6 (ELS Nr. 114) un Protokolu Nr. 13 (ELS Nr. 187);</w:t>
      </w:r>
    </w:p>
    <w:p w14:paraId="34EF542A" w14:textId="77777777" w:rsidR="00AD4B3F" w:rsidRPr="003043CA" w:rsidRDefault="00AD4B3F" w:rsidP="003043CA">
      <w:pPr>
        <w:pStyle w:val="BodyText"/>
        <w:jc w:val="both"/>
        <w:rPr>
          <w:rFonts w:ascii="Times New Roman" w:hAnsi="Times New Roman"/>
          <w:noProof/>
          <w:sz w:val="24"/>
        </w:rPr>
      </w:pPr>
    </w:p>
    <w:p w14:paraId="5C7CA978" w14:textId="77777777" w:rsidR="00AD4B3F" w:rsidRPr="003043CA" w:rsidRDefault="00AD4B3F" w:rsidP="003043CA">
      <w:pPr>
        <w:pStyle w:val="BodyText"/>
        <w:jc w:val="both"/>
        <w:rPr>
          <w:rFonts w:ascii="Times New Roman" w:hAnsi="Times New Roman"/>
          <w:noProof/>
          <w:sz w:val="24"/>
        </w:rPr>
      </w:pPr>
      <w:r>
        <w:rPr>
          <w:rFonts w:ascii="Times New Roman" w:hAnsi="Times New Roman"/>
          <w:sz w:val="24"/>
        </w:rPr>
        <w:t>atgādinot dalībvalstu pienākumu aizliegt spīdzināšanu un necilvēcīgu vai pazemojošu rīcību vai sodīšanu saskaņā ar Eiropas Cilvēktiesību konvencijas 3. pantu, Eiropas Konvenciju par spīdzināšanas un necilvēcīgas vai pazemojošas rīcības vai soda novēršanu (ELS Nr. 126) un Apvienoto Nāciju Organizācijas Konvenciju pret spīdzināšanu un citiem nežēlīgas, necilvēcīgas vai pazemojošas izturēšanās vai sodīšanas veidiem un tās fakultatīvo protokolu;</w:t>
      </w:r>
    </w:p>
    <w:p w14:paraId="357E551C" w14:textId="77777777" w:rsidR="00AD4B3F" w:rsidRPr="003043CA" w:rsidRDefault="00AD4B3F" w:rsidP="003043CA">
      <w:pPr>
        <w:pStyle w:val="BodyText"/>
        <w:jc w:val="both"/>
        <w:rPr>
          <w:rFonts w:ascii="Times New Roman" w:hAnsi="Times New Roman"/>
          <w:noProof/>
          <w:sz w:val="24"/>
        </w:rPr>
      </w:pPr>
    </w:p>
    <w:p w14:paraId="4A93D7F5" w14:textId="77777777" w:rsidR="00AD4B3F" w:rsidRDefault="00AD4B3F" w:rsidP="003043CA">
      <w:pPr>
        <w:pStyle w:val="BodyText"/>
        <w:jc w:val="both"/>
        <w:rPr>
          <w:rFonts w:ascii="Times New Roman" w:hAnsi="Times New Roman"/>
          <w:noProof/>
          <w:sz w:val="24"/>
        </w:rPr>
      </w:pPr>
      <w:r>
        <w:rPr>
          <w:rFonts w:ascii="Times New Roman" w:hAnsi="Times New Roman"/>
          <w:sz w:val="24"/>
        </w:rPr>
        <w:t>uzsverot to, cik liela nozīme ir tiesībsargājošo amatpersonu sākotnējām un pastāvīgām mācībām par drošības aprīkojuma atbilstošu izmantošanu saskaņā ar starptautiskajiem un reģionālajiem cilvēktiesību standartiem, un ka konsekventi ir jānovērš iespēja, ka tiek mācīta nelikumīga prakse, kas ir pretrunā šiem standartiem;</w:t>
      </w:r>
    </w:p>
    <w:p w14:paraId="77BDF6DE" w14:textId="77777777" w:rsidR="00FC60F2" w:rsidRPr="003043CA" w:rsidRDefault="00FC60F2" w:rsidP="003043CA">
      <w:pPr>
        <w:pStyle w:val="BodyText"/>
        <w:jc w:val="both"/>
        <w:rPr>
          <w:rFonts w:ascii="Times New Roman" w:hAnsi="Times New Roman"/>
          <w:noProof/>
          <w:sz w:val="24"/>
        </w:rPr>
      </w:pPr>
    </w:p>
    <w:p w14:paraId="24D0A21B" w14:textId="77777777" w:rsidR="00AD4B3F" w:rsidRPr="003043CA" w:rsidRDefault="00AD4B3F" w:rsidP="003043CA">
      <w:pPr>
        <w:pStyle w:val="BodyText"/>
        <w:jc w:val="both"/>
        <w:rPr>
          <w:rFonts w:ascii="Times New Roman" w:hAnsi="Times New Roman"/>
          <w:noProof/>
          <w:sz w:val="24"/>
        </w:rPr>
      </w:pPr>
      <w:r>
        <w:rPr>
          <w:rFonts w:ascii="Times New Roman" w:hAnsi="Times New Roman"/>
          <w:sz w:val="24"/>
        </w:rPr>
        <w:t>ņemot vērā Eiropas Cilvēktiesību tiesas judikatūru un standartus, ko izstrādājusi Eiropas Komiteja spīdzināšanas un necilvēcīgas vai pazemojošas rīcības vai soda novēršanai, par noteikta tiesībaizsardzības iestādēm paredzēta aprīkojuma izmantošanu;</w:t>
      </w:r>
    </w:p>
    <w:p w14:paraId="72E79FF3" w14:textId="77777777" w:rsidR="00AD4B3F" w:rsidRPr="003043CA" w:rsidRDefault="00AD4B3F" w:rsidP="003043CA">
      <w:pPr>
        <w:pStyle w:val="BodyText"/>
        <w:jc w:val="both"/>
        <w:rPr>
          <w:rFonts w:ascii="Times New Roman" w:hAnsi="Times New Roman"/>
          <w:noProof/>
          <w:sz w:val="24"/>
        </w:rPr>
      </w:pPr>
    </w:p>
    <w:p w14:paraId="3AF02BAF" w14:textId="77777777" w:rsidR="00AD4B3F" w:rsidRDefault="00AD4B3F" w:rsidP="00957682">
      <w:pPr>
        <w:pStyle w:val="BodyText"/>
        <w:keepNext/>
        <w:keepLines/>
        <w:jc w:val="both"/>
        <w:rPr>
          <w:rFonts w:ascii="Times New Roman" w:hAnsi="Times New Roman"/>
          <w:noProof/>
          <w:sz w:val="24"/>
        </w:rPr>
      </w:pPr>
      <w:r>
        <w:rPr>
          <w:rFonts w:ascii="Times New Roman" w:hAnsi="Times New Roman"/>
          <w:sz w:val="24"/>
        </w:rPr>
        <w:lastRenderedPageBreak/>
        <w:t>atgādinot Parlamentārās asamblejas Ieteikumu 2123(2018) “Strengthening international regulations against trade in goods used for torture and the death penalty” [Starptautiskā regulējuma stiprināšana cīņai pret tādu preču tirdzniecību, ko izmanto spīdzināšanai un nāvessoda izpildei], kurā aicināts izstrādāt tehniskās vadlīnijas par efektīva regulatīvā režīma izveidi un īstenošanu;</w:t>
      </w:r>
    </w:p>
    <w:p w14:paraId="2703497E" w14:textId="77777777" w:rsidR="00FC60F2" w:rsidRPr="003043CA" w:rsidRDefault="00FC60F2" w:rsidP="003043CA">
      <w:pPr>
        <w:pStyle w:val="BodyText"/>
        <w:jc w:val="both"/>
        <w:rPr>
          <w:rFonts w:ascii="Times New Roman" w:hAnsi="Times New Roman"/>
          <w:noProof/>
          <w:sz w:val="24"/>
        </w:rPr>
      </w:pPr>
    </w:p>
    <w:p w14:paraId="2AC89C89" w14:textId="77777777" w:rsidR="00AD4B3F" w:rsidRPr="003043CA" w:rsidRDefault="00AD4B3F" w:rsidP="003043CA">
      <w:pPr>
        <w:pStyle w:val="BodyText"/>
        <w:jc w:val="both"/>
        <w:rPr>
          <w:rFonts w:ascii="Times New Roman" w:hAnsi="Times New Roman"/>
          <w:noProof/>
          <w:sz w:val="24"/>
        </w:rPr>
      </w:pPr>
      <w:r>
        <w:rPr>
          <w:rFonts w:ascii="Times New Roman" w:hAnsi="Times New Roman"/>
          <w:sz w:val="24"/>
        </w:rPr>
        <w:t>ņemot vērā i) Apvienoto Nāciju Organizācijas Ģenerālās Asamblejas rezolūcijas A/RES/74/143 “Torture and other cruel, inhuman or degrading treatment or punishment” [Pret spīdzināšanu un citiem nežēlīgas, necilvēcīgas vai pazemojošas izturēšanās vai sodīšanas veidiem] un A/RES/73/304 “Towards torture-free trade: examining the feasibility, scope and parameters for possible common international standards” [Pret tādu preču tirdzniecību, ko izmanto spīdzināšanai: iespējamu kopīgu starptautisko standartu pamatojuma, tvēruma un parametru izvērtējums], kā arī ANO ģenerālsekretāra turpmāko ziņojumu A/74/969, kurā konstatēts, ka vairums atbildētājvalstu ir paudušas atbalstu kopīgu starptautisko standartu izstrādei un lielākā daļa piekritušas, ka ir jāizstrādā juridiski saistošs tiesību akts, ar kuru tiktu noteikti pasākumi, lai kontrolētu un ierobežotu tādu preču tirdzniecību, ko izmanto nāvessoda izpildei, spīdzināšanai un citiem ļaunprātīgas izturēšanās veidiem; ii) Eiropas Parlamenta un Padomes Regulu (ES) 2019/125 (2019. gada 16. janvāris) par tādu preču tirdzniecību, ko varētu izmantot nāvessoda izpildei, spīdzināšanai vai citādai nežēlīgai, necilvēcīgai vai pazemojošai rīcībai vai sodīšanai, un iii) ANO 2011. gada dokumentu “Uzņēmējdarbības un cilvēktiesību pamatprincipi. Apvienoto Nāciju Organizācijas “aizsargāt, ievērot un atlīdzināt” ietvara īstenošana”;</w:t>
      </w:r>
    </w:p>
    <w:p w14:paraId="39CE0C8A" w14:textId="77777777" w:rsidR="00AD4B3F" w:rsidRPr="003043CA" w:rsidRDefault="00AD4B3F" w:rsidP="003043CA">
      <w:pPr>
        <w:pStyle w:val="BodyText"/>
        <w:jc w:val="both"/>
        <w:rPr>
          <w:rFonts w:ascii="Times New Roman" w:hAnsi="Times New Roman"/>
          <w:noProof/>
          <w:sz w:val="24"/>
        </w:rPr>
      </w:pPr>
    </w:p>
    <w:p w14:paraId="0EB76667" w14:textId="77777777" w:rsidR="00AD4B3F" w:rsidRPr="003043CA" w:rsidRDefault="00AD4B3F" w:rsidP="003043CA">
      <w:pPr>
        <w:pStyle w:val="BodyText"/>
        <w:jc w:val="both"/>
        <w:rPr>
          <w:rFonts w:ascii="Times New Roman" w:hAnsi="Times New Roman"/>
          <w:noProof/>
          <w:sz w:val="24"/>
        </w:rPr>
      </w:pPr>
      <w:r>
        <w:rPr>
          <w:rFonts w:ascii="Times New Roman" w:hAnsi="Times New Roman"/>
          <w:sz w:val="24"/>
        </w:rPr>
        <w:t>atgādinot Ministru komitejas Ieteikumu CM/Rec(2016)3 dalībvalstīm par cilvēktiesībām un uzņēmējdarbību, kurā tika uzsvērta nepieciešamība nodrošināt, ka uzņēmumi, kas veic uzņēmējdarbību dalībvalstīs, netirgo preces, kas praktiski tiek lietotas vienīgi nāvessoda izpildei, spīdzināšanai un citiem nežēlīgas, necilvēcīgas vai pazemojošas izturēšanās vai sodīšanas veidiem trešajās valstīs;</w:t>
      </w:r>
    </w:p>
    <w:p w14:paraId="2CE02AAD" w14:textId="77777777" w:rsidR="00AD4B3F" w:rsidRPr="003043CA" w:rsidRDefault="00AD4B3F" w:rsidP="003043CA">
      <w:pPr>
        <w:pStyle w:val="BodyText"/>
        <w:jc w:val="both"/>
        <w:rPr>
          <w:rFonts w:ascii="Times New Roman" w:hAnsi="Times New Roman"/>
          <w:noProof/>
          <w:sz w:val="24"/>
        </w:rPr>
      </w:pPr>
    </w:p>
    <w:p w14:paraId="2ED1FD99" w14:textId="77777777" w:rsidR="00AD4B3F" w:rsidRDefault="00AD4B3F" w:rsidP="003043CA">
      <w:pPr>
        <w:pStyle w:val="BodyText"/>
        <w:jc w:val="both"/>
        <w:rPr>
          <w:rFonts w:ascii="Times New Roman" w:hAnsi="Times New Roman"/>
          <w:noProof/>
          <w:sz w:val="24"/>
        </w:rPr>
      </w:pPr>
      <w:r>
        <w:rPr>
          <w:rFonts w:ascii="Times New Roman" w:hAnsi="Times New Roman"/>
          <w:sz w:val="24"/>
        </w:rPr>
        <w:t>uzsverot ieinteresētību, pamatojoties uz dažādām iespējām, izstrādāt daudzpusēji saskaņotus kopīgus starptautiskos standartus par tāda aprīkojuma tirdzniecību, kas pēc būtības tiek lietots nežēlīgā, necilvēcīgā vai pazemojošā veidā, kā arī tiesībaizsardzības iestādēm paredzēta aprīkojuma, ieroču un citu tādu preču tirdzniecību, kuras var ļaunprātīgi izmantot nāvessoda izpildei, spīdzināšanai un citiem nežēlīgas, necilvēcīgas vai pazemojošas izturēšanās vai sodīšanas veidiem;</w:t>
      </w:r>
    </w:p>
    <w:p w14:paraId="76A41FC2" w14:textId="77777777" w:rsidR="00D70994" w:rsidRPr="003043CA" w:rsidRDefault="00D70994" w:rsidP="003043CA">
      <w:pPr>
        <w:pStyle w:val="BodyText"/>
        <w:jc w:val="both"/>
        <w:rPr>
          <w:rFonts w:ascii="Times New Roman" w:hAnsi="Times New Roman"/>
          <w:noProof/>
          <w:sz w:val="24"/>
        </w:rPr>
      </w:pPr>
    </w:p>
    <w:p w14:paraId="48FAACC0" w14:textId="77777777" w:rsidR="00AD4B3F" w:rsidRPr="003043CA" w:rsidRDefault="00AD4B3F" w:rsidP="003043CA">
      <w:pPr>
        <w:pStyle w:val="BodyText"/>
        <w:jc w:val="both"/>
        <w:rPr>
          <w:rFonts w:ascii="Times New Roman" w:hAnsi="Times New Roman"/>
          <w:noProof/>
          <w:sz w:val="24"/>
        </w:rPr>
      </w:pPr>
      <w:r>
        <w:rPr>
          <w:rFonts w:ascii="Times New Roman" w:hAnsi="Times New Roman"/>
          <w:sz w:val="24"/>
        </w:rPr>
        <w:t>paužot dziļas bažas, ka noteikts aprīkojums un preces, kuru vienīgais praktiskais lietojums ir spīdzināšana un citi nežēlīgas, necilvēcīgas un pazemojošas izturēšanās vai sodīšanas veidi, var ražot, reklamēt vai tirgot Eiropas Padomes dalībvalstīs, tostarp Eiropas tirdzniecības izstādēs vai Eiropas uzņēmumu vai Eiropā strādājošo uzņēmumu tīmekļa vietnēs,</w:t>
      </w:r>
    </w:p>
    <w:p w14:paraId="53C2173E" w14:textId="77777777" w:rsidR="00AD4B3F" w:rsidRPr="003043CA" w:rsidRDefault="00AD4B3F" w:rsidP="003043CA">
      <w:pPr>
        <w:pStyle w:val="BodyText"/>
        <w:jc w:val="both"/>
        <w:rPr>
          <w:rFonts w:ascii="Times New Roman" w:hAnsi="Times New Roman"/>
          <w:noProof/>
          <w:sz w:val="24"/>
        </w:rPr>
      </w:pPr>
    </w:p>
    <w:p w14:paraId="58028907" w14:textId="77777777" w:rsidR="00AD4B3F" w:rsidRDefault="00AD4B3F" w:rsidP="003043CA">
      <w:pPr>
        <w:pStyle w:val="BodyText"/>
        <w:jc w:val="both"/>
        <w:rPr>
          <w:rFonts w:ascii="Times New Roman" w:hAnsi="Times New Roman"/>
          <w:noProof/>
          <w:sz w:val="24"/>
        </w:rPr>
      </w:pPr>
      <w:r>
        <w:rPr>
          <w:rFonts w:ascii="Times New Roman" w:hAnsi="Times New Roman"/>
          <w:sz w:val="24"/>
        </w:rPr>
        <w:t>iesaka dalībvalstu valdībām:</w:t>
      </w:r>
    </w:p>
    <w:p w14:paraId="0D45CAAB" w14:textId="77777777" w:rsidR="00D70994" w:rsidRPr="003043CA" w:rsidRDefault="00D70994" w:rsidP="003043CA">
      <w:pPr>
        <w:pStyle w:val="BodyText"/>
        <w:jc w:val="both"/>
        <w:rPr>
          <w:rFonts w:ascii="Times New Roman" w:hAnsi="Times New Roman"/>
          <w:noProof/>
          <w:sz w:val="24"/>
        </w:rPr>
      </w:pPr>
    </w:p>
    <w:p w14:paraId="744FB3C5" w14:textId="2D0A4BAE" w:rsidR="00AD4B3F" w:rsidRDefault="00D70994" w:rsidP="00D70994">
      <w:pPr>
        <w:pStyle w:val="ListParagraph"/>
        <w:tabs>
          <w:tab w:val="left" w:pos="825"/>
        </w:tabs>
        <w:ind w:left="0"/>
        <w:jc w:val="both"/>
        <w:rPr>
          <w:rFonts w:ascii="Times New Roman" w:hAnsi="Times New Roman"/>
          <w:sz w:val="24"/>
        </w:rPr>
      </w:pPr>
      <w:r>
        <w:rPr>
          <w:rFonts w:ascii="Times New Roman" w:hAnsi="Times New Roman"/>
          <w:sz w:val="24"/>
        </w:rPr>
        <w:t>1) regulāri pārskatīt savus valsts tiesību aktus un praksi saistībā ar tādu preču tirdzniecību, kuras savā būtībā ir vardarbīgas, kā arī saistībā ar tādu preču tirdzniecību, kuras var ļaunprātīgi izmantot nāvessoda izpildei, spīdzināšanai un citiem nežēlīgas, necilvēcīgas vai pazemojošas izturēšanās vai sodīšanas veidiem;</w:t>
      </w:r>
    </w:p>
    <w:p w14:paraId="58487E8D" w14:textId="77777777" w:rsidR="00C07989" w:rsidRDefault="00C07989" w:rsidP="00D70994">
      <w:pPr>
        <w:pStyle w:val="ListParagraph"/>
        <w:tabs>
          <w:tab w:val="left" w:pos="825"/>
        </w:tabs>
        <w:ind w:left="0"/>
        <w:jc w:val="both"/>
        <w:rPr>
          <w:rFonts w:ascii="Times New Roman" w:hAnsi="Times New Roman"/>
          <w:sz w:val="24"/>
        </w:rPr>
      </w:pPr>
    </w:p>
    <w:p w14:paraId="67178D5F" w14:textId="77777777" w:rsidR="00C07989" w:rsidRDefault="00C07989" w:rsidP="00D70994">
      <w:pPr>
        <w:pStyle w:val="ListParagraph"/>
        <w:tabs>
          <w:tab w:val="left" w:pos="825"/>
        </w:tabs>
        <w:ind w:left="0"/>
        <w:jc w:val="both"/>
        <w:rPr>
          <w:rFonts w:ascii="Times New Roman" w:hAnsi="Times New Roman"/>
          <w:noProof/>
          <w:sz w:val="24"/>
        </w:rPr>
      </w:pPr>
    </w:p>
    <w:p w14:paraId="4E6C95FB" w14:textId="4546477B" w:rsidR="00C07989" w:rsidRPr="0057504D" w:rsidRDefault="00C07989">
      <w:pPr>
        <w:rPr>
          <w:rFonts w:ascii="Times New Roman" w:hAnsi="Times New Roman"/>
          <w:noProof/>
          <w:sz w:val="20"/>
          <w:szCs w:val="20"/>
        </w:rPr>
      </w:pPr>
      <w:r w:rsidRPr="0057504D">
        <w:rPr>
          <w:rFonts w:ascii="Times New Roman" w:hAnsi="Times New Roman"/>
          <w:noProof/>
          <w:sz w:val="20"/>
          <w:szCs w:val="20"/>
        </w:rPr>
        <w:t>Tīmekļa vietne: www.coe.int/cm</w:t>
      </w:r>
      <w:r w:rsidRPr="0057504D">
        <w:rPr>
          <w:rFonts w:ascii="Times New Roman" w:hAnsi="Times New Roman"/>
          <w:noProof/>
          <w:sz w:val="20"/>
          <w:szCs w:val="20"/>
        </w:rPr>
        <w:br w:type="page"/>
      </w:r>
    </w:p>
    <w:p w14:paraId="302A250B" w14:textId="77777777" w:rsidR="00D70994" w:rsidRPr="003043CA" w:rsidRDefault="00D70994" w:rsidP="00D70994">
      <w:pPr>
        <w:pStyle w:val="ListParagraph"/>
        <w:tabs>
          <w:tab w:val="left" w:pos="825"/>
        </w:tabs>
        <w:ind w:left="0"/>
        <w:jc w:val="both"/>
        <w:rPr>
          <w:rFonts w:ascii="Times New Roman" w:hAnsi="Times New Roman"/>
          <w:noProof/>
          <w:sz w:val="24"/>
        </w:rPr>
      </w:pPr>
    </w:p>
    <w:p w14:paraId="30B091CA" w14:textId="0BBEFAED" w:rsidR="00AD4B3F" w:rsidRDefault="00D70994" w:rsidP="00D70994">
      <w:pPr>
        <w:pStyle w:val="ListParagraph"/>
        <w:tabs>
          <w:tab w:val="left" w:pos="825"/>
        </w:tabs>
        <w:ind w:left="0"/>
        <w:jc w:val="both"/>
        <w:rPr>
          <w:rFonts w:ascii="Times New Roman" w:hAnsi="Times New Roman"/>
          <w:noProof/>
          <w:sz w:val="24"/>
        </w:rPr>
      </w:pPr>
      <w:r>
        <w:rPr>
          <w:rFonts w:ascii="Times New Roman" w:hAnsi="Times New Roman"/>
          <w:sz w:val="24"/>
        </w:rPr>
        <w:t>2) nodrošināt, ka ar atbilstošiem līdzekļiem un darbībām šo ieteikumu papildinājumā noteiktie principi tiek plaši izplatīti kompetentajām iestādēm, jo īpaši tām, kas īsteno un pārrauga noteikumus par tādu preču tirdzniecību, kuras var izmantot nāvessoda izpildei, spīdzināšanai un citiem nežēlīgas, necilvēcīgas vai pazemojošas izturēšanās vai sodīšanas veidiem, īpaši iekļaujot valsts iestādes cilvēktiesību aizsardzības jautājumos, valsts preventīvos mehānismus, tiesībsarga iestādes, attiecīgās arodbiedrības, pilsoniskās sabiedrības organizācijas, uzņēmumus, kas ražo, reklamē un nodod tiesībaizsardzības iestādēm paredzētu aprīkojumu un citas attiecīgās preces, piemēram, noteiktus ķīmiskos farmaceitiskos līdzekļus, un uzņēmumus, kas organizē un vada tirdzniecības izstādes, kā arī citas attiecīgās juridiskās un fiziskās personas, kas pastāvīgi uzturas dalībvalstīs;</w:t>
      </w:r>
    </w:p>
    <w:p w14:paraId="6282AD86" w14:textId="77777777" w:rsidR="00D70994" w:rsidRPr="003043CA" w:rsidRDefault="00D70994" w:rsidP="00D70994">
      <w:pPr>
        <w:pStyle w:val="ListParagraph"/>
        <w:tabs>
          <w:tab w:val="left" w:pos="825"/>
        </w:tabs>
        <w:ind w:left="0"/>
        <w:jc w:val="both"/>
        <w:rPr>
          <w:rFonts w:ascii="Times New Roman" w:hAnsi="Times New Roman"/>
          <w:noProof/>
          <w:sz w:val="24"/>
        </w:rPr>
      </w:pPr>
    </w:p>
    <w:p w14:paraId="24CEFAF8" w14:textId="28F23D79" w:rsidR="00AD4B3F" w:rsidRPr="003043CA" w:rsidRDefault="00D70994" w:rsidP="00D70994">
      <w:pPr>
        <w:pStyle w:val="ListParagraph"/>
        <w:tabs>
          <w:tab w:val="left" w:pos="825"/>
        </w:tabs>
        <w:ind w:left="0"/>
        <w:jc w:val="both"/>
        <w:rPr>
          <w:rFonts w:ascii="Times New Roman" w:hAnsi="Times New Roman"/>
          <w:noProof/>
          <w:sz w:val="24"/>
        </w:rPr>
      </w:pPr>
      <w:r>
        <w:rPr>
          <w:rFonts w:ascii="Times New Roman" w:hAnsi="Times New Roman"/>
          <w:sz w:val="24"/>
        </w:rPr>
        <w:t>3) izvērtēt Ministru komitejā šā ieteikuma īstenošanu ne vēlāk kā piecu gadu laikā pēc tā pieņemšanas.</w:t>
      </w:r>
    </w:p>
    <w:p w14:paraId="337EB4D1" w14:textId="77777777" w:rsidR="00AD4B3F" w:rsidRPr="003043CA" w:rsidRDefault="00AD4B3F" w:rsidP="003043CA">
      <w:pPr>
        <w:pStyle w:val="BodyText"/>
        <w:jc w:val="both"/>
        <w:rPr>
          <w:rFonts w:ascii="Times New Roman" w:hAnsi="Times New Roman"/>
          <w:noProof/>
          <w:sz w:val="24"/>
        </w:rPr>
      </w:pPr>
    </w:p>
    <w:p w14:paraId="1EEB8829" w14:textId="77777777" w:rsidR="00AD4B3F" w:rsidRPr="003043CA" w:rsidRDefault="00AD4B3F" w:rsidP="003043CA">
      <w:pPr>
        <w:jc w:val="both"/>
        <w:rPr>
          <w:rFonts w:ascii="Times New Roman" w:hAnsi="Times New Roman"/>
          <w:i/>
          <w:noProof/>
          <w:sz w:val="24"/>
        </w:rPr>
      </w:pPr>
      <w:r>
        <w:rPr>
          <w:rFonts w:ascii="Times New Roman" w:hAnsi="Times New Roman"/>
          <w:i/>
          <w:sz w:val="24"/>
        </w:rPr>
        <w:t>Ieteikuma CM/Rec(2021)2 papildinājums</w:t>
      </w:r>
    </w:p>
    <w:p w14:paraId="4CD36100" w14:textId="77777777" w:rsidR="00AD4B3F" w:rsidRPr="003043CA" w:rsidRDefault="00AD4B3F" w:rsidP="003043CA">
      <w:pPr>
        <w:pStyle w:val="BodyText"/>
        <w:jc w:val="both"/>
        <w:rPr>
          <w:rFonts w:ascii="Times New Roman" w:hAnsi="Times New Roman"/>
          <w:i/>
          <w:noProof/>
          <w:sz w:val="24"/>
        </w:rPr>
      </w:pPr>
    </w:p>
    <w:p w14:paraId="643D25DC" w14:textId="41B2DF5B" w:rsidR="00AD4B3F" w:rsidRPr="003043CA" w:rsidRDefault="00D70994" w:rsidP="00D70994">
      <w:pPr>
        <w:pStyle w:val="Heading1"/>
        <w:tabs>
          <w:tab w:val="left" w:pos="825"/>
        </w:tabs>
        <w:ind w:left="0" w:firstLine="0"/>
        <w:rPr>
          <w:rFonts w:ascii="Times New Roman" w:hAnsi="Times New Roman"/>
          <w:noProof/>
          <w:sz w:val="24"/>
        </w:rPr>
      </w:pPr>
      <w:r>
        <w:rPr>
          <w:rFonts w:ascii="Times New Roman" w:hAnsi="Times New Roman"/>
          <w:sz w:val="24"/>
        </w:rPr>
        <w:t>1. Pasākumi saistībā ar būtībā vardarbīgu preču un aprīkojuma tirdzniecību</w:t>
      </w:r>
    </w:p>
    <w:p w14:paraId="18E25DD0" w14:textId="77777777" w:rsidR="00AD4B3F" w:rsidRPr="003043CA" w:rsidRDefault="00AD4B3F" w:rsidP="00B44250">
      <w:pPr>
        <w:pStyle w:val="BodyText"/>
        <w:ind w:left="284"/>
        <w:jc w:val="both"/>
        <w:rPr>
          <w:rFonts w:ascii="Times New Roman" w:hAnsi="Times New Roman"/>
          <w:b/>
          <w:noProof/>
          <w:sz w:val="24"/>
        </w:rPr>
      </w:pPr>
    </w:p>
    <w:p w14:paraId="3F35B5D3" w14:textId="20E53ADB" w:rsidR="00AD4B3F" w:rsidRPr="003043CA" w:rsidRDefault="00B44250" w:rsidP="00B44250">
      <w:pPr>
        <w:pStyle w:val="ListParagraph"/>
        <w:tabs>
          <w:tab w:val="left" w:pos="1211"/>
        </w:tabs>
        <w:ind w:left="284"/>
        <w:jc w:val="both"/>
        <w:rPr>
          <w:rFonts w:ascii="Times New Roman" w:hAnsi="Times New Roman"/>
          <w:noProof/>
          <w:sz w:val="24"/>
        </w:rPr>
      </w:pPr>
      <w:r>
        <w:rPr>
          <w:rFonts w:ascii="Times New Roman" w:hAnsi="Times New Roman"/>
          <w:sz w:val="24"/>
        </w:rPr>
        <w:t>1.1. Dalībvalstīm jānodrošina, ka tiek izstrādāts un īstenots tiesiskais regulējums un administratīvi pasākumi nolūkā aizliegt tāda aprīkojuma un preču importu, eksportu un tranzītu, kas praktiski tiek lietots vienīgi nāvessoda izpildei, spīdzināšanai un citiem nežēlīgas, necilvēcīgas vai pazemojošas izturēšanās vai sodīšanas veidiem, un aizliegt sniegt tehnisko palīdzību un mācības saistībā ar šādu aprīkojumu un precēm.</w:t>
      </w:r>
    </w:p>
    <w:p w14:paraId="0A8D4183" w14:textId="77777777" w:rsidR="00AD4B3F" w:rsidRPr="003043CA" w:rsidRDefault="00AD4B3F" w:rsidP="00B44250">
      <w:pPr>
        <w:pStyle w:val="BodyText"/>
        <w:ind w:left="284"/>
        <w:jc w:val="both"/>
        <w:rPr>
          <w:rFonts w:ascii="Times New Roman" w:hAnsi="Times New Roman"/>
          <w:noProof/>
          <w:sz w:val="24"/>
        </w:rPr>
      </w:pPr>
    </w:p>
    <w:p w14:paraId="6816FA9B" w14:textId="7CEB71F3" w:rsidR="00AD4B3F" w:rsidRPr="003043CA" w:rsidRDefault="00B44250" w:rsidP="00B44250">
      <w:pPr>
        <w:pStyle w:val="ListParagraph"/>
        <w:tabs>
          <w:tab w:val="left" w:pos="1211"/>
        </w:tabs>
        <w:ind w:left="284"/>
        <w:jc w:val="both"/>
        <w:rPr>
          <w:rFonts w:ascii="Times New Roman" w:hAnsi="Times New Roman"/>
          <w:noProof/>
          <w:sz w:val="24"/>
        </w:rPr>
      </w:pPr>
      <w:r>
        <w:rPr>
          <w:rFonts w:ascii="Times New Roman" w:hAnsi="Times New Roman"/>
          <w:sz w:val="24"/>
        </w:rPr>
        <w:t>1.2. Dalībvalstīm jānovērš un jāaizliedz tāda aprīkojuma un preču imports, eksports vai tranzīts no savas jurisdikcijas teritorijas, uz savas jurisdikcijas teritoriju vai pāri savas jurisdikcijas teritorijai, kas uzskaitīts 1.3. punktā un kas praktiski tiek lietots vienīgi nāvessoda izpildei, spīdzināšanai un citiem nežēlīgas, necilvēcīgas vai pazemojošas izturēšanās vai sodīšanas veidiem. Turklāt dalībvalsts valstspiederīgajiem un uzņēmumiem jāaizliedz nodarboties ar visu šādu preču un aprīkojuma starpniecību neatkarīgi no to izcelsmes. Izņēmuma kārtā dalībvalstis var atļaut 1.3. punktā uzskaitīto preču un aprīkojuma importu, eksportu vai tranzītu, ja var pierādīt, ka šīs preces tiks izmantotas vienīgi publiskai apskatei muzejā, ņemot vērā to vēsturisko nozīmi.</w:t>
      </w:r>
    </w:p>
    <w:p w14:paraId="5498F91B" w14:textId="77777777" w:rsidR="00AD4B3F" w:rsidRPr="003043CA" w:rsidRDefault="00AD4B3F" w:rsidP="00B44250">
      <w:pPr>
        <w:pStyle w:val="BodyText"/>
        <w:ind w:left="284"/>
        <w:jc w:val="both"/>
        <w:rPr>
          <w:rFonts w:ascii="Times New Roman" w:hAnsi="Times New Roman"/>
          <w:noProof/>
          <w:sz w:val="24"/>
        </w:rPr>
      </w:pPr>
    </w:p>
    <w:p w14:paraId="0B9950C3" w14:textId="33E05F0D" w:rsidR="00AD4B3F" w:rsidRPr="003043CA" w:rsidRDefault="00B44250" w:rsidP="00B44250">
      <w:pPr>
        <w:pStyle w:val="ListParagraph"/>
        <w:tabs>
          <w:tab w:val="left" w:pos="1211"/>
        </w:tabs>
        <w:ind w:left="284"/>
        <w:jc w:val="both"/>
        <w:rPr>
          <w:rFonts w:ascii="Times New Roman" w:hAnsi="Times New Roman"/>
          <w:noProof/>
          <w:sz w:val="24"/>
        </w:rPr>
      </w:pPr>
      <w:r>
        <w:rPr>
          <w:rFonts w:ascii="Times New Roman" w:hAnsi="Times New Roman"/>
          <w:sz w:val="24"/>
        </w:rPr>
        <w:t>1.3. Dalībvalstīm jāizveido aizliegto preču un aprīkojuma saraksts, kurā iekļaujamas vismaz 1. papildinājumā minētās kategorijas. Saraksts regulāri jāpārskata un jāatjaunina, lai ņemtu vērā šāda aprīkojuma pilnveides un lietošanas izmaiņas, kā arī šāda aprīkojuma starptautiskā tirgus izmaiņas.</w:t>
      </w:r>
    </w:p>
    <w:p w14:paraId="5FE2297B" w14:textId="77777777" w:rsidR="00B44250" w:rsidRDefault="00B44250" w:rsidP="00B44250">
      <w:pPr>
        <w:pStyle w:val="ListParagraph"/>
        <w:tabs>
          <w:tab w:val="left" w:pos="1211"/>
        </w:tabs>
        <w:ind w:left="284"/>
        <w:jc w:val="both"/>
        <w:rPr>
          <w:rFonts w:ascii="Times New Roman" w:hAnsi="Times New Roman"/>
          <w:noProof/>
          <w:sz w:val="24"/>
        </w:rPr>
      </w:pPr>
    </w:p>
    <w:p w14:paraId="2A765614" w14:textId="23C788F8" w:rsidR="00AD4B3F" w:rsidRDefault="00B44250" w:rsidP="00B44250">
      <w:pPr>
        <w:pStyle w:val="ListParagraph"/>
        <w:tabs>
          <w:tab w:val="left" w:pos="1211"/>
        </w:tabs>
        <w:ind w:left="284"/>
        <w:jc w:val="both"/>
        <w:rPr>
          <w:rFonts w:ascii="Times New Roman" w:hAnsi="Times New Roman"/>
          <w:noProof/>
          <w:sz w:val="24"/>
        </w:rPr>
      </w:pPr>
      <w:r>
        <w:rPr>
          <w:rFonts w:ascii="Times New Roman" w:hAnsi="Times New Roman"/>
          <w:sz w:val="24"/>
        </w:rPr>
        <w:t>1.4. Dalībvalstīm jāiznīcina visi 1.3. punktā uzskaitīto preču un aprīkojuma krājumi, kas ir to jurisdikcijā, ja vien tie netiek izmantoti vienīgi publiskai apskatei muzejā, ņemot vērā to vēsturisko nozīmi.</w:t>
      </w:r>
    </w:p>
    <w:p w14:paraId="45449F80" w14:textId="77777777" w:rsidR="00B44250" w:rsidRPr="003043CA" w:rsidRDefault="00B44250" w:rsidP="00B44250">
      <w:pPr>
        <w:pStyle w:val="ListParagraph"/>
        <w:tabs>
          <w:tab w:val="left" w:pos="1211"/>
        </w:tabs>
        <w:ind w:left="284"/>
        <w:jc w:val="both"/>
        <w:rPr>
          <w:rFonts w:ascii="Times New Roman" w:hAnsi="Times New Roman"/>
          <w:noProof/>
          <w:sz w:val="24"/>
        </w:rPr>
      </w:pPr>
    </w:p>
    <w:p w14:paraId="18D10D84" w14:textId="6D9A9EC0" w:rsidR="00AD4B3F" w:rsidRPr="003043CA" w:rsidRDefault="00B44250" w:rsidP="00B44250">
      <w:pPr>
        <w:pStyle w:val="ListParagraph"/>
        <w:tabs>
          <w:tab w:val="left" w:pos="1325"/>
        </w:tabs>
        <w:ind w:left="284"/>
        <w:jc w:val="both"/>
        <w:rPr>
          <w:rFonts w:ascii="Times New Roman" w:hAnsi="Times New Roman"/>
          <w:noProof/>
          <w:sz w:val="24"/>
        </w:rPr>
      </w:pPr>
      <w:r>
        <w:rPr>
          <w:rFonts w:ascii="Times New Roman" w:hAnsi="Times New Roman"/>
          <w:sz w:val="24"/>
        </w:rPr>
        <w:t>1.5. Dalībvalstīm jānodrošina, ka ir aizliegts jebkādā veidā reklamēt 1.3. punktā minēto aprīkojumu un preces, tostarp izmantojot informācijas komunikāciju tehnoloģijas un internetu, televīziju, radio, drukātos plašsaziņas līdzekļus un tirdzniecības izstādes.</w:t>
      </w:r>
    </w:p>
    <w:p w14:paraId="27004909" w14:textId="77777777" w:rsidR="00AD4B3F" w:rsidRPr="003043CA" w:rsidRDefault="00AD4B3F" w:rsidP="00B44250">
      <w:pPr>
        <w:pStyle w:val="BodyText"/>
        <w:ind w:left="284"/>
        <w:jc w:val="both"/>
        <w:rPr>
          <w:rFonts w:ascii="Times New Roman" w:hAnsi="Times New Roman"/>
          <w:noProof/>
          <w:sz w:val="24"/>
        </w:rPr>
      </w:pPr>
    </w:p>
    <w:p w14:paraId="50FEAE11" w14:textId="70468849" w:rsidR="00AD4B3F" w:rsidRPr="003043CA" w:rsidRDefault="00B44250" w:rsidP="0057504D">
      <w:pPr>
        <w:pStyle w:val="ListParagraph"/>
        <w:keepNext/>
        <w:keepLines/>
        <w:tabs>
          <w:tab w:val="left" w:pos="1323"/>
        </w:tabs>
        <w:ind w:left="284"/>
        <w:jc w:val="both"/>
        <w:rPr>
          <w:rFonts w:ascii="Times New Roman" w:hAnsi="Times New Roman"/>
          <w:noProof/>
          <w:sz w:val="24"/>
        </w:rPr>
      </w:pPr>
      <w:r>
        <w:rPr>
          <w:rFonts w:ascii="Times New Roman" w:hAnsi="Times New Roman"/>
          <w:sz w:val="24"/>
        </w:rPr>
        <w:lastRenderedPageBreak/>
        <w:t>1.6. Jāaizliedz sniegt tehnisko palīdzību saistībā ar šīm aizliegtajām precēm un aprīkojumu, tostarp sniegt tehnisko atbalstu saistībā ar to remontu, pilnveidošanu, ražošanu, testēšanu, tehnisko apkopi, montāžu vai jebkādu citu tehnisko pakalpojumu, izņemot muzejos paredzētās šādu preču konservācijas un saglabāšanas procedūras. Šāda palīdzība var izpausties kā norādījumi, padomi, mācības un zināšanu vai prasmju nodošana. Turklāt kategoriski jāaizliedz šādu aizliegto preču un aprīkojuma lietošanas mācības.</w:t>
      </w:r>
    </w:p>
    <w:p w14:paraId="2FCB1F68" w14:textId="77777777" w:rsidR="00B44250" w:rsidRDefault="00B44250" w:rsidP="00B44250">
      <w:pPr>
        <w:pStyle w:val="ListParagraph"/>
        <w:tabs>
          <w:tab w:val="left" w:pos="1323"/>
        </w:tabs>
        <w:ind w:left="284"/>
        <w:jc w:val="both"/>
        <w:rPr>
          <w:rFonts w:ascii="Times New Roman" w:hAnsi="Times New Roman"/>
          <w:noProof/>
          <w:sz w:val="24"/>
        </w:rPr>
      </w:pPr>
    </w:p>
    <w:p w14:paraId="5568AD2C" w14:textId="3D2F233D" w:rsidR="00AD4B3F" w:rsidRDefault="00B44250" w:rsidP="00B44250">
      <w:pPr>
        <w:pStyle w:val="ListParagraph"/>
        <w:tabs>
          <w:tab w:val="left" w:pos="1323"/>
        </w:tabs>
        <w:ind w:left="284"/>
        <w:jc w:val="both"/>
        <w:rPr>
          <w:rFonts w:ascii="Times New Roman" w:hAnsi="Times New Roman"/>
          <w:noProof/>
          <w:sz w:val="24"/>
        </w:rPr>
      </w:pPr>
      <w:r>
        <w:rPr>
          <w:rFonts w:ascii="Times New Roman" w:hAnsi="Times New Roman"/>
          <w:sz w:val="24"/>
        </w:rPr>
        <w:t>1.7. Dalībvalstīm jānodrošina, ka pastāv efektīvi, samērīgi un atturoši sodi par darbībām, kas tiek īstenotas, pārkāpjot 1.2., 1.5. un 1.6. punktā minētos aizliegumus.</w:t>
      </w:r>
    </w:p>
    <w:p w14:paraId="28F0DA2D" w14:textId="77777777" w:rsidR="00B44250" w:rsidRPr="003043CA" w:rsidRDefault="00B44250" w:rsidP="00B44250">
      <w:pPr>
        <w:pStyle w:val="ListParagraph"/>
        <w:tabs>
          <w:tab w:val="left" w:pos="1323"/>
        </w:tabs>
        <w:ind w:left="0"/>
        <w:jc w:val="right"/>
        <w:rPr>
          <w:rFonts w:ascii="Times New Roman" w:hAnsi="Times New Roman"/>
          <w:noProof/>
          <w:sz w:val="24"/>
        </w:rPr>
      </w:pPr>
    </w:p>
    <w:p w14:paraId="2BC85983" w14:textId="270B0D87" w:rsidR="00AD4B3F" w:rsidRPr="003043CA" w:rsidRDefault="00796A69" w:rsidP="004C0E5B">
      <w:pPr>
        <w:pStyle w:val="Heading1"/>
        <w:tabs>
          <w:tab w:val="left" w:pos="938"/>
        </w:tabs>
        <w:ind w:left="0" w:firstLine="0"/>
        <w:jc w:val="both"/>
        <w:rPr>
          <w:rFonts w:ascii="Times New Roman" w:hAnsi="Times New Roman"/>
          <w:noProof/>
          <w:sz w:val="24"/>
        </w:rPr>
      </w:pPr>
      <w:r>
        <w:rPr>
          <w:rFonts w:ascii="Times New Roman" w:hAnsi="Times New Roman"/>
          <w:sz w:val="24"/>
        </w:rPr>
        <w:t>2. Pasākumi saistībā ar noteiktu ķīmisko farmaceitisko līdzekļu eksportu vai tranzītu</w:t>
      </w:r>
    </w:p>
    <w:p w14:paraId="401EB8FA" w14:textId="77777777" w:rsidR="00AD4B3F" w:rsidRPr="003043CA" w:rsidRDefault="00AD4B3F" w:rsidP="004C0E5B">
      <w:pPr>
        <w:pStyle w:val="BodyText"/>
        <w:jc w:val="both"/>
        <w:rPr>
          <w:rFonts w:ascii="Times New Roman" w:hAnsi="Times New Roman"/>
          <w:b/>
          <w:noProof/>
          <w:sz w:val="24"/>
        </w:rPr>
      </w:pPr>
    </w:p>
    <w:p w14:paraId="75AB261C" w14:textId="6EF7BA5E" w:rsidR="00AD4B3F" w:rsidRPr="003043CA" w:rsidRDefault="00796A69" w:rsidP="004C0E5B">
      <w:pPr>
        <w:pStyle w:val="ListParagraph"/>
        <w:tabs>
          <w:tab w:val="left" w:pos="1323"/>
        </w:tabs>
        <w:ind w:left="284"/>
        <w:jc w:val="both"/>
        <w:rPr>
          <w:rFonts w:ascii="Times New Roman" w:hAnsi="Times New Roman"/>
          <w:noProof/>
          <w:sz w:val="24"/>
        </w:rPr>
      </w:pPr>
      <w:r>
        <w:rPr>
          <w:rFonts w:ascii="Times New Roman" w:hAnsi="Times New Roman"/>
          <w:sz w:val="24"/>
        </w:rPr>
        <w:t>2.1. Dalībvalstīm jāregulē un jālicenzē noteiktu ķīmisko farmaceitisko līdzekļu eksports un tranzīts, lai nodrošinātu, ka tie netiek nodoti letālu injekciju veikšanai valstīs, kurās joprojām piemēro nāves sodu. Dalībvalstīm nebūtu jāierobežo šādu ķīmisko vielu tirdzniecība medicīniskiem, veterināriem un citiem leģitīmiem nolūkiem.</w:t>
      </w:r>
    </w:p>
    <w:p w14:paraId="41E1F177" w14:textId="77777777" w:rsidR="00AD4B3F" w:rsidRPr="003043CA" w:rsidRDefault="00AD4B3F" w:rsidP="004C0E5B">
      <w:pPr>
        <w:pStyle w:val="BodyText"/>
        <w:ind w:left="284"/>
        <w:jc w:val="both"/>
        <w:rPr>
          <w:rFonts w:ascii="Times New Roman" w:hAnsi="Times New Roman"/>
          <w:noProof/>
          <w:sz w:val="24"/>
        </w:rPr>
      </w:pPr>
    </w:p>
    <w:p w14:paraId="13F92E49" w14:textId="37C61BB3" w:rsidR="00AD4B3F" w:rsidRPr="003043CA" w:rsidRDefault="00796A69" w:rsidP="004C0E5B">
      <w:pPr>
        <w:pStyle w:val="ListParagraph"/>
        <w:tabs>
          <w:tab w:val="left" w:pos="1321"/>
        </w:tabs>
        <w:ind w:left="284"/>
        <w:jc w:val="both"/>
        <w:rPr>
          <w:rFonts w:ascii="Times New Roman" w:hAnsi="Times New Roman"/>
          <w:noProof/>
          <w:sz w:val="24"/>
        </w:rPr>
      </w:pPr>
      <w:r>
        <w:rPr>
          <w:rFonts w:ascii="Times New Roman" w:hAnsi="Times New Roman"/>
          <w:sz w:val="24"/>
        </w:rPr>
        <w:t>2.2. Regulējumā jāiekļauj 2. papildinājumā uzskaitītie ķīmiskie farmaceitiskie līdzekļi, un saraksts regulāri jāpārskata un attiecīgā gadījumā jāatjauno, lai ņemtu vērā šo ķīmisko vielu ražošanas, tirdzniecības un lietošanas izmaiņas.</w:t>
      </w:r>
    </w:p>
    <w:p w14:paraId="0EB93864" w14:textId="77777777" w:rsidR="00796A69" w:rsidRDefault="00796A69" w:rsidP="004C0E5B">
      <w:pPr>
        <w:pStyle w:val="ListParagraph"/>
        <w:tabs>
          <w:tab w:val="left" w:pos="1323"/>
        </w:tabs>
        <w:ind w:left="284"/>
        <w:jc w:val="both"/>
        <w:rPr>
          <w:rFonts w:ascii="Times New Roman" w:hAnsi="Times New Roman"/>
          <w:noProof/>
          <w:sz w:val="24"/>
        </w:rPr>
      </w:pPr>
    </w:p>
    <w:p w14:paraId="59716801" w14:textId="102D9060" w:rsidR="00AD4B3F" w:rsidRDefault="00796A69" w:rsidP="004C0E5B">
      <w:pPr>
        <w:pStyle w:val="ListParagraph"/>
        <w:tabs>
          <w:tab w:val="left" w:pos="1323"/>
        </w:tabs>
        <w:ind w:left="284"/>
        <w:jc w:val="both"/>
        <w:rPr>
          <w:rFonts w:ascii="Times New Roman" w:hAnsi="Times New Roman"/>
          <w:noProof/>
          <w:sz w:val="24"/>
        </w:rPr>
      </w:pPr>
      <w:r>
        <w:rPr>
          <w:rFonts w:ascii="Times New Roman" w:hAnsi="Times New Roman"/>
          <w:sz w:val="24"/>
        </w:rPr>
        <w:t>2.3. Dalībvalstīm jānodrošina, ka pastāv efektīvi, samērīgi un atturoši sodi par darbībām, kas tiek īstenotas, pārkāpjot 2.1. punktā minētos noteikumus.</w:t>
      </w:r>
    </w:p>
    <w:p w14:paraId="4014BED3" w14:textId="77777777" w:rsidR="00796A69" w:rsidRPr="003043CA" w:rsidRDefault="00796A69" w:rsidP="004C0E5B">
      <w:pPr>
        <w:pStyle w:val="ListParagraph"/>
        <w:tabs>
          <w:tab w:val="left" w:pos="1323"/>
        </w:tabs>
        <w:ind w:left="0"/>
        <w:jc w:val="both"/>
        <w:rPr>
          <w:rFonts w:ascii="Times New Roman" w:hAnsi="Times New Roman"/>
          <w:noProof/>
          <w:sz w:val="24"/>
        </w:rPr>
      </w:pPr>
    </w:p>
    <w:p w14:paraId="6EAFE51F" w14:textId="25C42E3E" w:rsidR="00AD4B3F" w:rsidRPr="003043CA" w:rsidRDefault="000F0E58" w:rsidP="004C0E5B">
      <w:pPr>
        <w:pStyle w:val="Heading1"/>
        <w:tabs>
          <w:tab w:val="left" w:pos="938"/>
        </w:tabs>
        <w:ind w:left="0" w:firstLine="0"/>
        <w:jc w:val="both"/>
        <w:rPr>
          <w:rFonts w:ascii="Times New Roman" w:hAnsi="Times New Roman"/>
          <w:noProof/>
          <w:sz w:val="24"/>
        </w:rPr>
      </w:pPr>
      <w:r>
        <w:rPr>
          <w:rFonts w:ascii="Times New Roman" w:hAnsi="Times New Roman"/>
          <w:sz w:val="24"/>
        </w:rPr>
        <w:t>3. Pasākumi saistībā ar tiesībaizsardzības iestādēm paredzētu preču un aprīkojuma tirdzniecību</w:t>
      </w:r>
    </w:p>
    <w:p w14:paraId="6CF5D2A4" w14:textId="77777777" w:rsidR="00AD4B3F" w:rsidRPr="003043CA" w:rsidRDefault="00AD4B3F" w:rsidP="004C0E5B">
      <w:pPr>
        <w:pStyle w:val="BodyText"/>
        <w:jc w:val="both"/>
        <w:rPr>
          <w:rFonts w:ascii="Times New Roman" w:hAnsi="Times New Roman"/>
          <w:b/>
          <w:noProof/>
          <w:sz w:val="24"/>
        </w:rPr>
      </w:pPr>
    </w:p>
    <w:p w14:paraId="2D9ECB80" w14:textId="63329468" w:rsidR="00AD4B3F" w:rsidRPr="003043CA" w:rsidRDefault="000F0E58" w:rsidP="004C0E5B">
      <w:pPr>
        <w:pStyle w:val="ListParagraph"/>
        <w:tabs>
          <w:tab w:val="left" w:pos="1325"/>
        </w:tabs>
        <w:ind w:left="284"/>
        <w:jc w:val="both"/>
        <w:rPr>
          <w:rFonts w:ascii="Times New Roman" w:hAnsi="Times New Roman"/>
          <w:noProof/>
          <w:sz w:val="24"/>
        </w:rPr>
      </w:pPr>
      <w:r>
        <w:rPr>
          <w:rFonts w:ascii="Times New Roman" w:hAnsi="Times New Roman"/>
          <w:sz w:val="24"/>
        </w:rPr>
        <w:t>3.1. Dalībvalstīm jāizstrādā efektīvi nacionālie eksporta un tranzīta kontroles pasākumi attiecībā uz tiesībaizsardzības iestādēm paredzētām precēm un aprīkojumu, ko var izmantot leģitīmām funkcijām, ja lieto atbilstoši starptautiskajiem un reģionālajiem cilvēktiesību standartiem un citiem atbilstošajiem standartiem par spēka lietošanu, bet kuru tiesībsargājošās un citas amatpersonas var ļaunprātīgi izmantot spīdzināšanai un citiem necilvēcīgas vai pazemojošas izturēšanās vai sodīšanas veidiem. Minētie pasākumi var būt šādi:</w:t>
      </w:r>
    </w:p>
    <w:p w14:paraId="3FF1B2F5" w14:textId="77777777" w:rsidR="00AD4B3F" w:rsidRPr="003043CA" w:rsidRDefault="00AD4B3F" w:rsidP="004C0E5B">
      <w:pPr>
        <w:pStyle w:val="BodyText"/>
        <w:ind w:left="284"/>
        <w:jc w:val="both"/>
        <w:rPr>
          <w:rFonts w:ascii="Times New Roman" w:hAnsi="Times New Roman"/>
          <w:noProof/>
          <w:sz w:val="24"/>
        </w:rPr>
      </w:pPr>
    </w:p>
    <w:p w14:paraId="01D29252" w14:textId="77777777" w:rsidR="0060000F" w:rsidRDefault="0060000F" w:rsidP="004C0E5B">
      <w:pPr>
        <w:pStyle w:val="ListParagraph"/>
        <w:tabs>
          <w:tab w:val="left" w:pos="2201"/>
        </w:tabs>
        <w:ind w:left="284"/>
        <w:jc w:val="both"/>
        <w:rPr>
          <w:rFonts w:ascii="Times New Roman" w:hAnsi="Times New Roman"/>
          <w:noProof/>
          <w:sz w:val="24"/>
        </w:rPr>
      </w:pPr>
    </w:p>
    <w:p w14:paraId="366B4974" w14:textId="3F5C1AF8" w:rsidR="00AD4B3F" w:rsidRPr="003043CA" w:rsidRDefault="0060000F" w:rsidP="004C0E5B">
      <w:pPr>
        <w:pStyle w:val="ListParagraph"/>
        <w:tabs>
          <w:tab w:val="left" w:pos="2201"/>
        </w:tabs>
        <w:ind w:left="567"/>
        <w:jc w:val="both"/>
        <w:rPr>
          <w:rFonts w:ascii="Times New Roman" w:hAnsi="Times New Roman"/>
          <w:noProof/>
          <w:sz w:val="24"/>
        </w:rPr>
      </w:pPr>
      <w:r>
        <w:rPr>
          <w:rFonts w:ascii="Times New Roman" w:hAnsi="Times New Roman"/>
          <w:sz w:val="24"/>
        </w:rPr>
        <w:t>3.1.1. kontrolēt šādu preču un aprīkojuma eksportu un tranzītu, izmantojot licencēšanas sistēmu, kā norādīts 3.2. punktā;</w:t>
      </w:r>
    </w:p>
    <w:p w14:paraId="0ED4320A" w14:textId="77777777" w:rsidR="0060000F" w:rsidRDefault="0060000F" w:rsidP="004C0E5B">
      <w:pPr>
        <w:pStyle w:val="ListParagraph"/>
        <w:tabs>
          <w:tab w:val="left" w:pos="2201"/>
        </w:tabs>
        <w:ind w:left="567"/>
        <w:jc w:val="both"/>
        <w:rPr>
          <w:rFonts w:ascii="Times New Roman" w:hAnsi="Times New Roman"/>
          <w:noProof/>
          <w:sz w:val="24"/>
        </w:rPr>
      </w:pPr>
    </w:p>
    <w:p w14:paraId="4CEDC8EC" w14:textId="27EE9DD0" w:rsidR="00AD4B3F" w:rsidRPr="003043CA" w:rsidRDefault="0060000F" w:rsidP="004C0E5B">
      <w:pPr>
        <w:pStyle w:val="ListParagraph"/>
        <w:tabs>
          <w:tab w:val="left" w:pos="2201"/>
        </w:tabs>
        <w:ind w:left="567"/>
        <w:jc w:val="both"/>
        <w:rPr>
          <w:rFonts w:ascii="Times New Roman" w:hAnsi="Times New Roman"/>
          <w:noProof/>
          <w:sz w:val="24"/>
        </w:rPr>
      </w:pPr>
      <w:r>
        <w:rPr>
          <w:rFonts w:ascii="Times New Roman" w:hAnsi="Times New Roman"/>
          <w:sz w:val="24"/>
        </w:rPr>
        <w:t>3.1.2. izveidot kontrolēto preču un aprīkojuma sarakstu, kurā iekļaujamas vismaz 3. papildinājumā minētās kategorijas. Šis saraksts regulāri jāpārskata, lai ņemtu vērā šādu preču un aprīkojuma pilnveides un lietošanas izmaiņas, kā arī šo preču un aprīkojuma starptautiskā tirgus izmaiņas;</w:t>
      </w:r>
    </w:p>
    <w:p w14:paraId="249416B8" w14:textId="77777777" w:rsidR="0060000F" w:rsidRDefault="0060000F" w:rsidP="004C0E5B">
      <w:pPr>
        <w:pStyle w:val="ListParagraph"/>
        <w:tabs>
          <w:tab w:val="left" w:pos="2201"/>
        </w:tabs>
        <w:ind w:left="567"/>
        <w:jc w:val="both"/>
        <w:rPr>
          <w:rFonts w:ascii="Times New Roman" w:hAnsi="Times New Roman"/>
          <w:noProof/>
          <w:sz w:val="24"/>
        </w:rPr>
      </w:pPr>
    </w:p>
    <w:p w14:paraId="5941E125" w14:textId="5F9566DF" w:rsidR="00AD4B3F" w:rsidRPr="003043CA" w:rsidRDefault="0060000F" w:rsidP="004C0E5B">
      <w:pPr>
        <w:pStyle w:val="ListParagraph"/>
        <w:tabs>
          <w:tab w:val="left" w:pos="2201"/>
        </w:tabs>
        <w:ind w:left="567"/>
        <w:jc w:val="both"/>
        <w:rPr>
          <w:rFonts w:ascii="Times New Roman" w:hAnsi="Times New Roman"/>
          <w:noProof/>
          <w:sz w:val="24"/>
        </w:rPr>
      </w:pPr>
      <w:r>
        <w:rPr>
          <w:rFonts w:ascii="Times New Roman" w:hAnsi="Times New Roman"/>
          <w:sz w:val="24"/>
        </w:rPr>
        <w:t>3.1.3. kontrolēt tehniskās palīdzības sniegšanu un mācības 3.1.2. punktā minēto preču un aprīkojuma lietošanā;</w:t>
      </w:r>
    </w:p>
    <w:p w14:paraId="4F67395C" w14:textId="77777777" w:rsidR="00AD4B3F" w:rsidRPr="003043CA" w:rsidRDefault="00AD4B3F" w:rsidP="004C0E5B">
      <w:pPr>
        <w:pStyle w:val="BodyText"/>
        <w:ind w:left="567"/>
        <w:jc w:val="both"/>
        <w:rPr>
          <w:rFonts w:ascii="Times New Roman" w:hAnsi="Times New Roman"/>
          <w:noProof/>
          <w:sz w:val="24"/>
        </w:rPr>
      </w:pPr>
    </w:p>
    <w:p w14:paraId="46104DFF" w14:textId="53BE4EAF" w:rsidR="00AD4B3F" w:rsidRPr="003043CA" w:rsidRDefault="0060000F" w:rsidP="004C0E5B">
      <w:pPr>
        <w:pStyle w:val="ListParagraph"/>
        <w:tabs>
          <w:tab w:val="left" w:pos="2201"/>
        </w:tabs>
        <w:ind w:left="567"/>
        <w:jc w:val="both"/>
        <w:rPr>
          <w:rFonts w:ascii="Times New Roman" w:hAnsi="Times New Roman"/>
          <w:noProof/>
          <w:sz w:val="24"/>
        </w:rPr>
      </w:pPr>
      <w:r>
        <w:rPr>
          <w:rFonts w:ascii="Times New Roman" w:hAnsi="Times New Roman"/>
          <w:sz w:val="24"/>
        </w:rPr>
        <w:t>3.1.4. kontrolēt starpniecības pakalpojumu sniegšanu attiecībā uz 3.1.2. punktā minētajām precēm un aprīkojumu;</w:t>
      </w:r>
    </w:p>
    <w:p w14:paraId="39218229" w14:textId="77777777" w:rsidR="0060000F" w:rsidRDefault="0060000F" w:rsidP="004C0E5B">
      <w:pPr>
        <w:pStyle w:val="ListParagraph"/>
        <w:tabs>
          <w:tab w:val="left" w:pos="2201"/>
        </w:tabs>
        <w:ind w:left="567"/>
        <w:jc w:val="both"/>
        <w:rPr>
          <w:rFonts w:ascii="Times New Roman" w:hAnsi="Times New Roman"/>
          <w:noProof/>
          <w:sz w:val="24"/>
        </w:rPr>
      </w:pPr>
    </w:p>
    <w:p w14:paraId="7A8D05BA" w14:textId="3CB027F9" w:rsidR="00AD4B3F" w:rsidRPr="003043CA" w:rsidRDefault="0060000F" w:rsidP="004C0E5B">
      <w:pPr>
        <w:pStyle w:val="ListParagraph"/>
        <w:tabs>
          <w:tab w:val="left" w:pos="2201"/>
        </w:tabs>
        <w:ind w:left="567"/>
        <w:jc w:val="both"/>
        <w:rPr>
          <w:rFonts w:ascii="Times New Roman" w:hAnsi="Times New Roman"/>
          <w:noProof/>
          <w:sz w:val="24"/>
        </w:rPr>
      </w:pPr>
      <w:r>
        <w:rPr>
          <w:rFonts w:ascii="Times New Roman" w:hAnsi="Times New Roman"/>
          <w:sz w:val="24"/>
        </w:rPr>
        <w:lastRenderedPageBreak/>
        <w:t>3.1.5. nodrošināt, ka pastāv efektīvi, samērīgi un atturoši sodi par darbībām, kas tiek īstenotas, pārkāpjot 3.1.1., 3.1.3. un 3.1.4. punktā minētos kontroles pasākumus.</w:t>
      </w:r>
    </w:p>
    <w:p w14:paraId="0F21A576" w14:textId="77777777" w:rsidR="00AD4B3F" w:rsidRPr="003043CA" w:rsidRDefault="00AD4B3F" w:rsidP="004C0E5B">
      <w:pPr>
        <w:pStyle w:val="BodyText"/>
        <w:ind w:left="284"/>
        <w:jc w:val="both"/>
        <w:rPr>
          <w:rFonts w:ascii="Times New Roman" w:hAnsi="Times New Roman"/>
          <w:noProof/>
          <w:sz w:val="24"/>
        </w:rPr>
      </w:pPr>
    </w:p>
    <w:p w14:paraId="18D56122" w14:textId="29366141" w:rsidR="00AD4B3F" w:rsidRPr="003043CA" w:rsidRDefault="0060000F" w:rsidP="004C0E5B">
      <w:pPr>
        <w:pStyle w:val="ListParagraph"/>
        <w:tabs>
          <w:tab w:val="left" w:pos="1323"/>
        </w:tabs>
        <w:ind w:left="284"/>
        <w:jc w:val="both"/>
        <w:rPr>
          <w:rFonts w:ascii="Times New Roman" w:hAnsi="Times New Roman"/>
          <w:noProof/>
          <w:sz w:val="24"/>
        </w:rPr>
      </w:pPr>
      <w:r>
        <w:rPr>
          <w:rFonts w:ascii="Times New Roman" w:hAnsi="Times New Roman"/>
          <w:sz w:val="24"/>
        </w:rPr>
        <w:t>3.2. Dalībvalstīm jāizstrādā efektīvi licencēšanas pasākumi valsts līmenī 3.1. punktā minētajām precēm un aprīkojumam, piemēram:</w:t>
      </w:r>
    </w:p>
    <w:p w14:paraId="2B266DAC" w14:textId="77777777" w:rsidR="0060000F" w:rsidRDefault="0060000F" w:rsidP="004C0E5B">
      <w:pPr>
        <w:pStyle w:val="ListParagraph"/>
        <w:tabs>
          <w:tab w:val="left" w:pos="2201"/>
        </w:tabs>
        <w:ind w:left="284"/>
        <w:jc w:val="both"/>
        <w:rPr>
          <w:rFonts w:ascii="Times New Roman" w:hAnsi="Times New Roman"/>
          <w:noProof/>
          <w:sz w:val="24"/>
        </w:rPr>
      </w:pPr>
    </w:p>
    <w:p w14:paraId="55A08D70" w14:textId="645DC732" w:rsidR="00AD4B3F" w:rsidRPr="003043CA" w:rsidRDefault="0060000F" w:rsidP="004C0E5B">
      <w:pPr>
        <w:pStyle w:val="ListParagraph"/>
        <w:tabs>
          <w:tab w:val="left" w:pos="2201"/>
        </w:tabs>
        <w:ind w:left="567"/>
        <w:jc w:val="both"/>
        <w:rPr>
          <w:rFonts w:ascii="Times New Roman" w:hAnsi="Times New Roman"/>
          <w:noProof/>
          <w:sz w:val="24"/>
        </w:rPr>
      </w:pPr>
      <w:r>
        <w:rPr>
          <w:rFonts w:ascii="Times New Roman" w:hAnsi="Times New Roman"/>
          <w:sz w:val="24"/>
        </w:rPr>
        <w:t>3.2.1. katrā atsevišķā gadījumā licencēt 3.1.2. punktā minēto preču un aprīkojuma eksportu. Attiecīgā licence, kas atļauj eksportu, jāizdod tikai tad, kad potenciālais eksportētājs ir iesniedzis detalizētu pieteikumu, kurā ir iekļauts galīgo izmantojumu apliecinošs dokuments vai līdzvērtīgs oficiāls rakstisks galvojums, ko sniedzis paredzētais saņēmējs, vai galvojums par šo saņēmēju, sīki aprakstot preču specifiku un apjomu, tiešo lietotāju un paredzēto izmantojumu. Licence nav nepieciešama eksportam uz trešajām valstīm, ja preces un aprīkojumu izmantos tādas dalībvalsts militārais vai civilais personāls, kas piedalās ANO vai reģionālas organizācijas miera uzturēšanas vai krīzes pārvarēšanas operācijā attiecīgajā trešajā valstī, vai attiecīgās dalībvalsts personāls to izmantos operācijā, kas tiek veikta, pamatojoties uz dalībvalstu un trešo valstu nolīgumiem aizsardzības jomā. Attiecīgajām iestādēm jāpārliecinās, vai šis nosacījums ir izpildīts. Kamēr notiek pārbaude, eksportēšana nenotiek;</w:t>
      </w:r>
    </w:p>
    <w:p w14:paraId="0B5ED443" w14:textId="77777777" w:rsidR="00AD4B3F" w:rsidRPr="003043CA" w:rsidRDefault="00AD4B3F" w:rsidP="004C0E5B">
      <w:pPr>
        <w:pStyle w:val="BodyText"/>
        <w:ind w:left="567"/>
        <w:jc w:val="both"/>
        <w:rPr>
          <w:rFonts w:ascii="Times New Roman" w:hAnsi="Times New Roman"/>
          <w:noProof/>
          <w:sz w:val="24"/>
        </w:rPr>
      </w:pPr>
    </w:p>
    <w:p w14:paraId="5001C842" w14:textId="74BF24C1" w:rsidR="00AD4B3F" w:rsidRPr="003043CA" w:rsidRDefault="0060000F" w:rsidP="004C0E5B">
      <w:pPr>
        <w:pStyle w:val="ListParagraph"/>
        <w:tabs>
          <w:tab w:val="left" w:pos="2088"/>
        </w:tabs>
        <w:ind w:left="567"/>
        <w:jc w:val="both"/>
        <w:rPr>
          <w:rFonts w:ascii="Times New Roman" w:hAnsi="Times New Roman"/>
          <w:noProof/>
          <w:sz w:val="24"/>
        </w:rPr>
      </w:pPr>
      <w:r>
        <w:rPr>
          <w:rFonts w:ascii="Times New Roman" w:hAnsi="Times New Roman"/>
          <w:sz w:val="24"/>
        </w:rPr>
        <w:t>3.2.2. nodrošināt, ka eksporta licenču vai tranzīta pieteikumu novērtēšanā tiek izvērtēts risks, ka 3.1.2. punktā minētās preces un aprīkojums tiks novirzīts vai izmantots spīdzināšanai un citiem nežēlīgas, necilvēcīgas vai pazemojošas izturēšanās vai sodīšanas veidiem. Novērtējumā jāņem vērā attiecīgie starptautisko tiesu spriedumi un informācija, ko sniegušas autoritatīvas kompetentās starptautiskās un valsts struktūras saistībā ar to, kā tiešie lietotāji piedāvā izmantot un reglamentēt šīs preces un aprīkojumu; var ņemt vērā arī citu būtisku informāciju, piemēram, valsts tiesas spriedumus, ziņojumus vai citu informāciju, ko sagatavojušas pilsoniskās sabiedrības organizācijas, un informāciju par ierobežojumiem eksportēt galamērķa valsts prasītās 1. un 3. papildinājumā minētās preces un aprīkojumu;</w:t>
      </w:r>
    </w:p>
    <w:p w14:paraId="6F6C7579" w14:textId="77777777" w:rsidR="00AD4B3F" w:rsidRPr="003043CA" w:rsidRDefault="00AD4B3F" w:rsidP="004C0E5B">
      <w:pPr>
        <w:pStyle w:val="BodyText"/>
        <w:ind w:left="567"/>
        <w:jc w:val="both"/>
        <w:rPr>
          <w:rFonts w:ascii="Times New Roman" w:hAnsi="Times New Roman"/>
          <w:noProof/>
          <w:sz w:val="24"/>
        </w:rPr>
      </w:pPr>
    </w:p>
    <w:p w14:paraId="2EE39992" w14:textId="79D7AFB9" w:rsidR="00AD4B3F" w:rsidRPr="003043CA" w:rsidRDefault="0060000F" w:rsidP="004C0E5B">
      <w:pPr>
        <w:pStyle w:val="ListParagraph"/>
        <w:tabs>
          <w:tab w:val="left" w:pos="2088"/>
        </w:tabs>
        <w:ind w:left="567"/>
        <w:jc w:val="both"/>
        <w:rPr>
          <w:rFonts w:ascii="Times New Roman" w:hAnsi="Times New Roman"/>
          <w:noProof/>
          <w:sz w:val="24"/>
        </w:rPr>
      </w:pPr>
      <w:r>
        <w:rPr>
          <w:rFonts w:ascii="Times New Roman" w:hAnsi="Times New Roman"/>
          <w:sz w:val="24"/>
        </w:rPr>
        <w:t>3.2.3. nodrošināt, ka eksporta licence tiek apturēta, ja ir pamatots iemesls uzskatīt, ka prasītās preces un aprīkojums tiks izmantots spīdzināšanai un citiem nežēlīgas, necilvēcīgas vai pazemojošas izturēšanās vai sodīšanas veidiem;</w:t>
      </w:r>
    </w:p>
    <w:p w14:paraId="7D7B97C8" w14:textId="77777777" w:rsidR="0060000F" w:rsidRDefault="0060000F" w:rsidP="004C0E5B">
      <w:pPr>
        <w:pStyle w:val="ListParagraph"/>
        <w:tabs>
          <w:tab w:val="left" w:pos="2088"/>
        </w:tabs>
        <w:ind w:left="567"/>
        <w:jc w:val="both"/>
        <w:rPr>
          <w:rFonts w:ascii="Times New Roman" w:hAnsi="Times New Roman"/>
          <w:noProof/>
          <w:sz w:val="24"/>
        </w:rPr>
      </w:pPr>
    </w:p>
    <w:p w14:paraId="6C873E31" w14:textId="0D7B48E5" w:rsidR="00AD4B3F" w:rsidRPr="003043CA" w:rsidRDefault="0060000F" w:rsidP="004C0E5B">
      <w:pPr>
        <w:pStyle w:val="ListParagraph"/>
        <w:tabs>
          <w:tab w:val="left" w:pos="2088"/>
        </w:tabs>
        <w:ind w:left="567"/>
        <w:jc w:val="both"/>
        <w:rPr>
          <w:rFonts w:ascii="Times New Roman" w:hAnsi="Times New Roman"/>
          <w:noProof/>
          <w:sz w:val="24"/>
        </w:rPr>
      </w:pPr>
      <w:r>
        <w:rPr>
          <w:rFonts w:ascii="Times New Roman" w:hAnsi="Times New Roman"/>
          <w:sz w:val="24"/>
        </w:rPr>
        <w:t>3.2.4. atcelt licenci eksportam, kas jau tiek īstenots, ja ir pamatots iemesls uzskatīt, ka preces un aprīkojums, kas tiek nodots, izmantots vai varētu tikt izmantots spīdzināšanai un citiem nežēlīgas, necilvēcīgas vai pazemojošas izturēšanās vai sodīšanas veidiem vai arī pastāv varbūtība, ka šādas preces un aprīkojums tam tiks novirzīts;</w:t>
      </w:r>
    </w:p>
    <w:p w14:paraId="48F72016" w14:textId="77777777" w:rsidR="0060000F" w:rsidRDefault="0060000F" w:rsidP="004C0E5B">
      <w:pPr>
        <w:pStyle w:val="ListParagraph"/>
        <w:tabs>
          <w:tab w:val="left" w:pos="2088"/>
        </w:tabs>
        <w:ind w:left="567"/>
        <w:jc w:val="both"/>
        <w:rPr>
          <w:rFonts w:ascii="Times New Roman" w:hAnsi="Times New Roman"/>
          <w:noProof/>
          <w:sz w:val="24"/>
        </w:rPr>
      </w:pPr>
    </w:p>
    <w:p w14:paraId="1B69DAEF" w14:textId="00B59ABE" w:rsidR="00AD4B3F" w:rsidRPr="003043CA" w:rsidRDefault="0060000F" w:rsidP="004C0E5B">
      <w:pPr>
        <w:pStyle w:val="ListParagraph"/>
        <w:tabs>
          <w:tab w:val="left" w:pos="2088"/>
        </w:tabs>
        <w:ind w:left="567"/>
        <w:jc w:val="both"/>
        <w:rPr>
          <w:rFonts w:ascii="Times New Roman" w:hAnsi="Times New Roman"/>
          <w:noProof/>
          <w:sz w:val="24"/>
        </w:rPr>
      </w:pPr>
      <w:r>
        <w:rPr>
          <w:rFonts w:ascii="Times New Roman" w:hAnsi="Times New Roman"/>
          <w:sz w:val="24"/>
        </w:rPr>
        <w:t>3.2.5. nodrošināt, ka 3.1.2. punktā minēto preču un aprīkojuma tranzīts tiek aizliegts, ja persona, iestāde vai struktūra, kas veic tranzītu, zina, ka šādu preču un aprīkojuma sūtījuma daļa ir paredzēta spīdzināšanai un citiem nežēlīgas, necilvēcīgas vai pazemojošas izturēšanās vai sodīšanas veidiem;</w:t>
      </w:r>
    </w:p>
    <w:p w14:paraId="4700C37D" w14:textId="77777777" w:rsidR="00AD4B3F" w:rsidRPr="003043CA" w:rsidRDefault="00AD4B3F" w:rsidP="004C0E5B">
      <w:pPr>
        <w:pStyle w:val="BodyText"/>
        <w:ind w:left="567"/>
        <w:jc w:val="both"/>
        <w:rPr>
          <w:rFonts w:ascii="Times New Roman" w:hAnsi="Times New Roman"/>
          <w:noProof/>
          <w:sz w:val="24"/>
        </w:rPr>
      </w:pPr>
    </w:p>
    <w:p w14:paraId="035862E3" w14:textId="7FBF5A04" w:rsidR="00AD4B3F" w:rsidRPr="003043CA" w:rsidRDefault="0060000F" w:rsidP="004C0E5B">
      <w:pPr>
        <w:pStyle w:val="ListParagraph"/>
        <w:tabs>
          <w:tab w:val="left" w:pos="2088"/>
        </w:tabs>
        <w:ind w:left="567"/>
        <w:jc w:val="both"/>
        <w:rPr>
          <w:rFonts w:ascii="Times New Roman" w:hAnsi="Times New Roman"/>
          <w:noProof/>
          <w:sz w:val="24"/>
        </w:rPr>
      </w:pPr>
      <w:r>
        <w:rPr>
          <w:rFonts w:ascii="Times New Roman" w:hAnsi="Times New Roman"/>
          <w:sz w:val="24"/>
        </w:rPr>
        <w:t>3.2.6. uzturēt pierakstus par visām eksporta licencēm, tranzīta atļaujām, starpniecības pakalpojumu atļaujām, kas attiecas uz tehnisko palīdzību un mācībām;</w:t>
      </w:r>
    </w:p>
    <w:p w14:paraId="70D65516" w14:textId="77777777" w:rsidR="00AD4B3F" w:rsidRPr="003043CA" w:rsidRDefault="00AD4B3F" w:rsidP="004C0E5B">
      <w:pPr>
        <w:pStyle w:val="BodyText"/>
        <w:ind w:left="567"/>
        <w:jc w:val="both"/>
        <w:rPr>
          <w:rFonts w:ascii="Times New Roman" w:hAnsi="Times New Roman"/>
          <w:noProof/>
          <w:sz w:val="24"/>
        </w:rPr>
      </w:pPr>
    </w:p>
    <w:p w14:paraId="698B16CA" w14:textId="1B5538E5" w:rsidR="00AD4B3F" w:rsidRPr="003043CA" w:rsidRDefault="0060000F" w:rsidP="004C0E5B">
      <w:pPr>
        <w:pStyle w:val="ListParagraph"/>
        <w:tabs>
          <w:tab w:val="left" w:pos="2088"/>
        </w:tabs>
        <w:ind w:left="567"/>
        <w:jc w:val="both"/>
        <w:rPr>
          <w:rFonts w:ascii="Times New Roman" w:hAnsi="Times New Roman"/>
          <w:noProof/>
          <w:sz w:val="24"/>
        </w:rPr>
      </w:pPr>
      <w:r>
        <w:rPr>
          <w:rFonts w:ascii="Times New Roman" w:hAnsi="Times New Roman"/>
          <w:sz w:val="24"/>
        </w:rPr>
        <w:t>3.2.7. publicēt ikgadēju valsts darbību ziņojumu, kurā sniedz informāciju par saņemto pieteikumu skaitu, šajos pieteikumos norādītajām precēm un valstīm, uz kurām tie attiecas, un par pieņemtajiem lēmumiem attiecībā uz šiem pieteikumiem;</w:t>
      </w:r>
    </w:p>
    <w:p w14:paraId="138AA8F2" w14:textId="77777777" w:rsidR="0060000F" w:rsidRDefault="0060000F" w:rsidP="004C0E5B">
      <w:pPr>
        <w:pStyle w:val="ListParagraph"/>
        <w:tabs>
          <w:tab w:val="left" w:pos="2088"/>
        </w:tabs>
        <w:ind w:left="567"/>
        <w:jc w:val="both"/>
        <w:rPr>
          <w:rFonts w:ascii="Times New Roman" w:hAnsi="Times New Roman"/>
          <w:noProof/>
          <w:sz w:val="24"/>
        </w:rPr>
      </w:pPr>
    </w:p>
    <w:p w14:paraId="17F62F82" w14:textId="0C439684" w:rsidR="00AD4B3F" w:rsidRDefault="0060000F" w:rsidP="004C0E5B">
      <w:pPr>
        <w:pStyle w:val="ListParagraph"/>
        <w:tabs>
          <w:tab w:val="left" w:pos="2088"/>
        </w:tabs>
        <w:ind w:left="567"/>
        <w:jc w:val="both"/>
        <w:rPr>
          <w:rFonts w:ascii="Times New Roman" w:hAnsi="Times New Roman"/>
          <w:noProof/>
          <w:sz w:val="24"/>
        </w:rPr>
      </w:pPr>
      <w:r>
        <w:rPr>
          <w:rFonts w:ascii="Times New Roman" w:hAnsi="Times New Roman"/>
          <w:sz w:val="24"/>
        </w:rPr>
        <w:t>3.2.8. apmainīties ar informāciju ar Eiropas Padomes dalībvalstīm par licencēšanas lēmumiem (pieteikumu skaitu, preču un aprīkojuma veidu un attiecīgajām valstīm) un attiecīgā gadījumā par faktiski veikto eksportu.</w:t>
      </w:r>
    </w:p>
    <w:p w14:paraId="1DEFE874" w14:textId="77777777" w:rsidR="004C0E5B" w:rsidRPr="003043CA" w:rsidRDefault="004C0E5B" w:rsidP="004C0E5B">
      <w:pPr>
        <w:pStyle w:val="ListParagraph"/>
        <w:tabs>
          <w:tab w:val="left" w:pos="2088"/>
        </w:tabs>
        <w:ind w:left="284"/>
        <w:jc w:val="both"/>
        <w:rPr>
          <w:rFonts w:ascii="Times New Roman" w:hAnsi="Times New Roman"/>
          <w:noProof/>
          <w:sz w:val="24"/>
        </w:rPr>
      </w:pPr>
    </w:p>
    <w:p w14:paraId="5A8945D2" w14:textId="38B6A7C2" w:rsidR="00AD4B3F" w:rsidRPr="003043CA" w:rsidRDefault="004C0E5B" w:rsidP="004C0E5B">
      <w:pPr>
        <w:pStyle w:val="Heading1"/>
        <w:tabs>
          <w:tab w:val="left" w:pos="825"/>
        </w:tabs>
        <w:ind w:left="0" w:firstLine="0"/>
        <w:rPr>
          <w:rFonts w:ascii="Times New Roman" w:hAnsi="Times New Roman"/>
          <w:noProof/>
          <w:sz w:val="24"/>
        </w:rPr>
      </w:pPr>
      <w:r>
        <w:rPr>
          <w:rFonts w:ascii="Times New Roman" w:hAnsi="Times New Roman"/>
          <w:sz w:val="24"/>
        </w:rPr>
        <w:t>4. Informācijas apmaiņa un izplatīšana, sadarbība</w:t>
      </w:r>
    </w:p>
    <w:p w14:paraId="5F4880F3" w14:textId="77777777" w:rsidR="00AD4B3F" w:rsidRPr="003043CA" w:rsidRDefault="00AD4B3F" w:rsidP="003043CA">
      <w:pPr>
        <w:pStyle w:val="BodyText"/>
        <w:jc w:val="both"/>
        <w:rPr>
          <w:rFonts w:ascii="Times New Roman" w:hAnsi="Times New Roman"/>
          <w:b/>
          <w:noProof/>
          <w:sz w:val="24"/>
        </w:rPr>
      </w:pPr>
    </w:p>
    <w:p w14:paraId="7B87C72F" w14:textId="77777777" w:rsidR="00AD4B3F" w:rsidRDefault="00AD4B3F" w:rsidP="003043CA">
      <w:pPr>
        <w:pStyle w:val="BodyText"/>
        <w:jc w:val="both"/>
        <w:rPr>
          <w:rFonts w:ascii="Times New Roman" w:hAnsi="Times New Roman"/>
          <w:noProof/>
          <w:sz w:val="24"/>
        </w:rPr>
      </w:pPr>
      <w:r>
        <w:rPr>
          <w:rFonts w:ascii="Times New Roman" w:hAnsi="Times New Roman"/>
          <w:sz w:val="24"/>
        </w:rPr>
        <w:t>Dalībvalstīm jāizmanto Eiropas Padomes tiešsaistes platforma cilvēktiesību un uzņēmējdarbības jautājumos informācijas un labākās prakses piemēru apmaiņai, tostarp, lai izplatītu attiecīgos valsts tiesību aktus un saistītās administratīvās procedūras nolūkā veicināt gan pasākumu efektīvu īstenošanu valsts līmenī, gan pārrobežu sadarbību. Šī platforma un saistītie pasākumi var veicināt informācijas izplatīšanu uzņēmēju kopienai un citām ieinteresētajām personām, lai tām veidotos izpratne par attiecīgajiem pienākumiem un par mehānismiem un pasākumiem, kas izstrādāti, lai regulētu tiesībaizsardzības iestādēm paredzētu preču un aprīkojuma tirdzniecību nolūkā nepieļaut, ka tas tiek izmantots nāvessoda izpildei, spīdzināšanai un citiem nežēlīgas, necilvēcīgas vai pazemojošas izturēšanās vai sodīšanas veidiem.</w:t>
      </w:r>
    </w:p>
    <w:p w14:paraId="24DEFDA0" w14:textId="77777777" w:rsidR="00240936" w:rsidRPr="003043CA" w:rsidRDefault="00240936" w:rsidP="003043CA">
      <w:pPr>
        <w:pStyle w:val="BodyText"/>
        <w:jc w:val="both"/>
        <w:rPr>
          <w:rFonts w:ascii="Times New Roman" w:hAnsi="Times New Roman"/>
          <w:noProof/>
          <w:sz w:val="24"/>
        </w:rPr>
      </w:pPr>
    </w:p>
    <w:p w14:paraId="22F15F45" w14:textId="6BC4EBE6" w:rsidR="00AD4B3F" w:rsidRPr="003043CA" w:rsidRDefault="00240936" w:rsidP="00240936">
      <w:pPr>
        <w:pStyle w:val="Heading1"/>
        <w:tabs>
          <w:tab w:val="left" w:pos="825"/>
        </w:tabs>
        <w:ind w:left="0" w:firstLine="0"/>
        <w:rPr>
          <w:rFonts w:ascii="Times New Roman" w:hAnsi="Times New Roman"/>
          <w:noProof/>
          <w:sz w:val="24"/>
        </w:rPr>
      </w:pPr>
      <w:r>
        <w:rPr>
          <w:rFonts w:ascii="Times New Roman" w:hAnsi="Times New Roman"/>
          <w:sz w:val="24"/>
        </w:rPr>
        <w:t>5. Atbalsts trešajām valstīm</w:t>
      </w:r>
    </w:p>
    <w:p w14:paraId="20E0A406" w14:textId="77777777" w:rsidR="00AD4B3F" w:rsidRPr="003043CA" w:rsidRDefault="00AD4B3F" w:rsidP="00171E13">
      <w:pPr>
        <w:pStyle w:val="BodyText"/>
        <w:jc w:val="both"/>
        <w:rPr>
          <w:rFonts w:ascii="Times New Roman" w:hAnsi="Times New Roman"/>
          <w:b/>
          <w:noProof/>
          <w:sz w:val="24"/>
        </w:rPr>
      </w:pPr>
    </w:p>
    <w:p w14:paraId="74239424" w14:textId="65C853BC" w:rsidR="00AD4B3F" w:rsidRDefault="00171E13" w:rsidP="00171E13">
      <w:pPr>
        <w:pStyle w:val="ListParagraph"/>
        <w:tabs>
          <w:tab w:val="left" w:pos="1211"/>
        </w:tabs>
        <w:ind w:left="284"/>
        <w:jc w:val="both"/>
        <w:rPr>
          <w:rFonts w:ascii="Times New Roman" w:hAnsi="Times New Roman"/>
          <w:noProof/>
          <w:sz w:val="24"/>
        </w:rPr>
      </w:pPr>
      <w:r>
        <w:rPr>
          <w:rFonts w:ascii="Times New Roman" w:hAnsi="Times New Roman"/>
          <w:sz w:val="24"/>
        </w:rPr>
        <w:t>5.1. Dalībvalstīm jāmudina trešās valstis īstenot pasākumus, piemēram, šajā ieteikumā noteiktos pasākumus, un citus attiecīgos starptautiskos standartus, kas regulē tiesībaizsardzības iestādēm paredzētu preču un aprīkojuma tirdzniecību, lai nepieļautu, ka tas tiek izmantots nāvessoda izpildei, spīdzināšanai un citiem nežēlīgas, necilvēcīgas vai pazemojošas izturēšanās vai sodīšanas veidiem, it īpaši veidojot partnerattiecības ar šīm valstīm vai piedāvājot tām citu veidu atbalstu šo standartu īstenošanā.</w:t>
      </w:r>
    </w:p>
    <w:p w14:paraId="4F86C5B1" w14:textId="77777777" w:rsidR="00171E13" w:rsidRPr="003043CA" w:rsidRDefault="00171E13" w:rsidP="00171E13">
      <w:pPr>
        <w:pStyle w:val="ListParagraph"/>
        <w:tabs>
          <w:tab w:val="left" w:pos="1211"/>
        </w:tabs>
        <w:ind w:left="284"/>
        <w:jc w:val="both"/>
        <w:rPr>
          <w:rFonts w:ascii="Times New Roman" w:hAnsi="Times New Roman"/>
          <w:noProof/>
          <w:sz w:val="24"/>
        </w:rPr>
      </w:pPr>
    </w:p>
    <w:p w14:paraId="13F72CE1" w14:textId="1B92F277" w:rsidR="00AD4B3F" w:rsidRPr="003043CA" w:rsidRDefault="00171E13" w:rsidP="00171E13">
      <w:pPr>
        <w:pStyle w:val="ListParagraph"/>
        <w:tabs>
          <w:tab w:val="left" w:pos="1323"/>
        </w:tabs>
        <w:ind w:left="284"/>
        <w:jc w:val="both"/>
        <w:rPr>
          <w:rFonts w:ascii="Times New Roman" w:hAnsi="Times New Roman"/>
          <w:noProof/>
          <w:sz w:val="24"/>
        </w:rPr>
      </w:pPr>
      <w:r>
        <w:rPr>
          <w:rFonts w:ascii="Times New Roman" w:hAnsi="Times New Roman"/>
          <w:sz w:val="24"/>
        </w:rPr>
        <w:t>5.2. Dalībvalstīm jāsniedz padoms un atbalsts trešajām valstīm, kuras vēlas padarīt stingrāku savu regulatīvo režīmu attiecībā uz tiesībaizsardzības iestādēm paredzētu preču un aprīkojuma tirdzniecību, lai nepieļautu, ka tas tiek izmantots nāvessoda izpildei, spīdzināšanai un citiem nežēlīgas, necilvēcīgas vai pazemojošas izturēšanās vai sodīšanas veidiem.</w:t>
      </w:r>
    </w:p>
    <w:p w14:paraId="0C817AB3" w14:textId="77777777" w:rsidR="00AD4B3F" w:rsidRPr="003043CA" w:rsidRDefault="00AD4B3F" w:rsidP="00171E13">
      <w:pPr>
        <w:pStyle w:val="BodyText"/>
        <w:ind w:left="284"/>
        <w:jc w:val="both"/>
        <w:rPr>
          <w:rFonts w:ascii="Times New Roman" w:hAnsi="Times New Roman"/>
          <w:noProof/>
          <w:sz w:val="24"/>
        </w:rPr>
      </w:pPr>
    </w:p>
    <w:p w14:paraId="5E4CD907" w14:textId="0B63EF2F" w:rsidR="00AD4B3F" w:rsidRPr="003043CA" w:rsidRDefault="00171E13" w:rsidP="00171E13">
      <w:pPr>
        <w:pStyle w:val="ListParagraph"/>
        <w:tabs>
          <w:tab w:val="left" w:pos="1323"/>
        </w:tabs>
        <w:ind w:left="284"/>
        <w:jc w:val="both"/>
        <w:rPr>
          <w:rFonts w:ascii="Times New Roman" w:hAnsi="Times New Roman"/>
          <w:noProof/>
          <w:sz w:val="24"/>
        </w:rPr>
      </w:pPr>
      <w:r>
        <w:rPr>
          <w:rFonts w:ascii="Times New Roman" w:hAnsi="Times New Roman"/>
          <w:sz w:val="24"/>
        </w:rPr>
        <w:t>5.3. Dalībvalstīm, izmantojot to diplomātiskās vai konsulārās misijas trešajās valstīs, jāsniedz informācija par to, kādas sekas attiecībā uz cilvēktiesībām rada spīdzināšanai un citiem nežēlīgas, necilvēcīgas vai pazemojošas izturēšanās vai sodīšanas veidiem izmantojamo preču un aprīkojuma tirdzniecība.</w:t>
      </w:r>
    </w:p>
    <w:p w14:paraId="452EBDA1" w14:textId="77777777" w:rsidR="00AD4B3F" w:rsidRPr="003043CA" w:rsidRDefault="00AD4B3F" w:rsidP="00171E13">
      <w:pPr>
        <w:pStyle w:val="BodyText"/>
        <w:jc w:val="both"/>
        <w:rPr>
          <w:rFonts w:ascii="Times New Roman" w:hAnsi="Times New Roman"/>
          <w:noProof/>
          <w:sz w:val="24"/>
        </w:rPr>
      </w:pPr>
    </w:p>
    <w:p w14:paraId="2D2DAC65" w14:textId="41945083" w:rsidR="00AD4B3F" w:rsidRPr="003043CA" w:rsidRDefault="00171E13" w:rsidP="00171E13">
      <w:pPr>
        <w:pStyle w:val="Heading1"/>
        <w:tabs>
          <w:tab w:val="left" w:pos="938"/>
        </w:tabs>
        <w:ind w:left="0" w:firstLine="0"/>
        <w:rPr>
          <w:rFonts w:ascii="Times New Roman" w:hAnsi="Times New Roman"/>
          <w:noProof/>
          <w:sz w:val="24"/>
        </w:rPr>
      </w:pPr>
      <w:r>
        <w:rPr>
          <w:rFonts w:ascii="Times New Roman" w:hAnsi="Times New Roman"/>
          <w:sz w:val="24"/>
        </w:rPr>
        <w:t>6. Darbība citās starptautiskajās organizācijās</w:t>
      </w:r>
    </w:p>
    <w:p w14:paraId="4C3B6F8A" w14:textId="77777777" w:rsidR="00AD4B3F" w:rsidRPr="003043CA" w:rsidRDefault="00AD4B3F" w:rsidP="003043CA">
      <w:pPr>
        <w:pStyle w:val="BodyText"/>
        <w:jc w:val="both"/>
        <w:rPr>
          <w:rFonts w:ascii="Times New Roman" w:hAnsi="Times New Roman"/>
          <w:b/>
          <w:noProof/>
          <w:sz w:val="24"/>
        </w:rPr>
      </w:pPr>
    </w:p>
    <w:p w14:paraId="1F32DA99" w14:textId="25D1A9DC" w:rsidR="00AD4B3F" w:rsidRPr="003043CA" w:rsidRDefault="00171E13" w:rsidP="00190B22">
      <w:pPr>
        <w:pStyle w:val="ListParagraph"/>
        <w:tabs>
          <w:tab w:val="left" w:pos="1323"/>
        </w:tabs>
        <w:ind w:left="284"/>
        <w:jc w:val="both"/>
        <w:rPr>
          <w:rFonts w:ascii="Times New Roman" w:hAnsi="Times New Roman"/>
          <w:noProof/>
          <w:sz w:val="24"/>
        </w:rPr>
      </w:pPr>
      <w:r>
        <w:rPr>
          <w:rFonts w:ascii="Times New Roman" w:hAnsi="Times New Roman"/>
          <w:sz w:val="24"/>
        </w:rPr>
        <w:t>6.1. Dalībvalstīm jāveicina darbība attiecīgajos starptautiskajos forumos, lai novērstu tādu preču tirdzniecību, ko varētu izmantot nāvessoda izpildei, spīdzināšanai vai citiem nežēlīgas, necilvēcīgas vai pazemojošas izturēšanās vai sodīšanas veidiem. Īpaša uzmanība jāpievērš Apvienoto Nāciju Organizācijas procesiem, kuru mērķis ir izpētīt, cik pamatotas ir dažādas iespējas izstrādāt kopīgus starptautiskos standartus šajā jomā, it īpaši saistošu tiesību aktu, un kāda ir to piemērošanas joma.</w:t>
      </w:r>
    </w:p>
    <w:p w14:paraId="7CF8F4C6" w14:textId="77777777" w:rsidR="00AD4B3F" w:rsidRPr="003043CA" w:rsidRDefault="00AD4B3F" w:rsidP="00190B22">
      <w:pPr>
        <w:pStyle w:val="BodyText"/>
        <w:ind w:left="284"/>
        <w:jc w:val="both"/>
        <w:rPr>
          <w:rFonts w:ascii="Times New Roman" w:hAnsi="Times New Roman"/>
          <w:noProof/>
          <w:sz w:val="24"/>
        </w:rPr>
      </w:pPr>
    </w:p>
    <w:p w14:paraId="75D33DEC" w14:textId="6F0C326E" w:rsidR="00AD4B3F" w:rsidRPr="003043CA" w:rsidRDefault="00171E13" w:rsidP="0057504D">
      <w:pPr>
        <w:pStyle w:val="ListParagraph"/>
        <w:keepNext/>
        <w:keepLines/>
        <w:tabs>
          <w:tab w:val="left" w:pos="1321"/>
        </w:tabs>
        <w:ind w:left="284"/>
        <w:jc w:val="both"/>
        <w:rPr>
          <w:rFonts w:ascii="Times New Roman" w:hAnsi="Times New Roman"/>
          <w:noProof/>
          <w:sz w:val="24"/>
        </w:rPr>
      </w:pPr>
      <w:r>
        <w:rPr>
          <w:rFonts w:ascii="Times New Roman" w:hAnsi="Times New Roman"/>
          <w:sz w:val="24"/>
        </w:rPr>
        <w:lastRenderedPageBreak/>
        <w:t>6.2. Ja dalībvalstis vēl nav pievienojušās Aliansei pret tādu preču tirdzniecību, kuras izmanto spīdzināšanai, tām tai jāpievienojas un jāizmanto alianses kontaktpunktu globālais tīkls, lai dalītos ar informāciju un labākās prakses piemēriem un lai sniegtu vai saņemtu tehnisko palīdzību attiecīgo valsts tiesību aktu izstrādē un īstenošanā, kā arī jāsniedz ieguldījums šā tīkla uzturēšanā.</w:t>
      </w:r>
    </w:p>
    <w:p w14:paraId="43FB7973" w14:textId="77777777" w:rsidR="00AD4B3F" w:rsidRPr="003043CA" w:rsidRDefault="00AD4B3F" w:rsidP="003043CA">
      <w:pPr>
        <w:pStyle w:val="BodyText"/>
        <w:jc w:val="both"/>
        <w:rPr>
          <w:rFonts w:ascii="Times New Roman" w:hAnsi="Times New Roman"/>
          <w:noProof/>
          <w:sz w:val="24"/>
        </w:rPr>
      </w:pPr>
    </w:p>
    <w:p w14:paraId="216F0E37" w14:textId="77777777" w:rsidR="00AD4B3F" w:rsidRDefault="00AD4B3F" w:rsidP="003043CA">
      <w:pPr>
        <w:pStyle w:val="BodyText"/>
        <w:jc w:val="both"/>
        <w:rPr>
          <w:rFonts w:ascii="Times New Roman" w:hAnsi="Times New Roman"/>
          <w:noProof/>
          <w:sz w:val="24"/>
          <w:u w:val="single"/>
        </w:rPr>
      </w:pPr>
      <w:r>
        <w:rPr>
          <w:rFonts w:ascii="Times New Roman" w:hAnsi="Times New Roman"/>
          <w:sz w:val="24"/>
          <w:u w:val="single"/>
        </w:rPr>
        <w:t>1. papildinājums</w:t>
      </w:r>
    </w:p>
    <w:p w14:paraId="2CAE753D" w14:textId="77777777" w:rsidR="00171E13" w:rsidRPr="003043CA" w:rsidRDefault="00171E13" w:rsidP="003043CA">
      <w:pPr>
        <w:pStyle w:val="BodyText"/>
        <w:jc w:val="both"/>
        <w:rPr>
          <w:rFonts w:ascii="Times New Roman" w:hAnsi="Times New Roman"/>
          <w:noProof/>
          <w:sz w:val="24"/>
          <w:u w:val="single"/>
        </w:rPr>
      </w:pPr>
    </w:p>
    <w:p w14:paraId="3C811ADD" w14:textId="77777777" w:rsidR="00AD4B3F" w:rsidRPr="003043CA" w:rsidRDefault="00AD4B3F" w:rsidP="003043CA">
      <w:pPr>
        <w:pStyle w:val="Heading1"/>
        <w:ind w:left="0" w:firstLine="0"/>
        <w:jc w:val="both"/>
        <w:rPr>
          <w:rFonts w:ascii="Times New Roman" w:hAnsi="Times New Roman"/>
          <w:noProof/>
          <w:sz w:val="24"/>
        </w:rPr>
      </w:pPr>
      <w:r>
        <w:rPr>
          <w:rFonts w:ascii="Times New Roman" w:hAnsi="Times New Roman"/>
          <w:sz w:val="24"/>
        </w:rPr>
        <w:t>Aizliegto vardarbīgo preču un aprīkojuma saraksts</w:t>
      </w:r>
    </w:p>
    <w:p w14:paraId="3FF063AE" w14:textId="77777777" w:rsidR="00AD4B3F" w:rsidRPr="003043CA" w:rsidRDefault="00AD4B3F" w:rsidP="003043CA">
      <w:pPr>
        <w:pStyle w:val="BodyText"/>
        <w:jc w:val="both"/>
        <w:rPr>
          <w:rFonts w:ascii="Times New Roman" w:hAnsi="Times New Roman"/>
          <w:b/>
          <w:noProof/>
          <w:sz w:val="24"/>
        </w:rPr>
      </w:pPr>
    </w:p>
    <w:p w14:paraId="042CEA6C" w14:textId="77777777" w:rsidR="00AD4B3F" w:rsidRPr="003043CA" w:rsidRDefault="00AD4B3F" w:rsidP="003043CA">
      <w:pPr>
        <w:pStyle w:val="BodyText"/>
        <w:jc w:val="both"/>
        <w:rPr>
          <w:rFonts w:ascii="Times New Roman" w:hAnsi="Times New Roman"/>
          <w:noProof/>
          <w:sz w:val="24"/>
        </w:rPr>
      </w:pPr>
      <w:r>
        <w:rPr>
          <w:rFonts w:ascii="Times New Roman" w:hAnsi="Times New Roman"/>
          <w:sz w:val="24"/>
        </w:rPr>
        <w:t>Vardarbīgas preces un aprīkojums ir tostarp šāds:</w:t>
      </w:r>
    </w:p>
    <w:p w14:paraId="600DCC35" w14:textId="77777777" w:rsidR="00171E13" w:rsidRDefault="00171E13" w:rsidP="00171E13">
      <w:pPr>
        <w:pStyle w:val="ListParagraph"/>
        <w:tabs>
          <w:tab w:val="left" w:pos="1649"/>
        </w:tabs>
        <w:ind w:left="0"/>
        <w:jc w:val="both"/>
        <w:rPr>
          <w:rFonts w:ascii="Times New Roman" w:hAnsi="Times New Roman"/>
          <w:noProof/>
          <w:sz w:val="24"/>
        </w:rPr>
      </w:pPr>
    </w:p>
    <w:p w14:paraId="4A29ED67" w14:textId="218FE08B" w:rsidR="00AD4B3F" w:rsidRPr="003043CA" w:rsidRDefault="00171E13" w:rsidP="00171E13">
      <w:pPr>
        <w:pStyle w:val="ListParagraph"/>
        <w:tabs>
          <w:tab w:val="left" w:pos="1649"/>
        </w:tabs>
        <w:ind w:left="567" w:hanging="284"/>
        <w:jc w:val="both"/>
        <w:rPr>
          <w:rFonts w:ascii="Times New Roman" w:hAnsi="Times New Roman"/>
          <w:noProof/>
          <w:sz w:val="24"/>
        </w:rPr>
      </w:pPr>
      <w:r>
        <w:rPr>
          <w:rFonts w:ascii="Times New Roman" w:hAnsi="Times New Roman"/>
          <w:sz w:val="24"/>
        </w:rPr>
        <w:t>i) karātavas, giljotīnas, giljotīnu asmeņi, gāzes kameras, elektriskie krēsli un automātiskās letālu injekciju sistēmas, kas paredzētas nāvessoda izpildei;</w:t>
      </w:r>
    </w:p>
    <w:p w14:paraId="45855CCA" w14:textId="77777777" w:rsidR="00AD4B3F" w:rsidRPr="003043CA" w:rsidRDefault="00AD4B3F" w:rsidP="00171E13">
      <w:pPr>
        <w:pStyle w:val="BodyText"/>
        <w:ind w:left="567" w:hanging="284"/>
        <w:jc w:val="both"/>
        <w:rPr>
          <w:rFonts w:ascii="Times New Roman" w:hAnsi="Times New Roman"/>
          <w:noProof/>
          <w:sz w:val="24"/>
        </w:rPr>
      </w:pPr>
    </w:p>
    <w:p w14:paraId="28457917" w14:textId="24D9FA97" w:rsidR="00AD4B3F" w:rsidRPr="003043CA" w:rsidRDefault="00171E13" w:rsidP="00171E13">
      <w:pPr>
        <w:pStyle w:val="ListParagraph"/>
        <w:tabs>
          <w:tab w:val="left" w:pos="1649"/>
        </w:tabs>
        <w:ind w:left="567" w:hanging="284"/>
        <w:jc w:val="both"/>
        <w:rPr>
          <w:rFonts w:ascii="Times New Roman" w:hAnsi="Times New Roman"/>
          <w:noProof/>
          <w:sz w:val="24"/>
        </w:rPr>
      </w:pPr>
      <w:r>
        <w:rPr>
          <w:rFonts w:ascii="Times New Roman" w:hAnsi="Times New Roman"/>
          <w:sz w:val="24"/>
        </w:rPr>
        <w:t>ii) īkšķu slēgi, pirkstu slēgi, īkšķu spīles, stieņu važas, slēgi, kas paredzēti cilvēku savaldīšanai (ierobežojot kustības) un kurus piestiprina pie sienas, grīdas vai griestiem, kāju slēgi ar atsvariem, vairākpersonu ķēdes, kas sastāv no stieņu važām vai kāju slēgiem ar atsvariem, savaldīšanas krēsli un siekstas (važu dēļi) un važu gultas ar metāla važām, sprosta gultas un tīkla gultas;</w:t>
      </w:r>
    </w:p>
    <w:p w14:paraId="0C433AAE" w14:textId="77777777" w:rsidR="00AD4B3F" w:rsidRPr="003043CA" w:rsidRDefault="00AD4B3F" w:rsidP="00171E13">
      <w:pPr>
        <w:pStyle w:val="BodyText"/>
        <w:ind w:left="567" w:hanging="284"/>
        <w:jc w:val="both"/>
        <w:rPr>
          <w:rFonts w:ascii="Times New Roman" w:hAnsi="Times New Roman"/>
          <w:noProof/>
          <w:sz w:val="24"/>
        </w:rPr>
      </w:pPr>
    </w:p>
    <w:p w14:paraId="0A2ED817" w14:textId="181E6D5B" w:rsidR="00AD4B3F" w:rsidRPr="003043CA" w:rsidRDefault="00171E13" w:rsidP="00171E13">
      <w:pPr>
        <w:pStyle w:val="ListParagraph"/>
        <w:tabs>
          <w:tab w:val="left" w:pos="1649"/>
        </w:tabs>
        <w:ind w:left="567" w:hanging="284"/>
        <w:jc w:val="both"/>
        <w:rPr>
          <w:rFonts w:ascii="Times New Roman" w:hAnsi="Times New Roman"/>
          <w:noProof/>
          <w:sz w:val="24"/>
        </w:rPr>
      </w:pPr>
      <w:r>
        <w:rPr>
          <w:rFonts w:ascii="Times New Roman" w:hAnsi="Times New Roman"/>
          <w:sz w:val="24"/>
        </w:rPr>
        <w:t>iii) zižļi jeb steki ar dzelkšņiem un vairogi ar metāla dzelkšņiem, pātagas ar daudzām siksnām vai auklām vai kurām ir viena vai vairākas siksnas vai auklas, kas aprīkotas ar dzelkšņiem, āķiem, metāla stiepli vai līdzīgiem elementiem trieciena pastiprināšanai;</w:t>
      </w:r>
    </w:p>
    <w:p w14:paraId="4224AAA5" w14:textId="77777777" w:rsidR="00AD4B3F" w:rsidRPr="003043CA" w:rsidRDefault="00AD4B3F" w:rsidP="00171E13">
      <w:pPr>
        <w:pStyle w:val="BodyText"/>
        <w:ind w:left="567" w:hanging="284"/>
        <w:jc w:val="both"/>
        <w:rPr>
          <w:rFonts w:ascii="Times New Roman" w:hAnsi="Times New Roman"/>
          <w:noProof/>
          <w:sz w:val="24"/>
        </w:rPr>
      </w:pPr>
    </w:p>
    <w:p w14:paraId="13B34FF0" w14:textId="794FEBB0" w:rsidR="00AD4B3F" w:rsidRPr="003043CA" w:rsidRDefault="00171E13" w:rsidP="00171E13">
      <w:pPr>
        <w:pStyle w:val="ListParagraph"/>
        <w:tabs>
          <w:tab w:val="left" w:pos="1649"/>
        </w:tabs>
        <w:ind w:left="567" w:hanging="284"/>
        <w:jc w:val="both"/>
        <w:rPr>
          <w:rFonts w:ascii="Times New Roman" w:hAnsi="Times New Roman"/>
          <w:noProof/>
          <w:sz w:val="24"/>
        </w:rPr>
      </w:pPr>
      <w:r>
        <w:rPr>
          <w:rFonts w:ascii="Times New Roman" w:hAnsi="Times New Roman"/>
          <w:sz w:val="24"/>
        </w:rPr>
        <w:t>iv) valkājamas elektrošoka ierīces, piemēram, jostas, aproces un manšetes, kas paredzētas cilvēka kustību ierobežošanai, piemērojot elektrisko triecienu.</w:t>
      </w:r>
    </w:p>
    <w:p w14:paraId="610E756A" w14:textId="77777777" w:rsidR="00AD4B3F" w:rsidRPr="003043CA" w:rsidRDefault="00AD4B3F" w:rsidP="003043CA">
      <w:pPr>
        <w:pStyle w:val="BodyText"/>
        <w:jc w:val="both"/>
        <w:rPr>
          <w:rFonts w:ascii="Times New Roman" w:hAnsi="Times New Roman"/>
          <w:noProof/>
          <w:sz w:val="24"/>
        </w:rPr>
      </w:pPr>
    </w:p>
    <w:p w14:paraId="02BB4B70" w14:textId="77777777" w:rsidR="00AD4B3F" w:rsidRDefault="00AD4B3F" w:rsidP="003043CA">
      <w:pPr>
        <w:pStyle w:val="BodyText"/>
        <w:jc w:val="both"/>
        <w:rPr>
          <w:rFonts w:ascii="Times New Roman" w:hAnsi="Times New Roman"/>
          <w:noProof/>
          <w:sz w:val="24"/>
          <w:u w:val="single"/>
        </w:rPr>
      </w:pPr>
      <w:r>
        <w:rPr>
          <w:rFonts w:ascii="Times New Roman" w:hAnsi="Times New Roman"/>
          <w:sz w:val="24"/>
          <w:u w:val="single"/>
        </w:rPr>
        <w:t>2. papildinājums</w:t>
      </w:r>
    </w:p>
    <w:p w14:paraId="3DB71EC1" w14:textId="77777777" w:rsidR="001970A5" w:rsidRPr="003043CA" w:rsidRDefault="001970A5" w:rsidP="003043CA">
      <w:pPr>
        <w:pStyle w:val="BodyText"/>
        <w:jc w:val="both"/>
        <w:rPr>
          <w:rFonts w:ascii="Times New Roman" w:hAnsi="Times New Roman"/>
          <w:noProof/>
          <w:sz w:val="24"/>
          <w:u w:val="single"/>
        </w:rPr>
      </w:pPr>
    </w:p>
    <w:p w14:paraId="6649B8B0" w14:textId="77777777" w:rsidR="00AD4B3F" w:rsidRPr="003043CA" w:rsidRDefault="00AD4B3F" w:rsidP="003043CA">
      <w:pPr>
        <w:pStyle w:val="Heading1"/>
        <w:ind w:left="0" w:firstLine="0"/>
        <w:jc w:val="both"/>
        <w:rPr>
          <w:rFonts w:ascii="Times New Roman" w:hAnsi="Times New Roman"/>
          <w:noProof/>
          <w:sz w:val="24"/>
        </w:rPr>
      </w:pPr>
      <w:r>
        <w:rPr>
          <w:rFonts w:ascii="Times New Roman" w:hAnsi="Times New Roman"/>
          <w:sz w:val="24"/>
        </w:rPr>
        <w:t>Letālu injekciju ievadīšanai izmantojamo ķīmisko farmaceitisko līdzekļu saraksts</w:t>
      </w:r>
    </w:p>
    <w:p w14:paraId="353F3033" w14:textId="77777777" w:rsidR="00AD4B3F" w:rsidRPr="003043CA" w:rsidRDefault="00AD4B3F" w:rsidP="003043CA">
      <w:pPr>
        <w:pStyle w:val="BodyText"/>
        <w:jc w:val="both"/>
        <w:rPr>
          <w:rFonts w:ascii="Times New Roman" w:hAnsi="Times New Roman"/>
          <w:b/>
          <w:noProof/>
          <w:sz w:val="24"/>
        </w:rPr>
      </w:pPr>
    </w:p>
    <w:p w14:paraId="2B27940F" w14:textId="77777777" w:rsidR="001970A5" w:rsidRDefault="00AD4B3F" w:rsidP="003043CA">
      <w:pPr>
        <w:pStyle w:val="BodyText"/>
        <w:jc w:val="both"/>
        <w:rPr>
          <w:rFonts w:ascii="Times New Roman" w:hAnsi="Times New Roman"/>
          <w:noProof/>
          <w:sz w:val="24"/>
        </w:rPr>
      </w:pPr>
      <w:r>
        <w:rPr>
          <w:rFonts w:ascii="Times New Roman" w:hAnsi="Times New Roman"/>
          <w:sz w:val="24"/>
        </w:rPr>
        <w:t>Līdzekļi, kurus var izmantot cilvēka nāvessoda izpildei, izmantojot letālu injekciju, ir šādi:</w:t>
      </w:r>
    </w:p>
    <w:p w14:paraId="3231421C" w14:textId="77777777" w:rsidR="001970A5" w:rsidRDefault="001970A5" w:rsidP="003043CA">
      <w:pPr>
        <w:pStyle w:val="BodyText"/>
        <w:jc w:val="both"/>
        <w:rPr>
          <w:rFonts w:ascii="Times New Roman" w:hAnsi="Times New Roman"/>
          <w:noProof/>
          <w:sz w:val="24"/>
        </w:rPr>
      </w:pPr>
    </w:p>
    <w:p w14:paraId="5428F376" w14:textId="2867D3B3" w:rsidR="00AD4B3F" w:rsidRPr="003043CA" w:rsidRDefault="00AD4B3F" w:rsidP="003043CA">
      <w:pPr>
        <w:pStyle w:val="BodyText"/>
        <w:jc w:val="both"/>
        <w:rPr>
          <w:rFonts w:ascii="Times New Roman" w:hAnsi="Times New Roman"/>
          <w:noProof/>
          <w:sz w:val="24"/>
        </w:rPr>
      </w:pPr>
      <w:r>
        <w:rPr>
          <w:rFonts w:ascii="Times New Roman" w:hAnsi="Times New Roman"/>
          <w:sz w:val="24"/>
        </w:rPr>
        <w:t>ātras un vidējas iedarbības barbiturātu grupas anestēzijas vielas ir tostarp šādas:</w:t>
      </w:r>
    </w:p>
    <w:p w14:paraId="7AEC4417" w14:textId="77777777" w:rsidR="001970A5" w:rsidRDefault="001970A5" w:rsidP="001970A5">
      <w:pPr>
        <w:pStyle w:val="ListParagraph"/>
        <w:tabs>
          <w:tab w:val="left" w:pos="1649"/>
        </w:tabs>
        <w:ind w:left="0"/>
        <w:jc w:val="both"/>
        <w:rPr>
          <w:rFonts w:ascii="Times New Roman" w:hAnsi="Times New Roman"/>
          <w:noProof/>
          <w:sz w:val="24"/>
        </w:rPr>
      </w:pPr>
    </w:p>
    <w:p w14:paraId="4210D507" w14:textId="66D89092" w:rsidR="00AD4B3F" w:rsidRDefault="001970A5" w:rsidP="00190B22">
      <w:pPr>
        <w:pStyle w:val="ListParagraph"/>
        <w:tabs>
          <w:tab w:val="left" w:pos="567"/>
          <w:tab w:val="left" w:pos="1649"/>
        </w:tabs>
        <w:ind w:left="567" w:hanging="284"/>
        <w:jc w:val="both"/>
        <w:rPr>
          <w:rFonts w:ascii="Times New Roman" w:hAnsi="Times New Roman"/>
          <w:noProof/>
          <w:sz w:val="24"/>
        </w:rPr>
      </w:pPr>
      <w:r>
        <w:rPr>
          <w:rFonts w:ascii="Times New Roman" w:hAnsi="Times New Roman"/>
          <w:sz w:val="24"/>
        </w:rPr>
        <w:t>i) amobarbitāls (CAS RN 57-43-2);</w:t>
      </w:r>
    </w:p>
    <w:p w14:paraId="445FCE06" w14:textId="77777777" w:rsidR="00190B22" w:rsidRPr="003043CA" w:rsidRDefault="00190B22" w:rsidP="00190B22">
      <w:pPr>
        <w:pStyle w:val="ListParagraph"/>
        <w:tabs>
          <w:tab w:val="left" w:pos="567"/>
          <w:tab w:val="left" w:pos="1649"/>
        </w:tabs>
        <w:ind w:left="567" w:hanging="284"/>
        <w:jc w:val="both"/>
        <w:rPr>
          <w:rFonts w:ascii="Times New Roman" w:hAnsi="Times New Roman"/>
          <w:noProof/>
          <w:sz w:val="24"/>
        </w:rPr>
      </w:pPr>
    </w:p>
    <w:p w14:paraId="1AC93B3F" w14:textId="7EF40E4E" w:rsidR="00AD4B3F" w:rsidRDefault="001970A5" w:rsidP="00190B22">
      <w:pPr>
        <w:pStyle w:val="ListParagraph"/>
        <w:tabs>
          <w:tab w:val="left" w:pos="567"/>
          <w:tab w:val="left" w:pos="1649"/>
        </w:tabs>
        <w:ind w:left="567" w:hanging="284"/>
        <w:jc w:val="both"/>
        <w:rPr>
          <w:rFonts w:ascii="Times New Roman" w:hAnsi="Times New Roman"/>
          <w:noProof/>
          <w:sz w:val="24"/>
        </w:rPr>
      </w:pPr>
      <w:r>
        <w:rPr>
          <w:rFonts w:ascii="Times New Roman" w:hAnsi="Times New Roman"/>
          <w:sz w:val="24"/>
        </w:rPr>
        <w:t>ii) amobarbitāla nātrija sāls (CAS RN 64-43-7);</w:t>
      </w:r>
    </w:p>
    <w:p w14:paraId="1468402D" w14:textId="77777777" w:rsidR="00190B22" w:rsidRPr="003043CA" w:rsidRDefault="00190B22" w:rsidP="00190B22">
      <w:pPr>
        <w:pStyle w:val="ListParagraph"/>
        <w:tabs>
          <w:tab w:val="left" w:pos="567"/>
          <w:tab w:val="left" w:pos="1649"/>
        </w:tabs>
        <w:ind w:left="567" w:hanging="284"/>
        <w:jc w:val="both"/>
        <w:rPr>
          <w:rFonts w:ascii="Times New Roman" w:hAnsi="Times New Roman"/>
          <w:noProof/>
          <w:sz w:val="24"/>
        </w:rPr>
      </w:pPr>
    </w:p>
    <w:p w14:paraId="34F2A13A" w14:textId="003CA5BC" w:rsidR="00AD4B3F" w:rsidRDefault="001970A5" w:rsidP="00190B22">
      <w:pPr>
        <w:pStyle w:val="ListParagraph"/>
        <w:tabs>
          <w:tab w:val="left" w:pos="567"/>
          <w:tab w:val="left" w:pos="1649"/>
        </w:tabs>
        <w:ind w:left="567" w:hanging="284"/>
        <w:jc w:val="both"/>
        <w:rPr>
          <w:rFonts w:ascii="Times New Roman" w:hAnsi="Times New Roman"/>
          <w:noProof/>
          <w:sz w:val="24"/>
        </w:rPr>
      </w:pPr>
      <w:r>
        <w:rPr>
          <w:rFonts w:ascii="Times New Roman" w:hAnsi="Times New Roman"/>
          <w:sz w:val="24"/>
        </w:rPr>
        <w:t>iii) pentobarbitāls (CAS RN 76-74-4);</w:t>
      </w:r>
    </w:p>
    <w:p w14:paraId="1039A78B" w14:textId="77777777" w:rsidR="00190B22" w:rsidRPr="003043CA" w:rsidRDefault="00190B22" w:rsidP="00190B22">
      <w:pPr>
        <w:pStyle w:val="ListParagraph"/>
        <w:tabs>
          <w:tab w:val="left" w:pos="567"/>
          <w:tab w:val="left" w:pos="1649"/>
        </w:tabs>
        <w:ind w:left="567" w:hanging="284"/>
        <w:jc w:val="both"/>
        <w:rPr>
          <w:rFonts w:ascii="Times New Roman" w:hAnsi="Times New Roman"/>
          <w:noProof/>
          <w:sz w:val="24"/>
        </w:rPr>
      </w:pPr>
    </w:p>
    <w:p w14:paraId="5B1FF088" w14:textId="7A3E519F" w:rsidR="00AD4B3F" w:rsidRDefault="001970A5" w:rsidP="00190B22">
      <w:pPr>
        <w:pStyle w:val="ListParagraph"/>
        <w:tabs>
          <w:tab w:val="left" w:pos="567"/>
          <w:tab w:val="left" w:pos="1649"/>
        </w:tabs>
        <w:ind w:left="567" w:hanging="284"/>
        <w:jc w:val="both"/>
        <w:rPr>
          <w:rFonts w:ascii="Times New Roman" w:hAnsi="Times New Roman"/>
          <w:noProof/>
          <w:sz w:val="24"/>
        </w:rPr>
      </w:pPr>
      <w:r>
        <w:rPr>
          <w:rFonts w:ascii="Times New Roman" w:hAnsi="Times New Roman"/>
          <w:sz w:val="24"/>
        </w:rPr>
        <w:t>vi) pentobarbitāla nātrija sāls (CAS RN 57-33-0);</w:t>
      </w:r>
    </w:p>
    <w:p w14:paraId="444933F0" w14:textId="77777777" w:rsidR="00190B22" w:rsidRPr="003043CA" w:rsidRDefault="00190B22" w:rsidP="00190B22">
      <w:pPr>
        <w:pStyle w:val="ListParagraph"/>
        <w:tabs>
          <w:tab w:val="left" w:pos="567"/>
          <w:tab w:val="left" w:pos="1649"/>
        </w:tabs>
        <w:ind w:left="567" w:hanging="284"/>
        <w:jc w:val="both"/>
        <w:rPr>
          <w:rFonts w:ascii="Times New Roman" w:hAnsi="Times New Roman"/>
          <w:noProof/>
          <w:sz w:val="24"/>
        </w:rPr>
      </w:pPr>
    </w:p>
    <w:p w14:paraId="735B6FAA" w14:textId="3437D30C" w:rsidR="00AD4B3F" w:rsidRDefault="001970A5" w:rsidP="00190B22">
      <w:pPr>
        <w:pStyle w:val="ListParagraph"/>
        <w:tabs>
          <w:tab w:val="left" w:pos="567"/>
          <w:tab w:val="left" w:pos="1649"/>
        </w:tabs>
        <w:ind w:left="567" w:hanging="284"/>
        <w:jc w:val="both"/>
        <w:rPr>
          <w:rFonts w:ascii="Times New Roman" w:hAnsi="Times New Roman"/>
          <w:noProof/>
          <w:sz w:val="24"/>
        </w:rPr>
      </w:pPr>
      <w:r>
        <w:rPr>
          <w:rFonts w:ascii="Times New Roman" w:hAnsi="Times New Roman"/>
          <w:sz w:val="24"/>
        </w:rPr>
        <w:t>v) sekobarbitāls (CAS RN 76-73-3);</w:t>
      </w:r>
    </w:p>
    <w:p w14:paraId="3D410425" w14:textId="77777777" w:rsidR="00190B22" w:rsidRPr="003043CA" w:rsidRDefault="00190B22" w:rsidP="00190B22">
      <w:pPr>
        <w:pStyle w:val="ListParagraph"/>
        <w:tabs>
          <w:tab w:val="left" w:pos="567"/>
          <w:tab w:val="left" w:pos="1649"/>
        </w:tabs>
        <w:ind w:left="567" w:hanging="284"/>
        <w:jc w:val="both"/>
        <w:rPr>
          <w:rFonts w:ascii="Times New Roman" w:hAnsi="Times New Roman"/>
          <w:noProof/>
          <w:sz w:val="24"/>
        </w:rPr>
      </w:pPr>
    </w:p>
    <w:p w14:paraId="15D7B9EE" w14:textId="31AB2F71" w:rsidR="00AD4B3F" w:rsidRDefault="001970A5" w:rsidP="00190B22">
      <w:pPr>
        <w:pStyle w:val="ListParagraph"/>
        <w:tabs>
          <w:tab w:val="left" w:pos="567"/>
          <w:tab w:val="left" w:pos="1649"/>
        </w:tabs>
        <w:ind w:left="567" w:hanging="284"/>
        <w:jc w:val="both"/>
        <w:rPr>
          <w:rFonts w:ascii="Times New Roman" w:hAnsi="Times New Roman"/>
          <w:noProof/>
          <w:sz w:val="24"/>
        </w:rPr>
      </w:pPr>
      <w:r>
        <w:rPr>
          <w:rFonts w:ascii="Times New Roman" w:hAnsi="Times New Roman"/>
          <w:sz w:val="24"/>
        </w:rPr>
        <w:t>vi) sekobarbitāla nātrija sāls (CAS RN 309-43-3);</w:t>
      </w:r>
    </w:p>
    <w:p w14:paraId="3E9C5E26" w14:textId="77777777" w:rsidR="00190B22" w:rsidRPr="003043CA" w:rsidRDefault="00190B22" w:rsidP="00190B22">
      <w:pPr>
        <w:pStyle w:val="ListParagraph"/>
        <w:tabs>
          <w:tab w:val="left" w:pos="567"/>
          <w:tab w:val="left" w:pos="1649"/>
        </w:tabs>
        <w:ind w:left="567" w:hanging="284"/>
        <w:jc w:val="both"/>
        <w:rPr>
          <w:rFonts w:ascii="Times New Roman" w:hAnsi="Times New Roman"/>
          <w:noProof/>
          <w:sz w:val="24"/>
        </w:rPr>
      </w:pPr>
    </w:p>
    <w:p w14:paraId="1004ABF7" w14:textId="77745973" w:rsidR="00AD4B3F" w:rsidRDefault="00190B22" w:rsidP="00190B22">
      <w:pPr>
        <w:pStyle w:val="ListParagraph"/>
        <w:tabs>
          <w:tab w:val="left" w:pos="567"/>
          <w:tab w:val="left" w:pos="1649"/>
        </w:tabs>
        <w:ind w:left="567" w:hanging="284"/>
        <w:jc w:val="both"/>
        <w:rPr>
          <w:rFonts w:ascii="Times New Roman" w:hAnsi="Times New Roman"/>
          <w:noProof/>
          <w:sz w:val="24"/>
        </w:rPr>
      </w:pPr>
      <w:r>
        <w:rPr>
          <w:rFonts w:ascii="Times New Roman" w:hAnsi="Times New Roman"/>
          <w:sz w:val="24"/>
        </w:rPr>
        <w:t>vii) tiopentāls (CAS RN 76-75-5);</w:t>
      </w:r>
    </w:p>
    <w:p w14:paraId="6DFD8C1F" w14:textId="77777777" w:rsidR="00190B22" w:rsidRPr="003043CA" w:rsidRDefault="00190B22" w:rsidP="00190B22">
      <w:pPr>
        <w:pStyle w:val="ListParagraph"/>
        <w:tabs>
          <w:tab w:val="left" w:pos="567"/>
          <w:tab w:val="left" w:pos="1649"/>
        </w:tabs>
        <w:ind w:left="567" w:hanging="284"/>
        <w:jc w:val="both"/>
        <w:rPr>
          <w:rFonts w:ascii="Times New Roman" w:hAnsi="Times New Roman"/>
          <w:noProof/>
          <w:sz w:val="24"/>
        </w:rPr>
      </w:pPr>
    </w:p>
    <w:p w14:paraId="1E45E7AB" w14:textId="74184E0D" w:rsidR="00AD4B3F" w:rsidRDefault="00190B22" w:rsidP="00190B22">
      <w:pPr>
        <w:pStyle w:val="ListParagraph"/>
        <w:tabs>
          <w:tab w:val="left" w:pos="567"/>
          <w:tab w:val="left" w:pos="1649"/>
        </w:tabs>
        <w:ind w:left="567" w:hanging="284"/>
        <w:jc w:val="both"/>
        <w:rPr>
          <w:rFonts w:ascii="Times New Roman" w:hAnsi="Times New Roman"/>
          <w:noProof/>
          <w:sz w:val="24"/>
        </w:rPr>
      </w:pPr>
      <w:r>
        <w:rPr>
          <w:rFonts w:ascii="Times New Roman" w:hAnsi="Times New Roman"/>
          <w:sz w:val="24"/>
        </w:rPr>
        <w:lastRenderedPageBreak/>
        <w:t>viii) tiopentāla nātrija sāls (CAS RN 71-73-8), dēvēts arī par tiopentona nātriju;</w:t>
      </w:r>
    </w:p>
    <w:p w14:paraId="0E9A0DCF" w14:textId="77777777" w:rsidR="00190B22" w:rsidRPr="003043CA" w:rsidRDefault="00190B22" w:rsidP="00190B22">
      <w:pPr>
        <w:pStyle w:val="ListParagraph"/>
        <w:tabs>
          <w:tab w:val="left" w:pos="567"/>
          <w:tab w:val="left" w:pos="1649"/>
        </w:tabs>
        <w:ind w:left="567" w:hanging="284"/>
        <w:jc w:val="both"/>
        <w:rPr>
          <w:rFonts w:ascii="Times New Roman" w:hAnsi="Times New Roman"/>
          <w:noProof/>
          <w:sz w:val="24"/>
        </w:rPr>
      </w:pPr>
    </w:p>
    <w:p w14:paraId="7AD542CA" w14:textId="5187E151" w:rsidR="00AD4B3F" w:rsidRPr="003043CA" w:rsidRDefault="00190B22" w:rsidP="00190B22">
      <w:pPr>
        <w:pStyle w:val="ListParagraph"/>
        <w:tabs>
          <w:tab w:val="left" w:pos="567"/>
          <w:tab w:val="left" w:pos="1649"/>
        </w:tabs>
        <w:ind w:left="567" w:hanging="284"/>
        <w:jc w:val="both"/>
        <w:rPr>
          <w:rFonts w:ascii="Times New Roman" w:hAnsi="Times New Roman"/>
          <w:noProof/>
          <w:sz w:val="24"/>
        </w:rPr>
      </w:pPr>
      <w:r>
        <w:rPr>
          <w:rFonts w:ascii="Times New Roman" w:hAnsi="Times New Roman"/>
          <w:sz w:val="24"/>
        </w:rPr>
        <w:t>ix) līdzekļi, kuru sastāvā ir viena vai vairākas anestēzijas vielas, kas uzskaitītas ātras un vidējas iedarbības barbiturātu grupas anestēzijas vielu sarakstā.</w:t>
      </w:r>
    </w:p>
    <w:p w14:paraId="0707D209" w14:textId="77777777" w:rsidR="00AD4B3F" w:rsidRPr="003043CA" w:rsidRDefault="00AD4B3F" w:rsidP="003043CA">
      <w:pPr>
        <w:pStyle w:val="BodyText"/>
        <w:jc w:val="both"/>
        <w:rPr>
          <w:rFonts w:ascii="Times New Roman" w:hAnsi="Times New Roman"/>
          <w:noProof/>
          <w:sz w:val="24"/>
        </w:rPr>
      </w:pPr>
    </w:p>
    <w:p w14:paraId="521147AF" w14:textId="77777777" w:rsidR="00AD4B3F" w:rsidRDefault="00AD4B3F" w:rsidP="003043CA">
      <w:pPr>
        <w:pStyle w:val="BodyText"/>
        <w:jc w:val="both"/>
        <w:rPr>
          <w:rFonts w:ascii="Times New Roman" w:hAnsi="Times New Roman"/>
          <w:noProof/>
          <w:sz w:val="24"/>
          <w:u w:val="single"/>
        </w:rPr>
      </w:pPr>
      <w:r>
        <w:rPr>
          <w:rFonts w:ascii="Times New Roman" w:hAnsi="Times New Roman"/>
          <w:sz w:val="24"/>
          <w:u w:val="single"/>
        </w:rPr>
        <w:t>3. papildinājums</w:t>
      </w:r>
    </w:p>
    <w:p w14:paraId="181067AE" w14:textId="77777777" w:rsidR="00190B22" w:rsidRPr="003043CA" w:rsidRDefault="00190B22" w:rsidP="003043CA">
      <w:pPr>
        <w:pStyle w:val="BodyText"/>
        <w:jc w:val="both"/>
        <w:rPr>
          <w:rFonts w:ascii="Times New Roman" w:hAnsi="Times New Roman"/>
          <w:noProof/>
          <w:sz w:val="24"/>
          <w:u w:val="single"/>
        </w:rPr>
      </w:pPr>
    </w:p>
    <w:p w14:paraId="7BF7E90D" w14:textId="77777777" w:rsidR="00AD4B3F" w:rsidRPr="003043CA" w:rsidRDefault="00AD4B3F" w:rsidP="003043CA">
      <w:pPr>
        <w:pStyle w:val="Heading1"/>
        <w:ind w:left="0" w:firstLine="0"/>
        <w:jc w:val="both"/>
        <w:rPr>
          <w:rFonts w:ascii="Times New Roman" w:hAnsi="Times New Roman"/>
          <w:noProof/>
          <w:sz w:val="24"/>
        </w:rPr>
      </w:pPr>
      <w:r>
        <w:rPr>
          <w:rFonts w:ascii="Times New Roman" w:hAnsi="Times New Roman"/>
          <w:sz w:val="24"/>
        </w:rPr>
        <w:t>Kontrolēto preču un aprīkojuma saraksts</w:t>
      </w:r>
    </w:p>
    <w:p w14:paraId="70B487D0" w14:textId="77777777" w:rsidR="00AD4B3F" w:rsidRPr="003043CA" w:rsidRDefault="00AD4B3F" w:rsidP="003043CA">
      <w:pPr>
        <w:pStyle w:val="BodyText"/>
        <w:jc w:val="both"/>
        <w:rPr>
          <w:rFonts w:ascii="Times New Roman" w:hAnsi="Times New Roman"/>
          <w:b/>
          <w:noProof/>
          <w:sz w:val="24"/>
        </w:rPr>
      </w:pPr>
    </w:p>
    <w:p w14:paraId="58CB2C93" w14:textId="77777777" w:rsidR="00AD4B3F" w:rsidRDefault="00AD4B3F" w:rsidP="00190B22">
      <w:pPr>
        <w:pStyle w:val="BodyText"/>
        <w:jc w:val="both"/>
        <w:rPr>
          <w:rFonts w:ascii="Times New Roman" w:hAnsi="Times New Roman"/>
          <w:noProof/>
          <w:sz w:val="24"/>
        </w:rPr>
      </w:pPr>
      <w:r>
        <w:rPr>
          <w:rFonts w:ascii="Times New Roman" w:hAnsi="Times New Roman"/>
          <w:sz w:val="24"/>
        </w:rPr>
        <w:t>Kontrolētās preces un aprīkojums ir tostarp šāds:</w:t>
      </w:r>
    </w:p>
    <w:p w14:paraId="12F78556" w14:textId="77777777" w:rsidR="00190B22" w:rsidRPr="003043CA" w:rsidRDefault="00190B22" w:rsidP="00190B22">
      <w:pPr>
        <w:pStyle w:val="BodyText"/>
        <w:jc w:val="both"/>
        <w:rPr>
          <w:rFonts w:ascii="Times New Roman" w:hAnsi="Times New Roman"/>
          <w:noProof/>
          <w:sz w:val="24"/>
        </w:rPr>
      </w:pPr>
    </w:p>
    <w:p w14:paraId="0579E08B" w14:textId="0F14F033" w:rsidR="00AD4B3F" w:rsidRPr="003043CA" w:rsidRDefault="00190B22" w:rsidP="00190B22">
      <w:pPr>
        <w:pStyle w:val="ListParagraph"/>
        <w:tabs>
          <w:tab w:val="left" w:pos="1111"/>
        </w:tabs>
        <w:ind w:left="567" w:hanging="284"/>
        <w:jc w:val="both"/>
        <w:rPr>
          <w:rFonts w:ascii="Times New Roman" w:hAnsi="Times New Roman"/>
          <w:noProof/>
          <w:sz w:val="24"/>
        </w:rPr>
      </w:pPr>
      <w:r>
        <w:rPr>
          <w:rFonts w:ascii="Times New Roman" w:hAnsi="Times New Roman"/>
          <w:sz w:val="24"/>
        </w:rPr>
        <w:t>i) važas, vairākpersonu ķēdes, spļāvēju kapuces, atsevišķi slēgi (aproces) vai gredzeni, kas aprīkoti ar slēgmehānismu un kuru iekšējais apkārtmērs pārsniedz 165 mm, kad sprūdmehānisms ir pagriezts līdz pēdējam ierobam slēgmehānisma sākumā;</w:t>
      </w:r>
    </w:p>
    <w:p w14:paraId="2FA7DF82" w14:textId="77777777" w:rsidR="00AD4B3F" w:rsidRPr="003043CA" w:rsidRDefault="00AD4B3F" w:rsidP="00190B22">
      <w:pPr>
        <w:pStyle w:val="BodyText"/>
        <w:ind w:left="567" w:hanging="284"/>
        <w:jc w:val="both"/>
        <w:rPr>
          <w:rFonts w:ascii="Times New Roman" w:hAnsi="Times New Roman"/>
          <w:noProof/>
          <w:sz w:val="24"/>
        </w:rPr>
      </w:pPr>
    </w:p>
    <w:p w14:paraId="56363BBE" w14:textId="538DD6A0" w:rsidR="00AD4B3F" w:rsidRPr="003043CA" w:rsidRDefault="00190B22" w:rsidP="00190B22">
      <w:pPr>
        <w:pStyle w:val="ListParagraph"/>
        <w:tabs>
          <w:tab w:val="left" w:pos="1111"/>
        </w:tabs>
        <w:ind w:left="567" w:hanging="284"/>
        <w:jc w:val="both"/>
        <w:rPr>
          <w:rFonts w:ascii="Times New Roman" w:hAnsi="Times New Roman"/>
          <w:noProof/>
          <w:sz w:val="24"/>
        </w:rPr>
      </w:pPr>
      <w:r>
        <w:rPr>
          <w:rFonts w:ascii="Times New Roman" w:hAnsi="Times New Roman"/>
          <w:sz w:val="24"/>
        </w:rPr>
        <w:t>ii) pārnēsājami elektriskās izlādes ieroči, ar kuriem elektrošoku vienlaikus var raidīt vienai personai, tostarp, elektrošoka zižļi, elektrošoka vairogi, apdullinoši šaujamieroči un elektrošoka šautras šaujamieroči, un komplekti, kuru sastāvā ir būtiski komponenti šādu pārnēsājamu elektriskās izlādes ieroču montāžai;</w:t>
      </w:r>
    </w:p>
    <w:p w14:paraId="4F5BA374" w14:textId="77777777" w:rsidR="00190B22" w:rsidRDefault="00190B22" w:rsidP="00190B22">
      <w:pPr>
        <w:pStyle w:val="ListParagraph"/>
        <w:tabs>
          <w:tab w:val="left" w:pos="1111"/>
        </w:tabs>
        <w:ind w:left="567" w:hanging="284"/>
        <w:jc w:val="both"/>
        <w:rPr>
          <w:rFonts w:ascii="Times New Roman" w:hAnsi="Times New Roman"/>
          <w:noProof/>
          <w:sz w:val="24"/>
        </w:rPr>
      </w:pPr>
    </w:p>
    <w:p w14:paraId="799EC6BB" w14:textId="64DD5FF4" w:rsidR="00AD4B3F" w:rsidRPr="003043CA" w:rsidRDefault="00190B22" w:rsidP="00190B22">
      <w:pPr>
        <w:pStyle w:val="ListParagraph"/>
        <w:tabs>
          <w:tab w:val="left" w:pos="1111"/>
        </w:tabs>
        <w:ind w:left="567" w:hanging="284"/>
        <w:jc w:val="both"/>
        <w:rPr>
          <w:rFonts w:ascii="Times New Roman" w:hAnsi="Times New Roman"/>
          <w:noProof/>
          <w:sz w:val="24"/>
        </w:rPr>
      </w:pPr>
      <w:r>
        <w:rPr>
          <w:rFonts w:ascii="Times New Roman" w:hAnsi="Times New Roman"/>
          <w:sz w:val="24"/>
        </w:rPr>
        <w:t>iii) stacionāri vai piemontējami elektriskās izlādes ieroči, kas darbojas plašā rādiusā un kas elektrošoku var raidīt uz vairākām personām;</w:t>
      </w:r>
    </w:p>
    <w:p w14:paraId="555986FD" w14:textId="77777777" w:rsidR="00190B22" w:rsidRDefault="00190B22" w:rsidP="00190B22">
      <w:pPr>
        <w:pStyle w:val="ListParagraph"/>
        <w:tabs>
          <w:tab w:val="left" w:pos="1111"/>
        </w:tabs>
        <w:ind w:left="567" w:hanging="284"/>
        <w:jc w:val="both"/>
        <w:rPr>
          <w:rFonts w:ascii="Times New Roman" w:hAnsi="Times New Roman"/>
          <w:noProof/>
          <w:sz w:val="24"/>
        </w:rPr>
      </w:pPr>
    </w:p>
    <w:p w14:paraId="7D5ECF5C" w14:textId="1AFFD350" w:rsidR="00AD4B3F" w:rsidRPr="003043CA" w:rsidRDefault="00190B22" w:rsidP="00190B22">
      <w:pPr>
        <w:pStyle w:val="ListParagraph"/>
        <w:tabs>
          <w:tab w:val="left" w:pos="1111"/>
        </w:tabs>
        <w:ind w:left="567" w:hanging="284"/>
        <w:jc w:val="both"/>
        <w:rPr>
          <w:rFonts w:ascii="Times New Roman" w:hAnsi="Times New Roman"/>
          <w:noProof/>
          <w:sz w:val="24"/>
        </w:rPr>
      </w:pPr>
      <w:r>
        <w:rPr>
          <w:rFonts w:ascii="Times New Roman" w:hAnsi="Times New Roman"/>
          <w:sz w:val="24"/>
        </w:rPr>
        <w:t>iv) ķīmiskās vielas masu nekārtību novēršanai (</w:t>
      </w:r>
      <w:r>
        <w:rPr>
          <w:rFonts w:ascii="Times New Roman" w:hAnsi="Times New Roman"/>
          <w:i/>
          <w:iCs/>
          <w:sz w:val="24"/>
        </w:rPr>
        <w:t>RCA</w:t>
      </w:r>
      <w:r>
        <w:rPr>
          <w:rFonts w:ascii="Times New Roman" w:hAnsi="Times New Roman"/>
          <w:sz w:val="24"/>
        </w:rPr>
        <w:t>), kas tiek izmantotas tiesībaizsardzības vajadzībām, piemēram:</w:t>
      </w:r>
    </w:p>
    <w:p w14:paraId="3945E9F8" w14:textId="2CC05E13" w:rsidR="00AD4B3F" w:rsidRPr="003043CA" w:rsidRDefault="00190B22" w:rsidP="00190B22">
      <w:pPr>
        <w:pStyle w:val="ListParagraph"/>
        <w:tabs>
          <w:tab w:val="left" w:pos="1548"/>
        </w:tabs>
        <w:ind w:left="851" w:hanging="284"/>
        <w:jc w:val="both"/>
        <w:rPr>
          <w:rFonts w:ascii="Times New Roman" w:hAnsi="Times New Roman"/>
          <w:noProof/>
          <w:sz w:val="24"/>
        </w:rPr>
      </w:pPr>
      <w:r>
        <w:rPr>
          <w:rFonts w:ascii="Times New Roman" w:hAnsi="Times New Roman"/>
          <w:sz w:val="24"/>
        </w:rPr>
        <w:t>a) 2-hlorbenzilidēnmalononitrils (CS) (CAS 2698- 41-1);</w:t>
      </w:r>
    </w:p>
    <w:p w14:paraId="4A2D9826" w14:textId="4A203241" w:rsidR="00AD4B3F" w:rsidRPr="003043CA" w:rsidRDefault="00190B22" w:rsidP="00190B22">
      <w:pPr>
        <w:pStyle w:val="ListParagraph"/>
        <w:tabs>
          <w:tab w:val="left" w:pos="1548"/>
        </w:tabs>
        <w:ind w:left="851" w:hanging="284"/>
        <w:jc w:val="both"/>
        <w:rPr>
          <w:rFonts w:ascii="Times New Roman" w:hAnsi="Times New Roman"/>
          <w:noProof/>
          <w:sz w:val="24"/>
        </w:rPr>
      </w:pPr>
      <w:r>
        <w:rPr>
          <w:rFonts w:ascii="Times New Roman" w:hAnsi="Times New Roman"/>
          <w:sz w:val="24"/>
        </w:rPr>
        <w:t>b) 2-hloracetofenons (CN) (CAS 532-27-4);</w:t>
      </w:r>
    </w:p>
    <w:p w14:paraId="5232C777" w14:textId="67278A71" w:rsidR="00AD4B3F" w:rsidRPr="003043CA" w:rsidRDefault="00190B22" w:rsidP="00190B22">
      <w:pPr>
        <w:pStyle w:val="ListParagraph"/>
        <w:tabs>
          <w:tab w:val="left" w:pos="1549"/>
        </w:tabs>
        <w:ind w:left="851" w:hanging="284"/>
        <w:jc w:val="both"/>
        <w:rPr>
          <w:rFonts w:ascii="Times New Roman" w:hAnsi="Times New Roman"/>
          <w:noProof/>
          <w:sz w:val="24"/>
        </w:rPr>
      </w:pPr>
      <w:r>
        <w:rPr>
          <w:rFonts w:ascii="Times New Roman" w:hAnsi="Times New Roman"/>
          <w:sz w:val="24"/>
        </w:rPr>
        <w:t>c) dibenz-(b,f)-1,4-oksazefīns, (CR) (CAS 257-07-8);</w:t>
      </w:r>
    </w:p>
    <w:p w14:paraId="011AFC06" w14:textId="016DB46C" w:rsidR="00AD4B3F" w:rsidRPr="003043CA" w:rsidRDefault="00190B22" w:rsidP="00190B22">
      <w:pPr>
        <w:pStyle w:val="ListParagraph"/>
        <w:tabs>
          <w:tab w:val="left" w:pos="1548"/>
        </w:tabs>
        <w:ind w:left="851" w:hanging="284"/>
        <w:jc w:val="both"/>
        <w:rPr>
          <w:rFonts w:ascii="Times New Roman" w:hAnsi="Times New Roman"/>
          <w:noProof/>
          <w:sz w:val="24"/>
        </w:rPr>
      </w:pPr>
      <w:r>
        <w:rPr>
          <w:rFonts w:ascii="Times New Roman" w:hAnsi="Times New Roman"/>
          <w:sz w:val="24"/>
        </w:rPr>
        <w:t>d) N-nonanoilmorfolīns, (MPA) (CAS 5299-64-9);</w:t>
      </w:r>
    </w:p>
    <w:p w14:paraId="034312DA" w14:textId="152A85B9" w:rsidR="00AD4B3F" w:rsidRPr="003043CA" w:rsidRDefault="00190B22" w:rsidP="00190B22">
      <w:pPr>
        <w:pStyle w:val="ListParagraph"/>
        <w:tabs>
          <w:tab w:val="left" w:pos="1548"/>
        </w:tabs>
        <w:ind w:left="851" w:hanging="284"/>
        <w:jc w:val="both"/>
        <w:rPr>
          <w:rFonts w:ascii="Times New Roman" w:hAnsi="Times New Roman"/>
          <w:noProof/>
          <w:sz w:val="24"/>
        </w:rPr>
      </w:pPr>
      <w:r>
        <w:rPr>
          <w:rFonts w:ascii="Times New Roman" w:hAnsi="Times New Roman"/>
          <w:sz w:val="24"/>
        </w:rPr>
        <w:t xml:space="preserve">e) </w:t>
      </w:r>
      <w:r>
        <w:rPr>
          <w:rFonts w:ascii="Times New Roman" w:hAnsi="Times New Roman"/>
          <w:i/>
          <w:iCs/>
          <w:sz w:val="24"/>
        </w:rPr>
        <w:t>Capsicum</w:t>
      </w:r>
      <w:r>
        <w:rPr>
          <w:rFonts w:ascii="Times New Roman" w:hAnsi="Times New Roman"/>
          <w:sz w:val="24"/>
        </w:rPr>
        <w:t xml:space="preserve"> oleosveķi (</w:t>
      </w:r>
      <w:r>
        <w:rPr>
          <w:rFonts w:ascii="Times New Roman" w:hAnsi="Times New Roman"/>
          <w:i/>
          <w:iCs/>
          <w:sz w:val="24"/>
        </w:rPr>
        <w:t>OC</w:t>
      </w:r>
      <w:r>
        <w:rPr>
          <w:rFonts w:ascii="Times New Roman" w:hAnsi="Times New Roman"/>
          <w:sz w:val="24"/>
        </w:rPr>
        <w:t>) (CAS RN 8023-77-6);</w:t>
      </w:r>
    </w:p>
    <w:p w14:paraId="3F36F02A" w14:textId="02CE7AE4" w:rsidR="00AD4B3F" w:rsidRPr="003043CA" w:rsidRDefault="00190B22" w:rsidP="00190B22">
      <w:pPr>
        <w:pStyle w:val="ListParagraph"/>
        <w:tabs>
          <w:tab w:val="left" w:pos="1550"/>
        </w:tabs>
        <w:ind w:left="851" w:hanging="284"/>
        <w:jc w:val="both"/>
        <w:rPr>
          <w:rFonts w:ascii="Times New Roman" w:hAnsi="Times New Roman"/>
          <w:noProof/>
          <w:sz w:val="24"/>
        </w:rPr>
      </w:pPr>
      <w:r>
        <w:rPr>
          <w:rFonts w:ascii="Times New Roman" w:hAnsi="Times New Roman"/>
          <w:sz w:val="24"/>
        </w:rPr>
        <w:t>f) pelargonskābes vanililamīds (</w:t>
      </w:r>
      <w:r>
        <w:rPr>
          <w:rFonts w:ascii="Times New Roman" w:hAnsi="Times New Roman"/>
          <w:i/>
          <w:iCs/>
          <w:sz w:val="24"/>
        </w:rPr>
        <w:t>PAVA</w:t>
      </w:r>
      <w:r>
        <w:rPr>
          <w:rFonts w:ascii="Times New Roman" w:hAnsi="Times New Roman"/>
          <w:sz w:val="24"/>
        </w:rPr>
        <w:t>) (CAS RN 2444-46-4);</w:t>
      </w:r>
    </w:p>
    <w:p w14:paraId="39A85EB9" w14:textId="77777777" w:rsidR="00AD4B3F" w:rsidRPr="003043CA" w:rsidRDefault="00AD4B3F" w:rsidP="00190B22">
      <w:pPr>
        <w:pStyle w:val="BodyText"/>
        <w:ind w:left="567" w:hanging="284"/>
        <w:jc w:val="both"/>
        <w:rPr>
          <w:rFonts w:ascii="Times New Roman" w:hAnsi="Times New Roman"/>
          <w:noProof/>
          <w:sz w:val="24"/>
        </w:rPr>
      </w:pPr>
    </w:p>
    <w:p w14:paraId="0B46BA2C" w14:textId="44F75D5C" w:rsidR="00AD4B3F" w:rsidRPr="003043CA" w:rsidRDefault="00190B22" w:rsidP="00190B22">
      <w:pPr>
        <w:pStyle w:val="ListParagraph"/>
        <w:tabs>
          <w:tab w:val="left" w:pos="1111"/>
        </w:tabs>
        <w:ind w:left="567" w:hanging="284"/>
        <w:jc w:val="both"/>
        <w:rPr>
          <w:rFonts w:ascii="Times New Roman" w:hAnsi="Times New Roman"/>
          <w:noProof/>
          <w:sz w:val="24"/>
        </w:rPr>
      </w:pPr>
      <w:r>
        <w:rPr>
          <w:rFonts w:ascii="Times New Roman" w:hAnsi="Times New Roman"/>
          <w:sz w:val="24"/>
        </w:rPr>
        <w:t xml:space="preserve">v) </w:t>
      </w:r>
      <w:r>
        <w:rPr>
          <w:rFonts w:ascii="Times New Roman" w:hAnsi="Times New Roman"/>
          <w:i/>
          <w:iCs/>
          <w:sz w:val="24"/>
        </w:rPr>
        <w:t>RCA</w:t>
      </w:r>
      <w:r>
        <w:rPr>
          <w:rFonts w:ascii="Times New Roman" w:hAnsi="Times New Roman"/>
          <w:sz w:val="24"/>
        </w:rPr>
        <w:t xml:space="preserve"> izsmidzināšanas ierīce, kas vērsta uz vienu personu vai kas izsmidzina ierobežotu devu nelielā teritorijā;</w:t>
      </w:r>
    </w:p>
    <w:p w14:paraId="126C65C8" w14:textId="77777777" w:rsidR="00190B22" w:rsidRDefault="00190B22" w:rsidP="00190B22">
      <w:pPr>
        <w:pStyle w:val="ListParagraph"/>
        <w:tabs>
          <w:tab w:val="left" w:pos="1111"/>
        </w:tabs>
        <w:ind w:left="567" w:hanging="284"/>
        <w:jc w:val="both"/>
        <w:rPr>
          <w:rFonts w:ascii="Times New Roman" w:hAnsi="Times New Roman"/>
          <w:noProof/>
          <w:sz w:val="24"/>
        </w:rPr>
      </w:pPr>
    </w:p>
    <w:p w14:paraId="3360F118" w14:textId="687F3CD7" w:rsidR="00AD4B3F" w:rsidRPr="003043CA" w:rsidRDefault="00190B22" w:rsidP="00190B22">
      <w:pPr>
        <w:pStyle w:val="ListParagraph"/>
        <w:tabs>
          <w:tab w:val="left" w:pos="1111"/>
        </w:tabs>
        <w:ind w:left="567" w:hanging="284"/>
        <w:jc w:val="both"/>
        <w:rPr>
          <w:rFonts w:ascii="Times New Roman" w:hAnsi="Times New Roman"/>
          <w:noProof/>
          <w:sz w:val="24"/>
        </w:rPr>
      </w:pPr>
      <w:r>
        <w:rPr>
          <w:rFonts w:ascii="Times New Roman" w:hAnsi="Times New Roman"/>
          <w:sz w:val="24"/>
        </w:rPr>
        <w:t xml:space="preserve">vi) stacionāra </w:t>
      </w:r>
      <w:r>
        <w:rPr>
          <w:rFonts w:ascii="Times New Roman" w:hAnsi="Times New Roman"/>
          <w:i/>
          <w:iCs/>
          <w:sz w:val="24"/>
        </w:rPr>
        <w:t>RCA</w:t>
      </w:r>
      <w:r>
        <w:rPr>
          <w:rFonts w:ascii="Times New Roman" w:hAnsi="Times New Roman"/>
          <w:sz w:val="24"/>
        </w:rPr>
        <w:t xml:space="preserve"> izsmidzināšanas ierīce, kas paredzēta ierobežotas </w:t>
      </w:r>
      <w:r>
        <w:rPr>
          <w:rFonts w:ascii="Times New Roman" w:hAnsi="Times New Roman"/>
          <w:i/>
          <w:iCs/>
          <w:sz w:val="24"/>
        </w:rPr>
        <w:t>RCA</w:t>
      </w:r>
      <w:r>
        <w:rPr>
          <w:rFonts w:ascii="Times New Roman" w:hAnsi="Times New Roman"/>
          <w:sz w:val="24"/>
        </w:rPr>
        <w:t xml:space="preserve"> devas izsmidzināšanai nelielā teritorijā ēkas iekšienē;</w:t>
      </w:r>
    </w:p>
    <w:p w14:paraId="290DE7A8" w14:textId="77777777" w:rsidR="00AD4B3F" w:rsidRPr="003043CA" w:rsidRDefault="00AD4B3F" w:rsidP="00190B22">
      <w:pPr>
        <w:pStyle w:val="BodyText"/>
        <w:ind w:left="567" w:hanging="284"/>
        <w:jc w:val="both"/>
        <w:rPr>
          <w:rFonts w:ascii="Times New Roman" w:hAnsi="Times New Roman"/>
          <w:noProof/>
          <w:sz w:val="24"/>
        </w:rPr>
      </w:pPr>
    </w:p>
    <w:p w14:paraId="157CEBE1" w14:textId="672984DB" w:rsidR="00AD4B3F" w:rsidRPr="003043CA" w:rsidRDefault="00190B22" w:rsidP="00190B22">
      <w:pPr>
        <w:pStyle w:val="ListParagraph"/>
        <w:tabs>
          <w:tab w:val="left" w:pos="1111"/>
        </w:tabs>
        <w:ind w:left="567" w:hanging="284"/>
        <w:jc w:val="both"/>
        <w:rPr>
          <w:rFonts w:ascii="Times New Roman" w:hAnsi="Times New Roman"/>
          <w:noProof/>
          <w:sz w:val="24"/>
        </w:rPr>
      </w:pPr>
      <w:r>
        <w:rPr>
          <w:rFonts w:ascii="Times New Roman" w:hAnsi="Times New Roman"/>
          <w:sz w:val="24"/>
        </w:rPr>
        <w:t xml:space="preserve">vii) </w:t>
      </w:r>
      <w:r>
        <w:rPr>
          <w:rFonts w:ascii="Times New Roman" w:hAnsi="Times New Roman"/>
          <w:i/>
          <w:iCs/>
          <w:sz w:val="24"/>
        </w:rPr>
        <w:t>RCA</w:t>
      </w:r>
      <w:r>
        <w:rPr>
          <w:rFonts w:ascii="Times New Roman" w:hAnsi="Times New Roman"/>
          <w:sz w:val="24"/>
        </w:rPr>
        <w:t xml:space="preserve"> izsmidzināšanas ierīce, kas paredzēta </w:t>
      </w:r>
      <w:r>
        <w:rPr>
          <w:rFonts w:ascii="Times New Roman" w:hAnsi="Times New Roman"/>
          <w:i/>
          <w:iCs/>
          <w:sz w:val="24"/>
        </w:rPr>
        <w:t>RCA</w:t>
      </w:r>
      <w:r>
        <w:rPr>
          <w:rFonts w:ascii="Times New Roman" w:hAnsi="Times New Roman"/>
          <w:sz w:val="24"/>
        </w:rPr>
        <w:t xml:space="preserve"> izsmidzināšanai plašā teritorijā, tostarp ūdensmetēji.</w:t>
      </w:r>
    </w:p>
    <w:p w14:paraId="7471D407" w14:textId="77777777" w:rsidR="00AD4B3F" w:rsidRPr="003043CA" w:rsidRDefault="00AD4B3F" w:rsidP="003043CA">
      <w:pPr>
        <w:pStyle w:val="BodyText"/>
        <w:jc w:val="both"/>
        <w:rPr>
          <w:rFonts w:ascii="Times New Roman" w:hAnsi="Times New Roman"/>
          <w:noProof/>
          <w:sz w:val="24"/>
        </w:rPr>
      </w:pPr>
    </w:p>
    <w:p w14:paraId="4DE000B6" w14:textId="77777777" w:rsidR="00AD4B3F" w:rsidRPr="003043CA" w:rsidRDefault="00AD4B3F" w:rsidP="0057504D">
      <w:pPr>
        <w:pStyle w:val="BodyText"/>
        <w:widowControl/>
        <w:jc w:val="both"/>
        <w:rPr>
          <w:rFonts w:ascii="Times New Roman" w:hAnsi="Times New Roman"/>
          <w:noProof/>
          <w:sz w:val="24"/>
          <w:u w:val="single"/>
        </w:rPr>
      </w:pPr>
      <w:r>
        <w:rPr>
          <w:rFonts w:ascii="Times New Roman" w:hAnsi="Times New Roman"/>
          <w:sz w:val="24"/>
          <w:u w:val="single"/>
        </w:rPr>
        <w:t>Piezīme.</w:t>
      </w:r>
    </w:p>
    <w:p w14:paraId="25881CD0" w14:textId="77777777" w:rsidR="00AD4B3F" w:rsidRPr="003043CA" w:rsidRDefault="00AD4B3F" w:rsidP="0057504D">
      <w:pPr>
        <w:pStyle w:val="BodyText"/>
        <w:widowControl/>
        <w:jc w:val="both"/>
        <w:rPr>
          <w:rFonts w:ascii="Times New Roman" w:hAnsi="Times New Roman"/>
          <w:noProof/>
          <w:sz w:val="24"/>
        </w:rPr>
      </w:pPr>
    </w:p>
    <w:p w14:paraId="71C6111B" w14:textId="5612D13D" w:rsidR="00AD4B3F" w:rsidRDefault="00AD4B3F" w:rsidP="0057504D">
      <w:pPr>
        <w:pStyle w:val="BodyText"/>
        <w:widowControl/>
        <w:jc w:val="both"/>
        <w:rPr>
          <w:rFonts w:ascii="Times New Roman" w:hAnsi="Times New Roman"/>
          <w:noProof/>
          <w:sz w:val="24"/>
        </w:rPr>
      </w:pPr>
      <w:r>
        <w:rPr>
          <w:rFonts w:ascii="Times New Roman" w:hAnsi="Times New Roman"/>
          <w:sz w:val="24"/>
        </w:rPr>
        <w:t>Dokumentā “CM(2021)22-add3final” iekļauto paskaidrojuma rakstu Koordinācijas komiteja cilvēktiesību jautājumos (</w:t>
      </w:r>
      <w:r>
        <w:rPr>
          <w:rFonts w:ascii="Times New Roman" w:hAnsi="Times New Roman"/>
          <w:i/>
          <w:iCs/>
          <w:sz w:val="24"/>
        </w:rPr>
        <w:t>CDHH</w:t>
      </w:r>
      <w:r>
        <w:rPr>
          <w:rFonts w:ascii="Times New Roman" w:hAnsi="Times New Roman"/>
          <w:sz w:val="24"/>
        </w:rPr>
        <w:t xml:space="preserve">) pieņēma 2021. gada 28. janvārī, izmantojot elektronisko procedūru, pēc savas 93. sanāksmes (2020. gada 14.–16. decembrī), ņemot vērā, ka tika publicēts Ministru komitejas Ieteikums CM/Rec(2021)2 dalībvalstīm par pasākumiem, kas </w:t>
      </w:r>
      <w:r>
        <w:rPr>
          <w:rFonts w:ascii="Times New Roman" w:hAnsi="Times New Roman"/>
          <w:sz w:val="24"/>
        </w:rPr>
        <w:lastRenderedPageBreak/>
        <w:t>veicami, lai novērstu tādu preču tirdzniecību, ko izmanto nāvessoda izpildei, spīdzināšanai vai citiem nežēlīgas, necilvēcīgas vai pazemojošas izturēšanās vai sodīšanas veidiem.</w:t>
      </w:r>
      <w:r w:rsidR="00190B22">
        <w:rPr>
          <w:rStyle w:val="FootnoteReference"/>
          <w:rFonts w:ascii="Times New Roman" w:hAnsi="Times New Roman"/>
          <w:noProof/>
          <w:sz w:val="24"/>
        </w:rPr>
        <w:footnoteReference w:id="1"/>
      </w:r>
    </w:p>
    <w:p w14:paraId="3ADD10BA" w14:textId="77777777" w:rsidR="00190B22" w:rsidRPr="003043CA" w:rsidRDefault="00190B22" w:rsidP="003043CA">
      <w:pPr>
        <w:pStyle w:val="BodyText"/>
        <w:jc w:val="both"/>
        <w:rPr>
          <w:rFonts w:ascii="Times New Roman" w:hAnsi="Times New Roman"/>
          <w:noProof/>
          <w:sz w:val="24"/>
        </w:rPr>
      </w:pPr>
    </w:p>
    <w:p w14:paraId="568B25D4" w14:textId="77777777" w:rsidR="00AD4B3F" w:rsidRPr="003043CA" w:rsidRDefault="00AD4B3F" w:rsidP="003043CA">
      <w:pPr>
        <w:pStyle w:val="BodyText"/>
        <w:jc w:val="both"/>
        <w:rPr>
          <w:rFonts w:ascii="Times New Roman" w:hAnsi="Times New Roman"/>
          <w:noProof/>
          <w:sz w:val="24"/>
        </w:rPr>
      </w:pPr>
      <w:r>
        <w:rPr>
          <w:rFonts w:ascii="Times New Roman" w:hAnsi="Times New Roman"/>
          <w:sz w:val="24"/>
        </w:rPr>
        <w:t>Pieņemot šo ieteikumu 2021. gada 31. martā 1400. sanāksmē, ministru vietnieki ņēma vērā paskaidrojuma rakstu.</w:t>
      </w:r>
    </w:p>
    <w:sectPr w:rsidR="00AD4B3F" w:rsidRPr="003043CA" w:rsidSect="003043CA">
      <w:headerReference w:type="even" r:id="rId12"/>
      <w:headerReference w:type="default"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D35DC" w14:textId="77777777" w:rsidR="00C7237B" w:rsidRPr="00AD4B3F" w:rsidRDefault="00C7237B">
      <w:pPr>
        <w:rPr>
          <w:noProof/>
        </w:rPr>
      </w:pPr>
      <w:r w:rsidRPr="00AD4B3F">
        <w:rPr>
          <w:noProof/>
        </w:rPr>
        <w:separator/>
      </w:r>
    </w:p>
  </w:endnote>
  <w:endnote w:type="continuationSeparator" w:id="0">
    <w:p w14:paraId="728BEA7F" w14:textId="77777777" w:rsidR="00C7237B" w:rsidRPr="00AD4B3F" w:rsidRDefault="00C7237B">
      <w:pPr>
        <w:rPr>
          <w:noProof/>
        </w:rPr>
      </w:pPr>
      <w:r w:rsidRPr="00AD4B3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EFA6" w14:textId="77777777" w:rsidR="00FC24CF" w:rsidRPr="00864FDC" w:rsidRDefault="00FC24CF" w:rsidP="00FC24CF">
    <w:pPr>
      <w:pStyle w:val="Header"/>
      <w:tabs>
        <w:tab w:val="left" w:pos="9072"/>
      </w:tabs>
      <w:rPr>
        <w:rStyle w:val="PageNumber"/>
        <w:rFonts w:ascii="Times New Roman" w:hAnsi="Times New Roman" w:cs="Times New Roman"/>
        <w:szCs w:val="18"/>
      </w:rPr>
    </w:pPr>
  </w:p>
  <w:p w14:paraId="40B397C9" w14:textId="77777777" w:rsidR="00FC24CF" w:rsidRPr="00864FDC" w:rsidRDefault="00FC24CF" w:rsidP="00FC24CF">
    <w:pPr>
      <w:pStyle w:val="Header"/>
      <w:tabs>
        <w:tab w:val="clear" w:pos="4513"/>
        <w:tab w:val="clear" w:pos="9026"/>
        <w:tab w:val="right" w:leader="underscore" w:pos="9072"/>
      </w:tabs>
      <w:rPr>
        <w:rStyle w:val="PageNumber"/>
        <w:rFonts w:ascii="Times New Roman" w:hAnsi="Times New Roman" w:cs="Times New Roman"/>
        <w:szCs w:val="18"/>
      </w:rPr>
    </w:pPr>
    <w:r w:rsidRPr="00864FDC">
      <w:rPr>
        <w:rStyle w:val="PageNumber"/>
        <w:rFonts w:ascii="Times New Roman" w:hAnsi="Times New Roman" w:cs="Times New Roman"/>
        <w:szCs w:val="18"/>
      </w:rPr>
      <w:tab/>
    </w:r>
  </w:p>
  <w:p w14:paraId="44D2C3C0" w14:textId="77777777" w:rsidR="00FC24CF" w:rsidRPr="00864FDC" w:rsidRDefault="00FC24CF" w:rsidP="00FC24CF">
    <w:pPr>
      <w:pStyle w:val="Header"/>
      <w:tabs>
        <w:tab w:val="right" w:pos="9072"/>
      </w:tabs>
      <w:rPr>
        <w:rStyle w:val="PageNumber"/>
        <w:rFonts w:ascii="Times New Roman" w:hAnsi="Times New Roman" w:cs="Times New Roman"/>
        <w:szCs w:val="18"/>
      </w:rPr>
    </w:pPr>
  </w:p>
  <w:p w14:paraId="43614521" w14:textId="3AC34396" w:rsidR="0084673F" w:rsidRPr="00FC24CF" w:rsidRDefault="00FC24CF" w:rsidP="00FC24CF">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4</w:t>
    </w:r>
    <w:r w:rsidRPr="00864FDC">
      <w:rPr>
        <w:rFonts w:ascii="Times New Roman" w:hAnsi="Times New Roman" w:cs="Times New Roman"/>
        <w:sz w:val="20"/>
        <w:szCs w:val="18"/>
      </w:rPr>
      <w:tab/>
    </w:r>
    <w:r w:rsidRPr="00864FDC">
      <w:rPr>
        <w:rStyle w:val="PageNumber"/>
        <w:rFonts w:ascii="Times New Roman" w:hAnsi="Times New Roman" w:cs="Times New Roman"/>
        <w:szCs w:val="18"/>
      </w:rPr>
      <w:fldChar w:fldCharType="begin"/>
    </w:r>
    <w:r w:rsidRPr="00864FDC">
      <w:rPr>
        <w:rStyle w:val="PageNumber"/>
        <w:rFonts w:ascii="Times New Roman" w:hAnsi="Times New Roman" w:cs="Times New Roman"/>
        <w:szCs w:val="18"/>
      </w:rPr>
      <w:instrText xml:space="preserve">page </w:instrText>
    </w:r>
    <w:r w:rsidRPr="00864FDC">
      <w:rPr>
        <w:rStyle w:val="PageNumber"/>
        <w:rFonts w:ascii="Times New Roman" w:hAnsi="Times New Roman" w:cs="Times New Roman"/>
        <w:szCs w:val="18"/>
      </w:rPr>
      <w:fldChar w:fldCharType="separate"/>
    </w:r>
    <w:r>
      <w:rPr>
        <w:rStyle w:val="PageNumber"/>
        <w:rFonts w:ascii="Times New Roman" w:hAnsi="Times New Roman" w:cs="Times New Roman"/>
        <w:szCs w:val="18"/>
      </w:rPr>
      <w:t>2</w:t>
    </w:r>
    <w:r w:rsidRPr="00864FDC">
      <w:rPr>
        <w:rStyle w:val="PageNumber"/>
        <w:rFonts w:ascii="Times New Roman" w:hAnsi="Times New Roman" w:cs="Times New Roman"/>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8810" w14:textId="77777777" w:rsidR="00957682" w:rsidRPr="00864FDC" w:rsidRDefault="00957682" w:rsidP="00957682">
    <w:pPr>
      <w:pStyle w:val="Header"/>
      <w:tabs>
        <w:tab w:val="left" w:pos="9072"/>
      </w:tabs>
      <w:rPr>
        <w:rStyle w:val="PageNumber"/>
        <w:rFonts w:ascii="Times New Roman" w:hAnsi="Times New Roman" w:cs="Times New Roman"/>
        <w:szCs w:val="18"/>
      </w:rPr>
    </w:pPr>
    <w:bookmarkStart w:id="18" w:name="_Hlk496261764"/>
    <w:bookmarkStart w:id="19" w:name="_Hlk496261765"/>
    <w:bookmarkStart w:id="20" w:name="_Hlk496261766"/>
    <w:bookmarkStart w:id="21" w:name="_Hlk30491075"/>
    <w:bookmarkStart w:id="22" w:name="_Hlk30491076"/>
  </w:p>
  <w:p w14:paraId="7E0AAA92" w14:textId="77777777" w:rsidR="00957682" w:rsidRPr="00864FDC" w:rsidRDefault="00957682" w:rsidP="00957682">
    <w:pPr>
      <w:pStyle w:val="Header"/>
      <w:tabs>
        <w:tab w:val="clear" w:pos="4513"/>
        <w:tab w:val="clear" w:pos="9026"/>
        <w:tab w:val="left" w:leader="underscore" w:pos="9072"/>
      </w:tabs>
      <w:rPr>
        <w:rStyle w:val="PageNumber"/>
        <w:rFonts w:ascii="Times New Roman" w:hAnsi="Times New Roman" w:cs="Times New Roman"/>
        <w:szCs w:val="18"/>
      </w:rPr>
    </w:pPr>
    <w:r w:rsidRPr="00864FDC">
      <w:rPr>
        <w:rStyle w:val="PageNumber"/>
        <w:rFonts w:ascii="Times New Roman" w:hAnsi="Times New Roman" w:cs="Times New Roman"/>
        <w:szCs w:val="18"/>
      </w:rPr>
      <w:tab/>
    </w:r>
  </w:p>
  <w:p w14:paraId="7A3E9E4B" w14:textId="77777777" w:rsidR="00957682" w:rsidRPr="00864FDC" w:rsidRDefault="00957682" w:rsidP="00957682">
    <w:pPr>
      <w:pStyle w:val="Header"/>
      <w:tabs>
        <w:tab w:val="left" w:pos="9072"/>
      </w:tabs>
      <w:rPr>
        <w:rStyle w:val="PageNumber"/>
        <w:rFonts w:ascii="Times New Roman" w:hAnsi="Times New Roman" w:cs="Times New Roman"/>
        <w:szCs w:val="18"/>
      </w:rPr>
    </w:pPr>
  </w:p>
  <w:p w14:paraId="77F72E5F" w14:textId="39802BE7" w:rsidR="00A36E42" w:rsidRPr="00957682" w:rsidRDefault="00957682">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18"/>
    <w:bookmarkEnd w:id="19"/>
    <w:bookmarkEnd w:id="20"/>
    <w:r w:rsidRPr="00864FDC">
      <w:rPr>
        <w:rFonts w:ascii="Times New Roman" w:hAnsi="Times New Roman" w:cs="Times New Roman"/>
        <w:noProof/>
        <w:sz w:val="20"/>
        <w:szCs w:val="18"/>
      </w:rPr>
      <w:t>2</w:t>
    </w:r>
    <w:bookmarkEnd w:id="21"/>
    <w:bookmarkEnd w:id="22"/>
    <w:r>
      <w:rPr>
        <w:rFonts w:ascii="Times New Roman" w:hAnsi="Times New Roman" w:cs="Times New Roman"/>
        <w:noProof/>
        <w:sz w:val="20"/>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74343" w14:textId="77777777" w:rsidR="00C7237B" w:rsidRPr="00AD4B3F" w:rsidRDefault="00C7237B">
      <w:pPr>
        <w:rPr>
          <w:noProof/>
        </w:rPr>
      </w:pPr>
      <w:r w:rsidRPr="00AD4B3F">
        <w:rPr>
          <w:noProof/>
        </w:rPr>
        <w:separator/>
      </w:r>
    </w:p>
  </w:footnote>
  <w:footnote w:type="continuationSeparator" w:id="0">
    <w:p w14:paraId="1D72E52F" w14:textId="77777777" w:rsidR="00C7237B" w:rsidRPr="00AD4B3F" w:rsidRDefault="00C7237B">
      <w:pPr>
        <w:rPr>
          <w:noProof/>
        </w:rPr>
      </w:pPr>
      <w:r w:rsidRPr="00AD4B3F">
        <w:rPr>
          <w:noProof/>
        </w:rPr>
        <w:continuationSeparator/>
      </w:r>
    </w:p>
  </w:footnote>
  <w:footnote w:id="1">
    <w:p w14:paraId="2AF1E681" w14:textId="1CCEF270" w:rsidR="00190B22" w:rsidRPr="0057504D" w:rsidRDefault="00190B22" w:rsidP="00190B22">
      <w:pPr>
        <w:pStyle w:val="BodyText"/>
        <w:keepNext/>
        <w:keepLines/>
        <w:jc w:val="both"/>
        <w:rPr>
          <w:rFonts w:ascii="Times New Roman" w:hAnsi="Times New Roman" w:cs="Times New Roman"/>
          <w:noProof/>
          <w:szCs w:val="16"/>
        </w:rPr>
      </w:pPr>
      <w:r w:rsidRPr="0057504D">
        <w:rPr>
          <w:rStyle w:val="FootnoteReference"/>
          <w:rFonts w:ascii="Times New Roman" w:hAnsi="Times New Roman" w:cs="Times New Roman"/>
        </w:rPr>
        <w:footnoteRef/>
      </w:r>
      <w:r w:rsidRPr="0057504D">
        <w:rPr>
          <w:rFonts w:ascii="Times New Roman" w:hAnsi="Times New Roman" w:cs="Times New Roman"/>
        </w:rPr>
        <w:t xml:space="preserve"> Pamatojoties uz </w:t>
      </w:r>
      <w:r w:rsidRPr="0057504D">
        <w:rPr>
          <w:rFonts w:ascii="Times New Roman" w:hAnsi="Times New Roman" w:cs="Times New Roman"/>
          <w:i/>
          <w:iCs/>
        </w:rPr>
        <w:t>CDDH</w:t>
      </w:r>
      <w:r w:rsidRPr="0057504D">
        <w:rPr>
          <w:rFonts w:ascii="Times New Roman" w:hAnsi="Times New Roman" w:cs="Times New Roman"/>
        </w:rPr>
        <w:t xml:space="preserve"> biroja apstiprināto shēmu un dalībvalstu sniegto informāciju, konsultējošais eksperts Dr. Maikls KROULIJS [</w:t>
      </w:r>
      <w:r w:rsidRPr="0057504D">
        <w:rPr>
          <w:rFonts w:ascii="Times New Roman" w:hAnsi="Times New Roman" w:cs="Times New Roman"/>
          <w:i/>
          <w:iCs/>
        </w:rPr>
        <w:t>Michael CROWLEY</w:t>
      </w:r>
      <w:r w:rsidRPr="0057504D">
        <w:rPr>
          <w:rFonts w:ascii="Times New Roman" w:hAnsi="Times New Roman" w:cs="Times New Roman"/>
        </w:rPr>
        <w:t>] (Bredfordas Universitāte / </w:t>
      </w:r>
      <w:r w:rsidRPr="0057504D">
        <w:rPr>
          <w:rFonts w:ascii="Times New Roman" w:hAnsi="Times New Roman" w:cs="Times New Roman"/>
          <w:i/>
        </w:rPr>
        <w:t>Omega Research Foundation</w:t>
      </w:r>
      <w:r w:rsidRPr="0057504D">
        <w:rPr>
          <w:rFonts w:ascii="Times New Roman" w:hAnsi="Times New Roman" w:cs="Times New Roman"/>
        </w:rPr>
        <w:t xml:space="preserve">) kopā ar sekretariātu sagatavoja tehniski ekonomisko pamatojumu, ko </w:t>
      </w:r>
      <w:r w:rsidRPr="0057504D">
        <w:rPr>
          <w:rFonts w:ascii="Times New Roman" w:hAnsi="Times New Roman" w:cs="Times New Roman"/>
          <w:i/>
          <w:iCs/>
        </w:rPr>
        <w:t>CDDH</w:t>
      </w:r>
      <w:r w:rsidRPr="0057504D">
        <w:rPr>
          <w:rFonts w:ascii="Times New Roman" w:hAnsi="Times New Roman" w:cs="Times New Roman"/>
        </w:rPr>
        <w:t xml:space="preserve"> apsprieda savā 91. sanāksmē (2019. gada 18.–21. jūnijā) un pieņēma 92. sanāksmē (2019. gada 26.–29. novembrī). Pamatojumā tika iezīmēta pašreizējā situācija saistībā ar šāda veida tirdzniecību un valstu un starptautiskā tiesiskā reakcija, kā arī tika ieteikti pasākumi, lai ar Eiropas Padomes ieteikumu pastiprinātu starptautisko regulējumu. Ministru komiteja 2020. gada 12. februārī deva zaļo gaismu šāda ieteikuma sagatavošanai. Pēc tam </w:t>
      </w:r>
      <w:r w:rsidRPr="0057504D">
        <w:rPr>
          <w:rFonts w:ascii="Times New Roman" w:hAnsi="Times New Roman" w:cs="Times New Roman"/>
          <w:i/>
          <w:iCs/>
        </w:rPr>
        <w:t>CDDH</w:t>
      </w:r>
      <w:r w:rsidRPr="0057504D">
        <w:rPr>
          <w:rFonts w:ascii="Times New Roman" w:hAnsi="Times New Roman" w:cs="Times New Roman"/>
        </w:rPr>
        <w:t xml:space="preserve"> iecēla divus valstu ziņotājus, proti, Nikolu VENCELI [</w:t>
      </w:r>
      <w:r w:rsidRPr="0057504D">
        <w:rPr>
          <w:rFonts w:ascii="Times New Roman" w:hAnsi="Times New Roman" w:cs="Times New Roman"/>
          <w:i/>
          <w:iCs/>
        </w:rPr>
        <w:t>Nicola WENZEL</w:t>
      </w:r>
      <w:r w:rsidRPr="0057504D">
        <w:rPr>
          <w:rFonts w:ascii="Times New Roman" w:hAnsi="Times New Roman" w:cs="Times New Roman"/>
        </w:rPr>
        <w:t>] (Vācija) un Čanaku VIKREMASINGHU [</w:t>
      </w:r>
      <w:r w:rsidRPr="0057504D">
        <w:rPr>
          <w:rFonts w:ascii="Times New Roman" w:hAnsi="Times New Roman" w:cs="Times New Roman"/>
          <w:i/>
          <w:iCs/>
        </w:rPr>
        <w:t>Chanaka WICKREMASINGHE</w:t>
      </w:r>
      <w:r w:rsidRPr="0057504D">
        <w:rPr>
          <w:rFonts w:ascii="Times New Roman" w:hAnsi="Times New Roman" w:cs="Times New Roman"/>
        </w:rPr>
        <w:t>] (Apvienotā Karaliste), lai sagatavotu ieteikuma projektu un paskaidrojuma rakstu sadarbībā ar konsultantu un sekretariātu.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CEB9" w14:textId="46EAA38D" w:rsidR="00D509AE" w:rsidRPr="00AD4B3F" w:rsidRDefault="00D509AE">
    <w:pPr>
      <w:pStyle w:val="BodyText"/>
      <w:spacing w:line="14" w:lineRule="auto"/>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BD5F" w14:textId="77777777" w:rsidR="0084673F" w:rsidRPr="00864FDC" w:rsidRDefault="0084673F" w:rsidP="0084673F">
    <w:pPr>
      <w:pStyle w:val="Header"/>
      <w:rPr>
        <w:rStyle w:val="PageNumber"/>
        <w:rFonts w:ascii="Times New Roman" w:hAnsi="Times New Roman" w:cs="Times New Roman"/>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p>
  <w:p w14:paraId="7EBFA87E" w14:textId="77777777" w:rsidR="0084673F" w:rsidRPr="00864FDC" w:rsidRDefault="0084673F" w:rsidP="0084673F">
    <w:pPr>
      <w:pStyle w:val="Header"/>
      <w:tabs>
        <w:tab w:val="clear" w:pos="4513"/>
        <w:tab w:val="clear" w:pos="9026"/>
        <w:tab w:val="right" w:leader="underscore" w:pos="9072"/>
      </w:tabs>
      <w:rPr>
        <w:rStyle w:val="PageNumber"/>
        <w:rFonts w:ascii="Times New Roman" w:hAnsi="Times New Roman" w:cs="Times New Roman"/>
      </w:rPr>
    </w:pPr>
    <w:r w:rsidRPr="00864FDC">
      <w:rPr>
        <w:rStyle w:val="PageNumber"/>
        <w:rFonts w:ascii="Times New Roman" w:hAnsi="Times New Roman" w:cs="Times New Roman"/>
      </w:rPr>
      <w:tab/>
    </w:r>
  </w:p>
  <w:bookmarkEnd w:id="0"/>
  <w:bookmarkEnd w:id="1"/>
  <w:bookmarkEnd w:id="2"/>
  <w:bookmarkEnd w:id="3"/>
  <w:bookmarkEnd w:id="4"/>
  <w:bookmarkEnd w:id="5"/>
  <w:bookmarkEnd w:id="6"/>
  <w:bookmarkEnd w:id="7"/>
  <w:bookmarkEnd w:id="8"/>
  <w:bookmarkEnd w:id="9"/>
  <w:bookmarkEnd w:id="10"/>
  <w:bookmarkEnd w:id="11"/>
  <w:bookmarkEnd w:id="12"/>
  <w:p w14:paraId="19AFF8D0" w14:textId="77777777" w:rsidR="0084673F" w:rsidRPr="00864FDC" w:rsidRDefault="0084673F" w:rsidP="0084673F">
    <w:pPr>
      <w:pStyle w:val="Header"/>
      <w:rPr>
        <w:rFonts w:ascii="Times New Roman" w:hAnsi="Times New Roman" w:cs="Times New Roman"/>
        <w:sz w:val="20"/>
        <w:szCs w:val="20"/>
      </w:rPr>
    </w:pPr>
  </w:p>
  <w:p w14:paraId="18DCCEBA" w14:textId="739CE473" w:rsidR="00D509AE" w:rsidRPr="00AD4B3F" w:rsidRDefault="00D509AE">
    <w:pPr>
      <w:pStyle w:val="BodyText"/>
      <w:spacing w:line="14" w:lineRule="auto"/>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6F93" w14:textId="77777777" w:rsidR="00A36E42" w:rsidRPr="00864FDC" w:rsidRDefault="00A36E42" w:rsidP="00A36E42">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5195B3F5" w14:textId="77777777" w:rsidR="00A36E42" w:rsidRDefault="00A36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7E43"/>
    <w:multiLevelType w:val="multilevel"/>
    <w:tmpl w:val="377CDC74"/>
    <w:lvl w:ilvl="0">
      <w:start w:val="1"/>
      <w:numFmt w:val="decimal"/>
      <w:lvlText w:val="%1."/>
      <w:lvlJc w:val="left"/>
      <w:pPr>
        <w:ind w:left="826" w:hanging="709"/>
        <w:jc w:val="right"/>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826" w:hanging="389"/>
        <w:jc w:val="right"/>
      </w:pPr>
      <w:rPr>
        <w:rFonts w:ascii="Arial MT" w:eastAsia="Arial MT" w:hAnsi="Arial MT" w:cs="Arial MT" w:hint="default"/>
        <w:b w:val="0"/>
        <w:bCs w:val="0"/>
        <w:i w:val="0"/>
        <w:iCs w:val="0"/>
        <w:spacing w:val="-1"/>
        <w:w w:val="99"/>
        <w:sz w:val="20"/>
        <w:szCs w:val="20"/>
        <w:lang w:val="en-US" w:eastAsia="en-US" w:bidi="ar-SA"/>
      </w:rPr>
    </w:lvl>
    <w:lvl w:ilvl="2">
      <w:start w:val="1"/>
      <w:numFmt w:val="decimal"/>
      <w:lvlText w:val="%1.%2.%3."/>
      <w:lvlJc w:val="left"/>
      <w:pPr>
        <w:ind w:left="1649" w:hanging="555"/>
      </w:pPr>
      <w:rPr>
        <w:rFonts w:ascii="Arial MT" w:eastAsia="Arial MT" w:hAnsi="Arial MT" w:cs="Arial MT" w:hint="default"/>
        <w:b w:val="0"/>
        <w:bCs w:val="0"/>
        <w:i w:val="0"/>
        <w:iCs w:val="0"/>
        <w:spacing w:val="-1"/>
        <w:w w:val="99"/>
        <w:sz w:val="20"/>
        <w:szCs w:val="20"/>
        <w:lang w:val="en-US" w:eastAsia="en-US" w:bidi="ar-SA"/>
      </w:rPr>
    </w:lvl>
    <w:lvl w:ilvl="3">
      <w:numFmt w:val="bullet"/>
      <w:lvlText w:val="•"/>
      <w:lvlJc w:val="left"/>
      <w:pPr>
        <w:ind w:left="2678" w:hanging="555"/>
      </w:pPr>
      <w:rPr>
        <w:rFonts w:hint="default"/>
        <w:lang w:val="en-US" w:eastAsia="en-US" w:bidi="ar-SA"/>
      </w:rPr>
    </w:lvl>
    <w:lvl w:ilvl="4">
      <w:numFmt w:val="bullet"/>
      <w:lvlText w:val="•"/>
      <w:lvlJc w:val="left"/>
      <w:pPr>
        <w:ind w:left="3716" w:hanging="555"/>
      </w:pPr>
      <w:rPr>
        <w:rFonts w:hint="default"/>
        <w:lang w:val="en-US" w:eastAsia="en-US" w:bidi="ar-SA"/>
      </w:rPr>
    </w:lvl>
    <w:lvl w:ilvl="5">
      <w:numFmt w:val="bullet"/>
      <w:lvlText w:val="•"/>
      <w:lvlJc w:val="left"/>
      <w:pPr>
        <w:ind w:left="4754" w:hanging="555"/>
      </w:pPr>
      <w:rPr>
        <w:rFonts w:hint="default"/>
        <w:lang w:val="en-US" w:eastAsia="en-US" w:bidi="ar-SA"/>
      </w:rPr>
    </w:lvl>
    <w:lvl w:ilvl="6">
      <w:numFmt w:val="bullet"/>
      <w:lvlText w:val="•"/>
      <w:lvlJc w:val="left"/>
      <w:pPr>
        <w:ind w:left="5793" w:hanging="555"/>
      </w:pPr>
      <w:rPr>
        <w:rFonts w:hint="default"/>
        <w:lang w:val="en-US" w:eastAsia="en-US" w:bidi="ar-SA"/>
      </w:rPr>
    </w:lvl>
    <w:lvl w:ilvl="7">
      <w:numFmt w:val="bullet"/>
      <w:lvlText w:val="•"/>
      <w:lvlJc w:val="left"/>
      <w:pPr>
        <w:ind w:left="6831" w:hanging="555"/>
      </w:pPr>
      <w:rPr>
        <w:rFonts w:hint="default"/>
        <w:lang w:val="en-US" w:eastAsia="en-US" w:bidi="ar-SA"/>
      </w:rPr>
    </w:lvl>
    <w:lvl w:ilvl="8">
      <w:numFmt w:val="bullet"/>
      <w:lvlText w:val="•"/>
      <w:lvlJc w:val="left"/>
      <w:pPr>
        <w:ind w:left="7869" w:hanging="555"/>
      </w:pPr>
      <w:rPr>
        <w:rFonts w:hint="default"/>
        <w:lang w:val="en-US" w:eastAsia="en-US" w:bidi="ar-SA"/>
      </w:rPr>
    </w:lvl>
  </w:abstractNum>
  <w:abstractNum w:abstractNumId="1" w15:restartNumberingAfterBreak="0">
    <w:nsid w:val="16F30B54"/>
    <w:multiLevelType w:val="hybridMultilevel"/>
    <w:tmpl w:val="92C2A1D4"/>
    <w:lvl w:ilvl="0" w:tplc="B616E116">
      <w:start w:val="1"/>
      <w:numFmt w:val="decimal"/>
      <w:lvlText w:val="%1."/>
      <w:lvlJc w:val="left"/>
      <w:pPr>
        <w:ind w:left="117" w:hanging="709"/>
      </w:pPr>
      <w:rPr>
        <w:rFonts w:ascii="Arial MT" w:eastAsia="Arial MT" w:hAnsi="Arial MT" w:cs="Arial MT" w:hint="default"/>
        <w:b w:val="0"/>
        <w:bCs w:val="0"/>
        <w:i w:val="0"/>
        <w:iCs w:val="0"/>
        <w:spacing w:val="-1"/>
        <w:w w:val="99"/>
        <w:sz w:val="20"/>
        <w:szCs w:val="20"/>
        <w:lang w:val="en-US" w:eastAsia="en-US" w:bidi="ar-SA"/>
      </w:rPr>
    </w:lvl>
    <w:lvl w:ilvl="1" w:tplc="C9A2C092">
      <w:numFmt w:val="bullet"/>
      <w:lvlText w:val="•"/>
      <w:lvlJc w:val="left"/>
      <w:pPr>
        <w:ind w:left="1102" w:hanging="709"/>
      </w:pPr>
      <w:rPr>
        <w:rFonts w:hint="default"/>
        <w:lang w:val="en-US" w:eastAsia="en-US" w:bidi="ar-SA"/>
      </w:rPr>
    </w:lvl>
    <w:lvl w:ilvl="2" w:tplc="2DCC3912">
      <w:numFmt w:val="bullet"/>
      <w:lvlText w:val="•"/>
      <w:lvlJc w:val="left"/>
      <w:pPr>
        <w:ind w:left="2085" w:hanging="709"/>
      </w:pPr>
      <w:rPr>
        <w:rFonts w:hint="default"/>
        <w:lang w:val="en-US" w:eastAsia="en-US" w:bidi="ar-SA"/>
      </w:rPr>
    </w:lvl>
    <w:lvl w:ilvl="3" w:tplc="C102E324">
      <w:numFmt w:val="bullet"/>
      <w:lvlText w:val="•"/>
      <w:lvlJc w:val="left"/>
      <w:pPr>
        <w:ind w:left="3067" w:hanging="709"/>
      </w:pPr>
      <w:rPr>
        <w:rFonts w:hint="default"/>
        <w:lang w:val="en-US" w:eastAsia="en-US" w:bidi="ar-SA"/>
      </w:rPr>
    </w:lvl>
    <w:lvl w:ilvl="4" w:tplc="7D06D492">
      <w:numFmt w:val="bullet"/>
      <w:lvlText w:val="•"/>
      <w:lvlJc w:val="left"/>
      <w:pPr>
        <w:ind w:left="4050" w:hanging="709"/>
      </w:pPr>
      <w:rPr>
        <w:rFonts w:hint="default"/>
        <w:lang w:val="en-US" w:eastAsia="en-US" w:bidi="ar-SA"/>
      </w:rPr>
    </w:lvl>
    <w:lvl w:ilvl="5" w:tplc="A0D6B2EE">
      <w:numFmt w:val="bullet"/>
      <w:lvlText w:val="•"/>
      <w:lvlJc w:val="left"/>
      <w:pPr>
        <w:ind w:left="5033" w:hanging="709"/>
      </w:pPr>
      <w:rPr>
        <w:rFonts w:hint="default"/>
        <w:lang w:val="en-US" w:eastAsia="en-US" w:bidi="ar-SA"/>
      </w:rPr>
    </w:lvl>
    <w:lvl w:ilvl="6" w:tplc="DE3E950C">
      <w:numFmt w:val="bullet"/>
      <w:lvlText w:val="•"/>
      <w:lvlJc w:val="left"/>
      <w:pPr>
        <w:ind w:left="6015" w:hanging="709"/>
      </w:pPr>
      <w:rPr>
        <w:rFonts w:hint="default"/>
        <w:lang w:val="en-US" w:eastAsia="en-US" w:bidi="ar-SA"/>
      </w:rPr>
    </w:lvl>
    <w:lvl w:ilvl="7" w:tplc="660C554E">
      <w:numFmt w:val="bullet"/>
      <w:lvlText w:val="•"/>
      <w:lvlJc w:val="left"/>
      <w:pPr>
        <w:ind w:left="6998" w:hanging="709"/>
      </w:pPr>
      <w:rPr>
        <w:rFonts w:hint="default"/>
        <w:lang w:val="en-US" w:eastAsia="en-US" w:bidi="ar-SA"/>
      </w:rPr>
    </w:lvl>
    <w:lvl w:ilvl="8" w:tplc="0CF20BFC">
      <w:numFmt w:val="bullet"/>
      <w:lvlText w:val="•"/>
      <w:lvlJc w:val="left"/>
      <w:pPr>
        <w:ind w:left="7981" w:hanging="709"/>
      </w:pPr>
      <w:rPr>
        <w:rFonts w:hint="default"/>
        <w:lang w:val="en-US" w:eastAsia="en-US" w:bidi="ar-SA"/>
      </w:rPr>
    </w:lvl>
  </w:abstractNum>
  <w:abstractNum w:abstractNumId="2" w15:restartNumberingAfterBreak="0">
    <w:nsid w:val="3BC36766"/>
    <w:multiLevelType w:val="hybridMultilevel"/>
    <w:tmpl w:val="28B28ED8"/>
    <w:lvl w:ilvl="0" w:tplc="7BC0F8BC">
      <w:start w:val="1"/>
      <w:numFmt w:val="lowerRoman"/>
      <w:lvlText w:val="%1."/>
      <w:lvlJc w:val="left"/>
      <w:pPr>
        <w:ind w:left="1649" w:hanging="711"/>
      </w:pPr>
      <w:rPr>
        <w:rFonts w:ascii="Arial MT" w:eastAsia="Arial MT" w:hAnsi="Arial MT" w:cs="Arial MT" w:hint="default"/>
        <w:b w:val="0"/>
        <w:bCs w:val="0"/>
        <w:i w:val="0"/>
        <w:iCs w:val="0"/>
        <w:spacing w:val="-2"/>
        <w:w w:val="99"/>
        <w:sz w:val="20"/>
        <w:szCs w:val="20"/>
        <w:lang w:val="en-US" w:eastAsia="en-US" w:bidi="ar-SA"/>
      </w:rPr>
    </w:lvl>
    <w:lvl w:ilvl="1" w:tplc="CA72F972">
      <w:numFmt w:val="bullet"/>
      <w:lvlText w:val="•"/>
      <w:lvlJc w:val="left"/>
      <w:pPr>
        <w:ind w:left="2470" w:hanging="711"/>
      </w:pPr>
      <w:rPr>
        <w:rFonts w:hint="default"/>
        <w:lang w:val="en-US" w:eastAsia="en-US" w:bidi="ar-SA"/>
      </w:rPr>
    </w:lvl>
    <w:lvl w:ilvl="2" w:tplc="1570ECCE">
      <w:numFmt w:val="bullet"/>
      <w:lvlText w:val="•"/>
      <w:lvlJc w:val="left"/>
      <w:pPr>
        <w:ind w:left="3301" w:hanging="711"/>
      </w:pPr>
      <w:rPr>
        <w:rFonts w:hint="default"/>
        <w:lang w:val="en-US" w:eastAsia="en-US" w:bidi="ar-SA"/>
      </w:rPr>
    </w:lvl>
    <w:lvl w:ilvl="3" w:tplc="2BF0024A">
      <w:numFmt w:val="bullet"/>
      <w:lvlText w:val="•"/>
      <w:lvlJc w:val="left"/>
      <w:pPr>
        <w:ind w:left="4131" w:hanging="711"/>
      </w:pPr>
      <w:rPr>
        <w:rFonts w:hint="default"/>
        <w:lang w:val="en-US" w:eastAsia="en-US" w:bidi="ar-SA"/>
      </w:rPr>
    </w:lvl>
    <w:lvl w:ilvl="4" w:tplc="3754102A">
      <w:numFmt w:val="bullet"/>
      <w:lvlText w:val="•"/>
      <w:lvlJc w:val="left"/>
      <w:pPr>
        <w:ind w:left="4962" w:hanging="711"/>
      </w:pPr>
      <w:rPr>
        <w:rFonts w:hint="default"/>
        <w:lang w:val="en-US" w:eastAsia="en-US" w:bidi="ar-SA"/>
      </w:rPr>
    </w:lvl>
    <w:lvl w:ilvl="5" w:tplc="82FA42E8">
      <w:numFmt w:val="bullet"/>
      <w:lvlText w:val="•"/>
      <w:lvlJc w:val="left"/>
      <w:pPr>
        <w:ind w:left="5793" w:hanging="711"/>
      </w:pPr>
      <w:rPr>
        <w:rFonts w:hint="default"/>
        <w:lang w:val="en-US" w:eastAsia="en-US" w:bidi="ar-SA"/>
      </w:rPr>
    </w:lvl>
    <w:lvl w:ilvl="6" w:tplc="3C18F65E">
      <w:numFmt w:val="bullet"/>
      <w:lvlText w:val="•"/>
      <w:lvlJc w:val="left"/>
      <w:pPr>
        <w:ind w:left="6623" w:hanging="711"/>
      </w:pPr>
      <w:rPr>
        <w:rFonts w:hint="default"/>
        <w:lang w:val="en-US" w:eastAsia="en-US" w:bidi="ar-SA"/>
      </w:rPr>
    </w:lvl>
    <w:lvl w:ilvl="7" w:tplc="1EA8850E">
      <w:numFmt w:val="bullet"/>
      <w:lvlText w:val="•"/>
      <w:lvlJc w:val="left"/>
      <w:pPr>
        <w:ind w:left="7454" w:hanging="711"/>
      </w:pPr>
      <w:rPr>
        <w:rFonts w:hint="default"/>
        <w:lang w:val="en-US" w:eastAsia="en-US" w:bidi="ar-SA"/>
      </w:rPr>
    </w:lvl>
    <w:lvl w:ilvl="8" w:tplc="CB287AD0">
      <w:numFmt w:val="bullet"/>
      <w:lvlText w:val="•"/>
      <w:lvlJc w:val="left"/>
      <w:pPr>
        <w:ind w:left="8285" w:hanging="711"/>
      </w:pPr>
      <w:rPr>
        <w:rFonts w:hint="default"/>
        <w:lang w:val="en-US" w:eastAsia="en-US" w:bidi="ar-SA"/>
      </w:rPr>
    </w:lvl>
  </w:abstractNum>
  <w:abstractNum w:abstractNumId="3" w15:restartNumberingAfterBreak="0">
    <w:nsid w:val="502E4B32"/>
    <w:multiLevelType w:val="hybridMultilevel"/>
    <w:tmpl w:val="F5C07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D606AE"/>
    <w:multiLevelType w:val="hybridMultilevel"/>
    <w:tmpl w:val="F38AB424"/>
    <w:lvl w:ilvl="0" w:tplc="37E81B5E">
      <w:start w:val="1"/>
      <w:numFmt w:val="lowerRoman"/>
      <w:lvlText w:val="%1."/>
      <w:lvlJc w:val="left"/>
      <w:pPr>
        <w:ind w:left="1111" w:hanging="384"/>
        <w:jc w:val="right"/>
      </w:pPr>
      <w:rPr>
        <w:rFonts w:ascii="Arial MT" w:eastAsia="Arial MT" w:hAnsi="Arial MT" w:cs="Arial MT" w:hint="default"/>
        <w:b w:val="0"/>
        <w:bCs w:val="0"/>
        <w:i w:val="0"/>
        <w:iCs w:val="0"/>
        <w:spacing w:val="-2"/>
        <w:w w:val="99"/>
        <w:sz w:val="20"/>
        <w:szCs w:val="20"/>
        <w:lang w:val="en-US" w:eastAsia="en-US" w:bidi="ar-SA"/>
      </w:rPr>
    </w:lvl>
    <w:lvl w:ilvl="1" w:tplc="32C06C6C">
      <w:start w:val="1"/>
      <w:numFmt w:val="lowerLetter"/>
      <w:lvlText w:val="%2."/>
      <w:lvlJc w:val="left"/>
      <w:pPr>
        <w:ind w:left="1550" w:hanging="356"/>
      </w:pPr>
      <w:rPr>
        <w:rFonts w:ascii="Arial MT" w:eastAsia="Arial MT" w:hAnsi="Arial MT" w:cs="Arial MT" w:hint="default"/>
        <w:b w:val="0"/>
        <w:bCs w:val="0"/>
        <w:i w:val="0"/>
        <w:iCs w:val="0"/>
        <w:spacing w:val="-1"/>
        <w:w w:val="99"/>
        <w:sz w:val="20"/>
        <w:szCs w:val="20"/>
        <w:lang w:val="en-US" w:eastAsia="en-US" w:bidi="ar-SA"/>
      </w:rPr>
    </w:lvl>
    <w:lvl w:ilvl="2" w:tplc="EC9E0944">
      <w:numFmt w:val="bullet"/>
      <w:lvlText w:val="•"/>
      <w:lvlJc w:val="left"/>
      <w:pPr>
        <w:ind w:left="2491" w:hanging="356"/>
      </w:pPr>
      <w:rPr>
        <w:rFonts w:hint="default"/>
        <w:lang w:val="en-US" w:eastAsia="en-US" w:bidi="ar-SA"/>
      </w:rPr>
    </w:lvl>
    <w:lvl w:ilvl="3" w:tplc="AF141FD6">
      <w:numFmt w:val="bullet"/>
      <w:lvlText w:val="•"/>
      <w:lvlJc w:val="left"/>
      <w:pPr>
        <w:ind w:left="3423" w:hanging="356"/>
      </w:pPr>
      <w:rPr>
        <w:rFonts w:hint="default"/>
        <w:lang w:val="en-US" w:eastAsia="en-US" w:bidi="ar-SA"/>
      </w:rPr>
    </w:lvl>
    <w:lvl w:ilvl="4" w:tplc="AD9A800C">
      <w:numFmt w:val="bullet"/>
      <w:lvlText w:val="•"/>
      <w:lvlJc w:val="left"/>
      <w:pPr>
        <w:ind w:left="4355" w:hanging="356"/>
      </w:pPr>
      <w:rPr>
        <w:rFonts w:hint="default"/>
        <w:lang w:val="en-US" w:eastAsia="en-US" w:bidi="ar-SA"/>
      </w:rPr>
    </w:lvl>
    <w:lvl w:ilvl="5" w:tplc="E788F2F6">
      <w:numFmt w:val="bullet"/>
      <w:lvlText w:val="•"/>
      <w:lvlJc w:val="left"/>
      <w:pPr>
        <w:ind w:left="5287" w:hanging="356"/>
      </w:pPr>
      <w:rPr>
        <w:rFonts w:hint="default"/>
        <w:lang w:val="en-US" w:eastAsia="en-US" w:bidi="ar-SA"/>
      </w:rPr>
    </w:lvl>
    <w:lvl w:ilvl="6" w:tplc="6776B9A2">
      <w:numFmt w:val="bullet"/>
      <w:lvlText w:val="•"/>
      <w:lvlJc w:val="left"/>
      <w:pPr>
        <w:ind w:left="6219" w:hanging="356"/>
      </w:pPr>
      <w:rPr>
        <w:rFonts w:hint="default"/>
        <w:lang w:val="en-US" w:eastAsia="en-US" w:bidi="ar-SA"/>
      </w:rPr>
    </w:lvl>
    <w:lvl w:ilvl="7" w:tplc="311EDB68">
      <w:numFmt w:val="bullet"/>
      <w:lvlText w:val="•"/>
      <w:lvlJc w:val="left"/>
      <w:pPr>
        <w:ind w:left="7150" w:hanging="356"/>
      </w:pPr>
      <w:rPr>
        <w:rFonts w:hint="default"/>
        <w:lang w:val="en-US" w:eastAsia="en-US" w:bidi="ar-SA"/>
      </w:rPr>
    </w:lvl>
    <w:lvl w:ilvl="8" w:tplc="DD5A796A">
      <w:numFmt w:val="bullet"/>
      <w:lvlText w:val="•"/>
      <w:lvlJc w:val="left"/>
      <w:pPr>
        <w:ind w:left="8082" w:hanging="356"/>
      </w:pPr>
      <w:rPr>
        <w:rFonts w:hint="default"/>
        <w:lang w:val="en-US" w:eastAsia="en-US" w:bidi="ar-SA"/>
      </w:rPr>
    </w:lvl>
  </w:abstractNum>
  <w:abstractNum w:abstractNumId="5" w15:restartNumberingAfterBreak="0">
    <w:nsid w:val="6DE37BFB"/>
    <w:multiLevelType w:val="hybridMultilevel"/>
    <w:tmpl w:val="2FE83DC6"/>
    <w:lvl w:ilvl="0" w:tplc="50EA8EC8">
      <w:start w:val="1"/>
      <w:numFmt w:val="lowerRoman"/>
      <w:lvlText w:val="%1."/>
      <w:lvlJc w:val="left"/>
      <w:pPr>
        <w:ind w:left="1649" w:hanging="711"/>
      </w:pPr>
      <w:rPr>
        <w:rFonts w:ascii="Arial MT" w:eastAsia="Arial MT" w:hAnsi="Arial MT" w:cs="Arial MT" w:hint="default"/>
        <w:b w:val="0"/>
        <w:bCs w:val="0"/>
        <w:i w:val="0"/>
        <w:iCs w:val="0"/>
        <w:spacing w:val="-2"/>
        <w:w w:val="99"/>
        <w:sz w:val="20"/>
        <w:szCs w:val="20"/>
        <w:lang w:val="en-US" w:eastAsia="en-US" w:bidi="ar-SA"/>
      </w:rPr>
    </w:lvl>
    <w:lvl w:ilvl="1" w:tplc="348EA722">
      <w:numFmt w:val="bullet"/>
      <w:lvlText w:val="•"/>
      <w:lvlJc w:val="left"/>
      <w:pPr>
        <w:ind w:left="2470" w:hanging="711"/>
      </w:pPr>
      <w:rPr>
        <w:rFonts w:hint="default"/>
        <w:lang w:val="en-US" w:eastAsia="en-US" w:bidi="ar-SA"/>
      </w:rPr>
    </w:lvl>
    <w:lvl w:ilvl="2" w:tplc="41000382">
      <w:numFmt w:val="bullet"/>
      <w:lvlText w:val="•"/>
      <w:lvlJc w:val="left"/>
      <w:pPr>
        <w:ind w:left="3301" w:hanging="711"/>
      </w:pPr>
      <w:rPr>
        <w:rFonts w:hint="default"/>
        <w:lang w:val="en-US" w:eastAsia="en-US" w:bidi="ar-SA"/>
      </w:rPr>
    </w:lvl>
    <w:lvl w:ilvl="3" w:tplc="ED707886">
      <w:numFmt w:val="bullet"/>
      <w:lvlText w:val="•"/>
      <w:lvlJc w:val="left"/>
      <w:pPr>
        <w:ind w:left="4131" w:hanging="711"/>
      </w:pPr>
      <w:rPr>
        <w:rFonts w:hint="default"/>
        <w:lang w:val="en-US" w:eastAsia="en-US" w:bidi="ar-SA"/>
      </w:rPr>
    </w:lvl>
    <w:lvl w:ilvl="4" w:tplc="491E6A12">
      <w:numFmt w:val="bullet"/>
      <w:lvlText w:val="•"/>
      <w:lvlJc w:val="left"/>
      <w:pPr>
        <w:ind w:left="4962" w:hanging="711"/>
      </w:pPr>
      <w:rPr>
        <w:rFonts w:hint="default"/>
        <w:lang w:val="en-US" w:eastAsia="en-US" w:bidi="ar-SA"/>
      </w:rPr>
    </w:lvl>
    <w:lvl w:ilvl="5" w:tplc="8E9A36B6">
      <w:numFmt w:val="bullet"/>
      <w:lvlText w:val="•"/>
      <w:lvlJc w:val="left"/>
      <w:pPr>
        <w:ind w:left="5793" w:hanging="711"/>
      </w:pPr>
      <w:rPr>
        <w:rFonts w:hint="default"/>
        <w:lang w:val="en-US" w:eastAsia="en-US" w:bidi="ar-SA"/>
      </w:rPr>
    </w:lvl>
    <w:lvl w:ilvl="6" w:tplc="396E92C2">
      <w:numFmt w:val="bullet"/>
      <w:lvlText w:val="•"/>
      <w:lvlJc w:val="left"/>
      <w:pPr>
        <w:ind w:left="6623" w:hanging="711"/>
      </w:pPr>
      <w:rPr>
        <w:rFonts w:hint="default"/>
        <w:lang w:val="en-US" w:eastAsia="en-US" w:bidi="ar-SA"/>
      </w:rPr>
    </w:lvl>
    <w:lvl w:ilvl="7" w:tplc="C7D6FB08">
      <w:numFmt w:val="bullet"/>
      <w:lvlText w:val="•"/>
      <w:lvlJc w:val="left"/>
      <w:pPr>
        <w:ind w:left="7454" w:hanging="711"/>
      </w:pPr>
      <w:rPr>
        <w:rFonts w:hint="default"/>
        <w:lang w:val="en-US" w:eastAsia="en-US" w:bidi="ar-SA"/>
      </w:rPr>
    </w:lvl>
    <w:lvl w:ilvl="8" w:tplc="22821E68">
      <w:numFmt w:val="bullet"/>
      <w:lvlText w:val="•"/>
      <w:lvlJc w:val="left"/>
      <w:pPr>
        <w:ind w:left="8285" w:hanging="711"/>
      </w:pPr>
      <w:rPr>
        <w:rFonts w:hint="default"/>
        <w:lang w:val="en-US" w:eastAsia="en-US" w:bidi="ar-SA"/>
      </w:rPr>
    </w:lvl>
  </w:abstractNum>
  <w:num w:numId="1" w16cid:durableId="1378048909">
    <w:abstractNumId w:val="4"/>
  </w:num>
  <w:num w:numId="2" w16cid:durableId="1078749016">
    <w:abstractNumId w:val="5"/>
  </w:num>
  <w:num w:numId="3" w16cid:durableId="670639621">
    <w:abstractNumId w:val="2"/>
  </w:num>
  <w:num w:numId="4" w16cid:durableId="1486119675">
    <w:abstractNumId w:val="0"/>
  </w:num>
  <w:num w:numId="5" w16cid:durableId="76905290">
    <w:abstractNumId w:val="1"/>
  </w:num>
  <w:num w:numId="6" w16cid:durableId="2059671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509AE"/>
    <w:rsid w:val="0001602A"/>
    <w:rsid w:val="000E7831"/>
    <w:rsid w:val="000F0E58"/>
    <w:rsid w:val="00171E13"/>
    <w:rsid w:val="00190B22"/>
    <w:rsid w:val="001970A5"/>
    <w:rsid w:val="00234A76"/>
    <w:rsid w:val="00240936"/>
    <w:rsid w:val="00273F86"/>
    <w:rsid w:val="003043CA"/>
    <w:rsid w:val="004C0E5B"/>
    <w:rsid w:val="0057504D"/>
    <w:rsid w:val="0060000F"/>
    <w:rsid w:val="00670A16"/>
    <w:rsid w:val="006F76EA"/>
    <w:rsid w:val="00796A69"/>
    <w:rsid w:val="0084673F"/>
    <w:rsid w:val="008E08A1"/>
    <w:rsid w:val="008E37A4"/>
    <w:rsid w:val="00957682"/>
    <w:rsid w:val="00A36E42"/>
    <w:rsid w:val="00A863AA"/>
    <w:rsid w:val="00AD4B3F"/>
    <w:rsid w:val="00B23640"/>
    <w:rsid w:val="00B44250"/>
    <w:rsid w:val="00C07989"/>
    <w:rsid w:val="00C7237B"/>
    <w:rsid w:val="00D509AE"/>
    <w:rsid w:val="00D70994"/>
    <w:rsid w:val="00F427DB"/>
    <w:rsid w:val="00F51F81"/>
    <w:rsid w:val="00FC24CF"/>
    <w:rsid w:val="00FC6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C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25" w:hanging="708"/>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19"/>
      <w:ind w:left="230" w:right="496"/>
    </w:pPr>
    <w:rPr>
      <w:rFonts w:ascii="Arial" w:eastAsia="Arial" w:hAnsi="Arial" w:cs="Arial"/>
      <w:b/>
      <w:bCs/>
      <w:sz w:val="28"/>
      <w:szCs w:val="28"/>
    </w:rPr>
  </w:style>
  <w:style w:type="paragraph" w:styleId="ListParagraph">
    <w:name w:val="List Paragraph"/>
    <w:basedOn w:val="Normal"/>
    <w:uiPriority w:val="1"/>
    <w:qFormat/>
    <w:pPr>
      <w:ind w:left="1649"/>
    </w:pPr>
  </w:style>
  <w:style w:type="paragraph" w:customStyle="1" w:styleId="TableParagraph">
    <w:name w:val="Table Paragraph"/>
    <w:basedOn w:val="Normal"/>
    <w:uiPriority w:val="1"/>
    <w:qFormat/>
    <w:pPr>
      <w:spacing w:before="22"/>
      <w:ind w:left="521"/>
    </w:pPr>
    <w:rPr>
      <w:rFonts w:ascii="Arial" w:eastAsia="Arial" w:hAnsi="Arial" w:cs="Arial"/>
    </w:rPr>
  </w:style>
  <w:style w:type="paragraph" w:styleId="Header">
    <w:name w:val="header"/>
    <w:basedOn w:val="Normal"/>
    <w:link w:val="HeaderChar"/>
    <w:unhideWhenUsed/>
    <w:rsid w:val="00AD4B3F"/>
    <w:pPr>
      <w:tabs>
        <w:tab w:val="center" w:pos="4513"/>
        <w:tab w:val="right" w:pos="9026"/>
      </w:tabs>
    </w:pPr>
  </w:style>
  <w:style w:type="character" w:customStyle="1" w:styleId="HeaderChar">
    <w:name w:val="Header Char"/>
    <w:basedOn w:val="DefaultParagraphFont"/>
    <w:link w:val="Header"/>
    <w:uiPriority w:val="99"/>
    <w:rsid w:val="00AD4B3F"/>
    <w:rPr>
      <w:rFonts w:ascii="Arial MT" w:eastAsia="Arial MT" w:hAnsi="Arial MT" w:cs="Arial MT"/>
    </w:rPr>
  </w:style>
  <w:style w:type="paragraph" w:styleId="Footer">
    <w:name w:val="footer"/>
    <w:basedOn w:val="Normal"/>
    <w:link w:val="FooterChar"/>
    <w:unhideWhenUsed/>
    <w:rsid w:val="00AD4B3F"/>
    <w:pPr>
      <w:tabs>
        <w:tab w:val="center" w:pos="4513"/>
        <w:tab w:val="right" w:pos="9026"/>
      </w:tabs>
    </w:pPr>
  </w:style>
  <w:style w:type="character" w:customStyle="1" w:styleId="FooterChar">
    <w:name w:val="Footer Char"/>
    <w:basedOn w:val="DefaultParagraphFont"/>
    <w:link w:val="Footer"/>
    <w:uiPriority w:val="99"/>
    <w:rsid w:val="00AD4B3F"/>
    <w:rPr>
      <w:rFonts w:ascii="Arial MT" w:eastAsia="Arial MT" w:hAnsi="Arial MT" w:cs="Arial MT"/>
    </w:rPr>
  </w:style>
  <w:style w:type="table" w:styleId="TableGrid">
    <w:name w:val="Table Grid"/>
    <w:basedOn w:val="TableNormal"/>
    <w:uiPriority w:val="39"/>
    <w:rsid w:val="00234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90B22"/>
    <w:rPr>
      <w:sz w:val="20"/>
      <w:szCs w:val="20"/>
    </w:rPr>
  </w:style>
  <w:style w:type="character" w:customStyle="1" w:styleId="FootnoteTextChar">
    <w:name w:val="Footnote Text Char"/>
    <w:basedOn w:val="DefaultParagraphFont"/>
    <w:link w:val="FootnoteText"/>
    <w:uiPriority w:val="99"/>
    <w:semiHidden/>
    <w:rsid w:val="00190B22"/>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190B22"/>
    <w:rPr>
      <w:vertAlign w:val="superscript"/>
    </w:rPr>
  </w:style>
  <w:style w:type="character" w:styleId="PageNumber">
    <w:name w:val="page number"/>
    <w:basedOn w:val="DefaultParagraphFont"/>
    <w:semiHidden/>
    <w:rsid w:val="00957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48699-0BD6-4DD2-912E-47DA4F1080AE}">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F570900F-E817-4508-B9F9-5F2146BB8204}">
  <ds:schemaRefs>
    <ds:schemaRef ds:uri="http://schemas.openxmlformats.org/officeDocument/2006/bibliography"/>
  </ds:schemaRefs>
</ds:datastoreItem>
</file>

<file path=customXml/itemProps3.xml><?xml version="1.0" encoding="utf-8"?>
<ds:datastoreItem xmlns:ds="http://schemas.openxmlformats.org/officeDocument/2006/customXml" ds:itemID="{9ABD1790-EEB2-487D-AD23-467C351B1CFA}"/>
</file>

<file path=customXml/itemProps4.xml><?xml version="1.0" encoding="utf-8"?>
<ds:datastoreItem xmlns:ds="http://schemas.openxmlformats.org/officeDocument/2006/customXml" ds:itemID="{E2036707-E263-4B9D-A498-F606DF1AD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3288</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2024-09-25T06:37:00Z</dcterms:created>
  <dcterms:modified xsi:type="dcterms:W3CDTF">2024-12-20T11:26:00Z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