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0123" w14:textId="77777777" w:rsidR="00254755" w:rsidRPr="007560C3" w:rsidRDefault="00254755" w:rsidP="00254755">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4060599B" w14:textId="77777777" w:rsidR="00254755" w:rsidRPr="007560C3" w:rsidRDefault="00254755" w:rsidP="00254755">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3 March 2011 [shall come into force on 30 June 2011];</w:t>
      </w:r>
    </w:p>
    <w:p w14:paraId="4B5A6A7F" w14:textId="77777777" w:rsidR="00254755" w:rsidRPr="007560C3" w:rsidRDefault="00254755" w:rsidP="00254755">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22 March 2012 [shall come into force on 25 April 2012];</w:t>
      </w:r>
    </w:p>
    <w:p w14:paraId="66B46626" w14:textId="77777777" w:rsidR="00254755" w:rsidRPr="007560C3" w:rsidRDefault="00254755" w:rsidP="00254755">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25 September 2014 [shall come into force on 22 October 2014];</w:t>
      </w:r>
    </w:p>
    <w:p w14:paraId="31BF9BBE" w14:textId="77777777" w:rsidR="00254755" w:rsidRPr="007560C3" w:rsidRDefault="00254755" w:rsidP="00254755">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19 May 2016 [shall come into force on 9 June 2016];</w:t>
      </w:r>
    </w:p>
    <w:p w14:paraId="1EC69CFF" w14:textId="77777777" w:rsidR="00254755" w:rsidRPr="007560C3" w:rsidRDefault="00254755" w:rsidP="00254755">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14 September 2017 [shall come into force on 13 October 2017];</w:t>
      </w:r>
    </w:p>
    <w:p w14:paraId="4481955D" w14:textId="375F4326" w:rsidR="00254755" w:rsidRDefault="00254755" w:rsidP="00254755">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30 September 2021 [shall come into force on 29 October 2021]</w:t>
      </w:r>
      <w:r w:rsidR="00B4416D">
        <w:rPr>
          <w:rFonts w:ascii="Times New Roman" w:eastAsia="Times New Roman" w:hAnsi="Times New Roman" w:cs="Times New Roman"/>
          <w:noProof/>
          <w:kern w:val="0"/>
          <w:sz w:val="20"/>
          <w:szCs w:val="24"/>
          <w:lang w:val="en-US"/>
        </w:rPr>
        <w:t>;</w:t>
      </w:r>
    </w:p>
    <w:p w14:paraId="46853F1C" w14:textId="154F0528" w:rsidR="00B4416D" w:rsidRPr="007560C3" w:rsidRDefault="00D72FD9" w:rsidP="00B4416D">
      <w:pPr>
        <w:widowControl w:val="0"/>
        <w:spacing w:after="0" w:line="240" w:lineRule="auto"/>
        <w:ind w:right="26"/>
        <w:jc w:val="center"/>
        <w:rPr>
          <w:rFonts w:ascii="Times New Roman" w:eastAsia="Times New Roman" w:hAnsi="Times New Roman" w:cs="Times New Roman"/>
          <w:noProof/>
          <w:kern w:val="0"/>
          <w:sz w:val="20"/>
          <w:szCs w:val="24"/>
          <w:lang w:val="en-US"/>
        </w:rPr>
      </w:pPr>
      <w:r>
        <w:rPr>
          <w:rFonts w:ascii="Times New Roman" w:eastAsia="Times New Roman" w:hAnsi="Times New Roman" w:cs="Times New Roman"/>
          <w:noProof/>
          <w:kern w:val="0"/>
          <w:sz w:val="20"/>
          <w:szCs w:val="24"/>
          <w:lang w:val="en-US"/>
        </w:rPr>
        <w:t>26</w:t>
      </w:r>
      <w:r w:rsidR="00B4416D" w:rsidRPr="007560C3">
        <w:rPr>
          <w:rFonts w:ascii="Times New Roman" w:eastAsia="Times New Roman" w:hAnsi="Times New Roman" w:cs="Times New Roman"/>
          <w:noProof/>
          <w:kern w:val="0"/>
          <w:sz w:val="20"/>
          <w:szCs w:val="24"/>
          <w:lang w:val="en-US"/>
        </w:rPr>
        <w:t> September 202</w:t>
      </w:r>
      <w:r>
        <w:rPr>
          <w:rFonts w:ascii="Times New Roman" w:eastAsia="Times New Roman" w:hAnsi="Times New Roman" w:cs="Times New Roman"/>
          <w:noProof/>
          <w:kern w:val="0"/>
          <w:sz w:val="20"/>
          <w:szCs w:val="24"/>
          <w:lang w:val="en-US"/>
        </w:rPr>
        <w:t>4</w:t>
      </w:r>
      <w:r w:rsidR="00B4416D" w:rsidRPr="007560C3">
        <w:rPr>
          <w:rFonts w:ascii="Times New Roman" w:eastAsia="Times New Roman" w:hAnsi="Times New Roman" w:cs="Times New Roman"/>
          <w:noProof/>
          <w:kern w:val="0"/>
          <w:sz w:val="20"/>
          <w:szCs w:val="24"/>
          <w:lang w:val="en-US"/>
        </w:rPr>
        <w:t xml:space="preserve"> [shall come into force on </w:t>
      </w:r>
      <w:r>
        <w:rPr>
          <w:rFonts w:ascii="Times New Roman" w:eastAsia="Times New Roman" w:hAnsi="Times New Roman" w:cs="Times New Roman"/>
          <w:noProof/>
          <w:kern w:val="0"/>
          <w:sz w:val="20"/>
          <w:szCs w:val="24"/>
          <w:lang w:val="en-US"/>
        </w:rPr>
        <w:t>17</w:t>
      </w:r>
      <w:r w:rsidR="00B4416D" w:rsidRPr="007560C3">
        <w:rPr>
          <w:rFonts w:ascii="Times New Roman" w:eastAsia="Times New Roman" w:hAnsi="Times New Roman" w:cs="Times New Roman"/>
          <w:noProof/>
          <w:kern w:val="0"/>
          <w:sz w:val="20"/>
          <w:szCs w:val="24"/>
          <w:lang w:val="en-US"/>
        </w:rPr>
        <w:t> October 202</w:t>
      </w:r>
      <w:r>
        <w:rPr>
          <w:rFonts w:ascii="Times New Roman" w:eastAsia="Times New Roman" w:hAnsi="Times New Roman" w:cs="Times New Roman"/>
          <w:noProof/>
          <w:kern w:val="0"/>
          <w:sz w:val="20"/>
          <w:szCs w:val="24"/>
          <w:lang w:val="en-US"/>
        </w:rPr>
        <w:t>4</w:t>
      </w:r>
      <w:r w:rsidR="00B4416D" w:rsidRPr="007560C3">
        <w:rPr>
          <w:rFonts w:ascii="Times New Roman" w:eastAsia="Times New Roman" w:hAnsi="Times New Roman" w:cs="Times New Roman"/>
          <w:noProof/>
          <w:kern w:val="0"/>
          <w:sz w:val="20"/>
          <w:szCs w:val="24"/>
          <w:lang w:val="en-US"/>
        </w:rPr>
        <w:t>]</w:t>
      </w:r>
      <w:r w:rsidR="00B4416D">
        <w:rPr>
          <w:rFonts w:ascii="Times New Roman" w:eastAsia="Times New Roman" w:hAnsi="Times New Roman" w:cs="Times New Roman"/>
          <w:noProof/>
          <w:kern w:val="0"/>
          <w:sz w:val="20"/>
          <w:szCs w:val="24"/>
          <w:lang w:val="en-US"/>
        </w:rPr>
        <w:t>.</w:t>
      </w:r>
    </w:p>
    <w:p w14:paraId="3A4BE980" w14:textId="77777777" w:rsidR="00254755" w:rsidRPr="007560C3" w:rsidRDefault="00254755" w:rsidP="00254755">
      <w:pPr>
        <w:widowControl w:val="0"/>
        <w:spacing w:after="0" w:line="240" w:lineRule="auto"/>
        <w:ind w:right="26"/>
        <w:jc w:val="both"/>
        <w:rPr>
          <w:rFonts w:ascii="Times New Roman" w:eastAsia="Times New Roman" w:hAnsi="Times New Roman" w:cs="Times New Roman"/>
          <w:noProof/>
          <w:kern w:val="0"/>
          <w:sz w:val="20"/>
          <w:szCs w:val="24"/>
          <w:lang w:val="en-US"/>
        </w:rPr>
      </w:pPr>
      <w:r w:rsidRPr="007560C3">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D49AFBD" w14:textId="77777777" w:rsidR="00254755" w:rsidRPr="007560C3" w:rsidRDefault="00254755" w:rsidP="00254755">
      <w:pPr>
        <w:spacing w:after="0" w:line="240" w:lineRule="auto"/>
        <w:jc w:val="right"/>
        <w:rPr>
          <w:rFonts w:ascii="Times New Roman" w:hAnsi="Times New Roman"/>
          <w:noProof/>
          <w:kern w:val="0"/>
          <w:sz w:val="24"/>
          <w:lang w:val="en-US"/>
        </w:rPr>
      </w:pPr>
    </w:p>
    <w:p w14:paraId="5EE7B023" w14:textId="77777777" w:rsidR="00254755" w:rsidRPr="007560C3" w:rsidRDefault="00254755" w:rsidP="00254755">
      <w:pPr>
        <w:spacing w:after="0" w:line="240" w:lineRule="auto"/>
        <w:jc w:val="right"/>
        <w:rPr>
          <w:rFonts w:ascii="Times New Roman" w:hAnsi="Times New Roman"/>
          <w:noProof/>
          <w:kern w:val="0"/>
          <w:sz w:val="24"/>
          <w:lang w:val="en-US"/>
        </w:rPr>
      </w:pPr>
    </w:p>
    <w:p w14:paraId="795D1DAE" w14:textId="77777777" w:rsidR="00254755" w:rsidRPr="007560C3" w:rsidRDefault="00254755" w:rsidP="00254755">
      <w:pPr>
        <w:spacing w:after="0" w:line="240" w:lineRule="auto"/>
        <w:jc w:val="right"/>
        <w:rPr>
          <w:rFonts w:ascii="Times New Roman" w:eastAsia="Times New Roman" w:hAnsi="Times New Roman" w:cs="Times New Roman"/>
          <w:noProof/>
          <w:kern w:val="0"/>
          <w:sz w:val="24"/>
          <w:szCs w:val="24"/>
          <w:lang w:val="en-US"/>
        </w:rPr>
      </w:pPr>
      <w:r w:rsidRPr="007560C3">
        <w:rPr>
          <w:rFonts w:ascii="Times New Roman" w:hAnsi="Times New Roman"/>
          <w:noProof/>
          <w:kern w:val="0"/>
          <w:sz w:val="24"/>
          <w:lang w:val="en-US"/>
        </w:rPr>
        <w:t xml:space="preserve">The </w:t>
      </w:r>
      <w:r w:rsidRPr="007560C3">
        <w:rPr>
          <w:rFonts w:ascii="Times New Roman" w:hAnsi="Times New Roman"/>
          <w:i/>
          <w:iCs/>
          <w:noProof/>
          <w:kern w:val="0"/>
          <w:sz w:val="24"/>
          <w:lang w:val="en-US"/>
        </w:rPr>
        <w:t>Saeima </w:t>
      </w:r>
      <w:r w:rsidRPr="007560C3">
        <w:rPr>
          <w:rFonts w:ascii="Times New Roman" w:hAnsi="Times New Roman"/>
          <w:noProof/>
          <w:kern w:val="0"/>
          <w:sz w:val="24"/>
          <w:vertAlign w:val="superscript"/>
          <w:lang w:val="en-US"/>
        </w:rPr>
        <w:t xml:space="preserve">1 </w:t>
      </w:r>
      <w:r w:rsidRPr="007560C3">
        <w:rPr>
          <w:rFonts w:ascii="Times New Roman" w:hAnsi="Times New Roman"/>
          <w:noProof/>
          <w:kern w:val="0"/>
          <w:sz w:val="24"/>
          <w:lang w:val="en-US"/>
        </w:rPr>
        <w:t>has adopted and</w:t>
      </w:r>
    </w:p>
    <w:p w14:paraId="04489CCB" w14:textId="77777777" w:rsidR="00254755" w:rsidRPr="007560C3" w:rsidRDefault="00254755" w:rsidP="00254755">
      <w:pPr>
        <w:shd w:val="clear" w:color="auto" w:fill="FFFFFF"/>
        <w:spacing w:after="0" w:line="240" w:lineRule="auto"/>
        <w:jc w:val="right"/>
        <w:rPr>
          <w:rFonts w:ascii="Times New Roman" w:hAnsi="Times New Roman"/>
          <w:noProof/>
          <w:kern w:val="0"/>
          <w:sz w:val="24"/>
          <w:lang w:val="en-US"/>
        </w:rPr>
      </w:pPr>
      <w:r w:rsidRPr="007560C3">
        <w:rPr>
          <w:rFonts w:ascii="Times New Roman" w:hAnsi="Times New Roman"/>
          <w:noProof/>
          <w:kern w:val="0"/>
          <w:sz w:val="24"/>
          <w:lang w:val="en-US"/>
        </w:rPr>
        <w:t>the President has proclaimed the following law:</w:t>
      </w:r>
    </w:p>
    <w:p w14:paraId="7DCA0D31" w14:textId="77777777" w:rsidR="0016727A" w:rsidRPr="0016727A" w:rsidRDefault="0016727A" w:rsidP="00AF2B5D">
      <w:pPr>
        <w:widowControl w:val="0"/>
        <w:spacing w:after="0" w:line="240" w:lineRule="auto"/>
        <w:jc w:val="both"/>
        <w:rPr>
          <w:rFonts w:ascii="Times New Roman" w:hAnsi="Times New Roman"/>
          <w:noProof/>
          <w:kern w:val="0"/>
          <w:sz w:val="24"/>
          <w:lang w:val="lv-LV"/>
        </w:rPr>
      </w:pPr>
    </w:p>
    <w:p w14:paraId="1684FEB8" w14:textId="77777777" w:rsidR="0016727A" w:rsidRPr="00503F0C" w:rsidRDefault="0016727A" w:rsidP="00AF2B5D">
      <w:pPr>
        <w:widowControl w:val="0"/>
        <w:spacing w:after="0" w:line="240" w:lineRule="auto"/>
        <w:jc w:val="both"/>
        <w:rPr>
          <w:rFonts w:ascii="Times New Roman" w:hAnsi="Times New Roman"/>
          <w:noProof/>
          <w:kern w:val="0"/>
          <w:sz w:val="24"/>
          <w:lang w:val="lv-LV"/>
        </w:rPr>
      </w:pPr>
    </w:p>
    <w:p w14:paraId="39AD69AF" w14:textId="77777777" w:rsidR="000743D0" w:rsidRPr="0016727A" w:rsidRDefault="000743D0" w:rsidP="0016727A">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On Settlement Finality in Payment and Financial Instrument Settlement Systems</w:t>
      </w:r>
    </w:p>
    <w:p w14:paraId="5596BA5D" w14:textId="77777777" w:rsidR="0016727A" w:rsidRPr="0016727A" w:rsidRDefault="0016727A" w:rsidP="00AF2B5D">
      <w:pPr>
        <w:widowControl w:val="0"/>
        <w:spacing w:after="0" w:line="240" w:lineRule="auto"/>
        <w:jc w:val="both"/>
        <w:rPr>
          <w:rFonts w:ascii="Times New Roman" w:hAnsi="Times New Roman"/>
          <w:b/>
          <w:bCs/>
          <w:noProof/>
          <w:kern w:val="0"/>
          <w:sz w:val="24"/>
          <w:lang w:val="lv-LV"/>
        </w:rPr>
      </w:pPr>
    </w:p>
    <w:p w14:paraId="2D5486D3" w14:textId="77777777" w:rsidR="0016727A" w:rsidRPr="00503F0C" w:rsidRDefault="0016727A" w:rsidP="00AF2B5D">
      <w:pPr>
        <w:widowControl w:val="0"/>
        <w:spacing w:after="0" w:line="240" w:lineRule="auto"/>
        <w:jc w:val="both"/>
        <w:rPr>
          <w:rFonts w:ascii="Times New Roman" w:hAnsi="Times New Roman"/>
          <w:b/>
          <w:bCs/>
          <w:noProof/>
          <w:kern w:val="0"/>
          <w:sz w:val="24"/>
          <w:lang w:val="lv-LV"/>
        </w:rPr>
      </w:pPr>
    </w:p>
    <w:p w14:paraId="12681725" w14:textId="77777777" w:rsidR="00CA59F6" w:rsidRPr="0016727A" w:rsidRDefault="000743D0" w:rsidP="0016727A">
      <w:pPr>
        <w:widowControl w:val="0"/>
        <w:spacing w:after="0" w:line="240" w:lineRule="auto"/>
        <w:jc w:val="center"/>
        <w:rPr>
          <w:rFonts w:ascii="Times New Roman" w:hAnsi="Times New Roman"/>
          <w:b/>
          <w:bCs/>
          <w:noProof/>
          <w:kern w:val="0"/>
          <w:sz w:val="24"/>
        </w:rPr>
      </w:pPr>
      <w:bookmarkStart w:id="0" w:name="n1"/>
      <w:bookmarkStart w:id="1" w:name="n-22119"/>
      <w:bookmarkEnd w:id="0"/>
      <w:bookmarkEnd w:id="1"/>
      <w:r>
        <w:rPr>
          <w:rFonts w:ascii="Times New Roman" w:hAnsi="Times New Roman"/>
          <w:b/>
          <w:sz w:val="24"/>
        </w:rPr>
        <w:t>Chapter I</w:t>
      </w:r>
    </w:p>
    <w:p w14:paraId="4CBC1FFC" w14:textId="35477BE0" w:rsidR="000743D0" w:rsidRPr="0016727A" w:rsidRDefault="000743D0" w:rsidP="0016727A">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C42E2DF" w14:textId="77777777" w:rsidR="0016727A" w:rsidRPr="00503F0C" w:rsidRDefault="0016727A" w:rsidP="00AF2B5D">
      <w:pPr>
        <w:widowControl w:val="0"/>
        <w:spacing w:after="0" w:line="240" w:lineRule="auto"/>
        <w:jc w:val="both"/>
        <w:rPr>
          <w:rFonts w:ascii="Times New Roman" w:hAnsi="Times New Roman"/>
          <w:b/>
          <w:bCs/>
          <w:noProof/>
          <w:kern w:val="0"/>
          <w:sz w:val="24"/>
          <w:lang w:val="lv-LV"/>
        </w:rPr>
      </w:pPr>
    </w:p>
    <w:p w14:paraId="6823F656" w14:textId="77777777" w:rsidR="000743D0" w:rsidRPr="00503F0C" w:rsidRDefault="000743D0" w:rsidP="00AF2B5D">
      <w:pPr>
        <w:widowControl w:val="0"/>
        <w:spacing w:after="0" w:line="240" w:lineRule="auto"/>
        <w:jc w:val="both"/>
        <w:rPr>
          <w:rFonts w:ascii="Times New Roman" w:hAnsi="Times New Roman"/>
          <w:noProof/>
          <w:kern w:val="0"/>
          <w:sz w:val="24"/>
        </w:rPr>
      </w:pPr>
      <w:bookmarkStart w:id="2" w:name="p1"/>
      <w:bookmarkStart w:id="3" w:name="p-1364441"/>
      <w:bookmarkEnd w:id="2"/>
      <w:bookmarkEnd w:id="3"/>
      <w:r>
        <w:rPr>
          <w:rFonts w:ascii="Times New Roman" w:hAnsi="Times New Roman"/>
          <w:b/>
          <w:sz w:val="24"/>
        </w:rPr>
        <w:t>Section 1. </w:t>
      </w:r>
      <w:r>
        <w:rPr>
          <w:rFonts w:ascii="Times New Roman" w:hAnsi="Times New Roman"/>
          <w:sz w:val="24"/>
        </w:rPr>
        <w:t>(1) The following terms are used in this Law:</w:t>
      </w:r>
    </w:p>
    <w:p w14:paraId="46AE41BE"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payment and financial instrument settlement system (hereinafter – the system) </w:t>
      </w:r>
      <w:r>
        <w:rPr>
          <w:rFonts w:ascii="Times New Roman" w:hAnsi="Times New Roman"/>
          <w:sz w:val="24"/>
        </w:rPr>
        <w:t>– a mechanism for the execution of transfer orders of payments and financial instruments that operates in accordance with an agreement and meets all of the following conditions:</w:t>
      </w:r>
    </w:p>
    <w:p w14:paraId="261D0392"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it is an agreement between three or more participants, excluding the system operator, a settlement agent, a central counterparty, a clearing house, or an indirect participant, for the execution of transfer orders between the participants or netting, whether or not via a central counterparty, in accordance with common rules and standardised arrangements;</w:t>
      </w:r>
    </w:p>
    <w:p w14:paraId="421EC0F2"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it is governed by a law of the Republic of Latvia or a European Union Member State, or a country of the European Economic Area (hereinafter – the Member State) which is chosen by the participants;</w:t>
      </w:r>
    </w:p>
    <w:p w14:paraId="30DCD3A4"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Latvia or another Member State in accordance with laws whereof the system operates has designated it as the system and informed the European Securities and Markets Authority of this decision;</w:t>
      </w:r>
    </w:p>
    <w:p w14:paraId="22AFF83F"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institution </w:t>
      </w:r>
      <w:r>
        <w:rPr>
          <w:rFonts w:ascii="Times New Roman" w:hAnsi="Times New Roman"/>
          <w:sz w:val="24"/>
        </w:rPr>
        <w:t>– an entity which participates in the system and is responsible for discharging the financial obligations arising from transfer orders within such system and meets at least one of the following conditions:</w:t>
      </w:r>
    </w:p>
    <w:p w14:paraId="53D34F2B" w14:textId="779485C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a) it is a credit institution, a branch, a branch of a foreign credit institution, a central bank, a credit union, or a postal operator registered in the Member State which has the right to provide payment services in accordance with </w:t>
      </w:r>
      <w:r w:rsidR="00270051" w:rsidRPr="00270051">
        <w:rPr>
          <w:rFonts w:ascii="Times New Roman" w:hAnsi="Times New Roman"/>
          <w:sz w:val="24"/>
        </w:rPr>
        <w:t>laws and regulations</w:t>
      </w:r>
      <w:r>
        <w:rPr>
          <w:rFonts w:ascii="Times New Roman" w:hAnsi="Times New Roman"/>
          <w:sz w:val="24"/>
        </w:rPr>
        <w:t>;</w:t>
      </w:r>
    </w:p>
    <w:p w14:paraId="6C910CFE"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it is an investment firm, a branch, or a branch of a foreign investment firm registered in the Member State;</w:t>
      </w:r>
    </w:p>
    <w:p w14:paraId="13AC6D74"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it is a State administration authority or a State or local government capital company;</w:t>
      </w:r>
    </w:p>
    <w:p w14:paraId="58EFB44F"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[3 March 2011];</w:t>
      </w:r>
    </w:p>
    <w:p w14:paraId="7EE52B3D"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it is a payment institution licensed in the Member State if it participates in the system in which only the transfer orders referred to in Paragraph one, Clause 10, Sub-clause “a” of this Section are processed;</w:t>
      </w:r>
    </w:p>
    <w:p w14:paraId="38B8BC9F" w14:textId="77777777" w:rsidR="000743D0" w:rsidRPr="00503F0C" w:rsidRDefault="000743D0" w:rsidP="001672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f) it is an electronic money institution licensed in the Member State if it participates in the system in which only the transfer orders referred to in Paragraph one, Clause 10, Sub-clause “a” of this Section are processed;</w:t>
      </w:r>
    </w:p>
    <w:p w14:paraId="2228E42C"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3) [30 September 2021];</w:t>
      </w:r>
    </w:p>
    <w:p w14:paraId="15C63F9B"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settlement agent </w:t>
      </w:r>
      <w:r>
        <w:rPr>
          <w:rFonts w:ascii="Times New Roman" w:hAnsi="Times New Roman"/>
          <w:sz w:val="24"/>
        </w:rPr>
        <w:t>– an entity which opens settlement accounts for institutions or a central counterparty through which the transfer orders processed within the system are settled and, where necessary, may provide a credit to the respective institutions or the central counterparty for settlement purposes;</w:t>
      </w:r>
    </w:p>
    <w:p w14:paraId="7182EC0E"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clearing house </w:t>
      </w:r>
      <w:r>
        <w:rPr>
          <w:rFonts w:ascii="Times New Roman" w:hAnsi="Times New Roman"/>
          <w:sz w:val="24"/>
        </w:rPr>
        <w:t>– an entity responsible for the calculation of the net positions of institutions and the calculation of the net positions of the central counterparty or settlement agent if the respective institutions are also parties to an agreement and the relevant agreement provides for the calculation of net positions;</w:t>
      </w:r>
    </w:p>
    <w:p w14:paraId="46A6D19E"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participant </w:t>
      </w:r>
      <w:r>
        <w:rPr>
          <w:rFonts w:ascii="Times New Roman" w:hAnsi="Times New Roman"/>
          <w:sz w:val="24"/>
        </w:rPr>
        <w:t>– an institution, a central counterparty, a settlement agent, a clearing house, a system operator, or a clearing member of a central counterparty which has received the authorisation for the activity of the central counterparty in accordance with the procedures laid down in Article 17 of Regulation (EU) No 648/2012 of the European Parliament and of the Council of 4 July 2012 on OTC derivatives, central counterparties and trade repositories (hereinafter – Regulation No 648/2012);</w:t>
      </w:r>
    </w:p>
    <w:p w14:paraId="08C4700C"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indirect participant </w:t>
      </w:r>
      <w:r>
        <w:rPr>
          <w:rFonts w:ascii="Times New Roman" w:hAnsi="Times New Roman"/>
          <w:sz w:val="24"/>
        </w:rPr>
        <w:t>– an institution, a central counterparty, a settlement agent, a clearing house, or a system operator which can be identified by the system and which has an agreement with a participant for the execution of transfer orders within the framework of the relevant system;</w:t>
      </w:r>
    </w:p>
    <w:p w14:paraId="730B2112"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system operator </w:t>
      </w:r>
      <w:r>
        <w:rPr>
          <w:rFonts w:ascii="Times New Roman" w:hAnsi="Times New Roman"/>
          <w:sz w:val="24"/>
        </w:rPr>
        <w:t>– the entity which is responsible for ensuring operation of the system;</w:t>
      </w:r>
    </w:p>
    <w:p w14:paraId="0D00AFE5" w14:textId="383E7BCD"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systemic risk </w:t>
      </w:r>
      <w:r>
        <w:rPr>
          <w:rFonts w:ascii="Times New Roman" w:hAnsi="Times New Roman"/>
          <w:sz w:val="24"/>
        </w:rPr>
        <w:t>– a risk that the failure of one participant o</w:t>
      </w:r>
      <w:r w:rsidR="00A336AD">
        <w:rPr>
          <w:rFonts w:ascii="Times New Roman" w:hAnsi="Times New Roman"/>
          <w:sz w:val="24"/>
        </w:rPr>
        <w:t>f</w:t>
      </w:r>
      <w:r>
        <w:rPr>
          <w:rFonts w:ascii="Times New Roman" w:hAnsi="Times New Roman"/>
          <w:sz w:val="24"/>
        </w:rPr>
        <w:t xml:space="preserve"> the system to discharge its obligations will cause the failure of other participants or financial institutions to discharge their obligations in due time. Such situation can create significant liquidity or credit problems but this in turn can pose a threat to the stability of the financial market;</w:t>
      </w:r>
    </w:p>
    <w:p w14:paraId="6E689D82"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transfer order </w:t>
      </w:r>
      <w:r>
        <w:rPr>
          <w:rFonts w:ascii="Times New Roman" w:hAnsi="Times New Roman"/>
          <w:sz w:val="24"/>
        </w:rPr>
        <w:t>– an instruction which meets one of the following conditions:</w:t>
      </w:r>
    </w:p>
    <w:p w14:paraId="3E6F82B5" w14:textId="77777777" w:rsidR="000743D0" w:rsidRPr="00503F0C" w:rsidRDefault="000743D0" w:rsidP="001A0E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an instruction by a participant to place at the disposal of a recipient an amount of money by means of an accounting record on the account of a credit institution, a central bank, a central counterparty, or a settlement agent, or an instruction to accept a payment or discharge payment obligations in accordance with the rules of the system;</w:t>
      </w:r>
    </w:p>
    <w:p w14:paraId="56F6249B" w14:textId="77777777" w:rsidR="000743D0" w:rsidRPr="00503F0C" w:rsidRDefault="000743D0" w:rsidP="001A0E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an instruction by a participant to transfer the title to financial instruments or right to financial instruments by means of an entry in the register or otherwise;</w:t>
      </w:r>
    </w:p>
    <w:p w14:paraId="3BE739C2" w14:textId="04AB543D"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insolvency proceedings –</w:t>
      </w:r>
      <w:r>
        <w:rPr>
          <w:rFonts w:ascii="Times New Roman" w:hAnsi="Times New Roman"/>
          <w:sz w:val="24"/>
        </w:rPr>
        <w:t xml:space="preserve"> any measure, including insolvency proceedings, that is provided by laws of a Member State or a foreign country for the winding-up of the relevant participant, and also for the restriction or restoration of the participant’s activity if this includes suspension or restriction of the transfers of financial instruments or cash transfers;</w:t>
      </w:r>
    </w:p>
    <w:p w14:paraId="309F8D16"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initiation of insolvency proceedings </w:t>
      </w:r>
      <w:r>
        <w:rPr>
          <w:rFonts w:ascii="Times New Roman" w:hAnsi="Times New Roman"/>
          <w:sz w:val="24"/>
        </w:rPr>
        <w:t>– the moment when a relevant judicial or administrative institution of the Member State or a foreign country has taken the decision or judgement on the initiation of insolvency proceedings;</w:t>
      </w:r>
    </w:p>
    <w:p w14:paraId="73F45503" w14:textId="0B4D05F4"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netting </w:t>
      </w:r>
      <w:r>
        <w:rPr>
          <w:rFonts w:ascii="Times New Roman" w:hAnsi="Times New Roman"/>
          <w:sz w:val="24"/>
        </w:rPr>
        <w:t>– conversion of claims and obligations into one net claim or one net obligation so that only a net claim may be brought and only a net obligation must be discharged if the claims and obligations result from transfer orders which are executed by one or more participants in favour of one or more other participants of the system or which the participants receive from other participants o</w:t>
      </w:r>
      <w:r w:rsidR="00F0186D">
        <w:rPr>
          <w:rFonts w:ascii="Times New Roman" w:hAnsi="Times New Roman"/>
          <w:sz w:val="24"/>
        </w:rPr>
        <w:t>f</w:t>
      </w:r>
      <w:r>
        <w:rPr>
          <w:rFonts w:ascii="Times New Roman" w:hAnsi="Times New Roman"/>
          <w:sz w:val="24"/>
        </w:rPr>
        <w:t xml:space="preserve"> the system;</w:t>
      </w:r>
    </w:p>
    <w:p w14:paraId="7F6E53FD" w14:textId="7BD973D9"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settlement account </w:t>
      </w:r>
      <w:r>
        <w:rPr>
          <w:rFonts w:ascii="Times New Roman" w:hAnsi="Times New Roman"/>
          <w:sz w:val="24"/>
        </w:rPr>
        <w:t>– an account with a central bank, a settlement agent, or a central counterparty that is used by participants o</w:t>
      </w:r>
      <w:r w:rsidR="00F0186D">
        <w:rPr>
          <w:rFonts w:ascii="Times New Roman" w:hAnsi="Times New Roman"/>
          <w:sz w:val="24"/>
        </w:rPr>
        <w:t>f</w:t>
      </w:r>
      <w:r>
        <w:rPr>
          <w:rFonts w:ascii="Times New Roman" w:hAnsi="Times New Roman"/>
          <w:sz w:val="24"/>
        </w:rPr>
        <w:t xml:space="preserve"> the system to hold funds or financial instruments or to settle mutual transactions between the participants o</w:t>
      </w:r>
      <w:r w:rsidR="00C20B40">
        <w:rPr>
          <w:rFonts w:ascii="Times New Roman" w:hAnsi="Times New Roman"/>
          <w:sz w:val="24"/>
        </w:rPr>
        <w:t>f</w:t>
      </w:r>
      <w:r>
        <w:rPr>
          <w:rFonts w:ascii="Times New Roman" w:hAnsi="Times New Roman"/>
          <w:sz w:val="24"/>
        </w:rPr>
        <w:t xml:space="preserve"> the system;</w:t>
      </w:r>
    </w:p>
    <w:p w14:paraId="46991383" w14:textId="77777777" w:rsidR="000743D0" w:rsidRPr="00503F0C" w:rsidRDefault="000743D0" w:rsidP="00200CA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15) </w:t>
      </w:r>
      <w:r>
        <w:rPr>
          <w:rFonts w:ascii="Times New Roman" w:hAnsi="Times New Roman"/>
          <w:b/>
          <w:sz w:val="24"/>
        </w:rPr>
        <w:t>collateral </w:t>
      </w:r>
      <w:r>
        <w:rPr>
          <w:rFonts w:ascii="Times New Roman" w:hAnsi="Times New Roman"/>
          <w:sz w:val="24"/>
        </w:rPr>
        <w:t>– realisable assets, including the financial resources, financial instruments, and credit claims, which are provided for the purpose of exercising the rights and discharging the obligations which may arise in connection with participation in the system, or a collateral provided to a central bank;</w:t>
      </w:r>
    </w:p>
    <w:p w14:paraId="798E5324"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central bank </w:t>
      </w:r>
      <w:r>
        <w:rPr>
          <w:rFonts w:ascii="Times New Roman" w:hAnsi="Times New Roman"/>
          <w:sz w:val="24"/>
        </w:rPr>
        <w:t>– Latvijas Banka, a central bank of another Member State, or the European Central Bank;</w:t>
      </w:r>
    </w:p>
    <w:p w14:paraId="64188203"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clearing </w:t>
      </w:r>
      <w:r>
        <w:rPr>
          <w:rFonts w:ascii="Times New Roman" w:hAnsi="Times New Roman"/>
          <w:sz w:val="24"/>
        </w:rPr>
        <w:t>– transmission, reconciliation, and, where necessary, confirmation of transfer orders prior to settlements, and also netting of a transfer order and establishment of such net positions according to which settlements will be made;</w:t>
      </w:r>
    </w:p>
    <w:p w14:paraId="1B40A9B3"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clearing system </w:t>
      </w:r>
      <w:r>
        <w:rPr>
          <w:rFonts w:ascii="Times New Roman" w:hAnsi="Times New Roman"/>
          <w:sz w:val="24"/>
        </w:rPr>
        <w:t>– a set of procedures by means of which participants in a clearing house or another specific place exchange information or documents related to money transfers or transfers of financial instruments. In order to ensure settlements of obligations of the participants by netting, the set of procedures may also include procedures for calculating net positions of the participants;</w:t>
      </w:r>
    </w:p>
    <w:p w14:paraId="1ABAEE21" w14:textId="4E9C222D"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net position </w:t>
      </w:r>
      <w:r>
        <w:rPr>
          <w:rFonts w:ascii="Times New Roman" w:hAnsi="Times New Roman"/>
          <w:sz w:val="24"/>
        </w:rPr>
        <w:t>– the difference between the total transfers received and made by a participant o</w:t>
      </w:r>
      <w:r w:rsidR="00C20B40">
        <w:rPr>
          <w:rFonts w:ascii="Times New Roman" w:hAnsi="Times New Roman"/>
          <w:sz w:val="24"/>
        </w:rPr>
        <w:t>f</w:t>
      </w:r>
      <w:r>
        <w:rPr>
          <w:rFonts w:ascii="Times New Roman" w:hAnsi="Times New Roman"/>
          <w:sz w:val="24"/>
        </w:rPr>
        <w:t xml:space="preserve"> the clearing system within a specific period. If this difference is positive, a net credit position or net claim arises but if this difference is negative a net debt position or net obligation arises;</w:t>
      </w:r>
    </w:p>
    <w:p w14:paraId="104E2103"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20) [3 March 2011];</w:t>
      </w:r>
    </w:p>
    <w:p w14:paraId="20552C56"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working day </w:t>
      </w:r>
      <w:r>
        <w:rPr>
          <w:rFonts w:ascii="Times New Roman" w:hAnsi="Times New Roman"/>
          <w:sz w:val="24"/>
        </w:rPr>
        <w:t>– a period provided for in the rules of the system when the execution of a transfer order is possible within the framework of the relevant system;</w:t>
      </w:r>
    </w:p>
    <w:p w14:paraId="7E929437" w14:textId="77777777" w:rsidR="000743D0" w:rsidRPr="00503F0C" w:rsidRDefault="000743D0" w:rsidP="0016727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interoperable systems </w:t>
      </w:r>
      <w:r>
        <w:rPr>
          <w:rFonts w:ascii="Times New Roman" w:hAnsi="Times New Roman"/>
          <w:sz w:val="24"/>
        </w:rPr>
        <w:t>– two or more systems the system operators of which have mutually agreed on the procedures that cover the execution of transfer orders between the systems.</w:t>
      </w:r>
    </w:p>
    <w:p w14:paraId="584CEBEE"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The term “credit claims” used in the Law corresponds to the term “credit claims” explained in the Financial Collateral Law.</w:t>
      </w:r>
    </w:p>
    <w:p w14:paraId="1A03DD4F"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(3) The term “central counterparty” and the term “clearing member” correspond to the terms used in Regulation No 648/2012.</w:t>
      </w:r>
    </w:p>
    <w:p w14:paraId="214DDCFE" w14:textId="77777777" w:rsidR="000743D0"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19 May 2016; 30 September 2021; 23 September 2021; 26 September 2024</w:t>
      </w:r>
      <w:r>
        <w:rPr>
          <w:rFonts w:ascii="Times New Roman" w:hAnsi="Times New Roman"/>
          <w:sz w:val="24"/>
        </w:rPr>
        <w:t>]</w:t>
      </w:r>
    </w:p>
    <w:p w14:paraId="47BA4A5E" w14:textId="77777777" w:rsidR="001A0EA8" w:rsidRPr="00503F0C" w:rsidRDefault="001A0EA8" w:rsidP="00AF2B5D">
      <w:pPr>
        <w:widowControl w:val="0"/>
        <w:spacing w:after="0" w:line="240" w:lineRule="auto"/>
        <w:jc w:val="both"/>
        <w:rPr>
          <w:rFonts w:ascii="Times New Roman" w:hAnsi="Times New Roman"/>
          <w:noProof/>
          <w:kern w:val="0"/>
          <w:sz w:val="24"/>
          <w:lang w:val="lv-LV"/>
        </w:rPr>
      </w:pPr>
    </w:p>
    <w:p w14:paraId="4323C614" w14:textId="77777777" w:rsidR="000743D0" w:rsidRPr="00503F0C" w:rsidRDefault="000743D0" w:rsidP="00AF2B5D">
      <w:pPr>
        <w:widowControl w:val="0"/>
        <w:spacing w:after="0" w:line="240" w:lineRule="auto"/>
        <w:jc w:val="both"/>
        <w:rPr>
          <w:rFonts w:ascii="Times New Roman" w:hAnsi="Times New Roman"/>
          <w:noProof/>
          <w:kern w:val="0"/>
          <w:sz w:val="24"/>
        </w:rPr>
      </w:pPr>
      <w:bookmarkStart w:id="4" w:name="p2"/>
      <w:bookmarkStart w:id="5" w:name="p-22121"/>
      <w:bookmarkEnd w:id="4"/>
      <w:bookmarkEnd w:id="5"/>
      <w:r>
        <w:rPr>
          <w:rFonts w:ascii="Times New Roman" w:hAnsi="Times New Roman"/>
          <w:b/>
          <w:sz w:val="24"/>
        </w:rPr>
        <w:t>Section 2. </w:t>
      </w:r>
      <w:r>
        <w:rPr>
          <w:rFonts w:ascii="Times New Roman" w:hAnsi="Times New Roman"/>
          <w:sz w:val="24"/>
        </w:rPr>
        <w:t>The purpose of the Law is to ensure:</w:t>
      </w:r>
    </w:p>
    <w:p w14:paraId="4E72C3E2"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stability of the financial market by promoting safe and efficient operation of the payment and financial instrument settlement systems of the Republic of Latvia and of the cross-border payment and financial instrument settlement systems by limiting the systemic risk and minimising, to the extent possible, disruptions to the system which could be caused by the initiation of insolvency proceedings against any of the participants;</w:t>
      </w:r>
    </w:p>
    <w:p w14:paraId="23D18E0B"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finality of netting and settlements, their legal effect in the system and the right to freely enforce the collateral provided for participation in the system or transactions with the central bank, and also in the case of insolvency proceedings against a participant.</w:t>
      </w:r>
    </w:p>
    <w:p w14:paraId="29A7B73A" w14:textId="77777777" w:rsidR="001A0EA8" w:rsidRDefault="001A0EA8" w:rsidP="00AF2B5D">
      <w:pPr>
        <w:widowControl w:val="0"/>
        <w:spacing w:after="0" w:line="240" w:lineRule="auto"/>
        <w:jc w:val="both"/>
        <w:rPr>
          <w:rFonts w:ascii="Times New Roman" w:hAnsi="Times New Roman"/>
          <w:b/>
          <w:bCs/>
          <w:noProof/>
          <w:kern w:val="0"/>
          <w:sz w:val="24"/>
        </w:rPr>
      </w:pPr>
      <w:bookmarkStart w:id="6" w:name="p3"/>
      <w:bookmarkStart w:id="7" w:name="p-1000965"/>
      <w:bookmarkEnd w:id="6"/>
      <w:bookmarkEnd w:id="7"/>
    </w:p>
    <w:p w14:paraId="394306C6" w14:textId="60EE1BA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3. </w:t>
      </w:r>
      <w:r>
        <w:rPr>
          <w:rFonts w:ascii="Times New Roman" w:hAnsi="Times New Roman"/>
          <w:sz w:val="24"/>
        </w:rPr>
        <w:t>This Law shall apply to:</w:t>
      </w:r>
    </w:p>
    <w:p w14:paraId="5B67BE68" w14:textId="30A112EE"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systems the operation of which Latvijas Banka has informed the European Securities and Markets Authority;</w:t>
      </w:r>
    </w:p>
    <w:p w14:paraId="36008BE0" w14:textId="0FEDA9B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all participants o</w:t>
      </w:r>
      <w:r w:rsidR="008124BC">
        <w:rPr>
          <w:rFonts w:ascii="Times New Roman" w:hAnsi="Times New Roman"/>
          <w:sz w:val="24"/>
        </w:rPr>
        <w:t>f</w:t>
      </w:r>
      <w:r>
        <w:rPr>
          <w:rFonts w:ascii="Times New Roman" w:hAnsi="Times New Roman"/>
          <w:sz w:val="24"/>
        </w:rPr>
        <w:t xml:space="preserve"> the systems referred to in Clause 1 of this Section;</w:t>
      </w:r>
    </w:p>
    <w:p w14:paraId="4E02E006"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collateral which is provided for participation in the systems referred to in Clause 1 of this Section or which is used by a central bank in transactions when performing the functions of the central bank.</w:t>
      </w:r>
    </w:p>
    <w:p w14:paraId="5F59233D"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May 2016; 23 September 2021</w:t>
      </w:r>
      <w:r>
        <w:rPr>
          <w:rFonts w:ascii="Times New Roman" w:hAnsi="Times New Roman"/>
          <w:sz w:val="24"/>
        </w:rPr>
        <w:t>]</w:t>
      </w:r>
    </w:p>
    <w:p w14:paraId="30567C30" w14:textId="77777777" w:rsidR="001A0EA8" w:rsidRDefault="001A0EA8" w:rsidP="00AF2B5D">
      <w:pPr>
        <w:widowControl w:val="0"/>
        <w:spacing w:after="0" w:line="240" w:lineRule="auto"/>
        <w:jc w:val="both"/>
        <w:rPr>
          <w:rFonts w:ascii="Times New Roman" w:hAnsi="Times New Roman"/>
          <w:b/>
          <w:bCs/>
          <w:noProof/>
          <w:kern w:val="0"/>
          <w:sz w:val="24"/>
        </w:rPr>
      </w:pPr>
      <w:bookmarkStart w:id="8" w:name="p4"/>
      <w:bookmarkStart w:id="9" w:name="p-1000982"/>
      <w:bookmarkEnd w:id="8"/>
      <w:bookmarkEnd w:id="9"/>
    </w:p>
    <w:p w14:paraId="79A9CBED" w14:textId="1D8FCA74" w:rsidR="000743D0" w:rsidRPr="00503F0C" w:rsidRDefault="000743D0" w:rsidP="00200CA5">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4. </w:t>
      </w:r>
      <w:r>
        <w:rPr>
          <w:rFonts w:ascii="Times New Roman" w:hAnsi="Times New Roman"/>
          <w:sz w:val="24"/>
        </w:rPr>
        <w:t>(1) Latvijas Banka may also deem the following agreement to be the system within the meaning of Section 1, Clause 1 of this Law:</w:t>
      </w:r>
    </w:p>
    <w:p w14:paraId="02012B1A" w14:textId="77777777" w:rsidR="000743D0" w:rsidRPr="00503F0C" w:rsidRDefault="000743D0" w:rsidP="00200CA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the task of which is to execute the transfer orders referred to in Section 1, Clause 10, Sub-clause “b” of this Law and which executes orders to a limited extent in respect of another type of financial instruments if such decision is based on systemic risk;</w:t>
      </w:r>
    </w:p>
    <w:p w14:paraId="01DF3C6C"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between two participants, excluding a settlement agent, a central counterparty, a clearing house, or an indirect participant, if such entities are parties to the agreement, on the execution of transfer orders if such decision is based on systemic risk.</w:t>
      </w:r>
    </w:p>
    <w:p w14:paraId="6C1DA2A6"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An agreement between interoperable systems shall not constitute a separate system.</w:t>
      </w:r>
    </w:p>
    <w:p w14:paraId="47F5999C"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30 September 2021; 23 September 2021</w:t>
      </w:r>
      <w:r>
        <w:rPr>
          <w:rFonts w:ascii="Times New Roman" w:hAnsi="Times New Roman"/>
          <w:sz w:val="24"/>
        </w:rPr>
        <w:t>]</w:t>
      </w:r>
    </w:p>
    <w:p w14:paraId="041D4CE3" w14:textId="77777777" w:rsidR="001A0EA8" w:rsidRDefault="001A0EA8" w:rsidP="00AF2B5D">
      <w:pPr>
        <w:widowControl w:val="0"/>
        <w:spacing w:after="0" w:line="240" w:lineRule="auto"/>
        <w:jc w:val="both"/>
        <w:rPr>
          <w:rFonts w:ascii="Times New Roman" w:hAnsi="Times New Roman"/>
          <w:b/>
          <w:bCs/>
          <w:noProof/>
          <w:kern w:val="0"/>
          <w:sz w:val="24"/>
        </w:rPr>
      </w:pPr>
      <w:bookmarkStart w:id="10" w:name="p5"/>
      <w:bookmarkStart w:id="11" w:name="p-1000985"/>
      <w:bookmarkEnd w:id="10"/>
      <w:bookmarkEnd w:id="11"/>
    </w:p>
    <w:p w14:paraId="3412C9D1" w14:textId="6D946336"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5. </w:t>
      </w:r>
      <w:r>
        <w:rPr>
          <w:rFonts w:ascii="Times New Roman" w:hAnsi="Times New Roman"/>
          <w:sz w:val="24"/>
        </w:rPr>
        <w:t xml:space="preserve">(1) Latvijas Banka may also determine as the institution within the meaning of Section 1, Clause 2 of this Law a commercial company that participates in the relevant system within which only the transfer orders referred to in Section 1, Clause 10, Sub-clause “b” of this Law are executed, and also the payments resulting from such orders if this commercial company is liable for the financial obligations arising from the transfer orders within this system, unless at least three participants </w:t>
      </w:r>
      <w:r w:rsidR="00993EAB">
        <w:rPr>
          <w:rFonts w:ascii="Times New Roman" w:hAnsi="Times New Roman"/>
          <w:sz w:val="24"/>
        </w:rPr>
        <w:t>of</w:t>
      </w:r>
      <w:r>
        <w:rPr>
          <w:rFonts w:ascii="Times New Roman" w:hAnsi="Times New Roman"/>
          <w:sz w:val="24"/>
        </w:rPr>
        <w:t xml:space="preserve"> such system are the institutions referred to in Section 1, Clause 2 of this Law, and such decision is based on systemic risk.</w:t>
      </w:r>
    </w:p>
    <w:p w14:paraId="4FD53017"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[3 March 2011].</w:t>
      </w:r>
    </w:p>
    <w:p w14:paraId="40A2C20A"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23 September 2021</w:t>
      </w:r>
      <w:r>
        <w:rPr>
          <w:rFonts w:ascii="Times New Roman" w:hAnsi="Times New Roman"/>
          <w:sz w:val="24"/>
        </w:rPr>
        <w:t>]</w:t>
      </w:r>
    </w:p>
    <w:p w14:paraId="7BF704A2" w14:textId="77777777" w:rsidR="001A0EA8" w:rsidRDefault="001A0EA8" w:rsidP="00AF2B5D">
      <w:pPr>
        <w:widowControl w:val="0"/>
        <w:spacing w:after="0" w:line="240" w:lineRule="auto"/>
        <w:jc w:val="both"/>
        <w:rPr>
          <w:rFonts w:ascii="Times New Roman" w:hAnsi="Times New Roman"/>
          <w:b/>
          <w:bCs/>
          <w:noProof/>
          <w:kern w:val="0"/>
          <w:sz w:val="24"/>
        </w:rPr>
      </w:pPr>
      <w:bookmarkStart w:id="12" w:name="p6"/>
      <w:bookmarkStart w:id="13" w:name="p-1004280"/>
      <w:bookmarkEnd w:id="12"/>
      <w:bookmarkEnd w:id="13"/>
    </w:p>
    <w:p w14:paraId="3EFAD1C0" w14:textId="731B5E21"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6. </w:t>
      </w:r>
      <w:r>
        <w:rPr>
          <w:rFonts w:ascii="Times New Roman" w:hAnsi="Times New Roman"/>
          <w:sz w:val="24"/>
        </w:rPr>
        <w:t>[30 September 2021]</w:t>
      </w:r>
    </w:p>
    <w:p w14:paraId="2B7D82B4" w14:textId="77777777" w:rsidR="001A0EA8" w:rsidRDefault="001A0EA8" w:rsidP="00AF2B5D">
      <w:pPr>
        <w:widowControl w:val="0"/>
        <w:spacing w:after="0" w:line="240" w:lineRule="auto"/>
        <w:jc w:val="both"/>
        <w:rPr>
          <w:rFonts w:ascii="Times New Roman" w:hAnsi="Times New Roman"/>
          <w:b/>
          <w:bCs/>
          <w:noProof/>
          <w:kern w:val="0"/>
          <w:sz w:val="24"/>
        </w:rPr>
      </w:pPr>
      <w:bookmarkStart w:id="14" w:name="p7"/>
      <w:bookmarkStart w:id="15" w:name="p-1004284"/>
      <w:bookmarkEnd w:id="14"/>
      <w:bookmarkEnd w:id="15"/>
    </w:p>
    <w:p w14:paraId="374D7D9B" w14:textId="4E79A360"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7. </w:t>
      </w:r>
      <w:r>
        <w:rPr>
          <w:rFonts w:ascii="Times New Roman" w:hAnsi="Times New Roman"/>
          <w:sz w:val="24"/>
        </w:rPr>
        <w:t>The same participant may act as a central counterparty, a settlement agent, or a clearing house or perform a part or all of the tasks of such participants if the rules of the system provide for such possibility.</w:t>
      </w:r>
    </w:p>
    <w:p w14:paraId="32D86865"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294E3CB1" w14:textId="77777777" w:rsidR="001A0EA8" w:rsidRDefault="001A0EA8" w:rsidP="00AF2B5D">
      <w:pPr>
        <w:widowControl w:val="0"/>
        <w:spacing w:after="0" w:line="240" w:lineRule="auto"/>
        <w:jc w:val="both"/>
        <w:rPr>
          <w:rFonts w:ascii="Times New Roman" w:hAnsi="Times New Roman"/>
          <w:b/>
          <w:bCs/>
          <w:noProof/>
          <w:kern w:val="0"/>
          <w:sz w:val="24"/>
        </w:rPr>
      </w:pPr>
      <w:bookmarkStart w:id="16" w:name="p7_1"/>
      <w:bookmarkStart w:id="17" w:name="p-635372"/>
      <w:bookmarkEnd w:id="16"/>
      <w:bookmarkEnd w:id="17"/>
    </w:p>
    <w:p w14:paraId="3329B04D" w14:textId="090BEB4A"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Latvijas Banka shall supervise the systems.</w:t>
      </w:r>
    </w:p>
    <w:p w14:paraId="615D49FF"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The system operator shall be obliged to provide Latvijas Banka with the information necessary for the supervision of the system.</w:t>
      </w:r>
    </w:p>
    <w:p w14:paraId="52EC952D"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September 2017</w:t>
      </w:r>
      <w:r>
        <w:rPr>
          <w:rFonts w:ascii="Times New Roman" w:hAnsi="Times New Roman"/>
          <w:sz w:val="24"/>
        </w:rPr>
        <w:t>]</w:t>
      </w:r>
    </w:p>
    <w:p w14:paraId="4356A9E6" w14:textId="77777777" w:rsidR="001A0EA8" w:rsidRDefault="001A0EA8" w:rsidP="00AF2B5D">
      <w:pPr>
        <w:widowControl w:val="0"/>
        <w:spacing w:after="0" w:line="240" w:lineRule="auto"/>
        <w:jc w:val="both"/>
        <w:rPr>
          <w:rFonts w:ascii="Times New Roman" w:hAnsi="Times New Roman"/>
          <w:b/>
          <w:bCs/>
          <w:noProof/>
          <w:kern w:val="0"/>
          <w:sz w:val="24"/>
        </w:rPr>
      </w:pPr>
      <w:bookmarkStart w:id="18" w:name="n2"/>
      <w:bookmarkStart w:id="19" w:name="n-22127"/>
      <w:bookmarkEnd w:id="18"/>
      <w:bookmarkEnd w:id="19"/>
    </w:p>
    <w:p w14:paraId="1DADC78B" w14:textId="397B1EBA" w:rsidR="00CA59F6" w:rsidRPr="0016727A"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5923BB82" w14:textId="3E4CA6F5" w:rsidR="000743D0" w:rsidRPr="00503F0C"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Netting and Transfer Orders</w:t>
      </w:r>
    </w:p>
    <w:p w14:paraId="73612401" w14:textId="77777777" w:rsidR="001A0EA8" w:rsidRDefault="001A0EA8" w:rsidP="00AF2B5D">
      <w:pPr>
        <w:widowControl w:val="0"/>
        <w:spacing w:after="0" w:line="240" w:lineRule="auto"/>
        <w:jc w:val="both"/>
        <w:rPr>
          <w:rFonts w:ascii="Times New Roman" w:hAnsi="Times New Roman"/>
          <w:b/>
          <w:bCs/>
          <w:noProof/>
          <w:kern w:val="0"/>
          <w:sz w:val="24"/>
        </w:rPr>
      </w:pPr>
      <w:bookmarkStart w:id="20" w:name="p8"/>
      <w:bookmarkStart w:id="21" w:name="p-1000966"/>
      <w:bookmarkEnd w:id="20"/>
      <w:bookmarkEnd w:id="21"/>
    </w:p>
    <w:p w14:paraId="4ADD541A" w14:textId="063D2706"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8. </w:t>
      </w:r>
      <w:r>
        <w:rPr>
          <w:rFonts w:ascii="Times New Roman" w:hAnsi="Times New Roman"/>
          <w:sz w:val="24"/>
        </w:rPr>
        <w:t>(1) Netting and transfer orders shall be legally enforceable and binding on third persons also if insolvency proceedings have been initiated against a participant o</w:t>
      </w:r>
      <w:r w:rsidR="00993EAB">
        <w:rPr>
          <w:rFonts w:ascii="Times New Roman" w:hAnsi="Times New Roman"/>
          <w:sz w:val="24"/>
        </w:rPr>
        <w:t>f</w:t>
      </w:r>
      <w:r>
        <w:rPr>
          <w:rFonts w:ascii="Times New Roman" w:hAnsi="Times New Roman"/>
          <w:sz w:val="24"/>
        </w:rPr>
        <w:t xml:space="preserve"> the system or interoperable system or an interoperable system operator other than the participant, provided that the transfer orders have been entered into the system prior to the initiation of insolvency proceedings.</w:t>
      </w:r>
    </w:p>
    <w:p w14:paraId="27F0362C"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If transfer orders are entered into the system after the initiation of insolvency proceedings against a participant and they are executed on the working day specified in the rules of the system when the insolvency proceedings are initiated, they shall only be legally enforceable and binding on third persons if the system operator is able to prove that, at the time when such transfer orders became irrevocable in accordance with the rules of the system, it was neither aware, nor should have been aware of the initiation of such proceedings.</w:t>
      </w:r>
    </w:p>
    <w:p w14:paraId="455B0FD3"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(3) Laws and regulations providing for the setting aside of legal transactions shall not be applicable to the netting of the claims and obligations resulting from participation in the system and arising prior to the initiation of insolvency proceedings against a participant.</w:t>
      </w:r>
    </w:p>
    <w:p w14:paraId="517AE353"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(4) The moment of entry of a transfer order into a system shall be defined by the rules of that system.</w:t>
      </w:r>
    </w:p>
    <w:p w14:paraId="726FC08A"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In interoperable systems, the rules of each system shall determine the moment when a transfer order is entered into the system. Rules of one system for the moment of entry of a transfer order shall not be affected by the rules of another system, unless it is provided for in the rules of all the systems involved.</w:t>
      </w:r>
    </w:p>
    <w:p w14:paraId="443A62B9"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23 September 2021</w:t>
      </w:r>
      <w:r>
        <w:rPr>
          <w:rFonts w:ascii="Times New Roman" w:hAnsi="Times New Roman"/>
          <w:sz w:val="24"/>
        </w:rPr>
        <w:t>]</w:t>
      </w:r>
    </w:p>
    <w:p w14:paraId="0DC85A07" w14:textId="77777777" w:rsidR="001A0EA8" w:rsidRDefault="001A0EA8" w:rsidP="00AF2B5D">
      <w:pPr>
        <w:widowControl w:val="0"/>
        <w:spacing w:after="0" w:line="240" w:lineRule="auto"/>
        <w:jc w:val="both"/>
        <w:rPr>
          <w:rFonts w:ascii="Times New Roman" w:hAnsi="Times New Roman"/>
          <w:b/>
          <w:bCs/>
          <w:noProof/>
          <w:kern w:val="0"/>
          <w:sz w:val="24"/>
        </w:rPr>
      </w:pPr>
      <w:bookmarkStart w:id="22" w:name="p9"/>
      <w:bookmarkStart w:id="23" w:name="p-386056"/>
      <w:bookmarkEnd w:id="22"/>
      <w:bookmarkEnd w:id="23"/>
    </w:p>
    <w:p w14:paraId="0EEA1EF6" w14:textId="70AF3D1C"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9. </w:t>
      </w:r>
      <w:r>
        <w:rPr>
          <w:rFonts w:ascii="Times New Roman" w:hAnsi="Times New Roman"/>
          <w:sz w:val="24"/>
        </w:rPr>
        <w:t>The initiation of insolvency proceedings against a participant or an interoperable system operator shall not prevent the following:</w:t>
      </w:r>
    </w:p>
    <w:p w14:paraId="46B28F58"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use of funds or financial instruments available on the settlement account of the participants to allow the participant to discharge its obligations arising from its participation in the system or interoperable system which it has on the working day of the initiation of insolvency proceedings;</w:t>
      </w:r>
    </w:p>
    <w:p w14:paraId="4B3203DA" w14:textId="310A73A9"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reduction of a participant’s credit related to the system against a collateral available in the system or interoperable system to discharge the obligations of the participant </w:t>
      </w:r>
      <w:r w:rsidR="006D4E0C">
        <w:rPr>
          <w:rFonts w:ascii="Times New Roman" w:hAnsi="Times New Roman"/>
          <w:sz w:val="24"/>
        </w:rPr>
        <w:t>of</w:t>
      </w:r>
      <w:r>
        <w:rPr>
          <w:rFonts w:ascii="Times New Roman" w:hAnsi="Times New Roman"/>
          <w:sz w:val="24"/>
        </w:rPr>
        <w:t xml:space="preserve"> the relevant system.</w:t>
      </w:r>
    </w:p>
    <w:p w14:paraId="58CA96B7"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w:t>
      </w:r>
      <w:r>
        <w:rPr>
          <w:rFonts w:ascii="Times New Roman" w:hAnsi="Times New Roman"/>
          <w:sz w:val="24"/>
        </w:rPr>
        <w:t>]</w:t>
      </w:r>
    </w:p>
    <w:p w14:paraId="1EFDF3C8" w14:textId="77777777" w:rsidR="001A0EA8" w:rsidRDefault="001A0EA8" w:rsidP="00AF2B5D">
      <w:pPr>
        <w:widowControl w:val="0"/>
        <w:spacing w:after="0" w:line="240" w:lineRule="auto"/>
        <w:jc w:val="both"/>
        <w:rPr>
          <w:rFonts w:ascii="Times New Roman" w:hAnsi="Times New Roman"/>
          <w:b/>
          <w:bCs/>
          <w:noProof/>
          <w:kern w:val="0"/>
          <w:sz w:val="24"/>
        </w:rPr>
      </w:pPr>
      <w:bookmarkStart w:id="24" w:name="p10"/>
      <w:bookmarkStart w:id="25" w:name="p-635373"/>
      <w:bookmarkEnd w:id="24"/>
      <w:bookmarkEnd w:id="25"/>
    </w:p>
    <w:p w14:paraId="6F04C01F" w14:textId="53708728"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10. </w:t>
      </w:r>
      <w:r>
        <w:rPr>
          <w:rFonts w:ascii="Times New Roman" w:hAnsi="Times New Roman"/>
          <w:sz w:val="24"/>
        </w:rPr>
        <w:t>(1) The rules of the system shall determine the moment when a transfer order may not be revoked unilaterally.</w:t>
      </w:r>
    </w:p>
    <w:p w14:paraId="244B56B5"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In interoperable systems, the rules of each system shall determine the moment when a transfer order may not be revoked unilaterally. Rules of one system for the moment of irrevocability shall not be affected by the rules of another system, unless it is provided for in the rules of all the systems involved.</w:t>
      </w:r>
    </w:p>
    <w:p w14:paraId="794A1187"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(3) A transfer order shall be irrevocable and settlement shall be final from the moment determined in the rules of the relevant system.</w:t>
      </w:r>
    </w:p>
    <w:p w14:paraId="298F5597"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September 2017</w:t>
      </w:r>
      <w:r>
        <w:rPr>
          <w:rFonts w:ascii="Times New Roman" w:hAnsi="Times New Roman"/>
          <w:sz w:val="24"/>
        </w:rPr>
        <w:t>]</w:t>
      </w:r>
    </w:p>
    <w:p w14:paraId="7126CB84" w14:textId="77777777" w:rsidR="001A0EA8" w:rsidRDefault="001A0EA8" w:rsidP="00AF2B5D">
      <w:pPr>
        <w:widowControl w:val="0"/>
        <w:spacing w:after="0" w:line="240" w:lineRule="auto"/>
        <w:jc w:val="both"/>
        <w:rPr>
          <w:rFonts w:ascii="Times New Roman" w:hAnsi="Times New Roman"/>
          <w:b/>
          <w:bCs/>
          <w:noProof/>
          <w:kern w:val="0"/>
          <w:sz w:val="24"/>
        </w:rPr>
      </w:pPr>
      <w:bookmarkStart w:id="26" w:name="n3"/>
      <w:bookmarkStart w:id="27" w:name="n-22131"/>
      <w:bookmarkEnd w:id="26"/>
      <w:bookmarkEnd w:id="27"/>
    </w:p>
    <w:p w14:paraId="047B587A" w14:textId="0F7E08DD" w:rsidR="00CA59F6" w:rsidRPr="0016727A"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7AD34AE8" w14:textId="2ECCDE5D" w:rsidR="000743D0" w:rsidRPr="00503F0C"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Provisions for Insolvency Proceedings Against Participants</w:t>
      </w:r>
    </w:p>
    <w:p w14:paraId="430E6624" w14:textId="77777777" w:rsidR="001A0EA8" w:rsidRDefault="001A0EA8" w:rsidP="00AF2B5D">
      <w:pPr>
        <w:widowControl w:val="0"/>
        <w:spacing w:after="0" w:line="240" w:lineRule="auto"/>
        <w:jc w:val="both"/>
        <w:rPr>
          <w:rFonts w:ascii="Times New Roman" w:hAnsi="Times New Roman"/>
          <w:b/>
          <w:bCs/>
          <w:noProof/>
          <w:kern w:val="0"/>
          <w:sz w:val="24"/>
        </w:rPr>
      </w:pPr>
      <w:bookmarkStart w:id="28" w:name="p11"/>
      <w:bookmarkStart w:id="29" w:name="p-1000989"/>
      <w:bookmarkEnd w:id="28"/>
      <w:bookmarkEnd w:id="29"/>
    </w:p>
    <w:p w14:paraId="16EDAA4F" w14:textId="785A80DC"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11. </w:t>
      </w:r>
      <w:r>
        <w:rPr>
          <w:rFonts w:ascii="Times New Roman" w:hAnsi="Times New Roman"/>
          <w:sz w:val="24"/>
        </w:rPr>
        <w:t>(1) A court of the Republic of Latvia shall, in accordance with the procedures laid down in the Civil Procedure Law, inform Latvijas Banka of the initiation of insolvency proceedings against a participant.</w:t>
      </w:r>
    </w:p>
    <w:p w14:paraId="36AB4E46"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When the administrative institution to which such rights have been granted by the law takes the decision to initiate insolvency proceedings against a participant, it shall immediately – on the same day – inform Latvijas Banka of this fact.</w:t>
      </w:r>
    </w:p>
    <w:p w14:paraId="64E6A865"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(3) Latvijas Banka shall immediately – on the same day when it has received the decision or judgement of a court of the Republic of Latvia or of an administrative institution on the initiation of insolvency proceedings against a participant – inform the following of this fact:</w:t>
      </w:r>
    </w:p>
    <w:p w14:paraId="7FD72A24"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1) system operators in the systems whereof the participant participates;</w:t>
      </w:r>
    </w:p>
    <w:p w14:paraId="7C78A627"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2) relevant entities which have been appointed as recipients of such information by Member States and in respect of which Member States have informed the European Securities and Markets Authority;</w:t>
      </w:r>
    </w:p>
    <w:p w14:paraId="3B8B28C5" w14:textId="77777777" w:rsidR="000743D0" w:rsidRPr="00503F0C" w:rsidRDefault="000743D0" w:rsidP="001A0EA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European Systemic Risk Board and the European Securities and Markets Authority.</w:t>
      </w:r>
    </w:p>
    <w:p w14:paraId="64A7D81E"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22 March 2012; 19 May 2016; 23 September 2021</w:t>
      </w:r>
      <w:r>
        <w:rPr>
          <w:rFonts w:ascii="Times New Roman" w:hAnsi="Times New Roman"/>
          <w:sz w:val="24"/>
        </w:rPr>
        <w:t>]</w:t>
      </w:r>
    </w:p>
    <w:p w14:paraId="6B324E5D" w14:textId="77777777" w:rsidR="001A0EA8" w:rsidRDefault="001A0EA8" w:rsidP="00AF2B5D">
      <w:pPr>
        <w:widowControl w:val="0"/>
        <w:spacing w:after="0" w:line="240" w:lineRule="auto"/>
        <w:jc w:val="both"/>
        <w:rPr>
          <w:rFonts w:ascii="Times New Roman" w:hAnsi="Times New Roman"/>
          <w:b/>
          <w:bCs/>
          <w:noProof/>
          <w:kern w:val="0"/>
          <w:sz w:val="24"/>
        </w:rPr>
      </w:pPr>
      <w:bookmarkStart w:id="30" w:name="p12"/>
      <w:bookmarkStart w:id="31" w:name="p-386059"/>
      <w:bookmarkEnd w:id="30"/>
      <w:bookmarkEnd w:id="31"/>
    </w:p>
    <w:p w14:paraId="161AECD7" w14:textId="785AC2FB" w:rsidR="000743D0" w:rsidRPr="00503F0C" w:rsidRDefault="000743D0" w:rsidP="004460C2">
      <w:pPr>
        <w:keepNext/>
        <w:spacing w:after="0" w:line="240" w:lineRule="auto"/>
        <w:jc w:val="both"/>
        <w:rPr>
          <w:rFonts w:ascii="Times New Roman" w:hAnsi="Times New Roman"/>
          <w:noProof/>
          <w:kern w:val="0"/>
          <w:sz w:val="24"/>
        </w:rPr>
      </w:pPr>
      <w:r>
        <w:rPr>
          <w:rFonts w:ascii="Times New Roman" w:hAnsi="Times New Roman"/>
          <w:b/>
          <w:sz w:val="24"/>
        </w:rPr>
        <w:t>Section 12. </w:t>
      </w:r>
      <w:r>
        <w:rPr>
          <w:rFonts w:ascii="Times New Roman" w:hAnsi="Times New Roman"/>
          <w:sz w:val="24"/>
        </w:rPr>
        <w:t xml:space="preserve">Insolvency proceedings shall not affect such rights and obligations of a participant, including a participant </w:t>
      </w:r>
      <w:r w:rsidR="006D4E0C">
        <w:rPr>
          <w:rFonts w:ascii="Times New Roman" w:hAnsi="Times New Roman"/>
          <w:sz w:val="24"/>
        </w:rPr>
        <w:t>of</w:t>
      </w:r>
      <w:r>
        <w:rPr>
          <w:rFonts w:ascii="Times New Roman" w:hAnsi="Times New Roman"/>
          <w:sz w:val="24"/>
        </w:rPr>
        <w:t xml:space="preserve"> an interoperable system or an interoperable system operator other than the participant, that arise from the participation in the system or are related thereto and </w:t>
      </w:r>
      <w:r>
        <w:rPr>
          <w:rFonts w:ascii="Times New Roman" w:hAnsi="Times New Roman"/>
          <w:sz w:val="24"/>
        </w:rPr>
        <w:lastRenderedPageBreak/>
        <w:t>have arisen prior to the initiation of insolvency proceedings. Such rights and obligations of a participant may not be recognised as invalid.</w:t>
      </w:r>
    </w:p>
    <w:p w14:paraId="21FCA3D6" w14:textId="77777777" w:rsidR="000743D0" w:rsidRPr="00503F0C" w:rsidRDefault="000743D0" w:rsidP="004460C2">
      <w:pPr>
        <w:keepNext/>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w:t>
      </w:r>
      <w:r>
        <w:rPr>
          <w:rFonts w:ascii="Times New Roman" w:hAnsi="Times New Roman"/>
          <w:sz w:val="24"/>
        </w:rPr>
        <w:t>]</w:t>
      </w:r>
    </w:p>
    <w:p w14:paraId="73EC8842" w14:textId="77777777" w:rsidR="001A0EA8" w:rsidRDefault="001A0EA8" w:rsidP="00AF2B5D">
      <w:pPr>
        <w:widowControl w:val="0"/>
        <w:spacing w:after="0" w:line="240" w:lineRule="auto"/>
        <w:jc w:val="both"/>
        <w:rPr>
          <w:rFonts w:ascii="Times New Roman" w:hAnsi="Times New Roman"/>
          <w:b/>
          <w:bCs/>
          <w:noProof/>
          <w:kern w:val="0"/>
          <w:sz w:val="24"/>
        </w:rPr>
      </w:pPr>
      <w:bookmarkStart w:id="32" w:name="n4"/>
      <w:bookmarkStart w:id="33" w:name="n-22134"/>
      <w:bookmarkEnd w:id="32"/>
      <w:bookmarkEnd w:id="33"/>
    </w:p>
    <w:p w14:paraId="498A8149" w14:textId="03F5488A" w:rsidR="00CA59F6" w:rsidRPr="0016727A" w:rsidRDefault="000743D0" w:rsidP="001C54F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74261744" w14:textId="7BE155C7" w:rsidR="000743D0" w:rsidRDefault="000743D0" w:rsidP="001C54F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Protection of the Rights of a Collateral Taker in the Case of Insolvency Proceedings of a Collateral Provider</w:t>
      </w:r>
    </w:p>
    <w:p w14:paraId="5FC05E4C" w14:textId="77777777" w:rsidR="001A0EA8" w:rsidRPr="00503F0C" w:rsidRDefault="001A0EA8" w:rsidP="001C54FA">
      <w:pPr>
        <w:keepNext/>
        <w:keepLines/>
        <w:widowControl w:val="0"/>
        <w:spacing w:after="0" w:line="240" w:lineRule="auto"/>
        <w:jc w:val="both"/>
        <w:rPr>
          <w:rFonts w:ascii="Times New Roman" w:hAnsi="Times New Roman"/>
          <w:b/>
          <w:bCs/>
          <w:noProof/>
          <w:kern w:val="0"/>
          <w:sz w:val="24"/>
          <w:lang w:val="lv-LV"/>
        </w:rPr>
      </w:pPr>
    </w:p>
    <w:p w14:paraId="74577353" w14:textId="1C66BD20" w:rsidR="000743D0" w:rsidRPr="00503F0C" w:rsidRDefault="000743D0" w:rsidP="00AF2B5D">
      <w:pPr>
        <w:widowControl w:val="0"/>
        <w:spacing w:after="0" w:line="240" w:lineRule="auto"/>
        <w:jc w:val="both"/>
        <w:rPr>
          <w:rFonts w:ascii="Times New Roman" w:hAnsi="Times New Roman"/>
          <w:noProof/>
          <w:kern w:val="0"/>
          <w:sz w:val="24"/>
        </w:rPr>
      </w:pPr>
      <w:bookmarkStart w:id="34" w:name="p13"/>
      <w:bookmarkStart w:id="35" w:name="p-530051"/>
      <w:bookmarkEnd w:id="34"/>
      <w:bookmarkEnd w:id="35"/>
      <w:r>
        <w:rPr>
          <w:rFonts w:ascii="Times New Roman" w:hAnsi="Times New Roman"/>
          <w:b/>
          <w:bCs/>
          <w:sz w:val="24"/>
        </w:rPr>
        <w:t>Section 13.</w:t>
      </w:r>
      <w:r>
        <w:rPr>
          <w:rFonts w:ascii="Times New Roman" w:hAnsi="Times New Roman"/>
          <w:b/>
          <w:sz w:val="24"/>
        </w:rPr>
        <w:t> </w:t>
      </w:r>
      <w:r>
        <w:rPr>
          <w:rFonts w:ascii="Times New Roman" w:hAnsi="Times New Roman"/>
          <w:sz w:val="24"/>
        </w:rPr>
        <w:t xml:space="preserve">(1) The right of a system operator or participant to the collateral provided thereto in relation to the system or interoperable system, or the right of a central bank to the collateral shall not be affected by the insolvency proceedings initiated against the participant, the interoperable system operator other than the participant, a counterparty of the central bank, or any third person who has provided the collateral. Such collateral may be enforced immediately for the purpose of exercising the respective rights, and the restriction of rights to enforce the collateral which have been specified in </w:t>
      </w:r>
      <w:r w:rsidR="00933E12">
        <w:rPr>
          <w:rFonts w:ascii="Times New Roman" w:hAnsi="Times New Roman"/>
          <w:sz w:val="24"/>
        </w:rPr>
        <w:t>l</w:t>
      </w:r>
      <w:r w:rsidR="00933E12" w:rsidRPr="00933E12">
        <w:rPr>
          <w:rFonts w:ascii="Times New Roman" w:hAnsi="Times New Roman"/>
          <w:sz w:val="24"/>
        </w:rPr>
        <w:t>aws and regulations</w:t>
      </w:r>
      <w:r>
        <w:rPr>
          <w:rFonts w:ascii="Times New Roman" w:hAnsi="Times New Roman"/>
          <w:sz w:val="24"/>
        </w:rPr>
        <w:t xml:space="preserve"> shall not be applicable to such collateral.</w:t>
      </w:r>
    </w:p>
    <w:p w14:paraId="59F03F72"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(2) If the system operator has provided a collateral to another system operator in relation to an interoperable system, the right to this collateral held by the system operator who has provided the collateral shall not be affected by the insolvency proceedings initiated against the system operator who has received the collateral.</w:t>
      </w:r>
    </w:p>
    <w:p w14:paraId="70BEE1D6"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25 September 2014</w:t>
      </w:r>
      <w:r>
        <w:rPr>
          <w:rFonts w:ascii="Times New Roman" w:hAnsi="Times New Roman"/>
          <w:sz w:val="24"/>
        </w:rPr>
        <w:t>]</w:t>
      </w:r>
    </w:p>
    <w:p w14:paraId="6189A306" w14:textId="77777777" w:rsidR="001A0EA8" w:rsidRDefault="001A0EA8" w:rsidP="00AF2B5D">
      <w:pPr>
        <w:widowControl w:val="0"/>
        <w:spacing w:after="0" w:line="240" w:lineRule="auto"/>
        <w:jc w:val="both"/>
        <w:rPr>
          <w:rFonts w:ascii="Times New Roman" w:hAnsi="Times New Roman"/>
          <w:b/>
          <w:bCs/>
          <w:noProof/>
          <w:kern w:val="0"/>
          <w:sz w:val="24"/>
        </w:rPr>
      </w:pPr>
      <w:bookmarkStart w:id="36" w:name="n5"/>
      <w:bookmarkStart w:id="37" w:name="n-22136"/>
      <w:bookmarkEnd w:id="36"/>
      <w:bookmarkEnd w:id="37"/>
    </w:p>
    <w:p w14:paraId="54A6FF24" w14:textId="71EE6445" w:rsidR="00CA59F6" w:rsidRPr="0016727A"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65EABE62" w14:textId="44ED0A0A" w:rsidR="000743D0" w:rsidRPr="00503F0C"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Choice of Law</w:t>
      </w:r>
    </w:p>
    <w:p w14:paraId="4D9A56F2" w14:textId="77777777" w:rsidR="001A0EA8" w:rsidRDefault="001A0EA8" w:rsidP="00AF2B5D">
      <w:pPr>
        <w:widowControl w:val="0"/>
        <w:spacing w:after="0" w:line="240" w:lineRule="auto"/>
        <w:jc w:val="both"/>
        <w:rPr>
          <w:rFonts w:ascii="Times New Roman" w:hAnsi="Times New Roman"/>
          <w:b/>
          <w:bCs/>
          <w:noProof/>
          <w:kern w:val="0"/>
          <w:sz w:val="24"/>
        </w:rPr>
      </w:pPr>
      <w:bookmarkStart w:id="38" w:name="p14"/>
      <w:bookmarkStart w:id="39" w:name="p-386061"/>
      <w:bookmarkEnd w:id="38"/>
      <w:bookmarkEnd w:id="39"/>
    </w:p>
    <w:p w14:paraId="7996A850" w14:textId="78401609"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14. </w:t>
      </w:r>
      <w:r>
        <w:rPr>
          <w:rFonts w:ascii="Times New Roman" w:hAnsi="Times New Roman"/>
          <w:sz w:val="24"/>
        </w:rPr>
        <w:t>In determining the country in accordance with whose laws the system will operate, the participants may only choose such Member State in which at least one participant is registered.</w:t>
      </w:r>
    </w:p>
    <w:p w14:paraId="23C408CA"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w:t>
      </w:r>
      <w:r>
        <w:rPr>
          <w:rFonts w:ascii="Times New Roman" w:hAnsi="Times New Roman"/>
          <w:sz w:val="24"/>
        </w:rPr>
        <w:t>]</w:t>
      </w:r>
    </w:p>
    <w:p w14:paraId="52F1AAA4" w14:textId="77777777" w:rsidR="001A0EA8" w:rsidRDefault="001A0EA8" w:rsidP="00AF2B5D">
      <w:pPr>
        <w:widowControl w:val="0"/>
        <w:spacing w:after="0" w:line="240" w:lineRule="auto"/>
        <w:jc w:val="both"/>
        <w:rPr>
          <w:rFonts w:ascii="Times New Roman" w:hAnsi="Times New Roman"/>
          <w:b/>
          <w:bCs/>
          <w:noProof/>
          <w:kern w:val="0"/>
          <w:sz w:val="24"/>
        </w:rPr>
      </w:pPr>
      <w:bookmarkStart w:id="40" w:name="p15"/>
      <w:bookmarkStart w:id="41" w:name="p-22138"/>
      <w:bookmarkEnd w:id="40"/>
      <w:bookmarkEnd w:id="41"/>
    </w:p>
    <w:p w14:paraId="3291ED73" w14:textId="35066F89"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15. </w:t>
      </w:r>
      <w:r>
        <w:rPr>
          <w:rFonts w:ascii="Times New Roman" w:hAnsi="Times New Roman"/>
          <w:sz w:val="24"/>
        </w:rPr>
        <w:t>After initiation of insolvency proceedings against a participant, its rights and obligations incurred during participation in the system shall be determined in accordance with the laws of the country under which the relevant system operates.</w:t>
      </w:r>
    </w:p>
    <w:p w14:paraId="69C183E6" w14:textId="77777777" w:rsidR="001A0EA8" w:rsidRDefault="001A0EA8" w:rsidP="00AF2B5D">
      <w:pPr>
        <w:widowControl w:val="0"/>
        <w:spacing w:after="0" w:line="240" w:lineRule="auto"/>
        <w:jc w:val="both"/>
        <w:rPr>
          <w:rFonts w:ascii="Times New Roman" w:hAnsi="Times New Roman"/>
          <w:b/>
          <w:bCs/>
          <w:noProof/>
          <w:kern w:val="0"/>
          <w:sz w:val="24"/>
        </w:rPr>
      </w:pPr>
      <w:bookmarkStart w:id="42" w:name="p16"/>
      <w:bookmarkStart w:id="43" w:name="p-386062"/>
      <w:bookmarkEnd w:id="42"/>
      <w:bookmarkEnd w:id="43"/>
    </w:p>
    <w:p w14:paraId="234F13DE" w14:textId="1C2C478C"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16. </w:t>
      </w:r>
      <w:r>
        <w:rPr>
          <w:rFonts w:ascii="Times New Roman" w:hAnsi="Times New Roman"/>
          <w:sz w:val="24"/>
        </w:rPr>
        <w:t>If financial instruments (also rights arising from financial instruments) are provided as a collateral in favour of participants, the system operator, or the central bank, and the right of such participants (or their representatives, agents, or third persons acting on their behalf) to the financial instruments have been recorded in the register, an account, or a centralised deposit system located in the relevant country, the rights of such subjects – collateral takers – to the respective financial instruments shall be governed by the laws of the relevant country.</w:t>
      </w:r>
    </w:p>
    <w:p w14:paraId="2BBA033E"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w:t>
      </w:r>
      <w:r>
        <w:rPr>
          <w:rFonts w:ascii="Times New Roman" w:hAnsi="Times New Roman"/>
          <w:sz w:val="24"/>
        </w:rPr>
        <w:t>]</w:t>
      </w:r>
    </w:p>
    <w:p w14:paraId="2743A1FC" w14:textId="77777777" w:rsidR="001A0EA8" w:rsidRDefault="001A0EA8" w:rsidP="00AF2B5D">
      <w:pPr>
        <w:widowControl w:val="0"/>
        <w:spacing w:after="0" w:line="240" w:lineRule="auto"/>
        <w:jc w:val="both"/>
        <w:rPr>
          <w:rFonts w:ascii="Times New Roman" w:hAnsi="Times New Roman"/>
          <w:b/>
          <w:bCs/>
          <w:noProof/>
          <w:kern w:val="0"/>
          <w:sz w:val="24"/>
        </w:rPr>
      </w:pPr>
      <w:bookmarkStart w:id="44" w:name="n6"/>
      <w:bookmarkStart w:id="45" w:name="n-1000968"/>
      <w:bookmarkEnd w:id="44"/>
      <w:bookmarkEnd w:id="45"/>
    </w:p>
    <w:p w14:paraId="2C599886" w14:textId="3FEDF7AE" w:rsidR="00CA59F6" w:rsidRPr="0016727A"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1A1B21F7" w14:textId="2596FC4B" w:rsidR="000743D0" w:rsidRPr="00503F0C"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Determination and Notification of the System</w:t>
      </w:r>
    </w:p>
    <w:p w14:paraId="1DF2BC4D" w14:textId="77777777" w:rsidR="000743D0" w:rsidRPr="00503F0C" w:rsidRDefault="000743D0" w:rsidP="001A0EA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5B7096F0" w14:textId="77777777" w:rsidR="001A0EA8" w:rsidRDefault="001A0EA8" w:rsidP="00AF2B5D">
      <w:pPr>
        <w:widowControl w:val="0"/>
        <w:spacing w:after="0" w:line="240" w:lineRule="auto"/>
        <w:jc w:val="both"/>
        <w:rPr>
          <w:rFonts w:ascii="Times New Roman" w:hAnsi="Times New Roman"/>
          <w:b/>
          <w:bCs/>
          <w:noProof/>
          <w:kern w:val="0"/>
          <w:sz w:val="24"/>
        </w:rPr>
      </w:pPr>
      <w:bookmarkStart w:id="46" w:name="p17"/>
      <w:bookmarkStart w:id="47" w:name="p-1000970"/>
      <w:bookmarkEnd w:id="46"/>
      <w:bookmarkEnd w:id="47"/>
    </w:p>
    <w:p w14:paraId="042E98F6" w14:textId="68A9F6DE"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17. </w:t>
      </w:r>
      <w:r>
        <w:rPr>
          <w:rFonts w:ascii="Times New Roman" w:hAnsi="Times New Roman"/>
          <w:sz w:val="24"/>
        </w:rPr>
        <w:t>[23 September 2021]</w:t>
      </w:r>
    </w:p>
    <w:p w14:paraId="0E69976D" w14:textId="77777777" w:rsidR="001A0EA8" w:rsidRDefault="001A0EA8" w:rsidP="00AF2B5D">
      <w:pPr>
        <w:widowControl w:val="0"/>
        <w:spacing w:after="0" w:line="240" w:lineRule="auto"/>
        <w:jc w:val="both"/>
        <w:rPr>
          <w:rFonts w:ascii="Times New Roman" w:hAnsi="Times New Roman"/>
          <w:b/>
          <w:bCs/>
          <w:noProof/>
          <w:kern w:val="0"/>
          <w:sz w:val="24"/>
        </w:rPr>
      </w:pPr>
      <w:bookmarkStart w:id="48" w:name="p18"/>
      <w:bookmarkStart w:id="49" w:name="p-1000971"/>
      <w:bookmarkEnd w:id="48"/>
      <w:bookmarkEnd w:id="49"/>
    </w:p>
    <w:p w14:paraId="0AAED7AF" w14:textId="095B4B6F"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18. </w:t>
      </w:r>
      <w:r>
        <w:rPr>
          <w:rFonts w:ascii="Times New Roman" w:hAnsi="Times New Roman"/>
          <w:sz w:val="24"/>
        </w:rPr>
        <w:t>[23 September 2021]</w:t>
      </w:r>
    </w:p>
    <w:p w14:paraId="33293501" w14:textId="77777777" w:rsidR="001A0EA8" w:rsidRDefault="001A0EA8" w:rsidP="00AF2B5D">
      <w:pPr>
        <w:widowControl w:val="0"/>
        <w:spacing w:after="0" w:line="240" w:lineRule="auto"/>
        <w:jc w:val="both"/>
        <w:rPr>
          <w:rFonts w:ascii="Times New Roman" w:hAnsi="Times New Roman"/>
          <w:b/>
          <w:bCs/>
          <w:noProof/>
          <w:kern w:val="0"/>
          <w:sz w:val="24"/>
        </w:rPr>
      </w:pPr>
      <w:bookmarkStart w:id="50" w:name="p19"/>
      <w:bookmarkStart w:id="51" w:name="p-1000973"/>
      <w:bookmarkEnd w:id="50"/>
      <w:bookmarkEnd w:id="51"/>
    </w:p>
    <w:p w14:paraId="7094FE88" w14:textId="03E2E99F" w:rsidR="000743D0" w:rsidRPr="00503F0C" w:rsidRDefault="000743D0" w:rsidP="00D425A1">
      <w:pPr>
        <w:keepNext/>
        <w:keepLines/>
        <w:widowControl w:val="0"/>
        <w:spacing w:after="0" w:line="240" w:lineRule="auto"/>
        <w:jc w:val="both"/>
        <w:rPr>
          <w:rFonts w:ascii="Times New Roman" w:hAnsi="Times New Roman"/>
          <w:noProof/>
          <w:kern w:val="0"/>
          <w:sz w:val="24"/>
        </w:rPr>
      </w:pPr>
      <w:r>
        <w:rPr>
          <w:rFonts w:ascii="Times New Roman" w:hAnsi="Times New Roman"/>
          <w:b/>
          <w:sz w:val="24"/>
        </w:rPr>
        <w:lastRenderedPageBreak/>
        <w:t>Section 19. </w:t>
      </w:r>
      <w:r>
        <w:rPr>
          <w:rFonts w:ascii="Times New Roman" w:hAnsi="Times New Roman"/>
          <w:sz w:val="24"/>
        </w:rPr>
        <w:t>Latvijas Banka shall determine whether the system which, in compliance with the agreement of participants, operates in accordance with the laws of the Republic of Latvia conforms to the system to which this Law applies.</w:t>
      </w:r>
    </w:p>
    <w:p w14:paraId="1EF59CD2"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7F82B6F9" w14:textId="77777777" w:rsidR="001A0EA8" w:rsidRDefault="001A0EA8" w:rsidP="00AF2B5D">
      <w:pPr>
        <w:widowControl w:val="0"/>
        <w:spacing w:after="0" w:line="240" w:lineRule="auto"/>
        <w:jc w:val="both"/>
        <w:rPr>
          <w:rFonts w:ascii="Times New Roman" w:hAnsi="Times New Roman"/>
          <w:b/>
          <w:bCs/>
          <w:noProof/>
          <w:kern w:val="0"/>
          <w:sz w:val="24"/>
        </w:rPr>
      </w:pPr>
      <w:bookmarkStart w:id="52" w:name="p20"/>
      <w:bookmarkStart w:id="53" w:name="p-1000975"/>
      <w:bookmarkEnd w:id="52"/>
      <w:bookmarkEnd w:id="53"/>
    </w:p>
    <w:p w14:paraId="4F8DF00A" w14:textId="4EE342B3" w:rsidR="000743D0" w:rsidRPr="00503F0C" w:rsidRDefault="000743D0" w:rsidP="001C54FA">
      <w:pPr>
        <w:keepNext/>
        <w:keepLines/>
        <w:widowControl w:val="0"/>
        <w:spacing w:after="0" w:line="240" w:lineRule="auto"/>
        <w:jc w:val="both"/>
        <w:rPr>
          <w:rFonts w:ascii="Times New Roman" w:hAnsi="Times New Roman"/>
          <w:noProof/>
          <w:kern w:val="0"/>
          <w:sz w:val="24"/>
        </w:rPr>
      </w:pPr>
      <w:r>
        <w:rPr>
          <w:rFonts w:ascii="Times New Roman" w:hAnsi="Times New Roman"/>
          <w:b/>
          <w:sz w:val="24"/>
        </w:rPr>
        <w:t>Section 20. </w:t>
      </w:r>
      <w:r>
        <w:rPr>
          <w:rFonts w:ascii="Times New Roman" w:hAnsi="Times New Roman"/>
          <w:sz w:val="24"/>
        </w:rPr>
        <w:t>Latvijas Banka shall notify the European Securities and Markets Authority of the system which it has determined as the system to which this Law applies, and shall also inform of the system operator.</w:t>
      </w:r>
    </w:p>
    <w:p w14:paraId="133EA1FA"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5B6065BF" w14:textId="77777777" w:rsidR="001A0EA8" w:rsidRDefault="001A0EA8" w:rsidP="00AF2B5D">
      <w:pPr>
        <w:widowControl w:val="0"/>
        <w:spacing w:after="0" w:line="240" w:lineRule="auto"/>
        <w:jc w:val="both"/>
        <w:rPr>
          <w:rFonts w:ascii="Times New Roman" w:hAnsi="Times New Roman"/>
          <w:b/>
          <w:bCs/>
          <w:noProof/>
          <w:kern w:val="0"/>
          <w:sz w:val="24"/>
        </w:rPr>
      </w:pPr>
      <w:bookmarkStart w:id="54" w:name="p21"/>
      <w:bookmarkStart w:id="55" w:name="p-1000990"/>
      <w:bookmarkEnd w:id="54"/>
      <w:bookmarkEnd w:id="55"/>
    </w:p>
    <w:p w14:paraId="64D8AE56" w14:textId="5A3380C9"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21. </w:t>
      </w:r>
      <w:r>
        <w:rPr>
          <w:rFonts w:ascii="Times New Roman" w:hAnsi="Times New Roman"/>
          <w:sz w:val="24"/>
        </w:rPr>
        <w:t>The system operator shall inform Latvijas Banka of participants o</w:t>
      </w:r>
      <w:r w:rsidR="00AC130F">
        <w:rPr>
          <w:rFonts w:ascii="Times New Roman" w:hAnsi="Times New Roman"/>
          <w:sz w:val="24"/>
        </w:rPr>
        <w:t>f</w:t>
      </w:r>
      <w:r>
        <w:rPr>
          <w:rFonts w:ascii="Times New Roman" w:hAnsi="Times New Roman"/>
          <w:sz w:val="24"/>
        </w:rPr>
        <w:t xml:space="preserve"> the system, indirect participants, and any changes in the composition of the participants.</w:t>
      </w:r>
    </w:p>
    <w:p w14:paraId="67A5141F" w14:textId="7777777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653D262A" w14:textId="77777777" w:rsidR="001A0EA8" w:rsidRDefault="001A0EA8" w:rsidP="00AF2B5D">
      <w:pPr>
        <w:widowControl w:val="0"/>
        <w:spacing w:after="0" w:line="240" w:lineRule="auto"/>
        <w:jc w:val="both"/>
        <w:rPr>
          <w:rFonts w:ascii="Times New Roman" w:hAnsi="Times New Roman"/>
          <w:b/>
          <w:bCs/>
          <w:noProof/>
          <w:kern w:val="0"/>
          <w:sz w:val="24"/>
        </w:rPr>
      </w:pPr>
      <w:bookmarkStart w:id="56" w:name="p22"/>
      <w:bookmarkStart w:id="57" w:name="p-22146"/>
      <w:bookmarkEnd w:id="56"/>
      <w:bookmarkEnd w:id="57"/>
    </w:p>
    <w:p w14:paraId="4301E545" w14:textId="1C2C2967"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b/>
          <w:sz w:val="24"/>
        </w:rPr>
        <w:t>Section 22. </w:t>
      </w:r>
      <w:r>
        <w:rPr>
          <w:rFonts w:ascii="Times New Roman" w:hAnsi="Times New Roman"/>
          <w:sz w:val="24"/>
        </w:rPr>
        <w:t>An institution shall, upon request of a person, inform of the systems in which this institution participates and provide information on the main rules of the systems.</w:t>
      </w:r>
    </w:p>
    <w:p w14:paraId="458DEC81" w14:textId="77777777" w:rsidR="001A0EA8" w:rsidRDefault="001A0EA8" w:rsidP="00AF2B5D">
      <w:pPr>
        <w:widowControl w:val="0"/>
        <w:spacing w:after="0" w:line="240" w:lineRule="auto"/>
        <w:jc w:val="both"/>
        <w:rPr>
          <w:rFonts w:ascii="Times New Roman" w:hAnsi="Times New Roman"/>
          <w:b/>
          <w:bCs/>
          <w:noProof/>
          <w:kern w:val="0"/>
          <w:sz w:val="24"/>
        </w:rPr>
      </w:pPr>
      <w:bookmarkStart w:id="58" w:name="22147"/>
      <w:bookmarkEnd w:id="58"/>
    </w:p>
    <w:p w14:paraId="3AC55325" w14:textId="75EDF99D" w:rsidR="000743D0" w:rsidRPr="00503F0C" w:rsidRDefault="000743D0" w:rsidP="001A0EA8">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9" w:name="pn-22147"/>
      <w:bookmarkEnd w:id="59"/>
    </w:p>
    <w:p w14:paraId="324BA49A" w14:textId="77777777" w:rsidR="001A0EA8" w:rsidRDefault="001A0EA8" w:rsidP="00AF2B5D">
      <w:pPr>
        <w:widowControl w:val="0"/>
        <w:spacing w:after="0" w:line="240" w:lineRule="auto"/>
        <w:jc w:val="both"/>
        <w:rPr>
          <w:rFonts w:ascii="Times New Roman" w:hAnsi="Times New Roman"/>
          <w:noProof/>
          <w:kern w:val="0"/>
          <w:sz w:val="24"/>
        </w:rPr>
      </w:pPr>
      <w:bookmarkStart w:id="60" w:name="p-22148"/>
      <w:bookmarkEnd w:id="60"/>
    </w:p>
    <w:p w14:paraId="3F138C6E" w14:textId="70B6DD10" w:rsidR="000743D0"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1. Requirements of this Law shall not apply to insolvency proceedings initiated before coming into force of this Law.</w:t>
      </w:r>
      <w:bookmarkStart w:id="61" w:name="pn1"/>
      <w:bookmarkEnd w:id="61"/>
    </w:p>
    <w:p w14:paraId="6D3C6807" w14:textId="77777777" w:rsidR="007C65BC" w:rsidRPr="00503F0C" w:rsidRDefault="007C65BC" w:rsidP="00AF2B5D">
      <w:pPr>
        <w:widowControl w:val="0"/>
        <w:spacing w:after="0" w:line="240" w:lineRule="auto"/>
        <w:jc w:val="both"/>
        <w:rPr>
          <w:rFonts w:ascii="Times New Roman" w:hAnsi="Times New Roman"/>
          <w:noProof/>
          <w:kern w:val="0"/>
          <w:sz w:val="24"/>
          <w:lang w:val="lv-LV"/>
        </w:rPr>
      </w:pPr>
    </w:p>
    <w:p w14:paraId="6BFF3791" w14:textId="77777777" w:rsidR="000743D0" w:rsidRPr="00503F0C" w:rsidRDefault="000743D0" w:rsidP="00AF2B5D">
      <w:pPr>
        <w:widowControl w:val="0"/>
        <w:spacing w:after="0" w:line="240" w:lineRule="auto"/>
        <w:jc w:val="both"/>
        <w:rPr>
          <w:rFonts w:ascii="Times New Roman" w:hAnsi="Times New Roman"/>
          <w:noProof/>
          <w:kern w:val="0"/>
          <w:sz w:val="24"/>
        </w:rPr>
      </w:pPr>
      <w:bookmarkStart w:id="62" w:name="p-22149"/>
      <w:bookmarkEnd w:id="62"/>
      <w:r>
        <w:rPr>
          <w:rFonts w:ascii="Times New Roman" w:hAnsi="Times New Roman"/>
          <w:sz w:val="24"/>
        </w:rPr>
        <w:t>2. System operators the systems of which operate in accordance with the laws of the Republic of Latvia shall, within three months after coming into force of this Law, provide the Commission with the information referred to in Sections 18 and 21 of this Law.</w:t>
      </w:r>
      <w:bookmarkStart w:id="63" w:name="pn2"/>
      <w:bookmarkEnd w:id="63"/>
    </w:p>
    <w:p w14:paraId="795E5F46" w14:textId="77777777" w:rsidR="007C65BC" w:rsidRDefault="007C65BC" w:rsidP="00AF2B5D">
      <w:pPr>
        <w:widowControl w:val="0"/>
        <w:spacing w:after="0" w:line="240" w:lineRule="auto"/>
        <w:jc w:val="both"/>
        <w:rPr>
          <w:rFonts w:ascii="Times New Roman" w:hAnsi="Times New Roman"/>
          <w:b/>
          <w:bCs/>
          <w:noProof/>
          <w:kern w:val="0"/>
          <w:sz w:val="24"/>
        </w:rPr>
      </w:pPr>
      <w:bookmarkStart w:id="64" w:name="1364443"/>
      <w:bookmarkEnd w:id="64"/>
    </w:p>
    <w:p w14:paraId="3903AD30" w14:textId="416FCED4" w:rsidR="000743D0" w:rsidRPr="00503F0C" w:rsidRDefault="000743D0" w:rsidP="007C65BC">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65" w:name="es-1364443"/>
      <w:bookmarkEnd w:id="65"/>
    </w:p>
    <w:p w14:paraId="5D17D97C" w14:textId="77777777" w:rsidR="000743D0" w:rsidRDefault="000743D0" w:rsidP="007C65B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March 2011; 22 March 2012; 30 September 2021; 26 September 2024</w:t>
      </w:r>
      <w:r>
        <w:rPr>
          <w:rFonts w:ascii="Times New Roman" w:hAnsi="Times New Roman"/>
          <w:sz w:val="24"/>
        </w:rPr>
        <w:t>]</w:t>
      </w:r>
    </w:p>
    <w:p w14:paraId="4471DB76" w14:textId="77777777" w:rsidR="007C65BC" w:rsidRPr="00503F0C" w:rsidRDefault="007C65BC" w:rsidP="00AF2B5D">
      <w:pPr>
        <w:widowControl w:val="0"/>
        <w:spacing w:after="0" w:line="240" w:lineRule="auto"/>
        <w:jc w:val="both"/>
        <w:rPr>
          <w:rFonts w:ascii="Times New Roman" w:hAnsi="Times New Roman"/>
          <w:noProof/>
          <w:kern w:val="0"/>
          <w:sz w:val="24"/>
          <w:lang w:val="lv-LV"/>
        </w:rPr>
      </w:pPr>
    </w:p>
    <w:p w14:paraId="76FF5C16" w14:textId="77777777" w:rsidR="000743D0" w:rsidRPr="00503F0C" w:rsidRDefault="000743D0" w:rsidP="007C65BC">
      <w:pPr>
        <w:widowControl w:val="0"/>
        <w:spacing w:after="0" w:line="240" w:lineRule="auto"/>
        <w:ind w:firstLine="709"/>
        <w:jc w:val="both"/>
        <w:rPr>
          <w:rFonts w:ascii="Times New Roman" w:hAnsi="Times New Roman"/>
          <w:noProof/>
          <w:kern w:val="0"/>
          <w:sz w:val="24"/>
        </w:rPr>
      </w:pPr>
      <w:bookmarkStart w:id="66" w:name="p213"/>
      <w:bookmarkStart w:id="67" w:name="p-1364442"/>
      <w:bookmarkEnd w:id="66"/>
      <w:bookmarkEnd w:id="67"/>
      <w:r>
        <w:rPr>
          <w:rFonts w:ascii="Times New Roman" w:hAnsi="Times New Roman"/>
          <w:sz w:val="24"/>
        </w:rPr>
        <w:t>The Law contains norms arising from:</w:t>
      </w:r>
    </w:p>
    <w:p w14:paraId="3D7CA35D" w14:textId="77777777" w:rsidR="000743D0" w:rsidRPr="00503F0C" w:rsidRDefault="000743D0" w:rsidP="007C65BC">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98/26/EC of the European Parliament and of the Council of 19 May 1998 on settlement finality in payment and securities settlement systems;</w:t>
      </w:r>
    </w:p>
    <w:p w14:paraId="71940BDC" w14:textId="77777777" w:rsidR="000743D0" w:rsidRPr="00503F0C" w:rsidRDefault="000743D0" w:rsidP="007C65BC">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2009/44/EC of the European Parliament and of the Council of 6 May 2009 amending Directive 98/26/EC on settlement finality in payment and securities settlement systems and Directive 2002/47/EC on financial collateral arrangements as regards linked systems and credit claims;</w:t>
      </w:r>
    </w:p>
    <w:p w14:paraId="5797F866" w14:textId="77777777" w:rsidR="000743D0" w:rsidRPr="00503F0C" w:rsidRDefault="000743D0" w:rsidP="007C65BC">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7C213618" w14:textId="77777777" w:rsidR="000743D0" w:rsidRPr="00503F0C" w:rsidRDefault="000743D0" w:rsidP="007C65BC">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(EU) 2019/879 of the European Parliament and of the Council of 20 May 2019 amending Directive 2014/59/EU as regards the loss-absorbing and recapitalisation capacity of credit institutions and investment firms and Directive 98/26/EC;</w:t>
      </w:r>
    </w:p>
    <w:p w14:paraId="21253D24" w14:textId="77777777" w:rsidR="000743D0" w:rsidRPr="00503F0C" w:rsidRDefault="000743D0" w:rsidP="007C65BC">
      <w:pPr>
        <w:widowControl w:val="0"/>
        <w:spacing w:after="0" w:line="240" w:lineRule="auto"/>
        <w:ind w:firstLine="709"/>
        <w:jc w:val="both"/>
        <w:rPr>
          <w:rFonts w:ascii="Times New Roman" w:hAnsi="Times New Roman"/>
          <w:noProof/>
          <w:kern w:val="0"/>
          <w:sz w:val="24"/>
        </w:rPr>
      </w:pPr>
      <w:r>
        <w:rPr>
          <w:rFonts w:ascii="Times New Roman" w:hAnsi="Times New Roman"/>
          <w:sz w:val="24"/>
        </w:rPr>
        <w:t>5) Regulation (EU) 2024/886 of the European Parliament and of the Council of 13 March 2024 amending Regulations (EU) No 260/2012 and (EU) 2021/1230 and Directives 98/26/EC and (EU) 2015/2366 as regards instant credit transfers in euro.</w:t>
      </w:r>
    </w:p>
    <w:p w14:paraId="30D6BB7A" w14:textId="77777777" w:rsidR="007C65BC" w:rsidRDefault="007C65BC" w:rsidP="00AF2B5D">
      <w:pPr>
        <w:widowControl w:val="0"/>
        <w:spacing w:after="0" w:line="240" w:lineRule="auto"/>
        <w:jc w:val="both"/>
        <w:rPr>
          <w:rFonts w:ascii="Times New Roman" w:hAnsi="Times New Roman"/>
          <w:noProof/>
          <w:kern w:val="0"/>
          <w:sz w:val="24"/>
          <w:lang w:val="lv-LV"/>
        </w:rPr>
      </w:pPr>
    </w:p>
    <w:p w14:paraId="77AC1F5E" w14:textId="77777777" w:rsidR="007C65BC" w:rsidRDefault="007C65BC" w:rsidP="00AF2B5D">
      <w:pPr>
        <w:widowControl w:val="0"/>
        <w:spacing w:after="0" w:line="240" w:lineRule="auto"/>
        <w:jc w:val="both"/>
        <w:rPr>
          <w:rFonts w:ascii="Times New Roman" w:hAnsi="Times New Roman"/>
          <w:noProof/>
          <w:kern w:val="0"/>
          <w:sz w:val="24"/>
          <w:lang w:val="lv-LV"/>
        </w:rPr>
      </w:pPr>
    </w:p>
    <w:p w14:paraId="343E8491" w14:textId="38E3010D" w:rsidR="00CA59F6" w:rsidRPr="0016727A" w:rsidRDefault="000743D0" w:rsidP="00D425A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The time of coming into force of the Law shall be determined by a special law.</w:t>
      </w:r>
    </w:p>
    <w:p w14:paraId="3D49AEA1" w14:textId="77777777" w:rsidR="00CA59F6" w:rsidRPr="0016727A" w:rsidRDefault="00CA59F6" w:rsidP="00D425A1">
      <w:pPr>
        <w:keepNext/>
        <w:keepLines/>
        <w:widowControl w:val="0"/>
        <w:spacing w:after="0" w:line="240" w:lineRule="auto"/>
        <w:jc w:val="both"/>
        <w:rPr>
          <w:rFonts w:ascii="Times New Roman" w:hAnsi="Times New Roman"/>
          <w:noProof/>
          <w:kern w:val="0"/>
          <w:sz w:val="24"/>
          <w:lang w:val="lv-LV"/>
        </w:rPr>
      </w:pPr>
    </w:p>
    <w:p w14:paraId="2CA762D3" w14:textId="5D706E70"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11 December 2003.</w:t>
      </w:r>
    </w:p>
    <w:p w14:paraId="23B83DF5" w14:textId="77777777" w:rsidR="007C65BC" w:rsidRDefault="007C65BC" w:rsidP="00AF2B5D">
      <w:pPr>
        <w:widowControl w:val="0"/>
        <w:spacing w:after="0" w:line="240" w:lineRule="auto"/>
        <w:jc w:val="both"/>
        <w:rPr>
          <w:rFonts w:ascii="Times New Roman" w:hAnsi="Times New Roman"/>
          <w:noProof/>
          <w:kern w:val="0"/>
          <w:sz w:val="24"/>
          <w:lang w:val="lv-LV"/>
        </w:rPr>
      </w:pPr>
    </w:p>
    <w:p w14:paraId="69B596DB" w14:textId="77777777" w:rsidR="007C65BC" w:rsidRDefault="007C65BC" w:rsidP="00AF2B5D">
      <w:pPr>
        <w:widowControl w:val="0"/>
        <w:spacing w:after="0" w:line="240" w:lineRule="auto"/>
        <w:jc w:val="both"/>
        <w:rPr>
          <w:rFonts w:ascii="Times New Roman" w:hAnsi="Times New Roman"/>
          <w:noProof/>
          <w:kern w:val="0"/>
          <w:sz w:val="24"/>
          <w:lang w:val="lv-LV"/>
        </w:rPr>
      </w:pPr>
    </w:p>
    <w:p w14:paraId="2C86FCD7" w14:textId="1C5AE903" w:rsidR="000743D0" w:rsidRPr="00503F0C" w:rsidRDefault="000743D0" w:rsidP="004460C2">
      <w:pPr>
        <w:widowControl w:val="0"/>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4460C2">
        <w:rPr>
          <w:rFonts w:ascii="Times New Roman" w:hAnsi="Times New Roman"/>
          <w:sz w:val="24"/>
        </w:rPr>
        <w:tab/>
      </w:r>
      <w:r>
        <w:rPr>
          <w:rFonts w:ascii="Times New Roman" w:hAnsi="Times New Roman"/>
          <w:sz w:val="24"/>
        </w:rPr>
        <w:t>V. Vīķe-Freiberga</w:t>
      </w:r>
    </w:p>
    <w:p w14:paraId="3F7690E9" w14:textId="77777777" w:rsidR="007C65BC" w:rsidRDefault="007C65BC" w:rsidP="00AF2B5D">
      <w:pPr>
        <w:widowControl w:val="0"/>
        <w:spacing w:after="0" w:line="240" w:lineRule="auto"/>
        <w:jc w:val="both"/>
        <w:rPr>
          <w:rFonts w:ascii="Times New Roman" w:hAnsi="Times New Roman"/>
          <w:noProof/>
          <w:kern w:val="0"/>
          <w:sz w:val="24"/>
          <w:lang w:val="lv-LV"/>
        </w:rPr>
      </w:pPr>
    </w:p>
    <w:p w14:paraId="519E82D2" w14:textId="76694485" w:rsidR="000743D0" w:rsidRPr="00503F0C" w:rsidRDefault="000743D0" w:rsidP="00AF2B5D">
      <w:pPr>
        <w:widowControl w:val="0"/>
        <w:spacing w:after="0" w:line="240" w:lineRule="auto"/>
        <w:jc w:val="both"/>
        <w:rPr>
          <w:rFonts w:ascii="Times New Roman" w:hAnsi="Times New Roman"/>
          <w:noProof/>
          <w:kern w:val="0"/>
          <w:sz w:val="24"/>
        </w:rPr>
      </w:pPr>
      <w:r>
        <w:rPr>
          <w:rFonts w:ascii="Times New Roman" w:hAnsi="Times New Roman"/>
          <w:sz w:val="24"/>
        </w:rPr>
        <w:t>Rīga, 24 December 2003</w:t>
      </w:r>
    </w:p>
    <w:p w14:paraId="490D8D67" w14:textId="77777777" w:rsidR="000743D0" w:rsidRPr="0016727A" w:rsidRDefault="000743D0" w:rsidP="00AF2B5D">
      <w:pPr>
        <w:widowControl w:val="0"/>
        <w:spacing w:after="0" w:line="240" w:lineRule="auto"/>
        <w:jc w:val="both"/>
        <w:rPr>
          <w:rFonts w:ascii="Times New Roman" w:hAnsi="Times New Roman"/>
          <w:noProof/>
          <w:kern w:val="0"/>
          <w:sz w:val="24"/>
          <w:lang w:val="lv-LV"/>
        </w:rPr>
      </w:pPr>
    </w:p>
    <w:sectPr w:rsidR="000743D0" w:rsidRPr="0016727A" w:rsidSect="00AF2B5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160" w14:textId="77777777" w:rsidR="006959FB" w:rsidRPr="000743D0" w:rsidRDefault="006959FB" w:rsidP="000743D0">
      <w:pPr>
        <w:spacing w:after="0" w:line="240" w:lineRule="auto"/>
        <w:rPr>
          <w:noProof/>
          <w:kern w:val="0"/>
          <w:lang w:val="en-US"/>
        </w:rPr>
      </w:pPr>
      <w:r w:rsidRPr="000743D0">
        <w:rPr>
          <w:noProof/>
          <w:kern w:val="0"/>
          <w:lang w:val="en-US"/>
        </w:rPr>
        <w:separator/>
      </w:r>
    </w:p>
  </w:endnote>
  <w:endnote w:type="continuationSeparator" w:id="0">
    <w:p w14:paraId="2C1C9C9D" w14:textId="77777777" w:rsidR="006959FB" w:rsidRPr="000743D0" w:rsidRDefault="006959FB" w:rsidP="000743D0">
      <w:pPr>
        <w:spacing w:after="0" w:line="240" w:lineRule="auto"/>
        <w:rPr>
          <w:noProof/>
          <w:kern w:val="0"/>
          <w:lang w:val="en-US"/>
        </w:rPr>
      </w:pPr>
      <w:r w:rsidRPr="000743D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8D35" w14:textId="77777777" w:rsidR="00260167" w:rsidRPr="007560C3" w:rsidRDefault="00260167" w:rsidP="0026016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4E45DF74" w14:textId="77777777" w:rsidR="00260167" w:rsidRPr="007560C3" w:rsidRDefault="00260167" w:rsidP="0026016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fldChar w:fldCharType="begin"/>
    </w:r>
    <w:r w:rsidRPr="007560C3">
      <w:rPr>
        <w:rFonts w:ascii="Times New Roman" w:eastAsia="Times New Roman" w:hAnsi="Times New Roman" w:cs="Times New Roman"/>
        <w:noProof/>
        <w:snapToGrid w:val="0"/>
        <w:kern w:val="0"/>
        <w:sz w:val="20"/>
        <w:szCs w:val="20"/>
        <w:lang w:val="en-US"/>
      </w:rPr>
      <w:instrText xml:space="preserve"> PAGE </w:instrText>
    </w:r>
    <w:r w:rsidRPr="007560C3">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7560C3">
      <w:rPr>
        <w:rFonts w:ascii="Times New Roman" w:eastAsia="Times New Roman" w:hAnsi="Times New Roman" w:cs="Times New Roman"/>
        <w:noProof/>
        <w:snapToGrid w:val="0"/>
        <w:kern w:val="0"/>
        <w:sz w:val="20"/>
        <w:szCs w:val="20"/>
        <w:lang w:val="en-US"/>
      </w:rPr>
      <w:fldChar w:fldCharType="end"/>
    </w:r>
    <w:r w:rsidRPr="007560C3">
      <w:rPr>
        <w:rFonts w:ascii="Times New Roman" w:eastAsia="Times New Roman" w:hAnsi="Times New Roman" w:cs="Times New Roman"/>
        <w:noProof/>
        <w:snapToGrid w:val="0"/>
        <w:kern w:val="0"/>
        <w:sz w:val="20"/>
        <w:szCs w:val="20"/>
        <w:lang w:val="en-US"/>
      </w:rPr>
      <w:t xml:space="preserve"> </w:t>
    </w:r>
  </w:p>
  <w:p w14:paraId="5CBDCD76" w14:textId="5674A6EB" w:rsidR="00260167" w:rsidRPr="00260167" w:rsidRDefault="00260167" w:rsidP="0026016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t xml:space="preserve">Translation </w:t>
    </w:r>
    <w:r w:rsidRPr="007560C3">
      <w:rPr>
        <w:rFonts w:ascii="Times New Roman" w:eastAsia="Times New Roman" w:hAnsi="Times New Roman" w:cs="Times New Roman"/>
        <w:noProof/>
        <w:snapToGrid w:val="0"/>
        <w:kern w:val="0"/>
        <w:sz w:val="20"/>
        <w:szCs w:val="20"/>
        <w:lang w:val="en-US"/>
      </w:rPr>
      <w:fldChar w:fldCharType="begin"/>
    </w:r>
    <w:r w:rsidRPr="007560C3">
      <w:rPr>
        <w:rFonts w:ascii="Times New Roman" w:eastAsia="Times New Roman" w:hAnsi="Times New Roman" w:cs="Times New Roman"/>
        <w:noProof/>
        <w:snapToGrid w:val="0"/>
        <w:kern w:val="0"/>
        <w:sz w:val="20"/>
        <w:szCs w:val="20"/>
        <w:lang w:val="en-US"/>
      </w:rPr>
      <w:instrText>symbol 169 \f "UnivrstyRoman TL" \s 8</w:instrText>
    </w:r>
    <w:r w:rsidRPr="007560C3">
      <w:rPr>
        <w:rFonts w:ascii="Times New Roman" w:eastAsia="Times New Roman" w:hAnsi="Times New Roman" w:cs="Times New Roman"/>
        <w:noProof/>
        <w:snapToGrid w:val="0"/>
        <w:kern w:val="0"/>
        <w:sz w:val="20"/>
        <w:szCs w:val="20"/>
        <w:lang w:val="en-US"/>
      </w:rPr>
      <w:fldChar w:fldCharType="separate"/>
    </w:r>
    <w:r w:rsidRPr="007560C3">
      <w:rPr>
        <w:rFonts w:ascii="Times New Roman" w:eastAsia="Times New Roman" w:hAnsi="Times New Roman" w:cs="Times New Roman"/>
        <w:noProof/>
        <w:snapToGrid w:val="0"/>
        <w:kern w:val="0"/>
        <w:sz w:val="20"/>
        <w:szCs w:val="20"/>
        <w:lang w:val="en-US"/>
      </w:rPr>
      <w:t>©</w:t>
    </w:r>
    <w:r w:rsidRPr="007560C3">
      <w:rPr>
        <w:rFonts w:ascii="Times New Roman" w:eastAsia="Times New Roman" w:hAnsi="Times New Roman" w:cs="Times New Roman"/>
        <w:noProof/>
        <w:snapToGrid w:val="0"/>
        <w:kern w:val="0"/>
        <w:sz w:val="20"/>
        <w:szCs w:val="20"/>
        <w:lang w:val="en-US"/>
      </w:rPr>
      <w:fldChar w:fldCharType="end"/>
    </w:r>
    <w:r w:rsidRPr="007560C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7560C3">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F85C" w14:textId="77777777" w:rsidR="005D564F" w:rsidRPr="007560C3" w:rsidRDefault="005D564F" w:rsidP="005D564F">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68" w:name="_Hlk32478718"/>
    <w:bookmarkStart w:id="69" w:name="_Hlk32478719"/>
    <w:bookmarkStart w:id="70" w:name="_Hlk60650487"/>
    <w:bookmarkStart w:id="71" w:name="_Hlk60650488"/>
    <w:bookmarkStart w:id="72" w:name="_Hlk60650489"/>
    <w:bookmarkStart w:id="73" w:name="_Hlk60650490"/>
    <w:bookmarkStart w:id="74" w:name="_Hlk92283107"/>
    <w:bookmarkStart w:id="75" w:name="_Hlk92283108"/>
    <w:bookmarkStart w:id="76" w:name="_Hlk92283109"/>
    <w:bookmarkStart w:id="77" w:name="_Hlk92283110"/>
  </w:p>
  <w:p w14:paraId="7CB5DA47" w14:textId="77777777" w:rsidR="005D564F" w:rsidRPr="007560C3" w:rsidRDefault="005D564F" w:rsidP="005D564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78" w:name="_Hlk32310318"/>
    <w:bookmarkStart w:id="79" w:name="_Hlk32310319"/>
    <w:r w:rsidRPr="007560C3">
      <w:rPr>
        <w:rFonts w:ascii="Times New Roman" w:eastAsia="Times New Roman" w:hAnsi="Times New Roman" w:cs="Times New Roman"/>
        <w:noProof/>
        <w:snapToGrid w:val="0"/>
        <w:kern w:val="0"/>
        <w:sz w:val="20"/>
        <w:szCs w:val="20"/>
        <w:vertAlign w:val="superscript"/>
        <w:lang w:val="en-US"/>
      </w:rPr>
      <w:t xml:space="preserve">1 </w:t>
    </w:r>
    <w:r w:rsidRPr="007560C3">
      <w:rPr>
        <w:rFonts w:ascii="Times New Roman" w:eastAsia="Times New Roman" w:hAnsi="Times New Roman" w:cs="Times New Roman"/>
        <w:noProof/>
        <w:snapToGrid w:val="0"/>
        <w:kern w:val="0"/>
        <w:sz w:val="20"/>
        <w:szCs w:val="20"/>
        <w:lang w:val="en-US"/>
      </w:rPr>
      <w:t>The Parliament of the Republic of Latvia</w:t>
    </w:r>
  </w:p>
  <w:p w14:paraId="6783D578" w14:textId="77777777" w:rsidR="005D564F" w:rsidRPr="007560C3" w:rsidRDefault="005D564F" w:rsidP="005D564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1F73E82" w14:textId="60A03935" w:rsidR="005D564F" w:rsidRPr="005D564F" w:rsidRDefault="005D564F" w:rsidP="005D564F">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60C3">
      <w:rPr>
        <w:rFonts w:ascii="Times New Roman" w:eastAsia="Times New Roman" w:hAnsi="Times New Roman" w:cs="Times New Roman"/>
        <w:noProof/>
        <w:snapToGrid w:val="0"/>
        <w:kern w:val="0"/>
        <w:sz w:val="20"/>
        <w:szCs w:val="20"/>
        <w:lang w:val="en-US"/>
      </w:rPr>
      <w:t xml:space="preserve">Translation </w:t>
    </w:r>
    <w:r w:rsidRPr="007560C3">
      <w:rPr>
        <w:rFonts w:ascii="Times New Roman" w:eastAsia="Times New Roman" w:hAnsi="Times New Roman" w:cs="Times New Roman"/>
        <w:noProof/>
        <w:snapToGrid w:val="0"/>
        <w:kern w:val="0"/>
        <w:sz w:val="20"/>
        <w:szCs w:val="20"/>
        <w:lang w:val="en-US"/>
      </w:rPr>
      <w:fldChar w:fldCharType="begin"/>
    </w:r>
    <w:r w:rsidRPr="007560C3">
      <w:rPr>
        <w:rFonts w:ascii="Times New Roman" w:eastAsia="Times New Roman" w:hAnsi="Times New Roman" w:cs="Times New Roman"/>
        <w:noProof/>
        <w:snapToGrid w:val="0"/>
        <w:kern w:val="0"/>
        <w:sz w:val="20"/>
        <w:szCs w:val="20"/>
        <w:lang w:val="en-US"/>
      </w:rPr>
      <w:instrText>symbol 169 \f "UnivrstyRoman TL" \s 8</w:instrText>
    </w:r>
    <w:r w:rsidRPr="007560C3">
      <w:rPr>
        <w:rFonts w:ascii="Times New Roman" w:eastAsia="Times New Roman" w:hAnsi="Times New Roman" w:cs="Times New Roman"/>
        <w:noProof/>
        <w:snapToGrid w:val="0"/>
        <w:kern w:val="0"/>
        <w:sz w:val="20"/>
        <w:szCs w:val="20"/>
        <w:lang w:val="en-US"/>
      </w:rPr>
      <w:fldChar w:fldCharType="separate"/>
    </w:r>
    <w:r w:rsidRPr="007560C3">
      <w:rPr>
        <w:rFonts w:ascii="Times New Roman" w:eastAsia="Times New Roman" w:hAnsi="Times New Roman" w:cs="Times New Roman"/>
        <w:noProof/>
        <w:snapToGrid w:val="0"/>
        <w:kern w:val="0"/>
        <w:sz w:val="20"/>
        <w:szCs w:val="20"/>
        <w:lang w:val="en-US"/>
      </w:rPr>
      <w:t>©</w:t>
    </w:r>
    <w:r w:rsidRPr="007560C3">
      <w:rPr>
        <w:rFonts w:ascii="Times New Roman" w:eastAsia="Times New Roman" w:hAnsi="Times New Roman" w:cs="Times New Roman"/>
        <w:noProof/>
        <w:snapToGrid w:val="0"/>
        <w:kern w:val="0"/>
        <w:sz w:val="20"/>
        <w:szCs w:val="20"/>
        <w:lang w:val="en-US"/>
      </w:rPr>
      <w:fldChar w:fldCharType="end"/>
    </w:r>
    <w:r w:rsidRPr="007560C3">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7560C3">
      <w:rPr>
        <w:rFonts w:ascii="Times New Roman" w:eastAsia="Times New Roman" w:hAnsi="Times New Roman" w:cs="Times New Roman"/>
        <w:noProof/>
        <w:snapToGrid w:val="0"/>
        <w:kern w:val="0"/>
        <w:sz w:val="20"/>
        <w:szCs w:val="20"/>
        <w:lang w:val="en-US"/>
      </w:rPr>
      <w:t xml:space="preserve"> Valsts valodas centrs (State Language Centre)</w:t>
    </w:r>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4135" w14:textId="77777777" w:rsidR="006959FB" w:rsidRPr="000743D0" w:rsidRDefault="006959FB" w:rsidP="000743D0">
      <w:pPr>
        <w:spacing w:after="0" w:line="240" w:lineRule="auto"/>
        <w:rPr>
          <w:noProof/>
          <w:kern w:val="0"/>
          <w:lang w:val="en-US"/>
        </w:rPr>
      </w:pPr>
      <w:r w:rsidRPr="000743D0">
        <w:rPr>
          <w:noProof/>
          <w:kern w:val="0"/>
          <w:lang w:val="en-US"/>
        </w:rPr>
        <w:separator/>
      </w:r>
    </w:p>
  </w:footnote>
  <w:footnote w:type="continuationSeparator" w:id="0">
    <w:p w14:paraId="489392B9" w14:textId="77777777" w:rsidR="006959FB" w:rsidRPr="000743D0" w:rsidRDefault="006959FB" w:rsidP="000743D0">
      <w:pPr>
        <w:spacing w:after="0" w:line="240" w:lineRule="auto"/>
        <w:rPr>
          <w:noProof/>
          <w:kern w:val="0"/>
          <w:lang w:val="en-US"/>
        </w:rPr>
      </w:pPr>
      <w:r w:rsidRPr="000743D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5A"/>
    <w:rsid w:val="000743D0"/>
    <w:rsid w:val="0016727A"/>
    <w:rsid w:val="001A0EA8"/>
    <w:rsid w:val="001A76D8"/>
    <w:rsid w:val="001C54FA"/>
    <w:rsid w:val="001D1907"/>
    <w:rsid w:val="00200CA5"/>
    <w:rsid w:val="00210790"/>
    <w:rsid w:val="00217D40"/>
    <w:rsid w:val="0022420A"/>
    <w:rsid w:val="002375AC"/>
    <w:rsid w:val="00254755"/>
    <w:rsid w:val="00260167"/>
    <w:rsid w:val="00270051"/>
    <w:rsid w:val="0036055A"/>
    <w:rsid w:val="003F19D3"/>
    <w:rsid w:val="004460C2"/>
    <w:rsid w:val="004A564E"/>
    <w:rsid w:val="004F1E4D"/>
    <w:rsid w:val="00503F0C"/>
    <w:rsid w:val="00536CB1"/>
    <w:rsid w:val="00583F91"/>
    <w:rsid w:val="0059086A"/>
    <w:rsid w:val="005D564F"/>
    <w:rsid w:val="006959FB"/>
    <w:rsid w:val="006D4E0C"/>
    <w:rsid w:val="007B646C"/>
    <w:rsid w:val="007C65BC"/>
    <w:rsid w:val="008124BC"/>
    <w:rsid w:val="00850731"/>
    <w:rsid w:val="00933E12"/>
    <w:rsid w:val="00993EAB"/>
    <w:rsid w:val="00A336AD"/>
    <w:rsid w:val="00A85D6A"/>
    <w:rsid w:val="00AC130F"/>
    <w:rsid w:val="00AD497A"/>
    <w:rsid w:val="00AF2B5D"/>
    <w:rsid w:val="00B4416D"/>
    <w:rsid w:val="00BA238E"/>
    <w:rsid w:val="00C20B40"/>
    <w:rsid w:val="00C61C1C"/>
    <w:rsid w:val="00CA59F6"/>
    <w:rsid w:val="00D3168E"/>
    <w:rsid w:val="00D425A1"/>
    <w:rsid w:val="00D72FD9"/>
    <w:rsid w:val="00DF53A3"/>
    <w:rsid w:val="00E5406F"/>
    <w:rsid w:val="00F0186D"/>
    <w:rsid w:val="00F274A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5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55A"/>
    <w:rPr>
      <w:rFonts w:eastAsiaTheme="majorEastAsia" w:cstheme="majorBidi"/>
      <w:color w:val="272727" w:themeColor="text1" w:themeTint="D8"/>
    </w:rPr>
  </w:style>
  <w:style w:type="paragraph" w:styleId="Title">
    <w:name w:val="Title"/>
    <w:basedOn w:val="Normal"/>
    <w:next w:val="Normal"/>
    <w:link w:val="TitleChar"/>
    <w:uiPriority w:val="10"/>
    <w:qFormat/>
    <w:rsid w:val="00360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55A"/>
    <w:pPr>
      <w:spacing w:before="160"/>
      <w:jc w:val="center"/>
    </w:pPr>
    <w:rPr>
      <w:i/>
      <w:iCs/>
      <w:color w:val="404040" w:themeColor="text1" w:themeTint="BF"/>
    </w:rPr>
  </w:style>
  <w:style w:type="character" w:customStyle="1" w:styleId="QuoteChar">
    <w:name w:val="Quote Char"/>
    <w:basedOn w:val="DefaultParagraphFont"/>
    <w:link w:val="Quote"/>
    <w:uiPriority w:val="29"/>
    <w:rsid w:val="0036055A"/>
    <w:rPr>
      <w:i/>
      <w:iCs/>
      <w:color w:val="404040" w:themeColor="text1" w:themeTint="BF"/>
    </w:rPr>
  </w:style>
  <w:style w:type="paragraph" w:styleId="ListParagraph">
    <w:name w:val="List Paragraph"/>
    <w:basedOn w:val="Normal"/>
    <w:uiPriority w:val="34"/>
    <w:qFormat/>
    <w:rsid w:val="0036055A"/>
    <w:pPr>
      <w:ind w:left="720"/>
      <w:contextualSpacing/>
    </w:pPr>
  </w:style>
  <w:style w:type="character" w:styleId="IntenseEmphasis">
    <w:name w:val="Intense Emphasis"/>
    <w:basedOn w:val="DefaultParagraphFont"/>
    <w:uiPriority w:val="21"/>
    <w:qFormat/>
    <w:rsid w:val="0036055A"/>
    <w:rPr>
      <w:i/>
      <w:iCs/>
      <w:color w:val="0F4761" w:themeColor="accent1" w:themeShade="BF"/>
    </w:rPr>
  </w:style>
  <w:style w:type="paragraph" w:styleId="IntenseQuote">
    <w:name w:val="Intense Quote"/>
    <w:basedOn w:val="Normal"/>
    <w:next w:val="Normal"/>
    <w:link w:val="IntenseQuoteChar"/>
    <w:uiPriority w:val="30"/>
    <w:qFormat/>
    <w:rsid w:val="00360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55A"/>
    <w:rPr>
      <w:i/>
      <w:iCs/>
      <w:color w:val="0F4761" w:themeColor="accent1" w:themeShade="BF"/>
    </w:rPr>
  </w:style>
  <w:style w:type="character" w:styleId="IntenseReference">
    <w:name w:val="Intense Reference"/>
    <w:basedOn w:val="DefaultParagraphFont"/>
    <w:uiPriority w:val="32"/>
    <w:qFormat/>
    <w:rsid w:val="0036055A"/>
    <w:rPr>
      <w:b/>
      <w:bCs/>
      <w:smallCaps/>
      <w:color w:val="0F4761" w:themeColor="accent1" w:themeShade="BF"/>
      <w:spacing w:val="5"/>
    </w:rPr>
  </w:style>
  <w:style w:type="character" w:styleId="Hyperlink">
    <w:name w:val="Hyperlink"/>
    <w:basedOn w:val="DefaultParagraphFont"/>
    <w:uiPriority w:val="99"/>
    <w:unhideWhenUsed/>
    <w:rsid w:val="00F274A3"/>
    <w:rPr>
      <w:color w:val="467886" w:themeColor="hyperlink"/>
      <w:u w:val="single"/>
    </w:rPr>
  </w:style>
  <w:style w:type="character" w:styleId="UnresolvedMention">
    <w:name w:val="Unresolved Mention"/>
    <w:basedOn w:val="DefaultParagraphFont"/>
    <w:uiPriority w:val="99"/>
    <w:semiHidden/>
    <w:unhideWhenUsed/>
    <w:rsid w:val="00F274A3"/>
    <w:rPr>
      <w:color w:val="605E5C"/>
      <w:shd w:val="clear" w:color="auto" w:fill="E1DFDD"/>
    </w:rPr>
  </w:style>
  <w:style w:type="paragraph" w:styleId="Header">
    <w:name w:val="header"/>
    <w:basedOn w:val="Normal"/>
    <w:link w:val="HeaderChar"/>
    <w:uiPriority w:val="99"/>
    <w:unhideWhenUsed/>
    <w:rsid w:val="00074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3D0"/>
  </w:style>
  <w:style w:type="paragraph" w:styleId="Footer">
    <w:name w:val="footer"/>
    <w:basedOn w:val="Normal"/>
    <w:link w:val="FooterChar"/>
    <w:uiPriority w:val="99"/>
    <w:unhideWhenUsed/>
    <w:rsid w:val="00074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998">
      <w:bodyDiv w:val="1"/>
      <w:marLeft w:val="0"/>
      <w:marRight w:val="0"/>
      <w:marTop w:val="0"/>
      <w:marBottom w:val="0"/>
      <w:divBdr>
        <w:top w:val="none" w:sz="0" w:space="0" w:color="auto"/>
        <w:left w:val="none" w:sz="0" w:space="0" w:color="auto"/>
        <w:bottom w:val="none" w:sz="0" w:space="0" w:color="auto"/>
        <w:right w:val="none" w:sz="0" w:space="0" w:color="auto"/>
      </w:divBdr>
      <w:divsChild>
        <w:div w:id="1002701550">
          <w:marLeft w:val="0"/>
          <w:marRight w:val="0"/>
          <w:marTop w:val="480"/>
          <w:marBottom w:val="240"/>
          <w:divBdr>
            <w:top w:val="none" w:sz="0" w:space="0" w:color="auto"/>
            <w:left w:val="none" w:sz="0" w:space="0" w:color="auto"/>
            <w:bottom w:val="none" w:sz="0" w:space="0" w:color="auto"/>
            <w:right w:val="none" w:sz="0" w:space="0" w:color="auto"/>
          </w:divBdr>
        </w:div>
        <w:div w:id="1633903307">
          <w:marLeft w:val="0"/>
          <w:marRight w:val="0"/>
          <w:marTop w:val="0"/>
          <w:marBottom w:val="567"/>
          <w:divBdr>
            <w:top w:val="none" w:sz="0" w:space="0" w:color="auto"/>
            <w:left w:val="none" w:sz="0" w:space="0" w:color="auto"/>
            <w:bottom w:val="none" w:sz="0" w:space="0" w:color="auto"/>
            <w:right w:val="none" w:sz="0" w:space="0" w:color="auto"/>
          </w:divBdr>
        </w:div>
        <w:div w:id="945501831">
          <w:marLeft w:val="0"/>
          <w:marRight w:val="0"/>
          <w:marTop w:val="0"/>
          <w:marBottom w:val="0"/>
          <w:divBdr>
            <w:top w:val="none" w:sz="0" w:space="0" w:color="auto"/>
            <w:left w:val="none" w:sz="0" w:space="0" w:color="auto"/>
            <w:bottom w:val="none" w:sz="0" w:space="0" w:color="auto"/>
            <w:right w:val="none" w:sz="0" w:space="0" w:color="auto"/>
          </w:divBdr>
        </w:div>
        <w:div w:id="1659114427">
          <w:marLeft w:val="0"/>
          <w:marRight w:val="0"/>
          <w:marTop w:val="0"/>
          <w:marBottom w:val="0"/>
          <w:divBdr>
            <w:top w:val="none" w:sz="0" w:space="0" w:color="auto"/>
            <w:left w:val="none" w:sz="0" w:space="0" w:color="auto"/>
            <w:bottom w:val="none" w:sz="0" w:space="0" w:color="auto"/>
            <w:right w:val="none" w:sz="0" w:space="0" w:color="auto"/>
          </w:divBdr>
        </w:div>
        <w:div w:id="1759129814">
          <w:marLeft w:val="0"/>
          <w:marRight w:val="0"/>
          <w:marTop w:val="0"/>
          <w:marBottom w:val="0"/>
          <w:divBdr>
            <w:top w:val="none" w:sz="0" w:space="0" w:color="auto"/>
            <w:left w:val="none" w:sz="0" w:space="0" w:color="auto"/>
            <w:bottom w:val="none" w:sz="0" w:space="0" w:color="auto"/>
            <w:right w:val="none" w:sz="0" w:space="0" w:color="auto"/>
          </w:divBdr>
        </w:div>
        <w:div w:id="234828928">
          <w:marLeft w:val="0"/>
          <w:marRight w:val="0"/>
          <w:marTop w:val="0"/>
          <w:marBottom w:val="0"/>
          <w:divBdr>
            <w:top w:val="none" w:sz="0" w:space="0" w:color="auto"/>
            <w:left w:val="none" w:sz="0" w:space="0" w:color="auto"/>
            <w:bottom w:val="none" w:sz="0" w:space="0" w:color="auto"/>
            <w:right w:val="none" w:sz="0" w:space="0" w:color="auto"/>
          </w:divBdr>
        </w:div>
        <w:div w:id="717168719">
          <w:marLeft w:val="0"/>
          <w:marRight w:val="0"/>
          <w:marTop w:val="0"/>
          <w:marBottom w:val="0"/>
          <w:divBdr>
            <w:top w:val="none" w:sz="0" w:space="0" w:color="auto"/>
            <w:left w:val="none" w:sz="0" w:space="0" w:color="auto"/>
            <w:bottom w:val="none" w:sz="0" w:space="0" w:color="auto"/>
            <w:right w:val="none" w:sz="0" w:space="0" w:color="auto"/>
          </w:divBdr>
        </w:div>
        <w:div w:id="386996137">
          <w:marLeft w:val="0"/>
          <w:marRight w:val="0"/>
          <w:marTop w:val="0"/>
          <w:marBottom w:val="0"/>
          <w:divBdr>
            <w:top w:val="none" w:sz="0" w:space="0" w:color="auto"/>
            <w:left w:val="none" w:sz="0" w:space="0" w:color="auto"/>
            <w:bottom w:val="none" w:sz="0" w:space="0" w:color="auto"/>
            <w:right w:val="none" w:sz="0" w:space="0" w:color="auto"/>
          </w:divBdr>
        </w:div>
        <w:div w:id="713433201">
          <w:marLeft w:val="0"/>
          <w:marRight w:val="0"/>
          <w:marTop w:val="0"/>
          <w:marBottom w:val="0"/>
          <w:divBdr>
            <w:top w:val="none" w:sz="0" w:space="0" w:color="auto"/>
            <w:left w:val="none" w:sz="0" w:space="0" w:color="auto"/>
            <w:bottom w:val="none" w:sz="0" w:space="0" w:color="auto"/>
            <w:right w:val="none" w:sz="0" w:space="0" w:color="auto"/>
          </w:divBdr>
        </w:div>
        <w:div w:id="619609033">
          <w:marLeft w:val="0"/>
          <w:marRight w:val="0"/>
          <w:marTop w:val="0"/>
          <w:marBottom w:val="0"/>
          <w:divBdr>
            <w:top w:val="none" w:sz="0" w:space="0" w:color="auto"/>
            <w:left w:val="none" w:sz="0" w:space="0" w:color="auto"/>
            <w:bottom w:val="none" w:sz="0" w:space="0" w:color="auto"/>
            <w:right w:val="none" w:sz="0" w:space="0" w:color="auto"/>
          </w:divBdr>
        </w:div>
        <w:div w:id="2028942450">
          <w:marLeft w:val="0"/>
          <w:marRight w:val="0"/>
          <w:marTop w:val="0"/>
          <w:marBottom w:val="0"/>
          <w:divBdr>
            <w:top w:val="none" w:sz="0" w:space="0" w:color="auto"/>
            <w:left w:val="none" w:sz="0" w:space="0" w:color="auto"/>
            <w:bottom w:val="none" w:sz="0" w:space="0" w:color="auto"/>
            <w:right w:val="none" w:sz="0" w:space="0" w:color="auto"/>
          </w:divBdr>
        </w:div>
        <w:div w:id="366295962">
          <w:marLeft w:val="0"/>
          <w:marRight w:val="0"/>
          <w:marTop w:val="0"/>
          <w:marBottom w:val="0"/>
          <w:divBdr>
            <w:top w:val="none" w:sz="0" w:space="0" w:color="auto"/>
            <w:left w:val="none" w:sz="0" w:space="0" w:color="auto"/>
            <w:bottom w:val="none" w:sz="0" w:space="0" w:color="auto"/>
            <w:right w:val="none" w:sz="0" w:space="0" w:color="auto"/>
          </w:divBdr>
        </w:div>
        <w:div w:id="572082133">
          <w:marLeft w:val="0"/>
          <w:marRight w:val="0"/>
          <w:marTop w:val="0"/>
          <w:marBottom w:val="0"/>
          <w:divBdr>
            <w:top w:val="none" w:sz="0" w:space="0" w:color="auto"/>
            <w:left w:val="none" w:sz="0" w:space="0" w:color="auto"/>
            <w:bottom w:val="none" w:sz="0" w:space="0" w:color="auto"/>
            <w:right w:val="none" w:sz="0" w:space="0" w:color="auto"/>
          </w:divBdr>
        </w:div>
        <w:div w:id="1161192451">
          <w:marLeft w:val="0"/>
          <w:marRight w:val="0"/>
          <w:marTop w:val="0"/>
          <w:marBottom w:val="0"/>
          <w:divBdr>
            <w:top w:val="none" w:sz="0" w:space="0" w:color="auto"/>
            <w:left w:val="none" w:sz="0" w:space="0" w:color="auto"/>
            <w:bottom w:val="none" w:sz="0" w:space="0" w:color="auto"/>
            <w:right w:val="none" w:sz="0" w:space="0" w:color="auto"/>
          </w:divBdr>
        </w:div>
        <w:div w:id="1692217054">
          <w:marLeft w:val="0"/>
          <w:marRight w:val="0"/>
          <w:marTop w:val="0"/>
          <w:marBottom w:val="0"/>
          <w:divBdr>
            <w:top w:val="none" w:sz="0" w:space="0" w:color="auto"/>
            <w:left w:val="none" w:sz="0" w:space="0" w:color="auto"/>
            <w:bottom w:val="none" w:sz="0" w:space="0" w:color="auto"/>
            <w:right w:val="none" w:sz="0" w:space="0" w:color="auto"/>
          </w:divBdr>
        </w:div>
        <w:div w:id="258217717">
          <w:marLeft w:val="0"/>
          <w:marRight w:val="0"/>
          <w:marTop w:val="0"/>
          <w:marBottom w:val="0"/>
          <w:divBdr>
            <w:top w:val="none" w:sz="0" w:space="0" w:color="auto"/>
            <w:left w:val="none" w:sz="0" w:space="0" w:color="auto"/>
            <w:bottom w:val="none" w:sz="0" w:space="0" w:color="auto"/>
            <w:right w:val="none" w:sz="0" w:space="0" w:color="auto"/>
          </w:divBdr>
        </w:div>
        <w:div w:id="1361973873">
          <w:marLeft w:val="0"/>
          <w:marRight w:val="0"/>
          <w:marTop w:val="0"/>
          <w:marBottom w:val="0"/>
          <w:divBdr>
            <w:top w:val="none" w:sz="0" w:space="0" w:color="auto"/>
            <w:left w:val="none" w:sz="0" w:space="0" w:color="auto"/>
            <w:bottom w:val="none" w:sz="0" w:space="0" w:color="auto"/>
            <w:right w:val="none" w:sz="0" w:space="0" w:color="auto"/>
          </w:divBdr>
        </w:div>
        <w:div w:id="389379723">
          <w:marLeft w:val="0"/>
          <w:marRight w:val="0"/>
          <w:marTop w:val="0"/>
          <w:marBottom w:val="0"/>
          <w:divBdr>
            <w:top w:val="none" w:sz="0" w:space="0" w:color="auto"/>
            <w:left w:val="none" w:sz="0" w:space="0" w:color="auto"/>
            <w:bottom w:val="none" w:sz="0" w:space="0" w:color="auto"/>
            <w:right w:val="none" w:sz="0" w:space="0" w:color="auto"/>
          </w:divBdr>
        </w:div>
        <w:div w:id="1790666927">
          <w:marLeft w:val="0"/>
          <w:marRight w:val="0"/>
          <w:marTop w:val="0"/>
          <w:marBottom w:val="0"/>
          <w:divBdr>
            <w:top w:val="none" w:sz="0" w:space="0" w:color="auto"/>
            <w:left w:val="none" w:sz="0" w:space="0" w:color="auto"/>
            <w:bottom w:val="none" w:sz="0" w:space="0" w:color="auto"/>
            <w:right w:val="none" w:sz="0" w:space="0" w:color="auto"/>
          </w:divBdr>
        </w:div>
        <w:div w:id="683820084">
          <w:marLeft w:val="0"/>
          <w:marRight w:val="0"/>
          <w:marTop w:val="0"/>
          <w:marBottom w:val="0"/>
          <w:divBdr>
            <w:top w:val="none" w:sz="0" w:space="0" w:color="auto"/>
            <w:left w:val="none" w:sz="0" w:space="0" w:color="auto"/>
            <w:bottom w:val="none" w:sz="0" w:space="0" w:color="auto"/>
            <w:right w:val="none" w:sz="0" w:space="0" w:color="auto"/>
          </w:divBdr>
        </w:div>
        <w:div w:id="361975001">
          <w:marLeft w:val="0"/>
          <w:marRight w:val="0"/>
          <w:marTop w:val="0"/>
          <w:marBottom w:val="0"/>
          <w:divBdr>
            <w:top w:val="none" w:sz="0" w:space="0" w:color="auto"/>
            <w:left w:val="none" w:sz="0" w:space="0" w:color="auto"/>
            <w:bottom w:val="none" w:sz="0" w:space="0" w:color="auto"/>
            <w:right w:val="none" w:sz="0" w:space="0" w:color="auto"/>
          </w:divBdr>
        </w:div>
        <w:div w:id="1312178932">
          <w:marLeft w:val="0"/>
          <w:marRight w:val="0"/>
          <w:marTop w:val="0"/>
          <w:marBottom w:val="0"/>
          <w:divBdr>
            <w:top w:val="none" w:sz="0" w:space="0" w:color="auto"/>
            <w:left w:val="none" w:sz="0" w:space="0" w:color="auto"/>
            <w:bottom w:val="none" w:sz="0" w:space="0" w:color="auto"/>
            <w:right w:val="none" w:sz="0" w:space="0" w:color="auto"/>
          </w:divBdr>
        </w:div>
        <w:div w:id="629477185">
          <w:marLeft w:val="0"/>
          <w:marRight w:val="0"/>
          <w:marTop w:val="0"/>
          <w:marBottom w:val="0"/>
          <w:divBdr>
            <w:top w:val="none" w:sz="0" w:space="0" w:color="auto"/>
            <w:left w:val="none" w:sz="0" w:space="0" w:color="auto"/>
            <w:bottom w:val="none" w:sz="0" w:space="0" w:color="auto"/>
            <w:right w:val="none" w:sz="0" w:space="0" w:color="auto"/>
          </w:divBdr>
        </w:div>
        <w:div w:id="1103308552">
          <w:marLeft w:val="0"/>
          <w:marRight w:val="0"/>
          <w:marTop w:val="0"/>
          <w:marBottom w:val="0"/>
          <w:divBdr>
            <w:top w:val="none" w:sz="0" w:space="0" w:color="auto"/>
            <w:left w:val="none" w:sz="0" w:space="0" w:color="auto"/>
            <w:bottom w:val="none" w:sz="0" w:space="0" w:color="auto"/>
            <w:right w:val="none" w:sz="0" w:space="0" w:color="auto"/>
          </w:divBdr>
        </w:div>
        <w:div w:id="1675452653">
          <w:marLeft w:val="0"/>
          <w:marRight w:val="0"/>
          <w:marTop w:val="0"/>
          <w:marBottom w:val="0"/>
          <w:divBdr>
            <w:top w:val="none" w:sz="0" w:space="0" w:color="auto"/>
            <w:left w:val="none" w:sz="0" w:space="0" w:color="auto"/>
            <w:bottom w:val="none" w:sz="0" w:space="0" w:color="auto"/>
            <w:right w:val="none" w:sz="0" w:space="0" w:color="auto"/>
          </w:divBdr>
        </w:div>
        <w:div w:id="260114476">
          <w:marLeft w:val="0"/>
          <w:marRight w:val="0"/>
          <w:marTop w:val="135"/>
          <w:marBottom w:val="0"/>
          <w:divBdr>
            <w:top w:val="none" w:sz="0" w:space="0" w:color="auto"/>
            <w:left w:val="none" w:sz="0" w:space="0" w:color="auto"/>
            <w:bottom w:val="none" w:sz="0" w:space="0" w:color="auto"/>
            <w:right w:val="none" w:sz="0" w:space="0" w:color="auto"/>
          </w:divBdr>
        </w:div>
        <w:div w:id="176384677">
          <w:marLeft w:val="0"/>
          <w:marRight w:val="0"/>
          <w:marTop w:val="0"/>
          <w:marBottom w:val="0"/>
          <w:divBdr>
            <w:top w:val="none" w:sz="0" w:space="0" w:color="auto"/>
            <w:left w:val="none" w:sz="0" w:space="0" w:color="auto"/>
            <w:bottom w:val="none" w:sz="0" w:space="0" w:color="auto"/>
            <w:right w:val="none" w:sz="0" w:space="0" w:color="auto"/>
          </w:divBdr>
        </w:div>
        <w:div w:id="1561095691">
          <w:marLeft w:val="0"/>
          <w:marRight w:val="0"/>
          <w:marTop w:val="0"/>
          <w:marBottom w:val="0"/>
          <w:divBdr>
            <w:top w:val="none" w:sz="0" w:space="0" w:color="auto"/>
            <w:left w:val="none" w:sz="0" w:space="0" w:color="auto"/>
            <w:bottom w:val="none" w:sz="0" w:space="0" w:color="auto"/>
            <w:right w:val="none" w:sz="0" w:space="0" w:color="auto"/>
          </w:divBdr>
        </w:div>
        <w:div w:id="1195193745">
          <w:marLeft w:val="0"/>
          <w:marRight w:val="0"/>
          <w:marTop w:val="135"/>
          <w:marBottom w:val="0"/>
          <w:divBdr>
            <w:top w:val="none" w:sz="0" w:space="0" w:color="auto"/>
            <w:left w:val="none" w:sz="0" w:space="0" w:color="auto"/>
            <w:bottom w:val="none" w:sz="0" w:space="0" w:color="auto"/>
            <w:right w:val="none" w:sz="0" w:space="0" w:color="auto"/>
          </w:divBdr>
        </w:div>
        <w:div w:id="405297733">
          <w:marLeft w:val="0"/>
          <w:marRight w:val="0"/>
          <w:marTop w:val="210"/>
          <w:marBottom w:val="0"/>
          <w:divBdr>
            <w:top w:val="none" w:sz="0" w:space="0" w:color="auto"/>
            <w:left w:val="none" w:sz="0" w:space="0" w:color="auto"/>
            <w:bottom w:val="none" w:sz="0" w:space="0" w:color="auto"/>
            <w:right w:val="none" w:sz="0" w:space="0" w:color="auto"/>
          </w:divBdr>
        </w:div>
        <w:div w:id="1013072654">
          <w:marLeft w:val="0"/>
          <w:marRight w:val="0"/>
          <w:marTop w:val="567"/>
          <w:marBottom w:val="0"/>
          <w:divBdr>
            <w:top w:val="none" w:sz="0" w:space="0" w:color="auto"/>
            <w:left w:val="none" w:sz="0" w:space="0" w:color="auto"/>
            <w:bottom w:val="none" w:sz="0" w:space="0" w:color="auto"/>
            <w:right w:val="none" w:sz="0" w:space="0" w:color="auto"/>
          </w:divBdr>
        </w:div>
        <w:div w:id="2081520687">
          <w:marLeft w:val="0"/>
          <w:marRight w:val="0"/>
          <w:marTop w:val="240"/>
          <w:marBottom w:val="0"/>
          <w:divBdr>
            <w:top w:val="none" w:sz="0" w:space="0" w:color="auto"/>
            <w:left w:val="none" w:sz="0" w:space="0" w:color="auto"/>
            <w:bottom w:val="none" w:sz="0" w:space="0" w:color="auto"/>
            <w:right w:val="none" w:sz="0" w:space="0" w:color="auto"/>
          </w:divBdr>
        </w:div>
        <w:div w:id="1384913168">
          <w:marLeft w:val="0"/>
          <w:marRight w:val="0"/>
          <w:marTop w:val="240"/>
          <w:marBottom w:val="0"/>
          <w:divBdr>
            <w:top w:val="none" w:sz="0" w:space="0" w:color="auto"/>
            <w:left w:val="none" w:sz="0" w:space="0" w:color="auto"/>
            <w:bottom w:val="none" w:sz="0" w:space="0" w:color="auto"/>
            <w:right w:val="none" w:sz="0" w:space="0" w:color="auto"/>
          </w:divBdr>
        </w:div>
      </w:divsChild>
    </w:div>
    <w:div w:id="679507397">
      <w:bodyDiv w:val="1"/>
      <w:marLeft w:val="0"/>
      <w:marRight w:val="0"/>
      <w:marTop w:val="0"/>
      <w:marBottom w:val="0"/>
      <w:divBdr>
        <w:top w:val="none" w:sz="0" w:space="0" w:color="auto"/>
        <w:left w:val="none" w:sz="0" w:space="0" w:color="auto"/>
        <w:bottom w:val="none" w:sz="0" w:space="0" w:color="auto"/>
        <w:right w:val="none" w:sz="0" w:space="0" w:color="auto"/>
      </w:divBdr>
    </w:div>
    <w:div w:id="1079210584">
      <w:bodyDiv w:val="1"/>
      <w:marLeft w:val="0"/>
      <w:marRight w:val="0"/>
      <w:marTop w:val="0"/>
      <w:marBottom w:val="0"/>
      <w:divBdr>
        <w:top w:val="none" w:sz="0" w:space="0" w:color="auto"/>
        <w:left w:val="none" w:sz="0" w:space="0" w:color="auto"/>
        <w:bottom w:val="none" w:sz="0" w:space="0" w:color="auto"/>
        <w:right w:val="none" w:sz="0" w:space="0" w:color="auto"/>
      </w:divBdr>
    </w:div>
    <w:div w:id="1816755782">
      <w:bodyDiv w:val="1"/>
      <w:marLeft w:val="0"/>
      <w:marRight w:val="0"/>
      <w:marTop w:val="0"/>
      <w:marBottom w:val="0"/>
      <w:divBdr>
        <w:top w:val="none" w:sz="0" w:space="0" w:color="auto"/>
        <w:left w:val="none" w:sz="0" w:space="0" w:color="auto"/>
        <w:bottom w:val="none" w:sz="0" w:space="0" w:color="auto"/>
        <w:right w:val="none" w:sz="0" w:space="0" w:color="auto"/>
      </w:divBdr>
      <w:divsChild>
        <w:div w:id="1405493355">
          <w:marLeft w:val="0"/>
          <w:marRight w:val="0"/>
          <w:marTop w:val="480"/>
          <w:marBottom w:val="240"/>
          <w:divBdr>
            <w:top w:val="none" w:sz="0" w:space="0" w:color="auto"/>
            <w:left w:val="none" w:sz="0" w:space="0" w:color="auto"/>
            <w:bottom w:val="none" w:sz="0" w:space="0" w:color="auto"/>
            <w:right w:val="none" w:sz="0" w:space="0" w:color="auto"/>
          </w:divBdr>
        </w:div>
        <w:div w:id="733896487">
          <w:marLeft w:val="0"/>
          <w:marRight w:val="0"/>
          <w:marTop w:val="0"/>
          <w:marBottom w:val="567"/>
          <w:divBdr>
            <w:top w:val="none" w:sz="0" w:space="0" w:color="auto"/>
            <w:left w:val="none" w:sz="0" w:space="0" w:color="auto"/>
            <w:bottom w:val="none" w:sz="0" w:space="0" w:color="auto"/>
            <w:right w:val="none" w:sz="0" w:space="0" w:color="auto"/>
          </w:divBdr>
        </w:div>
        <w:div w:id="264310918">
          <w:marLeft w:val="0"/>
          <w:marRight w:val="0"/>
          <w:marTop w:val="0"/>
          <w:marBottom w:val="0"/>
          <w:divBdr>
            <w:top w:val="none" w:sz="0" w:space="0" w:color="auto"/>
            <w:left w:val="none" w:sz="0" w:space="0" w:color="auto"/>
            <w:bottom w:val="none" w:sz="0" w:space="0" w:color="auto"/>
            <w:right w:val="none" w:sz="0" w:space="0" w:color="auto"/>
          </w:divBdr>
        </w:div>
        <w:div w:id="1917979889">
          <w:marLeft w:val="0"/>
          <w:marRight w:val="0"/>
          <w:marTop w:val="0"/>
          <w:marBottom w:val="0"/>
          <w:divBdr>
            <w:top w:val="none" w:sz="0" w:space="0" w:color="auto"/>
            <w:left w:val="none" w:sz="0" w:space="0" w:color="auto"/>
            <w:bottom w:val="none" w:sz="0" w:space="0" w:color="auto"/>
            <w:right w:val="none" w:sz="0" w:space="0" w:color="auto"/>
          </w:divBdr>
        </w:div>
        <w:div w:id="207767454">
          <w:marLeft w:val="0"/>
          <w:marRight w:val="0"/>
          <w:marTop w:val="0"/>
          <w:marBottom w:val="0"/>
          <w:divBdr>
            <w:top w:val="none" w:sz="0" w:space="0" w:color="auto"/>
            <w:left w:val="none" w:sz="0" w:space="0" w:color="auto"/>
            <w:bottom w:val="none" w:sz="0" w:space="0" w:color="auto"/>
            <w:right w:val="none" w:sz="0" w:space="0" w:color="auto"/>
          </w:divBdr>
        </w:div>
        <w:div w:id="245119302">
          <w:marLeft w:val="0"/>
          <w:marRight w:val="0"/>
          <w:marTop w:val="0"/>
          <w:marBottom w:val="0"/>
          <w:divBdr>
            <w:top w:val="none" w:sz="0" w:space="0" w:color="auto"/>
            <w:left w:val="none" w:sz="0" w:space="0" w:color="auto"/>
            <w:bottom w:val="none" w:sz="0" w:space="0" w:color="auto"/>
            <w:right w:val="none" w:sz="0" w:space="0" w:color="auto"/>
          </w:divBdr>
        </w:div>
        <w:div w:id="1519732086">
          <w:marLeft w:val="0"/>
          <w:marRight w:val="0"/>
          <w:marTop w:val="0"/>
          <w:marBottom w:val="0"/>
          <w:divBdr>
            <w:top w:val="none" w:sz="0" w:space="0" w:color="auto"/>
            <w:left w:val="none" w:sz="0" w:space="0" w:color="auto"/>
            <w:bottom w:val="none" w:sz="0" w:space="0" w:color="auto"/>
            <w:right w:val="none" w:sz="0" w:space="0" w:color="auto"/>
          </w:divBdr>
        </w:div>
        <w:div w:id="1359432153">
          <w:marLeft w:val="0"/>
          <w:marRight w:val="0"/>
          <w:marTop w:val="0"/>
          <w:marBottom w:val="0"/>
          <w:divBdr>
            <w:top w:val="none" w:sz="0" w:space="0" w:color="auto"/>
            <w:left w:val="none" w:sz="0" w:space="0" w:color="auto"/>
            <w:bottom w:val="none" w:sz="0" w:space="0" w:color="auto"/>
            <w:right w:val="none" w:sz="0" w:space="0" w:color="auto"/>
          </w:divBdr>
        </w:div>
        <w:div w:id="578321960">
          <w:marLeft w:val="0"/>
          <w:marRight w:val="0"/>
          <w:marTop w:val="0"/>
          <w:marBottom w:val="0"/>
          <w:divBdr>
            <w:top w:val="none" w:sz="0" w:space="0" w:color="auto"/>
            <w:left w:val="none" w:sz="0" w:space="0" w:color="auto"/>
            <w:bottom w:val="none" w:sz="0" w:space="0" w:color="auto"/>
            <w:right w:val="none" w:sz="0" w:space="0" w:color="auto"/>
          </w:divBdr>
        </w:div>
        <w:div w:id="48192061">
          <w:marLeft w:val="0"/>
          <w:marRight w:val="0"/>
          <w:marTop w:val="0"/>
          <w:marBottom w:val="0"/>
          <w:divBdr>
            <w:top w:val="none" w:sz="0" w:space="0" w:color="auto"/>
            <w:left w:val="none" w:sz="0" w:space="0" w:color="auto"/>
            <w:bottom w:val="none" w:sz="0" w:space="0" w:color="auto"/>
            <w:right w:val="none" w:sz="0" w:space="0" w:color="auto"/>
          </w:divBdr>
        </w:div>
        <w:div w:id="1766613004">
          <w:marLeft w:val="0"/>
          <w:marRight w:val="0"/>
          <w:marTop w:val="0"/>
          <w:marBottom w:val="0"/>
          <w:divBdr>
            <w:top w:val="none" w:sz="0" w:space="0" w:color="auto"/>
            <w:left w:val="none" w:sz="0" w:space="0" w:color="auto"/>
            <w:bottom w:val="none" w:sz="0" w:space="0" w:color="auto"/>
            <w:right w:val="none" w:sz="0" w:space="0" w:color="auto"/>
          </w:divBdr>
        </w:div>
        <w:div w:id="1183476623">
          <w:marLeft w:val="0"/>
          <w:marRight w:val="0"/>
          <w:marTop w:val="0"/>
          <w:marBottom w:val="0"/>
          <w:divBdr>
            <w:top w:val="none" w:sz="0" w:space="0" w:color="auto"/>
            <w:left w:val="none" w:sz="0" w:space="0" w:color="auto"/>
            <w:bottom w:val="none" w:sz="0" w:space="0" w:color="auto"/>
            <w:right w:val="none" w:sz="0" w:space="0" w:color="auto"/>
          </w:divBdr>
        </w:div>
        <w:div w:id="1843474922">
          <w:marLeft w:val="0"/>
          <w:marRight w:val="0"/>
          <w:marTop w:val="0"/>
          <w:marBottom w:val="0"/>
          <w:divBdr>
            <w:top w:val="none" w:sz="0" w:space="0" w:color="auto"/>
            <w:left w:val="none" w:sz="0" w:space="0" w:color="auto"/>
            <w:bottom w:val="none" w:sz="0" w:space="0" w:color="auto"/>
            <w:right w:val="none" w:sz="0" w:space="0" w:color="auto"/>
          </w:divBdr>
        </w:div>
        <w:div w:id="1764033910">
          <w:marLeft w:val="0"/>
          <w:marRight w:val="0"/>
          <w:marTop w:val="0"/>
          <w:marBottom w:val="0"/>
          <w:divBdr>
            <w:top w:val="none" w:sz="0" w:space="0" w:color="auto"/>
            <w:left w:val="none" w:sz="0" w:space="0" w:color="auto"/>
            <w:bottom w:val="none" w:sz="0" w:space="0" w:color="auto"/>
            <w:right w:val="none" w:sz="0" w:space="0" w:color="auto"/>
          </w:divBdr>
        </w:div>
        <w:div w:id="103959797">
          <w:marLeft w:val="0"/>
          <w:marRight w:val="0"/>
          <w:marTop w:val="0"/>
          <w:marBottom w:val="0"/>
          <w:divBdr>
            <w:top w:val="none" w:sz="0" w:space="0" w:color="auto"/>
            <w:left w:val="none" w:sz="0" w:space="0" w:color="auto"/>
            <w:bottom w:val="none" w:sz="0" w:space="0" w:color="auto"/>
            <w:right w:val="none" w:sz="0" w:space="0" w:color="auto"/>
          </w:divBdr>
        </w:div>
        <w:div w:id="2013482865">
          <w:marLeft w:val="0"/>
          <w:marRight w:val="0"/>
          <w:marTop w:val="0"/>
          <w:marBottom w:val="0"/>
          <w:divBdr>
            <w:top w:val="none" w:sz="0" w:space="0" w:color="auto"/>
            <w:left w:val="none" w:sz="0" w:space="0" w:color="auto"/>
            <w:bottom w:val="none" w:sz="0" w:space="0" w:color="auto"/>
            <w:right w:val="none" w:sz="0" w:space="0" w:color="auto"/>
          </w:divBdr>
        </w:div>
        <w:div w:id="1309937169">
          <w:marLeft w:val="0"/>
          <w:marRight w:val="0"/>
          <w:marTop w:val="0"/>
          <w:marBottom w:val="0"/>
          <w:divBdr>
            <w:top w:val="none" w:sz="0" w:space="0" w:color="auto"/>
            <w:left w:val="none" w:sz="0" w:space="0" w:color="auto"/>
            <w:bottom w:val="none" w:sz="0" w:space="0" w:color="auto"/>
            <w:right w:val="none" w:sz="0" w:space="0" w:color="auto"/>
          </w:divBdr>
        </w:div>
        <w:div w:id="1090735404">
          <w:marLeft w:val="0"/>
          <w:marRight w:val="0"/>
          <w:marTop w:val="0"/>
          <w:marBottom w:val="0"/>
          <w:divBdr>
            <w:top w:val="none" w:sz="0" w:space="0" w:color="auto"/>
            <w:left w:val="none" w:sz="0" w:space="0" w:color="auto"/>
            <w:bottom w:val="none" w:sz="0" w:space="0" w:color="auto"/>
            <w:right w:val="none" w:sz="0" w:space="0" w:color="auto"/>
          </w:divBdr>
        </w:div>
        <w:div w:id="959065980">
          <w:marLeft w:val="0"/>
          <w:marRight w:val="0"/>
          <w:marTop w:val="0"/>
          <w:marBottom w:val="0"/>
          <w:divBdr>
            <w:top w:val="none" w:sz="0" w:space="0" w:color="auto"/>
            <w:left w:val="none" w:sz="0" w:space="0" w:color="auto"/>
            <w:bottom w:val="none" w:sz="0" w:space="0" w:color="auto"/>
            <w:right w:val="none" w:sz="0" w:space="0" w:color="auto"/>
          </w:divBdr>
        </w:div>
        <w:div w:id="1212495482">
          <w:marLeft w:val="0"/>
          <w:marRight w:val="0"/>
          <w:marTop w:val="0"/>
          <w:marBottom w:val="0"/>
          <w:divBdr>
            <w:top w:val="none" w:sz="0" w:space="0" w:color="auto"/>
            <w:left w:val="none" w:sz="0" w:space="0" w:color="auto"/>
            <w:bottom w:val="none" w:sz="0" w:space="0" w:color="auto"/>
            <w:right w:val="none" w:sz="0" w:space="0" w:color="auto"/>
          </w:divBdr>
        </w:div>
        <w:div w:id="260600894">
          <w:marLeft w:val="0"/>
          <w:marRight w:val="0"/>
          <w:marTop w:val="0"/>
          <w:marBottom w:val="0"/>
          <w:divBdr>
            <w:top w:val="none" w:sz="0" w:space="0" w:color="auto"/>
            <w:left w:val="none" w:sz="0" w:space="0" w:color="auto"/>
            <w:bottom w:val="none" w:sz="0" w:space="0" w:color="auto"/>
            <w:right w:val="none" w:sz="0" w:space="0" w:color="auto"/>
          </w:divBdr>
        </w:div>
        <w:div w:id="588272771">
          <w:marLeft w:val="0"/>
          <w:marRight w:val="0"/>
          <w:marTop w:val="0"/>
          <w:marBottom w:val="0"/>
          <w:divBdr>
            <w:top w:val="none" w:sz="0" w:space="0" w:color="auto"/>
            <w:left w:val="none" w:sz="0" w:space="0" w:color="auto"/>
            <w:bottom w:val="none" w:sz="0" w:space="0" w:color="auto"/>
            <w:right w:val="none" w:sz="0" w:space="0" w:color="auto"/>
          </w:divBdr>
        </w:div>
        <w:div w:id="1055356973">
          <w:marLeft w:val="0"/>
          <w:marRight w:val="0"/>
          <w:marTop w:val="0"/>
          <w:marBottom w:val="0"/>
          <w:divBdr>
            <w:top w:val="none" w:sz="0" w:space="0" w:color="auto"/>
            <w:left w:val="none" w:sz="0" w:space="0" w:color="auto"/>
            <w:bottom w:val="none" w:sz="0" w:space="0" w:color="auto"/>
            <w:right w:val="none" w:sz="0" w:space="0" w:color="auto"/>
          </w:divBdr>
        </w:div>
        <w:div w:id="1890876360">
          <w:marLeft w:val="0"/>
          <w:marRight w:val="0"/>
          <w:marTop w:val="0"/>
          <w:marBottom w:val="0"/>
          <w:divBdr>
            <w:top w:val="none" w:sz="0" w:space="0" w:color="auto"/>
            <w:left w:val="none" w:sz="0" w:space="0" w:color="auto"/>
            <w:bottom w:val="none" w:sz="0" w:space="0" w:color="auto"/>
            <w:right w:val="none" w:sz="0" w:space="0" w:color="auto"/>
          </w:divBdr>
        </w:div>
        <w:div w:id="1103572969">
          <w:marLeft w:val="0"/>
          <w:marRight w:val="0"/>
          <w:marTop w:val="0"/>
          <w:marBottom w:val="0"/>
          <w:divBdr>
            <w:top w:val="none" w:sz="0" w:space="0" w:color="auto"/>
            <w:left w:val="none" w:sz="0" w:space="0" w:color="auto"/>
            <w:bottom w:val="none" w:sz="0" w:space="0" w:color="auto"/>
            <w:right w:val="none" w:sz="0" w:space="0" w:color="auto"/>
          </w:divBdr>
        </w:div>
        <w:div w:id="227617335">
          <w:marLeft w:val="0"/>
          <w:marRight w:val="0"/>
          <w:marTop w:val="135"/>
          <w:marBottom w:val="0"/>
          <w:divBdr>
            <w:top w:val="none" w:sz="0" w:space="0" w:color="auto"/>
            <w:left w:val="none" w:sz="0" w:space="0" w:color="auto"/>
            <w:bottom w:val="none" w:sz="0" w:space="0" w:color="auto"/>
            <w:right w:val="none" w:sz="0" w:space="0" w:color="auto"/>
          </w:divBdr>
        </w:div>
        <w:div w:id="364596334">
          <w:marLeft w:val="0"/>
          <w:marRight w:val="0"/>
          <w:marTop w:val="0"/>
          <w:marBottom w:val="0"/>
          <w:divBdr>
            <w:top w:val="none" w:sz="0" w:space="0" w:color="auto"/>
            <w:left w:val="none" w:sz="0" w:space="0" w:color="auto"/>
            <w:bottom w:val="none" w:sz="0" w:space="0" w:color="auto"/>
            <w:right w:val="none" w:sz="0" w:space="0" w:color="auto"/>
          </w:divBdr>
        </w:div>
        <w:div w:id="980382844">
          <w:marLeft w:val="0"/>
          <w:marRight w:val="0"/>
          <w:marTop w:val="0"/>
          <w:marBottom w:val="0"/>
          <w:divBdr>
            <w:top w:val="none" w:sz="0" w:space="0" w:color="auto"/>
            <w:left w:val="none" w:sz="0" w:space="0" w:color="auto"/>
            <w:bottom w:val="none" w:sz="0" w:space="0" w:color="auto"/>
            <w:right w:val="none" w:sz="0" w:space="0" w:color="auto"/>
          </w:divBdr>
        </w:div>
        <w:div w:id="1524900388">
          <w:marLeft w:val="0"/>
          <w:marRight w:val="0"/>
          <w:marTop w:val="135"/>
          <w:marBottom w:val="0"/>
          <w:divBdr>
            <w:top w:val="none" w:sz="0" w:space="0" w:color="auto"/>
            <w:left w:val="none" w:sz="0" w:space="0" w:color="auto"/>
            <w:bottom w:val="none" w:sz="0" w:space="0" w:color="auto"/>
            <w:right w:val="none" w:sz="0" w:space="0" w:color="auto"/>
          </w:divBdr>
        </w:div>
        <w:div w:id="1242181196">
          <w:marLeft w:val="0"/>
          <w:marRight w:val="0"/>
          <w:marTop w:val="210"/>
          <w:marBottom w:val="0"/>
          <w:divBdr>
            <w:top w:val="none" w:sz="0" w:space="0" w:color="auto"/>
            <w:left w:val="none" w:sz="0" w:space="0" w:color="auto"/>
            <w:bottom w:val="none" w:sz="0" w:space="0" w:color="auto"/>
            <w:right w:val="none" w:sz="0" w:space="0" w:color="auto"/>
          </w:divBdr>
        </w:div>
        <w:div w:id="806513594">
          <w:marLeft w:val="0"/>
          <w:marRight w:val="0"/>
          <w:marTop w:val="567"/>
          <w:marBottom w:val="0"/>
          <w:divBdr>
            <w:top w:val="none" w:sz="0" w:space="0" w:color="auto"/>
            <w:left w:val="none" w:sz="0" w:space="0" w:color="auto"/>
            <w:bottom w:val="none" w:sz="0" w:space="0" w:color="auto"/>
            <w:right w:val="none" w:sz="0" w:space="0" w:color="auto"/>
          </w:divBdr>
        </w:div>
        <w:div w:id="1797405793">
          <w:marLeft w:val="0"/>
          <w:marRight w:val="0"/>
          <w:marTop w:val="240"/>
          <w:marBottom w:val="0"/>
          <w:divBdr>
            <w:top w:val="none" w:sz="0" w:space="0" w:color="auto"/>
            <w:left w:val="none" w:sz="0" w:space="0" w:color="auto"/>
            <w:bottom w:val="none" w:sz="0" w:space="0" w:color="auto"/>
            <w:right w:val="none" w:sz="0" w:space="0" w:color="auto"/>
          </w:divBdr>
        </w:div>
        <w:div w:id="169911558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FF62E-D3D0-40F9-A2E2-61610FA5C4A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9A62B85-8E64-497D-AD6F-F00FE4F830E4}"/>
</file>

<file path=customXml/itemProps3.xml><?xml version="1.0" encoding="utf-8"?>
<ds:datastoreItem xmlns:ds="http://schemas.openxmlformats.org/officeDocument/2006/customXml" ds:itemID="{1B1A0A02-6485-4C12-8A9A-38258D62F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2024-12-04T07:00:00Z</dcterms:created>
  <dcterms:modified xsi:type="dcterms:W3CDTF">2025-02-06T14:25:00Z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