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C17C" w14:textId="4A99C462" w:rsidR="00F92C74" w:rsidRPr="00805442" w:rsidRDefault="00805442" w:rsidP="00805442">
      <w:pPr>
        <w:pStyle w:val="Title"/>
        <w:tabs>
          <w:tab w:val="left" w:pos="2104"/>
        </w:tabs>
        <w:spacing w:line="235" w:lineRule="auto"/>
        <w:jc w:val="both"/>
        <w:rPr>
          <w:rFonts w:ascii="Times New Roman" w:hAnsi="Times New Roman" w:cs="Times New Roman"/>
          <w:b w:val="0"/>
          <w:bCs w:val="0"/>
          <w:noProof/>
          <w:sz w:val="24"/>
          <w:szCs w:val="24"/>
        </w:rPr>
      </w:pPr>
      <w:r w:rsidRPr="00805442">
        <w:rPr>
          <w:rFonts w:ascii="Times New Roman" w:hAnsi="Times New Roman" w:cs="Times New Roman"/>
          <w:b w:val="0"/>
          <w:bCs w:val="0"/>
          <w:noProof/>
          <w:sz w:val="24"/>
          <w:szCs w:val="24"/>
        </w:rPr>
        <w:drawing>
          <wp:inline distT="0" distB="0" distL="0" distR="0" wp14:anchorId="080FADDC" wp14:editId="354DC9F8">
            <wp:extent cx="1676400" cy="307910"/>
            <wp:effectExtent l="0" t="0" r="0" b="0"/>
            <wp:docPr id="686907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07038" name=""/>
                    <pic:cNvPicPr/>
                  </pic:nvPicPr>
                  <pic:blipFill>
                    <a:blip r:embed="rId11"/>
                    <a:stretch>
                      <a:fillRect/>
                    </a:stretch>
                  </pic:blipFill>
                  <pic:spPr>
                    <a:xfrm>
                      <a:off x="0" y="0"/>
                      <a:ext cx="1680976" cy="308751"/>
                    </a:xfrm>
                    <a:prstGeom prst="rect">
                      <a:avLst/>
                    </a:prstGeom>
                  </pic:spPr>
                </pic:pic>
              </a:graphicData>
            </a:graphic>
          </wp:inline>
        </w:drawing>
      </w:r>
    </w:p>
    <w:p w14:paraId="7B8247DB" w14:textId="5300F493" w:rsidR="00F92C74" w:rsidRPr="00805442" w:rsidRDefault="00F92C74" w:rsidP="00F92C74">
      <w:pPr>
        <w:pStyle w:val="Title"/>
        <w:tabs>
          <w:tab w:val="left" w:pos="2104"/>
        </w:tabs>
        <w:spacing w:line="235" w:lineRule="auto"/>
        <w:rPr>
          <w:rFonts w:ascii="Times New Roman" w:hAnsi="Times New Roman" w:cs="Times New Roman"/>
          <w:b w:val="0"/>
          <w:bCs w:val="0"/>
          <w:noProof/>
          <w:color w:val="05629B"/>
          <w:sz w:val="24"/>
          <w:szCs w:val="24"/>
        </w:rPr>
      </w:pPr>
    </w:p>
    <w:p w14:paraId="4F5A3704" w14:textId="027ABAD8" w:rsidR="0068352E" w:rsidRPr="00805442" w:rsidRDefault="0068352E" w:rsidP="0068352E">
      <w:pPr>
        <w:pStyle w:val="Title"/>
        <w:spacing w:line="235" w:lineRule="auto"/>
        <w:rPr>
          <w:rFonts w:ascii="Times New Roman" w:hAnsi="Times New Roman" w:cs="Times New Roman"/>
          <w:noProof/>
          <w:color w:val="05629B"/>
        </w:rPr>
      </w:pPr>
      <w:r w:rsidRPr="00805442">
        <w:rPr>
          <w:rFonts w:ascii="Times New Roman" w:hAnsi="Times New Roman" w:cs="Times New Roman"/>
          <w:color w:val="05629B"/>
        </w:rPr>
        <w:t>Starpvaldību fiskālo pārvedumu pielāgošana nākotnei – jaunās tendences un inovatīvas pieejas</w:t>
      </w:r>
    </w:p>
    <w:p w14:paraId="52FD6872" w14:textId="77777777" w:rsidR="0068352E" w:rsidRPr="00805442" w:rsidRDefault="0068352E" w:rsidP="0068352E">
      <w:pPr>
        <w:pStyle w:val="BodyText"/>
        <w:spacing w:before="236"/>
        <w:rPr>
          <w:rFonts w:ascii="Times New Roman" w:hAnsi="Times New Roman" w:cs="Times New Roman"/>
          <w:b/>
          <w:noProof/>
          <w:sz w:val="48"/>
        </w:rPr>
      </w:pPr>
    </w:p>
    <w:p w14:paraId="5E9CCF01" w14:textId="2FEA750C" w:rsidR="0068352E" w:rsidRPr="00805442" w:rsidRDefault="0068352E" w:rsidP="00805442">
      <w:pPr>
        <w:spacing w:line="235" w:lineRule="auto"/>
        <w:ind w:left="121" w:right="3729" w:firstLine="9"/>
        <w:rPr>
          <w:rFonts w:ascii="Times New Roman" w:hAnsi="Times New Roman" w:cs="Times New Roman"/>
          <w:b/>
          <w:noProof/>
          <w:sz w:val="44"/>
          <w:szCs w:val="20"/>
        </w:rPr>
      </w:pPr>
      <w:r w:rsidRPr="00805442">
        <w:rPr>
          <w:rFonts w:ascii="Times New Roman" w:hAnsi="Times New Roman" w:cs="Times New Roman"/>
          <w:b/>
          <w:sz w:val="44"/>
          <w:szCs w:val="20"/>
        </w:rPr>
        <w:t>Šons Dohertijs [</w:t>
      </w:r>
      <w:r w:rsidRPr="00805442">
        <w:rPr>
          <w:rFonts w:ascii="Times New Roman" w:hAnsi="Times New Roman" w:cs="Times New Roman"/>
          <w:b/>
          <w:i/>
          <w:iCs/>
          <w:sz w:val="44"/>
          <w:szCs w:val="20"/>
        </w:rPr>
        <w:t>Sean Dougherty</w:t>
      </w:r>
      <w:r w:rsidRPr="00805442">
        <w:rPr>
          <w:rFonts w:ascii="Times New Roman" w:hAnsi="Times New Roman" w:cs="Times New Roman"/>
          <w:b/>
          <w:sz w:val="44"/>
          <w:szCs w:val="20"/>
        </w:rPr>
        <w:t>], Andoni Montess Nebreda [</w:t>
      </w:r>
      <w:r w:rsidRPr="00805442">
        <w:rPr>
          <w:rFonts w:ascii="Times New Roman" w:hAnsi="Times New Roman" w:cs="Times New Roman"/>
          <w:b/>
          <w:i/>
          <w:iCs/>
          <w:sz w:val="44"/>
          <w:szCs w:val="20"/>
        </w:rPr>
        <w:t>Andoni Montes Nebreda</w:t>
      </w:r>
      <w:r w:rsidRPr="00805442">
        <w:rPr>
          <w:rFonts w:ascii="Times New Roman" w:hAnsi="Times New Roman" w:cs="Times New Roman"/>
          <w:b/>
          <w:sz w:val="44"/>
          <w:szCs w:val="20"/>
        </w:rPr>
        <w:t>] un Tatjana Mota [</w:t>
      </w:r>
      <w:r w:rsidRPr="00805442">
        <w:rPr>
          <w:rFonts w:ascii="Times New Roman" w:hAnsi="Times New Roman" w:cs="Times New Roman"/>
          <w:b/>
          <w:i/>
          <w:iCs/>
          <w:sz w:val="44"/>
          <w:szCs w:val="20"/>
        </w:rPr>
        <w:t>Tatiana Mota</w:t>
      </w:r>
      <w:r w:rsidRPr="00805442">
        <w:rPr>
          <w:rFonts w:ascii="Times New Roman" w:hAnsi="Times New Roman" w:cs="Times New Roman"/>
          <w:b/>
          <w:sz w:val="44"/>
          <w:szCs w:val="20"/>
        </w:rPr>
        <w:t>]</w:t>
      </w:r>
    </w:p>
    <w:p w14:paraId="40BE414A" w14:textId="5F9F0218" w:rsidR="0068352E" w:rsidRPr="00805442" w:rsidRDefault="0068352E" w:rsidP="00805442">
      <w:pPr>
        <w:pStyle w:val="BodyText"/>
        <w:rPr>
          <w:rFonts w:ascii="Times New Roman" w:hAnsi="Times New Roman" w:cs="Times New Roman"/>
          <w:b/>
          <w:noProof/>
          <w:sz w:val="48"/>
        </w:rPr>
      </w:pPr>
    </w:p>
    <w:p w14:paraId="5DDB8B3F" w14:textId="4727A2AB" w:rsidR="0068352E" w:rsidRPr="00805442" w:rsidRDefault="0068352E" w:rsidP="00805442">
      <w:pPr>
        <w:spacing w:line="235" w:lineRule="auto"/>
        <w:ind w:left="116" w:right="4252"/>
        <w:rPr>
          <w:rFonts w:ascii="Times New Roman" w:hAnsi="Times New Roman" w:cs="Times New Roman"/>
          <w:b/>
          <w:noProof/>
          <w:color w:val="05629B"/>
          <w:sz w:val="48"/>
        </w:rPr>
      </w:pPr>
      <w:r w:rsidRPr="00805442">
        <w:rPr>
          <w:rFonts w:ascii="Times New Roman" w:hAnsi="Times New Roman" w:cs="Times New Roman"/>
          <w:b/>
          <w:i/>
          <w:iCs/>
          <w:color w:val="05629B"/>
          <w:sz w:val="48"/>
        </w:rPr>
        <w:t>OECD</w:t>
      </w:r>
      <w:r w:rsidRPr="00805442">
        <w:rPr>
          <w:rFonts w:ascii="Times New Roman" w:hAnsi="Times New Roman" w:cs="Times New Roman"/>
          <w:b/>
          <w:color w:val="05629B"/>
          <w:sz w:val="48"/>
        </w:rPr>
        <w:t xml:space="preserve"> DARBA DOKUMENTI PAR FISKĀLO FEDERĀLISMU</w:t>
      </w:r>
    </w:p>
    <w:p w14:paraId="41CBC1BC" w14:textId="61EDA9B6" w:rsidR="0068352E" w:rsidRDefault="0068352E" w:rsidP="00805442">
      <w:pPr>
        <w:pStyle w:val="BodyText"/>
        <w:rPr>
          <w:rFonts w:ascii="Times New Roman" w:hAnsi="Times New Roman" w:cs="Times New Roman"/>
          <w:b/>
          <w:noProof/>
          <w:sz w:val="28"/>
          <w:szCs w:val="10"/>
        </w:rPr>
      </w:pPr>
    </w:p>
    <w:p w14:paraId="29896910" w14:textId="77777777" w:rsidR="00805442" w:rsidRPr="00805442" w:rsidRDefault="00805442" w:rsidP="00805442">
      <w:pPr>
        <w:pStyle w:val="BodyText"/>
        <w:rPr>
          <w:rFonts w:ascii="Times New Roman" w:hAnsi="Times New Roman" w:cs="Times New Roman"/>
          <w:b/>
          <w:noProof/>
          <w:sz w:val="28"/>
          <w:szCs w:val="10"/>
        </w:rPr>
      </w:pPr>
    </w:p>
    <w:p w14:paraId="40D43186" w14:textId="6B522E80" w:rsidR="0068352E" w:rsidRPr="00805442" w:rsidRDefault="0068352E" w:rsidP="00805442">
      <w:pPr>
        <w:ind w:left="166"/>
        <w:rPr>
          <w:rFonts w:ascii="Times New Roman" w:hAnsi="Times New Roman" w:cs="Times New Roman"/>
          <w:noProof/>
          <w:color w:val="6D6E71"/>
          <w:sz w:val="36"/>
        </w:rPr>
      </w:pPr>
      <w:r w:rsidRPr="00805442">
        <w:rPr>
          <w:rFonts w:ascii="Times New Roman" w:hAnsi="Times New Roman" w:cs="Times New Roman"/>
          <w:color w:val="6D6E71"/>
          <w:sz w:val="36"/>
        </w:rPr>
        <w:t>2024. gada jūlijs, Nr. 49</w:t>
      </w:r>
    </w:p>
    <w:p w14:paraId="66A2F36B" w14:textId="1A300BD9" w:rsidR="00A47D09" w:rsidRPr="00805442" w:rsidRDefault="00A47D09" w:rsidP="0068352E">
      <w:pPr>
        <w:rPr>
          <w:rFonts w:ascii="Times New Roman" w:hAnsi="Times New Roman" w:cs="Times New Roman"/>
          <w:noProof/>
          <w:sz w:val="36"/>
        </w:rPr>
      </w:pPr>
    </w:p>
    <w:p w14:paraId="4C2C223D" w14:textId="75949639" w:rsidR="006C0F66" w:rsidRPr="00805442" w:rsidRDefault="00F92C74">
      <w:pPr>
        <w:rPr>
          <w:rFonts w:ascii="Times New Roman" w:hAnsi="Times New Roman" w:cs="Times New Roman"/>
          <w:b/>
          <w:i/>
          <w:noProof/>
          <w:color w:val="4D81BD"/>
          <w:sz w:val="30"/>
        </w:rPr>
      </w:pPr>
      <w:r w:rsidRPr="00805442">
        <w:rPr>
          <w:rFonts w:ascii="Times New Roman" w:hAnsi="Times New Roman" w:cs="Times New Roman"/>
          <w:noProof/>
          <w:color w:val="05629B"/>
        </w:rPr>
        <w:drawing>
          <wp:anchor distT="0" distB="0" distL="114300" distR="114300" simplePos="0" relativeHeight="251653120" behindDoc="0" locked="0" layoutInCell="1" allowOverlap="1" wp14:anchorId="713D4616" wp14:editId="2ECA0D4E">
            <wp:simplePos x="0" y="0"/>
            <wp:positionH relativeFrom="column">
              <wp:posOffset>3950971</wp:posOffset>
            </wp:positionH>
            <wp:positionV relativeFrom="paragraph">
              <wp:posOffset>335280</wp:posOffset>
            </wp:positionV>
            <wp:extent cx="1737511" cy="594412"/>
            <wp:effectExtent l="0" t="0" r="0" b="0"/>
            <wp:wrapSquare wrapText="bothSides"/>
            <wp:docPr id="283877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77951" name=""/>
                    <pic:cNvPicPr/>
                  </pic:nvPicPr>
                  <pic:blipFill>
                    <a:blip r:embed="rId12">
                      <a:extLst>
                        <a:ext uri="{28A0092B-C50C-407E-A947-70E740481C1C}">
                          <a14:useLocalDpi xmlns:a14="http://schemas.microsoft.com/office/drawing/2010/main" val="0"/>
                        </a:ext>
                      </a:extLst>
                    </a:blip>
                    <a:stretch>
                      <a:fillRect/>
                    </a:stretch>
                  </pic:blipFill>
                  <pic:spPr>
                    <a:xfrm>
                      <a:off x="0" y="0"/>
                      <a:ext cx="1737511" cy="594412"/>
                    </a:xfrm>
                    <a:prstGeom prst="rect">
                      <a:avLst/>
                    </a:prstGeom>
                  </pic:spPr>
                </pic:pic>
              </a:graphicData>
            </a:graphic>
            <wp14:sizeRelH relativeFrom="page">
              <wp14:pctWidth>0</wp14:pctWidth>
            </wp14:sizeRelH>
            <wp14:sizeRelV relativeFrom="page">
              <wp14:pctHeight>0</wp14:pctHeight>
            </wp14:sizeRelV>
          </wp:anchor>
        </w:drawing>
      </w:r>
      <w:r w:rsidRPr="00805442">
        <w:rPr>
          <w:rFonts w:ascii="Times New Roman" w:hAnsi="Times New Roman" w:cs="Times New Roman"/>
        </w:rPr>
        <w:br w:type="page"/>
      </w:r>
    </w:p>
    <w:p w14:paraId="7541655C" w14:textId="717C6498" w:rsidR="0068352E" w:rsidRPr="00805442" w:rsidRDefault="0068352E" w:rsidP="004629BA">
      <w:pPr>
        <w:jc w:val="center"/>
        <w:rPr>
          <w:rFonts w:ascii="Times New Roman" w:hAnsi="Times New Roman" w:cs="Times New Roman"/>
          <w:b/>
          <w:i/>
          <w:noProof/>
          <w:color w:val="4D81BD"/>
          <w:sz w:val="28"/>
          <w:szCs w:val="28"/>
        </w:rPr>
      </w:pPr>
      <w:r w:rsidRPr="00805442">
        <w:rPr>
          <w:rFonts w:ascii="Times New Roman" w:hAnsi="Times New Roman" w:cs="Times New Roman"/>
          <w:b/>
          <w:color w:val="4D81BD"/>
          <w:sz w:val="28"/>
        </w:rPr>
        <w:lastRenderedPageBreak/>
        <w:t>OECD</w:t>
      </w:r>
      <w:r w:rsidRPr="00805442">
        <w:rPr>
          <w:rFonts w:ascii="Times New Roman" w:hAnsi="Times New Roman" w:cs="Times New Roman"/>
          <w:b/>
          <w:i/>
          <w:color w:val="4D81BD"/>
          <w:sz w:val="28"/>
        </w:rPr>
        <w:t xml:space="preserve"> PĀRVALDES LĪMEŅU FISKĀLO ATTIECĪBU TĪKLS (TURPMĀK – “FISKĀLAIS TĪKLS”)</w:t>
      </w:r>
    </w:p>
    <w:p w14:paraId="3817F06E" w14:textId="77777777" w:rsidR="004629BA" w:rsidRPr="00805442" w:rsidRDefault="004629BA" w:rsidP="004629BA">
      <w:pPr>
        <w:jc w:val="center"/>
        <w:rPr>
          <w:rFonts w:ascii="Times New Roman" w:hAnsi="Times New Roman" w:cs="Times New Roman"/>
          <w:b/>
          <w:i/>
          <w:noProof/>
          <w:color w:val="4D81BD"/>
          <w:sz w:val="24"/>
          <w:szCs w:val="24"/>
        </w:rPr>
      </w:pPr>
    </w:p>
    <w:p w14:paraId="68DA6A36" w14:textId="77777777" w:rsidR="0068352E" w:rsidRPr="00805442" w:rsidRDefault="0068352E" w:rsidP="004629BA">
      <w:pPr>
        <w:pStyle w:val="Heading1"/>
        <w:ind w:left="0"/>
        <w:jc w:val="center"/>
        <w:rPr>
          <w:rFonts w:ascii="Times New Roman" w:hAnsi="Times New Roman" w:cs="Times New Roman"/>
          <w:noProof/>
          <w:color w:val="4D81BD"/>
          <w:sz w:val="24"/>
          <w:szCs w:val="24"/>
        </w:rPr>
      </w:pPr>
      <w:r w:rsidRPr="00805442">
        <w:rPr>
          <w:rFonts w:ascii="Times New Roman" w:hAnsi="Times New Roman" w:cs="Times New Roman"/>
          <w:i/>
          <w:iCs/>
          <w:color w:val="4D81BD"/>
          <w:sz w:val="24"/>
        </w:rPr>
        <w:t>OECD</w:t>
      </w:r>
      <w:r w:rsidRPr="00805442">
        <w:rPr>
          <w:rFonts w:ascii="Times New Roman" w:hAnsi="Times New Roman" w:cs="Times New Roman"/>
          <w:color w:val="4D81BD"/>
          <w:sz w:val="24"/>
        </w:rPr>
        <w:t xml:space="preserve"> darba dokumenti par fiskālo federālismu</w:t>
      </w:r>
    </w:p>
    <w:p w14:paraId="1E299A1F" w14:textId="77777777" w:rsidR="0068352E" w:rsidRPr="00805442" w:rsidRDefault="0068352E" w:rsidP="00F92C74">
      <w:pPr>
        <w:pStyle w:val="BodyText"/>
        <w:jc w:val="both"/>
        <w:rPr>
          <w:rFonts w:ascii="Times New Roman" w:hAnsi="Times New Roman" w:cs="Times New Roman"/>
          <w:b/>
          <w:noProof/>
          <w:sz w:val="24"/>
          <w:szCs w:val="24"/>
        </w:rPr>
      </w:pPr>
    </w:p>
    <w:p w14:paraId="3D0A5E72"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Šī sērija ir sagatavota, lai plašākam lasītāju lokam darītu pieejamus atlasītus pētījumus, kuru pamatā ir </w:t>
      </w:r>
      <w:r w:rsidRPr="00805442">
        <w:rPr>
          <w:rFonts w:ascii="Times New Roman" w:hAnsi="Times New Roman" w:cs="Times New Roman"/>
          <w:i/>
          <w:iCs/>
          <w:sz w:val="24"/>
        </w:rPr>
        <w:t>OECD</w:t>
      </w:r>
      <w:r w:rsidRPr="00805442">
        <w:rPr>
          <w:rFonts w:ascii="Times New Roman" w:hAnsi="Times New Roman" w:cs="Times New Roman"/>
          <w:sz w:val="24"/>
        </w:rPr>
        <w:t xml:space="preserve"> Pārvaldes līmeņu fiskālo attiecību tīkla paveiktais darbs. Autorība parasti ir kolektīva, taču galveno autoru vārdi ir norādīti. Dokumenti parasti ir pieejami tikai oriģinālvalodā, kurā tie tika sagatavoti (angļu vai franču valodā), citās valodās esot pieejamam vien īsam kopsavilkumam.</w:t>
      </w:r>
    </w:p>
    <w:p w14:paraId="189E9734" w14:textId="77777777" w:rsidR="004629BA" w:rsidRPr="00805442" w:rsidRDefault="004629BA" w:rsidP="00F92C74">
      <w:pPr>
        <w:jc w:val="both"/>
        <w:rPr>
          <w:rFonts w:ascii="Times New Roman" w:hAnsi="Times New Roman" w:cs="Times New Roman"/>
          <w:noProof/>
          <w:sz w:val="24"/>
          <w:szCs w:val="24"/>
        </w:rPr>
      </w:pPr>
    </w:p>
    <w:p w14:paraId="51D60452"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i/>
          <w:iCs/>
          <w:sz w:val="24"/>
        </w:rPr>
        <w:t>OECD</w:t>
      </w:r>
      <w:r w:rsidRPr="00805442">
        <w:rPr>
          <w:rFonts w:ascii="Times New Roman" w:hAnsi="Times New Roman" w:cs="Times New Roman"/>
          <w:sz w:val="24"/>
        </w:rPr>
        <w:t xml:space="preserve"> darba dokumenti nav jāuzskata par </w:t>
      </w:r>
      <w:r w:rsidRPr="00805442">
        <w:rPr>
          <w:rFonts w:ascii="Times New Roman" w:hAnsi="Times New Roman" w:cs="Times New Roman"/>
          <w:i/>
          <w:iCs/>
          <w:sz w:val="24"/>
        </w:rPr>
        <w:t>OECD</w:t>
      </w:r>
      <w:r w:rsidRPr="00805442">
        <w:rPr>
          <w:rFonts w:ascii="Times New Roman" w:hAnsi="Times New Roman" w:cs="Times New Roman"/>
          <w:sz w:val="24"/>
        </w:rPr>
        <w:t xml:space="preserve"> vai tās dalībvalstu oficiālā viedokļa atspoguļojumu. Paustie viedokļi un izmantotie argumenti atspoguļo tikai to autora(-u) nostāju.</w:t>
      </w:r>
    </w:p>
    <w:p w14:paraId="0ED8C17B" w14:textId="77777777" w:rsidR="004629BA" w:rsidRPr="00805442" w:rsidRDefault="004629BA" w:rsidP="00F92C74">
      <w:pPr>
        <w:jc w:val="both"/>
        <w:rPr>
          <w:rFonts w:ascii="Times New Roman" w:hAnsi="Times New Roman" w:cs="Times New Roman"/>
          <w:noProof/>
          <w:sz w:val="24"/>
          <w:szCs w:val="24"/>
        </w:rPr>
      </w:pPr>
    </w:p>
    <w:p w14:paraId="1A708D84"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Darba dokumentos ir izklāstīti autora(-u) provizoriskie rezultāti vai notiekošā pētniecība, un tie ir publicēti, lai veicinātu diskusiju par plašu </w:t>
      </w:r>
      <w:r w:rsidRPr="00805442">
        <w:rPr>
          <w:rFonts w:ascii="Times New Roman" w:hAnsi="Times New Roman" w:cs="Times New Roman"/>
          <w:i/>
          <w:iCs/>
          <w:sz w:val="24"/>
        </w:rPr>
        <w:t>OECD</w:t>
      </w:r>
      <w:r w:rsidRPr="00805442">
        <w:rPr>
          <w:rFonts w:ascii="Times New Roman" w:hAnsi="Times New Roman" w:cs="Times New Roman"/>
          <w:sz w:val="24"/>
        </w:rPr>
        <w:t xml:space="preserve"> darba jautājumu loku. Šā darba dokumenta izdošanu ir pilnvarojusi </w:t>
      </w:r>
      <w:r w:rsidRPr="00805442">
        <w:rPr>
          <w:rFonts w:ascii="Times New Roman" w:hAnsi="Times New Roman" w:cs="Times New Roman"/>
          <w:i/>
          <w:iCs/>
          <w:sz w:val="24"/>
        </w:rPr>
        <w:t>OECD</w:t>
      </w:r>
      <w:r w:rsidRPr="00805442">
        <w:rPr>
          <w:rFonts w:ascii="Times New Roman" w:hAnsi="Times New Roman" w:cs="Times New Roman"/>
          <w:sz w:val="24"/>
        </w:rPr>
        <w:t xml:space="preserve"> Uzņēmējdarbības, MVU, reģionu un pilsētu centra direktore Lamia Kamala-Šauī [</w:t>
      </w:r>
      <w:r w:rsidRPr="00805442">
        <w:rPr>
          <w:rFonts w:ascii="Times New Roman" w:hAnsi="Times New Roman" w:cs="Times New Roman"/>
          <w:i/>
          <w:iCs/>
          <w:sz w:val="24"/>
        </w:rPr>
        <w:t>Lamia Kamal-Chaoui</w:t>
      </w:r>
      <w:r w:rsidRPr="00805442">
        <w:rPr>
          <w:rFonts w:ascii="Times New Roman" w:hAnsi="Times New Roman" w:cs="Times New Roman"/>
          <w:sz w:val="24"/>
        </w:rPr>
        <w:t>].</w:t>
      </w:r>
    </w:p>
    <w:p w14:paraId="41462323" w14:textId="77777777" w:rsidR="004629BA" w:rsidRPr="00805442" w:rsidRDefault="004629BA" w:rsidP="00F92C74">
      <w:pPr>
        <w:jc w:val="both"/>
        <w:rPr>
          <w:rFonts w:ascii="Times New Roman" w:hAnsi="Times New Roman" w:cs="Times New Roman"/>
          <w:noProof/>
          <w:sz w:val="24"/>
          <w:szCs w:val="24"/>
        </w:rPr>
      </w:pPr>
    </w:p>
    <w:p w14:paraId="6AF1BE9E" w14:textId="44D15065"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Komentāri par darba dokumentiem tiek pieņemti ar atsaucību, un tie ir jāsūta uz: fiscalnetwork@oecd.org vai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Fiskālo attiecību tīklu – </w:t>
      </w:r>
      <w:r w:rsidRPr="00805442">
        <w:rPr>
          <w:rFonts w:ascii="Times New Roman" w:hAnsi="Times New Roman" w:cs="Times New Roman"/>
          <w:i/>
          <w:iCs/>
          <w:sz w:val="24"/>
        </w:rPr>
        <w:t>OECD Network on Fiscal Relations, 2 rue André Pascal, 75775 PARIS CEDEX 16, France</w:t>
      </w:r>
      <w:r w:rsidRPr="00805442">
        <w:rPr>
          <w:rFonts w:ascii="Times New Roman" w:hAnsi="Times New Roman" w:cs="Times New Roman"/>
          <w:sz w:val="24"/>
        </w:rPr>
        <w:t>.</w:t>
      </w:r>
    </w:p>
    <w:p w14:paraId="5E8E32E2" w14:textId="77777777" w:rsidR="004629BA" w:rsidRPr="00805442" w:rsidRDefault="004629BA" w:rsidP="00F92C74">
      <w:pPr>
        <w:jc w:val="both"/>
        <w:rPr>
          <w:rFonts w:ascii="Times New Roman" w:hAnsi="Times New Roman" w:cs="Times New Roman"/>
          <w:noProof/>
          <w:sz w:val="24"/>
          <w:szCs w:val="24"/>
        </w:rPr>
      </w:pPr>
    </w:p>
    <w:p w14:paraId="572AA00B"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Ne šis dokuments, ne tajā iekļautās kartes nemaina nevienas teritorijas statusu vai suverenitāti pār šādu teritoriju, starptautiskās robežas un nevienas teritorijas, pilsētas vai apgabala nosaukumu.</w:t>
      </w:r>
    </w:p>
    <w:p w14:paraId="742A0675" w14:textId="77777777" w:rsidR="004629BA" w:rsidRPr="00805442" w:rsidRDefault="004629BA" w:rsidP="00F92C74">
      <w:pPr>
        <w:jc w:val="both"/>
        <w:rPr>
          <w:rFonts w:ascii="Times New Roman" w:hAnsi="Times New Roman" w:cs="Times New Roman"/>
          <w:noProof/>
          <w:sz w:val="24"/>
          <w:szCs w:val="24"/>
        </w:rPr>
      </w:pPr>
    </w:p>
    <w:p w14:paraId="194AAE86"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Statistikas datus par Izraēlu ir sniegušas attiecīgās Izraēlas iestādes, un tās uzņemas atbildību par šiem statistikas datiem. Tas, ka </w:t>
      </w:r>
      <w:r w:rsidRPr="00805442">
        <w:rPr>
          <w:rFonts w:ascii="Times New Roman" w:hAnsi="Times New Roman" w:cs="Times New Roman"/>
          <w:i/>
          <w:iCs/>
          <w:sz w:val="24"/>
        </w:rPr>
        <w:t>OECD</w:t>
      </w:r>
      <w:r w:rsidRPr="00805442">
        <w:rPr>
          <w:rFonts w:ascii="Times New Roman" w:hAnsi="Times New Roman" w:cs="Times New Roman"/>
          <w:sz w:val="24"/>
        </w:rPr>
        <w:t xml:space="preserve"> izmanto šādus datus, neskar starptautiskajās tiesībās noteikto Golānas augstieņu, Jeruzalemes austrumu daļas un izraēliešu Rietumkrasta apmetņu statusu.</w:t>
      </w:r>
    </w:p>
    <w:p w14:paraId="30AE6897" w14:textId="77777777" w:rsidR="004629BA" w:rsidRPr="00805442" w:rsidRDefault="004629BA" w:rsidP="00F92C74">
      <w:pPr>
        <w:jc w:val="both"/>
        <w:rPr>
          <w:rFonts w:ascii="Times New Roman" w:hAnsi="Times New Roman" w:cs="Times New Roman"/>
          <w:noProof/>
          <w:sz w:val="24"/>
          <w:szCs w:val="24"/>
        </w:rPr>
      </w:pPr>
    </w:p>
    <w:p w14:paraId="61160D11" w14:textId="701D3ABA" w:rsidR="0068352E" w:rsidRDefault="0068352E" w:rsidP="00F92C74">
      <w:pPr>
        <w:jc w:val="both"/>
        <w:rPr>
          <w:rFonts w:ascii="Times New Roman" w:hAnsi="Times New Roman" w:cs="Times New Roman"/>
          <w:sz w:val="24"/>
        </w:rPr>
      </w:pPr>
      <w:r w:rsidRPr="00805442">
        <w:rPr>
          <w:rFonts w:ascii="Times New Roman" w:hAnsi="Times New Roman" w:cs="Times New Roman"/>
          <w:sz w:val="24"/>
        </w:rPr>
        <w:t xml:space="preserve">Šīs </w:t>
      </w:r>
      <w:r w:rsidRPr="00805442">
        <w:rPr>
          <w:rFonts w:ascii="Times New Roman" w:hAnsi="Times New Roman" w:cs="Times New Roman"/>
          <w:i/>
          <w:iCs/>
          <w:sz w:val="24"/>
        </w:rPr>
        <w:t>OECD</w:t>
      </w:r>
      <w:r w:rsidRPr="00805442">
        <w:rPr>
          <w:rFonts w:ascii="Times New Roman" w:hAnsi="Times New Roman" w:cs="Times New Roman"/>
          <w:sz w:val="24"/>
        </w:rPr>
        <w:t xml:space="preserve"> publikācijas saturu var kopēt, lejupielādēt un drukāt savām vajadzībām, un izvilkumus no </w:t>
      </w:r>
      <w:r w:rsidRPr="00805442">
        <w:rPr>
          <w:rFonts w:ascii="Times New Roman" w:hAnsi="Times New Roman" w:cs="Times New Roman"/>
          <w:i/>
          <w:iCs/>
          <w:sz w:val="24"/>
        </w:rPr>
        <w:t>OECD</w:t>
      </w:r>
      <w:r w:rsidRPr="00805442">
        <w:rPr>
          <w:rFonts w:ascii="Times New Roman" w:hAnsi="Times New Roman" w:cs="Times New Roman"/>
          <w:sz w:val="24"/>
        </w:rPr>
        <w:t xml:space="preserve"> publikācijām, datubāzēm un multivides produktiem var iekļaut savos dokumentos, prezentācijās, emuāros, tīmekļa vietnēs un mācību materiālos, pievienojot atbilstošu norādi par </w:t>
      </w:r>
      <w:r w:rsidRPr="00805442">
        <w:rPr>
          <w:rFonts w:ascii="Times New Roman" w:hAnsi="Times New Roman" w:cs="Times New Roman"/>
          <w:i/>
          <w:iCs/>
          <w:sz w:val="24"/>
        </w:rPr>
        <w:t>OECD</w:t>
      </w:r>
      <w:r w:rsidRPr="00805442">
        <w:rPr>
          <w:rFonts w:ascii="Times New Roman" w:hAnsi="Times New Roman" w:cs="Times New Roman"/>
          <w:sz w:val="24"/>
        </w:rPr>
        <w:t xml:space="preserve"> kā informācijas avotu un autortiesību īpašnieku. Publiskas vai komerciālas izmantošanas un tulkošanas tiesību pieprasījumi jāiesniedz, rakstot uz: rights@oecd.org.</w:t>
      </w:r>
    </w:p>
    <w:p w14:paraId="1689ADD7" w14:textId="77777777" w:rsidR="00805442" w:rsidRPr="00805442" w:rsidRDefault="00805442" w:rsidP="00F92C74">
      <w:pPr>
        <w:jc w:val="both"/>
        <w:rPr>
          <w:rFonts w:ascii="Times New Roman" w:hAnsi="Times New Roman" w:cs="Times New Roman"/>
          <w:noProof/>
          <w:sz w:val="24"/>
          <w:szCs w:val="24"/>
        </w:rPr>
      </w:pPr>
    </w:p>
    <w:p w14:paraId="26001C78"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Autortiesības © </w:t>
      </w:r>
      <w:r w:rsidRPr="00805442">
        <w:rPr>
          <w:rFonts w:ascii="Times New Roman" w:hAnsi="Times New Roman" w:cs="Times New Roman"/>
          <w:i/>
          <w:iCs/>
          <w:sz w:val="24"/>
        </w:rPr>
        <w:t>OECD</w:t>
      </w:r>
      <w:r w:rsidRPr="00805442">
        <w:rPr>
          <w:rFonts w:ascii="Times New Roman" w:hAnsi="Times New Roman" w:cs="Times New Roman"/>
          <w:sz w:val="24"/>
        </w:rPr>
        <w:t> 2024.</w:t>
      </w:r>
    </w:p>
    <w:p w14:paraId="6289564A" w14:textId="77777777" w:rsidR="004629BA" w:rsidRPr="00805442" w:rsidRDefault="004629BA">
      <w:pPr>
        <w:rPr>
          <w:rFonts w:ascii="Times New Roman" w:eastAsia="Arial Narrow" w:hAnsi="Times New Roman" w:cs="Times New Roman"/>
          <w:b/>
          <w:bCs/>
          <w:noProof/>
          <w:color w:val="4D81BD"/>
          <w:sz w:val="24"/>
          <w:szCs w:val="24"/>
        </w:rPr>
      </w:pPr>
      <w:r w:rsidRPr="00805442">
        <w:rPr>
          <w:rFonts w:ascii="Times New Roman" w:hAnsi="Times New Roman" w:cs="Times New Roman"/>
        </w:rPr>
        <w:br w:type="page"/>
      </w:r>
    </w:p>
    <w:p w14:paraId="7C924FDB" w14:textId="09D59A33" w:rsidR="0068352E" w:rsidRPr="00805442" w:rsidRDefault="0068352E" w:rsidP="008C73D6">
      <w:pPr>
        <w:pStyle w:val="Heading1"/>
        <w:ind w:left="0"/>
        <w:jc w:val="center"/>
        <w:rPr>
          <w:rFonts w:ascii="Times New Roman" w:hAnsi="Times New Roman" w:cs="Times New Roman"/>
          <w:noProof/>
          <w:color w:val="4D81BD"/>
          <w:sz w:val="28"/>
          <w:szCs w:val="28"/>
        </w:rPr>
      </w:pPr>
      <w:r w:rsidRPr="00805442">
        <w:rPr>
          <w:rFonts w:ascii="Times New Roman" w:hAnsi="Times New Roman" w:cs="Times New Roman"/>
          <w:color w:val="4D81BD"/>
          <w:sz w:val="28"/>
        </w:rPr>
        <w:lastRenderedPageBreak/>
        <w:t>Kopsavilkums</w:t>
      </w:r>
    </w:p>
    <w:p w14:paraId="140E824B" w14:textId="77777777" w:rsidR="0068352E" w:rsidRPr="00805442" w:rsidRDefault="0068352E" w:rsidP="008C73D6">
      <w:pPr>
        <w:pStyle w:val="BodyText"/>
        <w:jc w:val="center"/>
        <w:rPr>
          <w:rFonts w:ascii="Times New Roman" w:hAnsi="Times New Roman" w:cs="Times New Roman"/>
          <w:b/>
          <w:noProof/>
          <w:sz w:val="28"/>
          <w:szCs w:val="28"/>
        </w:rPr>
      </w:pPr>
    </w:p>
    <w:p w14:paraId="0BA922EF" w14:textId="77777777" w:rsidR="0068352E" w:rsidRPr="00805442" w:rsidRDefault="0068352E" w:rsidP="008C73D6">
      <w:pPr>
        <w:jc w:val="center"/>
        <w:rPr>
          <w:rFonts w:ascii="Times New Roman" w:hAnsi="Times New Roman" w:cs="Times New Roman"/>
          <w:b/>
          <w:noProof/>
          <w:color w:val="4D81BD"/>
          <w:sz w:val="28"/>
          <w:szCs w:val="28"/>
        </w:rPr>
      </w:pPr>
      <w:r w:rsidRPr="00805442">
        <w:rPr>
          <w:rFonts w:ascii="Times New Roman" w:hAnsi="Times New Roman" w:cs="Times New Roman"/>
          <w:b/>
          <w:color w:val="4D81BD"/>
          <w:sz w:val="28"/>
        </w:rPr>
        <w:t>Starpvaldību fiskālo pārvedumu pielāgošana nākotnei – jaunās tendences un inovatīvas pieejas</w:t>
      </w:r>
    </w:p>
    <w:p w14:paraId="72ADDA53" w14:textId="77777777" w:rsidR="0068352E" w:rsidRPr="00805442" w:rsidRDefault="0068352E" w:rsidP="00F92C74">
      <w:pPr>
        <w:pStyle w:val="BodyText"/>
        <w:jc w:val="both"/>
        <w:rPr>
          <w:rFonts w:ascii="Times New Roman" w:hAnsi="Times New Roman" w:cs="Times New Roman"/>
          <w:b/>
          <w:noProof/>
          <w:sz w:val="24"/>
          <w:szCs w:val="24"/>
        </w:rPr>
      </w:pPr>
    </w:p>
    <w:p w14:paraId="129DA880" w14:textId="77777777" w:rsidR="0068352E" w:rsidRPr="00805442" w:rsidRDefault="0068352E" w:rsidP="008C73D6">
      <w:pPr>
        <w:ind w:firstLine="284"/>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 xml:space="preserve">Starpvaldību fiskālajiem pārvedumiem (SFP) ir būtiska loma, novēršot vertikālo un horizontālo nelīdzsvarotību, veicinot taisnīgu pakalpojumu sniegšanu un saskaņojot vietējos izdevumus ar valstu prioritātēm visās </w:t>
      </w:r>
      <w:r w:rsidRPr="00805442">
        <w:rPr>
          <w:rFonts w:ascii="Times New Roman" w:hAnsi="Times New Roman" w:cs="Times New Roman"/>
          <w:i/>
          <w:iCs/>
          <w:color w:val="4D81BD"/>
          <w:sz w:val="24"/>
        </w:rPr>
        <w:t>OECD</w:t>
      </w:r>
      <w:r w:rsidRPr="00805442">
        <w:rPr>
          <w:rFonts w:ascii="Times New Roman" w:hAnsi="Times New Roman" w:cs="Times New Roman"/>
          <w:color w:val="4D81BD"/>
          <w:sz w:val="24"/>
        </w:rPr>
        <w:t xml:space="preserve"> valstīs. Tomēr to izstrāde ietver sarežģītu kompromisu panākšanu starp taisnīgumu, efektivitāti, pārskatāmību un autonomiju. Šajā dokumentā ir pārskatīta SFP teorētiskā struktūra ar mērķi analizēt to uzdevumus, stimulus un rezultātus, kā arī precizēt to klasifikāciju. Būtisks šā pētījuma ieguldījums ir jaunie dati par SFP visā </w:t>
      </w:r>
      <w:r w:rsidRPr="00805442">
        <w:rPr>
          <w:rFonts w:ascii="Times New Roman" w:hAnsi="Times New Roman" w:cs="Times New Roman"/>
          <w:i/>
          <w:iCs/>
          <w:color w:val="4D81BD"/>
          <w:sz w:val="24"/>
        </w:rPr>
        <w:t>OECD</w:t>
      </w:r>
      <w:r w:rsidRPr="00805442">
        <w:rPr>
          <w:rFonts w:ascii="Times New Roman" w:hAnsi="Times New Roman" w:cs="Times New Roman"/>
          <w:color w:val="4D81BD"/>
          <w:sz w:val="24"/>
        </w:rPr>
        <w:t>, atklājot, ka pārvedumi no centrālajām valdībām uz pašvaldībām palielinājās visās Covid-19 pandēmijas laikā apskatītajās valstīs. Lai gan pēdējos gados SFP nav notikušas radikālas izmaiņas, jaunās tendences, piemēram, uz sniegumu balstītas dotācijas, ekoloģiskie fiskālie pārvedumi, saiknes ar reģionālo politiku un jaunas budžeta veidošanas metodes, norāda uz potenciāliem reformu virzieniem. Izprotot pašreizējo dinamiku un tendences, šis pētījums tiecas pavērt ceļu informētākai, stratēģiskākai un izdevīgākai fiskālo pārvedumu politikai turpmākajos gados, nodrošinot, ka šie pārvedumi turpina efektīvi darboties paredzēto mērķu labā, vienlaikus pielāgojoties mainīgajiem ekonomiskajiem un sociālajiem apstākļiem</w:t>
      </w:r>
      <w:r w:rsidRPr="00805442">
        <w:rPr>
          <w:rFonts w:ascii="Times New Roman" w:hAnsi="Times New Roman" w:cs="Times New Roman"/>
          <w:i/>
          <w:iCs/>
          <w:color w:val="4D81BD"/>
          <w:sz w:val="24"/>
        </w:rPr>
        <w:t xml:space="preserve"> OECD</w:t>
      </w:r>
      <w:r w:rsidRPr="00805442">
        <w:rPr>
          <w:rFonts w:ascii="Times New Roman" w:hAnsi="Times New Roman" w:cs="Times New Roman"/>
          <w:color w:val="4D81BD"/>
          <w:sz w:val="24"/>
        </w:rPr>
        <w:t xml:space="preserve"> valstīs.</w:t>
      </w:r>
    </w:p>
    <w:p w14:paraId="45560433" w14:textId="77777777" w:rsidR="0068352E" w:rsidRPr="00805442" w:rsidRDefault="0068352E" w:rsidP="00F92C74">
      <w:pPr>
        <w:pStyle w:val="BodyText"/>
        <w:jc w:val="both"/>
        <w:rPr>
          <w:rFonts w:ascii="Times New Roman" w:hAnsi="Times New Roman" w:cs="Times New Roman"/>
          <w:noProof/>
          <w:sz w:val="24"/>
          <w:szCs w:val="24"/>
        </w:rPr>
      </w:pPr>
    </w:p>
    <w:p w14:paraId="0FEC003B" w14:textId="77777777" w:rsidR="0068352E" w:rsidRPr="00805442" w:rsidRDefault="0068352E" w:rsidP="008C73D6">
      <w:pPr>
        <w:ind w:firstLine="284"/>
        <w:jc w:val="both"/>
        <w:rPr>
          <w:rFonts w:ascii="Times New Roman" w:hAnsi="Times New Roman" w:cs="Times New Roman"/>
          <w:noProof/>
          <w:sz w:val="24"/>
          <w:szCs w:val="24"/>
        </w:rPr>
      </w:pPr>
      <w:r w:rsidRPr="00805442">
        <w:rPr>
          <w:rFonts w:ascii="Times New Roman" w:hAnsi="Times New Roman" w:cs="Times New Roman"/>
          <w:i/>
          <w:color w:val="4D81BD"/>
          <w:sz w:val="24"/>
        </w:rPr>
        <w:t>Atslēgvārdi</w:t>
      </w:r>
      <w:r w:rsidRPr="00805442">
        <w:rPr>
          <w:rFonts w:ascii="Times New Roman" w:hAnsi="Times New Roman" w:cs="Times New Roman"/>
          <w:color w:val="4D81BD"/>
          <w:sz w:val="24"/>
        </w:rPr>
        <w:t>: starpvaldību fiskālie pārvedumi, fiskālais federālisms, pašvaldības, fiskālā nelīdzsvarotība, pārvedumi ar nosacījumiem</w:t>
      </w:r>
    </w:p>
    <w:p w14:paraId="6BD199E5" w14:textId="77777777" w:rsidR="0068352E" w:rsidRPr="00805442" w:rsidRDefault="0068352E" w:rsidP="00F92C74">
      <w:pPr>
        <w:pStyle w:val="BodyText"/>
        <w:jc w:val="both"/>
        <w:rPr>
          <w:rFonts w:ascii="Times New Roman" w:hAnsi="Times New Roman" w:cs="Times New Roman"/>
          <w:noProof/>
          <w:sz w:val="24"/>
          <w:szCs w:val="24"/>
        </w:rPr>
      </w:pPr>
    </w:p>
    <w:p w14:paraId="6309C473"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i/>
          <w:color w:val="4D81BD"/>
          <w:sz w:val="24"/>
        </w:rPr>
        <w:t>JEL klasifikācija</w:t>
      </w:r>
      <w:r w:rsidRPr="00805442">
        <w:rPr>
          <w:rFonts w:ascii="Times New Roman" w:hAnsi="Times New Roman" w:cs="Times New Roman"/>
          <w:color w:val="4D81BD"/>
          <w:sz w:val="24"/>
        </w:rPr>
        <w:t>: H77, H81, R58</w:t>
      </w:r>
    </w:p>
    <w:p w14:paraId="08C25D1A" w14:textId="0110A695" w:rsidR="008C73D6" w:rsidRPr="00805442" w:rsidRDefault="008C73D6">
      <w:pPr>
        <w:rPr>
          <w:rFonts w:ascii="Times New Roman" w:hAnsi="Times New Roman" w:cs="Times New Roman"/>
          <w:noProof/>
          <w:sz w:val="24"/>
          <w:szCs w:val="24"/>
        </w:rPr>
      </w:pPr>
      <w:r w:rsidRPr="00805442">
        <w:rPr>
          <w:rFonts w:ascii="Times New Roman" w:hAnsi="Times New Roman" w:cs="Times New Roman"/>
        </w:rPr>
        <w:br w:type="page"/>
      </w:r>
    </w:p>
    <w:p w14:paraId="291F8B81" w14:textId="77777777" w:rsidR="0068352E" w:rsidRPr="00805442" w:rsidRDefault="0068352E" w:rsidP="00B060C8">
      <w:pPr>
        <w:jc w:val="center"/>
        <w:rPr>
          <w:rFonts w:ascii="Times New Roman" w:hAnsi="Times New Roman" w:cs="Times New Roman"/>
          <w:b/>
          <w:noProof/>
          <w:color w:val="4D81BD"/>
          <w:sz w:val="48"/>
          <w:szCs w:val="48"/>
        </w:rPr>
      </w:pPr>
      <w:r w:rsidRPr="00805442">
        <w:rPr>
          <w:rFonts w:ascii="Times New Roman" w:hAnsi="Times New Roman" w:cs="Times New Roman"/>
          <w:b/>
          <w:color w:val="4D81BD"/>
          <w:sz w:val="48"/>
        </w:rPr>
        <w:lastRenderedPageBreak/>
        <w:t>Starpvaldību fiskālo pārvedumu pielāgošana nākotnei – jaunās tendences un inovatīvas pieejas</w:t>
      </w:r>
    </w:p>
    <w:p w14:paraId="3A379068" w14:textId="77777777" w:rsidR="0068352E" w:rsidRPr="00805442" w:rsidRDefault="0068352E" w:rsidP="00F92C74">
      <w:pPr>
        <w:pStyle w:val="BodyText"/>
        <w:jc w:val="both"/>
        <w:rPr>
          <w:rFonts w:ascii="Times New Roman" w:hAnsi="Times New Roman" w:cs="Times New Roman"/>
          <w:b/>
          <w:noProof/>
          <w:sz w:val="24"/>
          <w:szCs w:val="24"/>
        </w:rPr>
      </w:pPr>
    </w:p>
    <w:p w14:paraId="00ABB6A2" w14:textId="6D161948" w:rsidR="0068352E" w:rsidRPr="00805442" w:rsidRDefault="0068352E" w:rsidP="00B060C8">
      <w:pPr>
        <w:pStyle w:val="BodyText"/>
        <w:jc w:val="center"/>
        <w:rPr>
          <w:rFonts w:ascii="Times New Roman" w:hAnsi="Times New Roman" w:cs="Times New Roman"/>
          <w:noProof/>
          <w:sz w:val="24"/>
          <w:szCs w:val="24"/>
        </w:rPr>
      </w:pPr>
      <w:r w:rsidRPr="00805442">
        <w:rPr>
          <w:rFonts w:ascii="Times New Roman" w:hAnsi="Times New Roman" w:cs="Times New Roman"/>
          <w:sz w:val="24"/>
        </w:rPr>
        <w:t>Autori: Šons Dohertijs, Andoni Montess Nebreda un Tatjana Mota</w:t>
      </w:r>
      <w:r w:rsidR="00B060C8" w:rsidRPr="00805442">
        <w:rPr>
          <w:rStyle w:val="FootnoteReference"/>
          <w:rFonts w:ascii="Times New Roman" w:hAnsi="Times New Roman" w:cs="Times New Roman"/>
          <w:noProof/>
          <w:sz w:val="24"/>
          <w:szCs w:val="24"/>
        </w:rPr>
        <w:footnoteReference w:id="2"/>
      </w:r>
    </w:p>
    <w:p w14:paraId="0F349FEF" w14:textId="77777777" w:rsidR="0072275C" w:rsidRPr="00805442" w:rsidRDefault="0072275C" w:rsidP="00B060C8">
      <w:pPr>
        <w:pStyle w:val="BodyText"/>
        <w:jc w:val="center"/>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single" w:sz="36" w:space="0" w:color="00B050"/>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288"/>
      </w:tblGrid>
      <w:tr w:rsidR="0072275C" w:rsidRPr="00805442" w14:paraId="6715F547" w14:textId="77777777" w:rsidTr="00CC6949">
        <w:tc>
          <w:tcPr>
            <w:tcW w:w="9288" w:type="dxa"/>
            <w:shd w:val="clear" w:color="auto" w:fill="EAF1DD" w:themeFill="accent3" w:themeFillTint="33"/>
          </w:tcPr>
          <w:p w14:paraId="479DE4C5" w14:textId="77777777" w:rsidR="00CC6949" w:rsidRPr="00805442" w:rsidRDefault="00CC6949" w:rsidP="00CC6949">
            <w:pPr>
              <w:pStyle w:val="BodyText"/>
              <w:ind w:right="113"/>
              <w:jc w:val="both"/>
              <w:rPr>
                <w:rFonts w:ascii="Times New Roman" w:hAnsi="Times New Roman" w:cs="Times New Roman"/>
                <w:b/>
                <w:noProof/>
                <w:color w:val="4D81BD"/>
                <w:sz w:val="32"/>
                <w:szCs w:val="32"/>
              </w:rPr>
            </w:pPr>
          </w:p>
          <w:p w14:paraId="2523CD6B" w14:textId="1835161C" w:rsidR="0072275C" w:rsidRPr="006675E1" w:rsidRDefault="0072275C" w:rsidP="00CC6949">
            <w:pPr>
              <w:pStyle w:val="BodyText"/>
              <w:ind w:right="113"/>
              <w:jc w:val="both"/>
              <w:rPr>
                <w:rFonts w:ascii="Times New Roman" w:hAnsi="Times New Roman" w:cs="Times New Roman"/>
                <w:b/>
                <w:noProof/>
                <w:color w:val="4D81BD"/>
                <w:sz w:val="28"/>
                <w:szCs w:val="28"/>
              </w:rPr>
            </w:pPr>
            <w:r w:rsidRPr="006675E1">
              <w:rPr>
                <w:rFonts w:ascii="Times New Roman" w:hAnsi="Times New Roman" w:cs="Times New Roman"/>
                <w:b/>
                <w:color w:val="4D81BD"/>
                <w:sz w:val="28"/>
                <w:szCs w:val="18"/>
              </w:rPr>
              <w:t>Galvenās atziņas</w:t>
            </w:r>
          </w:p>
          <w:p w14:paraId="23B92E4F" w14:textId="77777777" w:rsidR="0072275C" w:rsidRPr="00805442" w:rsidRDefault="0072275C" w:rsidP="00CC6949">
            <w:pPr>
              <w:pStyle w:val="BodyText"/>
              <w:ind w:right="113"/>
              <w:jc w:val="both"/>
              <w:rPr>
                <w:rFonts w:ascii="Times New Roman" w:hAnsi="Times New Roman" w:cs="Times New Roman"/>
                <w:noProof/>
                <w:sz w:val="24"/>
                <w:szCs w:val="24"/>
              </w:rPr>
            </w:pPr>
          </w:p>
          <w:p w14:paraId="0228B468" w14:textId="067D3DAF" w:rsidR="0072275C" w:rsidRPr="00805442" w:rsidRDefault="0072275C" w:rsidP="00CC6949">
            <w:pPr>
              <w:pStyle w:val="BodyText"/>
              <w:numPr>
                <w:ilvl w:val="0"/>
                <w:numId w:val="8"/>
              </w:numPr>
              <w:ind w:left="567" w:right="113" w:hanging="283"/>
              <w:jc w:val="both"/>
              <w:rPr>
                <w:rFonts w:ascii="Times New Roman" w:hAnsi="Times New Roman" w:cs="Times New Roman"/>
                <w:noProof/>
                <w:sz w:val="24"/>
                <w:szCs w:val="24"/>
              </w:rPr>
            </w:pPr>
            <w:r w:rsidRPr="00805442">
              <w:rPr>
                <w:rFonts w:ascii="Times New Roman" w:hAnsi="Times New Roman" w:cs="Times New Roman"/>
                <w:sz w:val="24"/>
              </w:rPr>
              <w:t>Starpvaldību fiskālajiem pārvedumiem (SFP) ir būtiska loma, novēršot vertikālo un horizontālo nelīdzsvarotību, veicinot taisnīgu pakalpojumu sniegšanu un saskaņojot vietējos izdevumus ar valsts prioritātēm. Tomēr to izstrāde ietver sarežģītu kompromisu panākšanu starp taisnīgumu, efektivitāti, pārskatāmību un autonomiju.</w:t>
            </w:r>
          </w:p>
          <w:p w14:paraId="2CC670AB" w14:textId="77777777" w:rsidR="0072275C" w:rsidRPr="00805442" w:rsidRDefault="0072275C" w:rsidP="00CC6949">
            <w:pPr>
              <w:pStyle w:val="BodyText"/>
              <w:ind w:left="567" w:right="113" w:hanging="283"/>
              <w:jc w:val="both"/>
              <w:rPr>
                <w:rFonts w:ascii="Times New Roman" w:hAnsi="Times New Roman" w:cs="Times New Roman"/>
                <w:noProof/>
                <w:sz w:val="24"/>
                <w:szCs w:val="24"/>
              </w:rPr>
            </w:pPr>
          </w:p>
          <w:p w14:paraId="6E9DB532" w14:textId="62AD42A5" w:rsidR="0072275C" w:rsidRPr="00805442" w:rsidRDefault="0072275C" w:rsidP="00CC6949">
            <w:pPr>
              <w:pStyle w:val="BodyText"/>
              <w:numPr>
                <w:ilvl w:val="0"/>
                <w:numId w:val="8"/>
              </w:numPr>
              <w:ind w:left="567" w:right="113" w:hanging="283"/>
              <w:jc w:val="both"/>
              <w:rPr>
                <w:rFonts w:ascii="Times New Roman" w:hAnsi="Times New Roman" w:cs="Times New Roman"/>
                <w:noProof/>
                <w:sz w:val="24"/>
                <w:szCs w:val="24"/>
              </w:rPr>
            </w:pPr>
            <w:r w:rsidRPr="00805442">
              <w:rPr>
                <w:rFonts w:ascii="Times New Roman" w:hAnsi="Times New Roman" w:cs="Times New Roman"/>
                <w:sz w:val="24"/>
              </w:rPr>
              <w:t xml:space="preserve">Nesenajiem ekonomikas satricinājumiem, piemēram, Covid-19 pandēmijai, ir bijusi būtiska ietekme uz SFP. Jaunākie dati liecina, ka pārvedumi no centrālajām valdībām uz pašvaldībām ir palielinājušies visās apskatītajās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un vislielākais relatīvais pieaugums bija vērojams ekonomikas jomā, kam seko sociālā aizsardzība.</w:t>
            </w:r>
          </w:p>
          <w:p w14:paraId="63E51377" w14:textId="77777777" w:rsidR="0072275C" w:rsidRPr="00805442" w:rsidRDefault="0072275C" w:rsidP="00CC6949">
            <w:pPr>
              <w:pStyle w:val="BodyText"/>
              <w:ind w:left="567" w:right="113" w:hanging="283"/>
              <w:jc w:val="both"/>
              <w:rPr>
                <w:rFonts w:ascii="Times New Roman" w:hAnsi="Times New Roman" w:cs="Times New Roman"/>
                <w:noProof/>
                <w:sz w:val="24"/>
                <w:szCs w:val="24"/>
              </w:rPr>
            </w:pPr>
          </w:p>
          <w:p w14:paraId="333D40F1" w14:textId="2BE2AFF3" w:rsidR="0072275C" w:rsidRPr="00805442" w:rsidRDefault="0072275C" w:rsidP="00CC6949">
            <w:pPr>
              <w:pStyle w:val="BodyText"/>
              <w:numPr>
                <w:ilvl w:val="0"/>
                <w:numId w:val="8"/>
              </w:numPr>
              <w:ind w:left="567" w:right="113" w:hanging="283"/>
              <w:jc w:val="both"/>
              <w:rPr>
                <w:rFonts w:ascii="Times New Roman" w:hAnsi="Times New Roman" w:cs="Times New Roman"/>
                <w:noProof/>
                <w:sz w:val="24"/>
                <w:szCs w:val="24"/>
              </w:rPr>
            </w:pPr>
            <w:r w:rsidRPr="00805442">
              <w:rPr>
                <w:rFonts w:ascii="Times New Roman" w:hAnsi="Times New Roman" w:cs="Times New Roman"/>
                <w:sz w:val="24"/>
              </w:rPr>
              <w:t>Lai gan pēdējos gados SFP nav notikušas radikālas pārmaiņas, jaunās tendences, piemēram, sniegumam piesaistītas dotācijas, ekoloģiskie fiskālie pārvedumi, saiknes ar reģionālo politiku un jaunas budžeta veidošanas metodes, norāda uz iespējamiem reformu virzieniem.</w:t>
            </w:r>
          </w:p>
          <w:p w14:paraId="3E991C22" w14:textId="77777777" w:rsidR="0072275C" w:rsidRPr="00805442" w:rsidRDefault="0072275C" w:rsidP="00CC6949">
            <w:pPr>
              <w:pStyle w:val="BodyText"/>
              <w:ind w:left="567" w:right="113" w:hanging="283"/>
              <w:jc w:val="both"/>
              <w:rPr>
                <w:rFonts w:ascii="Times New Roman" w:hAnsi="Times New Roman" w:cs="Times New Roman"/>
                <w:noProof/>
                <w:sz w:val="24"/>
                <w:szCs w:val="24"/>
              </w:rPr>
            </w:pPr>
          </w:p>
          <w:p w14:paraId="44D2F2E4" w14:textId="3284C85B" w:rsidR="0072275C" w:rsidRPr="00805442" w:rsidRDefault="0072275C" w:rsidP="00CC6949">
            <w:pPr>
              <w:pStyle w:val="BodyText"/>
              <w:numPr>
                <w:ilvl w:val="0"/>
                <w:numId w:val="8"/>
              </w:numPr>
              <w:ind w:left="567" w:right="113" w:hanging="283"/>
              <w:jc w:val="both"/>
              <w:rPr>
                <w:rFonts w:ascii="Times New Roman" w:hAnsi="Times New Roman" w:cs="Times New Roman"/>
                <w:noProof/>
                <w:sz w:val="24"/>
                <w:szCs w:val="24"/>
              </w:rPr>
            </w:pPr>
            <w:r w:rsidRPr="00805442">
              <w:rPr>
                <w:rFonts w:ascii="Times New Roman" w:hAnsi="Times New Roman" w:cs="Times New Roman"/>
                <w:sz w:val="24"/>
              </w:rPr>
              <w:t>SFP saskaņošana ar plašākiem politikas mērķiem, piemēram, sociālo labklājību, dzimumu līdztiesību un vides ilgtspēju, varētu palīdzēt īstenot starptautiskās un valsts darba kārtības, stiprinot pašvaldību spējas un motivāciju.</w:t>
            </w:r>
          </w:p>
          <w:p w14:paraId="75415991" w14:textId="254AAD3B" w:rsidR="0072275C" w:rsidRPr="00805442" w:rsidRDefault="0072275C" w:rsidP="00CC6949">
            <w:pPr>
              <w:pStyle w:val="BodyText"/>
              <w:ind w:right="113"/>
              <w:jc w:val="center"/>
              <w:rPr>
                <w:rFonts w:ascii="Times New Roman" w:hAnsi="Times New Roman" w:cs="Times New Roman"/>
                <w:noProof/>
                <w:sz w:val="24"/>
                <w:szCs w:val="24"/>
              </w:rPr>
            </w:pPr>
          </w:p>
        </w:tc>
      </w:tr>
    </w:tbl>
    <w:p w14:paraId="1D45C124" w14:textId="77777777" w:rsidR="0072275C" w:rsidRPr="00805442" w:rsidRDefault="0072275C" w:rsidP="00B060C8">
      <w:pPr>
        <w:pStyle w:val="BodyText"/>
        <w:jc w:val="center"/>
        <w:rPr>
          <w:rFonts w:ascii="Times New Roman" w:hAnsi="Times New Roman" w:cs="Times New Roman"/>
          <w:noProof/>
          <w:sz w:val="24"/>
          <w:szCs w:val="24"/>
        </w:rPr>
      </w:pPr>
    </w:p>
    <w:p w14:paraId="115A121A" w14:textId="77777777" w:rsidR="00CC6949" w:rsidRPr="00805442" w:rsidRDefault="00CC6949" w:rsidP="00CC6949">
      <w:pPr>
        <w:pStyle w:val="Heading1"/>
        <w:tabs>
          <w:tab w:val="left" w:pos="993"/>
        </w:tabs>
        <w:ind w:left="0"/>
        <w:jc w:val="both"/>
        <w:rPr>
          <w:rFonts w:ascii="Times New Roman" w:hAnsi="Times New Roman" w:cs="Times New Roman"/>
          <w:noProof/>
          <w:color w:val="4D81BD"/>
          <w:sz w:val="24"/>
          <w:szCs w:val="24"/>
        </w:rPr>
      </w:pPr>
    </w:p>
    <w:p w14:paraId="5F83A4D6" w14:textId="623E76A2" w:rsidR="0068352E" w:rsidRPr="006675E1" w:rsidRDefault="00CC6949" w:rsidP="00CC6949">
      <w:pPr>
        <w:pStyle w:val="Heading1"/>
        <w:tabs>
          <w:tab w:val="left" w:pos="993"/>
        </w:tabs>
        <w:ind w:left="0"/>
        <w:jc w:val="both"/>
        <w:rPr>
          <w:rFonts w:ascii="Times New Roman" w:hAnsi="Times New Roman" w:cs="Times New Roman"/>
          <w:noProof/>
          <w:color w:val="4D81BD"/>
          <w:sz w:val="28"/>
          <w:szCs w:val="28"/>
        </w:rPr>
      </w:pPr>
      <w:r w:rsidRPr="006675E1">
        <w:rPr>
          <w:rFonts w:ascii="Times New Roman" w:hAnsi="Times New Roman" w:cs="Times New Roman"/>
          <w:color w:val="4D81BD"/>
          <w:sz w:val="28"/>
          <w:szCs w:val="24"/>
        </w:rPr>
        <w:t>1. Ievads</w:t>
      </w:r>
    </w:p>
    <w:p w14:paraId="58579070" w14:textId="77777777" w:rsidR="0068352E" w:rsidRPr="00805442" w:rsidRDefault="0068352E" w:rsidP="00F92C74">
      <w:pPr>
        <w:pStyle w:val="BodyText"/>
        <w:jc w:val="both"/>
        <w:rPr>
          <w:rFonts w:ascii="Times New Roman" w:hAnsi="Times New Roman" w:cs="Times New Roman"/>
          <w:b/>
          <w:noProof/>
          <w:sz w:val="24"/>
          <w:szCs w:val="24"/>
        </w:rPr>
      </w:pPr>
    </w:p>
    <w:p w14:paraId="232FD20C" w14:textId="77777777" w:rsidR="008B0274" w:rsidRPr="00805442" w:rsidRDefault="00CC6949" w:rsidP="00805442">
      <w:pPr>
        <w:pStyle w:val="ListParagraph"/>
        <w:widowControl/>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1. Fiskālajā federālismā taisnīgs un efektīvs resursu sadalījums starp jurisdikcijām ir būtisks, lai nodrošinātu, ka tiek uzlabota pakalpojumu sniegšanas kvalitāte visos valdības līmeņos. Decentralizācijas procesā pašvaldībām tiek uzticēts plašs pienākumu klāsts, kam nepieciešami ievērojami izdevumi, taču tām ir atšķirīga fiskālā autonomija un ieņēmumu struktūra.</w:t>
      </w:r>
      <w:r w:rsidRPr="00805442">
        <w:rPr>
          <w:rStyle w:val="FootnoteReference"/>
          <w:rFonts w:ascii="Times New Roman" w:hAnsi="Times New Roman" w:cs="Times New Roman"/>
          <w:noProof/>
          <w:sz w:val="24"/>
          <w:szCs w:val="24"/>
        </w:rPr>
        <w:footnoteReference w:id="3"/>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lastRenderedPageBreak/>
        <w:t>Fiskālās decentralizācijas modelis ir izšķirošs, jo tas tieši ietekmē pašvaldību spēju finansēt un nodrošināt sabiedriskās preces un pakalpojumus.</w:t>
      </w:r>
    </w:p>
    <w:p w14:paraId="32E98807"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p>
    <w:p w14:paraId="15AD70A1" w14:textId="72002067" w:rsidR="0068352E" w:rsidRPr="00805442" w:rsidRDefault="008B0274" w:rsidP="008B0274">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2. Tomēr ir plaši atzīts, ka attiecībā uz spējām pašvaldības bieži saskaras ar ievērojamiem izaicinājumiem, kā dēļ ir nepieciešami spēcīgi atbalsta mehānismi. Šajā sakarā starpvaldību fiskālie pārvedumi (SFP) ir būtiski rīki, nodrošinot fiskālo resursu sadali starp dažādiem valdības līmeņiem. Vairumā valstu tie veido būtisku pašvaldību finansējuma daļu, aizpildot fiskālās plaisas, koriģējot ārējo ietekmi, izlīdzinot ieņēmumu gūšanas iespējas un finansējot valsts prioritātēm atbilstošas programmas. Īpaši federācijās, kur reģionālajām iestādēm bieži vien ir būtiskas likumdošanas pilnvaras, dotācijām jārespektē šī autonomija un vienlaikus jāatbilst valsts standartiem.</w:t>
      </w:r>
    </w:p>
    <w:p w14:paraId="7872DC1B"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p>
    <w:p w14:paraId="39C67B33" w14:textId="11F0E9C9" w:rsidR="0068352E" w:rsidRPr="00805442" w:rsidRDefault="008B0274" w:rsidP="008B0274">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 xml:space="preserve">3. Šo dotāciju struktūra un nosacījumi ir būtiski, lai virzītu reģionus uz prioritārajām nozarēm, vienlaikus sniedzot tiem pietiekamu fiskālo neatkarību. Šis līdzsvars ir izšķirošs, lai fiskāli decentralizētas sistēmas darbotos efektīvi, nodrošinot, ka reģionālās valdības var atbalstīt plašāku valsts politiku un ievērot to. Turklāt pārvedumi ir būtiski reģionālā taisnīguma un kohēzijas veicināšanai, atbalstot reģionus ar zemāku ekonomisko aktivitāti vai specifiskiem izaicinājumiem, piemēram, lauku apvidus vai reģionus ar iedzīvotājiem, kas noveco. SFP nozīme ir vēl izteiktāka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kurām raksturīgs augstāks fiskālās decentralizācijas līmenis (OECD, 2021), daudzveidīga ekonomiskā ainava, atšķirīgi attīstības līmeņi un specifiski reģionālie izaicinājumi.</w:t>
      </w:r>
    </w:p>
    <w:p w14:paraId="1D149FAD"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p>
    <w:p w14:paraId="0E711B89" w14:textId="38B84B63" w:rsidR="0068352E" w:rsidRPr="00805442" w:rsidRDefault="008B0274" w:rsidP="008B0274">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4. Turklāt SFP struktūra ir saistīta ar būtiskiem stimuliem un sekām. Ja šīs dotācijas ir atbilstoši strukturētas, tās var uzlabot efektivitāti, pārskatatbildību un pakalpojumu sniegšanas kvalitāti pašvaldību līmenī. Savukārt nepareizi izstrādāti SFP var radīt nelabvēlīgus rezultātus, piemēram, veicināt atkarību, nepareizi sadalīt resursus vai pastiprināt reģionu fiskālo nevienlīdzību. Tādēļ SFP formulēšanai ir nepieciešama padziļināta izpratne par fiskālā federālisma principiem, politiskās dinamikas sarežģītību un dažādos reģionos pastāvošajiem atšķirīgajiem ekonomiskajiem apstākļiem. Šī pieeja ir būtiska, lai izveidotu līdzsvarotu fiskālo vidi, kas ļauj gan valsts, gan pašvaldību pārvaldes struktūrām efektīvi darboties un pildīt savus pienākumus pret kopienām. SFP stratēģiskā izstrāde nav tikai finanšu līdzekļu sadales jautājums, bet gan būtisks elements, lai fiskālā decentralizācija nodrošinātu taustāmus ieguvumus visiem pārvaldes līmeņiem, kā arī iedzīvotājiem, kuriem tie kalpo.</w:t>
      </w:r>
    </w:p>
    <w:p w14:paraId="1BDED6AD"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p>
    <w:p w14:paraId="59D467D6"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5. Pētījumi par SFP sniedz niansētu izpratni par fiskālajām atšķirībām, informāciju par pārvedumu mehānismu izstrādi un dod iespēju novērtēt fiskālo pārvedumu efektivitāti un lietderību (Shah, 2006; Boadway un Shah, 2007; Lago et al, 2024a). Šie pētījumi izgaismo pašvaldību struktūru unikālās fiskālās spējas un izdevumu vajadzības, kas ir būtiskas laikmetā, kad atbildība un pārskatāmība ir sevišķi svarīga, nodrošinot, ka SFP tiek nepārtraukti pielāgoti fiskālo attiecību mainīgajai dinamikai. Pašvaldībām, iegūstot lielāku autonomiju un mainoties sociālekonomiskajai videi, SFP izstrādē un ieviešanā jāsaglabā atbilstība, jānodrošina pielāgošanās un noturība. Šajā dokumentā attiecīgi sniegts visaptverošs apskats par SFP, kas ir viens no galvenajiem instrumentiem decentralizētās sistēmās. Šā dokumenta mērķis ir analizēt šo pārvedumu daudzpusīgo būtību, saskaņojot to mērķus, veidus, stimulus un sekas, kā arī precizēt jaunākās tendences to izstrādē.</w:t>
      </w:r>
    </w:p>
    <w:p w14:paraId="5565CC77" w14:textId="77777777" w:rsidR="008B0274" w:rsidRPr="00805442" w:rsidRDefault="008B0274" w:rsidP="008B0274">
      <w:pPr>
        <w:pStyle w:val="ListParagraph"/>
        <w:tabs>
          <w:tab w:val="left" w:pos="1357"/>
        </w:tabs>
        <w:ind w:left="0"/>
        <w:rPr>
          <w:rFonts w:ascii="Times New Roman" w:hAnsi="Times New Roman" w:cs="Times New Roman"/>
          <w:noProof/>
          <w:sz w:val="24"/>
          <w:szCs w:val="24"/>
        </w:rPr>
      </w:pPr>
    </w:p>
    <w:p w14:paraId="164831AB" w14:textId="5A7C503D" w:rsidR="0068352E" w:rsidRPr="00805442" w:rsidRDefault="008B0274" w:rsidP="000D0E9F">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 xml:space="preserve">6. Izklāsts un analīze ir strukturēti šādi: 2. sadaļā ir iezīmēta pašreizējā SFP situācija, balstoties uz jaunākajiem datiem, kuru pamatā ir konsolidācijas metodoloģija </w:t>
      </w:r>
      <w:r w:rsidRPr="00805442">
        <w:rPr>
          <w:rFonts w:ascii="Times New Roman" w:hAnsi="Times New Roman" w:cs="Times New Roman"/>
          <w:i/>
          <w:iCs/>
          <w:sz w:val="24"/>
        </w:rPr>
        <w:t>COFOG</w:t>
      </w:r>
      <w:r w:rsidRPr="00805442">
        <w:rPr>
          <w:rFonts w:ascii="Times New Roman" w:hAnsi="Times New Roman" w:cs="Times New Roman"/>
          <w:sz w:val="24"/>
        </w:rPr>
        <w:t xml:space="preserve"> (Valdības funkciju klasifikācija) datubāzē (Dougherty un Montes-Nebreda, 2023a), lai analizētu valdības izdevumus 26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27 gadu periodā. Šī analīze palīdz noskaidrot </w:t>
      </w:r>
      <w:r w:rsidRPr="00805442">
        <w:rPr>
          <w:rFonts w:ascii="Times New Roman" w:hAnsi="Times New Roman" w:cs="Times New Roman"/>
          <w:sz w:val="24"/>
        </w:rPr>
        <w:lastRenderedPageBreak/>
        <w:t>finansiālās autonomijas pakāpi, fiskālās nelīdzsvarotības esību un SFP ietekmi uz pašvaldību fiskālajām spējām. Šo praktisko pieeju papildina teorētiskāks skatījums 3. sadaļā, kurā tiek aplūkota literatūra par SFP mērķiem un to kompromisiem, uzmanību pievēršot vienlīdzībai un efektivitātei, skaidrojot, kā to efektivitāte un izstrāde atšķiras atkarībā no konkrētai valstij raksturīgiem faktoriem. 4. sadaļā ir apskatīta visaptveroša dotāciju tipoloģija, sistemātiski kategorizējot dažādus pārvedumu veidus, kā arī izpētīti katram veidam raksturīgie stimuli un sekas. Visbeidzot, 5. sadaļā ir apkopotas nesen identificētās jaunās tendences SFP jomā un tas, kā tās potenciāli varētu mainīt pašreizējo dotāciju sistēmu, lai tā kļūtu elastīgāka un vairāk piesaistīta sniegumam, risinot jaunos izaicinājumus.</w:t>
      </w:r>
    </w:p>
    <w:p w14:paraId="6AA6246A" w14:textId="77777777" w:rsidR="0068352E" w:rsidRPr="00805442" w:rsidRDefault="0068352E" w:rsidP="00F92C74">
      <w:pPr>
        <w:pStyle w:val="BodyText"/>
        <w:jc w:val="both"/>
        <w:rPr>
          <w:rFonts w:ascii="Times New Roman" w:hAnsi="Times New Roman" w:cs="Times New Roman"/>
          <w:noProof/>
          <w:sz w:val="24"/>
          <w:szCs w:val="24"/>
        </w:rPr>
      </w:pPr>
    </w:p>
    <w:p w14:paraId="02CFF8AA" w14:textId="77777777" w:rsidR="0068352E" w:rsidRPr="00805442" w:rsidRDefault="0068352E" w:rsidP="00F92C74">
      <w:pPr>
        <w:pStyle w:val="BodyText"/>
        <w:jc w:val="both"/>
        <w:rPr>
          <w:rFonts w:ascii="Times New Roman" w:hAnsi="Times New Roman" w:cs="Times New Roman"/>
          <w:noProof/>
          <w:sz w:val="24"/>
          <w:szCs w:val="24"/>
        </w:rPr>
      </w:pPr>
    </w:p>
    <w:p w14:paraId="7F83326C" w14:textId="4F147983" w:rsidR="0068352E" w:rsidRPr="00805442" w:rsidRDefault="00BE750C" w:rsidP="00BE750C">
      <w:pPr>
        <w:pStyle w:val="Heading1"/>
        <w:tabs>
          <w:tab w:val="left" w:pos="993"/>
        </w:tabs>
        <w:ind w:left="0"/>
        <w:jc w:val="both"/>
        <w:rPr>
          <w:rFonts w:ascii="Times New Roman" w:hAnsi="Times New Roman" w:cs="Times New Roman"/>
          <w:noProof/>
          <w:color w:val="4D81BD"/>
          <w:sz w:val="28"/>
          <w:szCs w:val="28"/>
        </w:rPr>
      </w:pPr>
      <w:r w:rsidRPr="00805442">
        <w:rPr>
          <w:rFonts w:ascii="Times New Roman" w:hAnsi="Times New Roman" w:cs="Times New Roman"/>
          <w:color w:val="4D81BD"/>
          <w:sz w:val="28"/>
        </w:rPr>
        <w:t>2. Pašreizējā starpvaldību fiskālo pārvedumu ainava – no prakses līdz teorijai</w:t>
      </w:r>
    </w:p>
    <w:p w14:paraId="372F9201"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p>
    <w:p w14:paraId="4EA1DFDA"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1. Mainīgajā fiskālās decentralizācijas vidē pašvaldībām tiek uzticēts aizvien vairāk jaunu pienākumu. Šī tendence pēdējās desmitgadēs ir pastiprinājusies (OECD, 2021), kā dēļ nepieciešams vērst uzmanību uz pašvaldību pašu ieņēmumu avotu pilnveidošanu, uzlabojot nodokļu iekasēšanas efektivitāti un paplašinot nodokļu bāzi (piemēram, pašvaldības iekasējamie īpašuma nodokļi vai maksas un nodevas par pakalpojumiem). Tomēr šo pasākumu panākumi lielā mērā ir atkarīgi no pašvaldībām piešķirtās fiskālās autonomijas pakāpes, kas dažādās jurisdikcijās ievērojami atšķiras (OECD, 2021). Turklāt pašvaldību vidū arvien lielāku popularitāti gūst piekļuve kapitāla tirgiem, pašvaldību obligāciju emisija un publiskā un privātā sektora partnerības (PPP) (De Biase un Dougherty, 2022). Tomēr parasti tieši centrālajām valdībām to lielāka mēroga dēļ ir vairāk zināšanu un kapacitātes šo alternatīvo finansēšanas iespēju izmantošanā.</w:t>
      </w:r>
    </w:p>
    <w:p w14:paraId="5E9FF574"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p>
    <w:p w14:paraId="720D6DE0"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2. Šajā kontekstā SFP ir nozīmīga loma. Lai gan fiskālā pašnoturība ir svarīga, SFP joprojām ir būtisks atbalsta mehānisms, jo īpaši reģioniem un pašvaldībām ar ierobežotu ekonomisko kapacitāti. Federālajās un kvazifederālajās</w:t>
      </w:r>
      <w:r w:rsidRPr="00805442">
        <w:rPr>
          <w:rFonts w:ascii="Times New Roman" w:hAnsi="Times New Roman" w:cs="Times New Roman"/>
          <w:i/>
          <w:iCs/>
          <w:sz w:val="24"/>
        </w:rPr>
        <w:t xml:space="preserve"> OECD</w:t>
      </w:r>
      <w:r w:rsidRPr="00805442">
        <w:rPr>
          <w:rFonts w:ascii="Times New Roman" w:hAnsi="Times New Roman" w:cs="Times New Roman"/>
          <w:sz w:val="24"/>
        </w:rPr>
        <w:t xml:space="preserve"> dalībvalstīs pašvaldību pašu ieņēmumi veido tikai aptuveni 25 % no to kopējiem ieņēmumiem (OECD, 2021). Tomēr centrālajām valdībām joprojām ir dominējoša loma ieņēmumu iekasēšanā, ka dēļ pašvaldībām ir jāpaļaujas uz dotācijām savu ienākumu papildināšanai. Šo nepieciešamību pastiprina fakts, ka nozīmīgi ar izdevumiem saistītie valdības pienākumi, piemēram, izglītības (vidēji 24 % no pašvaldību izdevumiem), veselības aprūpes (18 %) un sociālās aizsardzības (14 %) nodrošināšana, ir pašvaldību kompetence (OECD, 2021). Rezultātā rodas vertikāla nelīdzsvarotība, ko izraisa augstāka decentralizācijas pakāpe izdevumos salīdzinājumā ar ieņēmumu gūšanu, kā dēļ nepieciešamas kompensācijas dotāciju veidā (Blöchliger un Petzold, 2009; OECD, 2021).</w:t>
      </w:r>
    </w:p>
    <w:p w14:paraId="2E2F9A96"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p>
    <w:p w14:paraId="2F98CB80" w14:textId="52323428" w:rsidR="0068352E" w:rsidRPr="00805442" w:rsidRDefault="00BE750C" w:rsidP="00AB03D0">
      <w:pPr>
        <w:pStyle w:val="ListParagraph"/>
        <w:widowControl/>
        <w:tabs>
          <w:tab w:val="left" w:pos="1357"/>
        </w:tabs>
        <w:ind w:left="0"/>
        <w:rPr>
          <w:rFonts w:ascii="Times New Roman" w:hAnsi="Times New Roman" w:cs="Times New Roman"/>
          <w:noProof/>
          <w:sz w:val="24"/>
          <w:szCs w:val="24"/>
        </w:rPr>
      </w:pPr>
      <w:r w:rsidRPr="00805442">
        <w:rPr>
          <w:rFonts w:ascii="Times New Roman" w:hAnsi="Times New Roman" w:cs="Times New Roman"/>
          <w:sz w:val="24"/>
        </w:rPr>
        <w:t xml:space="preserve">3. </w:t>
      </w:r>
      <w:r w:rsidRPr="00805442">
        <w:rPr>
          <w:rFonts w:ascii="Times New Roman" w:hAnsi="Times New Roman" w:cs="Times New Roman"/>
          <w:i/>
          <w:iCs/>
          <w:sz w:val="24"/>
        </w:rPr>
        <w:t>OECD</w:t>
      </w:r>
      <w:r w:rsidRPr="00805442">
        <w:rPr>
          <w:rFonts w:ascii="Times New Roman" w:hAnsi="Times New Roman" w:cs="Times New Roman"/>
          <w:sz w:val="24"/>
        </w:rPr>
        <w:t xml:space="preserve"> ir izstrādājusi jaunu datu kopu, kas aprakstīta 1. ierāmējumā, lai palīdzētu labāk izprast SFP. 1. attēlā ir sniegti konsolidētie dati par pārvedumiem, ko katras valsts vispārējā valdība veic un saņem, aptverot visus pārvedumus starp valdības līmeņiem, tostarp tos, kas saistīti ar sociālo nodrošinājumu un jebkuru politikas jomu. 2021. gadā Beļģija un Dānija izvirzījās priekšplānā kā valstis ar lielākajām dotācijām attiecībā pret IKP – abās valstīs šis rādītājs pārsniedza 20 % no IKP, un tām sekoja Austrija, Spānija un Itālija. Šīm piecām valstīm ir raksturīga augsta izdevumu decentralizācijas pakāpe. Tomēr šo valstu ieņēmumu decentralizācijas pakāpes nesakrīt ar izdevumu decentralizāciju, radot vertikālo nelīdzsvarotību, kā dēļ radušās plaisas nepieciešams segt ar SFP. Savukārt Īrija un Francija, kas bieži tiek uzskatītas par centralizētas pārvaldības piemēriem, uzrāda zemāko dotāciju </w:t>
      </w:r>
      <w:r w:rsidRPr="00805442">
        <w:rPr>
          <w:rFonts w:ascii="Times New Roman" w:hAnsi="Times New Roman" w:cs="Times New Roman"/>
          <w:sz w:val="24"/>
        </w:rPr>
        <w:lastRenderedPageBreak/>
        <w:t xml:space="preserve">īpatsvaru attiecībā pret savu ekonomiku </w:t>
      </w:r>
      <w:r w:rsidRPr="00805442">
        <w:rPr>
          <w:rFonts w:ascii="Times New Roman" w:hAnsi="Times New Roman" w:cs="Times New Roman"/>
          <w:i/>
          <w:iCs/>
          <w:sz w:val="24"/>
        </w:rPr>
        <w:t>OECD</w:t>
      </w:r>
      <w:r w:rsidRPr="00805442">
        <w:rPr>
          <w:rFonts w:ascii="Times New Roman" w:hAnsi="Times New Roman" w:cs="Times New Roman"/>
          <w:sz w:val="24"/>
        </w:rPr>
        <w:t xml:space="preserve"> ietvaros – abās valstīs tas ir zemāks par 5 % no IKP.</w:t>
      </w:r>
    </w:p>
    <w:p w14:paraId="60E9DE90" w14:textId="77777777" w:rsidR="00BE750C" w:rsidRPr="00805442" w:rsidRDefault="00BE750C" w:rsidP="00BE750C">
      <w:pPr>
        <w:pStyle w:val="ListParagraph"/>
        <w:tabs>
          <w:tab w:val="left" w:pos="1357"/>
        </w:tabs>
        <w:ind w:left="0"/>
        <w:rPr>
          <w:rFonts w:ascii="Times New Roman" w:hAnsi="Times New Roman" w:cs="Times New Roman"/>
          <w:noProof/>
          <w:sz w:val="24"/>
          <w:szCs w:val="24"/>
        </w:rPr>
      </w:pPr>
    </w:p>
    <w:tbl>
      <w:tblPr>
        <w:tblStyle w:val="TableGrid"/>
        <w:tblW w:w="5000"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shd w:val="clear" w:color="auto" w:fill="EAF1DD" w:themeFill="accent3" w:themeFillTint="33"/>
        <w:tblCellMar>
          <w:top w:w="28" w:type="dxa"/>
          <w:left w:w="28" w:type="dxa"/>
          <w:bottom w:w="28" w:type="dxa"/>
          <w:right w:w="28" w:type="dxa"/>
        </w:tblCellMar>
        <w:tblLook w:val="04A0" w:firstRow="1" w:lastRow="0" w:firstColumn="1" w:lastColumn="0" w:noHBand="0" w:noVBand="1"/>
      </w:tblPr>
      <w:tblGrid>
        <w:gridCol w:w="9128"/>
      </w:tblGrid>
      <w:tr w:rsidR="00BE750C" w:rsidRPr="00805442" w14:paraId="29DA4BF9" w14:textId="77777777" w:rsidTr="00036EB9">
        <w:tc>
          <w:tcPr>
            <w:tcW w:w="5000" w:type="pct"/>
            <w:shd w:val="clear" w:color="auto" w:fill="EAF1DD" w:themeFill="accent3" w:themeFillTint="33"/>
          </w:tcPr>
          <w:p w14:paraId="1BAC36B8" w14:textId="77777777" w:rsidR="00BE750C" w:rsidRPr="00805442" w:rsidRDefault="00BE750C" w:rsidP="00BE750C">
            <w:pPr>
              <w:pStyle w:val="Heading1"/>
              <w:ind w:left="113" w:right="113"/>
              <w:jc w:val="both"/>
              <w:rPr>
                <w:rFonts w:ascii="Times New Roman" w:hAnsi="Times New Roman" w:cs="Times New Roman"/>
                <w:noProof/>
                <w:color w:val="4D81BD"/>
                <w:sz w:val="24"/>
                <w:szCs w:val="24"/>
              </w:rPr>
            </w:pPr>
          </w:p>
          <w:p w14:paraId="7A68B42B" w14:textId="54855F77" w:rsidR="00BE750C" w:rsidRPr="00805442" w:rsidRDefault="00BE750C" w:rsidP="00BE750C">
            <w:pPr>
              <w:pStyle w:val="Heading1"/>
              <w:ind w:left="113" w:right="113"/>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 ierāmējums. Jauni dati par starpvaldību fiskālajiem pārvedumiem</w:t>
            </w:r>
          </w:p>
          <w:p w14:paraId="1B7ACC3B" w14:textId="77777777" w:rsidR="00BE750C" w:rsidRPr="00805442" w:rsidRDefault="00BE750C" w:rsidP="00BE750C">
            <w:pPr>
              <w:pStyle w:val="Heading1"/>
              <w:ind w:left="113" w:right="113"/>
              <w:jc w:val="both"/>
              <w:rPr>
                <w:rFonts w:ascii="Times New Roman" w:hAnsi="Times New Roman" w:cs="Times New Roman"/>
                <w:noProof/>
                <w:color w:val="4D81BD"/>
                <w:sz w:val="24"/>
                <w:szCs w:val="24"/>
              </w:rPr>
            </w:pPr>
          </w:p>
          <w:p w14:paraId="1DD4DBF8" w14:textId="77777777" w:rsidR="00BE750C" w:rsidRPr="00805442" w:rsidRDefault="00BE750C" w:rsidP="00BE750C">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 xml:space="preserve">Lai izstrādātu efektīvus politikas ieteikumus SFP sistēmu reformēšanai, ir būtiski izprast to pašreizējo dinamiku. Tomēr detalizētas, salīdzināmas un visaptverošas datu kopas izveidi apgrūtina katras valsts starpvaldību fiskālo sistēmu unikālās iezīmes. Optimālais dizaina un stimulu apvienojums atšķirsies atkarībā no katras valsts pārvaldības struktūras, fiskālajām prioritātēm un attīstības mērķiem. Neraugoties uz to lietderību, ierastās metodes datu vākšanai par fiskālajiem pārvedumiem, piemēram, aptaujas, respondentiem ir ļoti apgrūtinošas. Tādēļ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datubāze 2010. gadā pārtrauca atjaunināt datus par starpvaldību dotācijām. Šobrīd, desmit gadus vēlāk, </w:t>
            </w:r>
            <w:r w:rsidRPr="00805442">
              <w:rPr>
                <w:rFonts w:ascii="Times New Roman" w:hAnsi="Times New Roman" w:cs="Times New Roman"/>
                <w:i/>
                <w:iCs/>
                <w:sz w:val="24"/>
              </w:rPr>
              <w:t>OECD</w:t>
            </w:r>
            <w:r w:rsidRPr="00805442">
              <w:rPr>
                <w:rFonts w:ascii="Times New Roman" w:hAnsi="Times New Roman" w:cs="Times New Roman"/>
                <w:sz w:val="24"/>
              </w:rPr>
              <w:t xml:space="preserve"> Fiskālais tīkls izmanto jauno </w:t>
            </w:r>
            <w:r w:rsidRPr="00805442">
              <w:rPr>
                <w:rFonts w:ascii="Times New Roman" w:hAnsi="Times New Roman" w:cs="Times New Roman"/>
                <w:i/>
                <w:iCs/>
                <w:sz w:val="24"/>
              </w:rPr>
              <w:t>COFOG</w:t>
            </w:r>
            <w:r w:rsidRPr="00805442">
              <w:rPr>
                <w:rFonts w:ascii="Times New Roman" w:hAnsi="Times New Roman" w:cs="Times New Roman"/>
                <w:sz w:val="24"/>
              </w:rPr>
              <w:t xml:space="preserve"> datubāzes konsolidācijas metodi, lai atjaunotu šo datu resursu. Kā norādījuši Dohertijs un Montess-Nebreda (2023a), šis konsolidācijas process visos valdības līmeņos un funkcionālajās jomās ir ļāvis aprēķināt precīzus izdevumu rādītājus 26 </w:t>
            </w:r>
            <w:r w:rsidRPr="00805442">
              <w:rPr>
                <w:rFonts w:ascii="Times New Roman" w:hAnsi="Times New Roman" w:cs="Times New Roman"/>
                <w:i/>
                <w:iCs/>
                <w:sz w:val="24"/>
              </w:rPr>
              <w:t>OECD</w:t>
            </w:r>
            <w:r w:rsidRPr="00805442">
              <w:rPr>
                <w:rFonts w:ascii="Times New Roman" w:hAnsi="Times New Roman" w:cs="Times New Roman"/>
                <w:sz w:val="24"/>
              </w:rPr>
              <w:t xml:space="preserve"> dalībvalstīm 27 gadu periodā (no 1995. līdz 2021. gadam).</w:t>
            </w:r>
          </w:p>
          <w:p w14:paraId="2603D189" w14:textId="77777777" w:rsidR="00BE750C" w:rsidRPr="00805442" w:rsidRDefault="00BE750C" w:rsidP="00BE750C">
            <w:pPr>
              <w:pStyle w:val="BodyText"/>
              <w:ind w:left="113" w:right="113"/>
              <w:jc w:val="both"/>
              <w:rPr>
                <w:rFonts w:ascii="Times New Roman" w:hAnsi="Times New Roman" w:cs="Times New Roman"/>
                <w:noProof/>
                <w:sz w:val="24"/>
                <w:szCs w:val="24"/>
              </w:rPr>
            </w:pPr>
          </w:p>
          <w:p w14:paraId="0A0786CC" w14:textId="66C4945B" w:rsidR="00BE750C" w:rsidRPr="00805442" w:rsidRDefault="00BE750C" w:rsidP="00BE750C">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Valsts pārvaldes finanšu pārskatos nekonsolidētajos izdevumos tiek atspoguļoti atsevišķu valdības līmeņu finanšu rezultāti bez korekcijām attiecībā uz to savstarpējo finanšu mijiedarbību. Katras iestādes budžets tiek atspoguļots neatkarīgi, norādot neapstrādātus fiskālos datus, kas sīki atspoguļo to, cik daudz katrs valdības līmenis tērē atsevišķi.</w:t>
            </w:r>
            <w:r w:rsidRPr="00805442">
              <w:rPr>
                <w:rStyle w:val="FootnoteReference"/>
                <w:rFonts w:ascii="Times New Roman" w:hAnsi="Times New Roman" w:cs="Times New Roman"/>
                <w:noProof/>
                <w:sz w:val="24"/>
                <w:szCs w:val="24"/>
              </w:rPr>
              <w:footnoteReference w:id="4"/>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Savukārt valsts konsolidētie izdevumi ietver visus gan valsts, gan pašvaldību izdevumus, kas koriģēti, izslēdzot starpvaldību pārvedumus, piemēram, sadalītos ieņēmumus vai dotācijas. Šāda pieeja novērš dubultu uzskaiti un sniedz visaptverošu priekšstatu par kopējiem publiskajiem izdevumiem visos valdības līmeņos, sniedzot visaptverošu valsts fiskālās politikas ietekmes un resursu sadales novērtējumu.</w:t>
            </w:r>
            <w:r w:rsidR="00FC0DE3" w:rsidRPr="00805442">
              <w:rPr>
                <w:rStyle w:val="FootnoteReference"/>
                <w:rFonts w:ascii="Times New Roman" w:hAnsi="Times New Roman" w:cs="Times New Roman"/>
                <w:noProof/>
                <w:sz w:val="24"/>
                <w:szCs w:val="24"/>
              </w:rPr>
              <w:footnoteReference w:id="5"/>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Tādējādi kontrasts starp abām datu kopām – īpaši attiecībā uz pārvedumu apjomu – var būtiski palīdzēt gan politikas veidošanā, gan veicināt sabiedrības izpratni par pārvaldes darbību dažādos līmeņos.</w:t>
            </w:r>
          </w:p>
          <w:p w14:paraId="7F3F3EA8" w14:textId="77777777" w:rsidR="00BE750C" w:rsidRPr="00805442" w:rsidRDefault="00BE750C" w:rsidP="00BE750C">
            <w:pPr>
              <w:pStyle w:val="BodyText"/>
              <w:ind w:left="113" w:right="113"/>
              <w:jc w:val="both"/>
              <w:rPr>
                <w:rFonts w:ascii="Times New Roman" w:hAnsi="Times New Roman" w:cs="Times New Roman"/>
                <w:noProof/>
                <w:sz w:val="24"/>
                <w:szCs w:val="24"/>
              </w:rPr>
            </w:pPr>
          </w:p>
          <w:p w14:paraId="5DCB0172" w14:textId="66FFCDF9" w:rsidR="00BE750C" w:rsidRPr="00805442" w:rsidRDefault="00BE750C" w:rsidP="00BE750C">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Fiskālās decentralizācijas datubāzes paplašināšana nodrošināja rezultātus divām konsolidācijas metodoloģijām. “Finansējuma avota” (FA) pieejā tiek identificēts valdības līmenis, kas atbildīgs par izdevumu finansēšanu katrā politikas jomā.</w:t>
            </w:r>
            <w:r w:rsidR="00FC0DE3" w:rsidRPr="00805442">
              <w:rPr>
                <w:rStyle w:val="FootnoteReference"/>
                <w:rFonts w:ascii="Times New Roman" w:hAnsi="Times New Roman" w:cs="Times New Roman"/>
                <w:noProof/>
                <w:sz w:val="24"/>
                <w:szCs w:val="24"/>
              </w:rPr>
              <w:footnoteReference w:id="6"/>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Savukārt ar metodi “Izdevumu veicējs” (IV) tiek noteikts, kurš valdības līmenis faktiski īsteno izdevumu programmas dažādos </w:t>
            </w:r>
            <w:r w:rsidRPr="00805442">
              <w:rPr>
                <w:rFonts w:ascii="Times New Roman" w:hAnsi="Times New Roman" w:cs="Times New Roman"/>
                <w:i/>
                <w:iCs/>
                <w:sz w:val="24"/>
              </w:rPr>
              <w:t>COFOG</w:t>
            </w:r>
            <w:r w:rsidRPr="00805442">
              <w:rPr>
                <w:rFonts w:ascii="Times New Roman" w:hAnsi="Times New Roman" w:cs="Times New Roman"/>
                <w:sz w:val="24"/>
              </w:rPr>
              <w:t xml:space="preserve"> sektoros. Tie tiek aprēķināti šādi:</w:t>
            </w:r>
          </w:p>
          <w:p w14:paraId="7EB0CF4C" w14:textId="77777777" w:rsidR="00BE750C" w:rsidRPr="00805442" w:rsidRDefault="00BE750C" w:rsidP="00BE750C">
            <w:pPr>
              <w:pStyle w:val="BodyText"/>
              <w:ind w:left="113" w:right="113"/>
              <w:jc w:val="both"/>
              <w:rPr>
                <w:rFonts w:ascii="Times New Roman" w:hAnsi="Times New Roman" w:cs="Times New Roman"/>
                <w:noProof/>
                <w:sz w:val="24"/>
                <w:szCs w:val="24"/>
              </w:rPr>
            </w:pPr>
          </w:p>
          <w:p w14:paraId="54FBD845" w14:textId="77777777" w:rsidR="00FC0DE3" w:rsidRPr="00805442" w:rsidRDefault="00BE750C" w:rsidP="00B632FD">
            <w:pPr>
              <w:pStyle w:val="Heading4"/>
              <w:spacing w:line="240" w:lineRule="auto"/>
              <w:ind w:left="567" w:right="113"/>
              <w:jc w:val="both"/>
              <w:rPr>
                <w:rFonts w:ascii="Times New Roman" w:hAnsi="Times New Roman" w:cs="Times New Roman"/>
                <w:noProof/>
                <w:sz w:val="24"/>
                <w:szCs w:val="24"/>
              </w:rPr>
            </w:pPr>
            <w:r w:rsidRPr="00805442">
              <w:rPr>
                <w:rFonts w:ascii="Times New Roman" w:hAnsi="Times New Roman" w:cs="Times New Roman"/>
                <w:b/>
                <w:bCs/>
                <w:sz w:val="24"/>
              </w:rPr>
              <w:t>Izmaksātie</w:t>
            </w:r>
            <w:r w:rsidRPr="00805442">
              <w:rPr>
                <w:rFonts w:ascii="Times New Roman" w:hAnsi="Times New Roman" w:cs="Times New Roman"/>
                <w:sz w:val="24"/>
              </w:rPr>
              <w:t xml:space="preserve"> pārvedumi</w:t>
            </w:r>
          </w:p>
          <w:p w14:paraId="50035B3D" w14:textId="183F71C2" w:rsidR="00BE750C" w:rsidRPr="00805442" w:rsidRDefault="00BE750C" w:rsidP="00B632FD">
            <w:pPr>
              <w:pStyle w:val="Heading4"/>
              <w:spacing w:line="240" w:lineRule="auto"/>
              <w:ind w:left="567" w:right="113"/>
              <w:jc w:val="both"/>
              <w:rPr>
                <w:rFonts w:ascii="Times New Roman" w:hAnsi="Times New Roman" w:cs="Times New Roman"/>
                <w:noProof/>
                <w:sz w:val="24"/>
                <w:szCs w:val="24"/>
              </w:rPr>
            </w:pPr>
            <w:r w:rsidRPr="00805442">
              <w:rPr>
                <w:rFonts w:ascii="Times New Roman" w:hAnsi="Times New Roman" w:cs="Times New Roman"/>
                <w:sz w:val="24"/>
              </w:rPr>
              <w:t>= nekonsolidētie izdevumi – konsolidētie izdevumi (“Izdevumu veicējs”)</w:t>
            </w:r>
          </w:p>
          <w:p w14:paraId="0542912C" w14:textId="77777777" w:rsidR="00BE750C" w:rsidRPr="00805442" w:rsidRDefault="00BE750C" w:rsidP="00B632FD">
            <w:pPr>
              <w:pStyle w:val="Heading4"/>
              <w:spacing w:line="240" w:lineRule="auto"/>
              <w:ind w:left="567" w:right="113"/>
              <w:jc w:val="both"/>
              <w:rPr>
                <w:rFonts w:ascii="Times New Roman" w:hAnsi="Times New Roman" w:cs="Times New Roman"/>
                <w:noProof/>
                <w:sz w:val="24"/>
                <w:szCs w:val="24"/>
              </w:rPr>
            </w:pPr>
          </w:p>
          <w:p w14:paraId="2BD0116C" w14:textId="77777777" w:rsidR="00BE750C" w:rsidRPr="00805442" w:rsidRDefault="00BE750C" w:rsidP="00B632FD">
            <w:pPr>
              <w:ind w:left="567" w:right="113"/>
              <w:jc w:val="both"/>
              <w:rPr>
                <w:rFonts w:ascii="Times New Roman" w:eastAsia="Cambria" w:hAnsi="Times New Roman" w:cs="Times New Roman"/>
                <w:noProof/>
                <w:sz w:val="24"/>
                <w:szCs w:val="24"/>
              </w:rPr>
            </w:pPr>
            <w:r w:rsidRPr="00805442">
              <w:rPr>
                <w:rFonts w:ascii="Times New Roman" w:hAnsi="Times New Roman" w:cs="Times New Roman"/>
                <w:b/>
                <w:bCs/>
                <w:sz w:val="24"/>
              </w:rPr>
              <w:t>Saņemtie</w:t>
            </w:r>
            <w:r w:rsidRPr="00805442">
              <w:rPr>
                <w:rFonts w:ascii="Times New Roman" w:hAnsi="Times New Roman" w:cs="Times New Roman"/>
                <w:sz w:val="24"/>
              </w:rPr>
              <w:t xml:space="preserve"> pārvedumi</w:t>
            </w:r>
          </w:p>
          <w:p w14:paraId="6839230A" w14:textId="77777777" w:rsidR="00BE750C" w:rsidRPr="00805442" w:rsidRDefault="00BE750C" w:rsidP="00B632FD">
            <w:pPr>
              <w:pStyle w:val="Heading4"/>
              <w:spacing w:line="240" w:lineRule="auto"/>
              <w:ind w:left="567" w:right="113"/>
              <w:jc w:val="both"/>
              <w:rPr>
                <w:rFonts w:ascii="Times New Roman" w:hAnsi="Times New Roman" w:cs="Times New Roman"/>
                <w:noProof/>
                <w:sz w:val="24"/>
                <w:szCs w:val="24"/>
              </w:rPr>
            </w:pPr>
            <w:r w:rsidRPr="00805442">
              <w:rPr>
                <w:rFonts w:ascii="Times New Roman" w:hAnsi="Times New Roman" w:cs="Times New Roman"/>
                <w:sz w:val="24"/>
              </w:rPr>
              <w:t>= nekonsolidētie izdevumi – konsolidētie izdevumi (“Finansējuma avots”)</w:t>
            </w:r>
          </w:p>
          <w:p w14:paraId="7302296C" w14:textId="77777777" w:rsidR="00BE750C" w:rsidRPr="00805442" w:rsidRDefault="00BE750C" w:rsidP="00BE750C">
            <w:pPr>
              <w:pStyle w:val="BodyText"/>
              <w:ind w:left="113" w:right="113"/>
              <w:jc w:val="both"/>
              <w:rPr>
                <w:rFonts w:ascii="Times New Roman" w:hAnsi="Times New Roman" w:cs="Times New Roman"/>
                <w:noProof/>
                <w:sz w:val="24"/>
                <w:szCs w:val="24"/>
              </w:rPr>
            </w:pPr>
          </w:p>
          <w:p w14:paraId="251175A0" w14:textId="34FBF890" w:rsidR="00BE750C" w:rsidRPr="00805442" w:rsidRDefault="00BE750C" w:rsidP="00BE750C">
            <w:pPr>
              <w:pStyle w:val="ListParagraph"/>
              <w:tabs>
                <w:tab w:val="left" w:pos="1357"/>
              </w:tabs>
              <w:ind w:left="113" w:right="113"/>
              <w:rPr>
                <w:rFonts w:ascii="Times New Roman" w:hAnsi="Times New Roman" w:cs="Times New Roman"/>
                <w:noProof/>
                <w:sz w:val="24"/>
                <w:szCs w:val="24"/>
              </w:rPr>
            </w:pPr>
            <w:r w:rsidRPr="00805442">
              <w:rPr>
                <w:rFonts w:ascii="Times New Roman" w:hAnsi="Times New Roman" w:cs="Times New Roman"/>
                <w:sz w:val="24"/>
              </w:rPr>
              <w:lastRenderedPageBreak/>
              <w:t xml:space="preserve">Atšķirības starp šīm pieejām ietekmē tādi faktori kā izdevumu un nodokļu autonomija, vertikālā nelīdzsvarotība un tas, cik lielā mērā starpvaldību pārvedumi kompensē šo nelīdzsvarotību. Tādējādi atšķirības šo metožu nodrošinātajos rezultātos atspoguļo pārvedumu apjomu un to, vai tie ir paredzēti noteiktam mērķim vai vispārējam lietojumam. Izmantojot metodi “Izdevumu veicējs”, iegūtie dati atbilst metodoloģijai summāro konsolidēto izdevumu datu apkopošanai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datubāzē (skat. Dougherty un Montes-Nebreda, 2023a). Šajā dokumentā ir izmantoti šie jaunizveidotie dati, lai analizētu pašreizējo starpvaldību fiskālo pārvedumu situāciju un evolūciju </w:t>
            </w:r>
            <w:r w:rsidRPr="00805442">
              <w:rPr>
                <w:rFonts w:ascii="Times New Roman" w:hAnsi="Times New Roman" w:cs="Times New Roman"/>
                <w:i/>
                <w:iCs/>
                <w:sz w:val="24"/>
              </w:rPr>
              <w:t>OECD</w:t>
            </w:r>
            <w:r w:rsidRPr="00805442">
              <w:rPr>
                <w:rFonts w:ascii="Times New Roman" w:hAnsi="Times New Roman" w:cs="Times New Roman"/>
                <w:sz w:val="24"/>
              </w:rPr>
              <w:t xml:space="preserve"> dalībvalstīs.</w:t>
            </w:r>
          </w:p>
        </w:tc>
      </w:tr>
    </w:tbl>
    <w:p w14:paraId="46869B68" w14:textId="77777777" w:rsidR="00A47D09" w:rsidRDefault="00A47D09" w:rsidP="00F92C74">
      <w:pPr>
        <w:jc w:val="both"/>
        <w:rPr>
          <w:rFonts w:ascii="Times New Roman" w:hAnsi="Times New Roman" w:cs="Times New Roman"/>
          <w:noProof/>
          <w:sz w:val="24"/>
          <w:szCs w:val="24"/>
        </w:rPr>
      </w:pPr>
    </w:p>
    <w:p w14:paraId="38E36615" w14:textId="77777777" w:rsidR="006675E1" w:rsidRPr="00805442" w:rsidRDefault="006675E1" w:rsidP="00F92C74">
      <w:pPr>
        <w:jc w:val="both"/>
        <w:rPr>
          <w:rFonts w:ascii="Times New Roman" w:hAnsi="Times New Roman" w:cs="Times New Roman"/>
          <w:noProof/>
          <w:sz w:val="24"/>
          <w:szCs w:val="24"/>
        </w:rPr>
      </w:pPr>
    </w:p>
    <w:p w14:paraId="39ECC6CE" w14:textId="77777777" w:rsidR="0068352E" w:rsidRPr="00805442" w:rsidRDefault="0068352E"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 attēls. Kopējie pārvedumi, ko vispārējā valdība izmaksājusi vai saņēmusi, 2021</w:t>
      </w:r>
    </w:p>
    <w:p w14:paraId="44300804" w14:textId="77777777" w:rsidR="00FC0DE3" w:rsidRPr="00805442" w:rsidRDefault="00FC0DE3" w:rsidP="00F92C74">
      <w:pPr>
        <w:pStyle w:val="Heading1"/>
        <w:ind w:left="0"/>
        <w:jc w:val="both"/>
        <w:rPr>
          <w:rFonts w:ascii="Times New Roman" w:hAnsi="Times New Roman" w:cs="Times New Roman"/>
          <w:noProof/>
          <w:color w:val="4D81BD"/>
          <w:sz w:val="24"/>
          <w:szCs w:val="24"/>
        </w:rPr>
      </w:pPr>
    </w:p>
    <w:p w14:paraId="1675EB6A" w14:textId="17670789" w:rsidR="00B928AC" w:rsidRPr="00805442" w:rsidRDefault="007C4E04" w:rsidP="007C4E04">
      <w:pPr>
        <w:pStyle w:val="Heading1"/>
        <w:ind w:left="0"/>
        <w:jc w:val="center"/>
        <w:rPr>
          <w:rFonts w:ascii="Times New Roman" w:hAnsi="Times New Roman" w:cs="Times New Roman"/>
          <w:noProof/>
          <w:color w:val="4D81BD"/>
          <w:sz w:val="24"/>
          <w:szCs w:val="24"/>
        </w:rPr>
      </w:pPr>
      <w:r w:rsidRPr="007C4E04">
        <w:rPr>
          <w:rFonts w:ascii="Times New Roman" w:hAnsi="Times New Roman" w:cs="Times New Roman"/>
          <w:noProof/>
          <w:color w:val="4D81BD"/>
          <w:sz w:val="24"/>
          <w:szCs w:val="24"/>
        </w:rPr>
        <w:drawing>
          <wp:inline distT="0" distB="0" distL="0" distR="0" wp14:anchorId="6698C019" wp14:editId="35FA7BEB">
            <wp:extent cx="5217795" cy="2474312"/>
            <wp:effectExtent l="0" t="0" r="1905" b="2540"/>
            <wp:docPr id="1104278354" name="Picture 1" descr="A graph of the number of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78354" name="Picture 1" descr="A graph of the number of countries/regions&#10;&#10;AI-generated content may be incorrect."/>
                    <pic:cNvPicPr/>
                  </pic:nvPicPr>
                  <pic:blipFill>
                    <a:blip r:embed="rId13"/>
                    <a:stretch>
                      <a:fillRect/>
                    </a:stretch>
                  </pic:blipFill>
                  <pic:spPr>
                    <a:xfrm>
                      <a:off x="0" y="0"/>
                      <a:ext cx="5229979" cy="2480090"/>
                    </a:xfrm>
                    <a:prstGeom prst="rect">
                      <a:avLst/>
                    </a:prstGeom>
                  </pic:spPr>
                </pic:pic>
              </a:graphicData>
            </a:graphic>
          </wp:inline>
        </w:drawing>
      </w:r>
    </w:p>
    <w:p w14:paraId="528A7DD8" w14:textId="77777777" w:rsidR="00D33BCA" w:rsidRPr="00805442" w:rsidRDefault="00D33BCA" w:rsidP="00F92C74">
      <w:pPr>
        <w:jc w:val="both"/>
        <w:rPr>
          <w:rFonts w:ascii="Times New Roman" w:hAnsi="Times New Roman" w:cs="Times New Roman"/>
          <w:noProof/>
          <w:sz w:val="24"/>
          <w:szCs w:val="24"/>
        </w:rPr>
      </w:pPr>
    </w:p>
    <w:p w14:paraId="5699E593" w14:textId="260AA402"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69091191" w14:textId="77777777" w:rsidR="0068352E" w:rsidRPr="00805442" w:rsidRDefault="0068352E" w:rsidP="00F92C74">
      <w:pPr>
        <w:pStyle w:val="BodyText"/>
        <w:jc w:val="both"/>
        <w:rPr>
          <w:rFonts w:ascii="Times New Roman" w:hAnsi="Times New Roman" w:cs="Times New Roman"/>
          <w:noProof/>
          <w:sz w:val="24"/>
          <w:szCs w:val="24"/>
        </w:rPr>
      </w:pPr>
    </w:p>
    <w:p w14:paraId="1BF3C75D" w14:textId="7CB118F8" w:rsidR="0068352E" w:rsidRPr="00805442" w:rsidRDefault="00786994" w:rsidP="00786994">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10. 2. attēlā redzama skaidra korelācija starp pašvaldību saņemto pārvedumu apjomu un to izdevumu līmeni, Dānijai ieņemot vadošo vietu saņemto pārvedumu ziņā, izsakot tos kā daļu no IKP; tai seko Beļģija, Austrija un Spānija. Beļģijas un Dānijas reitinga izmaiņas, salīdzinot 1. un 2. attēlu, atbilst Beļģijas būtiskajiem pārvedumiem sociālā nodrošinājuma jomā, savukārt Dānija pārvedumus galvenokārt novirza pašvaldībām. Izņemot Austriju, šīs valstis ieņem augstu vietu arī pašvaldību izdevumu ziņā līdzās Zviedrijai un Somijai. Turpretī </w:t>
      </w:r>
      <w:r w:rsidRPr="00805442">
        <w:rPr>
          <w:rFonts w:ascii="Times New Roman" w:hAnsi="Times New Roman" w:cs="Times New Roman"/>
          <w:i/>
          <w:iCs/>
          <w:sz w:val="24"/>
        </w:rPr>
        <w:t>OECD</w:t>
      </w:r>
      <w:r w:rsidRPr="00805442">
        <w:rPr>
          <w:rFonts w:ascii="Times New Roman" w:hAnsi="Times New Roman" w:cs="Times New Roman"/>
          <w:sz w:val="24"/>
        </w:rPr>
        <w:t xml:space="preserve"> dalībvalstīs ar centralizētākiem izdevumu pienākumiem, piemēram, Īrijā, Grieķijā un Luksemburgā, vērojama mazāka paļaušanās uz pārvedumiem, ko atspoguļo arī zemāks piešķīrumu apmērs šādiem pārvedumiem, izsakot to kā procentus no IKP.</w:t>
      </w:r>
    </w:p>
    <w:p w14:paraId="75B1159E" w14:textId="77777777" w:rsidR="00A47D09" w:rsidRPr="00805442" w:rsidRDefault="00A47D09" w:rsidP="00F92C74">
      <w:pPr>
        <w:jc w:val="both"/>
        <w:rPr>
          <w:rFonts w:ascii="Times New Roman" w:hAnsi="Times New Roman" w:cs="Times New Roman"/>
          <w:noProof/>
          <w:sz w:val="24"/>
          <w:szCs w:val="24"/>
        </w:rPr>
      </w:pPr>
    </w:p>
    <w:p w14:paraId="4D0634FC" w14:textId="4AE27811" w:rsidR="0068352E" w:rsidRPr="00805442" w:rsidRDefault="0068352E" w:rsidP="00847EC7">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2. attēls. Korelācija starp pašvaldību izdevumiem un pašvaldību saņemtajiem pārvedumiem, 2021</w:t>
      </w:r>
    </w:p>
    <w:p w14:paraId="133864A3" w14:textId="77777777" w:rsidR="0041526F" w:rsidRPr="00805442" w:rsidRDefault="0041526F" w:rsidP="00847EC7">
      <w:pPr>
        <w:keepNext/>
        <w:keepLines/>
        <w:jc w:val="both"/>
        <w:rPr>
          <w:rFonts w:ascii="Times New Roman" w:hAnsi="Times New Roman" w:cs="Times New Roman"/>
          <w:noProof/>
          <w:color w:val="585858"/>
          <w:sz w:val="24"/>
          <w:szCs w:val="24"/>
        </w:rPr>
      </w:pPr>
    </w:p>
    <w:p w14:paraId="51BD621B" w14:textId="2A45BE05" w:rsidR="0041526F" w:rsidRPr="00805442" w:rsidRDefault="00847EC7" w:rsidP="00847EC7">
      <w:pPr>
        <w:keepNext/>
        <w:keepLines/>
        <w:jc w:val="center"/>
        <w:rPr>
          <w:rFonts w:ascii="Times New Roman" w:hAnsi="Times New Roman" w:cs="Times New Roman"/>
          <w:noProof/>
          <w:color w:val="585858"/>
          <w:sz w:val="24"/>
          <w:szCs w:val="24"/>
        </w:rPr>
      </w:pPr>
      <w:r w:rsidRPr="00847EC7">
        <w:rPr>
          <w:rFonts w:ascii="Times New Roman" w:hAnsi="Times New Roman" w:cs="Times New Roman"/>
          <w:noProof/>
          <w:color w:val="585858"/>
          <w:sz w:val="24"/>
          <w:szCs w:val="24"/>
        </w:rPr>
        <w:drawing>
          <wp:inline distT="0" distB="0" distL="0" distR="0" wp14:anchorId="509795B0" wp14:editId="3C63F9D4">
            <wp:extent cx="5311140" cy="3042548"/>
            <wp:effectExtent l="0" t="0" r="3810" b="5715"/>
            <wp:docPr id="511972471" name="Picture 1" descr="A graph with blue dots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72471" name="Picture 1" descr="A graph with blue dots and white lines&#10;&#10;AI-generated content may be incorrect."/>
                    <pic:cNvPicPr/>
                  </pic:nvPicPr>
                  <pic:blipFill>
                    <a:blip r:embed="rId14"/>
                    <a:stretch>
                      <a:fillRect/>
                    </a:stretch>
                  </pic:blipFill>
                  <pic:spPr>
                    <a:xfrm>
                      <a:off x="0" y="0"/>
                      <a:ext cx="5312792" cy="3043494"/>
                    </a:xfrm>
                    <a:prstGeom prst="rect">
                      <a:avLst/>
                    </a:prstGeom>
                  </pic:spPr>
                </pic:pic>
              </a:graphicData>
            </a:graphic>
          </wp:inline>
        </w:drawing>
      </w:r>
    </w:p>
    <w:p w14:paraId="27ACF41D" w14:textId="5D4C80FA" w:rsidR="0041526F" w:rsidRPr="00805442" w:rsidRDefault="0041526F" w:rsidP="00F92C74">
      <w:pPr>
        <w:jc w:val="both"/>
        <w:rPr>
          <w:rFonts w:ascii="Times New Roman" w:hAnsi="Times New Roman" w:cs="Times New Roman"/>
          <w:noProof/>
          <w:color w:val="585858"/>
          <w:sz w:val="24"/>
          <w:szCs w:val="24"/>
        </w:rPr>
      </w:pPr>
    </w:p>
    <w:p w14:paraId="09F916A3" w14:textId="69699320"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33E6151A" w14:textId="77777777" w:rsidR="0068352E" w:rsidRPr="00805442" w:rsidRDefault="0068352E" w:rsidP="00F92C74">
      <w:pPr>
        <w:pStyle w:val="BodyText"/>
        <w:jc w:val="both"/>
        <w:rPr>
          <w:rFonts w:ascii="Times New Roman" w:hAnsi="Times New Roman" w:cs="Times New Roman"/>
          <w:noProof/>
          <w:sz w:val="24"/>
          <w:szCs w:val="24"/>
        </w:rPr>
      </w:pPr>
    </w:p>
    <w:p w14:paraId="1CC44E87" w14:textId="6E184EDA" w:rsidR="0068352E" w:rsidRPr="00805442" w:rsidRDefault="0041526F" w:rsidP="0041526F">
      <w:pPr>
        <w:pStyle w:val="ListParagraph"/>
        <w:tabs>
          <w:tab w:val="left" w:pos="1358"/>
        </w:tabs>
        <w:ind w:left="0"/>
        <w:rPr>
          <w:rFonts w:ascii="Times New Roman" w:hAnsi="Times New Roman" w:cs="Times New Roman"/>
          <w:noProof/>
          <w:sz w:val="24"/>
          <w:szCs w:val="24"/>
        </w:rPr>
      </w:pPr>
      <w:r w:rsidRPr="00805442">
        <w:rPr>
          <w:rFonts w:ascii="Times New Roman" w:hAnsi="Times New Roman" w:cs="Times New Roman"/>
          <w:sz w:val="24"/>
        </w:rPr>
        <w:t xml:space="preserve">11. 3. attēlā parādīta starpība starp pašvaldību izdevumiem un to saņemtajiem pārvedumiem 2021. gadā, kas ir kā ieņēmumu autonomijas rādītājs – jo lielāka starpība, jo lielāka </w:t>
      </w:r>
      <w:r w:rsidRPr="00805442">
        <w:rPr>
          <w:rFonts w:ascii="Times New Roman" w:hAnsi="Times New Roman" w:cs="Times New Roman"/>
          <w:sz w:val="24"/>
        </w:rPr>
        <w:lastRenderedPageBreak/>
        <w:t>ieņēmumu autonomija. Arī šajā situācijā šī neatbilstība ir visspilgtāk izteikta valstīs ar augstu izdevumu decentralizācijas pakāpi, piemēram, Šveicē, Somijā, Zviedrijā un Amerikas Savienotajās Valstīs, kur starpība pārsniedz 15 procentpunktus. Savukārt Igaunijā, Slovākijā, Grieķijā, Īrijā un Lietuvā starpība ir mazāka par 2 procentpunktiem. Tomēr šī mazākā starpība ne vienmēr liecina par mazāku paļaušanos uz pārvedumiem šajās valstīs; lai noteiktu atkarību no pārvedumiem, ir nepieciešama sīkāka relatīvā analīze.</w:t>
      </w:r>
    </w:p>
    <w:p w14:paraId="42E66ABB" w14:textId="15F94DE9" w:rsidR="00DF7134" w:rsidRPr="00805442" w:rsidRDefault="00DF7134">
      <w:pPr>
        <w:rPr>
          <w:rFonts w:ascii="Times New Roman" w:eastAsia="Arial Narrow" w:hAnsi="Times New Roman" w:cs="Times New Roman"/>
          <w:b/>
          <w:bCs/>
          <w:noProof/>
          <w:color w:val="4D81BD"/>
          <w:sz w:val="24"/>
          <w:szCs w:val="24"/>
        </w:rPr>
      </w:pPr>
    </w:p>
    <w:p w14:paraId="1361031B" w14:textId="0F797E13" w:rsidR="0068352E" w:rsidRPr="00805442" w:rsidRDefault="0068352E" w:rsidP="00F10F43">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3. attēls. Atšķirība starp pašvaldību izdevumiem un to saņemtajiem pārvedumiem 2021. gadā</w:t>
      </w:r>
    </w:p>
    <w:p w14:paraId="0CFDD925" w14:textId="77777777" w:rsidR="0068352E" w:rsidRPr="00805442" w:rsidRDefault="0068352E" w:rsidP="00F10F43">
      <w:pPr>
        <w:pStyle w:val="BodyText"/>
        <w:keepNext/>
        <w:keepLines/>
        <w:jc w:val="both"/>
        <w:rPr>
          <w:rFonts w:ascii="Times New Roman" w:hAnsi="Times New Roman" w:cs="Times New Roman"/>
          <w:noProof/>
          <w:sz w:val="24"/>
          <w:szCs w:val="24"/>
        </w:rPr>
      </w:pPr>
    </w:p>
    <w:p w14:paraId="01801425" w14:textId="53119B53" w:rsidR="0068352E" w:rsidRPr="00805442" w:rsidRDefault="00F10F43" w:rsidP="00F10F43">
      <w:pPr>
        <w:pStyle w:val="BodyText"/>
        <w:keepNext/>
        <w:keepLines/>
        <w:jc w:val="center"/>
        <w:rPr>
          <w:rFonts w:ascii="Times New Roman" w:hAnsi="Times New Roman" w:cs="Times New Roman"/>
          <w:noProof/>
          <w:sz w:val="24"/>
          <w:szCs w:val="24"/>
        </w:rPr>
      </w:pPr>
      <w:r w:rsidRPr="00F10F43">
        <w:rPr>
          <w:rFonts w:ascii="Times New Roman" w:hAnsi="Times New Roman" w:cs="Times New Roman"/>
          <w:noProof/>
          <w:sz w:val="24"/>
          <w:szCs w:val="24"/>
        </w:rPr>
        <w:drawing>
          <wp:inline distT="0" distB="0" distL="0" distR="0" wp14:anchorId="658099BD" wp14:editId="3C4D01C0">
            <wp:extent cx="5219066" cy="2936875"/>
            <wp:effectExtent l="0" t="0" r="635" b="0"/>
            <wp:docPr id="1784385764" name="Picture 1" descr="A graph with blue and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85764" name="Picture 1" descr="A graph with blue and orange lines&#10;&#10;AI-generated content may be incorrect."/>
                    <pic:cNvPicPr/>
                  </pic:nvPicPr>
                  <pic:blipFill>
                    <a:blip r:embed="rId15"/>
                    <a:stretch>
                      <a:fillRect/>
                    </a:stretch>
                  </pic:blipFill>
                  <pic:spPr>
                    <a:xfrm>
                      <a:off x="0" y="0"/>
                      <a:ext cx="5221416" cy="2938197"/>
                    </a:xfrm>
                    <a:prstGeom prst="rect">
                      <a:avLst/>
                    </a:prstGeom>
                  </pic:spPr>
                </pic:pic>
              </a:graphicData>
            </a:graphic>
          </wp:inline>
        </w:drawing>
      </w:r>
    </w:p>
    <w:p w14:paraId="29918FA8" w14:textId="483332BD" w:rsidR="0068352E" w:rsidRPr="00805442" w:rsidRDefault="0068352E" w:rsidP="00F92C74">
      <w:pPr>
        <w:tabs>
          <w:tab w:val="left" w:pos="2568"/>
        </w:tabs>
        <w:jc w:val="both"/>
        <w:rPr>
          <w:rFonts w:ascii="Times New Roman" w:hAnsi="Times New Roman" w:cs="Times New Roman"/>
          <w:noProof/>
          <w:color w:val="585858"/>
          <w:sz w:val="24"/>
          <w:szCs w:val="24"/>
        </w:rPr>
      </w:pPr>
    </w:p>
    <w:p w14:paraId="5040ED0F"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42404680" w14:textId="77777777" w:rsidR="00DF7134" w:rsidRPr="00805442" w:rsidRDefault="00DF7134" w:rsidP="00F92C74">
      <w:pPr>
        <w:pStyle w:val="BodyText"/>
        <w:jc w:val="both"/>
        <w:rPr>
          <w:rFonts w:ascii="Times New Roman" w:hAnsi="Times New Roman" w:cs="Times New Roman"/>
          <w:noProof/>
          <w:sz w:val="24"/>
          <w:szCs w:val="24"/>
        </w:rPr>
      </w:pPr>
    </w:p>
    <w:p w14:paraId="7263E0D8" w14:textId="30FCD5EB" w:rsidR="0068352E" w:rsidRPr="00805442" w:rsidRDefault="00DF7134" w:rsidP="00DF7134">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12. Neatkarīgi no tā, cik decentralizēti ir izdevumi, atkarība no pārvedumiem tāpat var būt ļoti liela. 4. attēlā ir redzams, ka nepastāv noteikta sakarība starp izdevumu decentralizācijas pakāpi un atkarību no pārvedumiem pašvaldību izdevumu finansēšanai. Augsts paļaušanās līmenis uz pārvedumiem un līdz ar to zema nodokļu autonomija ir vērojama ne tikai unitārās valstīs, piemēram, Lietuvā, Igaunijā un Slovākijā, bet arī federālās un kvazifederālās valstīs, piemēram, Austrijā, Spānijā un Beļģijā, kā arī ļoti decentralizētās valstīs, piemēram, Dānijā. Vismazākā atkarība no pārvedumiem ir arī pašvaldībām federālās valstīs, piemēram, Šveicē, Amerikas Savienotajās Valstīs un Austrālijā, kā arī unitārās valstīs, piemēram, Izraēlā, Francijā, Portugālē un Somijā. Šajā brīdī ir svarīgi norādīt, ka nav skaidrs, kādas ieņēmumu plūsmas jāuzskata par pārvedumiem. Pastāv dažādi veidi, kā ieņēmumu plūsmas tiek klasificētas kā pārvedumi, tostarp nodokļu sadales un ieņēmumu sadales shēmas, kas sarežģī analīzi. Piemēram, Austrijas pašvaldības lielā mērā paļaujas uz ieņēmumu sadales mehānismu, kā dēļ 4. attēlā Austrija izskatās kā viena no valstīm ar vislielāko atkarību no pārvedumiem. Šajā nolūkā </w:t>
      </w:r>
      <w:r w:rsidRPr="00805442">
        <w:rPr>
          <w:rFonts w:ascii="Times New Roman" w:hAnsi="Times New Roman" w:cs="Times New Roman"/>
          <w:i/>
          <w:iCs/>
          <w:sz w:val="24"/>
        </w:rPr>
        <w:t>OECD</w:t>
      </w:r>
      <w:r w:rsidRPr="00805442">
        <w:rPr>
          <w:rFonts w:ascii="Times New Roman" w:hAnsi="Times New Roman" w:cs="Times New Roman"/>
          <w:sz w:val="24"/>
        </w:rPr>
        <w:t xml:space="preserve"> (2021) sniedz visaptverošu pārskatu par nodokļu autonomijas mērīšanas pieejām.</w:t>
      </w:r>
    </w:p>
    <w:p w14:paraId="2714E777" w14:textId="4046E0D0" w:rsidR="00DF7134" w:rsidRPr="00805442" w:rsidRDefault="00DF7134">
      <w:pPr>
        <w:rPr>
          <w:rFonts w:ascii="Times New Roman" w:eastAsia="Arial Narrow" w:hAnsi="Times New Roman" w:cs="Times New Roman"/>
          <w:b/>
          <w:bCs/>
          <w:noProof/>
          <w:color w:val="4D81BD"/>
          <w:sz w:val="24"/>
          <w:szCs w:val="24"/>
        </w:rPr>
      </w:pPr>
    </w:p>
    <w:p w14:paraId="613E76CD" w14:textId="6EA76685" w:rsidR="0068352E" w:rsidRPr="00805442" w:rsidRDefault="0068352E" w:rsidP="0050079A">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4. attēls. Pašvaldību atkarība no pārvedumiem 2021. gadā</w:t>
      </w:r>
    </w:p>
    <w:p w14:paraId="6605DFE6" w14:textId="77777777" w:rsidR="005D2B1B" w:rsidRDefault="005D2B1B" w:rsidP="0050079A">
      <w:pPr>
        <w:keepNext/>
        <w:keepLines/>
        <w:jc w:val="both"/>
        <w:rPr>
          <w:rFonts w:ascii="Times New Roman" w:hAnsi="Times New Roman" w:cs="Times New Roman"/>
          <w:noProof/>
          <w:color w:val="585858"/>
          <w:sz w:val="24"/>
          <w:szCs w:val="24"/>
        </w:rPr>
      </w:pPr>
    </w:p>
    <w:p w14:paraId="1BD3DE8B" w14:textId="792B575C" w:rsidR="0050079A" w:rsidRPr="0050079A" w:rsidRDefault="0022473B" w:rsidP="0050079A">
      <w:pPr>
        <w:keepNext/>
        <w:keepLines/>
        <w:jc w:val="both"/>
        <w:rPr>
          <w:rFonts w:ascii="Times New Roman" w:hAnsi="Times New Roman" w:cs="Times New Roman"/>
          <w:noProof/>
          <w:color w:val="585858"/>
          <w:sz w:val="20"/>
          <w:szCs w:val="20"/>
        </w:rPr>
      </w:pPr>
      <w:r w:rsidRPr="0022473B">
        <w:rPr>
          <w:rFonts w:ascii="Times New Roman" w:hAnsi="Times New Roman" w:cs="Times New Roman"/>
          <w:sz w:val="20"/>
          <w:szCs w:val="18"/>
        </w:rPr>
        <w:t>% no kopējiem pašvaldību izdevumiem</w:t>
      </w:r>
    </w:p>
    <w:p w14:paraId="557716FF" w14:textId="41274D78" w:rsidR="005D2B1B" w:rsidRPr="00805442" w:rsidRDefault="00CD6373" w:rsidP="0050079A">
      <w:pPr>
        <w:keepNext/>
        <w:keepLines/>
        <w:rPr>
          <w:rFonts w:ascii="Times New Roman" w:hAnsi="Times New Roman" w:cs="Times New Roman"/>
          <w:noProof/>
          <w:color w:val="585858"/>
          <w:sz w:val="24"/>
          <w:szCs w:val="24"/>
        </w:rPr>
      </w:pPr>
      <w:r w:rsidRPr="00805442">
        <w:rPr>
          <w:rFonts w:ascii="Times New Roman" w:hAnsi="Times New Roman" w:cs="Times New Roman"/>
          <w:noProof/>
          <w:color w:val="585858"/>
          <w:sz w:val="24"/>
        </w:rPr>
        <w:drawing>
          <wp:inline distT="0" distB="0" distL="0" distR="0" wp14:anchorId="2BC041A5" wp14:editId="21B8948B">
            <wp:extent cx="5121275" cy="2312670"/>
            <wp:effectExtent l="0" t="0" r="3175" b="0"/>
            <wp:docPr id="1645172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0996"/>
                    <a:stretch>
                      <a:fillRect/>
                    </a:stretch>
                  </pic:blipFill>
                  <pic:spPr bwMode="auto">
                    <a:xfrm>
                      <a:off x="0" y="0"/>
                      <a:ext cx="5121275" cy="2312670"/>
                    </a:xfrm>
                    <a:prstGeom prst="rect">
                      <a:avLst/>
                    </a:prstGeom>
                    <a:noFill/>
                    <a:ln>
                      <a:noFill/>
                    </a:ln>
                    <a:extLst>
                      <a:ext uri="{53640926-AAD7-44D8-BBD7-CCE9431645EC}">
                        <a14:shadowObscured xmlns:a14="http://schemas.microsoft.com/office/drawing/2010/main"/>
                      </a:ext>
                    </a:extLst>
                  </pic:spPr>
                </pic:pic>
              </a:graphicData>
            </a:graphic>
          </wp:inline>
        </w:drawing>
      </w:r>
    </w:p>
    <w:p w14:paraId="42081335" w14:textId="77777777" w:rsidR="0050079A" w:rsidRDefault="0050079A" w:rsidP="0050079A">
      <w:pPr>
        <w:keepNext/>
        <w:keepLines/>
        <w:jc w:val="both"/>
        <w:rPr>
          <w:rFonts w:ascii="Times New Roman" w:hAnsi="Times New Roman" w:cs="Times New Roman"/>
          <w:noProof/>
          <w:color w:val="585858"/>
          <w:sz w:val="24"/>
          <w:szCs w:val="24"/>
        </w:rPr>
      </w:pPr>
    </w:p>
    <w:p w14:paraId="1C9D6EA7" w14:textId="30803899"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5EAAAFB1" w14:textId="77777777" w:rsidR="0068352E" w:rsidRPr="00805442" w:rsidRDefault="0068352E" w:rsidP="00F92C74">
      <w:pPr>
        <w:pStyle w:val="BodyText"/>
        <w:jc w:val="both"/>
        <w:rPr>
          <w:rFonts w:ascii="Times New Roman" w:hAnsi="Times New Roman" w:cs="Times New Roman"/>
          <w:noProof/>
          <w:sz w:val="24"/>
          <w:szCs w:val="24"/>
        </w:rPr>
      </w:pPr>
    </w:p>
    <w:p w14:paraId="55230DE3" w14:textId="6D8026B9" w:rsidR="00CD6373" w:rsidRPr="00805442" w:rsidRDefault="00CD6373" w:rsidP="00CD6373">
      <w:pPr>
        <w:pStyle w:val="ListParagraph"/>
        <w:tabs>
          <w:tab w:val="left" w:pos="1358"/>
        </w:tabs>
        <w:ind w:left="0"/>
        <w:rPr>
          <w:rFonts w:ascii="Times New Roman" w:hAnsi="Times New Roman" w:cs="Times New Roman"/>
          <w:noProof/>
          <w:sz w:val="24"/>
          <w:szCs w:val="24"/>
        </w:rPr>
      </w:pPr>
      <w:r w:rsidRPr="00805442">
        <w:rPr>
          <w:rFonts w:ascii="Times New Roman" w:hAnsi="Times New Roman" w:cs="Times New Roman"/>
          <w:sz w:val="24"/>
        </w:rPr>
        <w:t xml:space="preserve">13. Starp valstīm un laika gaitā ir vērojama SFP apmēra mainība. Izmaksāto dotāciju īpatsvars pēdējo desmitgažu laikā ir pakāpeniski pieaudzis, palielinoties no 10,3 % no IKP 1995. gadā līdz 11,6 % 2021. gadā, kā liecina nesvērtais </w:t>
      </w:r>
      <w:r w:rsidRPr="00805442">
        <w:rPr>
          <w:rFonts w:ascii="Times New Roman" w:hAnsi="Times New Roman" w:cs="Times New Roman"/>
          <w:i/>
          <w:iCs/>
          <w:sz w:val="24"/>
        </w:rPr>
        <w:t>OECD</w:t>
      </w:r>
      <w:r w:rsidRPr="00805442">
        <w:rPr>
          <w:rFonts w:ascii="Times New Roman" w:hAnsi="Times New Roman" w:cs="Times New Roman"/>
          <w:sz w:val="24"/>
        </w:rPr>
        <w:t xml:space="preserve"> vidējais rādītājs. 5. attēlā attēlota dotāciju dinamika šajā periodā, kas skaidri atspoguļo ekonomisko ciklu. Ekonomiskās izaugsmes periodos pārvedumi kopumā samazinājās, savukārt nozīmīgas krīzes, piemēram, globālā finanšu krīze 2008. gadā, Covid-19 pandēmija 2020. gadā un mazākā mērā “dot com” krīze 2001. gadā, pamudināja centrālās valdības iesaistīties un nodrošināt lielāku finansiālo atbalstu pašvaldībām. Pārvedumu pieaugums bija īpaši straujš 2020. gadā, kad pašvaldību nodokļu ieņēmumi piedzīvoja mērenu samazinājumu, savukārt izdevumu vajadzības būtiski pieauga (Dougherty un De Biase, 2021). Pēc šiem notikumiem bija vērojama tendence dotāciju līmeņiem normalizēties. Tomēr pašvaldību politiskā pretestība un budžeta inerce ir veicinājusi to konsolidāciju, radot spēcīgu pretestību fiskālām korekcijām. Lai gan dotāciju pretcikliskais modelis tiek uzskatīts par fiskālās politikas pozitīvu aspektu, tas arī liecina par pašvaldību pašu ieņēmumu sistēmu neaizsargātību, nesaņemot federālās valdības atbalstu ekonomikas lejupslīdes periodos.</w:t>
      </w:r>
    </w:p>
    <w:p w14:paraId="70D4E1B2" w14:textId="77777777" w:rsidR="00A47D09" w:rsidRPr="00805442" w:rsidRDefault="00A47D09" w:rsidP="00F92C74">
      <w:pPr>
        <w:jc w:val="both"/>
        <w:rPr>
          <w:rFonts w:ascii="Times New Roman" w:hAnsi="Times New Roman" w:cs="Times New Roman"/>
          <w:noProof/>
          <w:sz w:val="24"/>
          <w:szCs w:val="24"/>
        </w:rPr>
      </w:pPr>
    </w:p>
    <w:p w14:paraId="5FD4B31B" w14:textId="77777777" w:rsidR="0068352E" w:rsidRPr="00805442" w:rsidRDefault="0068352E" w:rsidP="0050079A">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5. attēls. Vispārējās valdības maksāto vai saņemto kopējo pārvedumu dinamika</w:t>
      </w:r>
    </w:p>
    <w:p w14:paraId="453130A7" w14:textId="77777777" w:rsidR="0050079A" w:rsidRDefault="0050079A" w:rsidP="0050079A">
      <w:pPr>
        <w:keepNext/>
        <w:keepLines/>
        <w:jc w:val="both"/>
        <w:rPr>
          <w:rFonts w:ascii="Times New Roman" w:hAnsi="Times New Roman" w:cs="Times New Roman"/>
          <w:sz w:val="24"/>
        </w:rPr>
      </w:pPr>
    </w:p>
    <w:p w14:paraId="6B6273BD" w14:textId="6B7EDB3D" w:rsidR="0050079A" w:rsidRPr="0050079A" w:rsidRDefault="0050079A" w:rsidP="0050079A">
      <w:pPr>
        <w:keepNext/>
        <w:keepLines/>
        <w:jc w:val="both"/>
        <w:rPr>
          <w:rFonts w:ascii="Times New Roman" w:hAnsi="Times New Roman" w:cs="Times New Roman"/>
          <w:noProof/>
          <w:sz w:val="18"/>
          <w:szCs w:val="18"/>
        </w:rPr>
      </w:pPr>
      <w:r w:rsidRPr="0050079A">
        <w:rPr>
          <w:rFonts w:ascii="Times New Roman" w:hAnsi="Times New Roman" w:cs="Times New Roman"/>
          <w:sz w:val="18"/>
          <w:szCs w:val="16"/>
        </w:rPr>
        <w:t xml:space="preserve">% no IKP (nesvērtais </w:t>
      </w:r>
      <w:r w:rsidRPr="0050079A">
        <w:rPr>
          <w:rFonts w:ascii="Times New Roman" w:hAnsi="Times New Roman" w:cs="Times New Roman"/>
          <w:i/>
          <w:iCs/>
          <w:sz w:val="18"/>
          <w:szCs w:val="16"/>
        </w:rPr>
        <w:t>OECD</w:t>
      </w:r>
      <w:r w:rsidRPr="0050079A">
        <w:rPr>
          <w:rFonts w:ascii="Times New Roman" w:hAnsi="Times New Roman" w:cs="Times New Roman"/>
          <w:sz w:val="18"/>
          <w:szCs w:val="16"/>
        </w:rPr>
        <w:t xml:space="preserve"> vidējais rādītājs)</w:t>
      </w:r>
    </w:p>
    <w:p w14:paraId="689D4174" w14:textId="6867A644" w:rsidR="00CE66E8" w:rsidRPr="00805442" w:rsidRDefault="00CE66E8" w:rsidP="0050079A">
      <w:pPr>
        <w:keepNext/>
        <w:keepLines/>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73D20E6F" wp14:editId="1017B70B">
            <wp:extent cx="5015865" cy="2246612"/>
            <wp:effectExtent l="0" t="0" r="0" b="1905"/>
            <wp:docPr id="409792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10078"/>
                    <a:stretch>
                      <a:fillRect/>
                    </a:stretch>
                  </pic:blipFill>
                  <pic:spPr bwMode="auto">
                    <a:xfrm>
                      <a:off x="0" y="0"/>
                      <a:ext cx="5034345" cy="2254889"/>
                    </a:xfrm>
                    <a:prstGeom prst="rect">
                      <a:avLst/>
                    </a:prstGeom>
                    <a:noFill/>
                    <a:ln>
                      <a:noFill/>
                    </a:ln>
                    <a:extLst>
                      <a:ext uri="{53640926-AAD7-44D8-BBD7-CCE9431645EC}">
                        <a14:shadowObscured xmlns:a14="http://schemas.microsoft.com/office/drawing/2010/main"/>
                      </a:ext>
                    </a:extLst>
                  </pic:spPr>
                </pic:pic>
              </a:graphicData>
            </a:graphic>
          </wp:inline>
        </w:drawing>
      </w:r>
    </w:p>
    <w:p w14:paraId="73D167CA" w14:textId="77777777" w:rsidR="00CE66E8" w:rsidRPr="00805442" w:rsidRDefault="00CE66E8" w:rsidP="0050079A">
      <w:pPr>
        <w:keepNext/>
        <w:keepLines/>
        <w:jc w:val="both"/>
        <w:rPr>
          <w:rFonts w:ascii="Times New Roman" w:hAnsi="Times New Roman" w:cs="Times New Roman"/>
          <w:noProof/>
          <w:sz w:val="24"/>
          <w:szCs w:val="24"/>
        </w:rPr>
      </w:pPr>
    </w:p>
    <w:p w14:paraId="35763B01" w14:textId="43879EFA" w:rsidR="0068352E" w:rsidRPr="00805442" w:rsidRDefault="0068352E" w:rsidP="0050079A">
      <w:pPr>
        <w:keepNext/>
        <w:keepLines/>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13C26D8F" w14:textId="77777777" w:rsidR="0068352E" w:rsidRPr="00805442" w:rsidRDefault="0068352E" w:rsidP="00F92C74">
      <w:pPr>
        <w:pStyle w:val="BodyText"/>
        <w:jc w:val="both"/>
        <w:rPr>
          <w:rFonts w:ascii="Times New Roman" w:hAnsi="Times New Roman" w:cs="Times New Roman"/>
          <w:noProof/>
          <w:sz w:val="24"/>
          <w:szCs w:val="24"/>
        </w:rPr>
      </w:pPr>
    </w:p>
    <w:p w14:paraId="08335C48" w14:textId="77777777" w:rsidR="00307386" w:rsidRPr="00805442" w:rsidRDefault="00307386" w:rsidP="00CE66E8">
      <w:pPr>
        <w:pStyle w:val="Heading1"/>
        <w:tabs>
          <w:tab w:val="left" w:pos="993"/>
        </w:tabs>
        <w:ind w:left="0"/>
        <w:jc w:val="both"/>
        <w:rPr>
          <w:rFonts w:ascii="Times New Roman" w:hAnsi="Times New Roman" w:cs="Times New Roman"/>
          <w:noProof/>
          <w:color w:val="4D81BD"/>
          <w:sz w:val="28"/>
          <w:szCs w:val="28"/>
        </w:rPr>
      </w:pPr>
    </w:p>
    <w:p w14:paraId="24F1B269" w14:textId="2037653B" w:rsidR="0068352E" w:rsidRPr="00805442" w:rsidRDefault="00CE66E8" w:rsidP="00CE66E8">
      <w:pPr>
        <w:pStyle w:val="Heading1"/>
        <w:tabs>
          <w:tab w:val="left" w:pos="993"/>
        </w:tabs>
        <w:ind w:left="0"/>
        <w:jc w:val="both"/>
        <w:rPr>
          <w:rFonts w:ascii="Times New Roman" w:hAnsi="Times New Roman" w:cs="Times New Roman"/>
          <w:noProof/>
          <w:color w:val="4D81BD"/>
          <w:sz w:val="28"/>
          <w:szCs w:val="28"/>
        </w:rPr>
      </w:pPr>
      <w:r w:rsidRPr="00805442">
        <w:rPr>
          <w:rFonts w:ascii="Times New Roman" w:hAnsi="Times New Roman" w:cs="Times New Roman"/>
          <w:color w:val="4D81BD"/>
          <w:sz w:val="28"/>
        </w:rPr>
        <w:t>3. Mērķi un rezultāti – kompromiss starp taisnīgumu un efektivitāti</w:t>
      </w:r>
    </w:p>
    <w:p w14:paraId="6756271B" w14:textId="77777777" w:rsidR="0068352E" w:rsidRPr="00805442" w:rsidRDefault="0068352E" w:rsidP="00F92C74">
      <w:pPr>
        <w:pStyle w:val="BodyText"/>
        <w:jc w:val="both"/>
        <w:rPr>
          <w:rFonts w:ascii="Times New Roman" w:hAnsi="Times New Roman" w:cs="Times New Roman"/>
          <w:b/>
          <w:noProof/>
          <w:sz w:val="24"/>
          <w:szCs w:val="24"/>
        </w:rPr>
      </w:pPr>
    </w:p>
    <w:p w14:paraId="6F272327" w14:textId="54960041" w:rsidR="0068352E" w:rsidRPr="00805442" w:rsidRDefault="00CE66E8" w:rsidP="00CE66E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14. Efektīvu SFP sistēmu izveidē ir jārod būtiski kompromisi, lai līdzsvarotu dažādus fiskālās politikas mērķus un administratīvo realitāti. Šie kompromisi ietver pārskatāmību pretstatā sarežģītībai, kur piešķīrumu formulu skaidrība un saprotamība ir jālīdzsvaro ar nepieciešamību pēc formulām, kas precīzi atspoguļo fiskālās kapacitātes un vajadzību sarežģītību dažādās jurisdikcijās. Pastāv arī kompromiss starp elastību un uz rezultātiem orientētu pieeju, kas pretstata pašvaldību vēlmi pēc autonomijas lēmumos par izdevumiem centrālās valdības nepieciešamībai nodrošināt, lai līdzekļi sasniegtu konkrētus politikas mērķus. Centrālās kontroles pretstatījums pašvaldības autonomijai apzina spriedzi starp nepieciešamo uzraudzību un vietējās pārvaldes brīvību risināt savus unikālos izaicinājumus. Paredzamības pretstatījums pielāgojamībai uzsver nepieciešamību pēc stabilām finansējuma prognozēm pretstatā fiskālo sistēmu spējai reaģēt uz mainīgajiem ekonomiskajiem apstākļiem. Papildus tam stimulu fiskālajiem centieniem pretstatījums atkarības riskam atspoguļo to, kā motivēt pašvaldības maksimāli palielināt savus ieņēmumus, nekļūstot pārmērīgi atkarīgām no centrālās valdības pārvedumiem. Visbeidzot, pārskatatbildības pretstatījums inovācijām ir vērsts uz izaicinājumu nodrošināt atbildīgu fiskālo pārvaldību, vienlaikus veicinot radošus risinājumus vietēja un valsts mēroga izaicinājumiem. Katru no šiem kompromisiem nepieciešams rūpīgi izvērtēt, lai izstrādātu SFP sistēmas, kas veicina efektīvu un lietderīgu pārvaldību visos valdības līmeņos (Searle un Ahmad, 2005; Ter-Minassian, 2021).</w:t>
      </w:r>
    </w:p>
    <w:p w14:paraId="761B3C72"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p>
    <w:p w14:paraId="4B7C8208" w14:textId="26FCE201" w:rsidR="0068352E" w:rsidRPr="00805442" w:rsidRDefault="00CE66E8" w:rsidP="00CE66E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15. Tomēr vissvarīgākais kompromiss SFP izstrādē ir līdzsvars starp taisnīgumu un efektivitāti. Šis kompromiss ietver taisnīga resursu sadalījuma nodrošināšanu, vienlaikus panākot efektīvus rezultātus, analizējot sadales efektus un izprotot izraisītās uzvedības </w:t>
      </w:r>
      <w:r w:rsidRPr="00805442">
        <w:rPr>
          <w:rFonts w:ascii="Times New Roman" w:hAnsi="Times New Roman" w:cs="Times New Roman"/>
          <w:sz w:val="24"/>
        </w:rPr>
        <w:lastRenderedPageBreak/>
        <w:t>reakcijas, lai optimizētu gan valsts, gan reģionālos mērķus (Lago et al., 2024b). SFP ir daudzšķautņaini instrumenti, kas ir būtiski federālās vai decentralizētās valdības sistēmās. To izstrāde un īstenošana ir ļoti specifiska katrai valstij, atspoguļojot tās institucionālo sistēmu, kas ietver pašvaldību izmēru, skaitu un ģeogrāfisko sadalījumu, to pienākumus, fiskālos resursus un varas dalīšanas dinamiku starp centrālo valdību un pašvaldībām.</w:t>
      </w:r>
    </w:p>
    <w:p w14:paraId="3994A714" w14:textId="77777777" w:rsidR="00A47D09" w:rsidRPr="00805442" w:rsidRDefault="00A47D09" w:rsidP="00F92C74">
      <w:pPr>
        <w:jc w:val="both"/>
        <w:rPr>
          <w:rFonts w:ascii="Times New Roman" w:hAnsi="Times New Roman" w:cs="Times New Roman"/>
          <w:noProof/>
          <w:sz w:val="24"/>
          <w:szCs w:val="24"/>
        </w:rPr>
      </w:pPr>
    </w:p>
    <w:p w14:paraId="366880CC" w14:textId="3A28DD48" w:rsidR="0068352E" w:rsidRPr="00805442" w:rsidRDefault="00CE66E8" w:rsidP="00CE66E8">
      <w:pPr>
        <w:pStyle w:val="Heading3"/>
        <w:tabs>
          <w:tab w:val="left" w:pos="1779"/>
        </w:tabs>
        <w:ind w:left="567" w:firstLine="0"/>
        <w:jc w:val="both"/>
        <w:rPr>
          <w:rFonts w:ascii="Times New Roman" w:hAnsi="Times New Roman" w:cs="Times New Roman"/>
          <w:noProof/>
          <w:sz w:val="28"/>
          <w:szCs w:val="28"/>
        </w:rPr>
      </w:pPr>
      <w:r w:rsidRPr="00805442">
        <w:rPr>
          <w:rFonts w:ascii="Times New Roman" w:hAnsi="Times New Roman" w:cs="Times New Roman"/>
          <w:sz w:val="28"/>
        </w:rPr>
        <w:t>3.1. Taisnīguma apsvērumi SFP shēmās</w:t>
      </w:r>
    </w:p>
    <w:p w14:paraId="292D1C12" w14:textId="77777777" w:rsidR="00CE66E8" w:rsidRPr="00805442" w:rsidRDefault="00CE66E8" w:rsidP="00CE66E8">
      <w:pPr>
        <w:pStyle w:val="Heading3"/>
        <w:tabs>
          <w:tab w:val="left" w:pos="1779"/>
        </w:tabs>
        <w:ind w:left="567" w:firstLine="0"/>
        <w:jc w:val="both"/>
        <w:rPr>
          <w:rFonts w:ascii="Times New Roman" w:hAnsi="Times New Roman" w:cs="Times New Roman"/>
          <w:noProof/>
          <w:sz w:val="28"/>
          <w:szCs w:val="28"/>
        </w:rPr>
      </w:pPr>
    </w:p>
    <w:p w14:paraId="6D26ABDE"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16. Taisnīguma apsvērumi SFP shēmās ir būtiski, lai nodrošinātu taisnīgu fiskālo resursu sadalījumu dažādās jurisdikcijās. Galvenais mērķis ir nodrošināt, ka visi reģioni un pašvaldības neatkarīgi no to ekonomiskās spējas vai sociālekonomiskajām īpatnībām var saviem iedzīvotājiem nodrošināt salīdzināma līmeņa sabiedriskos pakalpojumus. Lai novērtētu SFP ietekmi uz taisnīgumu, politikas veidotāji parasti salīdzina budžeta iespējas uz vienu iedzīvotāju pirms un pēc pārvedumiem dažādām jurisdikcijām, bieži izmantojot Džini koeficientu. Tas ietver analīzi par to, cik lielā mērā SFP mazina horizontālās fiskālās nelīdzsvarotības (starp jurisdikcijām), nodrošinot informāciju, lai varētu izvērtēt pārvedumu lomu fiskālo atšķirību mazināšanā.</w:t>
      </w:r>
    </w:p>
    <w:p w14:paraId="2AA476EB"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p>
    <w:p w14:paraId="700DE4D8"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17. Fiskālajai izlīdzināšanai ir būtiska loma taisnīguma mērķu sasniegšanā ar SFP palīdzību. Tās mērķis ir nodrošināt vienlīdzīgu piekļuvi sabiedriskajiem pakalpojumiem visos reģionos, vienlaikus saglabājot līdzīgu faktiski iekasēto un potenciāli iekasējamo nodokļu attiecību. Kā redzams tādās valstīs kā Austrālija un Dānija, ar šādu pieeju uzmanība tiek pārvirzīta no ienākumu izlīdzināšanas uz vienlīdzīgu pakalpojumu pieejamību, līdzsvarojot valsts standartus ar pašvaldību autonomiju. Šī pārorientācija no ienākumu uz pakalpojumu pieejamības vienlīdzību saskan ar plašākiem mērķiem nodrošināt konsekventu sabiedrisko pakalpojumu sniegšanu dažādos reģionos (Searle un Ahmad, 2005).</w:t>
      </w:r>
    </w:p>
    <w:p w14:paraId="0EFFC02A"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p>
    <w:p w14:paraId="37FBB3F5"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18. Turklāt taisnīguma jēdziens SFP ir skatāms plašāk nekā tikai fiskālo spēju izlīdzināšanas kontekstā. Tas ietver arī plašāku mērķi mazināt reģionālās atšķirības. Šajā ziņā SFP var būt nozīmīgi resursu pārdalē no turīgākiem uz mazāk pārtikušiem reģioniem, tādējādi veicinot vēsturiski mazattīstīto vai ģeogrāfiski izolēto teritoriju ekonomisko un sociālo attīstību (Boadway un Shah, 2007). Dotācijas acīmredzami tiek izmantotas kā ienākumu izlīdzināšanas stratēģija dažās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piemēram, Vācijā un Spānijā, savukārt Eiropas strukturālo fondu izmantošana ir izcils piemērs pārvalstiskā līmenī.</w:t>
      </w:r>
    </w:p>
    <w:p w14:paraId="2C664A5E" w14:textId="77777777" w:rsidR="00CE66E8" w:rsidRPr="00805442" w:rsidRDefault="00CE66E8" w:rsidP="00CE66E8">
      <w:pPr>
        <w:pStyle w:val="ListParagraph"/>
        <w:tabs>
          <w:tab w:val="left" w:pos="1356"/>
        </w:tabs>
        <w:ind w:left="0"/>
        <w:rPr>
          <w:rFonts w:ascii="Times New Roman" w:hAnsi="Times New Roman" w:cs="Times New Roman"/>
          <w:noProof/>
          <w:sz w:val="24"/>
          <w:szCs w:val="24"/>
        </w:rPr>
      </w:pPr>
    </w:p>
    <w:p w14:paraId="229C5EE5" w14:textId="77777777" w:rsidR="007B1468" w:rsidRPr="00805442" w:rsidRDefault="00CE66E8" w:rsidP="007B146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19. Vispārīgu dotāciju izmantošana fiskālai izlīdzināšanai, kuras mērķis ir līdzsvarot iedzīvotāju ienākumus dažādos reģionos, izraisa nozīmīgas akadēmiskas diskusijas (Padovano, 2007). Šis jautājums ir īpaši būtisks diskusijās attiecībā uz vietu vai iedzīvotājiem orientētas politikas pretstatījumu (Neumark un Simpson, 2015), kur tiek pētīta fiskālās izlīdzināšanas un reģionālās politikas loma ne tikai reģionālu, bet arī iedzīvotāju ienākumu atšķirību risināšanā. Jautājumi rodas arī par šo divu politiku mijiedarbību. Attiecībā uz reģionālajām atšķirībām jaunākie dati, kas apkopoti Spānijā, liecina, ka reģionālā politika ir izmaksu ziņā efektīvāka nekā fiskālā izlīdzināšana reģionālo ienākumu atšķirību mazināšanā, jo pēdējās ietekme ir netiešāka (Lopez-Laborda et al., 2024). Turklāt Sērls un Ahmads (2005) norāda, ka tieša valdības iejaukšanās, kas potenciāli iet roku rokā ar īpašiem mērķiem paredzētām dotācijām, var precīzāk risināt specifiskas vajadzības nekā plašāki ienākumu izlīdzināšanas centieni. Tas rosina turpmāku izpēti par to, vai politikai jābūt orientētai uz specifiskiem ienākumu sadales rādītājiem, piemēram, iedzīvotāju savstarpējo Džini koeficientu, nevis koncentrētai tikai uz starpreģionālās nevienlīdzības rādītājiem.</w:t>
      </w:r>
    </w:p>
    <w:p w14:paraId="3A3D42E9" w14:textId="77777777" w:rsidR="007B1468" w:rsidRPr="00805442" w:rsidRDefault="007B1468" w:rsidP="007B1468">
      <w:pPr>
        <w:pStyle w:val="ListParagraph"/>
        <w:tabs>
          <w:tab w:val="left" w:pos="1356"/>
        </w:tabs>
        <w:ind w:left="0"/>
        <w:rPr>
          <w:rFonts w:ascii="Times New Roman" w:hAnsi="Times New Roman" w:cs="Times New Roman"/>
          <w:noProof/>
          <w:sz w:val="24"/>
          <w:szCs w:val="24"/>
        </w:rPr>
      </w:pPr>
    </w:p>
    <w:p w14:paraId="2098F35E" w14:textId="011B0970" w:rsidR="0068352E" w:rsidRPr="00805442" w:rsidRDefault="007B1468" w:rsidP="007B146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lastRenderedPageBreak/>
        <w:t xml:space="preserve">20. </w:t>
      </w:r>
      <w:r w:rsidRPr="00805442">
        <w:rPr>
          <w:rFonts w:ascii="Times New Roman" w:hAnsi="Times New Roman" w:cs="Times New Roman"/>
          <w:i/>
          <w:sz w:val="24"/>
        </w:rPr>
        <w:t>SFP taisnīguma uzlabošana, izmantojot labāku koordināciju un datu pārvaldību</w:t>
      </w:r>
      <w:r w:rsidRPr="00805442">
        <w:rPr>
          <w:rFonts w:ascii="Times New Roman" w:hAnsi="Times New Roman" w:cs="Times New Roman"/>
          <w:sz w:val="24"/>
        </w:rPr>
        <w:t>. Sīku, viegli pieejamu datu trūkums par centrālās valdības pārvedumiem pašvaldībām rada šķēršļus taisnīguma problēmu risināšanai fiskālo pārvedumu sistēmās.</w:t>
      </w:r>
      <w:r w:rsidRPr="00805442">
        <w:rPr>
          <w:rStyle w:val="FootnoteReference"/>
          <w:rFonts w:ascii="Times New Roman" w:hAnsi="Times New Roman" w:cs="Times New Roman"/>
          <w:noProof/>
          <w:sz w:val="24"/>
          <w:szCs w:val="24"/>
        </w:rPr>
        <w:footnoteReference w:customMarkFollows="1" w:id="7"/>
        <w:t>10</w:t>
      </w:r>
      <w:r w:rsidRPr="00805442">
        <w:rPr>
          <w:rFonts w:ascii="Times New Roman" w:hAnsi="Times New Roman" w:cs="Times New Roman"/>
          <w:sz w:val="24"/>
        </w:rPr>
        <w:t xml:space="preserve"> Šo datu iztrūkumu bieži vien vēl jo vairāk saasina nepietiekama koordinācija starp dažādām centrālās valdības struktūrām, kas iesaistītas pārvedumu pārvaldībā.</w:t>
      </w:r>
    </w:p>
    <w:p w14:paraId="26BD223C" w14:textId="77777777" w:rsidR="0068352E" w:rsidRPr="00805442" w:rsidRDefault="0068352E" w:rsidP="00F92C74">
      <w:pPr>
        <w:pStyle w:val="BodyText"/>
        <w:jc w:val="both"/>
        <w:rPr>
          <w:rFonts w:ascii="Times New Roman" w:hAnsi="Times New Roman" w:cs="Times New Roman"/>
          <w:noProof/>
          <w:sz w:val="24"/>
          <w:szCs w:val="24"/>
        </w:rPr>
      </w:pPr>
    </w:p>
    <w:p w14:paraId="30F80C2B" w14:textId="51987E90" w:rsidR="0068352E" w:rsidRPr="00805442" w:rsidRDefault="00C219EA" w:rsidP="00C219EA">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21. Šajā sakarā ir būtiski izveidot visaptverošu sistēmu visu fiskālo pārvedumu veidu izsekošanai un analizēšanai.</w:t>
      </w:r>
      <w:r w:rsidRPr="00805442">
        <w:rPr>
          <w:rStyle w:val="FootnoteReference"/>
          <w:rFonts w:ascii="Times New Roman" w:hAnsi="Times New Roman" w:cs="Times New Roman"/>
          <w:noProof/>
          <w:sz w:val="24"/>
          <w:szCs w:val="24"/>
        </w:rPr>
        <w:footnoteReference w:customMarkFollows="1" w:id="8"/>
        <w:t>11</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Šādas uzraudzības sistēmas ieviešana ļautu rūpīgi izvērtēt, kā šie pārvedumi kopumā ietekmē reģionālo vienlīdzīgumu. Koordinācijas un uzraudzības stiprināšana politikas veidotājiem ļauj fiskālos pārvedumus labāk saskaņot ar vienlīdzīguma mērķiem. Sadarbības veicināšana pakalpojumu sniegšanā ir īpaši svarīga mazākām iestādēm ar ierobežotu budžetu. Partnerības ar kaimiņu reģioniem vai sadarbība ar dažādiem valdības līmeņiem var nodrošināt resursu ziņā efektīvāku pieeju pakalpojumu sniegšanai nekā darbošanās atsevišķi (Ter-Minassian, 2021).</w:t>
      </w:r>
    </w:p>
    <w:p w14:paraId="36F7A776" w14:textId="77777777" w:rsidR="0068352E" w:rsidRPr="00805442" w:rsidRDefault="0068352E" w:rsidP="00F92C74">
      <w:pPr>
        <w:pStyle w:val="BodyText"/>
        <w:jc w:val="both"/>
        <w:rPr>
          <w:rFonts w:ascii="Times New Roman" w:hAnsi="Times New Roman" w:cs="Times New Roman"/>
          <w:noProof/>
          <w:sz w:val="24"/>
          <w:szCs w:val="24"/>
        </w:rPr>
      </w:pPr>
    </w:p>
    <w:p w14:paraId="55E02B8A" w14:textId="4A079DB2" w:rsidR="0068352E" w:rsidRPr="00805442" w:rsidRDefault="00C219EA" w:rsidP="00C219EA">
      <w:pPr>
        <w:pStyle w:val="Heading3"/>
        <w:tabs>
          <w:tab w:val="left" w:pos="1779"/>
        </w:tabs>
        <w:ind w:left="567" w:firstLine="0"/>
        <w:jc w:val="both"/>
        <w:rPr>
          <w:rFonts w:ascii="Times New Roman" w:hAnsi="Times New Roman" w:cs="Times New Roman"/>
          <w:noProof/>
          <w:sz w:val="28"/>
          <w:szCs w:val="28"/>
        </w:rPr>
      </w:pPr>
      <w:r w:rsidRPr="00805442">
        <w:rPr>
          <w:rFonts w:ascii="Times New Roman" w:hAnsi="Times New Roman" w:cs="Times New Roman"/>
          <w:sz w:val="28"/>
        </w:rPr>
        <w:t>3.2. Efektivitātes apsvērumi SFP shēmās</w:t>
      </w:r>
    </w:p>
    <w:p w14:paraId="37DE7E10" w14:textId="77777777" w:rsidR="00C219EA" w:rsidRPr="00805442" w:rsidRDefault="00C219EA" w:rsidP="00C219EA">
      <w:pPr>
        <w:pStyle w:val="Heading3"/>
        <w:tabs>
          <w:tab w:val="left" w:pos="1779"/>
        </w:tabs>
        <w:ind w:left="567" w:firstLine="0"/>
        <w:jc w:val="both"/>
        <w:rPr>
          <w:rFonts w:ascii="Times New Roman" w:hAnsi="Times New Roman" w:cs="Times New Roman"/>
          <w:noProof/>
          <w:sz w:val="28"/>
          <w:szCs w:val="28"/>
        </w:rPr>
      </w:pPr>
    </w:p>
    <w:p w14:paraId="13F32686" w14:textId="49BE4593" w:rsidR="0068352E" w:rsidRPr="00805442" w:rsidRDefault="00C219EA" w:rsidP="00C219EA">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22. Efektivitāte SFP shēmās pamatā ir saistīta ar pārdomātu resursu sadali, lai sasniegtu vēlamos rezultātus bez liekiem izdevumiem. Efektīva SFP sistēma ne tikai pārdala resursus, bet arī nodrošina to optimālu izmantošanu sabiedrības labklājības celšanai. Tādēļ, izvērtējot šo sistēmu efektivitāti, jāņem vērā, kā SFP risina ārējo ietekmi un plašāku ietekmi, kā arī to, kā tie mazina nodokļu konkurenci un pārslodzes izmaksas.</w:t>
      </w:r>
    </w:p>
    <w:p w14:paraId="00996DE3" w14:textId="77777777" w:rsidR="00C219EA" w:rsidRPr="00805442" w:rsidRDefault="00C219EA" w:rsidP="00C219EA">
      <w:pPr>
        <w:pStyle w:val="ListParagraph"/>
        <w:tabs>
          <w:tab w:val="left" w:pos="1356"/>
        </w:tabs>
        <w:ind w:left="0"/>
        <w:rPr>
          <w:rFonts w:ascii="Times New Roman" w:hAnsi="Times New Roman" w:cs="Times New Roman"/>
          <w:noProof/>
          <w:sz w:val="24"/>
          <w:szCs w:val="24"/>
        </w:rPr>
      </w:pPr>
    </w:p>
    <w:p w14:paraId="091E797E" w14:textId="5FAB96F1" w:rsidR="00C219EA" w:rsidRPr="00805442" w:rsidRDefault="00C219EA" w:rsidP="00C219EA">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i/>
          <w:sz w:val="24"/>
        </w:rPr>
        <w:t>23. Ārējā ietekme un plašāka ietekme</w:t>
      </w:r>
      <w:r w:rsidRPr="00805442">
        <w:rPr>
          <w:rFonts w:ascii="Times New Roman" w:hAnsi="Times New Roman" w:cs="Times New Roman"/>
          <w:sz w:val="24"/>
        </w:rPr>
        <w:t>. Lai veicinātu efektivitāti, SFP galvenā funkcija ir to nodrošinātā iespēja pārvaldīt ārējo ietekmi un plašāku ietekmi. Ārējā ietekme rodas tad, kad vienas jurisdikcijas darbības labvēlīgi vai nelabvēlīgi ietekmē kaimiņu teritorijas. Piemēram, reģiona ieguldījums piesārņojuma kontrolē var pozitīvi ietekmēt blakus esošās teritorijas, nodrošinot tīrāku gaisu vai uzlabojot sabiedrības veselību. SFP var kompensēt vai piemērot maksājumus jurisdikcijām par šādu pārrobežu ietekmi, nodrošinot, ka reģioni internalizē savas darbības radītās sociālās izmaksas vai ieguvumus plašākā mērogā. Šī pieeja nodrošina to, ka vietējās preces ar negatīvu ārējo ietekmi tiek nodrošinātas mazākos daudzumos, savukārt preces ar pozitīvu ārējo ietekmi tiek nodrošinātas optimālos daudzumos (Oates, 1997).</w:t>
      </w:r>
    </w:p>
    <w:p w14:paraId="16FAB363" w14:textId="77777777" w:rsidR="00C219EA" w:rsidRPr="00805442" w:rsidRDefault="00C219EA" w:rsidP="00C219EA">
      <w:pPr>
        <w:pStyle w:val="ListParagraph"/>
        <w:tabs>
          <w:tab w:val="left" w:pos="1356"/>
        </w:tabs>
        <w:ind w:left="0"/>
        <w:rPr>
          <w:rFonts w:ascii="Times New Roman" w:hAnsi="Times New Roman" w:cs="Times New Roman"/>
          <w:noProof/>
          <w:sz w:val="24"/>
          <w:szCs w:val="24"/>
        </w:rPr>
      </w:pPr>
    </w:p>
    <w:p w14:paraId="02970635" w14:textId="7DEAD045" w:rsidR="00C219EA" w:rsidRPr="00805442" w:rsidRDefault="00C219EA" w:rsidP="00C219EA">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24. SFP, īpaši līdzvērtīgas dotācijas, bieži tiek ieteiktas, lai motivētu pašvaldības apsvērt plašākas sabiedrības intereses, internalizējot ārējo ietekmi vai plašāko ietekmi.</w:t>
      </w:r>
      <w:r w:rsidRPr="00805442">
        <w:rPr>
          <w:rStyle w:val="FootnoteReference"/>
          <w:rFonts w:ascii="Times New Roman" w:hAnsi="Times New Roman" w:cs="Times New Roman"/>
          <w:noProof/>
          <w:sz w:val="24"/>
          <w:szCs w:val="24"/>
        </w:rPr>
        <w:footnoteReference w:customMarkFollows="1" w:id="9"/>
        <w:t>12</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Mērķdotācijas projektiem, kas vērsti uz ārējo ietekmi, – piemēram, vides aizsardzību, infrastruktūras attīstību, aptverot vairākas jurisdikcijas, vai sabiedrības veselības iniciatīvām, – kopā ar formulās balstītām dotācijām, kas izstrādātas, lai atspoguļotu plašāku ietekmi, var efektīvi novirzīt resursus šiem mērķiem. Cita pieeja ietver sadarbības līgumu slēgšanas veicināšanu starp kaimiņu pašvaldībām, izmantojot SFP, lai kopīgi risinātu </w:t>
      </w:r>
      <w:r w:rsidRPr="00805442">
        <w:rPr>
          <w:rFonts w:ascii="Times New Roman" w:hAnsi="Times New Roman" w:cs="Times New Roman"/>
          <w:sz w:val="24"/>
        </w:rPr>
        <w:lastRenderedPageBreak/>
        <w:t>jautājumus ar pārrobežu ietekmi</w:t>
      </w:r>
      <w:r w:rsidRPr="00805442">
        <w:rPr>
          <w:rStyle w:val="FootnoteReference"/>
          <w:rFonts w:ascii="Times New Roman" w:hAnsi="Times New Roman" w:cs="Times New Roman"/>
          <w:noProof/>
          <w:sz w:val="24"/>
          <w:szCs w:val="24"/>
        </w:rPr>
        <w:footnoteReference w:customMarkFollows="1" w:id="10"/>
        <w:t>13</w:t>
      </w:r>
      <w:r w:rsidRPr="00805442">
        <w:rPr>
          <w:rFonts w:ascii="Times New Roman" w:hAnsi="Times New Roman" w:cs="Times New Roman"/>
          <w:sz w:val="24"/>
        </w:rPr>
        <w:t xml:space="preserve"> (Agrawal et al., 2023a).</w:t>
      </w:r>
    </w:p>
    <w:p w14:paraId="05BFAD91" w14:textId="77777777" w:rsidR="00C219EA" w:rsidRPr="00805442" w:rsidRDefault="00C219EA" w:rsidP="00C219EA">
      <w:pPr>
        <w:pStyle w:val="ListParagraph"/>
        <w:tabs>
          <w:tab w:val="left" w:pos="1356"/>
        </w:tabs>
        <w:ind w:left="0"/>
        <w:rPr>
          <w:rFonts w:ascii="Times New Roman" w:hAnsi="Times New Roman" w:cs="Times New Roman"/>
          <w:noProof/>
          <w:sz w:val="24"/>
          <w:szCs w:val="24"/>
        </w:rPr>
      </w:pPr>
    </w:p>
    <w:p w14:paraId="67D0A552" w14:textId="12774FCD" w:rsidR="0068352E" w:rsidRPr="00805442" w:rsidRDefault="00C219EA" w:rsidP="0050079A">
      <w:pPr>
        <w:pStyle w:val="ListParagraph"/>
        <w:keepNext/>
        <w:keepLines/>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25. Tomēr plašākas ietekmes apmēra un tās risināšanai nepieciešamo dotāciju apmēra precīza noteikšana ir saistīta ar lielu nenoteiktību.</w:t>
      </w:r>
      <w:r w:rsidRPr="00805442">
        <w:rPr>
          <w:rStyle w:val="FootnoteReference"/>
          <w:rFonts w:ascii="Times New Roman" w:hAnsi="Times New Roman" w:cs="Times New Roman"/>
          <w:noProof/>
          <w:sz w:val="24"/>
          <w:szCs w:val="24"/>
        </w:rPr>
        <w:footnoteReference w:customMarkFollows="1" w:id="11"/>
        <w:t>14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Lai gan dotācijas var stimulēt pašvaldību izdevumus, tas, cik sekmīgi izdodas tās mērķtiecīgi izmantot un mazināt ārējo ietekmi, ir apspriežams jautājums. Pastāv ievērojama skepse attiecībā uz augstāka līmeņa pārvaldes spēju izstrādāt tādas dotāciju shēmas, kas veiksmīgi mudinātu pašvaldības iekļaut plašākas ietekmes apsvērumus savos politikas veidošanas procesos (Lago et al., 2024a).</w:t>
      </w:r>
    </w:p>
    <w:p w14:paraId="6AD7EB4E" w14:textId="77777777" w:rsidR="00A47D09" w:rsidRPr="00805442" w:rsidRDefault="00A47D09" w:rsidP="00F92C74">
      <w:pPr>
        <w:jc w:val="both"/>
        <w:rPr>
          <w:rFonts w:ascii="Times New Roman" w:hAnsi="Times New Roman" w:cs="Times New Roman"/>
          <w:noProof/>
          <w:sz w:val="24"/>
          <w:szCs w:val="24"/>
        </w:rPr>
      </w:pPr>
    </w:p>
    <w:p w14:paraId="6965F76A" w14:textId="77777777" w:rsidR="009E71FD" w:rsidRPr="00805442" w:rsidRDefault="00BB4D75" w:rsidP="009E71FD">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26.</w:t>
      </w:r>
      <w:r w:rsidRPr="00805442">
        <w:rPr>
          <w:rFonts w:ascii="Times New Roman" w:hAnsi="Times New Roman" w:cs="Times New Roman"/>
          <w:i/>
          <w:sz w:val="24"/>
        </w:rPr>
        <w:t xml:space="preserve"> Nodokļu konkurence</w:t>
      </w:r>
      <w:r w:rsidRPr="00805442">
        <w:rPr>
          <w:rFonts w:ascii="Times New Roman" w:hAnsi="Times New Roman" w:cs="Times New Roman"/>
          <w:sz w:val="24"/>
        </w:rPr>
        <w:t>. Lai gan tā veicina efektivitāti, ierobežojot publiskā sektora apmēru (Sorens, 2014), nodokļu konkurence rada riskus, ja pašvaldības sāk piedāvāt pārmērīgus nodokļu atvieglojumus nolūkā piesaistīt nodokļu bāzi, kā rezultātā tiek noteiktas pēc iespējas zemākas nodokļu likmes. Šī dinamika var izraisīt vispārēju nodokļu ieņēmumu samazinājumu, negatīvi ietekmējot labklājības līmeni un publiskā sektora finansiālo ilgtspēju. Izlīdzināšanas dotācijas, ja tās tiek piešķirtas atbilstoši potenciālajai fiskālajai kapacitātei, var mazināt šādu konkurences spiedienu, nekompensējot pašvaldību zaudējumus, kas radušies pazeminātu nodokļu dēļ, un ierobežojot to ieņēmumu pieaugumu no piesaistītajām nodokļu bāzēm (Blöchliger et al., 2007; Agrawal et al, 2024).</w:t>
      </w:r>
      <w:r w:rsidRPr="00805442">
        <w:rPr>
          <w:rStyle w:val="FootnoteReference"/>
          <w:rFonts w:ascii="Times New Roman" w:hAnsi="Times New Roman" w:cs="Times New Roman"/>
          <w:noProof/>
          <w:sz w:val="24"/>
          <w:szCs w:val="24"/>
        </w:rPr>
        <w:footnoteReference w:customMarkFollows="1" w:id="12"/>
        <w:t>15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Tomēr šis izlīdzināšanas process var samazināt pašvaldību motivāciju tiekties pilnveidot nodokļu sistēmu vai ieviest inovācijas, potenciāli izraisot fiskālās daudzveidības trūkumu un ignorējot vietējās vajadzības (OECD/KIPF, 2016). Kanādā veiktu pētījumu rezultāti liecina, ka nodokļu konkurence samazinās pēc izlīdzināšanas pārvedumiem</w:t>
      </w:r>
      <w:r w:rsidRPr="00805442">
        <w:rPr>
          <w:rStyle w:val="FootnoteReference"/>
          <w:rFonts w:ascii="Times New Roman" w:hAnsi="Times New Roman" w:cs="Times New Roman"/>
          <w:noProof/>
          <w:sz w:val="24"/>
          <w:szCs w:val="24"/>
        </w:rPr>
        <w:footnoteReference w:customMarkFollows="1" w:id="13"/>
        <w:t>16</w:t>
      </w:r>
      <w:r w:rsidRPr="00805442">
        <w:rPr>
          <w:rFonts w:ascii="Times New Roman" w:hAnsi="Times New Roman" w:cs="Times New Roman"/>
          <w:sz w:val="24"/>
        </w:rPr>
        <w:t>, savukārt pētījumi Austrālijā un Vācijā atklāj mērenāku efektu</w:t>
      </w:r>
      <w:r w:rsidRPr="00805442">
        <w:rPr>
          <w:rStyle w:val="FootnoteReference"/>
          <w:rFonts w:ascii="Times New Roman" w:hAnsi="Times New Roman" w:cs="Times New Roman"/>
          <w:noProof/>
          <w:sz w:val="24"/>
          <w:szCs w:val="24"/>
        </w:rPr>
        <w:footnoteReference w:customMarkFollows="1" w:id="14"/>
        <w:t>17</w:t>
      </w:r>
      <w:r w:rsidRPr="00805442">
        <w:rPr>
          <w:rFonts w:ascii="Times New Roman" w:hAnsi="Times New Roman" w:cs="Times New Roman"/>
          <w:sz w:val="24"/>
        </w:rPr>
        <w:t>.</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Šīs atšķirības norāda uz to, ka pārvedumu ietekme nodokļu konkurences ierobežošanā ir atkarīga no unikālajām iestāžu sistēmām un izlīdzināšanas formulas specifiskajām īpatnībām (Lago et al., 2024a).</w:t>
      </w:r>
    </w:p>
    <w:p w14:paraId="0D1DFD81" w14:textId="77777777" w:rsidR="009E71FD" w:rsidRPr="00805442" w:rsidRDefault="009E71FD" w:rsidP="009E71FD">
      <w:pPr>
        <w:pStyle w:val="ListParagraph"/>
        <w:tabs>
          <w:tab w:val="left" w:pos="1356"/>
        </w:tabs>
        <w:ind w:left="0"/>
        <w:rPr>
          <w:rFonts w:ascii="Times New Roman" w:hAnsi="Times New Roman" w:cs="Times New Roman"/>
          <w:noProof/>
          <w:sz w:val="24"/>
          <w:szCs w:val="24"/>
        </w:rPr>
      </w:pPr>
    </w:p>
    <w:p w14:paraId="2666610E" w14:textId="77777777" w:rsidR="009E71FD" w:rsidRPr="00805442" w:rsidRDefault="009E71FD" w:rsidP="009E71FD">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27. Lai novērstu nodokļu konkurenci, centrālās valdības bieži vien nosaka minimālās likmes pašvaldību iekasētajiem nodokļiem un ierobežojumus to spējai piešķirt nodokļu atbrīvojumus un īpašus stimulus. Nodokļu harmonizācija un sadarbības centieni arī tiek uzskatīti par potenciāliem risinājumiem. Šo pieeju efektivitāte ir atkarīga no ekonomiskiem parametriem, piemēram, nodokļu bāzes elastības attiecībā pret jurisdikcijas tirdzniecības likmi un sadales efektu ieviešanas, kas nodrošina politisko atbalstu (Ter-Minassian, 2021; Agrawal et al, 2024).</w:t>
      </w:r>
    </w:p>
    <w:p w14:paraId="3F9E0A65" w14:textId="77777777" w:rsidR="009E71FD" w:rsidRPr="00805442" w:rsidRDefault="009E71FD" w:rsidP="009E71FD">
      <w:pPr>
        <w:pStyle w:val="ListParagraph"/>
        <w:tabs>
          <w:tab w:val="left" w:pos="1356"/>
        </w:tabs>
        <w:ind w:left="0"/>
        <w:rPr>
          <w:rFonts w:ascii="Times New Roman" w:hAnsi="Times New Roman" w:cs="Times New Roman"/>
          <w:noProof/>
          <w:sz w:val="24"/>
          <w:szCs w:val="24"/>
        </w:rPr>
      </w:pPr>
    </w:p>
    <w:p w14:paraId="7CC87B27" w14:textId="77777777" w:rsidR="009E71FD" w:rsidRPr="00805442" w:rsidRDefault="009E71FD" w:rsidP="009E71FD">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28. </w:t>
      </w:r>
      <w:r w:rsidRPr="00805442">
        <w:rPr>
          <w:rFonts w:ascii="Times New Roman" w:hAnsi="Times New Roman" w:cs="Times New Roman"/>
          <w:i/>
          <w:sz w:val="24"/>
        </w:rPr>
        <w:t>Sastrēgumu izmaksas</w:t>
      </w:r>
      <w:r w:rsidRPr="00805442">
        <w:rPr>
          <w:rFonts w:ascii="Times New Roman" w:hAnsi="Times New Roman" w:cs="Times New Roman"/>
          <w:sz w:val="24"/>
        </w:rPr>
        <w:t xml:space="preserve">. SFP arī ievērojami novērš pārslodzes izmaksas, jo īpaši pilsētu teritorijās, nodrošinot infrastruktūras finansējumu transportam, veicinot iedzīvotāju mobilitāti, izstrādājot zemes izmantošanas noteikumus un atbalstot vietējo ekonomisko attīstību. Tie nodrošina fiskālo pārdali, kas veicina līdzsvarotāku iedzīvotāju un ekonomisko aktivitāšu sadalījumu, samazinot pārslodzes spiedienu pārapdzīvotās pilsētās (Alesina un Spolaore, </w:t>
      </w:r>
      <w:r w:rsidRPr="00805442">
        <w:rPr>
          <w:rFonts w:ascii="Times New Roman" w:hAnsi="Times New Roman" w:cs="Times New Roman"/>
          <w:sz w:val="24"/>
        </w:rPr>
        <w:lastRenderedPageBreak/>
        <w:t>2005; Hortas-Rico un Rios, 2020). Pārslodzes izmaksas izpaužas kā palielināta satiksme, augstākas dzīves izmaksas un vides slodze, kas ietekmē dzīves kvalitāti un ekonomisko produktivitāti. Savukārt lauku teritorijas, kas bieži saskaras ar tādām problēmām kā resursu nepietiekama izmantošana un ekonomiskā stagnācija, var gūt labumu no dotāciju sniegtā finansiālā atbalsta. Šī pārdale ne tikai palīdz līdzsvarot iedzīvotāju blīvumu, bet arī atbalsta retāk apdzīvotu reģionu ekonomisko attīstību, mazinot slodzi uz pilsētu infrastruktūru un veicinot reģionālo ekonomisko izaugsmi.</w:t>
      </w:r>
    </w:p>
    <w:p w14:paraId="7F3AEDAC" w14:textId="77777777" w:rsidR="009E71FD" w:rsidRPr="00805442" w:rsidRDefault="009E71FD" w:rsidP="009E71FD">
      <w:pPr>
        <w:pStyle w:val="ListParagraph"/>
        <w:tabs>
          <w:tab w:val="left" w:pos="1356"/>
        </w:tabs>
        <w:ind w:left="0"/>
        <w:rPr>
          <w:rFonts w:ascii="Times New Roman" w:hAnsi="Times New Roman" w:cs="Times New Roman"/>
          <w:noProof/>
          <w:sz w:val="24"/>
          <w:szCs w:val="24"/>
        </w:rPr>
      </w:pPr>
    </w:p>
    <w:p w14:paraId="063C417D" w14:textId="77777777" w:rsidR="00BB7BA6" w:rsidRPr="00805442" w:rsidRDefault="009E71FD" w:rsidP="00BB7BA6">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29. </w:t>
      </w:r>
      <w:r w:rsidRPr="00805442">
        <w:rPr>
          <w:rFonts w:ascii="Times New Roman" w:hAnsi="Times New Roman" w:cs="Times New Roman"/>
          <w:i/>
          <w:sz w:val="24"/>
        </w:rPr>
        <w:t>Pašvaldību nodokļu iekasēšanas veicināšana</w:t>
      </w:r>
      <w:r w:rsidRPr="00805442">
        <w:rPr>
          <w:rFonts w:ascii="Times New Roman" w:hAnsi="Times New Roman" w:cs="Times New Roman"/>
          <w:sz w:val="24"/>
        </w:rPr>
        <w:t>. Attiecības starp SFP un pašvaldību nodokļu iekasēšanas centieniem ir sarežģītas, un pētījumu rezultāti atšķiras atkarībā no SFP struktūras. Daži pētījumi liecina, ka SFP attur pašvaldības no pašu ieņēmumu avotu izmantošanas, norādot uz izspiešanas efektu.</w:t>
      </w:r>
      <w:r w:rsidRPr="00805442">
        <w:rPr>
          <w:rStyle w:val="FootnoteReference"/>
          <w:rFonts w:ascii="Times New Roman" w:hAnsi="Times New Roman" w:cs="Times New Roman"/>
          <w:noProof/>
          <w:sz w:val="24"/>
          <w:szCs w:val="24"/>
        </w:rPr>
        <w:footnoteReference w:customMarkFollows="1" w:id="15"/>
        <w:t>18</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Tas notiek īpaši tad, kad reģiona pašu ieņēmumu avotu pieaugums izraisa proporcionālu centrālās valdības beznosacījumu pārvedumu samazinājumu vai kad sistēmas piemēro ļoti augstu fiskālās izlīdzināšanas pakāpi, nodrošina neierobežotus pārvedumus vai garantē pašvaldību minimālo fiskālo kapacitāti neatkarīgi no to ieņēmumu gūšanas centieniem (Bergvall et al., 2006; Blöchliger et al., 2007).</w:t>
      </w:r>
    </w:p>
    <w:p w14:paraId="02397E1F" w14:textId="77777777" w:rsidR="00BB7BA6" w:rsidRPr="00805442" w:rsidRDefault="00BB7BA6" w:rsidP="00BB7BA6">
      <w:pPr>
        <w:pStyle w:val="ListParagraph"/>
        <w:tabs>
          <w:tab w:val="left" w:pos="1356"/>
        </w:tabs>
        <w:ind w:left="0"/>
        <w:rPr>
          <w:rFonts w:ascii="Times New Roman" w:hAnsi="Times New Roman" w:cs="Times New Roman"/>
          <w:noProof/>
          <w:sz w:val="24"/>
          <w:szCs w:val="24"/>
        </w:rPr>
      </w:pPr>
    </w:p>
    <w:p w14:paraId="7F8B72F7" w14:textId="77777777" w:rsidR="003E4DFF" w:rsidRPr="00805442" w:rsidRDefault="00BB7BA6" w:rsidP="003E4DFF">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30. Citi pētījumi norāda, ka SFP var veicināt nodokļu iekasēšanas centienus, demonstrējot iekļaušanas efektu.</w:t>
      </w:r>
      <w:r w:rsidRPr="00805442">
        <w:rPr>
          <w:rStyle w:val="FootnoteReference"/>
          <w:rFonts w:ascii="Times New Roman" w:hAnsi="Times New Roman" w:cs="Times New Roman"/>
          <w:noProof/>
          <w:sz w:val="24"/>
          <w:szCs w:val="24"/>
        </w:rPr>
        <w:footnoteReference w:customMarkFollows="1" w:id="16"/>
        <w:t>19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Tas notiek īpaši tad, kad pārvedumu formulas struktūrā ņem vērā potenciālos ieņēmumus vai fiskālo kapacitāti, nevis faktiski iekasētos ieņēmumus. Šī pieeja mudina pašvaldības uzlabot ieņēmumu ģenerēšanu, nebaidoties no pārvedumu samazinājuma (Lago et al., 2024a). Līdz ar to šo variāciju lielā mērā ietekmē dotāciju sistēmu strukturālais ietvars un dažādu valstu unikālās institucionālās īpatnības.</w:t>
      </w:r>
    </w:p>
    <w:p w14:paraId="0F3A9293" w14:textId="77777777" w:rsidR="003E4DFF" w:rsidRPr="00805442" w:rsidRDefault="003E4DFF" w:rsidP="003E4DFF">
      <w:pPr>
        <w:pStyle w:val="ListParagraph"/>
        <w:tabs>
          <w:tab w:val="left" w:pos="1356"/>
        </w:tabs>
        <w:ind w:left="0"/>
        <w:rPr>
          <w:rFonts w:ascii="Times New Roman" w:hAnsi="Times New Roman" w:cs="Times New Roman"/>
          <w:noProof/>
          <w:sz w:val="24"/>
          <w:szCs w:val="24"/>
        </w:rPr>
      </w:pPr>
    </w:p>
    <w:p w14:paraId="131F3C4A" w14:textId="77777777" w:rsidR="003E4DFF" w:rsidRPr="00805442" w:rsidRDefault="003E4DFF" w:rsidP="003E4DFF">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31. Šajā kontekstā pašvaldību fiskālās autonomijas periodiska pārvērtēšana ir būtiska, ļaujot precizēt stimulus SFP ietvaros, lai pielāgotos mainīgajām prasībām. Piemēram, lielāka fiskālā autonomija varētu mazināt atkarību no vertikālajiem pārvedumiem, ļaujot precīzāk reaģēt uz vietējām vajadzībām. Šāda pārmaiņa nozīmē to, ka pašvaldībām jāsaskaņo savi ieņēmumu avoti ar saviem izdevumu pienākumiem. Ideālā gadījumā izlīdzināšanas pārvedumiem galvenokārt jārisina pašvaldību pamatienākumu atšķirības un potenciālie nodokļu ieņēmumi, ko tās var radīt. To mērķis nav kompensēt nepietiekami izmantotas vietējās nodokļu bāzes, bet gan novērst strukturālo nelīdzsvarotību (OECD, 2021).</w:t>
      </w:r>
    </w:p>
    <w:p w14:paraId="55362EEF" w14:textId="77777777" w:rsidR="003E4DFF" w:rsidRPr="00805442" w:rsidRDefault="003E4DFF" w:rsidP="003E4DFF">
      <w:pPr>
        <w:pStyle w:val="ListParagraph"/>
        <w:tabs>
          <w:tab w:val="left" w:pos="1356"/>
        </w:tabs>
        <w:ind w:left="0"/>
        <w:rPr>
          <w:rFonts w:ascii="Times New Roman" w:hAnsi="Times New Roman" w:cs="Times New Roman"/>
          <w:noProof/>
          <w:sz w:val="24"/>
          <w:szCs w:val="24"/>
        </w:rPr>
      </w:pPr>
    </w:p>
    <w:p w14:paraId="282C6D01" w14:textId="77777777" w:rsidR="003E4DFF" w:rsidRPr="00805442" w:rsidRDefault="003E4DFF" w:rsidP="003E4DFF">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32. </w:t>
      </w:r>
      <w:r w:rsidRPr="00805442">
        <w:rPr>
          <w:rFonts w:ascii="Times New Roman" w:hAnsi="Times New Roman" w:cs="Times New Roman"/>
          <w:i/>
          <w:sz w:val="24"/>
        </w:rPr>
        <w:t>Pašvaldību fiskālās disciplīnas uzlabošana</w:t>
      </w:r>
      <w:r w:rsidRPr="00805442">
        <w:rPr>
          <w:rFonts w:ascii="Times New Roman" w:hAnsi="Times New Roman" w:cs="Times New Roman"/>
          <w:sz w:val="24"/>
        </w:rPr>
        <w:t>. Pārmērīga paļaušanās uz starpvaldību dotācijām var mazināt pašvaldību finansiālo piesardzību, izraisot pārmērīgus izdevumus, samazinātus nodokļu ieņēmumus, lielus budžeta deficītus un parādu uzkrāšanos.</w:t>
      </w:r>
      <w:r w:rsidRPr="00805442">
        <w:rPr>
          <w:rStyle w:val="FootnoteReference"/>
          <w:rFonts w:ascii="Times New Roman" w:hAnsi="Times New Roman" w:cs="Times New Roman"/>
          <w:noProof/>
          <w:sz w:val="24"/>
          <w:szCs w:val="24"/>
        </w:rPr>
        <w:footnoteReference w:customMarkFollows="1" w:id="17"/>
        <w:t>20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Šāda situācija bieži ir saistīta ar “kopējā fonda” problēmu, kad fiskālās disciplīnas trūkumu izraisa uzskats, ka finansējums tiek iegūts ar nodokļiem, kas iekasēti ārpus jurisdikcijas, kas izraisa </w:t>
      </w:r>
      <w:r w:rsidRPr="00805442">
        <w:rPr>
          <w:rFonts w:ascii="Times New Roman" w:hAnsi="Times New Roman" w:cs="Times New Roman"/>
          <w:sz w:val="24"/>
        </w:rPr>
        <w:lastRenderedPageBreak/>
        <w:t>tendenci pārmērīgi tērēties un rīkoties fiskāli bezatbildīgi.</w:t>
      </w:r>
      <w:r w:rsidRPr="00805442">
        <w:rPr>
          <w:rStyle w:val="FootnoteReference"/>
          <w:rFonts w:ascii="Times New Roman" w:hAnsi="Times New Roman" w:cs="Times New Roman"/>
          <w:noProof/>
          <w:sz w:val="24"/>
          <w:szCs w:val="24"/>
        </w:rPr>
        <w:footnoteReference w:customMarkFollows="1" w:id="18"/>
        <w:t>21</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Turklāt iespēja, ka krīzē centrālā valdība sniegs finansiālu palīdzību, var veicināt pašvaldību riskantu fiskālo uzvedību, jo centrālās valdības bieži palielina dotācijas, lai izvairītos no būtisku sabiedrisko pakalpojumu, piemēram, veselības aprūpes vai izglītības, samazināšanas.</w:t>
      </w:r>
      <w:r w:rsidRPr="00805442">
        <w:rPr>
          <w:rStyle w:val="FootnoteReference"/>
          <w:rFonts w:ascii="Times New Roman" w:hAnsi="Times New Roman" w:cs="Times New Roman"/>
          <w:noProof/>
          <w:sz w:val="24"/>
          <w:szCs w:val="24"/>
        </w:rPr>
        <w:footnoteReference w:customMarkFollows="1" w:id="19"/>
        <w:t>22</w:t>
      </w:r>
    </w:p>
    <w:p w14:paraId="0517495D" w14:textId="77777777" w:rsidR="003E4DFF" w:rsidRPr="00805442" w:rsidRDefault="003E4DFF" w:rsidP="003E4DFF">
      <w:pPr>
        <w:pStyle w:val="ListParagraph"/>
        <w:tabs>
          <w:tab w:val="left" w:pos="1356"/>
        </w:tabs>
        <w:ind w:left="0"/>
        <w:rPr>
          <w:rFonts w:ascii="Times New Roman" w:hAnsi="Times New Roman" w:cs="Times New Roman"/>
          <w:noProof/>
          <w:sz w:val="24"/>
          <w:szCs w:val="24"/>
        </w:rPr>
      </w:pPr>
    </w:p>
    <w:p w14:paraId="131A31B9" w14:textId="6849E35C" w:rsidR="0068352E" w:rsidRPr="00805442" w:rsidRDefault="003E4DFF" w:rsidP="003E4DFF">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33. Lai mazinātu šīs tendences un stiprinātu pašvaldību fiskālo disciplīnu, politikas veidotāji dotāciju mehānismos var iekļaut sniegumam piesaistītus elementus. Šī pieeja paredz daļu finansējuma piešķirt atkarībā no iepriekš definētu fiskālā snieguma mērķu sasniegšanas, piemēram, publisko izdevumu efektivitātes nodrošināšanas, ieņēmumu iekasēšanas uzlabošanas vai budžeta ierobežojumu ievērošanas. Turklāt, ieviešot sistēmu, kurā tiek novērtēta fiskālā kapacitāte un centieni, var nodrošināt, ka dotācijas tiek piešķirtas, pamatojoties ne tikai uz esošajām vajadzībām, bet arī uz pašvaldību faktiskajiem centieniem uzlabot savu fiskālo stāvokli.</w:t>
      </w:r>
      <w:r w:rsidRPr="00805442">
        <w:rPr>
          <w:rStyle w:val="FootnoteReference"/>
          <w:rFonts w:ascii="Times New Roman" w:hAnsi="Times New Roman" w:cs="Times New Roman"/>
          <w:noProof/>
          <w:sz w:val="24"/>
          <w:szCs w:val="24"/>
        </w:rPr>
        <w:footnoteReference w:customMarkFollows="1" w:id="20"/>
        <w:t>23</w:t>
      </w:r>
    </w:p>
    <w:p w14:paraId="416D9319" w14:textId="77777777" w:rsidR="00A47D09" w:rsidRPr="00805442" w:rsidRDefault="00A47D09" w:rsidP="00F92C74">
      <w:pPr>
        <w:jc w:val="both"/>
        <w:rPr>
          <w:rFonts w:ascii="Times New Roman" w:hAnsi="Times New Roman" w:cs="Times New Roman"/>
          <w:noProof/>
          <w:sz w:val="24"/>
          <w:szCs w:val="24"/>
        </w:rPr>
      </w:pPr>
    </w:p>
    <w:p w14:paraId="038552E0" w14:textId="77777777" w:rsidR="00AC50AE" w:rsidRPr="00805442" w:rsidRDefault="00AC50AE" w:rsidP="00AC50AE">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34. Turklāt pārskatāmības un pārskatatbildības uzlabošana dotāciju piešķiršanā un izmantošanā var veicināt fiskālo disciplīnu. Padarot publiski pieejamu informāciju par dotāciju piešķiršanu, izdevumu rezultātiem un snieguma kritērijiem, ieinteresētās puses, tostarp iedzīvotāji un uzraudzības iestādes, var prasīt valdībām atbildību par to fiskālajiem lēmumiem. Vietējo ieinteresēto pušu līdzdalības veicināšana budžeta procesos un lēmumu pieņemšanā var palīdzēt vēl vairāk saskaņot izdevumus ar vietējām vajadzībām un prioritātēm, samazinot nelietderīgu izdevumu risku. Visbeidzot, rūpīgi līdzsvarojot finansiālā atbalsta nepieciešamību ar stimuliem fiskālajai autonomijai un atbildībai, politikas veidotāji var izveidot SFP sistēmas, kas risina tūlītēju fiskālo nelīdzsvarotību, vienlaikus veicinot ilgtermiņa fiskālo ilgtspēju un disciplīnu pašvaldību līmenī (OECD/KIPF, 2016; OECD, 2022).</w:t>
      </w:r>
    </w:p>
    <w:p w14:paraId="3A063EF4" w14:textId="77777777" w:rsidR="00AC50AE" w:rsidRPr="00805442" w:rsidRDefault="00AC50AE" w:rsidP="00AC50AE">
      <w:pPr>
        <w:pStyle w:val="ListParagraph"/>
        <w:tabs>
          <w:tab w:val="left" w:pos="1356"/>
        </w:tabs>
        <w:ind w:left="0"/>
        <w:rPr>
          <w:rFonts w:ascii="Times New Roman" w:hAnsi="Times New Roman" w:cs="Times New Roman"/>
          <w:noProof/>
          <w:sz w:val="24"/>
          <w:szCs w:val="24"/>
        </w:rPr>
      </w:pPr>
    </w:p>
    <w:p w14:paraId="53D32B79" w14:textId="068E3B91" w:rsidR="00AC50AE" w:rsidRPr="00805442" w:rsidRDefault="00AC50AE" w:rsidP="00AC50AE">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35. </w:t>
      </w:r>
      <w:r w:rsidRPr="00805442">
        <w:rPr>
          <w:rFonts w:ascii="Times New Roman" w:hAnsi="Times New Roman" w:cs="Times New Roman"/>
          <w:i/>
          <w:sz w:val="24"/>
        </w:rPr>
        <w:t>Izdevīguma meklēšanas uzvedības un mušpapīra efekta mazināšana</w:t>
      </w:r>
      <w:r w:rsidRPr="00805442">
        <w:rPr>
          <w:rFonts w:ascii="Times New Roman" w:hAnsi="Times New Roman" w:cs="Times New Roman"/>
          <w:sz w:val="24"/>
        </w:rPr>
        <w:t>. SFP piešķiršanas procesā viegli var attīstīties izdevīguma meklēšanas uzvedība, kad pašvaldības lobē lielāku līdzekļu daļu neatkarīgi no to faktiskajām fiskālajām vajadzībām vai kapacitātes. Šo rīcību pastiprina mušpapīra efekts, kad dotācijas izraisa nesamērīgu vietējo izdevumu pieaugumu salīdzinājumā ar līdzvērtīgu vietējo ieņēmumu pieaugumu.</w:t>
      </w:r>
      <w:r w:rsidRPr="00805442">
        <w:rPr>
          <w:rStyle w:val="FootnoteReference"/>
          <w:rFonts w:ascii="Times New Roman" w:hAnsi="Times New Roman" w:cs="Times New Roman"/>
          <w:noProof/>
          <w:sz w:val="24"/>
          <w:szCs w:val="24"/>
        </w:rPr>
        <w:footnoteReference w:customMarkFollows="1" w:id="21"/>
        <w:t>24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Tas liecina, ka pārvedumi var izraisīt neefektīvu resursu sadalījumu un saasināt fiskālo nelīdzsvarotību (Shah, 2006; Yilmaz un Zahir, 2020).</w:t>
      </w:r>
    </w:p>
    <w:p w14:paraId="5D599D56" w14:textId="77777777" w:rsidR="00AC50AE" w:rsidRPr="00805442" w:rsidRDefault="00AC50AE" w:rsidP="00AC50AE">
      <w:pPr>
        <w:pStyle w:val="ListParagraph"/>
        <w:tabs>
          <w:tab w:val="left" w:pos="1356"/>
        </w:tabs>
        <w:ind w:left="0"/>
        <w:rPr>
          <w:rFonts w:ascii="Times New Roman" w:hAnsi="Times New Roman" w:cs="Times New Roman"/>
          <w:noProof/>
          <w:sz w:val="24"/>
          <w:szCs w:val="24"/>
        </w:rPr>
      </w:pPr>
    </w:p>
    <w:p w14:paraId="286A22AC" w14:textId="5EBBE019" w:rsidR="00AC50AE" w:rsidRPr="00805442" w:rsidRDefault="00AC50AE" w:rsidP="00AC50AE">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36. Mušpapīra efekts ir īpaši izplatīts beznosacījumu dotāciju gadījumā. Lai to mazinātu, centrālās valdības var izvēlēties globālās dotācijas vai mērķdotācijas, noteikt īpašus nosacījumus dotāciju izmantošanai vai piesaistīt dotācijas darbības rezultātiem, lai nodrošinātu, ka līdzekļi tiek novirzīti paredzētajiem mērķiem.</w:t>
      </w:r>
      <w:r w:rsidRPr="00805442">
        <w:rPr>
          <w:rStyle w:val="FootnoteReference"/>
          <w:rFonts w:ascii="Times New Roman" w:hAnsi="Times New Roman" w:cs="Times New Roman"/>
          <w:noProof/>
          <w:sz w:val="24"/>
          <w:szCs w:val="24"/>
        </w:rPr>
        <w:footnoteReference w:customMarkFollows="1" w:id="22"/>
        <w:t>25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Starp citām iespējamām </w:t>
      </w:r>
      <w:r w:rsidRPr="00805442">
        <w:rPr>
          <w:rFonts w:ascii="Times New Roman" w:hAnsi="Times New Roman" w:cs="Times New Roman"/>
          <w:sz w:val="24"/>
        </w:rPr>
        <w:lastRenderedPageBreak/>
        <w:t>stratēģijām minama pašvaldību fiskālās autonomijas veicināšana, pārskatāmības un pārskatatbildības uzlabošana līdzekļu piešķiršanā un izmantošanā, kā arī vietējo ieinteresēto pušu iesaistīšana lēmumu pieņemšanas procesā par starpvaldību fiskālo pārvedumu (SFP) pārvaldību. Publiski pieejama informācija par izdevumiem un SFP rezultātiem ļauj iedzīvotājiem un uzraudzības iestādēm sekot līdzi, lai nodrošinātu, ka izdevumi atbilst vietējām vajadzībām un prioritātēm.</w:t>
      </w:r>
    </w:p>
    <w:p w14:paraId="2456819C" w14:textId="77777777" w:rsidR="00AC50AE" w:rsidRPr="00805442" w:rsidRDefault="00AC50AE" w:rsidP="00AC50AE">
      <w:pPr>
        <w:pStyle w:val="ListParagraph"/>
        <w:tabs>
          <w:tab w:val="left" w:pos="1356"/>
        </w:tabs>
        <w:ind w:left="0"/>
        <w:rPr>
          <w:rFonts w:ascii="Times New Roman" w:hAnsi="Times New Roman" w:cs="Times New Roman"/>
          <w:noProof/>
          <w:sz w:val="24"/>
          <w:szCs w:val="24"/>
        </w:rPr>
      </w:pPr>
    </w:p>
    <w:p w14:paraId="7CCB2F38" w14:textId="444434A8" w:rsidR="0068352E" w:rsidRPr="00805442" w:rsidRDefault="00AC50AE" w:rsidP="00AC50AE">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37. </w:t>
      </w:r>
      <w:r w:rsidRPr="00805442">
        <w:rPr>
          <w:rFonts w:ascii="Times New Roman" w:hAnsi="Times New Roman" w:cs="Times New Roman"/>
          <w:i/>
          <w:sz w:val="24"/>
        </w:rPr>
        <w:t>Pašvaldību izdevumu asimetriju risināšana</w:t>
      </w:r>
      <w:r w:rsidRPr="00805442">
        <w:rPr>
          <w:rFonts w:ascii="Times New Roman" w:hAnsi="Times New Roman" w:cs="Times New Roman"/>
          <w:sz w:val="24"/>
        </w:rPr>
        <w:t>. Literatūrā ir uzsvērtas asimetrijas, ko pārvedumu līmeņa izmaiņas rada pašvaldību izdevumu modeļos. Lai gan SFP palielinājums parasti izraisa augstākus pašvaldību izdevumus, pārvedumu samazinājums proporcionāli nesamazina izdevumus publisko izdevumu neelastības dēļ. Šis fiskālās aizvietošanas efekts norāda uz to, ka pašvaldības varētu palielināt nodokļus, lai kompensētu pārvedumu samazinājumus, cenšoties saglabāt tādu pašu izdevumu līmeni.</w:t>
      </w:r>
      <w:r w:rsidRPr="00805442">
        <w:rPr>
          <w:rStyle w:val="FootnoteReference"/>
          <w:rFonts w:ascii="Times New Roman" w:hAnsi="Times New Roman" w:cs="Times New Roman"/>
          <w:noProof/>
          <w:sz w:val="24"/>
          <w:szCs w:val="24"/>
        </w:rPr>
        <w:footnoteReference w:customMarkFollows="1" w:id="23"/>
        <w:t>26</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Šāda dinamika veicina pašvaldību paplašināšanos, jo tās izmanto ārējos līdzekļus, lai izvērstu savus pakalpojumus, reizēm pārsniedzot efektivitātes un ilgtspējas robežas. Tādējādi vēlme tērēt lielāku dotāciju līdzekļus pārsniedz vēlmi samazināt izdevumus, kad dotācijas samazinās, turklāt globālās dotācijas ar nosacījumiem uzrāda mazāku asimetrisko ietekmi nekā beznosacījumu dotācijas</w:t>
      </w:r>
      <w:r w:rsidRPr="00805442">
        <w:rPr>
          <w:rStyle w:val="FootnoteReference"/>
          <w:rFonts w:ascii="Times New Roman" w:hAnsi="Times New Roman" w:cs="Times New Roman"/>
          <w:noProof/>
          <w:sz w:val="24"/>
          <w:szCs w:val="24"/>
        </w:rPr>
        <w:footnoteReference w:customMarkFollows="1" w:id="24"/>
        <w:t>27</w:t>
      </w:r>
      <w:r w:rsidRPr="00805442">
        <w:rPr>
          <w:rFonts w:ascii="Times New Roman" w:hAnsi="Times New Roman" w:cs="Times New Roman"/>
          <w:sz w:val="24"/>
        </w:rPr>
        <w:t xml:space="preserve"> (Lago et al., 2024a).</w:t>
      </w:r>
    </w:p>
    <w:p w14:paraId="24F83865" w14:textId="77777777" w:rsidR="00F03619" w:rsidRPr="00805442" w:rsidRDefault="00F03619" w:rsidP="00AC50AE">
      <w:pPr>
        <w:pStyle w:val="ListParagraph"/>
        <w:tabs>
          <w:tab w:val="left" w:pos="1356"/>
        </w:tabs>
        <w:ind w:left="0"/>
        <w:rPr>
          <w:rFonts w:ascii="Times New Roman" w:hAnsi="Times New Roman" w:cs="Times New Roman"/>
          <w:noProof/>
          <w:sz w:val="24"/>
          <w:szCs w:val="24"/>
        </w:rPr>
      </w:pPr>
    </w:p>
    <w:p w14:paraId="19DF6A49" w14:textId="77777777" w:rsidR="0068352E" w:rsidRPr="00805442" w:rsidRDefault="0068352E" w:rsidP="00F92C74">
      <w:pPr>
        <w:pStyle w:val="BodyText"/>
        <w:jc w:val="both"/>
        <w:rPr>
          <w:rFonts w:ascii="Times New Roman" w:hAnsi="Times New Roman" w:cs="Times New Roman"/>
          <w:noProof/>
          <w:sz w:val="24"/>
          <w:szCs w:val="24"/>
        </w:rPr>
      </w:pPr>
    </w:p>
    <w:p w14:paraId="5ABD1D7D" w14:textId="4D54315C" w:rsidR="0068352E" w:rsidRPr="00805442" w:rsidRDefault="001B768E" w:rsidP="001B768E">
      <w:pPr>
        <w:pStyle w:val="Heading1"/>
        <w:tabs>
          <w:tab w:val="left" w:pos="994"/>
        </w:tabs>
        <w:ind w:left="0"/>
        <w:jc w:val="both"/>
        <w:rPr>
          <w:rFonts w:ascii="Times New Roman" w:hAnsi="Times New Roman" w:cs="Times New Roman"/>
          <w:noProof/>
          <w:color w:val="4D81BD"/>
          <w:sz w:val="28"/>
          <w:szCs w:val="28"/>
        </w:rPr>
      </w:pPr>
      <w:r w:rsidRPr="00805442">
        <w:rPr>
          <w:rFonts w:ascii="Times New Roman" w:hAnsi="Times New Roman" w:cs="Times New Roman"/>
          <w:color w:val="4D81BD"/>
          <w:sz w:val="28"/>
        </w:rPr>
        <w:t>4. Pārvedumu veidu un stimulu saskaņošana</w:t>
      </w:r>
    </w:p>
    <w:p w14:paraId="24213A59" w14:textId="77777777" w:rsidR="0068352E" w:rsidRPr="00805442" w:rsidRDefault="0068352E" w:rsidP="00F92C74">
      <w:pPr>
        <w:pStyle w:val="BodyText"/>
        <w:jc w:val="both"/>
        <w:rPr>
          <w:rFonts w:ascii="Times New Roman" w:hAnsi="Times New Roman" w:cs="Times New Roman"/>
          <w:b/>
          <w:noProof/>
          <w:sz w:val="24"/>
          <w:szCs w:val="24"/>
        </w:rPr>
      </w:pPr>
    </w:p>
    <w:p w14:paraId="29C83E6D" w14:textId="4958B534" w:rsidR="0068352E" w:rsidRPr="00805442" w:rsidRDefault="001B768E" w:rsidP="001B768E">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38. Šajā sadaļā mēs sniedzam sīku SFP klasifikāciju. Lai gan šīs klasifikācijas praktiskais pielietojums ne vienmēr ir viennozīmīgs, mēs cenšamies kategorizēt šos pārvedumus pēc iespējas visaptverošāk, ņemot vērā to dažādās struktūras un atbilstību konkrētiem politikas mērķiem. Pēc tam mēs apskatīsim stimulus, kas visbiežāk saistīti ar katru pārveduma veidu, kā novērots dažādu valstu finanšu pārvaldības praksē, izpētot šo fiskālo izvēļu rezultātus un ietekmi, kā arī skaidrojot, kā dažādi SFP ietekmē plašāko publisko finanšu un pārvaldības ainavu.</w:t>
      </w:r>
    </w:p>
    <w:p w14:paraId="020FAA20" w14:textId="77777777" w:rsidR="0068352E" w:rsidRPr="00805442" w:rsidRDefault="0068352E" w:rsidP="001B768E">
      <w:pPr>
        <w:pStyle w:val="Heading3"/>
        <w:tabs>
          <w:tab w:val="left" w:pos="1779"/>
        </w:tabs>
        <w:ind w:left="567" w:firstLine="0"/>
        <w:jc w:val="both"/>
        <w:rPr>
          <w:rFonts w:ascii="Times New Roman" w:hAnsi="Times New Roman" w:cs="Times New Roman"/>
          <w:noProof/>
          <w:sz w:val="28"/>
          <w:szCs w:val="28"/>
        </w:rPr>
      </w:pPr>
    </w:p>
    <w:p w14:paraId="2DFE4EE4" w14:textId="228A20C3" w:rsidR="0068352E" w:rsidRPr="00805442" w:rsidRDefault="00FC00BD" w:rsidP="001B768E">
      <w:pPr>
        <w:pStyle w:val="Heading3"/>
        <w:tabs>
          <w:tab w:val="left" w:pos="1779"/>
        </w:tabs>
        <w:ind w:left="567" w:firstLine="0"/>
        <w:jc w:val="both"/>
        <w:rPr>
          <w:rFonts w:ascii="Times New Roman" w:hAnsi="Times New Roman" w:cs="Times New Roman"/>
          <w:noProof/>
          <w:sz w:val="28"/>
          <w:szCs w:val="28"/>
        </w:rPr>
      </w:pPr>
      <w:r w:rsidRPr="00805442">
        <w:rPr>
          <w:rFonts w:ascii="Times New Roman" w:hAnsi="Times New Roman" w:cs="Times New Roman"/>
          <w:sz w:val="28"/>
        </w:rPr>
        <w:t>4.1. Starpvaldību fiskālo pārvedumu klasifikācija – dotāciju mērķa noteikšanas nozīme</w:t>
      </w:r>
    </w:p>
    <w:p w14:paraId="6E6DC387" w14:textId="77777777" w:rsidR="00FC00BD" w:rsidRPr="00805442" w:rsidRDefault="00FC00BD" w:rsidP="00FC00BD">
      <w:pPr>
        <w:pStyle w:val="ListParagraph"/>
        <w:tabs>
          <w:tab w:val="left" w:pos="1356"/>
        </w:tabs>
        <w:ind w:left="0"/>
        <w:rPr>
          <w:rFonts w:ascii="Times New Roman" w:hAnsi="Times New Roman" w:cs="Times New Roman"/>
          <w:noProof/>
          <w:sz w:val="24"/>
          <w:szCs w:val="24"/>
        </w:rPr>
      </w:pPr>
    </w:p>
    <w:p w14:paraId="666C082C" w14:textId="77777777" w:rsidR="00FC00BD" w:rsidRPr="00805442" w:rsidRDefault="00FC00BD" w:rsidP="00FC00BD">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39. Starpvaldību fiskālie pārvedumi (SFP) tiek klasificēti, ņemot vērā to nosacījumus un mērķus, kas būtiski ietekmē to efektivitāti. 6. attēlā ir sniegta agrāka </w:t>
      </w:r>
      <w:r w:rsidRPr="00805442">
        <w:rPr>
          <w:rFonts w:ascii="Times New Roman" w:hAnsi="Times New Roman" w:cs="Times New Roman"/>
          <w:i/>
          <w:iCs/>
          <w:sz w:val="24"/>
        </w:rPr>
        <w:t>OECD</w:t>
      </w:r>
      <w:r w:rsidRPr="00805442">
        <w:rPr>
          <w:rFonts w:ascii="Times New Roman" w:hAnsi="Times New Roman" w:cs="Times New Roman"/>
          <w:sz w:val="24"/>
        </w:rPr>
        <w:t xml:space="preserve"> modeļa adaptācija, lai ilustrētu izplatītās SFP klasifikācijas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(Bergvall et al., 2006; Spahn, 2012; Lotz, 2013). Šajā modelī sīki aprakstīta SFP tipoloģija, balstoties uz tiem noteiktajiem nosacījumiem, sākot no beznosacījumu vispārēja mērķa dotācijām līdz neierobežota un ierobežota apmēra mērķdotācijām, kuru nolūks ir panākt noteiktu snieguma kritēriju izpildi vai politikas prioritāšu īstenošanu.</w:t>
      </w:r>
      <w:r w:rsidRPr="00805442">
        <w:rPr>
          <w:rStyle w:val="FootnoteReference"/>
          <w:rFonts w:ascii="Times New Roman" w:hAnsi="Times New Roman" w:cs="Times New Roman"/>
          <w:noProof/>
          <w:sz w:val="24"/>
          <w:szCs w:val="24"/>
        </w:rPr>
        <w:footnoteReference w:customMarkFollows="1" w:id="25"/>
        <w:t>28</w:t>
      </w:r>
    </w:p>
    <w:p w14:paraId="7CA23872" w14:textId="77777777" w:rsidR="00FC00BD" w:rsidRPr="00805442" w:rsidRDefault="00FC00BD" w:rsidP="00FC00BD">
      <w:pPr>
        <w:pStyle w:val="ListParagraph"/>
        <w:tabs>
          <w:tab w:val="left" w:pos="1356"/>
        </w:tabs>
        <w:ind w:left="0"/>
        <w:rPr>
          <w:rFonts w:ascii="Times New Roman" w:hAnsi="Times New Roman" w:cs="Times New Roman"/>
          <w:noProof/>
          <w:sz w:val="24"/>
          <w:szCs w:val="24"/>
        </w:rPr>
      </w:pPr>
    </w:p>
    <w:p w14:paraId="4D3222DD" w14:textId="2C69636D" w:rsidR="0068352E" w:rsidRPr="00805442" w:rsidRDefault="00FC00BD" w:rsidP="0050079A">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40. Dažus papildu kritērijus, kas ir būtiski SFP kategorizēšanai, nebija iespējams iekļaut 6. attēlā to sarežģītības dēļ un tāpēc, ka tie izpaužas dažādos pārvedumu veidos, sarežģījot to attēlošanu vienā diagrammā.</w:t>
      </w:r>
      <w:r w:rsidRPr="00805442">
        <w:rPr>
          <w:rStyle w:val="FootnoteReference"/>
          <w:rFonts w:ascii="Times New Roman" w:hAnsi="Times New Roman" w:cs="Times New Roman"/>
          <w:noProof/>
          <w:sz w:val="24"/>
          <w:szCs w:val="24"/>
        </w:rPr>
        <w:footnoteReference w:customMarkFollows="1" w:id="26"/>
        <w:t>29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Šie kritēriji ietver metodes, ko izmanto līdzekļu piešķiršanai, un valdības līmeni, kas ir atbildīgs par pārveduma iniciēšanu. Piešķiršanas metodes atšķiras atkarībā no dažādu reģionu fiskālajām vajadzībām un stratēģiskajiem mērķiem. Piemēram, uz formulām balstītos pārvedumos tiek ņemti vērā tādi faktori kā iedzīvotāju skaits un fiskālā kapacitāte, savukārt uz vajadzībām balstīti pārvedumi ir vērsti uz reģioniem ar lielākām vajadzībām.</w:t>
      </w:r>
      <w:r w:rsidRPr="00805442">
        <w:rPr>
          <w:rStyle w:val="FootnoteReference"/>
          <w:rFonts w:ascii="Times New Roman" w:hAnsi="Times New Roman" w:cs="Times New Roman"/>
          <w:noProof/>
          <w:sz w:val="24"/>
          <w:szCs w:val="24"/>
        </w:rPr>
        <w:footnoteReference w:customMarkFollows="1" w:id="27"/>
        <w:t>30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Sniegumam piesaistīti pārvedumi veicina konkrētus rezultātus, piešķirot papildu resursus, pamatojoties uz </w:t>
      </w:r>
      <w:r w:rsidRPr="00805442">
        <w:rPr>
          <w:rFonts w:ascii="Times New Roman" w:hAnsi="Times New Roman" w:cs="Times New Roman"/>
          <w:i/>
          <w:sz w:val="24"/>
        </w:rPr>
        <w:t xml:space="preserve">ex-post </w:t>
      </w:r>
      <w:r w:rsidRPr="00805442">
        <w:rPr>
          <w:rFonts w:ascii="Times New Roman" w:hAnsi="Times New Roman" w:cs="Times New Roman"/>
          <w:sz w:val="24"/>
        </w:rPr>
        <w:t>nosacījumu izpildi.</w:t>
      </w:r>
      <w:r w:rsidRPr="00805442">
        <w:rPr>
          <w:rStyle w:val="FootnoteReference"/>
          <w:rFonts w:ascii="Times New Roman" w:hAnsi="Times New Roman" w:cs="Times New Roman"/>
          <w:noProof/>
          <w:sz w:val="24"/>
          <w:szCs w:val="24"/>
        </w:rPr>
        <w:footnoteReference w:customMarkFollows="1" w:id="28"/>
        <w:t>31</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Ar ieņēmumu sadali līdzekļi no konkrētiem avotiem tiek pārdalīti, nodrošinot, ka labumu gūst gan centrālās valdības, gan pašvaldības. Visbeidzot, iztrūkuma aizpildīšanas pārvedumu mērķis ir mazināt fiskālo plaisu starp reģiona gūtajiem ieņēmumiem un tā izdevumu vajadzībām. Attiecībā uz plūsmas virzienu vertikālie pārvedumi parasti tiek veikti no augstākiem uz zemākiem pārvaldes līmeņiem, piemēram, no valsts uz pašvaldības struktūrām. Savukārt horizontālie pārvedumi notiek starp jurisdikcijām vienā līmenī – bieži ar mērķi samazināt ekonomiskās atšķirības vai risināt horizontālās ārējās ietekmes</w:t>
      </w:r>
      <w:r w:rsidRPr="00805442">
        <w:rPr>
          <w:rStyle w:val="FootnoteReference"/>
          <w:rFonts w:ascii="Times New Roman" w:hAnsi="Times New Roman" w:cs="Times New Roman"/>
          <w:noProof/>
          <w:sz w:val="24"/>
          <w:szCs w:val="24"/>
        </w:rPr>
        <w:footnoteReference w:customMarkFollows="1" w:id="29"/>
        <w:t>32</w:t>
      </w:r>
      <w:r w:rsidRPr="00805442">
        <w:rPr>
          <w:rFonts w:ascii="Times New Roman" w:hAnsi="Times New Roman" w:cs="Times New Roman"/>
          <w:sz w:val="24"/>
        </w:rPr>
        <w:t xml:space="preserve"> (Blöchliger un Petzold, 2009).</w:t>
      </w:r>
    </w:p>
    <w:p w14:paraId="43682DF0" w14:textId="7AFB7AF9" w:rsidR="00FC00BD" w:rsidRPr="00805442" w:rsidRDefault="00FC00BD">
      <w:pPr>
        <w:rPr>
          <w:rFonts w:ascii="Times New Roman" w:eastAsia="Arial Narrow" w:hAnsi="Times New Roman" w:cs="Times New Roman"/>
          <w:b/>
          <w:bCs/>
          <w:noProof/>
          <w:color w:val="4D81BD"/>
          <w:sz w:val="24"/>
          <w:szCs w:val="24"/>
        </w:rPr>
      </w:pPr>
    </w:p>
    <w:p w14:paraId="4DC477E6" w14:textId="37D86196" w:rsidR="0068352E" w:rsidRPr="00805442" w:rsidRDefault="0068352E"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6. attēls. Starpvaldību fiskālo pārvedumu shēmu klasifikācija</w:t>
      </w:r>
    </w:p>
    <w:p w14:paraId="24F4A11B" w14:textId="032493BC" w:rsidR="005140E3" w:rsidRPr="00805442" w:rsidRDefault="005140E3"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noProof/>
          <w:sz w:val="24"/>
        </w:rPr>
        <w:drawing>
          <wp:anchor distT="0" distB="0" distL="114300" distR="114300" simplePos="0" relativeHeight="251654144" behindDoc="0" locked="0" layoutInCell="1" allowOverlap="1" wp14:anchorId="5257E4CA" wp14:editId="3D47346B">
            <wp:simplePos x="0" y="0"/>
            <wp:positionH relativeFrom="column">
              <wp:posOffset>-3810</wp:posOffset>
            </wp:positionH>
            <wp:positionV relativeFrom="paragraph">
              <wp:posOffset>298450</wp:posOffset>
            </wp:positionV>
            <wp:extent cx="5168900" cy="2420620"/>
            <wp:effectExtent l="0" t="0" r="0" b="0"/>
            <wp:wrapTopAndBottom/>
            <wp:docPr id="34115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54575" name=""/>
                    <pic:cNvPicPr/>
                  </pic:nvPicPr>
                  <pic:blipFill>
                    <a:blip r:embed="rId18">
                      <a:extLst>
                        <a:ext uri="{28A0092B-C50C-407E-A947-70E740481C1C}">
                          <a14:useLocalDpi xmlns:a14="http://schemas.microsoft.com/office/drawing/2010/main" val="0"/>
                        </a:ext>
                      </a:extLst>
                    </a:blip>
                    <a:stretch>
                      <a:fillRect/>
                    </a:stretch>
                  </pic:blipFill>
                  <pic:spPr>
                    <a:xfrm>
                      <a:off x="0" y="0"/>
                      <a:ext cx="5168900" cy="2420620"/>
                    </a:xfrm>
                    <a:prstGeom prst="rect">
                      <a:avLst/>
                    </a:prstGeom>
                  </pic:spPr>
                </pic:pic>
              </a:graphicData>
            </a:graphic>
            <wp14:sizeRelH relativeFrom="page">
              <wp14:pctWidth>0</wp14:pctWidth>
            </wp14:sizeRelH>
            <wp14:sizeRelV relativeFrom="page">
              <wp14:pctHeight>0</wp14:pctHeight>
            </wp14:sizeRelV>
          </wp:anchor>
        </w:drawing>
      </w:r>
    </w:p>
    <w:p w14:paraId="648E9A73" w14:textId="3CC10138" w:rsidR="0068352E" w:rsidRPr="00805442" w:rsidRDefault="0068352E" w:rsidP="004A369C">
      <w:pPr>
        <w:pStyle w:val="BodyText"/>
        <w:rPr>
          <w:rFonts w:ascii="Times New Roman" w:hAnsi="Times New Roman" w:cs="Times New Roman"/>
          <w:b/>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50079A" w:rsidRPr="00805442" w14:paraId="7F53055D" w14:textId="77777777" w:rsidTr="0050079A">
        <w:tc>
          <w:tcPr>
            <w:tcW w:w="2500" w:type="pct"/>
          </w:tcPr>
          <w:p w14:paraId="0FDF0A47" w14:textId="20F35E30" w:rsidR="0050079A" w:rsidRPr="0050079A" w:rsidRDefault="0050079A" w:rsidP="0050079A">
            <w:pPr>
              <w:pStyle w:val="BodyText"/>
              <w:jc w:val="center"/>
              <w:rPr>
                <w:rFonts w:ascii="Times New Roman" w:hAnsi="Times New Roman" w:cs="Times New Roman"/>
                <w:b/>
                <w:noProof/>
                <w:sz w:val="24"/>
                <w:szCs w:val="24"/>
              </w:rPr>
            </w:pPr>
            <w:r w:rsidRPr="0050079A">
              <w:rPr>
                <w:rFonts w:ascii="Times New Roman" w:hAnsi="Times New Roman" w:cs="Times New Roman"/>
                <w:b/>
                <w:noProof/>
                <w:sz w:val="24"/>
                <w:szCs w:val="24"/>
              </w:rPr>
              <w:lastRenderedPageBreak/>
              <w:t>Angļu val.</w:t>
            </w:r>
          </w:p>
        </w:tc>
        <w:tc>
          <w:tcPr>
            <w:tcW w:w="2500" w:type="pct"/>
          </w:tcPr>
          <w:p w14:paraId="7A99F4D8" w14:textId="07533EBB" w:rsidR="0050079A" w:rsidRPr="0050079A" w:rsidRDefault="0050079A" w:rsidP="0050079A">
            <w:pPr>
              <w:pStyle w:val="BodyText"/>
              <w:jc w:val="center"/>
              <w:rPr>
                <w:rFonts w:ascii="Times New Roman" w:hAnsi="Times New Roman" w:cs="Times New Roman"/>
                <w:b/>
                <w:sz w:val="24"/>
              </w:rPr>
            </w:pPr>
            <w:r w:rsidRPr="0050079A">
              <w:rPr>
                <w:rFonts w:ascii="Times New Roman" w:hAnsi="Times New Roman" w:cs="Times New Roman"/>
                <w:b/>
                <w:sz w:val="24"/>
              </w:rPr>
              <w:t>Latviešu val.</w:t>
            </w:r>
          </w:p>
        </w:tc>
      </w:tr>
      <w:tr w:rsidR="004A369C" w:rsidRPr="00805442" w14:paraId="583E2821" w14:textId="7C7607DC" w:rsidTr="0050079A">
        <w:tc>
          <w:tcPr>
            <w:tcW w:w="2500" w:type="pct"/>
          </w:tcPr>
          <w:p w14:paraId="3C16F83E" w14:textId="05DE1775"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Intergovernmental Fiscal Transfer (IFT)</w:t>
            </w:r>
          </w:p>
        </w:tc>
        <w:tc>
          <w:tcPr>
            <w:tcW w:w="2500" w:type="pct"/>
          </w:tcPr>
          <w:p w14:paraId="571883A6" w14:textId="2F6364DA"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Starpvaldību fiskālais pārvedums (SFP)</w:t>
            </w:r>
          </w:p>
        </w:tc>
      </w:tr>
      <w:tr w:rsidR="004A369C" w:rsidRPr="00805442" w14:paraId="50B77AAB" w14:textId="371BD06D" w:rsidTr="0050079A">
        <w:tc>
          <w:tcPr>
            <w:tcW w:w="2500" w:type="pct"/>
          </w:tcPr>
          <w:p w14:paraId="1D61EC6B" w14:textId="3436A6A4"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Unconditional (non-earmarked)</w:t>
            </w:r>
          </w:p>
        </w:tc>
        <w:tc>
          <w:tcPr>
            <w:tcW w:w="2500" w:type="pct"/>
          </w:tcPr>
          <w:p w14:paraId="4117BFD0" w14:textId="1320C183"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Beznosacījumu (neiezīmēti)</w:t>
            </w:r>
          </w:p>
        </w:tc>
      </w:tr>
      <w:tr w:rsidR="004A369C" w:rsidRPr="00805442" w14:paraId="0360D3A1" w14:textId="430109CD" w:rsidTr="0050079A">
        <w:tc>
          <w:tcPr>
            <w:tcW w:w="2500" w:type="pct"/>
          </w:tcPr>
          <w:p w14:paraId="0BA9925E" w14:textId="2FA3B1D4"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Area conditional (broad conditional)</w:t>
            </w:r>
          </w:p>
        </w:tc>
        <w:tc>
          <w:tcPr>
            <w:tcW w:w="2500" w:type="pct"/>
          </w:tcPr>
          <w:p w14:paraId="19E1DDFC" w14:textId="6AAC688C"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Ar nosacījumiem attiecībā uz jomu (plaši nosacījumi)</w:t>
            </w:r>
          </w:p>
        </w:tc>
      </w:tr>
      <w:tr w:rsidR="004A369C" w:rsidRPr="00805442" w14:paraId="79465DB9" w14:textId="2444D236" w:rsidTr="0050079A">
        <w:tc>
          <w:tcPr>
            <w:tcW w:w="2500" w:type="pct"/>
          </w:tcPr>
          <w:p w14:paraId="7D77D57F" w14:textId="35E9DA19"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Conditional (earmarked)</w:t>
            </w:r>
          </w:p>
        </w:tc>
        <w:tc>
          <w:tcPr>
            <w:tcW w:w="2500" w:type="pct"/>
          </w:tcPr>
          <w:p w14:paraId="7F4126EC" w14:textId="7333B845"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Ar nosacījumiem (iezīmēti)</w:t>
            </w:r>
          </w:p>
        </w:tc>
      </w:tr>
      <w:tr w:rsidR="004A369C" w:rsidRPr="00805442" w14:paraId="1E5C92BE" w14:textId="3EA7F554" w:rsidTr="0050079A">
        <w:tc>
          <w:tcPr>
            <w:tcW w:w="2500" w:type="pct"/>
          </w:tcPr>
          <w:p w14:paraId="10296035" w14:textId="6760C0E1"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Mandatory</w:t>
            </w:r>
          </w:p>
        </w:tc>
        <w:tc>
          <w:tcPr>
            <w:tcW w:w="2500" w:type="pct"/>
          </w:tcPr>
          <w:p w14:paraId="4C7B749D" w14:textId="2231211C"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Obligāti</w:t>
            </w:r>
          </w:p>
        </w:tc>
      </w:tr>
      <w:tr w:rsidR="004A369C" w:rsidRPr="00805442" w14:paraId="488D812B" w14:textId="7DC16024" w:rsidTr="0050079A">
        <w:tc>
          <w:tcPr>
            <w:tcW w:w="2500" w:type="pct"/>
          </w:tcPr>
          <w:p w14:paraId="366B2C41" w14:textId="05D462BD"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Discretionary</w:t>
            </w:r>
          </w:p>
        </w:tc>
        <w:tc>
          <w:tcPr>
            <w:tcW w:w="2500" w:type="pct"/>
          </w:tcPr>
          <w:p w14:paraId="7E9237A4" w14:textId="51CFF454"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Diskrecionāri</w:t>
            </w:r>
          </w:p>
        </w:tc>
      </w:tr>
      <w:tr w:rsidR="004A369C" w:rsidRPr="00805442" w14:paraId="30034B78" w14:textId="25891ADE" w:rsidTr="0050079A">
        <w:tc>
          <w:tcPr>
            <w:tcW w:w="2500" w:type="pct"/>
          </w:tcPr>
          <w:p w14:paraId="7F4909A0" w14:textId="3FDCAED2"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Block Grant</w:t>
            </w:r>
          </w:p>
        </w:tc>
        <w:tc>
          <w:tcPr>
            <w:tcW w:w="2500" w:type="pct"/>
          </w:tcPr>
          <w:p w14:paraId="17D8736B" w14:textId="31DD2D75"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Globāla dotācija</w:t>
            </w:r>
          </w:p>
        </w:tc>
      </w:tr>
      <w:tr w:rsidR="004A369C" w:rsidRPr="00805442" w14:paraId="768442FA" w14:textId="71A7275E" w:rsidTr="0050079A">
        <w:tc>
          <w:tcPr>
            <w:tcW w:w="2500" w:type="pct"/>
          </w:tcPr>
          <w:p w14:paraId="1A602BFD" w14:textId="102B970B"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General purpose grant</w:t>
            </w:r>
          </w:p>
        </w:tc>
        <w:tc>
          <w:tcPr>
            <w:tcW w:w="2500" w:type="pct"/>
          </w:tcPr>
          <w:p w14:paraId="349E2494" w14:textId="0D25AD69"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Vispārējā mērķa dotācija</w:t>
            </w:r>
          </w:p>
        </w:tc>
      </w:tr>
      <w:tr w:rsidR="004A369C" w:rsidRPr="00805442" w14:paraId="1D0BC57B" w14:textId="114EEE64" w:rsidTr="0050079A">
        <w:tc>
          <w:tcPr>
            <w:tcW w:w="2500" w:type="pct"/>
          </w:tcPr>
          <w:p w14:paraId="1D493891" w14:textId="734E31EC"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One-off grant</w:t>
            </w:r>
          </w:p>
        </w:tc>
        <w:tc>
          <w:tcPr>
            <w:tcW w:w="2500" w:type="pct"/>
          </w:tcPr>
          <w:p w14:paraId="1C1C21AF" w14:textId="797A48B1"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Vienreizēja dotācija</w:t>
            </w:r>
          </w:p>
        </w:tc>
      </w:tr>
      <w:tr w:rsidR="004A369C" w:rsidRPr="00805442" w14:paraId="22ACC08A" w14:textId="7BA7AD9E" w:rsidTr="0050079A">
        <w:tc>
          <w:tcPr>
            <w:tcW w:w="2500" w:type="pct"/>
          </w:tcPr>
          <w:p w14:paraId="0EFD337B" w14:textId="19DE1C07"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Non-matching grant</w:t>
            </w:r>
          </w:p>
        </w:tc>
        <w:tc>
          <w:tcPr>
            <w:tcW w:w="2500" w:type="pct"/>
          </w:tcPr>
          <w:p w14:paraId="6ABC8852" w14:textId="6343AD4D"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Dotācija, kas nav līdzvērtīga</w:t>
            </w:r>
          </w:p>
        </w:tc>
      </w:tr>
      <w:tr w:rsidR="004A369C" w:rsidRPr="00805442" w14:paraId="458150AA" w14:textId="065A350F" w:rsidTr="0050079A">
        <w:tc>
          <w:tcPr>
            <w:tcW w:w="2500" w:type="pct"/>
          </w:tcPr>
          <w:p w14:paraId="70B0B0F3" w14:textId="78E60498"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Matching grant</w:t>
            </w:r>
          </w:p>
        </w:tc>
        <w:tc>
          <w:tcPr>
            <w:tcW w:w="2500" w:type="pct"/>
          </w:tcPr>
          <w:p w14:paraId="4DB22251" w14:textId="365C5EAE"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Līdzvērtīga dotācija</w:t>
            </w:r>
          </w:p>
        </w:tc>
      </w:tr>
      <w:tr w:rsidR="004A369C" w:rsidRPr="00805442" w14:paraId="67B80D70" w14:textId="7482C793" w:rsidTr="0050079A">
        <w:tc>
          <w:tcPr>
            <w:tcW w:w="2500" w:type="pct"/>
          </w:tcPr>
          <w:p w14:paraId="62EE36C5" w14:textId="2B4B2312"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Equalisation transfers</w:t>
            </w:r>
          </w:p>
        </w:tc>
        <w:tc>
          <w:tcPr>
            <w:tcW w:w="2500" w:type="pct"/>
          </w:tcPr>
          <w:p w14:paraId="582F5A79" w14:textId="10A90EC8"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Izlīdzināšanas pārvedumi</w:t>
            </w:r>
          </w:p>
        </w:tc>
      </w:tr>
      <w:tr w:rsidR="004A369C" w:rsidRPr="00805442" w14:paraId="19417A07" w14:textId="3BB0D5EB" w:rsidTr="0050079A">
        <w:tc>
          <w:tcPr>
            <w:tcW w:w="2500" w:type="pct"/>
          </w:tcPr>
          <w:p w14:paraId="62D4D021" w14:textId="7C8D3A15"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Revenue-Sharing</w:t>
            </w:r>
          </w:p>
        </w:tc>
        <w:tc>
          <w:tcPr>
            <w:tcW w:w="2500" w:type="pct"/>
          </w:tcPr>
          <w:p w14:paraId="0A0B71FD" w14:textId="40A8D2C4"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Ieņēmumu sadale</w:t>
            </w:r>
          </w:p>
        </w:tc>
      </w:tr>
      <w:tr w:rsidR="004A369C" w:rsidRPr="00805442" w14:paraId="350FE875" w14:textId="1E486166" w:rsidTr="0050079A">
        <w:tc>
          <w:tcPr>
            <w:tcW w:w="2500" w:type="pct"/>
          </w:tcPr>
          <w:p w14:paraId="2AF5DC44" w14:textId="50FA41F2"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Gap-filling</w:t>
            </w:r>
          </w:p>
        </w:tc>
        <w:tc>
          <w:tcPr>
            <w:tcW w:w="2500" w:type="pct"/>
          </w:tcPr>
          <w:p w14:paraId="59CD56FA" w14:textId="27AA8751"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Iztrūkuma aizpildīšana</w:t>
            </w:r>
          </w:p>
        </w:tc>
      </w:tr>
      <w:tr w:rsidR="004A369C" w:rsidRPr="00805442" w14:paraId="249FBE32" w14:textId="4760BAF2" w:rsidTr="0050079A">
        <w:tc>
          <w:tcPr>
            <w:tcW w:w="2500" w:type="pct"/>
          </w:tcPr>
          <w:p w14:paraId="7560FB90" w14:textId="2BC0C6BE"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Open-ended</w:t>
            </w:r>
          </w:p>
        </w:tc>
        <w:tc>
          <w:tcPr>
            <w:tcW w:w="2500" w:type="pct"/>
          </w:tcPr>
          <w:p w14:paraId="64F09EBE" w14:textId="5415E74C"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Bez ierobežojumiem</w:t>
            </w:r>
          </w:p>
        </w:tc>
      </w:tr>
      <w:tr w:rsidR="004A369C" w:rsidRPr="00805442" w14:paraId="49ACEEC8" w14:textId="5397547E" w:rsidTr="0050079A">
        <w:tc>
          <w:tcPr>
            <w:tcW w:w="2500" w:type="pct"/>
          </w:tcPr>
          <w:p w14:paraId="68922546" w14:textId="1D953B18" w:rsidR="004A369C" w:rsidRPr="00805442" w:rsidRDefault="004A369C" w:rsidP="004A369C">
            <w:pPr>
              <w:pStyle w:val="BodyText"/>
              <w:jc w:val="both"/>
              <w:rPr>
                <w:rFonts w:ascii="Times New Roman" w:hAnsi="Times New Roman" w:cs="Times New Roman"/>
                <w:b/>
                <w:noProof/>
                <w:sz w:val="24"/>
                <w:szCs w:val="24"/>
              </w:rPr>
            </w:pPr>
            <w:r w:rsidRPr="00E17582">
              <w:rPr>
                <w:rFonts w:ascii="Times New Roman" w:hAnsi="Times New Roman" w:cs="Times New Roman"/>
                <w:bCs/>
                <w:noProof/>
                <w:sz w:val="24"/>
                <w:szCs w:val="24"/>
              </w:rPr>
              <w:t>Closed-ended</w:t>
            </w:r>
          </w:p>
        </w:tc>
        <w:tc>
          <w:tcPr>
            <w:tcW w:w="2500" w:type="pct"/>
          </w:tcPr>
          <w:p w14:paraId="6F91393E" w14:textId="67572347" w:rsidR="004A369C" w:rsidRPr="00805442" w:rsidRDefault="004A369C" w:rsidP="004A369C">
            <w:pPr>
              <w:pStyle w:val="BodyText"/>
              <w:jc w:val="both"/>
              <w:rPr>
                <w:rFonts w:ascii="Times New Roman" w:hAnsi="Times New Roman" w:cs="Times New Roman"/>
                <w:b/>
                <w:noProof/>
                <w:sz w:val="24"/>
                <w:szCs w:val="24"/>
              </w:rPr>
            </w:pPr>
            <w:r w:rsidRPr="00805442">
              <w:rPr>
                <w:rFonts w:ascii="Times New Roman" w:hAnsi="Times New Roman" w:cs="Times New Roman"/>
                <w:sz w:val="24"/>
              </w:rPr>
              <w:t>Ar ierobežojumiem</w:t>
            </w:r>
          </w:p>
        </w:tc>
      </w:tr>
    </w:tbl>
    <w:p w14:paraId="4DC815B4" w14:textId="77777777" w:rsidR="0068352E" w:rsidRPr="00805442" w:rsidRDefault="0068352E" w:rsidP="00F92C74">
      <w:pPr>
        <w:pStyle w:val="BodyText"/>
        <w:jc w:val="both"/>
        <w:rPr>
          <w:rFonts w:ascii="Times New Roman" w:hAnsi="Times New Roman" w:cs="Times New Roman"/>
          <w:b/>
          <w:noProof/>
          <w:sz w:val="24"/>
          <w:szCs w:val="24"/>
        </w:rPr>
      </w:pPr>
    </w:p>
    <w:p w14:paraId="3BA02CB1"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adaptēts no </w:t>
      </w:r>
      <w:r w:rsidRPr="00805442">
        <w:rPr>
          <w:rFonts w:ascii="Times New Roman" w:hAnsi="Times New Roman" w:cs="Times New Roman"/>
          <w:i/>
          <w:iCs/>
          <w:sz w:val="24"/>
        </w:rPr>
        <w:t>OECD</w:t>
      </w:r>
      <w:r w:rsidRPr="00805442">
        <w:rPr>
          <w:rFonts w:ascii="Times New Roman" w:hAnsi="Times New Roman" w:cs="Times New Roman"/>
          <w:sz w:val="24"/>
        </w:rPr>
        <w:t xml:space="preserve"> tipoloģijas.</w:t>
      </w:r>
    </w:p>
    <w:p w14:paraId="70882B7B" w14:textId="77777777" w:rsidR="00893F83" w:rsidRPr="00805442" w:rsidRDefault="00893F83" w:rsidP="00F92C74">
      <w:pPr>
        <w:jc w:val="both"/>
        <w:rPr>
          <w:rFonts w:ascii="Times New Roman" w:hAnsi="Times New Roman" w:cs="Times New Roman"/>
          <w:noProof/>
          <w:sz w:val="24"/>
          <w:szCs w:val="24"/>
        </w:rPr>
      </w:pPr>
    </w:p>
    <w:p w14:paraId="0ADF43B7" w14:textId="0D95FE0C" w:rsidR="0068352E" w:rsidRPr="00805442" w:rsidRDefault="00893F83" w:rsidP="00893F83">
      <w:pPr>
        <w:pStyle w:val="ListParagraph"/>
        <w:tabs>
          <w:tab w:val="left" w:pos="681"/>
          <w:tab w:val="left" w:pos="1355"/>
        </w:tabs>
        <w:ind w:left="0"/>
        <w:rPr>
          <w:rFonts w:ascii="Times New Roman" w:hAnsi="Times New Roman" w:cs="Times New Roman"/>
          <w:noProof/>
          <w:sz w:val="24"/>
          <w:szCs w:val="24"/>
        </w:rPr>
      </w:pPr>
      <w:r w:rsidRPr="00805442">
        <w:rPr>
          <w:rFonts w:ascii="Times New Roman" w:hAnsi="Times New Roman" w:cs="Times New Roman"/>
          <w:sz w:val="24"/>
        </w:rPr>
        <w:t>41. Eiropas Vietējo pašvaldību hartā</w:t>
      </w:r>
      <w:r w:rsidRPr="00805442">
        <w:rPr>
          <w:rStyle w:val="FootnoteReference"/>
          <w:rFonts w:ascii="Times New Roman" w:hAnsi="Times New Roman" w:cs="Times New Roman"/>
          <w:noProof/>
          <w:sz w:val="24"/>
          <w:szCs w:val="24"/>
        </w:rPr>
        <w:footnoteReference w:customMarkFollows="1" w:id="30"/>
        <w:t>33</w:t>
      </w:r>
      <w:r w:rsidRPr="00805442">
        <w:rPr>
          <w:rFonts w:ascii="Times New Roman" w:hAnsi="Times New Roman" w:cs="Times New Roman"/>
          <w:sz w:val="24"/>
        </w:rPr>
        <w:t xml:space="preserve"> priekšroka tiek dota neiezīmētām dotācijām, ļaujot pašvaldībām brīvi piešķirt līdzekļus, pamatojoties uz to prioritātēm. Šīs Eiropā plaši izplatītās pieejas dēļ daudzas valstis ir pārgājušas no mērķdotācijām uz vispārējā mērķa dotācijām, tādējādi uzlabojot vietējo autonomiju un izdevumu efektivitāti.</w:t>
      </w:r>
      <w:r w:rsidRPr="00805442">
        <w:rPr>
          <w:rStyle w:val="FootnoteReference"/>
          <w:rFonts w:ascii="Times New Roman" w:hAnsi="Times New Roman" w:cs="Times New Roman"/>
          <w:noProof/>
          <w:sz w:val="24"/>
          <w:szCs w:val="24"/>
        </w:rPr>
        <w:footnoteReference w:customMarkFollows="1" w:id="31"/>
        <w:t>34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Lai gan šāda pāreja nodrošina lielāku autonomiju un elastību līdzekļu piešķiršanā, tā arī rada izaicinājumus attiecībā uz pārskatatbildību un precīzu līdzekļu novirzīšanu politikas mērķu sasniegšanai.</w:t>
      </w:r>
      <w:r w:rsidRPr="00805442">
        <w:rPr>
          <w:rStyle w:val="FootnoteReference"/>
          <w:rFonts w:ascii="Times New Roman" w:hAnsi="Times New Roman" w:cs="Times New Roman"/>
          <w:noProof/>
          <w:sz w:val="24"/>
          <w:szCs w:val="24"/>
        </w:rPr>
        <w:footnoteReference w:customMarkFollows="1" w:id="32"/>
        <w:t>35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Šīs pārejas ietekme dažādās valstīs atšķiras, atspoguļojot atšķirības politiskajās, ekonomiskajās un administratīvajās struktūrās, un rada bažas par iespējamu reģionālās nevienlīdzības palielināšanos</w:t>
      </w:r>
      <w:r w:rsidRPr="00805442">
        <w:rPr>
          <w:rStyle w:val="FootnoteReference"/>
          <w:rFonts w:ascii="Times New Roman" w:hAnsi="Times New Roman" w:cs="Times New Roman"/>
          <w:noProof/>
          <w:sz w:val="24"/>
          <w:szCs w:val="24"/>
        </w:rPr>
        <w:footnoteReference w:customMarkFollows="1" w:id="33"/>
        <w:t>36</w:t>
      </w:r>
      <w:r w:rsidRPr="00805442">
        <w:rPr>
          <w:rFonts w:ascii="Times New Roman" w:hAnsi="Times New Roman" w:cs="Times New Roman"/>
          <w:sz w:val="24"/>
        </w:rPr>
        <w:t xml:space="preserve"> (Kim et al., 2010).</w:t>
      </w:r>
    </w:p>
    <w:p w14:paraId="492A07B5" w14:textId="77777777" w:rsidR="00893F83" w:rsidRPr="00805442" w:rsidRDefault="00893F83" w:rsidP="00893F83">
      <w:pPr>
        <w:pStyle w:val="ListParagraph"/>
        <w:tabs>
          <w:tab w:val="left" w:pos="1355"/>
        </w:tabs>
        <w:ind w:left="0"/>
        <w:rPr>
          <w:rFonts w:ascii="Times New Roman" w:hAnsi="Times New Roman" w:cs="Times New Roman"/>
          <w:noProof/>
          <w:sz w:val="24"/>
          <w:szCs w:val="24"/>
        </w:rPr>
      </w:pPr>
    </w:p>
    <w:p w14:paraId="5FE8B63E" w14:textId="1188C402" w:rsidR="00893F83" w:rsidRPr="00805442" w:rsidRDefault="00893F83" w:rsidP="00893F83">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42. 2007. un 2009. gadā rīkotajos speciālistu semināros</w:t>
      </w:r>
      <w:r w:rsidRPr="00805442">
        <w:rPr>
          <w:rStyle w:val="FootnoteReference"/>
          <w:rFonts w:ascii="Times New Roman" w:hAnsi="Times New Roman" w:cs="Times New Roman"/>
          <w:noProof/>
          <w:sz w:val="24"/>
          <w:szCs w:val="24"/>
        </w:rPr>
        <w:footnoteReference w:customMarkFollows="1" w:id="34"/>
        <w:t>37</w:t>
      </w:r>
      <w:r w:rsidRPr="00805442">
        <w:rPr>
          <w:rFonts w:ascii="Times New Roman" w:hAnsi="Times New Roman" w:cs="Times New Roman"/>
          <w:sz w:val="24"/>
        </w:rPr>
        <w:t xml:space="preserve"> tika uzsvērts lēmumu pieņemšanas </w:t>
      </w:r>
      <w:r w:rsidRPr="00805442">
        <w:rPr>
          <w:rFonts w:ascii="Times New Roman" w:hAnsi="Times New Roman" w:cs="Times New Roman"/>
          <w:sz w:val="24"/>
        </w:rPr>
        <w:lastRenderedPageBreak/>
        <w:t>process attiecībā uz to, vai izvēlēties vispārējas dotācijas vai mērķdotācijas, teorētiskās diskusijas sasaistot ar praktisko realitāti. Pastāv spēcīgs arguments par labu mērķdotāciju ierobežošanai, lai risinātu vertikālo fiskālo nelīdzsvarotību, kas var rasties starp centrālo valdību un pašvaldībām. Šā argumenta pamatā ir labuma princips, saskaņā ar kuru pašvaldību lēmumi par izdevumiem būtu ciešāk saskaņojami ar to ieņēmumu avotiem, tādējādi veicinot tiešāku saikni starp izdevumiem un ieņēmumiem (Olson, 1969). Neraugoties uz šo teorētisko preferenci, pašvaldību īstenotā prakse bieži vien sniedz pretargumentu. Vietējās pārvaldes iestādes parasti ir atbildīgas par būtisku sabiedrisko pakalpojumu sniegšanu, piemēram, veselības aprūpi, izglītību un sociālo labklājību, kuriem visiem nepieciešami ievērojami finanšu resursi. Mērķdotācijām ir būtiska loma šo pakalpojumu atbalstīšanā, uzsverot efektīvu starpvaldību attiecību nozīmi efektīvas un taisnīgas pamatpakalpojumu sniegšanas nodrošināšanā.</w:t>
      </w:r>
      <w:r w:rsidRPr="00805442">
        <w:rPr>
          <w:rStyle w:val="FootnoteReference"/>
          <w:rFonts w:ascii="Times New Roman" w:hAnsi="Times New Roman" w:cs="Times New Roman"/>
          <w:noProof/>
          <w:sz w:val="24"/>
          <w:szCs w:val="24"/>
        </w:rPr>
        <w:footnoteReference w:customMarkFollows="1" w:id="35"/>
        <w:t>38</w:t>
      </w:r>
    </w:p>
    <w:p w14:paraId="24197E5C" w14:textId="77777777" w:rsidR="00893F83" w:rsidRPr="00805442" w:rsidRDefault="00893F83" w:rsidP="00893F83">
      <w:pPr>
        <w:pStyle w:val="ListParagraph"/>
        <w:tabs>
          <w:tab w:val="left" w:pos="1356"/>
        </w:tabs>
        <w:ind w:left="0"/>
        <w:rPr>
          <w:rFonts w:ascii="Times New Roman" w:hAnsi="Times New Roman" w:cs="Times New Roman"/>
          <w:noProof/>
          <w:sz w:val="24"/>
          <w:szCs w:val="24"/>
        </w:rPr>
      </w:pPr>
    </w:p>
    <w:p w14:paraId="24B79C9E" w14:textId="4AC66E68" w:rsidR="00893F83" w:rsidRPr="00805442" w:rsidRDefault="00893F83" w:rsidP="00893F83">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43. Piemēram, Eiropas Komisija ar savu strukturālo finansējumu un reformu atbalsta programmām cenšas stiprināt vietējās spējas un veicināt strukturālās reformas dalībvalstīs.</w:t>
      </w:r>
      <w:r w:rsidRPr="00805442">
        <w:rPr>
          <w:rStyle w:val="FootnoteReference"/>
          <w:rFonts w:ascii="Times New Roman" w:hAnsi="Times New Roman" w:cs="Times New Roman"/>
          <w:noProof/>
          <w:sz w:val="24"/>
          <w:szCs w:val="24"/>
        </w:rPr>
        <w:footnoteReference w:customMarkFollows="1" w:id="36"/>
        <w:t>39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Arī ASV federālo pārvedumu kontekstā pastāv ievērojama paļaušanās uz dotācijām ar nosacījumiem vai mērķdotācijām, īpaši tādās nozarēs kā starpštatu transports. Itālijas 2001. gada konstitucionālā reforma noteica standartu būtisko pakalpojumu apjomam attiecībā uz galvenajiem sabiedriskajiem pakalpojumiem, piemēram, veselības aprūpi un izglītību, kuru sniegšanas atbalstam ir izveidota mērķdotāciju sistēma. Šie piemēri uzsver fiskālā federālisma sarežģīto un no konteksta atkarīgo realitāti, kur teorētiskajiem ideāliem jāsaskan ar praktiskās pārvaldības nepieciešamībām (OECD, 2018; Kim, 2021; Lago et al., 2024b).</w:t>
      </w:r>
    </w:p>
    <w:p w14:paraId="2661E35F" w14:textId="77777777" w:rsidR="00893F83" w:rsidRPr="00805442" w:rsidRDefault="00893F83" w:rsidP="00893F83">
      <w:pPr>
        <w:pStyle w:val="ListParagraph"/>
        <w:tabs>
          <w:tab w:val="left" w:pos="1356"/>
        </w:tabs>
        <w:ind w:left="0"/>
        <w:rPr>
          <w:rFonts w:ascii="Times New Roman" w:hAnsi="Times New Roman" w:cs="Times New Roman"/>
          <w:noProof/>
          <w:sz w:val="24"/>
          <w:szCs w:val="24"/>
        </w:rPr>
      </w:pPr>
    </w:p>
    <w:p w14:paraId="5DCD9A06" w14:textId="261F3F01" w:rsidR="00893F83" w:rsidRPr="00805442" w:rsidRDefault="00893F83" w:rsidP="00893F83">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44. Turklāt mērķdotācijas var būt īpaši efektīvas vides politikā, kur ar beznosacījumu dotācijām ekoloģiskas iniciatīvas varētu tikt īstenotas nepietiekamā apmērā.</w:t>
      </w:r>
      <w:r w:rsidRPr="00805442">
        <w:rPr>
          <w:rStyle w:val="FootnoteReference"/>
          <w:rFonts w:ascii="Times New Roman" w:hAnsi="Times New Roman" w:cs="Times New Roman"/>
          <w:noProof/>
          <w:sz w:val="24"/>
          <w:szCs w:val="24"/>
        </w:rPr>
        <w:footnoteReference w:customMarkFollows="1" w:id="37"/>
        <w:t>40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Ekoloģiskie fiskālie pārvedumi (EFP), kas ir viens no mērķdotāciju veidiem, parādās kā noderīgs instruments, lai saskaņotu pašvaldību centienus ar starptautiskajām zaļajām programmām, vienlaikus risinot kapacitātes un gribas izaicinājumus, ar kuriem saskaras mazākas pašvaldības (Dougherty un Montes-Nebreda, 2023b).</w:t>
      </w:r>
    </w:p>
    <w:p w14:paraId="5435B2C0" w14:textId="77777777" w:rsidR="00893F83" w:rsidRPr="00805442" w:rsidRDefault="00893F83" w:rsidP="00893F83">
      <w:pPr>
        <w:pStyle w:val="ListParagraph"/>
        <w:tabs>
          <w:tab w:val="left" w:pos="1356"/>
        </w:tabs>
        <w:ind w:left="0"/>
        <w:rPr>
          <w:rFonts w:ascii="Times New Roman" w:hAnsi="Times New Roman" w:cs="Times New Roman"/>
          <w:noProof/>
          <w:sz w:val="24"/>
          <w:szCs w:val="24"/>
        </w:rPr>
      </w:pPr>
    </w:p>
    <w:p w14:paraId="603D5290" w14:textId="43AC9C4C" w:rsidR="00893F83" w:rsidRPr="00805442" w:rsidRDefault="00893F83" w:rsidP="004A369C">
      <w:pPr>
        <w:pStyle w:val="ListParagraph"/>
        <w:widowControl/>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45. Lēmums starp līdzekļu iezīmēšanu un rīcības brīvības piešķiršanu attiecībā uz izdevumiem ietver valsts mērķu līdzsvarošanu ar vietējās pārvaldības vajadzībām. Pārmērīgi nosacījumi var ierobežot budžeta elastību</w:t>
      </w:r>
      <w:r w:rsidRPr="00805442">
        <w:rPr>
          <w:rStyle w:val="FootnoteReference"/>
          <w:rFonts w:ascii="Times New Roman" w:hAnsi="Times New Roman" w:cs="Times New Roman"/>
          <w:noProof/>
          <w:sz w:val="24"/>
          <w:szCs w:val="24"/>
        </w:rPr>
        <w:footnoteReference w:customMarkFollows="1" w:id="38"/>
        <w:t>41</w:t>
      </w:r>
      <w:r w:rsidRPr="00805442">
        <w:rPr>
          <w:rFonts w:ascii="Times New Roman" w:hAnsi="Times New Roman" w:cs="Times New Roman"/>
          <w:sz w:val="24"/>
        </w:rPr>
        <w:t xml:space="preserve"> un radīt nepieciešamību katru finansējuma avotu plānot atsevišķi, bieži vien fragmentējot plānošanu un izraisot “līdzdalības nogurumu”. Savukārt pārāk liela brīvība var izraisīt neatbilstošus budžeta piešķīrumus vai nepietiekamu </w:t>
      </w:r>
      <w:r w:rsidRPr="00805442">
        <w:rPr>
          <w:rFonts w:ascii="Times New Roman" w:hAnsi="Times New Roman" w:cs="Times New Roman"/>
          <w:sz w:val="24"/>
        </w:rPr>
        <w:lastRenderedPageBreak/>
        <w:t>finansējumu būtiskiem pakalpojumiem</w:t>
      </w:r>
      <w:r w:rsidRPr="00805442">
        <w:rPr>
          <w:rStyle w:val="FootnoteReference"/>
          <w:rFonts w:ascii="Times New Roman" w:hAnsi="Times New Roman" w:cs="Times New Roman"/>
          <w:noProof/>
          <w:sz w:val="24"/>
          <w:szCs w:val="24"/>
        </w:rPr>
        <w:footnoteReference w:customMarkFollows="1" w:id="39"/>
        <w:t>42</w:t>
      </w:r>
      <w:r w:rsidRPr="00805442">
        <w:rPr>
          <w:rFonts w:ascii="Times New Roman" w:hAnsi="Times New Roman" w:cs="Times New Roman"/>
          <w:sz w:val="24"/>
        </w:rPr>
        <w:t xml:space="preserve"> (Shotton un Gankhuyag, 2021).</w:t>
      </w:r>
    </w:p>
    <w:p w14:paraId="17BD34A7" w14:textId="77777777" w:rsidR="00893F83" w:rsidRPr="00805442" w:rsidRDefault="00893F83" w:rsidP="00893F83">
      <w:pPr>
        <w:pStyle w:val="ListParagraph"/>
        <w:tabs>
          <w:tab w:val="left" w:pos="1356"/>
        </w:tabs>
        <w:ind w:left="0"/>
        <w:rPr>
          <w:rFonts w:ascii="Times New Roman" w:hAnsi="Times New Roman" w:cs="Times New Roman"/>
          <w:noProof/>
          <w:sz w:val="24"/>
          <w:szCs w:val="24"/>
        </w:rPr>
      </w:pPr>
    </w:p>
    <w:p w14:paraId="1F6E7AD6" w14:textId="77777777" w:rsidR="00773732" w:rsidRPr="00805442" w:rsidRDefault="00893F83" w:rsidP="00773732">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46. Literatūrā tiek ieteikts pielāgot SFP dizainu konkrētas valsts specifiskai situācijai, ņemot vērā administratīvo kapacitāti, pārvaldības struktūru un sociāli ekonomiskos apstākļus. Vidēs, kam raksturīga spēcīga vietējā pārvaldība, elastīgāki pārvedumi var būt efektīvi, savukārt, pastāvot institucionāliem izaicinājumiem, pārvedumi ar nosacījumiem varētu nodrošināt pārskatatbildību un efektīvu līdzekļu izmantošanu (Lago et al., 2024b).</w:t>
      </w:r>
    </w:p>
    <w:p w14:paraId="650FFDE0" w14:textId="77777777" w:rsidR="00773732" w:rsidRPr="00805442" w:rsidRDefault="00773732" w:rsidP="00773732">
      <w:pPr>
        <w:pStyle w:val="ListParagraph"/>
        <w:tabs>
          <w:tab w:val="left" w:pos="1356"/>
        </w:tabs>
        <w:ind w:left="0"/>
        <w:rPr>
          <w:rFonts w:ascii="Times New Roman" w:hAnsi="Times New Roman" w:cs="Times New Roman"/>
          <w:noProof/>
          <w:sz w:val="24"/>
          <w:szCs w:val="24"/>
        </w:rPr>
      </w:pPr>
    </w:p>
    <w:p w14:paraId="1EAC4B6F" w14:textId="18D3AA94" w:rsidR="0068352E" w:rsidRPr="00805442" w:rsidRDefault="00773732" w:rsidP="00773732">
      <w:pPr>
        <w:pStyle w:val="ListParagraph"/>
        <w:tabs>
          <w:tab w:val="left" w:pos="1356"/>
        </w:tabs>
        <w:ind w:left="0"/>
        <w:rPr>
          <w:rFonts w:ascii="Times New Roman" w:hAnsi="Times New Roman" w:cs="Times New Roman"/>
          <w:noProof/>
          <w:sz w:val="24"/>
          <w:szCs w:val="24"/>
          <w:vertAlign w:val="superscript"/>
        </w:rPr>
      </w:pPr>
      <w:r w:rsidRPr="00805442">
        <w:rPr>
          <w:rFonts w:ascii="Times New Roman" w:hAnsi="Times New Roman" w:cs="Times New Roman"/>
          <w:sz w:val="24"/>
        </w:rPr>
        <w:t>47. Analizējot pašvaldību saņemto SFP funkcionālo sadalījumu, starp valstīm parādās būtiskas atšķirības, kā redzams 7. attēlā. Lielākai daļai, precīzāk, 15 no 26 </w:t>
      </w:r>
      <w:r w:rsidRPr="00805442">
        <w:rPr>
          <w:rFonts w:ascii="Times New Roman" w:hAnsi="Times New Roman" w:cs="Times New Roman"/>
          <w:i/>
          <w:iCs/>
          <w:sz w:val="24"/>
        </w:rPr>
        <w:t>OECD</w:t>
      </w:r>
      <w:r w:rsidRPr="00805442">
        <w:rPr>
          <w:rFonts w:ascii="Times New Roman" w:hAnsi="Times New Roman" w:cs="Times New Roman"/>
          <w:sz w:val="24"/>
        </w:rPr>
        <w:t xml:space="preserve"> valstīm, kas iekļautas datubāzē, vairāk nekā 50 % pārvedumu ir neiezīmēti. Šāda veida dotācijas, piemēram, fiskālā izlīdzināšana, ir iekļautas </w:t>
      </w:r>
      <w:r w:rsidRPr="00805442">
        <w:rPr>
          <w:rFonts w:ascii="Times New Roman" w:hAnsi="Times New Roman" w:cs="Times New Roman"/>
          <w:i/>
          <w:iCs/>
          <w:sz w:val="24"/>
        </w:rPr>
        <w:t>COFOG</w:t>
      </w:r>
      <w:r w:rsidRPr="00805442">
        <w:rPr>
          <w:rFonts w:ascii="Times New Roman" w:hAnsi="Times New Roman" w:cs="Times New Roman"/>
          <w:sz w:val="24"/>
        </w:rPr>
        <w:t xml:space="preserve"> kategorijā “Vispārējie publiskie pakalpojumi” (010). Grieķija, Spānija un Portugāle ziņo tikai par neiezīmētajām dotācijām, savukārt Somijā, Lietuvā, Norvēģijā (2. ierāmējums) un Beļģijā ir ievērojami augsts to īpatsvars, kas pārsniedz 70 % no kopējiem pārvedumiem. Turpretī Slovēnija un Amerikas Savienotās Valstis (3. ierāmējums) uzrāda minimālu neiezīmēto pārvedumu izmantošanu, līdzīgi zemi līmeņi novērojami arī Čehijā un Islandē.</w:t>
      </w:r>
      <w:r w:rsidRPr="00805442">
        <w:rPr>
          <w:rStyle w:val="FootnoteReference"/>
          <w:rFonts w:ascii="Times New Roman" w:hAnsi="Times New Roman" w:cs="Times New Roman"/>
          <w:noProof/>
          <w:sz w:val="24"/>
          <w:szCs w:val="24"/>
        </w:rPr>
        <w:footnoteReference w:customMarkFollows="1" w:id="40"/>
        <w:t xml:space="preserve">43 </w:t>
      </w:r>
    </w:p>
    <w:p w14:paraId="32AB8707" w14:textId="1D87FC4E" w:rsidR="00FB4419" w:rsidRPr="00805442" w:rsidRDefault="00FB4419">
      <w:pPr>
        <w:rPr>
          <w:rFonts w:ascii="Times New Roman" w:eastAsia="Arial Narrow" w:hAnsi="Times New Roman" w:cs="Times New Roman"/>
          <w:b/>
          <w:bCs/>
          <w:noProof/>
          <w:color w:val="4D81BD"/>
          <w:sz w:val="24"/>
          <w:szCs w:val="24"/>
        </w:rPr>
      </w:pPr>
    </w:p>
    <w:p w14:paraId="52D69B18" w14:textId="73F90115" w:rsidR="0068352E" w:rsidRPr="00805442" w:rsidRDefault="0068352E"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7. attēls. Pašvaldību saņemtie neto pārvedumi pēc to veida, 2021</w:t>
      </w:r>
    </w:p>
    <w:p w14:paraId="64FFF434" w14:textId="77777777" w:rsidR="0068352E" w:rsidRPr="00805442" w:rsidRDefault="0068352E" w:rsidP="00F92C74">
      <w:pPr>
        <w:pStyle w:val="BodyText"/>
        <w:jc w:val="both"/>
        <w:rPr>
          <w:rFonts w:ascii="Times New Roman" w:hAnsi="Times New Roman" w:cs="Times New Roman"/>
          <w:noProof/>
          <w:sz w:val="24"/>
          <w:szCs w:val="24"/>
        </w:rPr>
      </w:pPr>
    </w:p>
    <w:p w14:paraId="56EC2820" w14:textId="60BBFF21" w:rsidR="0068352E" w:rsidRPr="00805442" w:rsidRDefault="007F2003" w:rsidP="007F2003">
      <w:pPr>
        <w:pStyle w:val="BodyText"/>
        <w:jc w:val="center"/>
        <w:rPr>
          <w:rFonts w:ascii="Times New Roman" w:hAnsi="Times New Roman" w:cs="Times New Roman"/>
          <w:noProof/>
          <w:color w:val="585858"/>
          <w:sz w:val="24"/>
          <w:szCs w:val="24"/>
        </w:rPr>
      </w:pPr>
      <w:r w:rsidRPr="007F2003">
        <w:rPr>
          <w:rFonts w:ascii="Times New Roman" w:hAnsi="Times New Roman" w:cs="Times New Roman"/>
          <w:noProof/>
          <w:color w:val="585858"/>
          <w:sz w:val="24"/>
          <w:szCs w:val="24"/>
        </w:rPr>
        <w:drawing>
          <wp:inline distT="0" distB="0" distL="0" distR="0" wp14:anchorId="27378FA6" wp14:editId="00669958">
            <wp:extent cx="5596970" cy="3255645"/>
            <wp:effectExtent l="0" t="0" r="3810" b="1905"/>
            <wp:docPr id="1291504384" name="Picture 1" descr="A graph with orange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04384" name="Picture 1" descr="A graph with orange and blue lines&#10;&#10;AI-generated content may be incorrect."/>
                    <pic:cNvPicPr/>
                  </pic:nvPicPr>
                  <pic:blipFill>
                    <a:blip r:embed="rId19"/>
                    <a:stretch>
                      <a:fillRect/>
                    </a:stretch>
                  </pic:blipFill>
                  <pic:spPr>
                    <a:xfrm>
                      <a:off x="0" y="0"/>
                      <a:ext cx="5598324" cy="3256433"/>
                    </a:xfrm>
                    <a:prstGeom prst="rect">
                      <a:avLst/>
                    </a:prstGeom>
                  </pic:spPr>
                </pic:pic>
              </a:graphicData>
            </a:graphic>
          </wp:inline>
        </w:drawing>
      </w:r>
    </w:p>
    <w:p w14:paraId="1AFB4CCD" w14:textId="77777777" w:rsidR="007F2003" w:rsidRDefault="007F2003" w:rsidP="00F92C74">
      <w:pPr>
        <w:jc w:val="both"/>
        <w:rPr>
          <w:rFonts w:ascii="Times New Roman" w:hAnsi="Times New Roman" w:cs="Times New Roman"/>
          <w:sz w:val="24"/>
        </w:rPr>
      </w:pPr>
    </w:p>
    <w:p w14:paraId="3CCC29CB" w14:textId="7FC746FD"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Piezīme: dažās valstīs pārvedumi var tikt uzrādīti kā iezīmēti, ja tie tiek maksāti struktūrām, kas atbildīgas tikai par konkrētu(-ām) politikas jomu(-ām); ar sociālo labklājību saistītie pārvedumi Somijā ir klasificēti kā neiezīmēti, lai saglabātu konsekvenci ar NKS, kā to ziņo Somijas Statistikas pārvalde.</w:t>
      </w:r>
    </w:p>
    <w:p w14:paraId="7F6C263C"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7303D5AA" w14:textId="77777777" w:rsidR="0068352E" w:rsidRPr="00805442" w:rsidRDefault="0068352E" w:rsidP="00F92C74">
      <w:pPr>
        <w:pStyle w:val="BodyText"/>
        <w:jc w:val="both"/>
        <w:rPr>
          <w:rFonts w:ascii="Times New Roman" w:hAnsi="Times New Roman" w:cs="Times New Roman"/>
          <w:noProof/>
          <w:sz w:val="24"/>
          <w:szCs w:val="24"/>
        </w:rPr>
      </w:pPr>
    </w:p>
    <w:tbl>
      <w:tblPr>
        <w:tblStyle w:val="TableGrid"/>
        <w:tblW w:w="5000"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4" w:space="0" w:color="365F91" w:themeColor="accent1" w:themeShade="BF"/>
          <w:insideV w:val="single" w:sz="4" w:space="0" w:color="365F91" w:themeColor="accent1" w:themeShade="BF"/>
        </w:tblBorders>
        <w:shd w:val="clear" w:color="auto" w:fill="EAF1DD" w:themeFill="accent3" w:themeFillTint="33"/>
        <w:tblCellMar>
          <w:top w:w="28" w:type="dxa"/>
          <w:left w:w="28" w:type="dxa"/>
          <w:bottom w:w="28" w:type="dxa"/>
          <w:right w:w="28" w:type="dxa"/>
        </w:tblCellMar>
        <w:tblLook w:val="04A0" w:firstRow="1" w:lastRow="0" w:firstColumn="1" w:lastColumn="0" w:noHBand="0" w:noVBand="1"/>
      </w:tblPr>
      <w:tblGrid>
        <w:gridCol w:w="9128"/>
      </w:tblGrid>
      <w:tr w:rsidR="00FB4419" w:rsidRPr="00805442" w14:paraId="610E60D4" w14:textId="77777777" w:rsidTr="007F2003">
        <w:tc>
          <w:tcPr>
            <w:tcW w:w="5000" w:type="pct"/>
            <w:shd w:val="clear" w:color="auto" w:fill="EAF1DD" w:themeFill="accent3" w:themeFillTint="33"/>
          </w:tcPr>
          <w:p w14:paraId="0D5D5F7B" w14:textId="77777777" w:rsidR="007E571F" w:rsidRPr="00805442" w:rsidRDefault="007E571F" w:rsidP="00FB4419">
            <w:pPr>
              <w:pStyle w:val="Heading1"/>
              <w:ind w:left="113" w:right="113"/>
              <w:jc w:val="both"/>
              <w:rPr>
                <w:rFonts w:ascii="Times New Roman" w:hAnsi="Times New Roman" w:cs="Times New Roman"/>
                <w:noProof/>
                <w:color w:val="4D81BD"/>
                <w:sz w:val="24"/>
                <w:szCs w:val="24"/>
              </w:rPr>
            </w:pPr>
          </w:p>
          <w:p w14:paraId="07C6BC4B" w14:textId="05118D10" w:rsidR="00FB4419" w:rsidRPr="00805442" w:rsidRDefault="00FB4419" w:rsidP="00FB4419">
            <w:pPr>
              <w:pStyle w:val="Heading1"/>
              <w:ind w:left="113" w:right="113"/>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 ierāmējums. Valsts piemērs – Norvēģija</w:t>
            </w:r>
          </w:p>
          <w:p w14:paraId="1AC5DA8F" w14:textId="77777777" w:rsidR="00FB4419" w:rsidRPr="00805442" w:rsidRDefault="00FB4419" w:rsidP="00FB4419">
            <w:pPr>
              <w:ind w:left="113" w:right="113"/>
              <w:jc w:val="both"/>
              <w:rPr>
                <w:rFonts w:ascii="Times New Roman" w:hAnsi="Times New Roman" w:cs="Times New Roman"/>
                <w:noProof/>
                <w:sz w:val="24"/>
                <w:szCs w:val="24"/>
              </w:rPr>
            </w:pPr>
          </w:p>
          <w:p w14:paraId="4EFEE019" w14:textId="77777777" w:rsidR="00FB4419" w:rsidRDefault="00FB4419" w:rsidP="00FB4419">
            <w:pPr>
              <w:ind w:left="113" w:right="113"/>
              <w:jc w:val="both"/>
              <w:rPr>
                <w:rFonts w:ascii="Times New Roman" w:hAnsi="Times New Roman" w:cs="Times New Roman"/>
                <w:sz w:val="24"/>
              </w:rPr>
            </w:pPr>
            <w:r w:rsidRPr="00805442">
              <w:rPr>
                <w:rFonts w:ascii="Times New Roman" w:hAnsi="Times New Roman" w:cs="Times New Roman"/>
                <w:sz w:val="24"/>
              </w:rPr>
              <w:t>Norvēģijas SFP sistēma nav īpaši plaša, tomēr kopš 2008. gada ir vērojams būtisks šo pārvedumu pieaugums – galvenokārt neiezīmētu dotāciju veidā. Šo pārvedumu galvenais avots ir Vispārēja mērķa dotāciju shēma, veidojot aptuveni 70 % no kopējiem ieņēmumiem pašvaldībām, tostarp municipalitātēm un apgabaliem. Šī shēma darbojas kā vietējais izlīdzināšanas mehānisms, ņemot vērā gan pašvaldību izdevumu vajadzības, gan fiskālās iespējas un ietverot reģionālās politikas komponentu.</w:t>
            </w:r>
          </w:p>
          <w:p w14:paraId="5854AF27" w14:textId="77777777" w:rsidR="007F2003" w:rsidRPr="00805442" w:rsidRDefault="007F2003" w:rsidP="00FB4419">
            <w:pPr>
              <w:ind w:left="113" w:right="113"/>
              <w:jc w:val="both"/>
              <w:rPr>
                <w:rFonts w:ascii="Times New Roman" w:hAnsi="Times New Roman" w:cs="Times New Roman"/>
                <w:noProof/>
                <w:sz w:val="24"/>
                <w:szCs w:val="24"/>
              </w:rPr>
            </w:pPr>
          </w:p>
          <w:p w14:paraId="22E80CDB" w14:textId="77777777" w:rsidR="00FB4419" w:rsidRPr="00805442" w:rsidRDefault="00FB4419" w:rsidP="00FB4419">
            <w:pPr>
              <w:ind w:left="113" w:right="113"/>
              <w:jc w:val="both"/>
              <w:rPr>
                <w:rFonts w:ascii="Times New Roman" w:hAnsi="Times New Roman" w:cs="Times New Roman"/>
                <w:noProof/>
                <w:sz w:val="24"/>
                <w:szCs w:val="24"/>
              </w:rPr>
            </w:pPr>
            <w:r w:rsidRPr="00805442">
              <w:rPr>
                <w:rFonts w:ascii="Times New Roman" w:hAnsi="Times New Roman" w:cs="Times New Roman"/>
                <w:sz w:val="24"/>
              </w:rPr>
              <w:t>2022. gadā Norvēģija īstenoja veselības aprūpes reformu, ar kuru visu valsts slimnīcu īpašumtiesības no apgabaliem tika pārnestas centrālajai valdībai (Hagen un Kaarbøe, 2006). Šīs izmaiņas izraisīja būtisku veselības aprūpes pārvedumu samazinājumu no 1,5 % no IKP 2001. gadā līdz tikai 0,3 % 2002. gadā. Vēl viens nozīmīgs Norvēģijas SFP aspekts ir sociālās aizsardzības pārvedumu attīstība. Šos pārvedumus pārvalda Norvēģijas Darba un labklājības administrācija (</w:t>
            </w:r>
            <w:r w:rsidRPr="00805442">
              <w:rPr>
                <w:rFonts w:ascii="Times New Roman" w:hAnsi="Times New Roman" w:cs="Times New Roman"/>
                <w:i/>
                <w:iCs/>
                <w:sz w:val="24"/>
              </w:rPr>
              <w:t>NAV</w:t>
            </w:r>
            <w:r w:rsidRPr="00805442">
              <w:rPr>
                <w:rFonts w:ascii="Times New Roman" w:hAnsi="Times New Roman" w:cs="Times New Roman"/>
                <w:sz w:val="24"/>
              </w:rPr>
              <w:t xml:space="preserve">), kas koordinē nodarbinātības politiku, bezdarbnieku pabalstus, pensijas un minimālo ienākumu programmas, atspoguļojot centrālās valdības un pašvaldību kopīgos centienus. Pašvaldības ir atbildīgas par sociālajiem pakalpojumiem, tostarp minimālo ienākumu shēmām, mācību programmām un ārkārtas pagaidu mājokļiem. </w:t>
            </w:r>
            <w:r w:rsidRPr="00805442">
              <w:rPr>
                <w:rFonts w:ascii="Times New Roman" w:hAnsi="Times New Roman" w:cs="Times New Roman"/>
                <w:sz w:val="24"/>
              </w:rPr>
              <w:lastRenderedPageBreak/>
              <w:t>Līdz ar to sociālās aizsardzības pārvedumu apmērs ir cieši sekojis bezdarba tendencēm, sasniedzot maksimumu – aptuveni 27 % no kopējiem pārvedumiem – 2008.–2010. gada ekonomiskās krīzes laikā. Šajā periodā palielinājās arī neiezīmētās dotācijas, visticamāk, kā reakcija uz krīzi. 2020. gadā pārvedumu līmenis strauji pieauga lielāku vispārējo dotāciju dēļ, kas bija paredzētas ar pandēmiju saistīto izdevumu segšanai un pašvaldību ieņēmumu krituma kompensēšanai, taču līdz 2021. gadam tas atgriezās pirmspandēmijas līmenī.</w:t>
            </w:r>
          </w:p>
          <w:p w14:paraId="617997BB" w14:textId="77777777" w:rsidR="007E571F" w:rsidRPr="00805442" w:rsidRDefault="007E571F" w:rsidP="00FB4419">
            <w:pPr>
              <w:ind w:left="113" w:right="113"/>
              <w:jc w:val="both"/>
              <w:rPr>
                <w:rFonts w:ascii="Times New Roman" w:hAnsi="Times New Roman" w:cs="Times New Roman"/>
                <w:noProof/>
                <w:sz w:val="24"/>
                <w:szCs w:val="24"/>
              </w:rPr>
            </w:pPr>
          </w:p>
          <w:p w14:paraId="0274540F" w14:textId="77777777" w:rsidR="00FB4419" w:rsidRPr="00805442" w:rsidRDefault="00FB4419" w:rsidP="00FB4419">
            <w:pPr>
              <w:ind w:left="113" w:right="113"/>
              <w:jc w:val="both"/>
              <w:rPr>
                <w:rFonts w:ascii="Times New Roman" w:hAnsi="Times New Roman" w:cs="Times New Roman"/>
                <w:noProof/>
                <w:sz w:val="24"/>
                <w:szCs w:val="24"/>
              </w:rPr>
            </w:pPr>
            <w:r w:rsidRPr="00805442">
              <w:rPr>
                <w:rFonts w:ascii="Times New Roman" w:hAnsi="Times New Roman" w:cs="Times New Roman"/>
                <w:sz w:val="24"/>
              </w:rPr>
              <w:t>Pašlaik un konsekventi visā analizētajā periodā vislielākie pārvedumi pašvaldībām bija neiezīmētās izlīdzināšanas dotācijas. Lai gan salīdzinoši mazāki, tomēr mērķēti pārvedumi sociālajai aizsardzībai, ekonomikas jautājumiem, veselības aprūpei un izglītībai arī bija ievērojami. Šie konkrētie pārvedumi ir svarīgi, jo palīdz segt primāros izdevumus apgabalos un pašvaldībās, kas pakalpojumu sniegšanā lielā mērā paļaujas uz vispārējām dotācijām.</w:t>
            </w:r>
          </w:p>
          <w:p w14:paraId="45657A37" w14:textId="3B41E502" w:rsidR="007E571F" w:rsidRPr="00805442" w:rsidRDefault="007E571F" w:rsidP="00FB4419">
            <w:pPr>
              <w:ind w:left="113" w:right="113"/>
              <w:jc w:val="both"/>
              <w:rPr>
                <w:rFonts w:ascii="Times New Roman" w:hAnsi="Times New Roman" w:cs="Times New Roman"/>
                <w:noProof/>
                <w:sz w:val="24"/>
                <w:szCs w:val="24"/>
              </w:rPr>
            </w:pPr>
          </w:p>
        </w:tc>
      </w:tr>
    </w:tbl>
    <w:p w14:paraId="628A75A3" w14:textId="77777777" w:rsidR="00A47D09" w:rsidRPr="00805442" w:rsidRDefault="00A47D09" w:rsidP="00F92C74">
      <w:pPr>
        <w:jc w:val="both"/>
        <w:rPr>
          <w:rFonts w:ascii="Times New Roman" w:hAnsi="Times New Roman" w:cs="Times New Roman"/>
          <w:noProof/>
          <w:sz w:val="24"/>
          <w:szCs w:val="24"/>
        </w:rPr>
      </w:pPr>
    </w:p>
    <w:p w14:paraId="33FF6715" w14:textId="64F54486" w:rsidR="00C75E29" w:rsidRPr="00805442" w:rsidRDefault="00C75E29">
      <w:pPr>
        <w:rPr>
          <w:rFonts w:ascii="Times New Roman" w:hAnsi="Times New Roman" w:cs="Times New Roman"/>
          <w:noProof/>
          <w:sz w:val="24"/>
          <w:szCs w:val="24"/>
        </w:rPr>
      </w:pPr>
      <w:r w:rsidRPr="00805442">
        <w:rPr>
          <w:rFonts w:ascii="Times New Roman" w:hAnsi="Times New Roman" w:cs="Times New Roman"/>
        </w:rPr>
        <w:br w:type="page"/>
      </w:r>
    </w:p>
    <w:p w14:paraId="3052B1BB" w14:textId="77777777" w:rsidR="0068352E" w:rsidRPr="00805442" w:rsidRDefault="0068352E" w:rsidP="00F92C74">
      <w:pPr>
        <w:pStyle w:val="BodyText"/>
        <w:jc w:val="both"/>
        <w:rPr>
          <w:rFonts w:ascii="Times New Roman" w:hAnsi="Times New Roman" w:cs="Times New Roman"/>
          <w:noProof/>
          <w:sz w:val="24"/>
          <w:szCs w:val="24"/>
        </w:rPr>
      </w:pPr>
    </w:p>
    <w:tbl>
      <w:tblPr>
        <w:tblStyle w:val="TableGrid"/>
        <w:tblW w:w="0" w:type="auto"/>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365F91" w:themeColor="accent1" w:themeShade="BF"/>
          <w:insideV w:val="single" w:sz="8" w:space="0" w:color="365F91" w:themeColor="accent1" w:themeShade="BF"/>
        </w:tblBorders>
        <w:shd w:val="clear" w:color="auto" w:fill="EAF1DD" w:themeFill="accent3" w:themeFillTint="33"/>
        <w:tblCellMar>
          <w:top w:w="28" w:type="dxa"/>
          <w:left w:w="28" w:type="dxa"/>
          <w:bottom w:w="28" w:type="dxa"/>
          <w:right w:w="28" w:type="dxa"/>
        </w:tblCellMar>
        <w:tblLook w:val="04A0" w:firstRow="1" w:lastRow="0" w:firstColumn="1" w:lastColumn="0" w:noHBand="0" w:noVBand="1"/>
      </w:tblPr>
      <w:tblGrid>
        <w:gridCol w:w="9128"/>
      </w:tblGrid>
      <w:tr w:rsidR="00746B01" w:rsidRPr="00805442" w14:paraId="3AD2C468" w14:textId="77777777" w:rsidTr="007F2003">
        <w:tc>
          <w:tcPr>
            <w:tcW w:w="9288" w:type="dxa"/>
            <w:shd w:val="clear" w:color="auto" w:fill="EAF1DD" w:themeFill="accent3" w:themeFillTint="33"/>
          </w:tcPr>
          <w:p w14:paraId="337CE749" w14:textId="77777777" w:rsidR="00746B01" w:rsidRPr="00805442" w:rsidRDefault="00746B01" w:rsidP="00746B01">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8. attēls. Norvēģijas centrālās valdības veiktie starpvaldību pārvedumi pašvaldībām</w:t>
            </w:r>
          </w:p>
          <w:p w14:paraId="59C1A03A" w14:textId="77777777" w:rsidR="00746B01" w:rsidRPr="00805442" w:rsidRDefault="00746B01" w:rsidP="00746B01">
            <w:pPr>
              <w:pStyle w:val="Heading1"/>
              <w:ind w:left="0"/>
              <w:jc w:val="both"/>
              <w:rPr>
                <w:rFonts w:ascii="Times New Roman" w:hAnsi="Times New Roman" w:cs="Times New Roman"/>
                <w:noProof/>
                <w:color w:val="4D81BD"/>
                <w:sz w:val="24"/>
                <w:szCs w:val="24"/>
              </w:rPr>
            </w:pPr>
          </w:p>
          <w:p w14:paraId="742CC090" w14:textId="77777777" w:rsidR="00746B01" w:rsidRPr="00805442" w:rsidRDefault="00746B01" w:rsidP="00746B01">
            <w:pPr>
              <w:pStyle w:val="Heading1"/>
              <w:ind w:left="0"/>
              <w:jc w:val="both"/>
              <w:rPr>
                <w:rFonts w:ascii="Times New Roman" w:hAnsi="Times New Roman" w:cs="Times New Roman"/>
                <w:noProof/>
                <w:sz w:val="24"/>
                <w:szCs w:val="24"/>
              </w:rPr>
            </w:pPr>
            <w:r w:rsidRPr="00805442">
              <w:rPr>
                <w:rFonts w:ascii="Times New Roman" w:hAnsi="Times New Roman" w:cs="Times New Roman"/>
                <w:sz w:val="24"/>
              </w:rPr>
              <w:t xml:space="preserve">A panelis. Pārvedumi laika gaitā pa </w:t>
            </w:r>
            <w:r w:rsidRPr="00805442">
              <w:rPr>
                <w:rFonts w:ascii="Times New Roman" w:hAnsi="Times New Roman" w:cs="Times New Roman"/>
                <w:i/>
                <w:iCs/>
                <w:sz w:val="24"/>
              </w:rPr>
              <w:t>COFOG</w:t>
            </w:r>
            <w:r w:rsidRPr="00805442">
              <w:rPr>
                <w:rFonts w:ascii="Times New Roman" w:hAnsi="Times New Roman" w:cs="Times New Roman"/>
                <w:sz w:val="24"/>
              </w:rPr>
              <w:t xml:space="preserve"> jomām (% no IKP)</w:t>
            </w:r>
          </w:p>
          <w:p w14:paraId="04542AB8" w14:textId="77777777" w:rsidR="00746B01" w:rsidRDefault="00746B01" w:rsidP="00746B01">
            <w:pPr>
              <w:pStyle w:val="Heading1"/>
              <w:ind w:left="0"/>
              <w:jc w:val="both"/>
              <w:rPr>
                <w:rFonts w:ascii="Times New Roman" w:hAnsi="Times New Roman" w:cs="Times New Roman"/>
                <w:noProof/>
                <w:sz w:val="24"/>
                <w:szCs w:val="24"/>
              </w:rPr>
            </w:pPr>
          </w:p>
          <w:p w14:paraId="76F7155C" w14:textId="45F791E0" w:rsidR="002A6682" w:rsidRPr="00805442" w:rsidRDefault="002A6682" w:rsidP="00746B01">
            <w:pPr>
              <w:pStyle w:val="Heading1"/>
              <w:ind w:left="0"/>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45A4063B" wp14:editId="408FE6B1">
                  <wp:extent cx="5761355" cy="3023870"/>
                  <wp:effectExtent l="0" t="0" r="0" b="5080"/>
                  <wp:docPr id="1771592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3023870"/>
                          </a:xfrm>
                          <a:prstGeom prst="rect">
                            <a:avLst/>
                          </a:prstGeom>
                          <a:noFill/>
                        </pic:spPr>
                      </pic:pic>
                    </a:graphicData>
                  </a:graphic>
                </wp:inline>
              </w:drawing>
            </w:r>
          </w:p>
          <w:p w14:paraId="46EC0950" w14:textId="10FADFE6" w:rsidR="00746B01" w:rsidRPr="00805442" w:rsidRDefault="00746B01" w:rsidP="00746B01">
            <w:pPr>
              <w:pStyle w:val="Heading1"/>
              <w:ind w:left="0"/>
              <w:jc w:val="both"/>
              <w:rPr>
                <w:rFonts w:ascii="Times New Roman" w:hAnsi="Times New Roman" w:cs="Times New Roman"/>
                <w:noProof/>
                <w:sz w:val="24"/>
                <w:szCs w:val="24"/>
              </w:rPr>
            </w:pPr>
          </w:p>
          <w:tbl>
            <w:tblPr>
              <w:tblStyle w:val="TableGrid"/>
              <w:tblW w:w="0" w:type="auto"/>
              <w:tblInd w:w="152" w:type="dxa"/>
              <w:tblLook w:val="04A0" w:firstRow="1" w:lastRow="0" w:firstColumn="1" w:lastColumn="0" w:noHBand="0" w:noVBand="1"/>
            </w:tblPr>
            <w:tblGrid>
              <w:gridCol w:w="4413"/>
              <w:gridCol w:w="4413"/>
            </w:tblGrid>
            <w:tr w:rsidR="007F2003" w:rsidRPr="00805442" w14:paraId="100A3D2C" w14:textId="77777777" w:rsidTr="006D2444">
              <w:tc>
                <w:tcPr>
                  <w:tcW w:w="4413" w:type="dxa"/>
                </w:tcPr>
                <w:p w14:paraId="732E7629" w14:textId="5B2F810A" w:rsidR="007F2003" w:rsidRPr="007F2003" w:rsidRDefault="007F2003" w:rsidP="007F2003">
                  <w:pPr>
                    <w:tabs>
                      <w:tab w:val="left" w:pos="1356"/>
                    </w:tabs>
                    <w:jc w:val="center"/>
                    <w:rPr>
                      <w:rFonts w:ascii="Times New Roman" w:hAnsi="Times New Roman" w:cs="Times New Roman"/>
                      <w:b/>
                      <w:bCs/>
                      <w:noProof/>
                      <w:sz w:val="24"/>
                      <w:szCs w:val="24"/>
                    </w:rPr>
                  </w:pPr>
                  <w:r w:rsidRPr="007F2003">
                    <w:rPr>
                      <w:rFonts w:ascii="Times New Roman" w:hAnsi="Times New Roman" w:cs="Times New Roman"/>
                      <w:b/>
                      <w:bCs/>
                      <w:noProof/>
                      <w:sz w:val="24"/>
                      <w:szCs w:val="24"/>
                    </w:rPr>
                    <w:t>Angļu val.</w:t>
                  </w:r>
                </w:p>
              </w:tc>
              <w:tc>
                <w:tcPr>
                  <w:tcW w:w="4413" w:type="dxa"/>
                </w:tcPr>
                <w:p w14:paraId="58780951" w14:textId="5F36C00D" w:rsidR="007F2003" w:rsidRPr="007F2003" w:rsidRDefault="007F2003" w:rsidP="007F2003">
                  <w:pPr>
                    <w:tabs>
                      <w:tab w:val="left" w:pos="1356"/>
                    </w:tabs>
                    <w:jc w:val="center"/>
                    <w:rPr>
                      <w:rFonts w:ascii="Times New Roman" w:hAnsi="Times New Roman" w:cs="Times New Roman"/>
                      <w:b/>
                      <w:bCs/>
                      <w:sz w:val="24"/>
                    </w:rPr>
                  </w:pPr>
                  <w:r w:rsidRPr="007F2003">
                    <w:rPr>
                      <w:rFonts w:ascii="Times New Roman" w:hAnsi="Times New Roman" w:cs="Times New Roman"/>
                      <w:b/>
                      <w:bCs/>
                      <w:sz w:val="24"/>
                    </w:rPr>
                    <w:t>Latviešu val.</w:t>
                  </w:r>
                </w:p>
              </w:tc>
            </w:tr>
            <w:tr w:rsidR="00CA6575" w:rsidRPr="00805442" w14:paraId="6ED43E99" w14:textId="72148FE5" w:rsidTr="006D2444">
              <w:tc>
                <w:tcPr>
                  <w:tcW w:w="4413" w:type="dxa"/>
                </w:tcPr>
                <w:p w14:paraId="1E138B50" w14:textId="25E53199"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Non-earmarked</w:t>
                  </w:r>
                </w:p>
              </w:tc>
              <w:tc>
                <w:tcPr>
                  <w:tcW w:w="4413" w:type="dxa"/>
                </w:tcPr>
                <w:p w14:paraId="19E13FAD" w14:textId="0BE0ACED"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Neiezīmēti</w:t>
                  </w:r>
                </w:p>
              </w:tc>
            </w:tr>
            <w:tr w:rsidR="00CA6575" w:rsidRPr="00805442" w14:paraId="421F8B15" w14:textId="2079BCF3" w:rsidTr="006D2444">
              <w:tc>
                <w:tcPr>
                  <w:tcW w:w="4413" w:type="dxa"/>
                </w:tcPr>
                <w:p w14:paraId="0F72CC98" w14:textId="64AC75D9"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Public Order and Safety</w:t>
                  </w:r>
                </w:p>
              </w:tc>
              <w:tc>
                <w:tcPr>
                  <w:tcW w:w="4413" w:type="dxa"/>
                </w:tcPr>
                <w:p w14:paraId="795287A5" w14:textId="4556AAE2"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Sabiedriskā kārtība un drošība</w:t>
                  </w:r>
                </w:p>
              </w:tc>
            </w:tr>
            <w:tr w:rsidR="00CA6575" w:rsidRPr="00805442" w14:paraId="1056AD4C" w14:textId="716EF537" w:rsidTr="006D2444">
              <w:tc>
                <w:tcPr>
                  <w:tcW w:w="4413" w:type="dxa"/>
                </w:tcPr>
                <w:p w14:paraId="2D9D8DD3" w14:textId="4731F9AC"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Environmental Protection</w:t>
                  </w:r>
                </w:p>
              </w:tc>
              <w:tc>
                <w:tcPr>
                  <w:tcW w:w="4413" w:type="dxa"/>
                </w:tcPr>
                <w:p w14:paraId="48C24254" w14:textId="28E66F14"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Vides aizsardzība</w:t>
                  </w:r>
                </w:p>
              </w:tc>
            </w:tr>
            <w:tr w:rsidR="00CA6575" w:rsidRPr="00805442" w14:paraId="5CB197B4" w14:textId="43DDC1ED" w:rsidTr="006D2444">
              <w:tc>
                <w:tcPr>
                  <w:tcW w:w="4413" w:type="dxa"/>
                </w:tcPr>
                <w:p w14:paraId="6E8AC4ED" w14:textId="63440E47"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Health</w:t>
                  </w:r>
                </w:p>
              </w:tc>
              <w:tc>
                <w:tcPr>
                  <w:tcW w:w="4413" w:type="dxa"/>
                </w:tcPr>
                <w:p w14:paraId="2D6572C5" w14:textId="2B4016FA"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Veselība</w:t>
                  </w:r>
                </w:p>
              </w:tc>
            </w:tr>
            <w:tr w:rsidR="00CA6575" w:rsidRPr="00805442" w14:paraId="7CD14FDB" w14:textId="2D85FC30" w:rsidTr="006D2444">
              <w:tc>
                <w:tcPr>
                  <w:tcW w:w="4413" w:type="dxa"/>
                </w:tcPr>
                <w:p w14:paraId="7364CB1F" w14:textId="44E4AEFB"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Education</w:t>
                  </w:r>
                </w:p>
              </w:tc>
              <w:tc>
                <w:tcPr>
                  <w:tcW w:w="4413" w:type="dxa"/>
                </w:tcPr>
                <w:p w14:paraId="0828896B" w14:textId="54BE3DF3"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Izglītība</w:t>
                  </w:r>
                </w:p>
              </w:tc>
            </w:tr>
            <w:tr w:rsidR="00CA6575" w:rsidRPr="00805442" w14:paraId="33DEE209" w14:textId="5686B279" w:rsidTr="006D2444">
              <w:tc>
                <w:tcPr>
                  <w:tcW w:w="4413" w:type="dxa"/>
                </w:tcPr>
                <w:p w14:paraId="3F8D8973" w14:textId="1419B053"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Defence</w:t>
                  </w:r>
                </w:p>
              </w:tc>
              <w:tc>
                <w:tcPr>
                  <w:tcW w:w="4413" w:type="dxa"/>
                </w:tcPr>
                <w:p w14:paraId="0879BD67" w14:textId="215B77E9"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Aizsardzība</w:t>
                  </w:r>
                </w:p>
              </w:tc>
            </w:tr>
            <w:tr w:rsidR="00CA6575" w:rsidRPr="00805442" w14:paraId="530FF4C2" w14:textId="501F8875" w:rsidTr="006D2444">
              <w:tc>
                <w:tcPr>
                  <w:tcW w:w="4413" w:type="dxa"/>
                </w:tcPr>
                <w:p w14:paraId="6E51CC1A" w14:textId="388E0B29"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4413" w:type="dxa"/>
                </w:tcPr>
                <w:p w14:paraId="64C2BF7A" w14:textId="4D13D6F2"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CA6575" w:rsidRPr="00805442" w14:paraId="51997ADB" w14:textId="045E81EC" w:rsidTr="006D2444">
              <w:tc>
                <w:tcPr>
                  <w:tcW w:w="4413" w:type="dxa"/>
                </w:tcPr>
                <w:p w14:paraId="402B20E3" w14:textId="3C4F07C6"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Housing and Community Amenities</w:t>
                  </w:r>
                </w:p>
              </w:tc>
              <w:tc>
                <w:tcPr>
                  <w:tcW w:w="4413" w:type="dxa"/>
                </w:tcPr>
                <w:p w14:paraId="38AAEC1D" w14:textId="0D29EFB0"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Mājokļi un komunālie pakalpojumi</w:t>
                  </w:r>
                </w:p>
              </w:tc>
            </w:tr>
            <w:tr w:rsidR="00CA6575" w:rsidRPr="00805442" w14:paraId="46772398" w14:textId="7DC74CF9" w:rsidTr="006D2444">
              <w:tc>
                <w:tcPr>
                  <w:tcW w:w="4413" w:type="dxa"/>
                </w:tcPr>
                <w:p w14:paraId="39888C32" w14:textId="3EEA15A4"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Recreation, culture and religion</w:t>
                  </w:r>
                </w:p>
              </w:tc>
              <w:tc>
                <w:tcPr>
                  <w:tcW w:w="4413" w:type="dxa"/>
                </w:tcPr>
                <w:p w14:paraId="61E0F473" w14:textId="1CDCEA63"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Atpūta, kultūra un reliģija</w:t>
                  </w:r>
                </w:p>
              </w:tc>
            </w:tr>
            <w:tr w:rsidR="00CA6575" w:rsidRPr="00805442" w14:paraId="6DAC6B36" w14:textId="3907E1E1" w:rsidTr="006D2444">
              <w:tc>
                <w:tcPr>
                  <w:tcW w:w="4413" w:type="dxa"/>
                </w:tcPr>
                <w:p w14:paraId="2653889B" w14:textId="354CFED5" w:rsidR="00CA6575" w:rsidRPr="00805442" w:rsidRDefault="00CA6575" w:rsidP="00CA6575">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4413" w:type="dxa"/>
                </w:tcPr>
                <w:p w14:paraId="7E71523F" w14:textId="62189B53" w:rsidR="00CA6575" w:rsidRPr="00805442" w:rsidRDefault="00CA6575" w:rsidP="00CA6575">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Sociālā aizsardzība</w:t>
                  </w:r>
                </w:p>
              </w:tc>
            </w:tr>
          </w:tbl>
          <w:p w14:paraId="5BE8989C" w14:textId="77777777" w:rsidR="00746B01" w:rsidRPr="00805442" w:rsidRDefault="00746B01" w:rsidP="00746B01">
            <w:pPr>
              <w:tabs>
                <w:tab w:val="left" w:pos="1356"/>
              </w:tabs>
              <w:jc w:val="both"/>
              <w:rPr>
                <w:rFonts w:ascii="Times New Roman" w:hAnsi="Times New Roman" w:cs="Times New Roman"/>
                <w:noProof/>
                <w:sz w:val="24"/>
                <w:szCs w:val="24"/>
              </w:rPr>
            </w:pPr>
          </w:p>
          <w:p w14:paraId="220D59A5" w14:textId="59CB777B" w:rsidR="00746B01" w:rsidRPr="007F2003" w:rsidRDefault="009A44E0" w:rsidP="00CA6575">
            <w:pPr>
              <w:keepNext/>
              <w:keepLines/>
              <w:tabs>
                <w:tab w:val="left" w:pos="1356"/>
              </w:tabs>
              <w:jc w:val="both"/>
              <w:rPr>
                <w:rFonts w:ascii="Times New Roman" w:hAnsi="Times New Roman" w:cs="Times New Roman"/>
                <w:b/>
                <w:bCs/>
                <w:iCs/>
                <w:noProof/>
                <w:sz w:val="24"/>
                <w:szCs w:val="24"/>
              </w:rPr>
            </w:pPr>
            <w:r w:rsidRPr="007F2003">
              <w:rPr>
                <w:rFonts w:ascii="Times New Roman" w:hAnsi="Times New Roman" w:cs="Times New Roman"/>
                <w:b/>
                <w:bCs/>
                <w:iCs/>
                <w:sz w:val="24"/>
              </w:rPr>
              <w:t>B panelis. Veiktie pārvedumi pa COFOG jomām (miljonos NOK)</w:t>
            </w:r>
          </w:p>
          <w:p w14:paraId="1D58DFDE" w14:textId="77777777" w:rsidR="009A44E0" w:rsidRPr="00805442" w:rsidRDefault="009A44E0" w:rsidP="00CA6575">
            <w:pPr>
              <w:keepNext/>
              <w:keepLines/>
              <w:tabs>
                <w:tab w:val="left" w:pos="1356"/>
              </w:tabs>
              <w:jc w:val="both"/>
              <w:rPr>
                <w:rFonts w:ascii="Times New Roman" w:hAnsi="Times New Roman" w:cs="Times New Roman"/>
                <w:noProof/>
                <w:sz w:val="24"/>
                <w:szCs w:val="24"/>
              </w:rPr>
            </w:pPr>
          </w:p>
          <w:p w14:paraId="58DEAB30" w14:textId="701C4CAA" w:rsidR="009A44E0" w:rsidRPr="00805442" w:rsidRDefault="009A44E0" w:rsidP="00CA6575">
            <w:pPr>
              <w:keepNext/>
              <w:keepLines/>
              <w:tabs>
                <w:tab w:val="left" w:pos="1356"/>
              </w:tabs>
              <w:jc w:val="both"/>
              <w:rPr>
                <w:rFonts w:ascii="Times New Roman" w:hAnsi="Times New Roman" w:cs="Times New Roman"/>
                <w:noProof/>
                <w:sz w:val="24"/>
                <w:szCs w:val="24"/>
              </w:rPr>
            </w:pPr>
            <w:r w:rsidRPr="00805442">
              <w:rPr>
                <w:rFonts w:ascii="Times New Roman" w:hAnsi="Times New Roman" w:cs="Times New Roman"/>
                <w:noProof/>
                <w:sz w:val="24"/>
              </w:rPr>
              <w:lastRenderedPageBreak/>
              <w:drawing>
                <wp:inline distT="0" distB="0" distL="0" distR="0" wp14:anchorId="08B5F871" wp14:editId="4808C311">
                  <wp:extent cx="5760720" cy="3139440"/>
                  <wp:effectExtent l="0" t="0" r="0" b="3810"/>
                  <wp:docPr id="1123471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71088" name=""/>
                          <pic:cNvPicPr/>
                        </pic:nvPicPr>
                        <pic:blipFill>
                          <a:blip r:embed="rId21"/>
                          <a:stretch>
                            <a:fillRect/>
                          </a:stretch>
                        </pic:blipFill>
                        <pic:spPr>
                          <a:xfrm>
                            <a:off x="0" y="0"/>
                            <a:ext cx="5760720" cy="3139440"/>
                          </a:xfrm>
                          <a:prstGeom prst="rect">
                            <a:avLst/>
                          </a:prstGeom>
                        </pic:spPr>
                      </pic:pic>
                    </a:graphicData>
                  </a:graphic>
                </wp:inline>
              </w:drawing>
            </w:r>
          </w:p>
          <w:p w14:paraId="3F78D368" w14:textId="77777777" w:rsidR="00746B01" w:rsidRPr="00805442" w:rsidRDefault="00746B01" w:rsidP="00CA6575">
            <w:pPr>
              <w:keepNext/>
              <w:keepLines/>
              <w:tabs>
                <w:tab w:val="left" w:pos="1356"/>
              </w:tabs>
              <w:jc w:val="both"/>
              <w:rPr>
                <w:rFonts w:ascii="Times New Roman" w:hAnsi="Times New Roman" w:cs="Times New Roman"/>
                <w:noProof/>
                <w:sz w:val="24"/>
                <w:szCs w:val="24"/>
              </w:rPr>
            </w:pPr>
          </w:p>
          <w:tbl>
            <w:tblPr>
              <w:tblStyle w:val="TableGrid"/>
              <w:tblW w:w="0" w:type="auto"/>
              <w:tblInd w:w="152" w:type="dxa"/>
              <w:tblLook w:val="04A0" w:firstRow="1" w:lastRow="0" w:firstColumn="1" w:lastColumn="0" w:noHBand="0" w:noVBand="1"/>
            </w:tblPr>
            <w:tblGrid>
              <w:gridCol w:w="4377"/>
              <w:gridCol w:w="4412"/>
            </w:tblGrid>
            <w:tr w:rsidR="002A6682" w:rsidRPr="00805442" w14:paraId="5C8FF0D2" w14:textId="77777777" w:rsidTr="002A6682">
              <w:tc>
                <w:tcPr>
                  <w:tcW w:w="4377" w:type="dxa"/>
                </w:tcPr>
                <w:p w14:paraId="77820114" w14:textId="30B16E93" w:rsidR="002A6682" w:rsidRPr="00805442" w:rsidRDefault="002A6682" w:rsidP="002A6682">
                  <w:pPr>
                    <w:tabs>
                      <w:tab w:val="left" w:pos="1356"/>
                    </w:tabs>
                    <w:jc w:val="center"/>
                    <w:rPr>
                      <w:rFonts w:ascii="Times New Roman" w:hAnsi="Times New Roman" w:cs="Times New Roman"/>
                      <w:noProof/>
                      <w:sz w:val="24"/>
                      <w:szCs w:val="24"/>
                    </w:rPr>
                  </w:pPr>
                  <w:r w:rsidRPr="007F2003">
                    <w:rPr>
                      <w:rFonts w:ascii="Times New Roman" w:hAnsi="Times New Roman" w:cs="Times New Roman"/>
                      <w:b/>
                      <w:bCs/>
                      <w:noProof/>
                      <w:sz w:val="24"/>
                      <w:szCs w:val="24"/>
                    </w:rPr>
                    <w:t>Angļu val.</w:t>
                  </w:r>
                </w:p>
              </w:tc>
              <w:tc>
                <w:tcPr>
                  <w:tcW w:w="4412" w:type="dxa"/>
                </w:tcPr>
                <w:p w14:paraId="51704EE8" w14:textId="21EBDDC3" w:rsidR="002A6682" w:rsidRPr="00805442" w:rsidRDefault="002A6682" w:rsidP="002A6682">
                  <w:pPr>
                    <w:tabs>
                      <w:tab w:val="left" w:pos="1356"/>
                    </w:tabs>
                    <w:jc w:val="center"/>
                    <w:rPr>
                      <w:rFonts w:ascii="Times New Roman" w:hAnsi="Times New Roman" w:cs="Times New Roman"/>
                      <w:sz w:val="24"/>
                    </w:rPr>
                  </w:pPr>
                  <w:r w:rsidRPr="007F2003">
                    <w:rPr>
                      <w:rFonts w:ascii="Times New Roman" w:hAnsi="Times New Roman" w:cs="Times New Roman"/>
                      <w:b/>
                      <w:bCs/>
                      <w:sz w:val="24"/>
                    </w:rPr>
                    <w:t>Latviešu val.</w:t>
                  </w:r>
                </w:p>
              </w:tc>
            </w:tr>
            <w:tr w:rsidR="004C7D37" w:rsidRPr="00805442" w14:paraId="2D8026DA" w14:textId="607D9828" w:rsidTr="002A6682">
              <w:tc>
                <w:tcPr>
                  <w:tcW w:w="4377" w:type="dxa"/>
                </w:tcPr>
                <w:p w14:paraId="4C8BE294" w14:textId="49E1D035"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Central</w:t>
                  </w:r>
                </w:p>
              </w:tc>
              <w:tc>
                <w:tcPr>
                  <w:tcW w:w="4412" w:type="dxa"/>
                </w:tcPr>
                <w:p w14:paraId="4D432DBE" w14:textId="535EBA2A"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Centrālā valdība</w:t>
                  </w:r>
                </w:p>
              </w:tc>
            </w:tr>
            <w:tr w:rsidR="004C7D37" w:rsidRPr="00805442" w14:paraId="318DE9D3" w14:textId="3C6E94F1" w:rsidTr="002A6682">
              <w:tc>
                <w:tcPr>
                  <w:tcW w:w="4377" w:type="dxa"/>
                </w:tcPr>
                <w:p w14:paraId="692452EB" w14:textId="76FD4D3A"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Local</w:t>
                  </w:r>
                </w:p>
              </w:tc>
              <w:tc>
                <w:tcPr>
                  <w:tcW w:w="4412" w:type="dxa"/>
                </w:tcPr>
                <w:p w14:paraId="7954ADE6" w14:textId="7418CC73"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Pašvaldība</w:t>
                  </w:r>
                </w:p>
              </w:tc>
            </w:tr>
            <w:tr w:rsidR="004C7D37" w:rsidRPr="00805442" w14:paraId="59D7CB31" w14:textId="39045FCC" w:rsidTr="002A6682">
              <w:tc>
                <w:tcPr>
                  <w:tcW w:w="4377" w:type="dxa"/>
                </w:tcPr>
                <w:p w14:paraId="13F930F4" w14:textId="6E88B150"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Intergovernmental transfers</w:t>
                  </w:r>
                </w:p>
              </w:tc>
              <w:tc>
                <w:tcPr>
                  <w:tcW w:w="4412" w:type="dxa"/>
                </w:tcPr>
                <w:p w14:paraId="77DBECB3" w14:textId="766846E5"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Starpvaldību pārvedumi</w:t>
                  </w:r>
                </w:p>
              </w:tc>
            </w:tr>
            <w:tr w:rsidR="004C7D37" w:rsidRPr="00805442" w14:paraId="70A5AEA3" w14:textId="737E5843" w:rsidTr="002A6682">
              <w:tc>
                <w:tcPr>
                  <w:tcW w:w="4377" w:type="dxa"/>
                </w:tcPr>
                <w:p w14:paraId="454484C1" w14:textId="0D074506"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General public services</w:t>
                  </w:r>
                </w:p>
              </w:tc>
              <w:tc>
                <w:tcPr>
                  <w:tcW w:w="4412" w:type="dxa"/>
                </w:tcPr>
                <w:p w14:paraId="510CEB2A" w14:textId="1974A76B"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Vispārējie publiskie pakalpojumi</w:t>
                  </w:r>
                </w:p>
              </w:tc>
            </w:tr>
            <w:tr w:rsidR="004C7D37" w:rsidRPr="00805442" w14:paraId="44CC0E9E" w14:textId="1B408B18" w:rsidTr="002A6682">
              <w:tc>
                <w:tcPr>
                  <w:tcW w:w="4377" w:type="dxa"/>
                </w:tcPr>
                <w:p w14:paraId="17C03C0A" w14:textId="6AEFAD80"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4412" w:type="dxa"/>
                </w:tcPr>
                <w:p w14:paraId="1624E400" w14:textId="2B4780D3"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Sociālā aizsardzība</w:t>
                  </w:r>
                </w:p>
              </w:tc>
            </w:tr>
            <w:tr w:rsidR="004C7D37" w:rsidRPr="00805442" w14:paraId="4C3FF11F" w14:textId="1985F6B2" w:rsidTr="002A6682">
              <w:tc>
                <w:tcPr>
                  <w:tcW w:w="4377" w:type="dxa"/>
                </w:tcPr>
                <w:p w14:paraId="022B253B" w14:textId="07DFFBCB"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4412" w:type="dxa"/>
                </w:tcPr>
                <w:p w14:paraId="4355C7A8" w14:textId="7125E708"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4C7D37" w:rsidRPr="00805442" w14:paraId="05CB8A41" w14:textId="2DEDDC0E" w:rsidTr="002A6682">
              <w:tc>
                <w:tcPr>
                  <w:tcW w:w="4377" w:type="dxa"/>
                </w:tcPr>
                <w:p w14:paraId="6947E28F" w14:textId="36CB4AA0"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Health</w:t>
                  </w:r>
                </w:p>
              </w:tc>
              <w:tc>
                <w:tcPr>
                  <w:tcW w:w="4412" w:type="dxa"/>
                </w:tcPr>
                <w:p w14:paraId="191FDDF4" w14:textId="561D0994"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Veselība</w:t>
                  </w:r>
                </w:p>
              </w:tc>
            </w:tr>
            <w:tr w:rsidR="004C7D37" w:rsidRPr="00805442" w14:paraId="5E03221D" w14:textId="686CAB97" w:rsidTr="002A6682">
              <w:tc>
                <w:tcPr>
                  <w:tcW w:w="4377" w:type="dxa"/>
                </w:tcPr>
                <w:p w14:paraId="0DF3D370" w14:textId="2FFAB896" w:rsidR="004C7D37" w:rsidRPr="00805442" w:rsidRDefault="004C7D37" w:rsidP="004C7D3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Recreation, culture and religion</w:t>
                  </w:r>
                </w:p>
              </w:tc>
              <w:tc>
                <w:tcPr>
                  <w:tcW w:w="4412" w:type="dxa"/>
                </w:tcPr>
                <w:p w14:paraId="2BFFB977" w14:textId="33054D5B" w:rsidR="004C7D37" w:rsidRPr="00805442" w:rsidRDefault="004C7D37" w:rsidP="004C7D3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Atpūta, kultūra un reliģija</w:t>
                  </w:r>
                </w:p>
              </w:tc>
            </w:tr>
          </w:tbl>
          <w:p w14:paraId="179B810A" w14:textId="77777777" w:rsidR="009A44E0" w:rsidRPr="00805442" w:rsidRDefault="009A44E0" w:rsidP="00746B01">
            <w:pPr>
              <w:tabs>
                <w:tab w:val="left" w:pos="1356"/>
              </w:tabs>
              <w:jc w:val="both"/>
              <w:rPr>
                <w:rFonts w:ascii="Times New Roman" w:hAnsi="Times New Roman" w:cs="Times New Roman"/>
                <w:noProof/>
                <w:sz w:val="24"/>
                <w:szCs w:val="24"/>
              </w:rPr>
            </w:pPr>
          </w:p>
          <w:p w14:paraId="577F0D7F" w14:textId="0CC6576D" w:rsidR="00C75E29" w:rsidRPr="00805442" w:rsidRDefault="00C75E29" w:rsidP="00746B01">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2FB7D77E" w14:textId="77777777" w:rsidR="009A44E0" w:rsidRPr="00805442" w:rsidRDefault="009A44E0" w:rsidP="00746B01">
            <w:pPr>
              <w:tabs>
                <w:tab w:val="left" w:pos="1356"/>
              </w:tabs>
              <w:jc w:val="both"/>
              <w:rPr>
                <w:rFonts w:ascii="Times New Roman" w:hAnsi="Times New Roman" w:cs="Times New Roman"/>
                <w:noProof/>
                <w:sz w:val="24"/>
                <w:szCs w:val="24"/>
              </w:rPr>
            </w:pPr>
          </w:p>
        </w:tc>
      </w:tr>
    </w:tbl>
    <w:p w14:paraId="6B0440C4" w14:textId="77777777" w:rsidR="00746B01" w:rsidRPr="00805442" w:rsidRDefault="00746B01" w:rsidP="00746B01">
      <w:pPr>
        <w:tabs>
          <w:tab w:val="left" w:pos="1356"/>
        </w:tabs>
        <w:jc w:val="both"/>
        <w:rPr>
          <w:rFonts w:ascii="Times New Roman" w:hAnsi="Times New Roman" w:cs="Times New Roman"/>
          <w:noProof/>
          <w:sz w:val="24"/>
          <w:szCs w:val="24"/>
        </w:rPr>
      </w:pPr>
    </w:p>
    <w:p w14:paraId="500784A3" w14:textId="0268E3BD" w:rsidR="007E571F" w:rsidRPr="00805442" w:rsidRDefault="00EF1D15" w:rsidP="00F92C74">
      <w:pPr>
        <w:pStyle w:val="Heading1"/>
        <w:ind w:left="0"/>
        <w:jc w:val="both"/>
        <w:rPr>
          <w:rFonts w:ascii="Times New Roman" w:eastAsia="Arial" w:hAnsi="Times New Roman" w:cs="Times New Roman"/>
          <w:b w:val="0"/>
          <w:bCs w:val="0"/>
          <w:noProof/>
          <w:sz w:val="24"/>
          <w:szCs w:val="24"/>
        </w:rPr>
      </w:pPr>
      <w:r w:rsidRPr="00805442">
        <w:rPr>
          <w:rFonts w:ascii="Times New Roman" w:hAnsi="Times New Roman" w:cs="Times New Roman"/>
          <w:b w:val="0"/>
          <w:sz w:val="24"/>
        </w:rPr>
        <w:t xml:space="preserve">48. 9. attēls atspoguļota </w:t>
      </w:r>
      <w:r w:rsidRPr="00805442">
        <w:rPr>
          <w:rFonts w:ascii="Times New Roman" w:hAnsi="Times New Roman" w:cs="Times New Roman"/>
          <w:b w:val="0"/>
          <w:i/>
          <w:iCs/>
          <w:sz w:val="24"/>
        </w:rPr>
        <w:t>OECD</w:t>
      </w:r>
      <w:r w:rsidRPr="00805442">
        <w:rPr>
          <w:rFonts w:ascii="Times New Roman" w:hAnsi="Times New Roman" w:cs="Times New Roman"/>
          <w:b w:val="0"/>
          <w:sz w:val="24"/>
        </w:rPr>
        <w:t xml:space="preserve"> nesvērtā vidējā dotāciju sadalījuma laika rindu analīze, kas norāda uz stabilu sadalījuma modeli kopš 1995. gada. Vispārējie publiskie pakalpojumi, kas ir neiezīmētas dotācijas, pastāvīgi veido aptuveni 40 % no kopējiem pārvedumiem, padarot to par dominējošo kategoriju. Sociālā aizsardzība ir otrā lielākā kategorija, veidojot aptuveni 25 % no pārvedumiem. Veselības aprūpe pēc nozīmīguma ierindojas trešajā vietā, lai gan tai ir vislielākā mainība – tās īpatsvars svārstās no 20 % 1997. gadā līdz 14 % 2006. gadā. Pārsteidzoši, ka, neraugoties uz iedzīvotāju novecošanos un pandēmijas ietekmi, veselības aprūpei piešķirto dotāciju īpatsvars nav palielinājies. Šo negaidīto stabilitāti var skaidrot ar vairākiem faktoriem, tostarp veselības aprūpes recentralizāciju noteiktās valstīs (kompensējot izdevumu pieaugumu), lielāku dotāciju pieaugumu citām funkcijām un neiezīmētu pārvedumu izmantošanu veselības aprūpes pakalpojumiem. Izglītība (080) ir ceturtā lielākā pārvedumu joma, taču tās īpatsvars ir samazinājies no gandrīz 10 % 1995. gadā līdz aptuveni 8,5 % 2021. gadā – līdzīgi kā mājokļu un komunālajiem pakalpojumu (060) jomā. Turpretī ekonomikas lietas (020) ir piedzīvojušas visievērojamāko izaugsmi relatīvā izteiksmē, īpaši pandēmijas laikā. Šis pieaugums, ko raksturo 1,5 procentpunktu kāpums viena gada laikā, var būt saistīts ar valsts atbalsta pieaugošajām izmaksām enerģētikas un transporta jomā.</w:t>
      </w:r>
    </w:p>
    <w:p w14:paraId="202D9187" w14:textId="580C146B" w:rsidR="00B82EC4" w:rsidRPr="00805442" w:rsidRDefault="00B82EC4">
      <w:pPr>
        <w:rPr>
          <w:rFonts w:ascii="Times New Roman" w:eastAsia="Arial Narrow" w:hAnsi="Times New Roman" w:cs="Times New Roman"/>
          <w:b/>
          <w:bCs/>
          <w:noProof/>
          <w:color w:val="4D81BD"/>
          <w:sz w:val="24"/>
          <w:szCs w:val="24"/>
        </w:rPr>
      </w:pPr>
    </w:p>
    <w:p w14:paraId="4B21DB5F" w14:textId="587BCB28" w:rsidR="0068352E" w:rsidRPr="00805442" w:rsidRDefault="0068352E" w:rsidP="004C7D37">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 xml:space="preserve">9. attēls. Vispārējās valdības izmaksāto vai saņemto pārvedumu dinamika pa </w:t>
      </w:r>
      <w:r w:rsidRPr="00805442">
        <w:rPr>
          <w:rFonts w:ascii="Times New Roman" w:hAnsi="Times New Roman" w:cs="Times New Roman"/>
          <w:i/>
          <w:iCs/>
          <w:color w:val="4D81BD"/>
          <w:sz w:val="24"/>
        </w:rPr>
        <w:t>COFOG</w:t>
      </w:r>
      <w:r w:rsidRPr="00805442">
        <w:rPr>
          <w:rFonts w:ascii="Times New Roman" w:hAnsi="Times New Roman" w:cs="Times New Roman"/>
          <w:color w:val="4D81BD"/>
          <w:sz w:val="24"/>
        </w:rPr>
        <w:t xml:space="preserve"> jomām</w:t>
      </w:r>
    </w:p>
    <w:p w14:paraId="2853AD41" w14:textId="77777777" w:rsidR="004C7D37" w:rsidRPr="00805442" w:rsidRDefault="004C7D37" w:rsidP="00F92C74">
      <w:pPr>
        <w:pStyle w:val="Heading1"/>
        <w:ind w:left="0"/>
        <w:jc w:val="both"/>
        <w:rPr>
          <w:rFonts w:ascii="Times New Roman" w:hAnsi="Times New Roman" w:cs="Times New Roman"/>
          <w:noProof/>
          <w:color w:val="4D81BD"/>
          <w:sz w:val="24"/>
          <w:szCs w:val="24"/>
        </w:rPr>
      </w:pPr>
    </w:p>
    <w:p w14:paraId="0D2EF0CD" w14:textId="036A723D" w:rsidR="004C7D37" w:rsidRPr="00A4419D" w:rsidRDefault="00A4419D" w:rsidP="00F92C74">
      <w:pPr>
        <w:pStyle w:val="Heading1"/>
        <w:ind w:left="0"/>
        <w:jc w:val="both"/>
        <w:rPr>
          <w:rFonts w:ascii="Times New Roman" w:hAnsi="Times New Roman" w:cs="Times New Roman"/>
          <w:b w:val="0"/>
          <w:bCs w:val="0"/>
          <w:noProof/>
          <w:color w:val="4D81BD"/>
          <w:sz w:val="24"/>
        </w:rPr>
      </w:pPr>
      <w:r w:rsidRPr="00A4419D">
        <w:rPr>
          <w:rFonts w:ascii="Times New Roman" w:hAnsi="Times New Roman" w:cs="Times New Roman"/>
          <w:b w:val="0"/>
          <w:bCs w:val="0"/>
          <w:sz w:val="20"/>
          <w:szCs w:val="18"/>
        </w:rPr>
        <w:t xml:space="preserve">% no kopējā, nesvērtais </w:t>
      </w:r>
      <w:r w:rsidRPr="00A4419D">
        <w:rPr>
          <w:rFonts w:ascii="Times New Roman" w:hAnsi="Times New Roman" w:cs="Times New Roman"/>
          <w:b w:val="0"/>
          <w:bCs w:val="0"/>
          <w:i/>
          <w:iCs/>
          <w:sz w:val="20"/>
          <w:szCs w:val="18"/>
        </w:rPr>
        <w:t>OECD</w:t>
      </w:r>
      <w:r w:rsidRPr="00A4419D">
        <w:rPr>
          <w:rFonts w:ascii="Times New Roman" w:hAnsi="Times New Roman" w:cs="Times New Roman"/>
          <w:b w:val="0"/>
          <w:bCs w:val="0"/>
          <w:sz w:val="20"/>
          <w:szCs w:val="18"/>
        </w:rPr>
        <w:t xml:space="preserve"> vidējais rādītājs</w:t>
      </w:r>
    </w:p>
    <w:p w14:paraId="3F4D4AB8" w14:textId="6D450DCA" w:rsidR="00EF1D15" w:rsidRPr="00805442" w:rsidRDefault="00A11C1B"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noProof/>
          <w:color w:val="4D81BD"/>
          <w:sz w:val="24"/>
        </w:rPr>
        <w:drawing>
          <wp:inline distT="0" distB="0" distL="0" distR="0" wp14:anchorId="1CD424BA" wp14:editId="2CCDC681">
            <wp:extent cx="5760720" cy="3043555"/>
            <wp:effectExtent l="0" t="0" r="0" b="4445"/>
            <wp:docPr id="206256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63112" name=""/>
                    <pic:cNvPicPr/>
                  </pic:nvPicPr>
                  <pic:blipFill rotWithShape="1">
                    <a:blip r:embed="rId22"/>
                    <a:srcRect t="7792"/>
                    <a:stretch>
                      <a:fillRect/>
                    </a:stretch>
                  </pic:blipFill>
                  <pic:spPr bwMode="auto">
                    <a:xfrm>
                      <a:off x="0" y="0"/>
                      <a:ext cx="5760720" cy="30435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8A38CB" w:rsidRPr="00805442" w14:paraId="769B7CA1" w14:textId="77777777" w:rsidTr="008A38CB">
        <w:trPr>
          <w:trHeight w:val="323"/>
        </w:trPr>
        <w:tc>
          <w:tcPr>
            <w:tcW w:w="2500" w:type="pct"/>
          </w:tcPr>
          <w:p w14:paraId="10D06763" w14:textId="7C9523FA" w:rsidR="008A38CB" w:rsidRPr="00805442" w:rsidRDefault="008A38CB" w:rsidP="008A38CB">
            <w:pPr>
              <w:pStyle w:val="ListParagraph"/>
              <w:tabs>
                <w:tab w:val="left" w:pos="1356"/>
              </w:tabs>
              <w:ind w:left="0"/>
              <w:jc w:val="center"/>
              <w:rPr>
                <w:rFonts w:ascii="Times New Roman" w:hAnsi="Times New Roman" w:cs="Times New Roman"/>
                <w:noProof/>
                <w:sz w:val="24"/>
                <w:szCs w:val="24"/>
              </w:rPr>
            </w:pPr>
            <w:r w:rsidRPr="007F2003">
              <w:rPr>
                <w:rFonts w:ascii="Times New Roman" w:hAnsi="Times New Roman" w:cs="Times New Roman"/>
                <w:b/>
                <w:bCs/>
                <w:noProof/>
                <w:sz w:val="24"/>
                <w:szCs w:val="24"/>
              </w:rPr>
              <w:t>Angļu val.</w:t>
            </w:r>
          </w:p>
        </w:tc>
        <w:tc>
          <w:tcPr>
            <w:tcW w:w="2500" w:type="pct"/>
          </w:tcPr>
          <w:p w14:paraId="261B0BAC" w14:textId="00921D65" w:rsidR="008A38CB" w:rsidRPr="00805442" w:rsidRDefault="008A38CB" w:rsidP="008A38CB">
            <w:pPr>
              <w:pStyle w:val="ListParagraph"/>
              <w:tabs>
                <w:tab w:val="left" w:pos="1356"/>
              </w:tabs>
              <w:ind w:left="0"/>
              <w:jc w:val="center"/>
              <w:rPr>
                <w:rFonts w:ascii="Times New Roman" w:hAnsi="Times New Roman" w:cs="Times New Roman"/>
                <w:noProof/>
                <w:sz w:val="24"/>
                <w:szCs w:val="24"/>
              </w:rPr>
            </w:pPr>
            <w:r w:rsidRPr="007F2003">
              <w:rPr>
                <w:rFonts w:ascii="Times New Roman" w:hAnsi="Times New Roman" w:cs="Times New Roman"/>
                <w:b/>
                <w:bCs/>
                <w:sz w:val="24"/>
              </w:rPr>
              <w:t>Latviešu val.</w:t>
            </w:r>
          </w:p>
        </w:tc>
      </w:tr>
      <w:tr w:rsidR="008A38CB" w:rsidRPr="00805442" w14:paraId="11ED8B40" w14:textId="77777777" w:rsidTr="008A38CB">
        <w:trPr>
          <w:trHeight w:val="323"/>
        </w:trPr>
        <w:tc>
          <w:tcPr>
            <w:tcW w:w="2500" w:type="pct"/>
          </w:tcPr>
          <w:p w14:paraId="2F1188AC" w14:textId="007E4AA4"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Non-earmarked</w:t>
            </w:r>
          </w:p>
        </w:tc>
        <w:tc>
          <w:tcPr>
            <w:tcW w:w="2500" w:type="pct"/>
          </w:tcPr>
          <w:p w14:paraId="4EB50780" w14:textId="080229BC"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Neiezīmēti</w:t>
            </w:r>
          </w:p>
        </w:tc>
      </w:tr>
      <w:tr w:rsidR="008A38CB" w:rsidRPr="00805442" w14:paraId="018AB04A" w14:textId="77777777" w:rsidTr="008A38CB">
        <w:trPr>
          <w:trHeight w:val="323"/>
        </w:trPr>
        <w:tc>
          <w:tcPr>
            <w:tcW w:w="2500" w:type="pct"/>
          </w:tcPr>
          <w:p w14:paraId="11BB2B85" w14:textId="5607BA18"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Public Order and Safety</w:t>
            </w:r>
          </w:p>
        </w:tc>
        <w:tc>
          <w:tcPr>
            <w:tcW w:w="2500" w:type="pct"/>
          </w:tcPr>
          <w:p w14:paraId="54815AF1" w14:textId="017AFD0A"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Sabiedriskā kārtība un drošība</w:t>
            </w:r>
          </w:p>
        </w:tc>
      </w:tr>
      <w:tr w:rsidR="008A38CB" w:rsidRPr="00805442" w14:paraId="0745414C" w14:textId="77777777" w:rsidTr="008A38CB">
        <w:trPr>
          <w:trHeight w:val="323"/>
        </w:trPr>
        <w:tc>
          <w:tcPr>
            <w:tcW w:w="2500" w:type="pct"/>
          </w:tcPr>
          <w:p w14:paraId="204B1921" w14:textId="664A2C97"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Environmental Protection</w:t>
            </w:r>
          </w:p>
        </w:tc>
        <w:tc>
          <w:tcPr>
            <w:tcW w:w="2500" w:type="pct"/>
          </w:tcPr>
          <w:p w14:paraId="7C0FDAAE" w14:textId="469D9365"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Vides aizsardzība</w:t>
            </w:r>
          </w:p>
        </w:tc>
      </w:tr>
      <w:tr w:rsidR="008A38CB" w:rsidRPr="00805442" w14:paraId="1F665EDA" w14:textId="77777777" w:rsidTr="008A38CB">
        <w:trPr>
          <w:trHeight w:val="323"/>
        </w:trPr>
        <w:tc>
          <w:tcPr>
            <w:tcW w:w="2500" w:type="pct"/>
          </w:tcPr>
          <w:p w14:paraId="6DF91FD9" w14:textId="262C5645"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Health</w:t>
            </w:r>
          </w:p>
        </w:tc>
        <w:tc>
          <w:tcPr>
            <w:tcW w:w="2500" w:type="pct"/>
          </w:tcPr>
          <w:p w14:paraId="0947B7E4" w14:textId="0DF660F9"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Veselība</w:t>
            </w:r>
          </w:p>
        </w:tc>
      </w:tr>
      <w:tr w:rsidR="008A38CB" w:rsidRPr="00805442" w14:paraId="13E9872E" w14:textId="77777777" w:rsidTr="008A38CB">
        <w:trPr>
          <w:trHeight w:val="323"/>
        </w:trPr>
        <w:tc>
          <w:tcPr>
            <w:tcW w:w="2500" w:type="pct"/>
          </w:tcPr>
          <w:p w14:paraId="28C175CE" w14:textId="3FF2E402"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Education</w:t>
            </w:r>
          </w:p>
        </w:tc>
        <w:tc>
          <w:tcPr>
            <w:tcW w:w="2500" w:type="pct"/>
          </w:tcPr>
          <w:p w14:paraId="20D12E4A" w14:textId="6421F95D"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Izglītība</w:t>
            </w:r>
          </w:p>
        </w:tc>
      </w:tr>
      <w:tr w:rsidR="008A38CB" w:rsidRPr="00805442" w14:paraId="49F30B7A" w14:textId="77777777" w:rsidTr="008A38CB">
        <w:trPr>
          <w:trHeight w:val="323"/>
        </w:trPr>
        <w:tc>
          <w:tcPr>
            <w:tcW w:w="2500" w:type="pct"/>
          </w:tcPr>
          <w:p w14:paraId="25185FF3" w14:textId="0668606C"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Defence</w:t>
            </w:r>
          </w:p>
        </w:tc>
        <w:tc>
          <w:tcPr>
            <w:tcW w:w="2500" w:type="pct"/>
          </w:tcPr>
          <w:p w14:paraId="3325BDE7" w14:textId="6D47B778"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Aizsardzība</w:t>
            </w:r>
          </w:p>
        </w:tc>
      </w:tr>
      <w:tr w:rsidR="008A38CB" w:rsidRPr="00805442" w14:paraId="6A2F98C0" w14:textId="77777777" w:rsidTr="008A38CB">
        <w:trPr>
          <w:trHeight w:val="323"/>
        </w:trPr>
        <w:tc>
          <w:tcPr>
            <w:tcW w:w="2500" w:type="pct"/>
          </w:tcPr>
          <w:p w14:paraId="1D7BB503" w14:textId="7356652F" w:rsidR="008A38CB" w:rsidRPr="00805442"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2500" w:type="pct"/>
          </w:tcPr>
          <w:p w14:paraId="2DDBF415" w14:textId="5474C02C" w:rsidR="008A38CB" w:rsidRPr="00805442" w:rsidRDefault="008A38CB" w:rsidP="008A38CB">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8A38CB" w:rsidRPr="00805442" w14:paraId="648124B9" w14:textId="77777777" w:rsidTr="008A38CB">
        <w:trPr>
          <w:trHeight w:val="323"/>
        </w:trPr>
        <w:tc>
          <w:tcPr>
            <w:tcW w:w="2500" w:type="pct"/>
          </w:tcPr>
          <w:p w14:paraId="360A60EE" w14:textId="0423CFB3" w:rsidR="008A38CB"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Housing and Community Amenities</w:t>
            </w:r>
          </w:p>
        </w:tc>
        <w:tc>
          <w:tcPr>
            <w:tcW w:w="2500" w:type="pct"/>
          </w:tcPr>
          <w:p w14:paraId="47355816" w14:textId="6CE3C8B6" w:rsidR="008A38CB" w:rsidRPr="00805442" w:rsidRDefault="008A38CB" w:rsidP="008A38CB">
            <w:pPr>
              <w:pStyle w:val="ListParagraph"/>
              <w:tabs>
                <w:tab w:val="left" w:pos="1356"/>
              </w:tabs>
              <w:ind w:left="0"/>
              <w:rPr>
                <w:rFonts w:ascii="Times New Roman" w:hAnsi="Times New Roman" w:cs="Times New Roman"/>
                <w:sz w:val="24"/>
              </w:rPr>
            </w:pPr>
            <w:r w:rsidRPr="00805442">
              <w:rPr>
                <w:rFonts w:ascii="Times New Roman" w:hAnsi="Times New Roman" w:cs="Times New Roman"/>
                <w:sz w:val="24"/>
              </w:rPr>
              <w:t>Mājokļi un komunālie pakalpojumi</w:t>
            </w:r>
          </w:p>
        </w:tc>
      </w:tr>
      <w:tr w:rsidR="008A38CB" w:rsidRPr="00805442" w14:paraId="06AEFAE0" w14:textId="77777777" w:rsidTr="008A38CB">
        <w:trPr>
          <w:trHeight w:val="323"/>
        </w:trPr>
        <w:tc>
          <w:tcPr>
            <w:tcW w:w="2500" w:type="pct"/>
          </w:tcPr>
          <w:p w14:paraId="1D51E805" w14:textId="7997E147" w:rsidR="008A38CB"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Recreation, culture and religion</w:t>
            </w:r>
          </w:p>
        </w:tc>
        <w:tc>
          <w:tcPr>
            <w:tcW w:w="2500" w:type="pct"/>
          </w:tcPr>
          <w:p w14:paraId="6A3ECF98" w14:textId="52AA680A" w:rsidR="008A38CB" w:rsidRPr="00805442" w:rsidRDefault="008A38CB" w:rsidP="008A38CB">
            <w:pPr>
              <w:pStyle w:val="ListParagraph"/>
              <w:tabs>
                <w:tab w:val="left" w:pos="1356"/>
              </w:tabs>
              <w:ind w:left="0"/>
              <w:rPr>
                <w:rFonts w:ascii="Times New Roman" w:hAnsi="Times New Roman" w:cs="Times New Roman"/>
                <w:sz w:val="24"/>
              </w:rPr>
            </w:pPr>
            <w:r w:rsidRPr="00805442">
              <w:rPr>
                <w:rFonts w:ascii="Times New Roman" w:hAnsi="Times New Roman" w:cs="Times New Roman"/>
                <w:sz w:val="24"/>
              </w:rPr>
              <w:t>Atpūta, kultūra un reliģija</w:t>
            </w:r>
          </w:p>
        </w:tc>
      </w:tr>
      <w:tr w:rsidR="008A38CB" w:rsidRPr="00805442" w14:paraId="353E2ED0" w14:textId="77777777" w:rsidTr="008A38CB">
        <w:trPr>
          <w:trHeight w:val="323"/>
        </w:trPr>
        <w:tc>
          <w:tcPr>
            <w:tcW w:w="2500" w:type="pct"/>
          </w:tcPr>
          <w:p w14:paraId="1A88C47F" w14:textId="6E661C39" w:rsidR="008A38CB" w:rsidRDefault="008A38CB" w:rsidP="008A38CB">
            <w:pPr>
              <w:pStyle w:val="ListParagraph"/>
              <w:tabs>
                <w:tab w:val="left" w:pos="1356"/>
              </w:tabs>
              <w:ind w:left="0"/>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2500" w:type="pct"/>
          </w:tcPr>
          <w:p w14:paraId="0BE6EDD1" w14:textId="5E55B9AE" w:rsidR="008A38CB" w:rsidRPr="00805442" w:rsidRDefault="008A38CB" w:rsidP="008A38CB">
            <w:pPr>
              <w:pStyle w:val="ListParagraph"/>
              <w:tabs>
                <w:tab w:val="left" w:pos="1356"/>
              </w:tabs>
              <w:ind w:left="0"/>
              <w:rPr>
                <w:rFonts w:ascii="Times New Roman" w:hAnsi="Times New Roman" w:cs="Times New Roman"/>
                <w:sz w:val="24"/>
              </w:rPr>
            </w:pPr>
            <w:r w:rsidRPr="00805442">
              <w:rPr>
                <w:rFonts w:ascii="Times New Roman" w:hAnsi="Times New Roman" w:cs="Times New Roman"/>
                <w:sz w:val="24"/>
              </w:rPr>
              <w:t>Sociālā aizsardzība</w:t>
            </w:r>
          </w:p>
        </w:tc>
      </w:tr>
    </w:tbl>
    <w:p w14:paraId="1E4EBE9F" w14:textId="77777777" w:rsidR="00A73C99" w:rsidRPr="00805442" w:rsidRDefault="00A73C99" w:rsidP="00A73C99">
      <w:pPr>
        <w:pStyle w:val="ListParagraph"/>
        <w:tabs>
          <w:tab w:val="left" w:pos="1356"/>
        </w:tabs>
        <w:ind w:left="0"/>
        <w:rPr>
          <w:rFonts w:ascii="Times New Roman" w:hAnsi="Times New Roman" w:cs="Times New Roman"/>
          <w:noProof/>
          <w:sz w:val="24"/>
          <w:szCs w:val="24"/>
        </w:rPr>
      </w:pPr>
    </w:p>
    <w:p w14:paraId="462E9DE6" w14:textId="69A3AA3E" w:rsidR="00A73C99" w:rsidRPr="00805442" w:rsidRDefault="00A73C99" w:rsidP="00A73C99">
      <w:pPr>
        <w:pStyle w:val="Heading3"/>
        <w:tabs>
          <w:tab w:val="left" w:pos="1779"/>
        </w:tabs>
        <w:ind w:left="567" w:firstLine="0"/>
        <w:jc w:val="both"/>
        <w:rPr>
          <w:rFonts w:ascii="Times New Roman" w:hAnsi="Times New Roman" w:cs="Times New Roman"/>
          <w:noProof/>
          <w:sz w:val="28"/>
          <w:szCs w:val="28"/>
        </w:rPr>
      </w:pPr>
      <w:r w:rsidRPr="00805442">
        <w:rPr>
          <w:rFonts w:ascii="Times New Roman" w:hAnsi="Times New Roman" w:cs="Times New Roman"/>
          <w:sz w:val="28"/>
        </w:rPr>
        <w:t>4.2. Pārvedumu veidu izvēle atbilstoši vēlamajiem stimuliem</w:t>
      </w:r>
    </w:p>
    <w:p w14:paraId="293941D7" w14:textId="77777777" w:rsidR="00A73C99" w:rsidRPr="00805442" w:rsidRDefault="00A73C99" w:rsidP="00A73C99">
      <w:pPr>
        <w:pStyle w:val="ListParagraph"/>
        <w:tabs>
          <w:tab w:val="left" w:pos="1356"/>
        </w:tabs>
        <w:ind w:left="0"/>
        <w:rPr>
          <w:rFonts w:ascii="Times New Roman" w:hAnsi="Times New Roman" w:cs="Times New Roman"/>
          <w:noProof/>
          <w:sz w:val="24"/>
          <w:szCs w:val="24"/>
        </w:rPr>
      </w:pPr>
    </w:p>
    <w:p w14:paraId="0BF9288D" w14:textId="601FA708" w:rsidR="00A73C99" w:rsidRPr="00805442" w:rsidRDefault="0068352E" w:rsidP="00A73C9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SFP daudzveidība atspoguļo dažādu valstu daudzveidīgās fiskālās vajadzības, katrs veids ir pielāgots konkrētu mērķu sasniegšanai. Stratēģisku prioritāšu noteikšanu attiecībā uz dažādiem SFP mērķiem ietekmē valsts ekonomiskais konteksts, institucionālā struktūra un sociāli politiskā vide, kā rezultātā pasaulē vērojams plašs SFP pielietojumu spektrs. Piemēram, Argentīna, Austrālija, Austrija, Beļģija, Brazīlija, Vācija un Spānija pievēršas kopīgiem ieņēmumiem, lai risinātu vertikālās fiskālās nelīdzsvarotības problēmu. Turpretī Kanādā un ASV (3. ierāmējums) priekšroka tiek dota globālajām dotācijām būtisko pakalpojumu finansēšanai. Āzijā tādas valstis kā Koreja, Indija, Indonēzija un Taizeme galvenokārt izmanto īpašam mērķim paredzētus pārvedumus, lai finansētu pašvaldību projektus (Ter-Minassian, 2021).</w:t>
      </w:r>
    </w:p>
    <w:p w14:paraId="3957D053" w14:textId="78DFC1A3" w:rsidR="00A73C99" w:rsidRPr="00805442" w:rsidRDefault="00A73C99">
      <w:pPr>
        <w:rPr>
          <w:rFonts w:ascii="Times New Roman" w:hAnsi="Times New Roman" w:cs="Times New Roman"/>
          <w:noProof/>
          <w:sz w:val="24"/>
          <w:szCs w:val="24"/>
        </w:rPr>
      </w:pPr>
    </w:p>
    <w:tbl>
      <w:tblPr>
        <w:tblStyle w:val="TableGrid"/>
        <w:tblW w:w="0" w:type="auto"/>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shd w:val="clear" w:color="auto" w:fill="EAF1DD" w:themeFill="accent3" w:themeFillTint="33"/>
        <w:tblCellMar>
          <w:top w:w="28" w:type="dxa"/>
          <w:left w:w="28" w:type="dxa"/>
          <w:bottom w:w="28" w:type="dxa"/>
          <w:right w:w="28" w:type="dxa"/>
        </w:tblCellMar>
        <w:tblLook w:val="04A0" w:firstRow="1" w:lastRow="0" w:firstColumn="1" w:lastColumn="0" w:noHBand="0" w:noVBand="1"/>
      </w:tblPr>
      <w:tblGrid>
        <w:gridCol w:w="9128"/>
      </w:tblGrid>
      <w:tr w:rsidR="00A73C99" w:rsidRPr="00805442" w14:paraId="5C3AB131" w14:textId="77777777" w:rsidTr="00D15A4A">
        <w:trPr>
          <w:trHeight w:val="9025"/>
        </w:trPr>
        <w:tc>
          <w:tcPr>
            <w:tcW w:w="9288" w:type="dxa"/>
            <w:shd w:val="clear" w:color="auto" w:fill="EAF1DD" w:themeFill="accent3" w:themeFillTint="33"/>
          </w:tcPr>
          <w:p w14:paraId="45D4704F" w14:textId="77777777" w:rsidR="00122FE6" w:rsidRPr="00805442" w:rsidRDefault="00122FE6" w:rsidP="00122FE6">
            <w:pPr>
              <w:ind w:left="113" w:right="113"/>
              <w:rPr>
                <w:rFonts w:ascii="Times New Roman" w:hAnsi="Times New Roman" w:cs="Times New Roman"/>
                <w:noProof/>
                <w:sz w:val="24"/>
                <w:szCs w:val="24"/>
              </w:rPr>
            </w:pPr>
          </w:p>
          <w:p w14:paraId="69D1F98B" w14:textId="2EB08B15" w:rsidR="00A73C99" w:rsidRPr="00805442" w:rsidRDefault="00A73C99" w:rsidP="00122FE6">
            <w:pPr>
              <w:pStyle w:val="Heading1"/>
              <w:ind w:left="142"/>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3. ierāmējums. Valsts piemērs – Amerikas Savienotās Valstis</w:t>
            </w:r>
          </w:p>
          <w:p w14:paraId="56A16C38" w14:textId="77777777" w:rsidR="00122FE6" w:rsidRPr="00805442" w:rsidRDefault="00122FE6" w:rsidP="00122FE6">
            <w:pPr>
              <w:ind w:left="113" w:right="113"/>
              <w:rPr>
                <w:rFonts w:ascii="Times New Roman" w:hAnsi="Times New Roman" w:cs="Times New Roman"/>
                <w:noProof/>
                <w:sz w:val="24"/>
                <w:szCs w:val="24"/>
              </w:rPr>
            </w:pPr>
          </w:p>
          <w:p w14:paraId="375F44C1" w14:textId="77777777" w:rsidR="00A73C99" w:rsidRPr="00805442" w:rsidRDefault="00A73C99" w:rsidP="00122FE6">
            <w:pPr>
              <w:ind w:left="113" w:right="113"/>
              <w:jc w:val="both"/>
              <w:rPr>
                <w:rFonts w:ascii="Times New Roman" w:hAnsi="Times New Roman" w:cs="Times New Roman"/>
                <w:noProof/>
                <w:sz w:val="24"/>
                <w:szCs w:val="24"/>
              </w:rPr>
            </w:pPr>
            <w:r w:rsidRPr="00805442">
              <w:rPr>
                <w:rFonts w:ascii="Times New Roman" w:hAnsi="Times New Roman" w:cs="Times New Roman"/>
                <w:sz w:val="24"/>
              </w:rPr>
              <w:t>Amerikas Savienotajās Valstīs SFP attīstībā ir vērojams izteikts pretciklisks modelis, virzoties pretēji uzņēmējdarbības ciklam. Lai gan šo pārvedumu veidotā procentuālā daļa no kopējā IKP ir palikusi nemainīga, tie ir palielinājušies ekonomikas lejupslīdes laikā un tai sekojošā inerce kavē atgriešanos pirmskrīzes līmenī. Veselības aprūpes sektors, īpaši štatu līmeņa “Medicaid” programmas, ir galvenais federālo dotāciju mērķis, kam tiek novirzīta aptuveni puse no visiem federālajiem pārvedumiem. Šā sektora finansējums ir pakāpeniski palielinājies, atspoguļojot sociālās veselības aprūpes programmu paplašināšanos ASV.</w:t>
            </w:r>
          </w:p>
          <w:p w14:paraId="367D443D" w14:textId="77777777" w:rsidR="00122FE6" w:rsidRPr="00805442" w:rsidRDefault="00122FE6" w:rsidP="00122FE6">
            <w:pPr>
              <w:ind w:left="113" w:right="113"/>
              <w:jc w:val="both"/>
              <w:rPr>
                <w:rFonts w:ascii="Times New Roman" w:hAnsi="Times New Roman" w:cs="Times New Roman"/>
                <w:noProof/>
                <w:sz w:val="24"/>
                <w:szCs w:val="24"/>
              </w:rPr>
            </w:pPr>
          </w:p>
          <w:p w14:paraId="250A8BCC" w14:textId="77777777" w:rsidR="00A73C99" w:rsidRPr="00805442" w:rsidRDefault="00A73C99" w:rsidP="00122FE6">
            <w:pPr>
              <w:ind w:left="113" w:right="113"/>
              <w:jc w:val="both"/>
              <w:rPr>
                <w:rFonts w:ascii="Times New Roman" w:hAnsi="Times New Roman" w:cs="Times New Roman"/>
                <w:noProof/>
                <w:sz w:val="24"/>
                <w:szCs w:val="24"/>
              </w:rPr>
            </w:pPr>
            <w:r w:rsidRPr="00805442">
              <w:rPr>
                <w:rFonts w:ascii="Times New Roman" w:hAnsi="Times New Roman" w:cs="Times New Roman"/>
                <w:sz w:val="24"/>
              </w:rPr>
              <w:t xml:space="preserve">Pandēmijas laikā ar ekonomikas jautājumiem saistītie pārvedumi piedzīvoja visievērojamāko pieaugumu ar tādām iniciatīvām kā Koronavīrusa palīdzības fonds un Valsts fiskālās atveseļošanas fonds, kas tika izveidoti, lai veicinātu tautsaimniecības atlabšanu. Jāatzīmē, ka ASV izceļas starp </w:t>
            </w:r>
            <w:r w:rsidRPr="00805442">
              <w:rPr>
                <w:rFonts w:ascii="Times New Roman" w:hAnsi="Times New Roman" w:cs="Times New Roman"/>
                <w:i/>
                <w:iCs/>
                <w:sz w:val="24"/>
              </w:rPr>
              <w:t>OECD</w:t>
            </w:r>
            <w:r w:rsidRPr="00805442">
              <w:rPr>
                <w:rFonts w:ascii="Times New Roman" w:hAnsi="Times New Roman" w:cs="Times New Roman"/>
                <w:sz w:val="24"/>
              </w:rPr>
              <w:t xml:space="preserve"> valstīm ar minimālu federālās valdības neiezīmēto pārvedumu izmantošanu.</w:t>
            </w:r>
          </w:p>
          <w:p w14:paraId="67E12A4F" w14:textId="77777777" w:rsidR="00A73C99" w:rsidRPr="00805442" w:rsidRDefault="00A73C99" w:rsidP="008A38CB">
            <w:pPr>
              <w:ind w:right="113"/>
              <w:rPr>
                <w:rFonts w:ascii="Times New Roman" w:hAnsi="Times New Roman" w:cs="Times New Roman"/>
                <w:noProof/>
                <w:sz w:val="24"/>
                <w:szCs w:val="24"/>
              </w:rPr>
            </w:pPr>
          </w:p>
          <w:p w14:paraId="5A9D621D" w14:textId="77777777" w:rsidR="00A73C99" w:rsidRPr="00805442" w:rsidRDefault="00A73C99" w:rsidP="00122FE6">
            <w:pPr>
              <w:pStyle w:val="Heading1"/>
              <w:ind w:left="142"/>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 xml:space="preserve">10. attēls. ASV federālās valdības starpvaldību pārvedumi pašvaldībām pa </w:t>
            </w:r>
            <w:r w:rsidRPr="00805442">
              <w:rPr>
                <w:rFonts w:ascii="Times New Roman" w:hAnsi="Times New Roman" w:cs="Times New Roman"/>
                <w:i/>
                <w:iCs/>
                <w:color w:val="4D81BD"/>
                <w:sz w:val="24"/>
              </w:rPr>
              <w:t>COFOG</w:t>
            </w:r>
            <w:r w:rsidRPr="00805442">
              <w:rPr>
                <w:rFonts w:ascii="Times New Roman" w:hAnsi="Times New Roman" w:cs="Times New Roman"/>
                <w:color w:val="4D81BD"/>
                <w:sz w:val="24"/>
              </w:rPr>
              <w:t xml:space="preserve"> jomām (% no IKP)</w:t>
            </w:r>
          </w:p>
          <w:p w14:paraId="722E167E" w14:textId="77777777" w:rsidR="00A73C99" w:rsidRPr="00805442" w:rsidRDefault="00A73C99" w:rsidP="00122FE6">
            <w:pPr>
              <w:ind w:left="113" w:right="113"/>
              <w:rPr>
                <w:rFonts w:ascii="Times New Roman" w:hAnsi="Times New Roman" w:cs="Times New Roman"/>
                <w:noProof/>
                <w:sz w:val="24"/>
                <w:szCs w:val="24"/>
              </w:rPr>
            </w:pPr>
          </w:p>
          <w:p w14:paraId="201C5D50" w14:textId="77777777" w:rsidR="00A73C99" w:rsidRPr="00805442" w:rsidRDefault="00A73C99" w:rsidP="00122FE6">
            <w:pPr>
              <w:ind w:left="113" w:right="113"/>
              <w:rPr>
                <w:rFonts w:ascii="Times New Roman" w:hAnsi="Times New Roman" w:cs="Times New Roman"/>
                <w:b/>
                <w:bCs/>
                <w:noProof/>
                <w:sz w:val="24"/>
                <w:szCs w:val="24"/>
              </w:rPr>
            </w:pPr>
            <w:r w:rsidRPr="00805442">
              <w:rPr>
                <w:rFonts w:ascii="Times New Roman" w:hAnsi="Times New Roman" w:cs="Times New Roman"/>
                <w:b/>
                <w:sz w:val="24"/>
              </w:rPr>
              <w:t xml:space="preserve">A panelis. Pārvedumi laika gaitā pa </w:t>
            </w:r>
            <w:r w:rsidRPr="00805442">
              <w:rPr>
                <w:rFonts w:ascii="Times New Roman" w:hAnsi="Times New Roman" w:cs="Times New Roman"/>
                <w:b/>
                <w:i/>
                <w:iCs/>
                <w:sz w:val="24"/>
              </w:rPr>
              <w:t>COFOG</w:t>
            </w:r>
            <w:r w:rsidRPr="00805442">
              <w:rPr>
                <w:rFonts w:ascii="Times New Roman" w:hAnsi="Times New Roman" w:cs="Times New Roman"/>
                <w:b/>
                <w:sz w:val="24"/>
              </w:rPr>
              <w:t xml:space="preserve"> jomām (% no IKP)</w:t>
            </w:r>
          </w:p>
          <w:p w14:paraId="25029B6D" w14:textId="77777777" w:rsidR="00122FE6" w:rsidRPr="00805442" w:rsidRDefault="00122FE6" w:rsidP="00122FE6">
            <w:pPr>
              <w:ind w:left="113" w:right="113"/>
              <w:rPr>
                <w:rFonts w:ascii="Times New Roman" w:hAnsi="Times New Roman" w:cs="Times New Roman"/>
                <w:b/>
                <w:bCs/>
                <w:noProof/>
                <w:sz w:val="24"/>
                <w:szCs w:val="24"/>
              </w:rPr>
            </w:pPr>
          </w:p>
          <w:p w14:paraId="6FD1FC0C" w14:textId="77777777" w:rsidR="00A73C99" w:rsidRDefault="009D6CED" w:rsidP="00122FE6">
            <w:pPr>
              <w:ind w:left="113" w:right="113"/>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341C29AF" wp14:editId="053D88F0">
                  <wp:extent cx="5324168" cy="2512431"/>
                  <wp:effectExtent l="0" t="0" r="0" b="2540"/>
                  <wp:docPr id="819230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30408" name=""/>
                          <pic:cNvPicPr/>
                        </pic:nvPicPr>
                        <pic:blipFill>
                          <a:blip r:embed="rId23"/>
                          <a:stretch>
                            <a:fillRect/>
                          </a:stretch>
                        </pic:blipFill>
                        <pic:spPr>
                          <a:xfrm>
                            <a:off x="0" y="0"/>
                            <a:ext cx="5355546" cy="2527238"/>
                          </a:xfrm>
                          <a:prstGeom prst="rect">
                            <a:avLst/>
                          </a:prstGeom>
                        </pic:spPr>
                      </pic:pic>
                    </a:graphicData>
                  </a:graphic>
                </wp:inline>
              </w:drawing>
            </w:r>
          </w:p>
          <w:p w14:paraId="51111FC2" w14:textId="77777777" w:rsidR="008A38CB" w:rsidRPr="00805442" w:rsidRDefault="008A38CB" w:rsidP="00122FE6">
            <w:pPr>
              <w:ind w:left="113" w:right="113"/>
              <w:rPr>
                <w:rFonts w:ascii="Times New Roman" w:hAnsi="Times New Roman" w:cs="Times New Roman"/>
                <w:noProof/>
                <w:sz w:val="24"/>
                <w:szCs w:val="24"/>
              </w:rPr>
            </w:pPr>
          </w:p>
          <w:tbl>
            <w:tblPr>
              <w:tblStyle w:val="TableGrid"/>
              <w:tblW w:w="0" w:type="auto"/>
              <w:tblInd w:w="152" w:type="dxa"/>
              <w:tblLook w:val="04A0" w:firstRow="1" w:lastRow="0" w:firstColumn="1" w:lastColumn="0" w:noHBand="0" w:noVBand="1"/>
            </w:tblPr>
            <w:tblGrid>
              <w:gridCol w:w="4413"/>
              <w:gridCol w:w="4413"/>
            </w:tblGrid>
            <w:tr w:rsidR="008A38CB" w:rsidRPr="00805442" w14:paraId="443CFC33" w14:textId="77777777" w:rsidTr="0091490B">
              <w:tc>
                <w:tcPr>
                  <w:tcW w:w="4413" w:type="dxa"/>
                </w:tcPr>
                <w:p w14:paraId="12409538" w14:textId="77777777" w:rsidR="008A38CB" w:rsidRPr="007F2003" w:rsidRDefault="008A38CB" w:rsidP="008A38CB">
                  <w:pPr>
                    <w:tabs>
                      <w:tab w:val="left" w:pos="1356"/>
                    </w:tabs>
                    <w:jc w:val="center"/>
                    <w:rPr>
                      <w:rFonts w:ascii="Times New Roman" w:hAnsi="Times New Roman" w:cs="Times New Roman"/>
                      <w:b/>
                      <w:bCs/>
                      <w:noProof/>
                      <w:sz w:val="24"/>
                      <w:szCs w:val="24"/>
                    </w:rPr>
                  </w:pPr>
                  <w:r w:rsidRPr="007F2003">
                    <w:rPr>
                      <w:rFonts w:ascii="Times New Roman" w:hAnsi="Times New Roman" w:cs="Times New Roman"/>
                      <w:b/>
                      <w:bCs/>
                      <w:noProof/>
                      <w:sz w:val="24"/>
                      <w:szCs w:val="24"/>
                    </w:rPr>
                    <w:t>Angļu val.</w:t>
                  </w:r>
                </w:p>
              </w:tc>
              <w:tc>
                <w:tcPr>
                  <w:tcW w:w="4413" w:type="dxa"/>
                </w:tcPr>
                <w:p w14:paraId="52A94EB3" w14:textId="77777777" w:rsidR="008A38CB" w:rsidRPr="007F2003" w:rsidRDefault="008A38CB" w:rsidP="008A38CB">
                  <w:pPr>
                    <w:tabs>
                      <w:tab w:val="left" w:pos="1356"/>
                    </w:tabs>
                    <w:jc w:val="center"/>
                    <w:rPr>
                      <w:rFonts w:ascii="Times New Roman" w:hAnsi="Times New Roman" w:cs="Times New Roman"/>
                      <w:b/>
                      <w:bCs/>
                      <w:sz w:val="24"/>
                    </w:rPr>
                  </w:pPr>
                  <w:r w:rsidRPr="007F2003">
                    <w:rPr>
                      <w:rFonts w:ascii="Times New Roman" w:hAnsi="Times New Roman" w:cs="Times New Roman"/>
                      <w:b/>
                      <w:bCs/>
                      <w:sz w:val="24"/>
                    </w:rPr>
                    <w:t>Latviešu val.</w:t>
                  </w:r>
                </w:p>
              </w:tc>
            </w:tr>
            <w:tr w:rsidR="008A38CB" w:rsidRPr="00805442" w14:paraId="750DD7E3" w14:textId="77777777" w:rsidTr="0091490B">
              <w:tc>
                <w:tcPr>
                  <w:tcW w:w="4413" w:type="dxa"/>
                </w:tcPr>
                <w:p w14:paraId="72A3FBD4"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Non-earmarked</w:t>
                  </w:r>
                </w:p>
              </w:tc>
              <w:tc>
                <w:tcPr>
                  <w:tcW w:w="4413" w:type="dxa"/>
                </w:tcPr>
                <w:p w14:paraId="1800E2EA"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Neiezīmēti</w:t>
                  </w:r>
                </w:p>
              </w:tc>
            </w:tr>
            <w:tr w:rsidR="008A38CB" w:rsidRPr="00805442" w14:paraId="0341A1ED" w14:textId="77777777" w:rsidTr="0091490B">
              <w:tc>
                <w:tcPr>
                  <w:tcW w:w="4413" w:type="dxa"/>
                </w:tcPr>
                <w:p w14:paraId="2F20181A"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Public Order and Safety</w:t>
                  </w:r>
                </w:p>
              </w:tc>
              <w:tc>
                <w:tcPr>
                  <w:tcW w:w="4413" w:type="dxa"/>
                </w:tcPr>
                <w:p w14:paraId="7D496200"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Sabiedriskā kārtība un drošība</w:t>
                  </w:r>
                </w:p>
              </w:tc>
            </w:tr>
            <w:tr w:rsidR="008A38CB" w:rsidRPr="00805442" w14:paraId="600B0E46" w14:textId="77777777" w:rsidTr="0091490B">
              <w:tc>
                <w:tcPr>
                  <w:tcW w:w="4413" w:type="dxa"/>
                </w:tcPr>
                <w:p w14:paraId="07EDA165"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Environmental Protection</w:t>
                  </w:r>
                </w:p>
              </w:tc>
              <w:tc>
                <w:tcPr>
                  <w:tcW w:w="4413" w:type="dxa"/>
                </w:tcPr>
                <w:p w14:paraId="42555E2F"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Vides aizsardzība</w:t>
                  </w:r>
                </w:p>
              </w:tc>
            </w:tr>
            <w:tr w:rsidR="008A38CB" w:rsidRPr="00805442" w14:paraId="686F698F" w14:textId="77777777" w:rsidTr="0091490B">
              <w:tc>
                <w:tcPr>
                  <w:tcW w:w="4413" w:type="dxa"/>
                </w:tcPr>
                <w:p w14:paraId="232F82DA"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Health</w:t>
                  </w:r>
                </w:p>
              </w:tc>
              <w:tc>
                <w:tcPr>
                  <w:tcW w:w="4413" w:type="dxa"/>
                </w:tcPr>
                <w:p w14:paraId="70BB9C7D"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Veselība</w:t>
                  </w:r>
                </w:p>
              </w:tc>
            </w:tr>
            <w:tr w:rsidR="008A38CB" w:rsidRPr="00805442" w14:paraId="6FBA78D4" w14:textId="77777777" w:rsidTr="0091490B">
              <w:tc>
                <w:tcPr>
                  <w:tcW w:w="4413" w:type="dxa"/>
                </w:tcPr>
                <w:p w14:paraId="1531806C"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Education</w:t>
                  </w:r>
                </w:p>
              </w:tc>
              <w:tc>
                <w:tcPr>
                  <w:tcW w:w="4413" w:type="dxa"/>
                </w:tcPr>
                <w:p w14:paraId="2718712C"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Izglītība</w:t>
                  </w:r>
                </w:p>
              </w:tc>
            </w:tr>
            <w:tr w:rsidR="008A38CB" w:rsidRPr="00805442" w14:paraId="1BFC3D3E" w14:textId="77777777" w:rsidTr="0091490B">
              <w:tc>
                <w:tcPr>
                  <w:tcW w:w="4413" w:type="dxa"/>
                </w:tcPr>
                <w:p w14:paraId="5FBA40AB"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Defence</w:t>
                  </w:r>
                </w:p>
              </w:tc>
              <w:tc>
                <w:tcPr>
                  <w:tcW w:w="4413" w:type="dxa"/>
                </w:tcPr>
                <w:p w14:paraId="074FD071"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Aizsardzība</w:t>
                  </w:r>
                </w:p>
              </w:tc>
            </w:tr>
            <w:tr w:rsidR="008A38CB" w:rsidRPr="00805442" w14:paraId="3A797D3C" w14:textId="77777777" w:rsidTr="0091490B">
              <w:tc>
                <w:tcPr>
                  <w:tcW w:w="4413" w:type="dxa"/>
                </w:tcPr>
                <w:p w14:paraId="36C64439"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4413" w:type="dxa"/>
                </w:tcPr>
                <w:p w14:paraId="6F340A3B"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8A38CB" w:rsidRPr="00805442" w14:paraId="53826768" w14:textId="77777777" w:rsidTr="0091490B">
              <w:tc>
                <w:tcPr>
                  <w:tcW w:w="4413" w:type="dxa"/>
                </w:tcPr>
                <w:p w14:paraId="61C62DC1"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Housing and Community Amenities</w:t>
                  </w:r>
                </w:p>
              </w:tc>
              <w:tc>
                <w:tcPr>
                  <w:tcW w:w="4413" w:type="dxa"/>
                </w:tcPr>
                <w:p w14:paraId="0AD61F7B"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Mājokļi un komunālie pakalpojumi</w:t>
                  </w:r>
                </w:p>
              </w:tc>
            </w:tr>
            <w:tr w:rsidR="008A38CB" w:rsidRPr="00805442" w14:paraId="067DA37D" w14:textId="77777777" w:rsidTr="0091490B">
              <w:tc>
                <w:tcPr>
                  <w:tcW w:w="4413" w:type="dxa"/>
                </w:tcPr>
                <w:p w14:paraId="4CC5E3B0"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Recreation, culture and religion</w:t>
                  </w:r>
                </w:p>
              </w:tc>
              <w:tc>
                <w:tcPr>
                  <w:tcW w:w="4413" w:type="dxa"/>
                </w:tcPr>
                <w:p w14:paraId="5EBCA7C9"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Atpūta, kultūra un reliģija</w:t>
                  </w:r>
                </w:p>
              </w:tc>
            </w:tr>
            <w:tr w:rsidR="008A38CB" w:rsidRPr="00805442" w14:paraId="6C7BBDE1" w14:textId="77777777" w:rsidTr="0091490B">
              <w:tc>
                <w:tcPr>
                  <w:tcW w:w="4413" w:type="dxa"/>
                </w:tcPr>
                <w:p w14:paraId="1CF5A13E" w14:textId="77777777" w:rsidR="008A38CB" w:rsidRPr="00805442" w:rsidRDefault="008A38CB" w:rsidP="008A38CB">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4413" w:type="dxa"/>
                </w:tcPr>
                <w:p w14:paraId="16378F28" w14:textId="77777777" w:rsidR="008A38CB" w:rsidRPr="00805442" w:rsidRDefault="008A38CB" w:rsidP="008A38CB">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Sociālā aizsardzība</w:t>
                  </w:r>
                </w:p>
              </w:tc>
            </w:tr>
          </w:tbl>
          <w:p w14:paraId="747244FC" w14:textId="77777777" w:rsidR="009D6CED" w:rsidRPr="00805442" w:rsidRDefault="009D6CED" w:rsidP="008A38CB">
            <w:pPr>
              <w:ind w:right="113"/>
              <w:rPr>
                <w:rFonts w:ascii="Times New Roman" w:hAnsi="Times New Roman" w:cs="Times New Roman"/>
                <w:noProof/>
                <w:sz w:val="24"/>
                <w:szCs w:val="24"/>
              </w:rPr>
            </w:pPr>
          </w:p>
          <w:p w14:paraId="00FD6891" w14:textId="23B867C9" w:rsidR="009D6CED" w:rsidRPr="00805442" w:rsidRDefault="009D6CED" w:rsidP="00122FE6">
            <w:pPr>
              <w:ind w:left="113" w:right="113"/>
              <w:rPr>
                <w:rFonts w:ascii="Times New Roman" w:hAnsi="Times New Roman" w:cs="Times New Roman"/>
                <w:b/>
                <w:bCs/>
                <w:noProof/>
                <w:sz w:val="24"/>
                <w:szCs w:val="24"/>
              </w:rPr>
            </w:pPr>
            <w:r w:rsidRPr="00805442">
              <w:rPr>
                <w:rFonts w:ascii="Times New Roman" w:hAnsi="Times New Roman" w:cs="Times New Roman"/>
                <w:b/>
                <w:sz w:val="24"/>
              </w:rPr>
              <w:t xml:space="preserve">B panelis. Veiktie pārvedumi pa </w:t>
            </w:r>
            <w:r w:rsidRPr="00805442">
              <w:rPr>
                <w:rFonts w:ascii="Times New Roman" w:hAnsi="Times New Roman" w:cs="Times New Roman"/>
                <w:b/>
                <w:i/>
                <w:iCs/>
                <w:sz w:val="24"/>
              </w:rPr>
              <w:t>COFOG</w:t>
            </w:r>
            <w:r w:rsidRPr="00805442">
              <w:rPr>
                <w:rFonts w:ascii="Times New Roman" w:hAnsi="Times New Roman" w:cs="Times New Roman"/>
                <w:b/>
                <w:sz w:val="24"/>
              </w:rPr>
              <w:t xml:space="preserve"> jomām (miljonos USD)</w:t>
            </w:r>
          </w:p>
          <w:p w14:paraId="0F379E44" w14:textId="77777777" w:rsidR="00122FE6" w:rsidRPr="00805442" w:rsidRDefault="00122FE6" w:rsidP="00122FE6">
            <w:pPr>
              <w:ind w:left="113" w:right="113"/>
              <w:rPr>
                <w:rFonts w:ascii="Times New Roman" w:hAnsi="Times New Roman" w:cs="Times New Roman"/>
                <w:noProof/>
                <w:sz w:val="24"/>
                <w:szCs w:val="24"/>
              </w:rPr>
            </w:pPr>
          </w:p>
          <w:p w14:paraId="3F0E9B8B" w14:textId="46CE4B5B" w:rsidR="00122FE6" w:rsidRPr="00805442" w:rsidRDefault="00122FE6" w:rsidP="00122FE6">
            <w:pPr>
              <w:ind w:left="113" w:right="113"/>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732DC171" wp14:editId="3D62EEA8">
                  <wp:extent cx="5349704" cy="3292125"/>
                  <wp:effectExtent l="0" t="0" r="3810" b="3810"/>
                  <wp:docPr id="45792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21599" name=""/>
                          <pic:cNvPicPr/>
                        </pic:nvPicPr>
                        <pic:blipFill>
                          <a:blip r:embed="rId24"/>
                          <a:stretch>
                            <a:fillRect/>
                          </a:stretch>
                        </pic:blipFill>
                        <pic:spPr>
                          <a:xfrm>
                            <a:off x="0" y="0"/>
                            <a:ext cx="5349704" cy="3292125"/>
                          </a:xfrm>
                          <a:prstGeom prst="rect">
                            <a:avLst/>
                          </a:prstGeom>
                        </pic:spPr>
                      </pic:pic>
                    </a:graphicData>
                  </a:graphic>
                </wp:inline>
              </w:drawing>
            </w:r>
          </w:p>
          <w:p w14:paraId="6B7EC618" w14:textId="77777777" w:rsidR="009D6CED" w:rsidRPr="00805442" w:rsidRDefault="009D6CED" w:rsidP="00122FE6">
            <w:pPr>
              <w:ind w:left="113" w:right="113"/>
              <w:rPr>
                <w:rFonts w:ascii="Times New Roman" w:hAnsi="Times New Roman" w:cs="Times New Roman"/>
                <w:noProof/>
                <w:sz w:val="24"/>
                <w:szCs w:val="24"/>
              </w:rPr>
            </w:pPr>
          </w:p>
          <w:tbl>
            <w:tblPr>
              <w:tblStyle w:val="TableGrid"/>
              <w:tblW w:w="0" w:type="auto"/>
              <w:tblInd w:w="152" w:type="dxa"/>
              <w:tblCellMar>
                <w:top w:w="28" w:type="dxa"/>
                <w:left w:w="28" w:type="dxa"/>
                <w:bottom w:w="28" w:type="dxa"/>
                <w:right w:w="28" w:type="dxa"/>
              </w:tblCellMar>
              <w:tblLook w:val="04A0" w:firstRow="1" w:lastRow="0" w:firstColumn="1" w:lastColumn="0" w:noHBand="0" w:noVBand="1"/>
            </w:tblPr>
            <w:tblGrid>
              <w:gridCol w:w="4376"/>
              <w:gridCol w:w="4413"/>
            </w:tblGrid>
            <w:tr w:rsidR="002243C0" w:rsidRPr="00805442" w14:paraId="673A1BAE" w14:textId="77777777" w:rsidTr="003251A0">
              <w:tc>
                <w:tcPr>
                  <w:tcW w:w="4376" w:type="dxa"/>
                </w:tcPr>
                <w:p w14:paraId="02CADEF4" w14:textId="65514B2D" w:rsidR="002243C0" w:rsidRDefault="002243C0" w:rsidP="002243C0">
                  <w:pPr>
                    <w:ind w:left="113" w:right="113"/>
                    <w:jc w:val="center"/>
                    <w:rPr>
                      <w:rFonts w:ascii="Times New Roman" w:hAnsi="Times New Roman" w:cs="Times New Roman"/>
                      <w:noProof/>
                      <w:sz w:val="24"/>
                      <w:szCs w:val="24"/>
                    </w:rPr>
                  </w:pPr>
                  <w:r w:rsidRPr="007F2003">
                    <w:rPr>
                      <w:rFonts w:ascii="Times New Roman" w:hAnsi="Times New Roman" w:cs="Times New Roman"/>
                      <w:b/>
                      <w:bCs/>
                      <w:noProof/>
                      <w:sz w:val="24"/>
                      <w:szCs w:val="24"/>
                    </w:rPr>
                    <w:t>Angļu val.</w:t>
                  </w:r>
                </w:p>
              </w:tc>
              <w:tc>
                <w:tcPr>
                  <w:tcW w:w="4413" w:type="dxa"/>
                </w:tcPr>
                <w:p w14:paraId="3BD7F761" w14:textId="7ABDE2DF" w:rsidR="002243C0" w:rsidRPr="00805442" w:rsidRDefault="002243C0" w:rsidP="002243C0">
                  <w:pPr>
                    <w:ind w:left="113" w:right="113"/>
                    <w:jc w:val="center"/>
                    <w:rPr>
                      <w:rFonts w:ascii="Times New Roman" w:hAnsi="Times New Roman" w:cs="Times New Roman"/>
                      <w:sz w:val="24"/>
                    </w:rPr>
                  </w:pPr>
                  <w:r w:rsidRPr="007F2003">
                    <w:rPr>
                      <w:rFonts w:ascii="Times New Roman" w:hAnsi="Times New Roman" w:cs="Times New Roman"/>
                      <w:b/>
                      <w:bCs/>
                      <w:sz w:val="24"/>
                    </w:rPr>
                    <w:t>Latviešu val.</w:t>
                  </w:r>
                </w:p>
              </w:tc>
            </w:tr>
            <w:tr w:rsidR="00120BDA" w:rsidRPr="00805442" w14:paraId="52FADC46" w14:textId="77777777" w:rsidTr="003251A0">
              <w:tc>
                <w:tcPr>
                  <w:tcW w:w="4376" w:type="dxa"/>
                </w:tcPr>
                <w:p w14:paraId="29458692" w14:textId="5D3FF50B" w:rsidR="00120BDA" w:rsidRPr="00805442" w:rsidRDefault="005062A1" w:rsidP="00120BDA">
                  <w:pPr>
                    <w:ind w:left="113" w:right="113"/>
                    <w:rPr>
                      <w:rFonts w:ascii="Times New Roman" w:hAnsi="Times New Roman" w:cs="Times New Roman"/>
                      <w:noProof/>
                      <w:sz w:val="24"/>
                      <w:szCs w:val="24"/>
                    </w:rPr>
                  </w:pPr>
                  <w:r>
                    <w:rPr>
                      <w:rFonts w:ascii="Times New Roman" w:hAnsi="Times New Roman" w:cs="Times New Roman"/>
                      <w:noProof/>
                      <w:sz w:val="24"/>
                      <w:szCs w:val="24"/>
                    </w:rPr>
                    <w:t>Federal</w:t>
                  </w:r>
                </w:p>
              </w:tc>
              <w:tc>
                <w:tcPr>
                  <w:tcW w:w="4413" w:type="dxa"/>
                </w:tcPr>
                <w:p w14:paraId="6B486295" w14:textId="176D7D50" w:rsidR="00120BDA" w:rsidRPr="00805442" w:rsidRDefault="00120BDA" w:rsidP="00120BDA">
                  <w:pPr>
                    <w:ind w:left="113" w:right="113"/>
                    <w:rPr>
                      <w:rFonts w:ascii="Times New Roman" w:hAnsi="Times New Roman" w:cs="Times New Roman"/>
                      <w:noProof/>
                      <w:sz w:val="24"/>
                      <w:szCs w:val="24"/>
                    </w:rPr>
                  </w:pPr>
                  <w:r w:rsidRPr="00805442">
                    <w:rPr>
                      <w:rFonts w:ascii="Times New Roman" w:hAnsi="Times New Roman" w:cs="Times New Roman"/>
                      <w:sz w:val="24"/>
                    </w:rPr>
                    <w:t>Federālā valdība</w:t>
                  </w:r>
                </w:p>
              </w:tc>
            </w:tr>
            <w:tr w:rsidR="00120BDA" w:rsidRPr="00805442" w14:paraId="2D0A9E54" w14:textId="77777777" w:rsidTr="003251A0">
              <w:tc>
                <w:tcPr>
                  <w:tcW w:w="4376" w:type="dxa"/>
                </w:tcPr>
                <w:p w14:paraId="7CE143DD" w14:textId="7864725F" w:rsidR="00120BDA" w:rsidRPr="00805442" w:rsidRDefault="005062A1" w:rsidP="00120BDA">
                  <w:pPr>
                    <w:ind w:left="113" w:right="113"/>
                    <w:rPr>
                      <w:rFonts w:ascii="Times New Roman" w:hAnsi="Times New Roman" w:cs="Times New Roman"/>
                      <w:noProof/>
                      <w:sz w:val="24"/>
                      <w:szCs w:val="24"/>
                    </w:rPr>
                  </w:pPr>
                  <w:r>
                    <w:rPr>
                      <w:rFonts w:ascii="Times New Roman" w:hAnsi="Times New Roman" w:cs="Times New Roman"/>
                      <w:noProof/>
                      <w:sz w:val="24"/>
                      <w:szCs w:val="24"/>
                    </w:rPr>
                    <w:t>Subnational</w:t>
                  </w:r>
                </w:p>
              </w:tc>
              <w:tc>
                <w:tcPr>
                  <w:tcW w:w="4413" w:type="dxa"/>
                </w:tcPr>
                <w:p w14:paraId="68F57EB4" w14:textId="5E6D3064" w:rsidR="00120BDA" w:rsidRPr="00805442" w:rsidRDefault="00120BDA" w:rsidP="00120BDA">
                  <w:pPr>
                    <w:ind w:left="113" w:right="113"/>
                    <w:rPr>
                      <w:rFonts w:ascii="Times New Roman" w:hAnsi="Times New Roman" w:cs="Times New Roman"/>
                      <w:noProof/>
                      <w:sz w:val="24"/>
                      <w:szCs w:val="24"/>
                    </w:rPr>
                  </w:pPr>
                  <w:r w:rsidRPr="00805442">
                    <w:rPr>
                      <w:rFonts w:ascii="Times New Roman" w:hAnsi="Times New Roman" w:cs="Times New Roman"/>
                      <w:sz w:val="24"/>
                    </w:rPr>
                    <w:t>Pašvaldības</w:t>
                  </w:r>
                </w:p>
              </w:tc>
            </w:tr>
            <w:tr w:rsidR="005062A1" w:rsidRPr="00805442" w14:paraId="360C8AB1" w14:textId="77777777" w:rsidTr="003251A0">
              <w:tc>
                <w:tcPr>
                  <w:tcW w:w="4376" w:type="dxa"/>
                </w:tcPr>
                <w:p w14:paraId="24BC4DF8" w14:textId="1191B6FE" w:rsidR="005062A1" w:rsidRPr="00805442" w:rsidRDefault="005062A1" w:rsidP="005062A1">
                  <w:pPr>
                    <w:ind w:left="113" w:right="113"/>
                    <w:rPr>
                      <w:rFonts w:ascii="Times New Roman" w:hAnsi="Times New Roman" w:cs="Times New Roman"/>
                      <w:sz w:val="24"/>
                    </w:rPr>
                  </w:pPr>
                  <w:r>
                    <w:rPr>
                      <w:rFonts w:ascii="Times New Roman" w:hAnsi="Times New Roman" w:cs="Times New Roman"/>
                      <w:noProof/>
                      <w:sz w:val="24"/>
                      <w:szCs w:val="24"/>
                    </w:rPr>
                    <w:t>Intergovernmental transfers</w:t>
                  </w:r>
                </w:p>
              </w:tc>
              <w:tc>
                <w:tcPr>
                  <w:tcW w:w="4413" w:type="dxa"/>
                </w:tcPr>
                <w:p w14:paraId="6707EC99" w14:textId="1E25EF63" w:rsidR="005062A1" w:rsidRPr="00805442" w:rsidRDefault="005062A1" w:rsidP="005062A1">
                  <w:pPr>
                    <w:ind w:left="113" w:right="113"/>
                    <w:rPr>
                      <w:rFonts w:ascii="Times New Roman" w:hAnsi="Times New Roman" w:cs="Times New Roman"/>
                      <w:noProof/>
                      <w:sz w:val="24"/>
                      <w:szCs w:val="24"/>
                    </w:rPr>
                  </w:pPr>
                  <w:r w:rsidRPr="00805442">
                    <w:rPr>
                      <w:rFonts w:ascii="Times New Roman" w:hAnsi="Times New Roman" w:cs="Times New Roman"/>
                      <w:sz w:val="24"/>
                    </w:rPr>
                    <w:t>Starpvaldību pārvedumi</w:t>
                  </w:r>
                </w:p>
              </w:tc>
            </w:tr>
            <w:tr w:rsidR="005062A1" w:rsidRPr="00805442" w14:paraId="7F6DE1CE" w14:textId="77777777" w:rsidTr="003251A0">
              <w:tc>
                <w:tcPr>
                  <w:tcW w:w="4376" w:type="dxa"/>
                </w:tcPr>
                <w:p w14:paraId="48E0A785" w14:textId="793311D5" w:rsidR="005062A1" w:rsidRPr="00805442" w:rsidRDefault="005062A1" w:rsidP="005062A1">
                  <w:pPr>
                    <w:ind w:left="113" w:right="113"/>
                    <w:rPr>
                      <w:rFonts w:ascii="Times New Roman" w:hAnsi="Times New Roman" w:cs="Times New Roman"/>
                      <w:sz w:val="24"/>
                    </w:rPr>
                  </w:pPr>
                  <w:r>
                    <w:rPr>
                      <w:rFonts w:ascii="Times New Roman" w:hAnsi="Times New Roman" w:cs="Times New Roman"/>
                      <w:noProof/>
                      <w:sz w:val="24"/>
                      <w:szCs w:val="24"/>
                    </w:rPr>
                    <w:t>Health</w:t>
                  </w:r>
                </w:p>
              </w:tc>
              <w:tc>
                <w:tcPr>
                  <w:tcW w:w="4413" w:type="dxa"/>
                </w:tcPr>
                <w:p w14:paraId="6D876D02" w14:textId="37401D14" w:rsidR="005062A1" w:rsidRPr="00805442" w:rsidRDefault="005062A1" w:rsidP="005062A1">
                  <w:pPr>
                    <w:ind w:left="113" w:right="113"/>
                    <w:rPr>
                      <w:rFonts w:ascii="Times New Roman" w:hAnsi="Times New Roman" w:cs="Times New Roman"/>
                      <w:noProof/>
                      <w:sz w:val="24"/>
                      <w:szCs w:val="24"/>
                    </w:rPr>
                  </w:pPr>
                  <w:r w:rsidRPr="00805442">
                    <w:rPr>
                      <w:rFonts w:ascii="Times New Roman" w:hAnsi="Times New Roman" w:cs="Times New Roman"/>
                      <w:sz w:val="24"/>
                    </w:rPr>
                    <w:t>Veselība</w:t>
                  </w:r>
                </w:p>
              </w:tc>
            </w:tr>
            <w:tr w:rsidR="005062A1" w:rsidRPr="00805442" w14:paraId="0E57E575" w14:textId="77777777" w:rsidTr="003251A0">
              <w:tc>
                <w:tcPr>
                  <w:tcW w:w="4376" w:type="dxa"/>
                </w:tcPr>
                <w:p w14:paraId="476EDDC4" w14:textId="6451279B" w:rsidR="005062A1" w:rsidRPr="00805442" w:rsidRDefault="005062A1" w:rsidP="005062A1">
                  <w:pPr>
                    <w:ind w:left="113" w:right="113"/>
                    <w:rPr>
                      <w:rFonts w:ascii="Times New Roman" w:hAnsi="Times New Roman" w:cs="Times New Roman"/>
                      <w:sz w:val="24"/>
                    </w:rPr>
                  </w:pPr>
                  <w:r>
                    <w:rPr>
                      <w:rFonts w:ascii="Times New Roman" w:hAnsi="Times New Roman" w:cs="Times New Roman"/>
                      <w:noProof/>
                      <w:sz w:val="24"/>
                      <w:szCs w:val="24"/>
                    </w:rPr>
                    <w:t>Economic Affairs</w:t>
                  </w:r>
                </w:p>
              </w:tc>
              <w:tc>
                <w:tcPr>
                  <w:tcW w:w="4413" w:type="dxa"/>
                </w:tcPr>
                <w:p w14:paraId="033E7695" w14:textId="1869425F" w:rsidR="005062A1" w:rsidRPr="00805442" w:rsidRDefault="005062A1" w:rsidP="005062A1">
                  <w:pPr>
                    <w:ind w:left="113" w:right="113"/>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5062A1" w:rsidRPr="00805442" w14:paraId="558BF51F" w14:textId="77777777" w:rsidTr="003251A0">
              <w:tc>
                <w:tcPr>
                  <w:tcW w:w="4376" w:type="dxa"/>
                </w:tcPr>
                <w:p w14:paraId="4DD9B2D8" w14:textId="6315C614" w:rsidR="005062A1" w:rsidRPr="00805442" w:rsidRDefault="005062A1" w:rsidP="005062A1">
                  <w:pPr>
                    <w:ind w:left="113" w:right="113"/>
                    <w:rPr>
                      <w:rFonts w:ascii="Times New Roman" w:hAnsi="Times New Roman" w:cs="Times New Roman"/>
                      <w:sz w:val="24"/>
                    </w:rPr>
                  </w:pPr>
                  <w:r>
                    <w:rPr>
                      <w:rFonts w:ascii="Times New Roman" w:hAnsi="Times New Roman" w:cs="Times New Roman"/>
                      <w:noProof/>
                      <w:sz w:val="24"/>
                      <w:szCs w:val="24"/>
                    </w:rPr>
                    <w:t>Social protection</w:t>
                  </w:r>
                </w:p>
              </w:tc>
              <w:tc>
                <w:tcPr>
                  <w:tcW w:w="4413" w:type="dxa"/>
                </w:tcPr>
                <w:p w14:paraId="33AED772" w14:textId="555CE60D" w:rsidR="005062A1" w:rsidRPr="00805442" w:rsidRDefault="005062A1" w:rsidP="005062A1">
                  <w:pPr>
                    <w:ind w:left="113" w:right="113"/>
                    <w:rPr>
                      <w:rFonts w:ascii="Times New Roman" w:hAnsi="Times New Roman" w:cs="Times New Roman"/>
                      <w:noProof/>
                      <w:sz w:val="24"/>
                      <w:szCs w:val="24"/>
                    </w:rPr>
                  </w:pPr>
                  <w:r w:rsidRPr="00805442">
                    <w:rPr>
                      <w:rFonts w:ascii="Times New Roman" w:hAnsi="Times New Roman" w:cs="Times New Roman"/>
                      <w:sz w:val="24"/>
                    </w:rPr>
                    <w:t>Sociālā aizsardzība</w:t>
                  </w:r>
                </w:p>
              </w:tc>
            </w:tr>
            <w:tr w:rsidR="005062A1" w:rsidRPr="00805442" w14:paraId="7DC0ED36" w14:textId="77777777" w:rsidTr="003251A0">
              <w:tc>
                <w:tcPr>
                  <w:tcW w:w="4376" w:type="dxa"/>
                </w:tcPr>
                <w:p w14:paraId="1F5FA1C0" w14:textId="12EEEE90" w:rsidR="005062A1" w:rsidRPr="00805442" w:rsidRDefault="005062A1" w:rsidP="005062A1">
                  <w:pPr>
                    <w:ind w:left="113" w:right="113"/>
                    <w:rPr>
                      <w:rFonts w:ascii="Times New Roman" w:hAnsi="Times New Roman" w:cs="Times New Roman"/>
                      <w:sz w:val="24"/>
                    </w:rPr>
                  </w:pPr>
                  <w:r>
                    <w:rPr>
                      <w:rFonts w:ascii="Times New Roman" w:hAnsi="Times New Roman" w:cs="Times New Roman"/>
                      <w:sz w:val="24"/>
                    </w:rPr>
                    <w:t>Education</w:t>
                  </w:r>
                </w:p>
              </w:tc>
              <w:tc>
                <w:tcPr>
                  <w:tcW w:w="4413" w:type="dxa"/>
                </w:tcPr>
                <w:p w14:paraId="32CD018B" w14:textId="7FC52D1C" w:rsidR="005062A1" w:rsidRPr="00805442" w:rsidRDefault="002243C0" w:rsidP="005062A1">
                  <w:pPr>
                    <w:ind w:left="113" w:right="113"/>
                    <w:rPr>
                      <w:rFonts w:ascii="Times New Roman" w:hAnsi="Times New Roman" w:cs="Times New Roman"/>
                      <w:noProof/>
                      <w:sz w:val="24"/>
                      <w:szCs w:val="24"/>
                    </w:rPr>
                  </w:pPr>
                  <w:r>
                    <w:rPr>
                      <w:rFonts w:ascii="Times New Roman" w:hAnsi="Times New Roman" w:cs="Times New Roman"/>
                      <w:noProof/>
                      <w:sz w:val="24"/>
                      <w:szCs w:val="24"/>
                    </w:rPr>
                    <w:t>Izglītība</w:t>
                  </w:r>
                </w:p>
              </w:tc>
            </w:tr>
            <w:tr w:rsidR="002243C0" w:rsidRPr="00805442" w14:paraId="314AAB6F" w14:textId="77777777" w:rsidTr="003251A0">
              <w:tc>
                <w:tcPr>
                  <w:tcW w:w="4376" w:type="dxa"/>
                </w:tcPr>
                <w:p w14:paraId="3722FC90" w14:textId="10E0CF04" w:rsidR="002243C0" w:rsidRPr="00805442" w:rsidRDefault="002243C0" w:rsidP="002243C0">
                  <w:pPr>
                    <w:ind w:left="113" w:right="113"/>
                    <w:rPr>
                      <w:rFonts w:ascii="Times New Roman" w:hAnsi="Times New Roman" w:cs="Times New Roman"/>
                      <w:sz w:val="24"/>
                    </w:rPr>
                  </w:pPr>
                  <w:r>
                    <w:rPr>
                      <w:rFonts w:ascii="Times New Roman" w:hAnsi="Times New Roman" w:cs="Times New Roman"/>
                      <w:sz w:val="24"/>
                    </w:rPr>
                    <w:t>Housing and Coomunity Amenities</w:t>
                  </w:r>
                </w:p>
              </w:tc>
              <w:tc>
                <w:tcPr>
                  <w:tcW w:w="4413" w:type="dxa"/>
                </w:tcPr>
                <w:p w14:paraId="543FDE94" w14:textId="41FB93F5" w:rsidR="002243C0" w:rsidRPr="00805442" w:rsidRDefault="002243C0" w:rsidP="002243C0">
                  <w:pPr>
                    <w:ind w:left="113" w:right="113"/>
                    <w:rPr>
                      <w:rFonts w:ascii="Times New Roman" w:hAnsi="Times New Roman" w:cs="Times New Roman"/>
                      <w:noProof/>
                      <w:sz w:val="24"/>
                      <w:szCs w:val="24"/>
                    </w:rPr>
                  </w:pPr>
                  <w:r w:rsidRPr="00805442">
                    <w:rPr>
                      <w:rFonts w:ascii="Times New Roman" w:hAnsi="Times New Roman" w:cs="Times New Roman"/>
                      <w:sz w:val="24"/>
                    </w:rPr>
                    <w:t>Mājokļi un komunālie pakalpojumi</w:t>
                  </w:r>
                </w:p>
              </w:tc>
            </w:tr>
            <w:tr w:rsidR="002243C0" w:rsidRPr="00805442" w14:paraId="278EBDCE" w14:textId="77777777" w:rsidTr="003251A0">
              <w:tc>
                <w:tcPr>
                  <w:tcW w:w="4376" w:type="dxa"/>
                </w:tcPr>
                <w:p w14:paraId="6DD82D3E" w14:textId="5C82083F" w:rsidR="002243C0" w:rsidRPr="00805442" w:rsidRDefault="002243C0" w:rsidP="002243C0">
                  <w:pPr>
                    <w:ind w:left="113" w:right="113"/>
                    <w:rPr>
                      <w:rFonts w:ascii="Times New Roman" w:hAnsi="Times New Roman" w:cs="Times New Roman"/>
                      <w:sz w:val="24"/>
                    </w:rPr>
                  </w:pPr>
                  <w:r>
                    <w:rPr>
                      <w:rFonts w:ascii="Times New Roman" w:hAnsi="Times New Roman" w:cs="Times New Roman"/>
                      <w:sz w:val="24"/>
                    </w:rPr>
                    <w:t>Recreation, culture and religion</w:t>
                  </w:r>
                </w:p>
              </w:tc>
              <w:tc>
                <w:tcPr>
                  <w:tcW w:w="4413" w:type="dxa"/>
                </w:tcPr>
                <w:p w14:paraId="194C84C8" w14:textId="6B6805B4" w:rsidR="002243C0" w:rsidRPr="00805442" w:rsidRDefault="002243C0" w:rsidP="002243C0">
                  <w:pPr>
                    <w:ind w:left="113" w:right="113"/>
                    <w:rPr>
                      <w:rFonts w:ascii="Times New Roman" w:hAnsi="Times New Roman" w:cs="Times New Roman"/>
                      <w:noProof/>
                      <w:sz w:val="24"/>
                      <w:szCs w:val="24"/>
                    </w:rPr>
                  </w:pPr>
                  <w:r w:rsidRPr="00805442">
                    <w:rPr>
                      <w:rFonts w:ascii="Times New Roman" w:hAnsi="Times New Roman" w:cs="Times New Roman"/>
                      <w:sz w:val="24"/>
                    </w:rPr>
                    <w:t>Atpūta, kultūra un reliģija</w:t>
                  </w:r>
                </w:p>
              </w:tc>
            </w:tr>
          </w:tbl>
          <w:p w14:paraId="35C20EFC" w14:textId="77777777" w:rsidR="00122FE6" w:rsidRDefault="00122FE6" w:rsidP="00122FE6">
            <w:pPr>
              <w:ind w:left="113" w:right="113"/>
              <w:rPr>
                <w:rFonts w:ascii="Times New Roman" w:hAnsi="Times New Roman" w:cs="Times New Roman"/>
                <w:noProof/>
                <w:sz w:val="24"/>
                <w:szCs w:val="24"/>
              </w:rPr>
            </w:pPr>
          </w:p>
          <w:p w14:paraId="70C5B0E9" w14:textId="77777777" w:rsidR="00120BDA" w:rsidRPr="00805442" w:rsidRDefault="00120BDA" w:rsidP="00120BDA">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7710D7FB" w14:textId="0B7F779B" w:rsidR="00120BDA" w:rsidRPr="00805442" w:rsidRDefault="00120BDA" w:rsidP="00122FE6">
            <w:pPr>
              <w:ind w:left="113" w:right="113"/>
              <w:rPr>
                <w:rFonts w:ascii="Times New Roman" w:hAnsi="Times New Roman" w:cs="Times New Roman"/>
                <w:noProof/>
                <w:sz w:val="24"/>
                <w:szCs w:val="24"/>
              </w:rPr>
            </w:pPr>
          </w:p>
        </w:tc>
      </w:tr>
    </w:tbl>
    <w:p w14:paraId="1CA4CCEA" w14:textId="77777777" w:rsidR="00A73C99" w:rsidRPr="00805442" w:rsidRDefault="00A73C99">
      <w:pPr>
        <w:rPr>
          <w:rFonts w:ascii="Times New Roman" w:hAnsi="Times New Roman" w:cs="Times New Roman"/>
          <w:noProof/>
          <w:sz w:val="24"/>
          <w:szCs w:val="24"/>
        </w:rPr>
      </w:pPr>
    </w:p>
    <w:p w14:paraId="601E3CD2" w14:textId="77777777" w:rsidR="00122FE6" w:rsidRPr="00805442" w:rsidRDefault="00122FE6" w:rsidP="00122FE6">
      <w:pPr>
        <w:pStyle w:val="Heading2"/>
        <w:tabs>
          <w:tab w:val="left" w:pos="1685"/>
        </w:tabs>
        <w:spacing w:before="0"/>
        <w:jc w:val="both"/>
        <w:rPr>
          <w:rFonts w:ascii="Times New Roman" w:hAnsi="Times New Roman" w:cs="Times New Roman"/>
          <w:noProof/>
          <w:sz w:val="24"/>
          <w:szCs w:val="24"/>
          <w:u w:val="thick"/>
        </w:rPr>
      </w:pPr>
    </w:p>
    <w:p w14:paraId="1516403E" w14:textId="2FB9179D" w:rsidR="0068352E" w:rsidRPr="00805442" w:rsidRDefault="00122FE6" w:rsidP="00B73DD7">
      <w:pPr>
        <w:pStyle w:val="Heading2"/>
        <w:keepNext/>
        <w:keepLines/>
        <w:tabs>
          <w:tab w:val="left" w:pos="1685"/>
        </w:tabs>
        <w:spacing w:before="0"/>
        <w:ind w:left="567"/>
        <w:jc w:val="both"/>
        <w:rPr>
          <w:rFonts w:ascii="Times New Roman" w:hAnsi="Times New Roman" w:cs="Times New Roman"/>
          <w:noProof/>
          <w:sz w:val="28"/>
          <w:szCs w:val="28"/>
          <w:u w:val="thick"/>
        </w:rPr>
      </w:pPr>
      <w:r w:rsidRPr="00805442">
        <w:rPr>
          <w:rFonts w:ascii="Times New Roman" w:hAnsi="Times New Roman" w:cs="Times New Roman"/>
          <w:sz w:val="28"/>
          <w:u w:val="thick"/>
        </w:rPr>
        <w:t>a. Beznosacījumu pārvedumi</w:t>
      </w:r>
    </w:p>
    <w:p w14:paraId="11AB529C" w14:textId="77777777" w:rsidR="0068352E" w:rsidRPr="00805442" w:rsidRDefault="0068352E" w:rsidP="00B73DD7">
      <w:pPr>
        <w:pStyle w:val="BodyText"/>
        <w:keepNext/>
        <w:keepLines/>
        <w:jc w:val="both"/>
        <w:rPr>
          <w:rFonts w:ascii="Times New Roman" w:hAnsi="Times New Roman" w:cs="Times New Roman"/>
          <w:b/>
          <w:noProof/>
          <w:sz w:val="24"/>
          <w:szCs w:val="24"/>
        </w:rPr>
      </w:pPr>
    </w:p>
    <w:p w14:paraId="748CD41B" w14:textId="149C2953" w:rsidR="0068352E" w:rsidRPr="00805442" w:rsidRDefault="00122FE6" w:rsidP="00B73DD7">
      <w:pPr>
        <w:pStyle w:val="ListParagraph"/>
        <w:keepNext/>
        <w:keepLines/>
        <w:tabs>
          <w:tab w:val="left" w:pos="1355"/>
        </w:tabs>
        <w:ind w:left="0"/>
        <w:rPr>
          <w:rFonts w:ascii="Times New Roman" w:hAnsi="Times New Roman" w:cs="Times New Roman"/>
          <w:noProof/>
          <w:sz w:val="24"/>
          <w:szCs w:val="24"/>
        </w:rPr>
      </w:pPr>
      <w:r w:rsidRPr="00805442">
        <w:rPr>
          <w:rFonts w:ascii="Times New Roman" w:hAnsi="Times New Roman" w:cs="Times New Roman"/>
          <w:sz w:val="24"/>
        </w:rPr>
        <w:t>50.</w:t>
      </w:r>
      <w:r w:rsidRPr="00805442">
        <w:rPr>
          <w:rFonts w:ascii="Times New Roman" w:hAnsi="Times New Roman" w:cs="Times New Roman"/>
          <w:b/>
          <w:i/>
          <w:sz w:val="24"/>
        </w:rPr>
        <w:t xml:space="preserve"> Vispārēja mērķa dotācijas</w:t>
      </w:r>
      <w:r w:rsidRPr="00805442">
        <w:rPr>
          <w:rFonts w:ascii="Times New Roman" w:hAnsi="Times New Roman" w:cs="Times New Roman"/>
          <w:sz w:val="24"/>
        </w:rPr>
        <w:t>, kas bieži ir noteiktas ar likumu, nodrošina plašu centrālās valdības finansiālu atbalstu pašvaldībām bez konkrētām prasībām attiecībā uz izdevumiem. To galvenais mērķis ir saglabāt vietējo autonomiju lēmumu pieņemšanā un nodrošināt taisnīgu resursu sadali dažādās jurisdikcijās.</w:t>
      </w:r>
      <w:r w:rsidRPr="00805442">
        <w:rPr>
          <w:rStyle w:val="FootnoteReference"/>
          <w:rFonts w:ascii="Times New Roman" w:hAnsi="Times New Roman" w:cs="Times New Roman"/>
          <w:noProof/>
          <w:sz w:val="24"/>
          <w:szCs w:val="24"/>
        </w:rPr>
        <w:footnoteReference w:customMarkFollows="1" w:id="41"/>
        <w:t>44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Ar šīm dotācijām pašvaldībām tiek dota iespēja resursus sadalīt, pamatojoties uz unikālām vietējām vajadzībām un prioritātēm, tādējādi uzlabojot to fiskālo autonomiju. Lai gan tās parasti tieši neietekmē ekonomisko cenu veidošanos, tās var nemudināt pašvaldības piešķirt līdzekļus valsts prioritāšu īstenošanai (Boadway un Shah, 2007). Tomēr vispārēja mērķa dotācijas dažkārt var veicināt efektivitātes trūkumu vai resursu nepareizu sadali, īpaši tad, ja nav ieviesti spēcīgi pārskatatbildības mehānismi. Labi dokumentēta parādība, kas saistīta ar vispārēja mērķa dotācijām, ir “mušpapīra efekts”, kad dotāciju naudas ieplūde izraisa neproporcionālu vietējo publisko izdevumu palielināšanos salīdzinājumā ar līdzīgu vietējo ieņēmumu pieaugumu</w:t>
      </w:r>
      <w:r w:rsidRPr="00805442">
        <w:rPr>
          <w:rStyle w:val="FootnoteReference"/>
          <w:rFonts w:ascii="Times New Roman" w:hAnsi="Times New Roman" w:cs="Times New Roman"/>
          <w:noProof/>
          <w:sz w:val="24"/>
          <w:szCs w:val="24"/>
        </w:rPr>
        <w:footnoteReference w:customMarkFollows="1" w:id="42"/>
        <w:t>45</w:t>
      </w:r>
      <w:r w:rsidRPr="00805442">
        <w:rPr>
          <w:rFonts w:ascii="Times New Roman" w:hAnsi="Times New Roman" w:cs="Times New Roman"/>
          <w:sz w:val="24"/>
        </w:rPr>
        <w:t xml:space="preserve"> (Shah, 2006; Yilmaz un Zahir, 2020).</w:t>
      </w:r>
    </w:p>
    <w:p w14:paraId="56659523" w14:textId="77777777" w:rsidR="00A47D09" w:rsidRPr="00805442" w:rsidRDefault="00A47D09" w:rsidP="00F92C74">
      <w:pPr>
        <w:jc w:val="both"/>
        <w:rPr>
          <w:rFonts w:ascii="Times New Roman" w:hAnsi="Times New Roman" w:cs="Times New Roman"/>
          <w:noProof/>
          <w:sz w:val="24"/>
          <w:szCs w:val="24"/>
        </w:rPr>
      </w:pPr>
    </w:p>
    <w:p w14:paraId="2FAF40B5" w14:textId="77777777" w:rsidR="00C227F1" w:rsidRPr="00805442" w:rsidRDefault="00C227F1" w:rsidP="00C227F1">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51. Parasti beznosacījumu dotāciju sadale notiek saskaņā ar formulāru pieeju un tiek veikta regulāri, šīs dotācijas izmantojot </w:t>
      </w:r>
      <w:r w:rsidRPr="00805442">
        <w:rPr>
          <w:rFonts w:ascii="Times New Roman" w:hAnsi="Times New Roman" w:cs="Times New Roman"/>
          <w:i/>
          <w:sz w:val="24"/>
        </w:rPr>
        <w:t xml:space="preserve">izlīdzināšanai </w:t>
      </w:r>
      <w:r w:rsidRPr="00805442">
        <w:rPr>
          <w:rFonts w:ascii="Times New Roman" w:hAnsi="Times New Roman" w:cs="Times New Roman"/>
          <w:sz w:val="24"/>
        </w:rPr>
        <w:t xml:space="preserve">vai kā daļu no </w:t>
      </w:r>
      <w:r w:rsidRPr="00805442">
        <w:rPr>
          <w:rFonts w:ascii="Times New Roman" w:hAnsi="Times New Roman" w:cs="Times New Roman"/>
          <w:i/>
          <w:sz w:val="24"/>
        </w:rPr>
        <w:t>ieņēmumu sadales sistēmas</w:t>
      </w:r>
      <w:r w:rsidRPr="00805442">
        <w:rPr>
          <w:rFonts w:ascii="Times New Roman" w:hAnsi="Times New Roman" w:cs="Times New Roman"/>
          <w:sz w:val="24"/>
        </w:rPr>
        <w:t>. Šo piešķīrumu formulās balstītais un periodiskais veids nodrošina finansiālā atbalsta prognozējamību un stabilitāti, ļaujot pašvaldībām efektīvāk plānot un paredzēt budžetu būtisko pakalpojumu sniegšanai.</w:t>
      </w:r>
    </w:p>
    <w:p w14:paraId="77CC2CAB" w14:textId="77777777" w:rsidR="00C227F1" w:rsidRPr="00805442" w:rsidRDefault="00C227F1" w:rsidP="00C227F1">
      <w:pPr>
        <w:pStyle w:val="ListParagraph"/>
        <w:tabs>
          <w:tab w:val="left" w:pos="1356"/>
        </w:tabs>
        <w:ind w:left="0"/>
        <w:rPr>
          <w:rFonts w:ascii="Times New Roman" w:hAnsi="Times New Roman" w:cs="Times New Roman"/>
          <w:noProof/>
          <w:sz w:val="24"/>
          <w:szCs w:val="24"/>
        </w:rPr>
      </w:pPr>
    </w:p>
    <w:p w14:paraId="12B2BFAB" w14:textId="77777777" w:rsidR="00C227F1" w:rsidRPr="00805442" w:rsidRDefault="00C227F1" w:rsidP="00C227F1">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52. </w:t>
      </w:r>
      <w:r w:rsidRPr="00805442">
        <w:rPr>
          <w:rFonts w:ascii="Times New Roman" w:hAnsi="Times New Roman" w:cs="Times New Roman"/>
          <w:b/>
          <w:i/>
          <w:sz w:val="24"/>
        </w:rPr>
        <w:t xml:space="preserve">Izlīdzināšanas dotācijas </w:t>
      </w:r>
      <w:r w:rsidRPr="00805442">
        <w:rPr>
          <w:rFonts w:ascii="Times New Roman" w:hAnsi="Times New Roman" w:cs="Times New Roman"/>
          <w:sz w:val="24"/>
        </w:rPr>
        <w:t xml:space="preserve">ir fiskālā federālisma arhitektūras pamatkomponente, kas paredzēta, lai mazinātu atšķirības jurisdikciju fiskālajā kapacitātē un pakalpojumu vajadzībās. Šo dotāciju mērķis ir nodrošināt taisnīgāku resursu sadali, ļaujot pašvaldībām piedāvāt salīdzināmus sabiedriskos pakalpojumus neatkarīgi no to ekonomiskajiem vai demogrāfiskajiem apstākļiem. Šīs dotācijas var būt vērstas uz fiskālo kapacitāti vai pakalpojumu vajadzībām, un ar tām var pilnībā vai daļēji izlīdzināt šos aspektus. Lai gan tās parasti ir plaša apjoma, tās var būt vērstas arī uz konkrētiem pakalpojumiem vai nozarēm. Dažas sistēmas ietver mehānismus ekonomisko svārstību mazināšanai, tādējādi uzlabojot fiskālo stabilitāti un pielāgojamību. Šajās sistēmās tiek izmantotas dažādas sarežģītības un pārskatāmības formulas un indikatori, atspoguļojot katras valsts priekšrocības attiecībā uz pārskatāmību, pieņemamību sabiedrībai un datu pieejamību. Šī dažādība ļauj veikt fiskālos </w:t>
      </w:r>
      <w:r w:rsidRPr="00805442">
        <w:rPr>
          <w:rFonts w:ascii="Times New Roman" w:hAnsi="Times New Roman" w:cs="Times New Roman"/>
          <w:sz w:val="24"/>
        </w:rPr>
        <w:lastRenderedPageBreak/>
        <w:t>pielāgojumus atbilstoši valsts unikālajām vajadzībām un īpatnībām (Dougherty un Forman, 2021; Ter-Minassian, 2021).</w:t>
      </w:r>
    </w:p>
    <w:p w14:paraId="52C1EEF4" w14:textId="77777777" w:rsidR="00C227F1" w:rsidRPr="00805442" w:rsidRDefault="00C227F1" w:rsidP="00C227F1">
      <w:pPr>
        <w:pStyle w:val="ListParagraph"/>
        <w:tabs>
          <w:tab w:val="left" w:pos="1356"/>
        </w:tabs>
        <w:ind w:left="0"/>
        <w:rPr>
          <w:rFonts w:ascii="Times New Roman" w:hAnsi="Times New Roman" w:cs="Times New Roman"/>
          <w:noProof/>
          <w:sz w:val="24"/>
          <w:szCs w:val="24"/>
        </w:rPr>
      </w:pPr>
    </w:p>
    <w:p w14:paraId="7E66DF51" w14:textId="77777777" w:rsidR="009C58B8" w:rsidRPr="00805442" w:rsidRDefault="00C227F1" w:rsidP="009C58B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53. </w:t>
      </w:r>
      <w:r w:rsidRPr="00805442">
        <w:rPr>
          <w:rFonts w:ascii="Times New Roman" w:hAnsi="Times New Roman" w:cs="Times New Roman"/>
          <w:i/>
          <w:sz w:val="24"/>
        </w:rPr>
        <w:t xml:space="preserve">Ieņēmumu kapacitātē balstīta izlīdzināšana </w:t>
      </w:r>
      <w:r w:rsidRPr="00805442">
        <w:rPr>
          <w:rFonts w:ascii="Times New Roman" w:hAnsi="Times New Roman" w:cs="Times New Roman"/>
          <w:sz w:val="24"/>
        </w:rPr>
        <w:t xml:space="preserve">ir vērsta uz to, lai izlīdzinātu dažādu reģionu ieņēmumu gūšanas potenciālu, nodrošinot taisnīgu sabiedrisko pakalpojumu sniegšanu visā valstī, neraugoties uz pašvaldību ieņēmumu gūšanas spēju atšķirībām.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šādas shēmas ievērojami samazina fiskālās kapacitātes atšķirības, veidojot aptuveni 2,3 % no IKP (Blöchliger et al., 2007; Martinez-Vazquez un Searle, 2007; OECD, 2021).</w:t>
      </w:r>
      <w:r w:rsidRPr="00805442">
        <w:rPr>
          <w:rStyle w:val="FootnoteReference"/>
          <w:rFonts w:ascii="Times New Roman" w:hAnsi="Times New Roman" w:cs="Times New Roman"/>
          <w:noProof/>
          <w:sz w:val="24"/>
          <w:szCs w:val="24"/>
        </w:rPr>
        <w:footnoteReference w:customMarkFollows="1" w:id="43"/>
        <w:t>46</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Piemēram, Kanāda izmanto Reprezentatīvo nodokļu sistēmu (RNS), lai izlīdzinātu atšķirības provinču ieņēmumu gūšanas kapacitātē ar korekcijām augstākām pakalpojumu sniegšanas izmaksām noteiktās teritorijās.</w:t>
      </w:r>
      <w:r w:rsidRPr="00805442">
        <w:rPr>
          <w:rStyle w:val="FootnoteReference"/>
          <w:rFonts w:ascii="Times New Roman" w:hAnsi="Times New Roman" w:cs="Times New Roman"/>
          <w:noProof/>
          <w:sz w:val="24"/>
          <w:szCs w:val="24"/>
        </w:rPr>
        <w:footnoteReference w:customMarkFollows="1" w:id="44"/>
        <w:t>47</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Kanāda iekļauj arī uz vajadzībām balstītas īpašās mērķdotācijas tādās nozarēs kā veselības aprūpe un izglītība.</w:t>
      </w:r>
      <w:r w:rsidRPr="00805442">
        <w:rPr>
          <w:rStyle w:val="FootnoteReference"/>
          <w:rFonts w:ascii="Times New Roman" w:hAnsi="Times New Roman" w:cs="Times New Roman"/>
          <w:noProof/>
          <w:sz w:val="24"/>
          <w:szCs w:val="24"/>
        </w:rPr>
        <w:footnoteReference w:customMarkFollows="1" w:id="45"/>
        <w:t>48</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Pēdējās diskusijās par RNS tiek apsvērts tas, vai jāizlīdzina tikai ieņēmumu kapacitāte un kā integrēt federālās valdības būtiskās uz indivīdu vērstās programmas izlīdzināšanas ietvarā, atspoguļojot mainīgo perspektīvu gan par ieņēmumu kapacitāšu, gan konkrētu pakalpojumu sniegšanas vajadzību risināšanu</w:t>
      </w:r>
      <w:r w:rsidRPr="00805442">
        <w:rPr>
          <w:rStyle w:val="FootnoteReference"/>
          <w:rFonts w:ascii="Times New Roman" w:hAnsi="Times New Roman" w:cs="Times New Roman"/>
          <w:noProof/>
          <w:sz w:val="24"/>
          <w:szCs w:val="24"/>
        </w:rPr>
        <w:footnoteReference w:customMarkFollows="1" w:id="46"/>
        <w:t>49</w:t>
      </w:r>
      <w:r w:rsidRPr="00805442">
        <w:rPr>
          <w:rFonts w:ascii="Times New Roman" w:hAnsi="Times New Roman" w:cs="Times New Roman"/>
          <w:sz w:val="24"/>
        </w:rPr>
        <w:t xml:space="preserve"> (Searle un Ahmad, 2005).</w:t>
      </w:r>
    </w:p>
    <w:p w14:paraId="417079C5" w14:textId="77777777" w:rsidR="009C58B8" w:rsidRPr="00805442" w:rsidRDefault="009C58B8" w:rsidP="009C58B8">
      <w:pPr>
        <w:pStyle w:val="ListParagraph"/>
        <w:tabs>
          <w:tab w:val="left" w:pos="1356"/>
        </w:tabs>
        <w:ind w:left="0"/>
        <w:rPr>
          <w:rFonts w:ascii="Times New Roman" w:hAnsi="Times New Roman" w:cs="Times New Roman"/>
          <w:noProof/>
          <w:sz w:val="24"/>
          <w:szCs w:val="24"/>
        </w:rPr>
      </w:pPr>
    </w:p>
    <w:p w14:paraId="6E66B4C3" w14:textId="77777777" w:rsidR="009C58B8" w:rsidRPr="00805442" w:rsidRDefault="009C58B8" w:rsidP="009C58B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54. </w:t>
      </w:r>
      <w:r w:rsidRPr="00805442">
        <w:rPr>
          <w:rFonts w:ascii="Times New Roman" w:hAnsi="Times New Roman" w:cs="Times New Roman"/>
          <w:i/>
          <w:sz w:val="24"/>
        </w:rPr>
        <w:t xml:space="preserve">Izdevumu vajadzībās balstīta izlīdzināšana </w:t>
      </w:r>
      <w:r w:rsidRPr="00805442">
        <w:rPr>
          <w:rFonts w:ascii="Times New Roman" w:hAnsi="Times New Roman" w:cs="Times New Roman"/>
          <w:sz w:val="24"/>
        </w:rPr>
        <w:t>risina atšķirības pašvaldību izdevumu prasībās, jo īpaši tad, ja vietējā mērogā netiek gūti pietiekami ieņēmumi. Spilgts piemērs ir Dienvidāfrika, kur izlīdzināšanas stratēģija lielā mērā ir vērsta uz provinču izdevumu vajadzību novērtēšanu.</w:t>
      </w:r>
      <w:r w:rsidRPr="00805442">
        <w:rPr>
          <w:rStyle w:val="FootnoteReference"/>
          <w:rFonts w:ascii="Times New Roman" w:hAnsi="Times New Roman" w:cs="Times New Roman"/>
          <w:noProof/>
          <w:sz w:val="24"/>
          <w:szCs w:val="24"/>
        </w:rPr>
        <w:footnoteReference w:customMarkFollows="1" w:id="47"/>
        <w:t>50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Tomēr provinču ierobežotā spēja radīt ieņēmumus sarežģī izlīdzināšanas programmu, ierobežojot valsts valdības spēju veicināt efektīvu resursu izmantošanu, piemēram, izmantojot līdzvērtīgas dotācijas. Šo problēmu pārvarēšanai Dienvidāfrikas Finanšu un fiskālā komisija ir ierosinājusi uz izmaksām balstītu pieeju. Šī metode liktu provincēm ņemt vērā reālās resursu pārdalīšanas izmaksas, tādējādi veicinot pārdomātākus budžeta lēmumus un motivējot tās rast rentablus veidus, kā sasniegt valsts līmenī noteiktos sociālo pakalpojumu mērķus, finansējuma piešķīrumiem precīzāk atspoguļojot vietējos sociālos apstākļus</w:t>
      </w:r>
      <w:r w:rsidRPr="00805442">
        <w:rPr>
          <w:rStyle w:val="FootnoteReference"/>
          <w:rFonts w:ascii="Times New Roman" w:hAnsi="Times New Roman" w:cs="Times New Roman"/>
          <w:noProof/>
          <w:sz w:val="24"/>
          <w:szCs w:val="24"/>
        </w:rPr>
        <w:footnoteReference w:customMarkFollows="1" w:id="48"/>
        <w:t>51</w:t>
      </w:r>
      <w:r w:rsidRPr="00805442">
        <w:rPr>
          <w:rFonts w:ascii="Times New Roman" w:hAnsi="Times New Roman" w:cs="Times New Roman"/>
          <w:sz w:val="24"/>
        </w:rPr>
        <w:t xml:space="preserve"> (Shah, 2017).</w:t>
      </w:r>
    </w:p>
    <w:p w14:paraId="07E488E4" w14:textId="77777777" w:rsidR="009C58B8" w:rsidRPr="00805442" w:rsidRDefault="009C58B8" w:rsidP="009C58B8">
      <w:pPr>
        <w:pStyle w:val="ListParagraph"/>
        <w:tabs>
          <w:tab w:val="left" w:pos="1356"/>
        </w:tabs>
        <w:ind w:left="0"/>
        <w:rPr>
          <w:rFonts w:ascii="Times New Roman" w:hAnsi="Times New Roman" w:cs="Times New Roman"/>
          <w:noProof/>
          <w:sz w:val="24"/>
          <w:szCs w:val="24"/>
        </w:rPr>
      </w:pPr>
    </w:p>
    <w:p w14:paraId="1A91EA3D" w14:textId="00D9574E" w:rsidR="009C58B8" w:rsidRPr="00805442" w:rsidRDefault="009C58B8" w:rsidP="009C58B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55. Tomēr šī uz izdevumiem vērstā pieeja rada savus izaicinājumus, tostarp risku uzsvērt neparedzētus stimulus. Tā kā Dienvidāfrikā izlīdzināšanas maksājumi tiek aprēķināti, balstoties uz kārtējo izdevumu līmeni, praksē tas bieži vien nozīmē to, ka provincēs aizvien </w:t>
      </w:r>
      <w:r w:rsidRPr="00805442">
        <w:rPr>
          <w:rFonts w:ascii="Times New Roman" w:hAnsi="Times New Roman" w:cs="Times New Roman"/>
          <w:sz w:val="24"/>
        </w:rPr>
        <w:lastRenderedPageBreak/>
        <w:t>tiek izmantoti vēsturiski pakalpojumu sniegšanas modeļi, atšķiras izmaksas un saglabājas neefektivitāte. Līdz ar to ar šādu stratēģiju netīši var tikt uzturēta esošā provinču neefektivitāte un iedibinātie pakalpojumu sniegšanas modeļi, apdraudot fiskālās izlīdzināšanas centienu mērķus.</w:t>
      </w:r>
      <w:r w:rsidRPr="00805442">
        <w:rPr>
          <w:rStyle w:val="FootnoteReference"/>
          <w:rFonts w:ascii="Times New Roman" w:hAnsi="Times New Roman" w:cs="Times New Roman"/>
          <w:noProof/>
          <w:sz w:val="24"/>
          <w:szCs w:val="24"/>
        </w:rPr>
        <w:footnoteReference w:customMarkFollows="1" w:id="49"/>
        <w:t>52</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Turklāt, piešķirot prioritāti izdevumu vajadzībām, pietiekami neņemot vērā pašu ieņēmumu radīšanas potenciālu, vājinās fiskālā disciplīna, potenciāli apdraudot vispārējo budžeta pārvaldības efektivitāti (Searle un Ahmad, 2005).</w:t>
      </w:r>
    </w:p>
    <w:p w14:paraId="5EBB1815" w14:textId="77777777" w:rsidR="009C58B8" w:rsidRPr="00805442" w:rsidRDefault="009C58B8" w:rsidP="009C58B8">
      <w:pPr>
        <w:pStyle w:val="ListParagraph"/>
        <w:tabs>
          <w:tab w:val="left" w:pos="1356"/>
        </w:tabs>
        <w:ind w:left="0"/>
        <w:rPr>
          <w:rFonts w:ascii="Times New Roman" w:hAnsi="Times New Roman" w:cs="Times New Roman"/>
          <w:noProof/>
          <w:sz w:val="24"/>
          <w:szCs w:val="24"/>
        </w:rPr>
      </w:pPr>
    </w:p>
    <w:p w14:paraId="0AAE3E04" w14:textId="4485C083" w:rsidR="009C58B8" w:rsidRPr="00805442" w:rsidRDefault="009C58B8" w:rsidP="009C58B8">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56. Izmantojot </w:t>
      </w:r>
      <w:r w:rsidRPr="00805442">
        <w:rPr>
          <w:rFonts w:ascii="Times New Roman" w:hAnsi="Times New Roman" w:cs="Times New Roman"/>
          <w:i/>
          <w:sz w:val="24"/>
        </w:rPr>
        <w:t>izlīdzināšanas dotācijas, kas balstītas gan uz ieņēmumu kapacitāti, gan izdevumu vajadzībām</w:t>
      </w:r>
      <w:r w:rsidRPr="00805442">
        <w:rPr>
          <w:rFonts w:ascii="Times New Roman" w:hAnsi="Times New Roman" w:cs="Times New Roman"/>
          <w:sz w:val="24"/>
        </w:rPr>
        <w:t>, tiek novērsti trūkumi, kas raksturīgi, ja vērš uzmanību tikai uz vienu vai otru aspektu. Šādas pieejas piemērs ir Vācijas Federālo zemju finanšu izlīdzināšanas shēma</w:t>
      </w:r>
      <w:r w:rsidRPr="00805442">
        <w:rPr>
          <w:rStyle w:val="FootnoteReference"/>
          <w:rFonts w:ascii="Times New Roman" w:hAnsi="Times New Roman" w:cs="Times New Roman"/>
          <w:noProof/>
          <w:sz w:val="24"/>
          <w:szCs w:val="24"/>
        </w:rPr>
        <w:footnoteReference w:customMarkFollows="1" w:id="50"/>
        <w:t>53</w:t>
      </w:r>
      <w:r w:rsidRPr="00805442">
        <w:rPr>
          <w:rFonts w:ascii="Times New Roman" w:hAnsi="Times New Roman" w:cs="Times New Roman"/>
          <w:sz w:val="24"/>
        </w:rPr>
        <w:t> – sarežģīta sistēma, kas izstrādāta, lai pārdalītu līdzekļus no turīgākām federālajām zemēm tām, kurām ir mazāki finanšu līdzekļi, tādējādi nodrošinot fiskālo līdzsvaru visā valstī. Šī sistēma ietver gan horizontālus pārvedumus starp federālajām zemēm, gan papildu vertikālās dotācijas no federālā līmeņa.</w:t>
      </w:r>
      <w:r w:rsidRPr="00805442">
        <w:rPr>
          <w:rStyle w:val="FootnoteReference"/>
          <w:rFonts w:ascii="Times New Roman" w:hAnsi="Times New Roman" w:cs="Times New Roman"/>
          <w:noProof/>
          <w:sz w:val="24"/>
          <w:szCs w:val="24"/>
        </w:rPr>
        <w:footnoteReference w:customMarkFollows="1" w:id="51"/>
        <w:t>54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Neraugoties uz iecerētajiem mērķiem, “Länderfinanzausgleich” sistēma tiek kritizēta par to, ka tā, iespējams, rada šķēršļus ekonomikas attīstībai, kā arī par tās pārdales formulas sarežģītību.</w:t>
      </w:r>
      <w:r w:rsidRPr="00805442">
        <w:rPr>
          <w:rStyle w:val="FootnoteReference"/>
          <w:rFonts w:ascii="Times New Roman" w:hAnsi="Times New Roman" w:cs="Times New Roman"/>
          <w:noProof/>
          <w:sz w:val="24"/>
          <w:szCs w:val="24"/>
        </w:rPr>
        <w:footnoteReference w:customMarkFollows="1" w:id="52"/>
        <w:t>55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Reaģējot uz to, sistēma ir vairākkārt reformēta ar mērķi pilnveidot pārdales kritērijus un novērst bažas par taisnīgumu un efektivitāti. Līdzīgi modeļi ir sastopami Austrālijā, Dānijā un Ķīnā, kur pieeja turpina attīstīties dinamiskā mijiedarbībā starp centrālajām valdībām un pašvaldībām (Dougherty un Forman, 2021).</w:t>
      </w:r>
    </w:p>
    <w:p w14:paraId="32D5EFA2" w14:textId="77777777" w:rsidR="009C58B8" w:rsidRPr="00805442" w:rsidRDefault="009C58B8" w:rsidP="009C58B8">
      <w:pPr>
        <w:pStyle w:val="ListParagraph"/>
        <w:tabs>
          <w:tab w:val="left" w:pos="1356"/>
        </w:tabs>
        <w:ind w:left="0"/>
        <w:rPr>
          <w:rFonts w:ascii="Times New Roman" w:hAnsi="Times New Roman" w:cs="Times New Roman"/>
          <w:noProof/>
          <w:sz w:val="24"/>
          <w:szCs w:val="24"/>
        </w:rPr>
      </w:pPr>
    </w:p>
    <w:p w14:paraId="08EBA592" w14:textId="77777777" w:rsidR="00B53019" w:rsidRPr="00805442" w:rsidRDefault="009C58B8"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57. Paļaušanās uz sīkiem un bieži novecojušiem datiem fiskālajā izlīdzināšanā rada nepieciešamību pieņemt subjektīvus lēmumus, patērējot ievērojamu laiku un resursus, un veicina sabiedrības skepsi par nodokļu ieņēmumu sadales taisnīgumu. Šo skepsi pastiprina tas, ka shēmas mēdz pasliktināt ekonomisko nestabilitāti ekonomiskās lejupslīdes laikā un radīt šķēršļus pašvaldībām panākt fiskālo izaugsmi vai dažādot nodokļu bāzes. No tā izrietošā stratēģiskā rīcība, piemēram, fiskālo spēju nepilnīga uzrādīšana, lai saņemtu lielākas dotācijas, apdraud fiskālā federālisma mērķus, mazinot autonomiju un proaktīvu fiskālo pārvaldību.</w:t>
      </w:r>
      <w:r w:rsidRPr="00805442">
        <w:rPr>
          <w:rStyle w:val="FootnoteReference"/>
          <w:rFonts w:ascii="Times New Roman" w:hAnsi="Times New Roman" w:cs="Times New Roman"/>
          <w:noProof/>
          <w:sz w:val="24"/>
          <w:szCs w:val="24"/>
        </w:rPr>
        <w:footnoteReference w:customMarkFollows="1" w:id="53"/>
        <w:t>56</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Tomēr šo faktoru precīza novērtēšana, ko bieži kavē ierobežoti dati, ir izaicinājums, tāpēc daudzas valstis izmanto vienkāršākus aizvietotājrādītājus vai galvenokārt vērš uzmanību uz ieņēmumu kapacitāti.</w:t>
      </w:r>
      <w:r w:rsidRPr="00805442">
        <w:rPr>
          <w:rStyle w:val="FootnoteReference"/>
          <w:rFonts w:ascii="Times New Roman" w:hAnsi="Times New Roman" w:cs="Times New Roman"/>
          <w:noProof/>
          <w:sz w:val="24"/>
          <w:szCs w:val="24"/>
        </w:rPr>
        <w:footnoteReference w:customMarkFollows="1" w:id="54"/>
        <w:t>57</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Šī pieeja, lai gan praktiska, var mazināt sistēmas paredzēto efektivitāti un pārskatāmību, potenciāli atstājot ietekmi uz turpmākām nodokļu reformām un izmaiņām atbildībā par izdevumiem (Ter-Minassian, 2021).</w:t>
      </w:r>
    </w:p>
    <w:p w14:paraId="2BFF9BD4" w14:textId="593159A3"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4BE9A342"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58.</w:t>
      </w:r>
      <w:r w:rsidRPr="00805442">
        <w:rPr>
          <w:rFonts w:ascii="Times New Roman" w:hAnsi="Times New Roman" w:cs="Times New Roman"/>
          <w:b/>
          <w:i/>
          <w:sz w:val="24"/>
        </w:rPr>
        <w:t xml:space="preserve"> Ieņēmumu sadale </w:t>
      </w:r>
      <w:r w:rsidRPr="00805442">
        <w:rPr>
          <w:rFonts w:ascii="Times New Roman" w:hAnsi="Times New Roman" w:cs="Times New Roman"/>
          <w:sz w:val="24"/>
        </w:rPr>
        <w:t>risina vertikālo fiskālo nelīdzsvarotību, papildinot pašvaldību ieņēmumu gūšanas kapacitāti, sadalot līdzekļus no augstākiem pārvaldes līmeņiem zemākiem. Ar šo stratēģiju tiek uzlabota pašvaldību izdevumu kapacitāte, tiek mazināta sociālekonomiskā ārējā ietekme un ņemtas vērā vietējās prasības pēc daļas no valsts nodokļu ieņēmumiem, nodrošinot stabilu finansējuma avotu budžeta plānošanai. Tā var izpausties dažādās formās, piemēram, piešķirot konkrētus nodokļu ieņēmumus, tādus kā pievienotās vērtības nodokli (PVN), ienākuma nodokli, vai sadalot noteiktu procentuālo daļu no kopējiem valsts ieņēmumiem. Piemēram, Brazīlijā Valsts līdzdalības fonds pārdala ienākuma un rūpniecības nodokļus no federālās valdības štatu valdībām. Austrālijā Valsts dotāciju komisija novērtē fiskālās kapacitātes, lai ieteiktu preču un pakalpojumu nodokļa ieņēmumu sadali starp štatiem un teritorijām. Vācijā PVN ieņēmumu sadale atbilstoši iedzīvotāju skaitam nodrošina atbalstu federālajām zemēm (</w:t>
      </w:r>
      <w:r w:rsidRPr="00805442">
        <w:rPr>
          <w:rFonts w:ascii="Times New Roman" w:hAnsi="Times New Roman" w:cs="Times New Roman"/>
          <w:i/>
          <w:iCs/>
          <w:sz w:val="24"/>
        </w:rPr>
        <w:t>Länder</w:t>
      </w:r>
      <w:r w:rsidRPr="00805442">
        <w:rPr>
          <w:rFonts w:ascii="Times New Roman" w:hAnsi="Times New Roman" w:cs="Times New Roman"/>
          <w:sz w:val="24"/>
        </w:rPr>
        <w:t>).</w:t>
      </w:r>
    </w:p>
    <w:p w14:paraId="06B50E11"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2DB70FDB"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59. Neskatoties uz ieņēmumu sadales priekšrocībām, tā var arī radīt specifiskus stimulus un izaicinājumus. Stabila valsts nodokļu ieņēmumu ieplūde var mazināt pašvaldību motivāciju attīstīt savu nodokļu bāzi vai uzlabot nodokļu iekasēšanas efektivitāti, radot atkarību no centrālās valdības līdzekļiem un samazinot vietējo fiskālo neatkarību un inovācijas. Turklāt ieņēmumu sadale var izraisīt pašvaldību budžeta svārstīgumu, īpaši ar procikliskiem nodokļiem</w:t>
      </w:r>
      <w:r w:rsidRPr="00805442">
        <w:rPr>
          <w:rStyle w:val="FootnoteReference"/>
          <w:rFonts w:ascii="Times New Roman" w:hAnsi="Times New Roman" w:cs="Times New Roman"/>
          <w:noProof/>
          <w:sz w:val="24"/>
          <w:szCs w:val="24"/>
        </w:rPr>
        <w:footnoteReference w:customMarkFollows="1" w:id="55"/>
        <w:t>58</w:t>
      </w:r>
      <w:r w:rsidRPr="00805442">
        <w:rPr>
          <w:rFonts w:ascii="Times New Roman" w:hAnsi="Times New Roman" w:cs="Times New Roman"/>
          <w:sz w:val="24"/>
        </w:rPr>
        <w:t xml:space="preserve"> vai ieņēmumiem no svārstīgām nozarēm, piemēram, dabas resursiem. Turklāt, ja piešķīrumi pienācīgi neatspoguļo katra reģiona dažādās fiskālās vajadzības un kapacitātes, ieņēmumu sadale var netīši veicināt reģionālo nevienlīdzību (Martinez-Vazquez un Searle, 2007; OECD, 2021; Shotton un Gankhuyag, 2021).</w:t>
      </w:r>
    </w:p>
    <w:p w14:paraId="7A598976"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6F5AFB9B" w14:textId="3A9F81B0"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60. </w:t>
      </w:r>
      <w:r w:rsidRPr="00805442">
        <w:rPr>
          <w:rFonts w:ascii="Times New Roman" w:hAnsi="Times New Roman" w:cs="Times New Roman"/>
          <w:b/>
          <w:i/>
          <w:sz w:val="24"/>
        </w:rPr>
        <w:t xml:space="preserve">Iztrūkuma aizpildīšanas pārvedumi </w:t>
      </w:r>
      <w:r w:rsidRPr="00805442">
        <w:rPr>
          <w:rFonts w:ascii="Times New Roman" w:hAnsi="Times New Roman" w:cs="Times New Roman"/>
          <w:sz w:val="24"/>
        </w:rPr>
        <w:t>ir specifiski finanšu piešķīrumi, kas izveidoti, lai aizpildītu plaisu starp pašvaldības gūstamajiem ieņēmumiem un tās izdevumu vajadzībām. Šie pārvedumi, kas parasti ir beznosacījumu, ir būtiski apstākļos, kad pašvaldībām ir ļoti ierobežotas ieņēmumu gūšanas iespējas. Tādos reģionos kā Dienvidāzija un valstīs, kuru tautsaimniecības vēsturiski nav bijušas balstītas tirgū,</w:t>
      </w:r>
      <w:r w:rsidRPr="00805442">
        <w:rPr>
          <w:rStyle w:val="FootnoteReference"/>
          <w:rFonts w:ascii="Times New Roman" w:hAnsi="Times New Roman" w:cs="Times New Roman"/>
          <w:noProof/>
          <w:sz w:val="24"/>
          <w:szCs w:val="24"/>
        </w:rPr>
        <w:footnoteReference w:customMarkFollows="1" w:id="56"/>
        <w:t>59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iztrūkuma aizpildīšanas pārvedumi ierasti ir radījuši pašvaldību atkarību no centrālās valdības līdzekļiem, bieži uz fiskālās disciplīnas un autonomijas rēķina. Šī atkarība rodas no stingras budžeta kontroles trūkuma, mazinot pašvaldību motivāciju piesardzīgi pārvaldīt savas finanses vai izpētīt veidus, kā uzlabot savu ieņēmumu gūšanu. Tomēr ir vērojams, ka aizvien biežāk tiek atzīti iztrūkumu aizpildīšanas pārvedumu neregulētas izmantošanas trūkumi. Aizvien vairāk valstu virzās uz stingrākas un caurredzamākas fiskālās pārvaldības prakses ieviešanu pašvaldību līmenī</w:t>
      </w:r>
      <w:r w:rsidRPr="00805442">
        <w:rPr>
          <w:rStyle w:val="FootnoteReference"/>
          <w:rFonts w:ascii="Times New Roman" w:hAnsi="Times New Roman" w:cs="Times New Roman"/>
          <w:noProof/>
          <w:sz w:val="24"/>
          <w:szCs w:val="24"/>
        </w:rPr>
        <w:footnoteReference w:customMarkFollows="1" w:id="57"/>
        <w:t>60</w:t>
      </w:r>
      <w:r w:rsidRPr="00805442">
        <w:rPr>
          <w:rFonts w:ascii="Times New Roman" w:hAnsi="Times New Roman" w:cs="Times New Roman"/>
          <w:sz w:val="24"/>
        </w:rPr>
        <w:t xml:space="preserve"> (Spahn, 2012; Shotton un Gankhuyag, 2021).</w:t>
      </w:r>
    </w:p>
    <w:p w14:paraId="4515FA4A"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10734DA4" w14:textId="399C59AC" w:rsidR="0068352E" w:rsidRPr="00805442" w:rsidRDefault="00B53019" w:rsidP="00B53019">
      <w:pPr>
        <w:pStyle w:val="Heading2"/>
        <w:tabs>
          <w:tab w:val="left" w:pos="1684"/>
        </w:tabs>
        <w:spacing w:before="0"/>
        <w:ind w:left="567"/>
        <w:jc w:val="both"/>
        <w:rPr>
          <w:rFonts w:ascii="Times New Roman" w:hAnsi="Times New Roman" w:cs="Times New Roman"/>
          <w:noProof/>
          <w:sz w:val="28"/>
          <w:szCs w:val="28"/>
          <w:u w:val="thick"/>
        </w:rPr>
      </w:pPr>
      <w:r w:rsidRPr="00805442">
        <w:rPr>
          <w:rFonts w:ascii="Times New Roman" w:hAnsi="Times New Roman" w:cs="Times New Roman"/>
          <w:sz w:val="28"/>
          <w:u w:val="thick"/>
        </w:rPr>
        <w:t>b. Noteiktai jomai paredzēti pārvedumi</w:t>
      </w:r>
    </w:p>
    <w:p w14:paraId="7DB88B9A" w14:textId="77777777" w:rsidR="00B53019" w:rsidRPr="00805442" w:rsidRDefault="00B53019" w:rsidP="00B53019">
      <w:pPr>
        <w:pStyle w:val="Heading2"/>
        <w:tabs>
          <w:tab w:val="left" w:pos="1684"/>
        </w:tabs>
        <w:spacing w:before="0"/>
        <w:ind w:left="567"/>
        <w:jc w:val="both"/>
        <w:rPr>
          <w:rFonts w:ascii="Times New Roman" w:hAnsi="Times New Roman" w:cs="Times New Roman"/>
          <w:noProof/>
          <w:sz w:val="28"/>
          <w:szCs w:val="28"/>
          <w:u w:val="thick"/>
        </w:rPr>
      </w:pPr>
    </w:p>
    <w:p w14:paraId="080FADBB"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61.</w:t>
      </w:r>
      <w:r w:rsidRPr="00805442">
        <w:rPr>
          <w:rFonts w:ascii="Times New Roman" w:hAnsi="Times New Roman" w:cs="Times New Roman"/>
          <w:b/>
          <w:i/>
          <w:sz w:val="24"/>
        </w:rPr>
        <w:t xml:space="preserve"> Globālās dotācijas </w:t>
      </w:r>
      <w:r w:rsidRPr="00805442">
        <w:rPr>
          <w:rFonts w:ascii="Times New Roman" w:hAnsi="Times New Roman" w:cs="Times New Roman"/>
          <w:sz w:val="24"/>
        </w:rPr>
        <w:t xml:space="preserve">ir izstrādātas, lai atbalstītu plašas izdevumu kategorijas pašvaldību līmenī, piemēram, izglītību, infrastruktūru un sociālās labklājības programmas. Lai gan šie līdzekļi ir iezīmēti plašām izdevumu kategorijām, pašvaldībām tomēr ir ievērojama rīcības </w:t>
      </w:r>
      <w:r w:rsidRPr="00805442">
        <w:rPr>
          <w:rFonts w:ascii="Times New Roman" w:hAnsi="Times New Roman" w:cs="Times New Roman"/>
          <w:sz w:val="24"/>
        </w:rPr>
        <w:lastRenderedPageBreak/>
        <w:t>brīvība attiecībā uz to izmantošanu attiecīgajās jomās</w:t>
      </w:r>
      <w:r w:rsidRPr="00805442">
        <w:rPr>
          <w:rStyle w:val="FootnoteReference"/>
          <w:rFonts w:ascii="Times New Roman" w:hAnsi="Times New Roman" w:cs="Times New Roman"/>
          <w:noProof/>
          <w:sz w:val="24"/>
          <w:szCs w:val="24"/>
        </w:rPr>
        <w:footnoteReference w:customMarkFollows="1" w:id="58"/>
        <w:t>61</w:t>
      </w:r>
      <w:r w:rsidRPr="00805442">
        <w:rPr>
          <w:rFonts w:ascii="Times New Roman" w:hAnsi="Times New Roman" w:cs="Times New Roman"/>
          <w:sz w:val="24"/>
        </w:rPr>
        <w:t>, šāda elastība atbilst pašvaldību autonomijai un veicina to</w:t>
      </w:r>
      <w:r w:rsidRPr="00805442">
        <w:rPr>
          <w:rStyle w:val="FootnoteReference"/>
          <w:rFonts w:ascii="Times New Roman" w:hAnsi="Times New Roman" w:cs="Times New Roman"/>
          <w:noProof/>
          <w:sz w:val="24"/>
          <w:szCs w:val="24"/>
        </w:rPr>
        <w:footnoteReference w:customMarkFollows="1" w:id="59"/>
        <w:t>62</w:t>
      </w:r>
      <w:r w:rsidRPr="00805442">
        <w:rPr>
          <w:rFonts w:ascii="Times New Roman" w:hAnsi="Times New Roman" w:cs="Times New Roman"/>
          <w:sz w:val="24"/>
        </w:rPr>
        <w:t>.</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ASV (3. ierāmējums) ar globālajām dotācijām ierasti ir finansētas dažādas iniciatīvas, tostarp infrastruktūras projekti, veselības aprūpe un kopienu attīstība. Arī Kanādā globālās dotācijas ir nozīmīgas, īpaši saistībā ar federālās valdības noteiktajām sociālajām programmām. Tomēr šīs dotācijas, kas tiek piešķirtas, ņemot vērā iedzīvotāju skaitu, var nebūt pietiekamas, tādēļ provincēm nepieciešams papildināt finansējumu ar saviem ieņēmumiem</w:t>
      </w:r>
      <w:r w:rsidRPr="00805442">
        <w:rPr>
          <w:rStyle w:val="FootnoteReference"/>
          <w:rFonts w:ascii="Times New Roman" w:hAnsi="Times New Roman" w:cs="Times New Roman"/>
          <w:noProof/>
          <w:sz w:val="24"/>
          <w:szCs w:val="24"/>
        </w:rPr>
        <w:footnoteReference w:customMarkFollows="1" w:id="60"/>
        <w:t>63</w:t>
      </w:r>
      <w:r w:rsidRPr="00805442">
        <w:rPr>
          <w:rFonts w:ascii="Times New Roman" w:hAnsi="Times New Roman" w:cs="Times New Roman"/>
          <w:sz w:val="24"/>
        </w:rPr>
        <w:t xml:space="preserve"> (Shah, 2006).</w:t>
      </w:r>
    </w:p>
    <w:p w14:paraId="0014C46C"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7EC61C45" w14:textId="6F42EE76"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62. Viena no būtiskākajām globālo dotāciju priekšrocībām ir to spēja mazināt “mušpapīra efektu”. Nodrošinot fiksētu summu bez līdzfinansējuma prasībām, globālās dotācijas veicina pārdomātākus un efektīvākus pašvaldību lēmumus par izdevumiem, potenciāli samazinot noslieci uz pārmērīgiem tēriņiem. Šī iezīmes dēļ ASV ir izskanējuši priekšlikumi pārveidot noteiktas līdzvērtīgas dotācijas, piemēram, “Medicaid”, par globālām dotācijām, lai veicinātu fiskālo atbildību un mazinātu “mušpapīra efektu” (Sutter, 2016).</w:t>
      </w:r>
    </w:p>
    <w:p w14:paraId="1AAAC5E9"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113781A0" w14:textId="0240E2B2" w:rsidR="0068352E" w:rsidRPr="00805442" w:rsidRDefault="00B53019" w:rsidP="00B53019">
      <w:pPr>
        <w:pStyle w:val="Heading2"/>
        <w:tabs>
          <w:tab w:val="left" w:pos="1685"/>
        </w:tabs>
        <w:spacing w:before="0"/>
        <w:ind w:left="567"/>
        <w:jc w:val="both"/>
        <w:rPr>
          <w:rFonts w:ascii="Times New Roman" w:hAnsi="Times New Roman" w:cs="Times New Roman"/>
          <w:noProof/>
          <w:sz w:val="28"/>
          <w:szCs w:val="28"/>
          <w:u w:val="thick"/>
        </w:rPr>
      </w:pPr>
      <w:r w:rsidRPr="00805442">
        <w:rPr>
          <w:rFonts w:ascii="Times New Roman" w:hAnsi="Times New Roman" w:cs="Times New Roman"/>
          <w:sz w:val="28"/>
          <w:u w:val="thick"/>
        </w:rPr>
        <w:t>c. Pārvedumi ar nosacījumiem</w:t>
      </w:r>
    </w:p>
    <w:p w14:paraId="0CA21B11" w14:textId="77777777" w:rsidR="00B53019" w:rsidRPr="00805442" w:rsidRDefault="00B53019" w:rsidP="00B53019">
      <w:pPr>
        <w:pStyle w:val="Heading2"/>
        <w:tabs>
          <w:tab w:val="left" w:pos="1685"/>
        </w:tabs>
        <w:spacing w:before="0"/>
        <w:ind w:left="567"/>
        <w:jc w:val="both"/>
        <w:rPr>
          <w:rFonts w:ascii="Times New Roman" w:hAnsi="Times New Roman" w:cs="Times New Roman"/>
          <w:noProof/>
          <w:sz w:val="28"/>
          <w:szCs w:val="28"/>
          <w:u w:val="thick"/>
        </w:rPr>
      </w:pPr>
    </w:p>
    <w:p w14:paraId="197482A9" w14:textId="124F6719"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63.</w:t>
      </w:r>
      <w:r w:rsidRPr="00805442">
        <w:rPr>
          <w:rFonts w:ascii="Times New Roman" w:hAnsi="Times New Roman" w:cs="Times New Roman"/>
          <w:b/>
          <w:i/>
          <w:sz w:val="24"/>
        </w:rPr>
        <w:t xml:space="preserve"> Pārvedumi ar nosacījumiem</w:t>
      </w:r>
      <w:r w:rsidRPr="00805442">
        <w:rPr>
          <w:rFonts w:ascii="Times New Roman" w:hAnsi="Times New Roman" w:cs="Times New Roman"/>
          <w:sz w:val="24"/>
        </w:rPr>
        <w:t>, ko parasti dēvē par mērķdotācijām jeb dotācijām noteiktiem mērķiem, ir izstrādāti, lai virzītu pašvaldības uz konkrētu programmu vai iniciatīvu īstenošanu. Šie pārvedumi var būt regulāri, lai sniegtu stabilu elementu pašvaldību finanšu plānošanā, vai diskrecionāri, lai risinātu unikālas vajadzības vai apstākļus. Tie parasti ietver nosacījumus, kas ir vai nu uz ieguldījumiem balstīti, norādot izdevumu veidus, ko tie sedz, vai arī uz rezultātiem balstīti, sasaistot finansējumu ar konkrētiem pakalpojumu iznākumiem. Uz ieguldījumiem balstīti nosacījumi parasti ir striktāki, ļaujot pašvaldībām līdzekļus tērēt tikai iepriekš noteiktām izdevumu kategorijām, savukārt uz rezultātiem balstīti nosacījumi piedāvā lielāku elastību atbilstoši plašākiem mērķiem, vienlaikus respektējot vietējo autonomiju (Shah, 2006).</w:t>
      </w:r>
    </w:p>
    <w:p w14:paraId="3A591DE3"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19C22D61"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64. Mērķdotāciju piešķiršana var radīt bažas par taisnīgumu, jo īpaši tad, kad ar tām nesamērīgi tiek atbalstīti reģioni ar jau esošu infrastruktūru, tādējādi pastiprinot reģionālo nevienlīdzību.</w:t>
      </w:r>
      <w:r w:rsidRPr="00805442">
        <w:rPr>
          <w:rStyle w:val="FootnoteReference"/>
          <w:rFonts w:ascii="Times New Roman" w:hAnsi="Times New Roman" w:cs="Times New Roman"/>
          <w:noProof/>
          <w:sz w:val="24"/>
          <w:szCs w:val="24"/>
        </w:rPr>
        <w:footnoteReference w:customMarkFollows="1" w:id="61"/>
        <w:t>64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Turklāt šīs dotācijas var tikt uzskatītas par centrālās valdības iejaukšanos jomās, ko ierasti pārvalda pašvaldības, radot jautājumus par recentralizāciju (Shotton un Gankhuyag, 2021).</w:t>
      </w:r>
    </w:p>
    <w:p w14:paraId="25C0495F"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63D7F068"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65. Uzraudzīt dotāciju ar nosacījumiem efektīvu izmantošanu ir liels izaicinājums centrālajām valdībām, kā dēļ pašvaldības bieži iegūst neuzskaitītu papildu finansējumu. Šis uzraudzības izaicinājums ir bijis īpaši problemātisks Latīņamerikā, kur plašā mērķdotāciju izmantošana nav konsekventi izraisījusi gaidīto pašvaldību pārskatatbildību. Tomēr tādas stratēģijas kā atkārtota mijiedarbība vai līgumiskas vienošanās var uzlabot šo dotāciju pārvaldību un </w:t>
      </w:r>
      <w:r w:rsidRPr="00805442">
        <w:rPr>
          <w:rFonts w:ascii="Times New Roman" w:hAnsi="Times New Roman" w:cs="Times New Roman"/>
          <w:sz w:val="24"/>
        </w:rPr>
        <w:lastRenderedPageBreak/>
        <w:t>pārskatatbildību, nodrošinot, ka tās pilda paredzētos mērķus (Searle un Ahmad, 2005).</w:t>
      </w:r>
    </w:p>
    <w:p w14:paraId="1318011B"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264F60C3" w14:textId="77777777" w:rsidR="00B53019" w:rsidRPr="00805442" w:rsidRDefault="00B53019" w:rsidP="00B73DD7">
      <w:pPr>
        <w:pStyle w:val="ListParagraph"/>
        <w:keepNext/>
        <w:keepLines/>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66. Unikāls dažu nosacījumu pārvedumu aspekts ir to līdzfinansējuma prasības, kas paredz, ka pašvaldība no sava budžeta piešķir dotācijai līdzvērtīgu summu. Šie nosacījumi, kas var būt neierobežoti bez maksimālā limita vai ierobežoti, nosakot noteiktu summu, veicina vietējās investīcijas un līdzdalību finansētajos projektos.</w:t>
      </w:r>
    </w:p>
    <w:p w14:paraId="047F03B5"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1AAD17A5"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67. </w:t>
      </w:r>
      <w:r w:rsidRPr="00805442">
        <w:rPr>
          <w:rFonts w:ascii="Times New Roman" w:hAnsi="Times New Roman" w:cs="Times New Roman"/>
          <w:b/>
          <w:i/>
          <w:sz w:val="24"/>
        </w:rPr>
        <w:t xml:space="preserve">Nosacījumu dotācijas, kas nav līdzvērtīgas, </w:t>
      </w:r>
      <w:r w:rsidRPr="00805442">
        <w:rPr>
          <w:rFonts w:ascii="Times New Roman" w:hAnsi="Times New Roman" w:cs="Times New Roman"/>
          <w:sz w:val="24"/>
        </w:rPr>
        <w:t>ir stratēģiski instrumenti augstāka līmeņa valdībām, lai finansētu projektus, ko pašvaldības var neuzskatīt par prioritāti. Šīs dotācijas ir īpaši noderīgas attiecībā uz iniciatīvām ar nozīmīgiem plašākiem ieguvumiem,</w:t>
      </w:r>
      <w:r w:rsidRPr="00805442">
        <w:rPr>
          <w:rStyle w:val="FootnoteReference"/>
          <w:rFonts w:ascii="Times New Roman" w:hAnsi="Times New Roman" w:cs="Times New Roman"/>
          <w:noProof/>
          <w:sz w:val="24"/>
          <w:szCs w:val="24"/>
        </w:rPr>
        <w:footnoteReference w:customMarkFollows="1" w:id="62"/>
        <w:t>65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nodrošinot, ka šādi projekti saskan ar federālajiem mērķiem, īpaši tad, kad konkrētus mērķus pārvalda specializēti departamenti, nevis centralizētas iestādes, piemēram, Finanšu ministrija. Šī pieeja novērš līdzekļu novirzīšanu, nodrošinot, ka piešķīrumi tiek izmantoti paredzētajam mērķim, un aizsargājot pret resursu nepareizu sadalīšanu, tādējādi saglabājot valsts un vietējo prioritāšu integritāti un novirzot līdzekļus to paredzētajiem mērķiem (Shah, 2006).</w:t>
      </w:r>
    </w:p>
    <w:p w14:paraId="6E37FAD6"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4A4422D4" w14:textId="79E5EA4D"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68. </w:t>
      </w:r>
      <w:r w:rsidRPr="00805442">
        <w:rPr>
          <w:rFonts w:ascii="Times New Roman" w:hAnsi="Times New Roman" w:cs="Times New Roman"/>
          <w:b/>
          <w:i/>
          <w:sz w:val="24"/>
        </w:rPr>
        <w:t>Nosacījumu līdzvērtīgas dotācijas</w:t>
      </w:r>
      <w:r w:rsidRPr="00805442">
        <w:rPr>
          <w:rFonts w:ascii="Times New Roman" w:hAnsi="Times New Roman" w:cs="Times New Roman"/>
          <w:sz w:val="24"/>
        </w:rPr>
        <w:t>, kas bieži tiek izmantotas izmaksu dalīšanas programmās, saņēmējiem uzliek pienākumu izmantot līdzekļus konkrētiem mērķiem un ieguldīt arī savus resursus. Šīs dotācijas darbojas kā centrālās valdības dotācijas pašvaldībām noteiktiem sektoriem, radot gan ienākumu, gan aizstāšanas efektus. Ienākumu efekts palielina pieprasījumu pēc pakalpojumiem subsidētajā sektorā, pateicoties papildu resursu pieplūdumam. Aizstāšanas efekts padara subsidēto sektoru relatīvi lētāku, mudinot kopienas novirzīt tur vairāk savu budžeta līdzekļu.</w:t>
      </w:r>
      <w:r w:rsidRPr="00805442">
        <w:rPr>
          <w:rStyle w:val="FootnoteReference"/>
          <w:rFonts w:ascii="Times New Roman" w:hAnsi="Times New Roman" w:cs="Times New Roman"/>
          <w:noProof/>
          <w:sz w:val="24"/>
          <w:szCs w:val="24"/>
        </w:rPr>
        <w:footnoteReference w:customMarkFollows="1" w:id="63"/>
        <w:t>66</w:t>
      </w:r>
    </w:p>
    <w:p w14:paraId="32F9043F" w14:textId="77777777" w:rsidR="0068352E" w:rsidRPr="00805442" w:rsidRDefault="0068352E" w:rsidP="00F92C74">
      <w:pPr>
        <w:pStyle w:val="BodyText"/>
        <w:jc w:val="both"/>
        <w:rPr>
          <w:rFonts w:ascii="Times New Roman" w:hAnsi="Times New Roman" w:cs="Times New Roman"/>
          <w:noProof/>
          <w:sz w:val="24"/>
          <w:szCs w:val="24"/>
        </w:rPr>
      </w:pPr>
    </w:p>
    <w:p w14:paraId="1624A793" w14:textId="6C05241E"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69. ASV programma “Medicaid” ir izcils piemērs nosacījumu līdzvērtīgām dotācijām – federālie līdzekļi tiek piešķirti atbilstoši pašu štatu izdevumiem, lai veicinātu investīcijas veselības aprūpē</w:t>
      </w:r>
      <w:r w:rsidRPr="00805442">
        <w:rPr>
          <w:rStyle w:val="FootnoteReference"/>
          <w:rFonts w:ascii="Times New Roman" w:hAnsi="Times New Roman" w:cs="Times New Roman"/>
          <w:noProof/>
          <w:sz w:val="24"/>
          <w:szCs w:val="24"/>
        </w:rPr>
        <w:footnoteReference w:customMarkFollows="1" w:id="64"/>
        <w:t>67</w:t>
      </w:r>
      <w:r w:rsidRPr="00805442">
        <w:rPr>
          <w:rFonts w:ascii="Times New Roman" w:hAnsi="Times New Roman" w:cs="Times New Roman"/>
          <w:sz w:val="24"/>
        </w:rPr>
        <w:t xml:space="preserve"> (Sutter, 2016). Spānijā sabiedriskā transporta subsīdijas ir saistītas ar vietējiem ieguldījumiem transporta sistēmu uzlabošanai.</w:t>
      </w:r>
      <w:r w:rsidRPr="00805442">
        <w:rPr>
          <w:rStyle w:val="FootnoteReference"/>
          <w:rFonts w:ascii="Times New Roman" w:hAnsi="Times New Roman" w:cs="Times New Roman"/>
          <w:noProof/>
          <w:sz w:val="24"/>
          <w:szCs w:val="24"/>
        </w:rPr>
        <w:footnoteReference w:customMarkFollows="1" w:id="65"/>
        <w:t>68</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Apvienotajā Karalistē Cenas ziņā pieejamo mājokļu programma</w:t>
      </w:r>
      <w:r w:rsidRPr="00805442">
        <w:rPr>
          <w:rStyle w:val="FootnoteReference"/>
          <w:rFonts w:ascii="Times New Roman" w:hAnsi="Times New Roman" w:cs="Times New Roman"/>
          <w:noProof/>
          <w:sz w:val="24"/>
          <w:szCs w:val="24"/>
        </w:rPr>
        <w:footnoteReference w:customMarkFollows="1" w:id="66"/>
        <w:t>69</w:t>
      </w:r>
      <w:r w:rsidRPr="00805442">
        <w:rPr>
          <w:rFonts w:ascii="Times New Roman" w:hAnsi="Times New Roman" w:cs="Times New Roman"/>
          <w:sz w:val="24"/>
        </w:rPr>
        <w:t xml:space="preserve"> (4. ierāmējums) un Francijā iniciatīvas atjaunojamās enerģijas projektu atbalstīšanai arī darbojas saskaņā ar līdzfinansēšanas principu, vietējos līdzekļus papildinot ar valsts iemaksām, lai veicinātu attiecīgo nozaru attīstību.</w:t>
      </w:r>
    </w:p>
    <w:p w14:paraId="632C248D" w14:textId="77777777" w:rsidR="00A47D09" w:rsidRPr="00805442" w:rsidRDefault="00A47D09" w:rsidP="00F92C74">
      <w:pPr>
        <w:jc w:val="both"/>
        <w:rPr>
          <w:rFonts w:ascii="Times New Roman" w:hAnsi="Times New Roman" w:cs="Times New Roman"/>
          <w:noProof/>
          <w:sz w:val="24"/>
          <w:szCs w:val="24"/>
        </w:rPr>
      </w:pPr>
    </w:p>
    <w:p w14:paraId="489C47F2" w14:textId="08E22F9C"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70. Tomēr līdzfinansējuma prasības dažkārt var radīt neparedzētu finanšu pārdali, kas ne vienmēr nāk par labu mērķa kopienām. Piemēram, Dānijā līdzvērtīgas dotācijas ir kritizētas par to, ka tās izraisa izdevumu pieaugumu un augstāku nodokļu slogu. Jaunattīstības valstīs, kur finanšu resursi ir ierobežotāki, šīs līdzfinansējuma prasības var liegt nabadzīgākiem reģioniem pilnībā izmantot dotāciju priekšrocības, tādējādi pastiprinot reģionālās atšķirības (Lotz, 2006).</w:t>
      </w:r>
    </w:p>
    <w:p w14:paraId="5BD6D2CD"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4049D2BD" w14:textId="5DDA218E" w:rsidR="00B53019" w:rsidRPr="00805442" w:rsidRDefault="00B53019" w:rsidP="00FD4113">
      <w:pPr>
        <w:pStyle w:val="ListParagraph"/>
        <w:keepNext/>
        <w:keepLines/>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71. Nosacījumu līdzvērtīgas dotācijas tiek iedalītas neierobežota un ierobežota apmēra dotācijās. </w:t>
      </w:r>
      <w:r w:rsidRPr="00805442">
        <w:rPr>
          <w:rFonts w:ascii="Times New Roman" w:hAnsi="Times New Roman" w:cs="Times New Roman"/>
          <w:b/>
          <w:i/>
          <w:sz w:val="24"/>
        </w:rPr>
        <w:t xml:space="preserve">Neierobežota apmēra nosacījumu līdzvērtīgas dotācijas </w:t>
      </w:r>
      <w:r w:rsidRPr="00805442">
        <w:rPr>
          <w:rFonts w:ascii="Times New Roman" w:hAnsi="Times New Roman" w:cs="Times New Roman"/>
          <w:sz w:val="24"/>
        </w:rPr>
        <w:t>paredz neierobežotu līdzfinansējumu, kas var novērst neefektivitāti, ko rada plašāka ietekme vai ārējā ietekme, pielāgojot līdzfinansējuma apjomu vai likmi atbilstoši plašākās ietekmes mērogam.</w:t>
      </w:r>
      <w:r w:rsidRPr="00805442">
        <w:rPr>
          <w:rStyle w:val="FootnoteReference"/>
          <w:rFonts w:ascii="Times New Roman" w:hAnsi="Times New Roman" w:cs="Times New Roman"/>
          <w:noProof/>
          <w:sz w:val="24"/>
          <w:szCs w:val="24"/>
        </w:rPr>
        <w:footnoteReference w:customMarkFollows="1" w:id="67"/>
        <w:t>70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Tomēr tās var nepietiekami risināt fiskālās kapacitātes atšķirības, jo turīgākām pašvaldībām ir labākas iespējas izpildīt līdzfinansēšanas kritērijus nekā tām, kurām ir mazāk resursu, potenciāli mazinot sistēmas taisnīgumu. Šīs problēmas risināšanai var būt nepieciešams papildu atbalsts, lai uzlabotu ekonomiski vājāku pašvaldību finansiālo stāvokli (Shah, 2006).</w:t>
      </w:r>
    </w:p>
    <w:p w14:paraId="3B6697A6" w14:textId="77777777" w:rsidR="00B53019" w:rsidRPr="00805442" w:rsidRDefault="00B53019" w:rsidP="00B53019">
      <w:pPr>
        <w:pStyle w:val="ListParagraph"/>
        <w:tabs>
          <w:tab w:val="left" w:pos="1356"/>
        </w:tabs>
        <w:ind w:left="0"/>
        <w:rPr>
          <w:rFonts w:ascii="Times New Roman" w:hAnsi="Times New Roman" w:cs="Times New Roman"/>
          <w:noProof/>
          <w:sz w:val="24"/>
          <w:szCs w:val="24"/>
        </w:rPr>
      </w:pPr>
    </w:p>
    <w:p w14:paraId="247C0E1F" w14:textId="26987D24" w:rsidR="0068352E" w:rsidRPr="00805442" w:rsidRDefault="00B53019" w:rsidP="00B53019">
      <w:pPr>
        <w:pStyle w:val="ListParagraph"/>
        <w:tabs>
          <w:tab w:val="left" w:pos="1356"/>
        </w:tabs>
        <w:ind w:left="0"/>
        <w:rPr>
          <w:rFonts w:ascii="Times New Roman" w:hAnsi="Times New Roman" w:cs="Times New Roman"/>
          <w:noProof/>
          <w:sz w:val="24"/>
          <w:szCs w:val="24"/>
        </w:rPr>
      </w:pPr>
      <w:r w:rsidRPr="00805442">
        <w:rPr>
          <w:rFonts w:ascii="Times New Roman" w:hAnsi="Times New Roman" w:cs="Times New Roman"/>
          <w:sz w:val="24"/>
        </w:rPr>
        <w:t xml:space="preserve">72. Savukārt </w:t>
      </w:r>
      <w:r w:rsidRPr="00805442">
        <w:rPr>
          <w:rFonts w:ascii="Times New Roman" w:hAnsi="Times New Roman" w:cs="Times New Roman"/>
          <w:b/>
          <w:i/>
          <w:sz w:val="24"/>
        </w:rPr>
        <w:t xml:space="preserve">ierobežota apmēra nosacījumu līdzvērtīgas dotācijas </w:t>
      </w:r>
      <w:r w:rsidRPr="00805442">
        <w:rPr>
          <w:rFonts w:ascii="Times New Roman" w:hAnsi="Times New Roman" w:cs="Times New Roman"/>
          <w:sz w:val="24"/>
        </w:rPr>
        <w:t>ir iepriekš noteikts maksimālais limits, kas palīdz iestādēm efektīvāk pārvaldīt finanšu izmaksas. Šāda kārtība uzlabo pārskatatbildību un pārskatāmību izdevumu jomā. Tomēr šīs dotācijas, kas bieži vien ir paredzētas konkrētiem pakalpojumiem vai projektiem, var radīt neefektivitāti, veicinot nesamērīgus izdevumus noteiktās jomās, potenciāli atstājot novārtā citas būtiskas nozares.</w:t>
      </w:r>
    </w:p>
    <w:p w14:paraId="46367B66" w14:textId="2AC4CF57" w:rsidR="0068352E" w:rsidRPr="00805442" w:rsidRDefault="0068352E" w:rsidP="00F92C74">
      <w:pPr>
        <w:pStyle w:val="BodyText"/>
        <w:jc w:val="both"/>
        <w:rPr>
          <w:rFonts w:ascii="Times New Roman" w:hAnsi="Times New Roman" w:cs="Times New Roman"/>
          <w:noProof/>
          <w:sz w:val="24"/>
          <w:szCs w:val="24"/>
        </w:rPr>
      </w:pPr>
    </w:p>
    <w:tbl>
      <w:tblPr>
        <w:tblStyle w:val="TableGrid"/>
        <w:tblW w:w="0" w:type="auto"/>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shd w:val="clear" w:color="auto" w:fill="EAF1DD" w:themeFill="accent3" w:themeFillTint="33"/>
        <w:tblCellMar>
          <w:top w:w="28" w:type="dxa"/>
          <w:left w:w="28" w:type="dxa"/>
          <w:bottom w:w="28" w:type="dxa"/>
          <w:right w:w="28" w:type="dxa"/>
        </w:tblCellMar>
        <w:tblLook w:val="04A0" w:firstRow="1" w:lastRow="0" w:firstColumn="1" w:lastColumn="0" w:noHBand="0" w:noVBand="1"/>
      </w:tblPr>
      <w:tblGrid>
        <w:gridCol w:w="9128"/>
      </w:tblGrid>
      <w:tr w:rsidR="00B53019" w:rsidRPr="00805442" w14:paraId="25C9EB63" w14:textId="77777777" w:rsidTr="00FD4113">
        <w:tc>
          <w:tcPr>
            <w:tcW w:w="9288" w:type="dxa"/>
            <w:shd w:val="clear" w:color="auto" w:fill="EAF1DD" w:themeFill="accent3" w:themeFillTint="33"/>
          </w:tcPr>
          <w:p w14:paraId="4A2E4BD9" w14:textId="77777777" w:rsidR="00B53019" w:rsidRPr="00805442" w:rsidRDefault="00B53019" w:rsidP="00B53019">
            <w:pPr>
              <w:pStyle w:val="BodyText"/>
              <w:ind w:left="113" w:right="113"/>
              <w:jc w:val="both"/>
              <w:rPr>
                <w:rFonts w:ascii="Times New Roman" w:hAnsi="Times New Roman" w:cs="Times New Roman"/>
                <w:noProof/>
                <w:sz w:val="24"/>
                <w:szCs w:val="24"/>
              </w:rPr>
            </w:pPr>
          </w:p>
          <w:p w14:paraId="633B032C" w14:textId="052DD418" w:rsidR="00B53019" w:rsidRPr="00805442" w:rsidRDefault="00B53019" w:rsidP="00B53019">
            <w:pPr>
              <w:pStyle w:val="Heading1"/>
              <w:ind w:left="142"/>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4. ierāmējums. Valsts piemērs – Apvienotā Karaliste</w:t>
            </w:r>
          </w:p>
          <w:p w14:paraId="18C0707A" w14:textId="77777777" w:rsidR="00B53019" w:rsidRPr="00805442" w:rsidRDefault="00B53019" w:rsidP="00B53019">
            <w:pPr>
              <w:pStyle w:val="BodyText"/>
              <w:ind w:left="113" w:right="113"/>
              <w:jc w:val="both"/>
              <w:rPr>
                <w:rFonts w:ascii="Times New Roman" w:hAnsi="Times New Roman" w:cs="Times New Roman"/>
                <w:noProof/>
                <w:sz w:val="24"/>
                <w:szCs w:val="24"/>
              </w:rPr>
            </w:pPr>
          </w:p>
          <w:p w14:paraId="69F591D0" w14:textId="77777777" w:rsidR="00B53019" w:rsidRPr="00805442" w:rsidRDefault="00B53019" w:rsidP="00B53019">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Analizētajā periodā Apvienotajā Karalistē SFP bija divi atšķirīgi modeļi. Sākotnēji, 2000. gadu sākumā, kas sakrita ar devolūcijas procesa sākumu, dotācijas pakāpeniski palielinājās par aptuveni 2 % no IKP. Šī augšupejošā tendence sasniedza kulmināciju 2010. gadā ar taupības programmas ieviešanu, kuras mērķis bija risināt globālās finanšu krīzes radītās fiskālās ilgtspējas problēmas. Kā liecina 11. attēlā sniegtie dati, šis fiskālās konsolidācijas periods ilga desmit gadus līdz pandēmijas sākumam 2020. gadā. Minētajā gadā bija vērojams būtisks dotāciju pieaugums, pārtraucot septiņu gadu lejupslīdi, turklāt vislielākais kāpums tika novērots ekonomisko lietu sektorā.</w:t>
            </w:r>
          </w:p>
          <w:p w14:paraId="2B154063" w14:textId="77777777" w:rsidR="00B53019" w:rsidRPr="00805442" w:rsidRDefault="00B53019" w:rsidP="00B53019">
            <w:pPr>
              <w:pStyle w:val="BodyText"/>
              <w:ind w:left="113" w:right="113"/>
              <w:jc w:val="both"/>
              <w:rPr>
                <w:rFonts w:ascii="Times New Roman" w:hAnsi="Times New Roman" w:cs="Times New Roman"/>
                <w:noProof/>
                <w:sz w:val="24"/>
                <w:szCs w:val="24"/>
              </w:rPr>
            </w:pPr>
          </w:p>
          <w:p w14:paraId="0CE7C8CF" w14:textId="77777777" w:rsidR="00B53019" w:rsidRPr="00805442" w:rsidRDefault="00B53019" w:rsidP="00B53019">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 xml:space="preserve">Paralēli ir mainījusies arī pārvedumu struktūra. Dotācijas vispārējiem sabiedriskajiem pakalpojumiem, kas nav iezīmētas konkrētam mērķim, sāka ievērojami samazināties, sākot no 2009. gada, un šī tendence turpinās. Savukārt pārvedumi mājokļiem un sabiedriskajiem labumiem kopš 2009. gada ir pieauguši. Šis pieaugums lielā mērā ir saistīts ar mājokļu pabalsta paplašināšanu; lai gan šis pabalsts tiek administrēts vietējā līmenī, tas tiek finansēts no centrālās valdības līdzekļiem. Jāatzīmē, ka ar mājokļiem saistītie pārvedumi veido tikai 1,5 % no kopējiem pārvedumiem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bet tie veido 18,3 % no visiem pārvedumiem Apvienotajā Karalistē.</w:t>
            </w:r>
          </w:p>
          <w:p w14:paraId="517A4228" w14:textId="77777777" w:rsidR="00B53019" w:rsidRPr="00805442" w:rsidRDefault="00B53019" w:rsidP="00B53019">
            <w:pPr>
              <w:pStyle w:val="BodyText"/>
              <w:ind w:left="113" w:right="113"/>
              <w:jc w:val="both"/>
              <w:rPr>
                <w:rFonts w:ascii="Times New Roman" w:hAnsi="Times New Roman" w:cs="Times New Roman"/>
                <w:noProof/>
                <w:sz w:val="24"/>
                <w:szCs w:val="24"/>
              </w:rPr>
            </w:pPr>
          </w:p>
          <w:p w14:paraId="69FA3E66" w14:textId="77777777" w:rsidR="00B53019" w:rsidRPr="00805442" w:rsidRDefault="00B53019" w:rsidP="00B53019">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 xml:space="preserve">Apvienotajā Karalistē dotācijas ir ļoti līdzsvaroti sadalītas pa politikas jomām. Izglītība ir lielākā kategorija, kam cieši seko trīs citas līdzvērtīgas nozares – mājokļi, ekonomiskās lietas un sociālā aizsardzība. Tāpat kā mājokļu dotācijas, arī sabiedriskās kārtības un drošības pārvedumi ir nesamērīgi augsti, salīdzinot ar citām datubāzē iekļautajām </w:t>
            </w:r>
            <w:r w:rsidRPr="00805442">
              <w:rPr>
                <w:rFonts w:ascii="Times New Roman" w:hAnsi="Times New Roman" w:cs="Times New Roman"/>
                <w:i/>
                <w:iCs/>
                <w:sz w:val="24"/>
              </w:rPr>
              <w:t>OECD</w:t>
            </w:r>
            <w:r w:rsidRPr="00805442">
              <w:rPr>
                <w:rFonts w:ascii="Times New Roman" w:hAnsi="Times New Roman" w:cs="Times New Roman"/>
                <w:sz w:val="24"/>
              </w:rPr>
              <w:t xml:space="preserve"> valstīm.</w:t>
            </w:r>
          </w:p>
          <w:p w14:paraId="3B9D8A28" w14:textId="330F646C" w:rsidR="00D331E7" w:rsidRPr="00805442" w:rsidRDefault="00D331E7" w:rsidP="00B53019">
            <w:pPr>
              <w:pStyle w:val="BodyText"/>
              <w:ind w:left="113" w:right="113"/>
              <w:jc w:val="both"/>
              <w:rPr>
                <w:rFonts w:ascii="Times New Roman" w:hAnsi="Times New Roman" w:cs="Times New Roman"/>
                <w:noProof/>
                <w:sz w:val="24"/>
                <w:szCs w:val="24"/>
              </w:rPr>
            </w:pPr>
          </w:p>
        </w:tc>
      </w:tr>
    </w:tbl>
    <w:p w14:paraId="3328E47A" w14:textId="77777777" w:rsidR="0068352E" w:rsidRPr="00805442" w:rsidRDefault="0068352E" w:rsidP="00F92C74">
      <w:pPr>
        <w:pStyle w:val="BodyText"/>
        <w:jc w:val="both"/>
        <w:rPr>
          <w:rFonts w:ascii="Times New Roman" w:hAnsi="Times New Roman" w:cs="Times New Roman"/>
          <w:noProof/>
          <w:sz w:val="24"/>
          <w:szCs w:val="24"/>
        </w:rPr>
      </w:pPr>
    </w:p>
    <w:p w14:paraId="2F53A050" w14:textId="77777777" w:rsidR="00B53019" w:rsidRPr="00805442" w:rsidRDefault="00B53019" w:rsidP="00F92C74">
      <w:pPr>
        <w:pStyle w:val="BodyText"/>
        <w:jc w:val="both"/>
        <w:rPr>
          <w:rFonts w:ascii="Times New Roman" w:hAnsi="Times New Roman" w:cs="Times New Roman"/>
          <w:noProof/>
          <w:sz w:val="24"/>
          <w:szCs w:val="24"/>
        </w:rPr>
      </w:pPr>
    </w:p>
    <w:tbl>
      <w:tblPr>
        <w:tblStyle w:val="TableGrid"/>
        <w:tblW w:w="0" w:type="auto"/>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shd w:val="clear" w:color="auto" w:fill="EAF1DD" w:themeFill="accent3" w:themeFillTint="33"/>
        <w:tblLook w:val="04A0" w:firstRow="1" w:lastRow="0" w:firstColumn="1" w:lastColumn="0" w:noHBand="0" w:noVBand="1"/>
      </w:tblPr>
      <w:tblGrid>
        <w:gridCol w:w="9288"/>
      </w:tblGrid>
      <w:tr w:rsidR="00B53019" w:rsidRPr="00805442" w14:paraId="176D064D" w14:textId="77777777" w:rsidTr="00EC0538">
        <w:trPr>
          <w:trHeight w:val="1690"/>
        </w:trPr>
        <w:tc>
          <w:tcPr>
            <w:tcW w:w="9288" w:type="dxa"/>
            <w:shd w:val="clear" w:color="auto" w:fill="EAF1DD" w:themeFill="accent3" w:themeFillTint="33"/>
          </w:tcPr>
          <w:p w14:paraId="5A2157CC" w14:textId="77777777" w:rsidR="00080AF4" w:rsidRPr="00805442" w:rsidRDefault="00080AF4" w:rsidP="00826C7B">
            <w:pPr>
              <w:pStyle w:val="Heading1"/>
              <w:ind w:left="113" w:right="113"/>
              <w:jc w:val="both"/>
              <w:rPr>
                <w:rFonts w:ascii="Times New Roman" w:hAnsi="Times New Roman" w:cs="Times New Roman"/>
                <w:noProof/>
                <w:color w:val="4D81BD"/>
                <w:sz w:val="24"/>
                <w:szCs w:val="24"/>
              </w:rPr>
            </w:pPr>
          </w:p>
          <w:p w14:paraId="309802E7" w14:textId="30DE459D" w:rsidR="00B53019" w:rsidRPr="00805442" w:rsidRDefault="00B53019" w:rsidP="00826C7B">
            <w:pPr>
              <w:pStyle w:val="Heading1"/>
              <w:ind w:left="113" w:right="113"/>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11. attēls. Apvienotās Karalistes centrālās valdības veiktie starpvaldību pārvedumi pašvaldībām</w:t>
            </w:r>
          </w:p>
          <w:p w14:paraId="00887E34" w14:textId="77777777" w:rsidR="00B53019" w:rsidRPr="00805442" w:rsidRDefault="00B53019" w:rsidP="00826C7B">
            <w:pPr>
              <w:pStyle w:val="BodyText"/>
              <w:ind w:left="113" w:right="113"/>
              <w:jc w:val="both"/>
              <w:rPr>
                <w:rFonts w:ascii="Times New Roman" w:hAnsi="Times New Roman" w:cs="Times New Roman"/>
                <w:noProof/>
                <w:sz w:val="24"/>
                <w:szCs w:val="24"/>
              </w:rPr>
            </w:pPr>
          </w:p>
          <w:p w14:paraId="1EFF77FA" w14:textId="77777777" w:rsidR="00B53019" w:rsidRPr="00805442" w:rsidRDefault="00B53019" w:rsidP="00826C7B">
            <w:pPr>
              <w:pStyle w:val="BodyText"/>
              <w:ind w:left="113" w:right="113"/>
              <w:jc w:val="both"/>
              <w:rPr>
                <w:rFonts w:ascii="Times New Roman" w:hAnsi="Times New Roman" w:cs="Times New Roman"/>
                <w:b/>
                <w:bCs/>
                <w:noProof/>
                <w:sz w:val="24"/>
                <w:szCs w:val="24"/>
              </w:rPr>
            </w:pPr>
            <w:r w:rsidRPr="00805442">
              <w:rPr>
                <w:rFonts w:ascii="Times New Roman" w:hAnsi="Times New Roman" w:cs="Times New Roman"/>
                <w:b/>
                <w:sz w:val="24"/>
              </w:rPr>
              <w:t xml:space="preserve">A panelis. Pārvedumi laika gaitā pa </w:t>
            </w:r>
            <w:r w:rsidRPr="00805442">
              <w:rPr>
                <w:rFonts w:ascii="Times New Roman" w:hAnsi="Times New Roman" w:cs="Times New Roman"/>
                <w:b/>
                <w:i/>
                <w:iCs/>
                <w:sz w:val="24"/>
              </w:rPr>
              <w:t>COFOG</w:t>
            </w:r>
            <w:r w:rsidRPr="00805442">
              <w:rPr>
                <w:rFonts w:ascii="Times New Roman" w:hAnsi="Times New Roman" w:cs="Times New Roman"/>
                <w:b/>
                <w:sz w:val="24"/>
              </w:rPr>
              <w:t xml:space="preserve"> jomām (% no IKP)</w:t>
            </w:r>
          </w:p>
          <w:p w14:paraId="2B640A9B" w14:textId="77777777" w:rsidR="00A01D0C" w:rsidRPr="00805442" w:rsidRDefault="00A01D0C" w:rsidP="00826C7B">
            <w:pPr>
              <w:pStyle w:val="BodyText"/>
              <w:ind w:left="113" w:right="113"/>
              <w:jc w:val="both"/>
              <w:rPr>
                <w:rFonts w:ascii="Times New Roman" w:hAnsi="Times New Roman" w:cs="Times New Roman"/>
                <w:noProof/>
                <w:sz w:val="24"/>
                <w:szCs w:val="24"/>
              </w:rPr>
            </w:pPr>
          </w:p>
          <w:p w14:paraId="5D9BAD59" w14:textId="77777777" w:rsidR="00A01D0C" w:rsidRPr="00805442" w:rsidRDefault="00A01D0C" w:rsidP="00826C7B">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0FBA6253" wp14:editId="228D1FF2">
                  <wp:extent cx="5095568" cy="2589348"/>
                  <wp:effectExtent l="0" t="0" r="0" b="1905"/>
                  <wp:docPr id="199430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0940" name=""/>
                          <pic:cNvPicPr/>
                        </pic:nvPicPr>
                        <pic:blipFill>
                          <a:blip r:embed="rId25"/>
                          <a:stretch>
                            <a:fillRect/>
                          </a:stretch>
                        </pic:blipFill>
                        <pic:spPr>
                          <a:xfrm>
                            <a:off x="0" y="0"/>
                            <a:ext cx="5106620" cy="2594964"/>
                          </a:xfrm>
                          <a:prstGeom prst="rect">
                            <a:avLst/>
                          </a:prstGeom>
                        </pic:spPr>
                      </pic:pic>
                    </a:graphicData>
                  </a:graphic>
                </wp:inline>
              </w:drawing>
            </w:r>
          </w:p>
          <w:p w14:paraId="5C4AF95F" w14:textId="77777777" w:rsidR="000F34B5" w:rsidRDefault="000F34B5" w:rsidP="00826C7B">
            <w:pPr>
              <w:ind w:left="113" w:right="113"/>
              <w:rPr>
                <w:rFonts w:ascii="Times New Roman" w:hAnsi="Times New Roman" w:cs="Times New Roman"/>
              </w:rPr>
            </w:pPr>
          </w:p>
          <w:tbl>
            <w:tblPr>
              <w:tblStyle w:val="TableGrid"/>
              <w:tblW w:w="0" w:type="auto"/>
              <w:tblInd w:w="152" w:type="dxa"/>
              <w:tblLook w:val="04A0" w:firstRow="1" w:lastRow="0" w:firstColumn="1" w:lastColumn="0" w:noHBand="0" w:noVBand="1"/>
            </w:tblPr>
            <w:tblGrid>
              <w:gridCol w:w="4413"/>
              <w:gridCol w:w="4413"/>
            </w:tblGrid>
            <w:tr w:rsidR="00A54D7F" w:rsidRPr="00805442" w14:paraId="5309DF9B" w14:textId="77777777" w:rsidTr="0091490B">
              <w:tc>
                <w:tcPr>
                  <w:tcW w:w="4413" w:type="dxa"/>
                </w:tcPr>
                <w:p w14:paraId="05BC3C4F" w14:textId="77777777" w:rsidR="00A54D7F" w:rsidRPr="007F2003" w:rsidRDefault="00A54D7F" w:rsidP="00A54D7F">
                  <w:pPr>
                    <w:tabs>
                      <w:tab w:val="left" w:pos="1356"/>
                    </w:tabs>
                    <w:jc w:val="center"/>
                    <w:rPr>
                      <w:rFonts w:ascii="Times New Roman" w:hAnsi="Times New Roman" w:cs="Times New Roman"/>
                      <w:b/>
                      <w:bCs/>
                      <w:noProof/>
                      <w:sz w:val="24"/>
                      <w:szCs w:val="24"/>
                    </w:rPr>
                  </w:pPr>
                  <w:r w:rsidRPr="007F2003">
                    <w:rPr>
                      <w:rFonts w:ascii="Times New Roman" w:hAnsi="Times New Roman" w:cs="Times New Roman"/>
                      <w:b/>
                      <w:bCs/>
                      <w:noProof/>
                      <w:sz w:val="24"/>
                      <w:szCs w:val="24"/>
                    </w:rPr>
                    <w:t>Angļu val.</w:t>
                  </w:r>
                </w:p>
              </w:tc>
              <w:tc>
                <w:tcPr>
                  <w:tcW w:w="4413" w:type="dxa"/>
                </w:tcPr>
                <w:p w14:paraId="21624BFD" w14:textId="77777777" w:rsidR="00A54D7F" w:rsidRPr="007F2003" w:rsidRDefault="00A54D7F" w:rsidP="00A54D7F">
                  <w:pPr>
                    <w:tabs>
                      <w:tab w:val="left" w:pos="1356"/>
                    </w:tabs>
                    <w:jc w:val="center"/>
                    <w:rPr>
                      <w:rFonts w:ascii="Times New Roman" w:hAnsi="Times New Roman" w:cs="Times New Roman"/>
                      <w:b/>
                      <w:bCs/>
                      <w:sz w:val="24"/>
                    </w:rPr>
                  </w:pPr>
                  <w:r w:rsidRPr="007F2003">
                    <w:rPr>
                      <w:rFonts w:ascii="Times New Roman" w:hAnsi="Times New Roman" w:cs="Times New Roman"/>
                      <w:b/>
                      <w:bCs/>
                      <w:sz w:val="24"/>
                    </w:rPr>
                    <w:t>Latviešu val.</w:t>
                  </w:r>
                </w:p>
              </w:tc>
            </w:tr>
            <w:tr w:rsidR="00A54D7F" w:rsidRPr="00805442" w14:paraId="00F65A42" w14:textId="77777777" w:rsidTr="0091490B">
              <w:tc>
                <w:tcPr>
                  <w:tcW w:w="4413" w:type="dxa"/>
                </w:tcPr>
                <w:p w14:paraId="3CD42E14"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Non-earmarked</w:t>
                  </w:r>
                </w:p>
              </w:tc>
              <w:tc>
                <w:tcPr>
                  <w:tcW w:w="4413" w:type="dxa"/>
                </w:tcPr>
                <w:p w14:paraId="32F876E7"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Neiezīmēti</w:t>
                  </w:r>
                </w:p>
              </w:tc>
            </w:tr>
            <w:tr w:rsidR="00A54D7F" w:rsidRPr="00805442" w14:paraId="5AC5500D" w14:textId="77777777" w:rsidTr="0091490B">
              <w:tc>
                <w:tcPr>
                  <w:tcW w:w="4413" w:type="dxa"/>
                </w:tcPr>
                <w:p w14:paraId="05F13D65"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Public Order and Safety</w:t>
                  </w:r>
                </w:p>
              </w:tc>
              <w:tc>
                <w:tcPr>
                  <w:tcW w:w="4413" w:type="dxa"/>
                </w:tcPr>
                <w:p w14:paraId="12CCEDA3"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Sabiedriskā kārtība un drošība</w:t>
                  </w:r>
                </w:p>
              </w:tc>
            </w:tr>
            <w:tr w:rsidR="00A54D7F" w:rsidRPr="00805442" w14:paraId="41288228" w14:textId="77777777" w:rsidTr="0091490B">
              <w:tc>
                <w:tcPr>
                  <w:tcW w:w="4413" w:type="dxa"/>
                </w:tcPr>
                <w:p w14:paraId="5E9CE861"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Environmental Protection</w:t>
                  </w:r>
                </w:p>
              </w:tc>
              <w:tc>
                <w:tcPr>
                  <w:tcW w:w="4413" w:type="dxa"/>
                </w:tcPr>
                <w:p w14:paraId="448BC59A"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Vides aizsardzība</w:t>
                  </w:r>
                </w:p>
              </w:tc>
            </w:tr>
            <w:tr w:rsidR="00A54D7F" w:rsidRPr="00805442" w14:paraId="3F19D6A7" w14:textId="77777777" w:rsidTr="0091490B">
              <w:tc>
                <w:tcPr>
                  <w:tcW w:w="4413" w:type="dxa"/>
                </w:tcPr>
                <w:p w14:paraId="4A1610DF"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Health</w:t>
                  </w:r>
                </w:p>
              </w:tc>
              <w:tc>
                <w:tcPr>
                  <w:tcW w:w="4413" w:type="dxa"/>
                </w:tcPr>
                <w:p w14:paraId="4B921AC5"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Veselība</w:t>
                  </w:r>
                </w:p>
              </w:tc>
            </w:tr>
            <w:tr w:rsidR="00A54D7F" w:rsidRPr="00805442" w14:paraId="1CDD80D4" w14:textId="77777777" w:rsidTr="0091490B">
              <w:tc>
                <w:tcPr>
                  <w:tcW w:w="4413" w:type="dxa"/>
                </w:tcPr>
                <w:p w14:paraId="5D4C8B66"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Education</w:t>
                  </w:r>
                </w:p>
              </w:tc>
              <w:tc>
                <w:tcPr>
                  <w:tcW w:w="4413" w:type="dxa"/>
                </w:tcPr>
                <w:p w14:paraId="5C8CB3E0"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Izglītība</w:t>
                  </w:r>
                </w:p>
              </w:tc>
            </w:tr>
            <w:tr w:rsidR="00A54D7F" w:rsidRPr="00805442" w14:paraId="22318637" w14:textId="77777777" w:rsidTr="0091490B">
              <w:tc>
                <w:tcPr>
                  <w:tcW w:w="4413" w:type="dxa"/>
                </w:tcPr>
                <w:p w14:paraId="78A4006E"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Defence</w:t>
                  </w:r>
                </w:p>
              </w:tc>
              <w:tc>
                <w:tcPr>
                  <w:tcW w:w="4413" w:type="dxa"/>
                </w:tcPr>
                <w:p w14:paraId="46B17DBD"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Aizsardzība</w:t>
                  </w:r>
                </w:p>
              </w:tc>
            </w:tr>
            <w:tr w:rsidR="00A54D7F" w:rsidRPr="00805442" w14:paraId="55A13DBC" w14:textId="77777777" w:rsidTr="0091490B">
              <w:tc>
                <w:tcPr>
                  <w:tcW w:w="4413" w:type="dxa"/>
                </w:tcPr>
                <w:p w14:paraId="60F6BB8D"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4413" w:type="dxa"/>
                </w:tcPr>
                <w:p w14:paraId="74860CAD"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A54D7F" w:rsidRPr="00805442" w14:paraId="6319823C" w14:textId="77777777" w:rsidTr="0091490B">
              <w:tc>
                <w:tcPr>
                  <w:tcW w:w="4413" w:type="dxa"/>
                </w:tcPr>
                <w:p w14:paraId="25CA3CED"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Housing and Community Amenities</w:t>
                  </w:r>
                </w:p>
              </w:tc>
              <w:tc>
                <w:tcPr>
                  <w:tcW w:w="4413" w:type="dxa"/>
                </w:tcPr>
                <w:p w14:paraId="5A900B97"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Mājokļi un komunālie pakalpojumi</w:t>
                  </w:r>
                </w:p>
              </w:tc>
            </w:tr>
            <w:tr w:rsidR="00A54D7F" w:rsidRPr="00805442" w14:paraId="4A716331" w14:textId="77777777" w:rsidTr="0091490B">
              <w:tc>
                <w:tcPr>
                  <w:tcW w:w="4413" w:type="dxa"/>
                </w:tcPr>
                <w:p w14:paraId="64A62497"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Recreation, culture and religion</w:t>
                  </w:r>
                </w:p>
              </w:tc>
              <w:tc>
                <w:tcPr>
                  <w:tcW w:w="4413" w:type="dxa"/>
                </w:tcPr>
                <w:p w14:paraId="54D6AB2B"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Atpūta, kultūra un reliģija</w:t>
                  </w:r>
                </w:p>
              </w:tc>
            </w:tr>
            <w:tr w:rsidR="00A54D7F" w:rsidRPr="00805442" w14:paraId="6CE81C3C" w14:textId="77777777" w:rsidTr="0091490B">
              <w:tc>
                <w:tcPr>
                  <w:tcW w:w="4413" w:type="dxa"/>
                </w:tcPr>
                <w:p w14:paraId="7AF72F15" w14:textId="77777777" w:rsidR="00A54D7F" w:rsidRPr="00805442" w:rsidRDefault="00A54D7F" w:rsidP="00A54D7F">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4413" w:type="dxa"/>
                </w:tcPr>
                <w:p w14:paraId="77D62220" w14:textId="77777777" w:rsidR="00A54D7F" w:rsidRPr="00805442" w:rsidRDefault="00A54D7F" w:rsidP="00A54D7F">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Sociālā aizsardzība</w:t>
                  </w:r>
                </w:p>
              </w:tc>
            </w:tr>
          </w:tbl>
          <w:p w14:paraId="6C048DAE" w14:textId="77777777" w:rsidR="00A54D7F" w:rsidRPr="00805442" w:rsidRDefault="00A54D7F" w:rsidP="00826C7B">
            <w:pPr>
              <w:ind w:left="113" w:right="113"/>
              <w:rPr>
                <w:rFonts w:ascii="Times New Roman" w:hAnsi="Times New Roman" w:cs="Times New Roman"/>
              </w:rPr>
            </w:pPr>
          </w:p>
          <w:p w14:paraId="203A7032" w14:textId="1518DB80" w:rsidR="000F34B5" w:rsidRPr="00805442" w:rsidRDefault="000F34B5" w:rsidP="00AC761D">
            <w:pPr>
              <w:pStyle w:val="BodyText"/>
              <w:ind w:left="113" w:right="113"/>
              <w:jc w:val="both"/>
              <w:rPr>
                <w:rFonts w:ascii="Times New Roman" w:hAnsi="Times New Roman" w:cs="Times New Roman"/>
                <w:b/>
                <w:bCs/>
                <w:noProof/>
                <w:sz w:val="24"/>
                <w:szCs w:val="24"/>
              </w:rPr>
            </w:pPr>
            <w:r w:rsidRPr="00805442">
              <w:rPr>
                <w:rFonts w:ascii="Times New Roman" w:hAnsi="Times New Roman" w:cs="Times New Roman"/>
                <w:b/>
                <w:sz w:val="24"/>
              </w:rPr>
              <w:t xml:space="preserve">B panelis. Veiktie pārvedumi pa </w:t>
            </w:r>
            <w:r w:rsidRPr="00805442">
              <w:rPr>
                <w:rFonts w:ascii="Times New Roman" w:hAnsi="Times New Roman" w:cs="Times New Roman"/>
                <w:b/>
                <w:i/>
                <w:iCs/>
                <w:sz w:val="24"/>
              </w:rPr>
              <w:t>COFOG</w:t>
            </w:r>
            <w:r w:rsidRPr="00805442">
              <w:rPr>
                <w:rFonts w:ascii="Times New Roman" w:hAnsi="Times New Roman" w:cs="Times New Roman"/>
                <w:b/>
                <w:sz w:val="24"/>
              </w:rPr>
              <w:t xml:space="preserve"> jomām (miljonos GBP)</w:t>
            </w:r>
          </w:p>
          <w:p w14:paraId="750DCE55" w14:textId="77777777" w:rsidR="000F34B5" w:rsidRPr="00805442" w:rsidRDefault="000F34B5" w:rsidP="00826C7B">
            <w:pPr>
              <w:tabs>
                <w:tab w:val="left" w:pos="4088"/>
              </w:tabs>
              <w:ind w:left="113" w:right="113"/>
              <w:rPr>
                <w:rFonts w:ascii="Times New Roman" w:hAnsi="Times New Roman" w:cs="Times New Roman"/>
              </w:rPr>
            </w:pPr>
          </w:p>
          <w:p w14:paraId="2C87054B" w14:textId="32C231F2" w:rsidR="00AC761D" w:rsidRPr="00805442" w:rsidRDefault="00080AF4" w:rsidP="00AC761D">
            <w:pPr>
              <w:tabs>
                <w:tab w:val="left" w:pos="4088"/>
                <w:tab w:val="right" w:pos="9072"/>
              </w:tabs>
              <w:ind w:left="113" w:right="113"/>
              <w:rPr>
                <w:rFonts w:ascii="Times New Roman" w:hAnsi="Times New Roman" w:cs="Times New Roman"/>
              </w:rPr>
            </w:pPr>
            <w:r w:rsidRPr="00805442">
              <w:rPr>
                <w:rFonts w:ascii="Times New Roman" w:hAnsi="Times New Roman" w:cs="Times New Roman"/>
                <w:noProof/>
              </w:rPr>
              <w:drawing>
                <wp:inline distT="0" distB="0" distL="0" distR="0" wp14:anchorId="032E2D08" wp14:editId="0D2CE93E">
                  <wp:extent cx="5368413" cy="2772378"/>
                  <wp:effectExtent l="0" t="0" r="3810" b="9525"/>
                  <wp:docPr id="1817580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0828" name=""/>
                          <pic:cNvPicPr/>
                        </pic:nvPicPr>
                        <pic:blipFill>
                          <a:blip r:embed="rId26"/>
                          <a:stretch>
                            <a:fillRect/>
                          </a:stretch>
                        </pic:blipFill>
                        <pic:spPr>
                          <a:xfrm>
                            <a:off x="0" y="0"/>
                            <a:ext cx="5406946" cy="2792277"/>
                          </a:xfrm>
                          <a:prstGeom prst="rect">
                            <a:avLst/>
                          </a:prstGeom>
                        </pic:spPr>
                      </pic:pic>
                    </a:graphicData>
                  </a:graphic>
                </wp:inline>
              </w:drawing>
            </w:r>
          </w:p>
          <w:p w14:paraId="64141B00" w14:textId="77777777" w:rsidR="00AC761D" w:rsidRDefault="00AC761D" w:rsidP="00AC761D">
            <w:pPr>
              <w:tabs>
                <w:tab w:val="left" w:pos="4088"/>
                <w:tab w:val="right" w:pos="9072"/>
              </w:tabs>
              <w:ind w:left="113" w:right="113"/>
              <w:rPr>
                <w:rFonts w:ascii="Times New Roman" w:hAnsi="Times New Roman" w:cs="Times New Roman"/>
              </w:rPr>
            </w:pPr>
          </w:p>
          <w:tbl>
            <w:tblPr>
              <w:tblStyle w:val="TableGrid"/>
              <w:tblW w:w="0" w:type="auto"/>
              <w:tblInd w:w="152" w:type="dxa"/>
              <w:tblLook w:val="04A0" w:firstRow="1" w:lastRow="0" w:firstColumn="1" w:lastColumn="0" w:noHBand="0" w:noVBand="1"/>
            </w:tblPr>
            <w:tblGrid>
              <w:gridCol w:w="4377"/>
              <w:gridCol w:w="4412"/>
            </w:tblGrid>
            <w:tr w:rsidR="00B65173" w:rsidRPr="00805442" w14:paraId="7973B450" w14:textId="77777777" w:rsidTr="0091490B">
              <w:tc>
                <w:tcPr>
                  <w:tcW w:w="4377" w:type="dxa"/>
                </w:tcPr>
                <w:p w14:paraId="5365AA0B" w14:textId="77777777" w:rsidR="00B65173" w:rsidRPr="00805442" w:rsidRDefault="00B65173" w:rsidP="00B65173">
                  <w:pPr>
                    <w:tabs>
                      <w:tab w:val="left" w:pos="1356"/>
                    </w:tabs>
                    <w:jc w:val="center"/>
                    <w:rPr>
                      <w:rFonts w:ascii="Times New Roman" w:hAnsi="Times New Roman" w:cs="Times New Roman"/>
                      <w:noProof/>
                      <w:sz w:val="24"/>
                      <w:szCs w:val="24"/>
                    </w:rPr>
                  </w:pPr>
                  <w:r w:rsidRPr="007F2003">
                    <w:rPr>
                      <w:rFonts w:ascii="Times New Roman" w:hAnsi="Times New Roman" w:cs="Times New Roman"/>
                      <w:b/>
                      <w:bCs/>
                      <w:noProof/>
                      <w:sz w:val="24"/>
                      <w:szCs w:val="24"/>
                    </w:rPr>
                    <w:t>Angļu val.</w:t>
                  </w:r>
                </w:p>
              </w:tc>
              <w:tc>
                <w:tcPr>
                  <w:tcW w:w="4412" w:type="dxa"/>
                </w:tcPr>
                <w:p w14:paraId="7E395B62" w14:textId="77777777" w:rsidR="00B65173" w:rsidRPr="00805442" w:rsidRDefault="00B65173" w:rsidP="00B65173">
                  <w:pPr>
                    <w:tabs>
                      <w:tab w:val="left" w:pos="1356"/>
                    </w:tabs>
                    <w:jc w:val="center"/>
                    <w:rPr>
                      <w:rFonts w:ascii="Times New Roman" w:hAnsi="Times New Roman" w:cs="Times New Roman"/>
                      <w:sz w:val="24"/>
                    </w:rPr>
                  </w:pPr>
                  <w:r w:rsidRPr="007F2003">
                    <w:rPr>
                      <w:rFonts w:ascii="Times New Roman" w:hAnsi="Times New Roman" w:cs="Times New Roman"/>
                      <w:b/>
                      <w:bCs/>
                      <w:sz w:val="24"/>
                    </w:rPr>
                    <w:t>Latviešu val.</w:t>
                  </w:r>
                </w:p>
              </w:tc>
            </w:tr>
            <w:tr w:rsidR="00B65173" w:rsidRPr="00805442" w14:paraId="2ED85300" w14:textId="77777777" w:rsidTr="0091490B">
              <w:tc>
                <w:tcPr>
                  <w:tcW w:w="4377" w:type="dxa"/>
                </w:tcPr>
                <w:p w14:paraId="66D948B0" w14:textId="77777777" w:rsidR="00B65173" w:rsidRPr="00805442" w:rsidRDefault="00B65173" w:rsidP="00B65173">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Central</w:t>
                  </w:r>
                </w:p>
              </w:tc>
              <w:tc>
                <w:tcPr>
                  <w:tcW w:w="4412" w:type="dxa"/>
                </w:tcPr>
                <w:p w14:paraId="38C669DF" w14:textId="77777777" w:rsidR="00B65173" w:rsidRPr="00805442" w:rsidRDefault="00B65173" w:rsidP="00B65173">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Centrālā valdība</w:t>
                  </w:r>
                </w:p>
              </w:tc>
            </w:tr>
            <w:tr w:rsidR="00B65173" w:rsidRPr="00805442" w14:paraId="5BDC0F03" w14:textId="77777777" w:rsidTr="0091490B">
              <w:tc>
                <w:tcPr>
                  <w:tcW w:w="4377" w:type="dxa"/>
                </w:tcPr>
                <w:p w14:paraId="3BF4E950" w14:textId="77777777" w:rsidR="00B65173" w:rsidRPr="00805442" w:rsidRDefault="00B65173" w:rsidP="00B65173">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Local</w:t>
                  </w:r>
                </w:p>
              </w:tc>
              <w:tc>
                <w:tcPr>
                  <w:tcW w:w="4412" w:type="dxa"/>
                </w:tcPr>
                <w:p w14:paraId="3DA77263" w14:textId="77777777" w:rsidR="00B65173" w:rsidRPr="00805442" w:rsidRDefault="00B65173" w:rsidP="00B65173">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Pašvaldība</w:t>
                  </w:r>
                </w:p>
              </w:tc>
            </w:tr>
            <w:tr w:rsidR="00B65173" w:rsidRPr="00805442" w14:paraId="277F8F6D" w14:textId="77777777" w:rsidTr="0091490B">
              <w:tc>
                <w:tcPr>
                  <w:tcW w:w="4377" w:type="dxa"/>
                </w:tcPr>
                <w:p w14:paraId="2438D822" w14:textId="77777777" w:rsidR="00B65173" w:rsidRPr="00805442" w:rsidRDefault="00B65173" w:rsidP="00B65173">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Intergovernmental transfers</w:t>
                  </w:r>
                </w:p>
              </w:tc>
              <w:tc>
                <w:tcPr>
                  <w:tcW w:w="4412" w:type="dxa"/>
                </w:tcPr>
                <w:p w14:paraId="33C8555D" w14:textId="77777777" w:rsidR="00B65173" w:rsidRPr="00805442" w:rsidRDefault="00B65173" w:rsidP="00B65173">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Starpvaldību pārvedumi</w:t>
                  </w:r>
                </w:p>
              </w:tc>
            </w:tr>
            <w:tr w:rsidR="00B65173" w:rsidRPr="00805442" w14:paraId="4DA2D71F" w14:textId="77777777" w:rsidTr="0091490B">
              <w:tc>
                <w:tcPr>
                  <w:tcW w:w="4377" w:type="dxa"/>
                </w:tcPr>
                <w:p w14:paraId="63AE1CBE" w14:textId="164068DA" w:rsidR="00B65173" w:rsidRPr="00805442" w:rsidRDefault="00B65173" w:rsidP="00B65173">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Edu</w:t>
                  </w:r>
                  <w:r w:rsidR="004C5897">
                    <w:rPr>
                      <w:rFonts w:ascii="Times New Roman" w:hAnsi="Times New Roman" w:cs="Times New Roman"/>
                      <w:noProof/>
                      <w:sz w:val="24"/>
                      <w:szCs w:val="24"/>
                    </w:rPr>
                    <w:t>cation</w:t>
                  </w:r>
                </w:p>
              </w:tc>
              <w:tc>
                <w:tcPr>
                  <w:tcW w:w="4412" w:type="dxa"/>
                </w:tcPr>
                <w:p w14:paraId="29917E31" w14:textId="1A1E113E" w:rsidR="00B65173" w:rsidRPr="00805442" w:rsidRDefault="004C5897" w:rsidP="00B65173">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Izglītība</w:t>
                  </w:r>
                </w:p>
              </w:tc>
            </w:tr>
            <w:tr w:rsidR="004C5897" w:rsidRPr="00805442" w14:paraId="60A039E0" w14:textId="77777777" w:rsidTr="00B65173">
              <w:trPr>
                <w:trHeight w:val="147"/>
              </w:trPr>
              <w:tc>
                <w:tcPr>
                  <w:tcW w:w="4377" w:type="dxa"/>
                </w:tcPr>
                <w:p w14:paraId="7B239860" w14:textId="6F951B8A" w:rsidR="004C5897" w:rsidRPr="00805442"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Housing and Community Amenities</w:t>
                  </w:r>
                </w:p>
              </w:tc>
              <w:tc>
                <w:tcPr>
                  <w:tcW w:w="4412" w:type="dxa"/>
                </w:tcPr>
                <w:p w14:paraId="1F998C18" w14:textId="464E6D27" w:rsidR="004C5897" w:rsidRPr="00805442" w:rsidRDefault="004C5897" w:rsidP="004C589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Mājokļi un komunālie pakalpojumi</w:t>
                  </w:r>
                </w:p>
              </w:tc>
            </w:tr>
            <w:tr w:rsidR="004C5897" w:rsidRPr="00805442" w14:paraId="5C450481" w14:textId="77777777" w:rsidTr="0091490B">
              <w:tc>
                <w:tcPr>
                  <w:tcW w:w="4377" w:type="dxa"/>
                </w:tcPr>
                <w:p w14:paraId="7DD93950" w14:textId="5FF48FE2" w:rsidR="004C5897" w:rsidRPr="00805442"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Economic Affairs</w:t>
                  </w:r>
                </w:p>
              </w:tc>
              <w:tc>
                <w:tcPr>
                  <w:tcW w:w="4412" w:type="dxa"/>
                </w:tcPr>
                <w:p w14:paraId="1178A455" w14:textId="4440AA57" w:rsidR="004C5897" w:rsidRPr="00805442" w:rsidRDefault="004C5897" w:rsidP="004C589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Ekonomikas lietas</w:t>
                  </w:r>
                </w:p>
              </w:tc>
            </w:tr>
            <w:tr w:rsidR="004C5897" w:rsidRPr="00805442" w14:paraId="708709C8" w14:textId="77777777" w:rsidTr="0091490B">
              <w:tc>
                <w:tcPr>
                  <w:tcW w:w="4377" w:type="dxa"/>
                </w:tcPr>
                <w:p w14:paraId="5ECAA878" w14:textId="6EEF7E5A" w:rsidR="004C5897" w:rsidRPr="00805442"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Social protection</w:t>
                  </w:r>
                </w:p>
              </w:tc>
              <w:tc>
                <w:tcPr>
                  <w:tcW w:w="4412" w:type="dxa"/>
                </w:tcPr>
                <w:p w14:paraId="1FADFB1B" w14:textId="74CF2E70" w:rsidR="004C5897" w:rsidRPr="00805442" w:rsidRDefault="004C5897" w:rsidP="004C5897">
                  <w:pPr>
                    <w:tabs>
                      <w:tab w:val="left" w:pos="1356"/>
                    </w:tabs>
                    <w:jc w:val="both"/>
                    <w:rPr>
                      <w:rFonts w:ascii="Times New Roman" w:hAnsi="Times New Roman" w:cs="Times New Roman"/>
                      <w:noProof/>
                      <w:sz w:val="24"/>
                      <w:szCs w:val="24"/>
                    </w:rPr>
                  </w:pPr>
                  <w:r w:rsidRPr="00805442">
                    <w:rPr>
                      <w:rFonts w:ascii="Times New Roman" w:hAnsi="Times New Roman" w:cs="Times New Roman"/>
                      <w:sz w:val="24"/>
                    </w:rPr>
                    <w:t>Sociālā aizsardzība</w:t>
                  </w:r>
                </w:p>
              </w:tc>
            </w:tr>
            <w:tr w:rsidR="004C5897" w:rsidRPr="00805442" w14:paraId="3B2D5D26" w14:textId="77777777" w:rsidTr="0091490B">
              <w:tc>
                <w:tcPr>
                  <w:tcW w:w="4377" w:type="dxa"/>
                </w:tcPr>
                <w:p w14:paraId="0E4D9321" w14:textId="5FCAA9CB" w:rsidR="004C5897"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General public services</w:t>
                  </w:r>
                </w:p>
              </w:tc>
              <w:tc>
                <w:tcPr>
                  <w:tcW w:w="4412" w:type="dxa"/>
                </w:tcPr>
                <w:p w14:paraId="511203EC" w14:textId="7CE0BE10" w:rsidR="004C5897" w:rsidRPr="00805442" w:rsidRDefault="004C5897" w:rsidP="004C5897">
                  <w:pPr>
                    <w:tabs>
                      <w:tab w:val="left" w:pos="1356"/>
                    </w:tabs>
                    <w:jc w:val="both"/>
                    <w:rPr>
                      <w:rFonts w:ascii="Times New Roman" w:hAnsi="Times New Roman" w:cs="Times New Roman"/>
                      <w:sz w:val="24"/>
                    </w:rPr>
                  </w:pPr>
                  <w:r w:rsidRPr="00805442">
                    <w:rPr>
                      <w:rFonts w:ascii="Times New Roman" w:hAnsi="Times New Roman" w:cs="Times New Roman"/>
                      <w:sz w:val="24"/>
                    </w:rPr>
                    <w:t>Vispārējie publiskie pakalpojumi</w:t>
                  </w:r>
                </w:p>
              </w:tc>
            </w:tr>
            <w:tr w:rsidR="004C5897" w:rsidRPr="00805442" w14:paraId="7CC42FBF" w14:textId="77777777" w:rsidTr="0091490B">
              <w:tc>
                <w:tcPr>
                  <w:tcW w:w="4377" w:type="dxa"/>
                </w:tcPr>
                <w:p w14:paraId="442AE95E" w14:textId="2FF8E431" w:rsidR="004C5897"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Public Order and Safety</w:t>
                  </w:r>
                </w:p>
              </w:tc>
              <w:tc>
                <w:tcPr>
                  <w:tcW w:w="4412" w:type="dxa"/>
                </w:tcPr>
                <w:p w14:paraId="3D478B9F" w14:textId="7A56F4DA" w:rsidR="004C5897" w:rsidRPr="00805442" w:rsidRDefault="004C5897" w:rsidP="004C5897">
                  <w:pPr>
                    <w:tabs>
                      <w:tab w:val="left" w:pos="1356"/>
                    </w:tabs>
                    <w:jc w:val="both"/>
                    <w:rPr>
                      <w:rFonts w:ascii="Times New Roman" w:hAnsi="Times New Roman" w:cs="Times New Roman"/>
                      <w:sz w:val="24"/>
                    </w:rPr>
                  </w:pPr>
                  <w:r w:rsidRPr="00805442">
                    <w:rPr>
                      <w:rFonts w:ascii="Times New Roman" w:hAnsi="Times New Roman" w:cs="Times New Roman"/>
                      <w:sz w:val="24"/>
                    </w:rPr>
                    <w:t>Sabiedriskā kārtība un drošība</w:t>
                  </w:r>
                </w:p>
              </w:tc>
            </w:tr>
            <w:tr w:rsidR="004C5897" w:rsidRPr="00805442" w14:paraId="598C4DAB" w14:textId="77777777" w:rsidTr="0091490B">
              <w:tc>
                <w:tcPr>
                  <w:tcW w:w="4377" w:type="dxa"/>
                </w:tcPr>
                <w:p w14:paraId="5FCF3B4E" w14:textId="148DAD0B" w:rsidR="004C5897" w:rsidRDefault="004C5897" w:rsidP="004C5897">
                  <w:pPr>
                    <w:tabs>
                      <w:tab w:val="left" w:pos="1356"/>
                    </w:tabs>
                    <w:jc w:val="both"/>
                    <w:rPr>
                      <w:rFonts w:ascii="Times New Roman" w:hAnsi="Times New Roman" w:cs="Times New Roman"/>
                      <w:noProof/>
                      <w:sz w:val="24"/>
                      <w:szCs w:val="24"/>
                    </w:rPr>
                  </w:pPr>
                  <w:r>
                    <w:rPr>
                      <w:rFonts w:ascii="Times New Roman" w:hAnsi="Times New Roman" w:cs="Times New Roman"/>
                      <w:noProof/>
                      <w:sz w:val="24"/>
                      <w:szCs w:val="24"/>
                    </w:rPr>
                    <w:t>Health</w:t>
                  </w:r>
                </w:p>
              </w:tc>
              <w:tc>
                <w:tcPr>
                  <w:tcW w:w="4412" w:type="dxa"/>
                </w:tcPr>
                <w:p w14:paraId="2C23193F" w14:textId="1A3436F8" w:rsidR="004C5897" w:rsidRPr="00805442" w:rsidRDefault="004C5897" w:rsidP="004C5897">
                  <w:pPr>
                    <w:tabs>
                      <w:tab w:val="left" w:pos="1356"/>
                    </w:tabs>
                    <w:jc w:val="both"/>
                    <w:rPr>
                      <w:rFonts w:ascii="Times New Roman" w:hAnsi="Times New Roman" w:cs="Times New Roman"/>
                      <w:sz w:val="24"/>
                    </w:rPr>
                  </w:pPr>
                  <w:r w:rsidRPr="00805442">
                    <w:rPr>
                      <w:rFonts w:ascii="Times New Roman" w:hAnsi="Times New Roman" w:cs="Times New Roman"/>
                      <w:sz w:val="24"/>
                    </w:rPr>
                    <w:t>Veselība</w:t>
                  </w:r>
                </w:p>
              </w:tc>
            </w:tr>
          </w:tbl>
          <w:p w14:paraId="3C8E25B8" w14:textId="77777777" w:rsidR="003251A0" w:rsidRPr="00805442" w:rsidRDefault="003251A0" w:rsidP="00B65173">
            <w:pPr>
              <w:tabs>
                <w:tab w:val="left" w:pos="4088"/>
                <w:tab w:val="right" w:pos="9072"/>
              </w:tabs>
              <w:ind w:right="113"/>
              <w:rPr>
                <w:rFonts w:ascii="Times New Roman" w:hAnsi="Times New Roman" w:cs="Times New Roman"/>
              </w:rPr>
            </w:pPr>
          </w:p>
          <w:p w14:paraId="5237C90E" w14:textId="52E2DBB9" w:rsidR="00080AF4" w:rsidRPr="00805442" w:rsidRDefault="00080AF4" w:rsidP="00AC761D">
            <w:pPr>
              <w:tabs>
                <w:tab w:val="left" w:pos="4088"/>
                <w:tab w:val="right" w:pos="9072"/>
              </w:tabs>
              <w:ind w:left="113" w:right="113"/>
              <w:rPr>
                <w:rFonts w:ascii="Times New Roman" w:hAnsi="Times New Roman" w:cs="Times New Roman"/>
              </w:rPr>
            </w:pPr>
            <w:r w:rsidRPr="00805442">
              <w:rPr>
                <w:rFonts w:ascii="Times New Roman" w:hAnsi="Times New Roman" w:cs="Times New Roman"/>
              </w:rPr>
              <w:t xml:space="preserve">Avots: izstrādāts, pamatojoties uz </w:t>
            </w:r>
            <w:r w:rsidRPr="00805442">
              <w:rPr>
                <w:rFonts w:ascii="Times New Roman" w:hAnsi="Times New Roman" w:cs="Times New Roman"/>
                <w:i/>
                <w:iCs/>
              </w:rPr>
              <w:t>OECD</w:t>
            </w:r>
            <w:r w:rsidRPr="00805442">
              <w:rPr>
                <w:rFonts w:ascii="Times New Roman" w:hAnsi="Times New Roman" w:cs="Times New Roman"/>
              </w:rPr>
              <w:t xml:space="preserve"> Fiskālās decentralizācijas datubāzi.</w:t>
            </w:r>
          </w:p>
          <w:p w14:paraId="3A317BF4" w14:textId="40037AA5" w:rsidR="00080AF4" w:rsidRPr="00805442" w:rsidRDefault="00080AF4" w:rsidP="00826C7B">
            <w:pPr>
              <w:tabs>
                <w:tab w:val="left" w:pos="4088"/>
                <w:tab w:val="right" w:pos="9072"/>
              </w:tabs>
              <w:ind w:left="113" w:right="113"/>
              <w:rPr>
                <w:rFonts w:ascii="Times New Roman" w:hAnsi="Times New Roman" w:cs="Times New Roman"/>
              </w:rPr>
            </w:pPr>
          </w:p>
        </w:tc>
      </w:tr>
    </w:tbl>
    <w:p w14:paraId="4149E4CD" w14:textId="77777777" w:rsidR="00AA56C4" w:rsidRPr="00805442" w:rsidRDefault="00AA56C4">
      <w:pPr>
        <w:rPr>
          <w:rFonts w:ascii="Times New Roman" w:eastAsia="Arial Narrow" w:hAnsi="Times New Roman" w:cs="Times New Roman"/>
          <w:b/>
          <w:bCs/>
          <w:noProof/>
          <w:color w:val="4D81BD"/>
          <w:sz w:val="24"/>
          <w:szCs w:val="24"/>
        </w:rPr>
        <w:sectPr w:rsidR="00AA56C4" w:rsidRPr="00805442" w:rsidSect="00F92C74">
          <w:headerReference w:type="default" r:id="rId27"/>
          <w:footerReference w:type="even" r:id="rId28"/>
          <w:footerReference w:type="default" r:id="rId29"/>
          <w:headerReference w:type="first" r:id="rId30"/>
          <w:footerReference w:type="first" r:id="rId31"/>
          <w:pgSz w:w="11907" w:h="16840" w:code="9"/>
          <w:pgMar w:top="1134" w:right="1134" w:bottom="1134" w:left="1701" w:header="567" w:footer="567" w:gutter="0"/>
          <w:cols w:space="720"/>
          <w:titlePg/>
        </w:sectPr>
      </w:pPr>
    </w:p>
    <w:p w14:paraId="422303CE" w14:textId="51A1C842" w:rsidR="0068352E" w:rsidRPr="00805442" w:rsidRDefault="0068352E" w:rsidP="0064558C">
      <w:pPr>
        <w:pStyle w:val="Heading2"/>
        <w:spacing w:before="0"/>
        <w:jc w:val="center"/>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 xml:space="preserve">1. tabula. SFP pārskats – veidi, mērķi un stimuli </w:t>
      </w:r>
      <w:r w:rsidRPr="00805442">
        <w:rPr>
          <w:rFonts w:ascii="Times New Roman" w:hAnsi="Times New Roman" w:cs="Times New Roman"/>
          <w:i/>
          <w:iCs/>
          <w:color w:val="4D81BD"/>
          <w:sz w:val="24"/>
        </w:rPr>
        <w:t>OECD</w:t>
      </w:r>
      <w:r w:rsidRPr="00805442">
        <w:rPr>
          <w:rFonts w:ascii="Times New Roman" w:hAnsi="Times New Roman" w:cs="Times New Roman"/>
          <w:color w:val="4D81BD"/>
          <w:sz w:val="24"/>
        </w:rPr>
        <w:t xml:space="preserve"> valstīs</w:t>
      </w:r>
    </w:p>
    <w:p w14:paraId="5B0B3E19" w14:textId="77777777" w:rsidR="00AA56C4" w:rsidRPr="00805442" w:rsidRDefault="00AA56C4" w:rsidP="00F92C74">
      <w:pPr>
        <w:pStyle w:val="Heading2"/>
        <w:spacing w:before="0"/>
        <w:jc w:val="both"/>
        <w:rPr>
          <w:rFonts w:ascii="Times New Roman" w:hAnsi="Times New Roman" w:cs="Times New Roman"/>
          <w:noProof/>
          <w:color w:val="4D81BD"/>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081"/>
        <w:gridCol w:w="3051"/>
        <w:gridCol w:w="3119"/>
        <w:gridCol w:w="3402"/>
        <w:gridCol w:w="2975"/>
      </w:tblGrid>
      <w:tr w:rsidR="00825B2F" w:rsidRPr="00805442" w14:paraId="055F0AEB" w14:textId="77777777" w:rsidTr="00521F8C">
        <w:tc>
          <w:tcPr>
            <w:tcW w:w="711" w:type="pct"/>
            <w:tcBorders>
              <w:top w:val="nil"/>
              <w:left w:val="nil"/>
              <w:bottom w:val="double" w:sz="4" w:space="0" w:color="auto"/>
              <w:right w:val="nil"/>
            </w:tcBorders>
            <w:vAlign w:val="bottom"/>
          </w:tcPr>
          <w:p w14:paraId="03F9B71D" w14:textId="312E65FD" w:rsidR="000737D4" w:rsidRPr="00805442" w:rsidRDefault="000737D4" w:rsidP="000F1039">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Dotāciju veidi</w:t>
            </w:r>
          </w:p>
        </w:tc>
        <w:tc>
          <w:tcPr>
            <w:tcW w:w="1043" w:type="pct"/>
            <w:tcBorders>
              <w:top w:val="nil"/>
              <w:left w:val="nil"/>
              <w:bottom w:val="double" w:sz="4" w:space="0" w:color="auto"/>
              <w:right w:val="nil"/>
            </w:tcBorders>
            <w:vAlign w:val="bottom"/>
          </w:tcPr>
          <w:p w14:paraId="1DF291BA" w14:textId="15ED3249" w:rsidR="000737D4" w:rsidRPr="00805442" w:rsidRDefault="000737D4" w:rsidP="000F1039">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Mērķi</w:t>
            </w:r>
          </w:p>
        </w:tc>
        <w:tc>
          <w:tcPr>
            <w:tcW w:w="1066" w:type="pct"/>
            <w:tcBorders>
              <w:top w:val="nil"/>
              <w:left w:val="nil"/>
              <w:bottom w:val="double" w:sz="4" w:space="0" w:color="auto"/>
              <w:right w:val="nil"/>
            </w:tcBorders>
            <w:vAlign w:val="bottom"/>
          </w:tcPr>
          <w:p w14:paraId="7DCD5D44" w14:textId="30C20A38" w:rsidR="000737D4" w:rsidRPr="00805442" w:rsidRDefault="000737D4" w:rsidP="000F1039">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Vēlamie stimuli</w:t>
            </w:r>
          </w:p>
        </w:tc>
        <w:tc>
          <w:tcPr>
            <w:tcW w:w="1163" w:type="pct"/>
            <w:tcBorders>
              <w:top w:val="nil"/>
              <w:left w:val="nil"/>
              <w:bottom w:val="double" w:sz="4" w:space="0" w:color="auto"/>
              <w:right w:val="nil"/>
            </w:tcBorders>
            <w:vAlign w:val="bottom"/>
          </w:tcPr>
          <w:p w14:paraId="4A7FEB98" w14:textId="4377CBF0" w:rsidR="000737D4" w:rsidRPr="00805442" w:rsidRDefault="000737D4" w:rsidP="000F1039">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Nevēlamie stimuli</w:t>
            </w:r>
          </w:p>
        </w:tc>
        <w:tc>
          <w:tcPr>
            <w:tcW w:w="1017" w:type="pct"/>
            <w:tcBorders>
              <w:top w:val="nil"/>
              <w:left w:val="nil"/>
              <w:bottom w:val="double" w:sz="4" w:space="0" w:color="auto"/>
              <w:right w:val="nil"/>
            </w:tcBorders>
            <w:vAlign w:val="bottom"/>
          </w:tcPr>
          <w:p w14:paraId="287E03A8" w14:textId="23B8B0D3" w:rsidR="000737D4" w:rsidRPr="00805442" w:rsidRDefault="000737D4" w:rsidP="000F1039">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 xml:space="preserve">Izplatība </w:t>
            </w:r>
            <w:r w:rsidRPr="00805442">
              <w:rPr>
                <w:rFonts w:ascii="Times New Roman" w:hAnsi="Times New Roman" w:cs="Times New Roman"/>
                <w:i/>
                <w:iCs/>
              </w:rPr>
              <w:t>OECD</w:t>
            </w:r>
            <w:r w:rsidRPr="00805442">
              <w:rPr>
                <w:rFonts w:ascii="Times New Roman" w:hAnsi="Times New Roman" w:cs="Times New Roman"/>
              </w:rPr>
              <w:t xml:space="preserve"> valstīs (piemēri)</w:t>
            </w:r>
          </w:p>
        </w:tc>
      </w:tr>
      <w:tr w:rsidR="000F1039" w:rsidRPr="00805442" w14:paraId="066B1559" w14:textId="77777777" w:rsidTr="00521F8C">
        <w:tc>
          <w:tcPr>
            <w:tcW w:w="5000" w:type="pct"/>
            <w:gridSpan w:val="5"/>
            <w:tcBorders>
              <w:top w:val="double" w:sz="4" w:space="0" w:color="auto"/>
              <w:left w:val="nil"/>
              <w:right w:val="nil"/>
            </w:tcBorders>
          </w:tcPr>
          <w:p w14:paraId="5A62412C" w14:textId="662CB906" w:rsidR="000F1039" w:rsidRPr="00805442" w:rsidRDefault="000F1039" w:rsidP="000F1039">
            <w:pPr>
              <w:pStyle w:val="Heading2"/>
              <w:spacing w:before="0"/>
              <w:ind w:left="113" w:right="113"/>
              <w:rPr>
                <w:rFonts w:ascii="Times New Roman" w:hAnsi="Times New Roman" w:cs="Times New Roman"/>
                <w:noProof/>
                <w:sz w:val="24"/>
                <w:szCs w:val="24"/>
              </w:rPr>
            </w:pPr>
            <w:r w:rsidRPr="00805442">
              <w:rPr>
                <w:rFonts w:ascii="Times New Roman" w:hAnsi="Times New Roman" w:cs="Times New Roman"/>
                <w:i/>
                <w:sz w:val="24"/>
              </w:rPr>
              <w:t>Beznosacījumu</w:t>
            </w:r>
          </w:p>
        </w:tc>
      </w:tr>
      <w:tr w:rsidR="00825B2F" w:rsidRPr="00805442" w14:paraId="7E01A5D5" w14:textId="77777777" w:rsidTr="0064558C">
        <w:trPr>
          <w:trHeight w:val="2369"/>
        </w:trPr>
        <w:tc>
          <w:tcPr>
            <w:tcW w:w="711" w:type="pct"/>
            <w:tcBorders>
              <w:left w:val="nil"/>
              <w:right w:val="nil"/>
            </w:tcBorders>
          </w:tcPr>
          <w:p w14:paraId="0B698CFD" w14:textId="77777777" w:rsidR="00825B2F" w:rsidRPr="00805442" w:rsidRDefault="00825B2F" w:rsidP="00825B2F">
            <w:pPr>
              <w:pStyle w:val="Heading2"/>
              <w:spacing w:before="0"/>
              <w:ind w:left="113" w:right="113"/>
              <w:jc w:val="center"/>
              <w:rPr>
                <w:rFonts w:ascii="Times New Roman" w:hAnsi="Times New Roman" w:cs="Times New Roman"/>
                <w:noProof/>
              </w:rPr>
            </w:pPr>
          </w:p>
          <w:p w14:paraId="53E85514" w14:textId="77777777" w:rsidR="00825B2F" w:rsidRPr="00805442" w:rsidRDefault="00825B2F" w:rsidP="00825B2F">
            <w:pPr>
              <w:pStyle w:val="Heading2"/>
              <w:spacing w:before="0"/>
              <w:ind w:left="113" w:right="113"/>
              <w:jc w:val="center"/>
              <w:rPr>
                <w:rFonts w:ascii="Times New Roman" w:hAnsi="Times New Roman" w:cs="Times New Roman"/>
                <w:noProof/>
              </w:rPr>
            </w:pPr>
          </w:p>
          <w:p w14:paraId="2A328668" w14:textId="6B526B39" w:rsidR="00EA7967" w:rsidRPr="00805442" w:rsidRDefault="00EA7967" w:rsidP="00825B2F">
            <w:pPr>
              <w:pStyle w:val="Heading2"/>
              <w:spacing w:before="0"/>
              <w:ind w:left="113" w:right="113"/>
              <w:jc w:val="center"/>
              <w:rPr>
                <w:rFonts w:ascii="Times New Roman" w:hAnsi="Times New Roman" w:cs="Times New Roman"/>
                <w:noProof/>
              </w:rPr>
            </w:pPr>
            <w:r w:rsidRPr="00805442">
              <w:rPr>
                <w:rFonts w:ascii="Times New Roman" w:hAnsi="Times New Roman" w:cs="Times New Roman"/>
              </w:rPr>
              <w:t>Izlīdzināšanas dotācijas</w:t>
            </w:r>
          </w:p>
        </w:tc>
        <w:tc>
          <w:tcPr>
            <w:tcW w:w="1043" w:type="pct"/>
            <w:tcBorders>
              <w:left w:val="nil"/>
              <w:right w:val="nil"/>
            </w:tcBorders>
          </w:tcPr>
          <w:p w14:paraId="01264DF7" w14:textId="58DAB3F6"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Samazināt jurisdikciju fiskālās atšķirības</w:t>
            </w:r>
          </w:p>
          <w:p w14:paraId="7D64FC7E" w14:textId="23CCED32"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Izdalīt līdzekļus paredzamā un caurredzamā veidā</w:t>
            </w:r>
          </w:p>
          <w:p w14:paraId="6F5AFDA0" w14:textId="2DB103F2"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Ņemt vērā tādus faktorus kā iedzīvotāju skaits, teritorija un fiskālā kapacitāte</w:t>
            </w:r>
          </w:p>
        </w:tc>
        <w:tc>
          <w:tcPr>
            <w:tcW w:w="1066" w:type="pct"/>
            <w:tcBorders>
              <w:left w:val="nil"/>
              <w:right w:val="nil"/>
            </w:tcBorders>
          </w:tcPr>
          <w:p w14:paraId="3B4AA77B" w14:textId="67E92B90" w:rsidR="00EC7A76" w:rsidRPr="00805442" w:rsidRDefault="00EC7A76"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Veicināt taisnīgumu un vienlīdzību resursu sadalē</w:t>
            </w:r>
          </w:p>
          <w:p w14:paraId="3A07F4A6" w14:textId="3104124A" w:rsidR="00EC7A76" w:rsidRPr="00805442" w:rsidRDefault="00EC7A76"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Atbalstīt reģionus ar mazāku ieņēmumu kapacitāti</w:t>
            </w:r>
          </w:p>
          <w:p w14:paraId="5E414B69" w14:textId="3B1BF1F5" w:rsidR="00EC7A76" w:rsidRPr="00805442" w:rsidRDefault="00EC7A76"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Uzlabot budžeta plānošanu visām valdībām</w:t>
            </w:r>
          </w:p>
          <w:p w14:paraId="10C0C5A9" w14:textId="74C9220E" w:rsidR="00EA7967" w:rsidRPr="00805442" w:rsidRDefault="00EC7A76" w:rsidP="00174B1A">
            <w:pPr>
              <w:pStyle w:val="Heading2"/>
              <w:numPr>
                <w:ilvl w:val="0"/>
                <w:numId w:val="11"/>
              </w:numPr>
              <w:spacing w:before="0"/>
              <w:ind w:left="113" w:right="113" w:hanging="157"/>
              <w:rPr>
                <w:rFonts w:ascii="Times New Roman" w:hAnsi="Times New Roman" w:cs="Times New Roman"/>
                <w:noProof/>
                <w:color w:val="4D81BD"/>
              </w:rPr>
            </w:pPr>
            <w:r w:rsidRPr="00805442">
              <w:rPr>
                <w:rFonts w:ascii="Times New Roman" w:hAnsi="Times New Roman" w:cs="Times New Roman"/>
                <w:b w:val="0"/>
              </w:rPr>
              <w:t>Motivēt saņēmējvaldības, lai optimizētu ieņēmumu gūšanu un efektīvi pārvaldītu sabiedriskos pakalpojumus</w:t>
            </w:r>
          </w:p>
        </w:tc>
        <w:tc>
          <w:tcPr>
            <w:tcW w:w="1163" w:type="pct"/>
            <w:tcBorders>
              <w:left w:val="nil"/>
              <w:right w:val="nil"/>
            </w:tcBorders>
          </w:tcPr>
          <w:p w14:paraId="13AB9898" w14:textId="67241003" w:rsidR="00B221FC" w:rsidRPr="00805442" w:rsidRDefault="00B221FC"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Pārmērīgi sarežģītas formulas var mazināt pašvaldību motivāciju maksimāli izmantot savus ieņēmumu avotus, kas izraisa nepilnīgas nodokļu bāzes izmantošanu</w:t>
            </w:r>
          </w:p>
          <w:p w14:paraId="48FCAFA4" w14:textId="77DFF4EB" w:rsidR="00B221FC" w:rsidRPr="00805442" w:rsidRDefault="00B221FC"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Paļaujoties uz sīkiem, novecojušiem datiem, tiek pieņemti subjektīvi lēmumi, kas var mazināt valdību savstarpējo uzticību un sadarbību</w:t>
            </w:r>
          </w:p>
          <w:p w14:paraId="4E6B927A" w14:textId="22A68C5D" w:rsidR="00EA7967" w:rsidRPr="00805442" w:rsidRDefault="00B221FC" w:rsidP="00174B1A">
            <w:pPr>
              <w:pStyle w:val="Heading2"/>
              <w:numPr>
                <w:ilvl w:val="0"/>
                <w:numId w:val="11"/>
              </w:numPr>
              <w:spacing w:before="0"/>
              <w:ind w:left="113" w:right="113" w:hanging="157"/>
              <w:rPr>
                <w:rFonts w:ascii="Times New Roman" w:hAnsi="Times New Roman" w:cs="Times New Roman"/>
                <w:noProof/>
                <w:color w:val="4D81BD"/>
              </w:rPr>
            </w:pPr>
            <w:r w:rsidRPr="00805442">
              <w:rPr>
                <w:rFonts w:ascii="Times New Roman" w:hAnsi="Times New Roman" w:cs="Times New Roman"/>
                <w:b w:val="0"/>
              </w:rPr>
              <w:t>Ekonomisko ciklu neievērošana</w:t>
            </w:r>
          </w:p>
        </w:tc>
        <w:tc>
          <w:tcPr>
            <w:tcW w:w="1017" w:type="pct"/>
            <w:tcBorders>
              <w:left w:val="nil"/>
              <w:right w:val="nil"/>
            </w:tcBorders>
          </w:tcPr>
          <w:p w14:paraId="0FDF2100" w14:textId="0C763D49" w:rsidR="00EA7967" w:rsidRPr="00805442" w:rsidRDefault="00FB26A8" w:rsidP="005C7D36">
            <w:pPr>
              <w:pStyle w:val="Heading2"/>
              <w:ind w:left="113" w:right="113"/>
              <w:rPr>
                <w:rFonts w:ascii="Times New Roman" w:hAnsi="Times New Roman" w:cs="Times New Roman"/>
                <w:noProof/>
                <w:color w:val="4D81BD"/>
              </w:rPr>
            </w:pPr>
            <w:r w:rsidRPr="00805442">
              <w:rPr>
                <w:rFonts w:ascii="Times New Roman" w:hAnsi="Times New Roman" w:cs="Times New Roman"/>
                <w:b w:val="0"/>
              </w:rPr>
              <w:t>Izplatīti (piem., Kanādas Federālā izlīdzināšanas programma</w:t>
            </w:r>
            <w:r w:rsidRPr="00805442">
              <w:rPr>
                <w:rStyle w:val="FootnoteReference"/>
                <w:rFonts w:ascii="Times New Roman" w:hAnsi="Times New Roman" w:cs="Times New Roman"/>
                <w:b w:val="0"/>
                <w:bCs w:val="0"/>
                <w:noProof/>
              </w:rPr>
              <w:footnoteReference w:customMarkFollows="1" w:id="68"/>
              <w:t>71</w:t>
            </w:r>
            <w:r w:rsidRPr="00805442">
              <w:rPr>
                <w:rFonts w:ascii="Times New Roman" w:hAnsi="Times New Roman" w:cs="Times New Roman"/>
                <w:b w:val="0"/>
              </w:rPr>
              <w:t xml:space="preserve"> / Vācijas Finanšu izlīdzināšanas sistēma</w:t>
            </w:r>
            <w:r w:rsidRPr="00805442">
              <w:rPr>
                <w:rStyle w:val="FootnoteReference"/>
                <w:rFonts w:ascii="Times New Roman" w:hAnsi="Times New Roman" w:cs="Times New Roman"/>
                <w:b w:val="0"/>
                <w:bCs w:val="0"/>
                <w:noProof/>
              </w:rPr>
              <w:footnoteReference w:customMarkFollows="1" w:id="69"/>
              <w:t>72</w:t>
            </w:r>
            <w:r w:rsidRPr="00805442">
              <w:rPr>
                <w:rFonts w:ascii="Times New Roman" w:hAnsi="Times New Roman" w:cs="Times New Roman"/>
                <w:b w:val="0"/>
              </w:rPr>
              <w:t>)</w:t>
            </w:r>
          </w:p>
        </w:tc>
      </w:tr>
      <w:tr w:rsidR="00825B2F" w:rsidRPr="00805442" w14:paraId="7B42AE18" w14:textId="77777777" w:rsidTr="00993DDC">
        <w:tc>
          <w:tcPr>
            <w:tcW w:w="711" w:type="pct"/>
            <w:tcBorders>
              <w:left w:val="nil"/>
              <w:right w:val="nil"/>
            </w:tcBorders>
          </w:tcPr>
          <w:p w14:paraId="1EE39C15" w14:textId="77777777" w:rsidR="00825B2F" w:rsidRPr="00805442" w:rsidRDefault="00825B2F" w:rsidP="00174B1A">
            <w:pPr>
              <w:pStyle w:val="Heading2"/>
              <w:spacing w:before="0"/>
              <w:ind w:left="113" w:right="113"/>
              <w:jc w:val="both"/>
              <w:rPr>
                <w:rFonts w:ascii="Times New Roman" w:hAnsi="Times New Roman" w:cs="Times New Roman"/>
                <w:noProof/>
              </w:rPr>
            </w:pPr>
          </w:p>
          <w:p w14:paraId="7DF1F48A" w14:textId="77777777" w:rsidR="00825B2F" w:rsidRPr="00805442" w:rsidRDefault="00825B2F" w:rsidP="00174B1A">
            <w:pPr>
              <w:pStyle w:val="Heading2"/>
              <w:spacing w:before="0"/>
              <w:ind w:left="113" w:right="113"/>
              <w:jc w:val="both"/>
              <w:rPr>
                <w:rFonts w:ascii="Times New Roman" w:hAnsi="Times New Roman" w:cs="Times New Roman"/>
                <w:noProof/>
              </w:rPr>
            </w:pPr>
          </w:p>
          <w:p w14:paraId="2043DC5C" w14:textId="1CE7A6AD" w:rsidR="00EA7967" w:rsidRPr="00805442" w:rsidRDefault="00EA7967" w:rsidP="00174B1A">
            <w:pPr>
              <w:pStyle w:val="Heading2"/>
              <w:spacing w:before="0"/>
              <w:ind w:left="113" w:right="113"/>
              <w:jc w:val="both"/>
              <w:rPr>
                <w:rFonts w:ascii="Times New Roman" w:hAnsi="Times New Roman" w:cs="Times New Roman"/>
                <w:noProof/>
              </w:rPr>
            </w:pPr>
            <w:r w:rsidRPr="00805442">
              <w:rPr>
                <w:rFonts w:ascii="Times New Roman" w:hAnsi="Times New Roman" w:cs="Times New Roman"/>
              </w:rPr>
              <w:t>Ieņēmumu sadale</w:t>
            </w:r>
          </w:p>
        </w:tc>
        <w:tc>
          <w:tcPr>
            <w:tcW w:w="1043" w:type="pct"/>
            <w:tcBorders>
              <w:left w:val="nil"/>
              <w:right w:val="nil"/>
            </w:tcBorders>
          </w:tcPr>
          <w:p w14:paraId="5EA962D3" w14:textId="7A9DB829"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Papildināt pašvaldību ieņēmumus bez konkrētiem norādījumiem</w:t>
            </w:r>
          </w:p>
          <w:p w14:paraId="177CC340" w14:textId="10905829"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Izdalīt līdzekļus paredzamā un caurredzamā veidā</w:t>
            </w:r>
          </w:p>
          <w:p w14:paraId="66697230" w14:textId="43C6A125" w:rsidR="00EA7967" w:rsidRPr="00805442" w:rsidRDefault="00EA7967"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Uzlabot jurisdikciju savstarpējo vienlīdzību</w:t>
            </w:r>
          </w:p>
        </w:tc>
        <w:tc>
          <w:tcPr>
            <w:tcW w:w="1066" w:type="pct"/>
            <w:tcBorders>
              <w:left w:val="nil"/>
              <w:right w:val="nil"/>
            </w:tcBorders>
          </w:tcPr>
          <w:p w14:paraId="0805A13B" w14:textId="582E8B7D" w:rsidR="004B7C3F" w:rsidRPr="00805442" w:rsidRDefault="004B7C3F"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Atbalstīt reģionus ar mazāku ieņēmumu kapacitāti</w:t>
            </w:r>
          </w:p>
          <w:p w14:paraId="5B07164B" w14:textId="3F252597" w:rsidR="004B7C3F" w:rsidRPr="00805442" w:rsidRDefault="004B7C3F"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stabilu, prognozējamu finansējumu pašvaldībām</w:t>
            </w:r>
          </w:p>
          <w:p w14:paraId="764E8130" w14:textId="02052609" w:rsidR="00EA7967" w:rsidRPr="00805442" w:rsidRDefault="004B7C3F" w:rsidP="00174B1A">
            <w:pPr>
              <w:pStyle w:val="Heading2"/>
              <w:numPr>
                <w:ilvl w:val="0"/>
                <w:numId w:val="11"/>
              </w:numPr>
              <w:spacing w:before="0"/>
              <w:ind w:left="113" w:right="113" w:hanging="157"/>
              <w:rPr>
                <w:rFonts w:ascii="Times New Roman" w:hAnsi="Times New Roman" w:cs="Times New Roman"/>
                <w:noProof/>
                <w:color w:val="4D81BD"/>
              </w:rPr>
            </w:pPr>
            <w:r w:rsidRPr="00805442">
              <w:rPr>
                <w:rFonts w:ascii="Times New Roman" w:hAnsi="Times New Roman" w:cs="Times New Roman"/>
                <w:b w:val="0"/>
              </w:rPr>
              <w:t>Uzlabot budžeta plānošanu visām valdībām</w:t>
            </w:r>
          </w:p>
        </w:tc>
        <w:tc>
          <w:tcPr>
            <w:tcW w:w="1163" w:type="pct"/>
            <w:tcBorders>
              <w:left w:val="nil"/>
              <w:right w:val="nil"/>
            </w:tcBorders>
          </w:tcPr>
          <w:p w14:paraId="0D035B6D" w14:textId="07830E97" w:rsidR="005840CB" w:rsidRPr="00805442" w:rsidRDefault="005840CB"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mazināt pašvaldību motivāciju maksimāli izmantot savus ieņēmumu avotus, kas izraisa nepilnīgas nodokļu bāzes izmantošanu un atkarību no centrālajiem līdzekļiem</w:t>
            </w:r>
          </w:p>
          <w:p w14:paraId="3CBF01E7" w14:textId="509FD9A9" w:rsidR="00EA7967" w:rsidRPr="00805442" w:rsidRDefault="005840CB"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izraisīt neefektivitāti vai resursu nepareizu sadalījumu, ja nav precīzu pārskatatbildības mehānismu</w:t>
            </w:r>
          </w:p>
        </w:tc>
        <w:tc>
          <w:tcPr>
            <w:tcW w:w="1017" w:type="pct"/>
            <w:tcBorders>
              <w:left w:val="nil"/>
              <w:right w:val="nil"/>
            </w:tcBorders>
          </w:tcPr>
          <w:p w14:paraId="06B8D150" w14:textId="2EB0465F" w:rsidR="00EA7967" w:rsidRPr="00805442" w:rsidRDefault="0085717C" w:rsidP="005C7D36">
            <w:pPr>
              <w:pStyle w:val="Heading2"/>
              <w:ind w:left="113" w:right="113"/>
              <w:rPr>
                <w:rFonts w:ascii="Times New Roman" w:hAnsi="Times New Roman" w:cs="Times New Roman"/>
                <w:noProof/>
                <w:color w:val="4D81BD"/>
              </w:rPr>
            </w:pPr>
            <w:r w:rsidRPr="00805442">
              <w:rPr>
                <w:rFonts w:ascii="Times New Roman" w:hAnsi="Times New Roman" w:cs="Times New Roman"/>
                <w:b w:val="0"/>
              </w:rPr>
              <w:t>Izplatīti (piem., Vācijas PVN nodokļa sadale</w:t>
            </w:r>
            <w:r w:rsidRPr="00805442">
              <w:rPr>
                <w:rStyle w:val="FootnoteReference"/>
                <w:rFonts w:ascii="Times New Roman" w:hAnsi="Times New Roman" w:cs="Times New Roman"/>
                <w:b w:val="0"/>
                <w:bCs w:val="0"/>
                <w:noProof/>
              </w:rPr>
              <w:footnoteReference w:customMarkFollows="1" w:id="70"/>
              <w:t>73</w:t>
            </w:r>
            <w:r w:rsidRPr="00805442">
              <w:rPr>
                <w:rFonts w:ascii="Times New Roman" w:hAnsi="Times New Roman" w:cs="Times New Roman"/>
                <w:b w:val="0"/>
              </w:rPr>
              <w:t xml:space="preserve"> / Austrālijas preču un pakalpojumu nodokļa pārdale</w:t>
            </w:r>
            <w:r w:rsidRPr="00805442">
              <w:rPr>
                <w:rStyle w:val="FootnoteReference"/>
                <w:rFonts w:ascii="Times New Roman" w:hAnsi="Times New Roman" w:cs="Times New Roman"/>
                <w:b w:val="0"/>
                <w:bCs w:val="0"/>
                <w:noProof/>
              </w:rPr>
              <w:footnoteReference w:customMarkFollows="1" w:id="71"/>
              <w:t>74</w:t>
            </w:r>
            <w:r w:rsidRPr="00805442">
              <w:rPr>
                <w:rFonts w:ascii="Times New Roman" w:hAnsi="Times New Roman" w:cs="Times New Roman"/>
                <w:b w:val="0"/>
              </w:rPr>
              <w:t>)</w:t>
            </w:r>
          </w:p>
        </w:tc>
      </w:tr>
      <w:tr w:rsidR="00825B2F" w:rsidRPr="00805442" w14:paraId="6D942418" w14:textId="77777777" w:rsidTr="00993DDC">
        <w:tc>
          <w:tcPr>
            <w:tcW w:w="711" w:type="pct"/>
            <w:tcBorders>
              <w:left w:val="nil"/>
              <w:right w:val="nil"/>
            </w:tcBorders>
          </w:tcPr>
          <w:p w14:paraId="481DCC39" w14:textId="27C492CB" w:rsidR="00EA7967" w:rsidRPr="00805442" w:rsidRDefault="00EA7967" w:rsidP="0064558C">
            <w:pPr>
              <w:pStyle w:val="Heading2"/>
              <w:keepNext/>
              <w:keepLines/>
              <w:spacing w:before="0"/>
              <w:ind w:left="113" w:right="113"/>
              <w:jc w:val="both"/>
              <w:rPr>
                <w:rFonts w:ascii="Times New Roman" w:hAnsi="Times New Roman" w:cs="Times New Roman"/>
                <w:noProof/>
              </w:rPr>
            </w:pPr>
            <w:r w:rsidRPr="00805442">
              <w:rPr>
                <w:rFonts w:ascii="Times New Roman" w:hAnsi="Times New Roman" w:cs="Times New Roman"/>
              </w:rPr>
              <w:t xml:space="preserve">Iztrūkuma aizpildīšanas </w:t>
            </w:r>
            <w:r w:rsidRPr="00805442">
              <w:rPr>
                <w:rFonts w:ascii="Times New Roman" w:hAnsi="Times New Roman" w:cs="Times New Roman"/>
              </w:rPr>
              <w:lastRenderedPageBreak/>
              <w:t>pārvedumi</w:t>
            </w:r>
          </w:p>
        </w:tc>
        <w:tc>
          <w:tcPr>
            <w:tcW w:w="1043" w:type="pct"/>
            <w:tcBorders>
              <w:left w:val="nil"/>
              <w:right w:val="nil"/>
            </w:tcBorders>
          </w:tcPr>
          <w:p w14:paraId="3A308A23" w14:textId="2595E157" w:rsidR="00EA7967" w:rsidRPr="00805442" w:rsidRDefault="00EA7967" w:rsidP="0064558C">
            <w:pPr>
              <w:pStyle w:val="Heading2"/>
              <w:keepNext/>
              <w:keepLines/>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lastRenderedPageBreak/>
              <w:t xml:space="preserve">Samazināt fiskālo plaisu starp </w:t>
            </w:r>
            <w:r w:rsidRPr="00805442">
              <w:rPr>
                <w:rFonts w:ascii="Times New Roman" w:hAnsi="Times New Roman" w:cs="Times New Roman"/>
                <w:b w:val="0"/>
              </w:rPr>
              <w:lastRenderedPageBreak/>
              <w:t>pašvaldības ieņēmumiem un izdevumiem</w:t>
            </w:r>
          </w:p>
        </w:tc>
        <w:tc>
          <w:tcPr>
            <w:tcW w:w="1066" w:type="pct"/>
            <w:tcBorders>
              <w:left w:val="nil"/>
              <w:right w:val="nil"/>
            </w:tcBorders>
          </w:tcPr>
          <w:p w14:paraId="255A1B58" w14:textId="5E9007CB" w:rsidR="004B7C3F" w:rsidRPr="00805442" w:rsidRDefault="004B7C3F" w:rsidP="0064558C">
            <w:pPr>
              <w:pStyle w:val="Heading2"/>
              <w:keepNext/>
              <w:keepLines/>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lastRenderedPageBreak/>
              <w:t xml:space="preserve">Nodrošināt, ka pašvaldības spēj </w:t>
            </w:r>
            <w:r w:rsidRPr="00805442">
              <w:rPr>
                <w:rFonts w:ascii="Times New Roman" w:hAnsi="Times New Roman" w:cs="Times New Roman"/>
                <w:b w:val="0"/>
              </w:rPr>
              <w:lastRenderedPageBreak/>
              <w:t>apmierināt izdevumu vajadzības</w:t>
            </w:r>
          </w:p>
          <w:p w14:paraId="73303BFA" w14:textId="37592E20" w:rsidR="00EA7967" w:rsidRPr="00805442" w:rsidRDefault="004B7C3F" w:rsidP="0064558C">
            <w:pPr>
              <w:pStyle w:val="Heading2"/>
              <w:keepNext/>
              <w:keepLines/>
              <w:numPr>
                <w:ilvl w:val="0"/>
                <w:numId w:val="11"/>
              </w:numPr>
              <w:spacing w:before="0"/>
              <w:ind w:left="113" w:right="113" w:hanging="157"/>
              <w:rPr>
                <w:rFonts w:ascii="Times New Roman" w:hAnsi="Times New Roman" w:cs="Times New Roman"/>
                <w:noProof/>
                <w:color w:val="4D81BD"/>
              </w:rPr>
            </w:pPr>
            <w:r w:rsidRPr="00805442">
              <w:rPr>
                <w:rFonts w:ascii="Times New Roman" w:hAnsi="Times New Roman" w:cs="Times New Roman"/>
                <w:b w:val="0"/>
              </w:rPr>
              <w:t>Mazināt iztrūkumus pakalpojumu sniegšanā</w:t>
            </w:r>
          </w:p>
        </w:tc>
        <w:tc>
          <w:tcPr>
            <w:tcW w:w="1163" w:type="pct"/>
            <w:tcBorders>
              <w:left w:val="nil"/>
              <w:right w:val="nil"/>
            </w:tcBorders>
          </w:tcPr>
          <w:p w14:paraId="689B33F1" w14:textId="2AAB602E" w:rsidR="00C21D8A" w:rsidRPr="00805442" w:rsidRDefault="00C21D8A" w:rsidP="0064558C">
            <w:pPr>
              <w:pStyle w:val="Heading2"/>
              <w:keepNext/>
              <w:keepLines/>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lastRenderedPageBreak/>
              <w:t xml:space="preserve">Veicina pārmērīgu paļaušanos uz </w:t>
            </w:r>
            <w:r w:rsidRPr="00805442">
              <w:rPr>
                <w:rFonts w:ascii="Times New Roman" w:hAnsi="Times New Roman" w:cs="Times New Roman"/>
                <w:b w:val="0"/>
              </w:rPr>
              <w:lastRenderedPageBreak/>
              <w:t>centrālās valdības pārvedumiem</w:t>
            </w:r>
          </w:p>
          <w:p w14:paraId="1C79C8CE" w14:textId="40D09444" w:rsidR="00EA7967" w:rsidRPr="00805442" w:rsidRDefault="00C21D8A" w:rsidP="0064558C">
            <w:pPr>
              <w:pStyle w:val="Heading2"/>
              <w:keepNext/>
              <w:keepLines/>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demotivēt pašvaldības maksimāli izmantot savus ieņēmumu avotus, kā rezultātā tās nepietiekami izmanto savu nodokļu bāzi</w:t>
            </w:r>
          </w:p>
        </w:tc>
        <w:tc>
          <w:tcPr>
            <w:tcW w:w="1017" w:type="pct"/>
            <w:tcBorders>
              <w:left w:val="nil"/>
              <w:right w:val="nil"/>
            </w:tcBorders>
          </w:tcPr>
          <w:p w14:paraId="0719385E" w14:textId="2C3859B6" w:rsidR="00EA7967" w:rsidRPr="00805442" w:rsidRDefault="005D11B4" w:rsidP="0064558C">
            <w:pPr>
              <w:pStyle w:val="Heading2"/>
              <w:keepNext/>
              <w:keepLines/>
              <w:ind w:left="113" w:right="113"/>
              <w:rPr>
                <w:rFonts w:ascii="Times New Roman" w:hAnsi="Times New Roman" w:cs="Times New Roman"/>
                <w:b w:val="0"/>
                <w:bCs w:val="0"/>
                <w:noProof/>
              </w:rPr>
            </w:pPr>
            <w:r w:rsidRPr="00805442">
              <w:rPr>
                <w:rFonts w:ascii="Times New Roman" w:hAnsi="Times New Roman" w:cs="Times New Roman"/>
                <w:b w:val="0"/>
              </w:rPr>
              <w:lastRenderedPageBreak/>
              <w:t xml:space="preserve">Mazāk izplatīti (piem., Spānijas </w:t>
            </w:r>
            <w:r w:rsidRPr="00805442">
              <w:rPr>
                <w:rFonts w:ascii="Times New Roman" w:hAnsi="Times New Roman" w:cs="Times New Roman"/>
                <w:b w:val="0"/>
              </w:rPr>
              <w:lastRenderedPageBreak/>
              <w:t>Starpteritoriju kompensācijas fonds</w:t>
            </w:r>
            <w:r w:rsidRPr="00805442">
              <w:rPr>
                <w:rStyle w:val="FootnoteReference"/>
                <w:rFonts w:ascii="Times New Roman" w:hAnsi="Times New Roman" w:cs="Times New Roman"/>
                <w:b w:val="0"/>
                <w:bCs w:val="0"/>
                <w:noProof/>
              </w:rPr>
              <w:footnoteReference w:customMarkFollows="1" w:id="72"/>
              <w:t>75</w:t>
            </w:r>
            <w:r w:rsidRPr="00805442">
              <w:rPr>
                <w:rFonts w:ascii="Times New Roman" w:hAnsi="Times New Roman" w:cs="Times New Roman"/>
                <w:b w:val="0"/>
              </w:rPr>
              <w:t> / Kanādas Teritoriālā finansēšanas formula)</w:t>
            </w:r>
          </w:p>
        </w:tc>
      </w:tr>
      <w:tr w:rsidR="0064558C" w:rsidRPr="00805442" w14:paraId="31323E3F" w14:textId="77777777" w:rsidTr="0064558C">
        <w:tc>
          <w:tcPr>
            <w:tcW w:w="1754" w:type="pct"/>
            <w:gridSpan w:val="2"/>
            <w:tcBorders>
              <w:left w:val="nil"/>
              <w:right w:val="nil"/>
            </w:tcBorders>
          </w:tcPr>
          <w:p w14:paraId="04442968" w14:textId="3421C9FA" w:rsidR="0064558C" w:rsidRPr="00805442" w:rsidRDefault="0064558C" w:rsidP="00174B1A">
            <w:pPr>
              <w:pStyle w:val="Heading2"/>
              <w:spacing w:before="0"/>
              <w:ind w:left="113" w:right="113"/>
              <w:rPr>
                <w:rFonts w:ascii="Times New Roman" w:hAnsi="Times New Roman" w:cs="Times New Roman"/>
                <w:noProof/>
                <w:color w:val="4D81BD"/>
              </w:rPr>
            </w:pPr>
            <w:r w:rsidRPr="00805442">
              <w:rPr>
                <w:rFonts w:ascii="Times New Roman" w:hAnsi="Times New Roman" w:cs="Times New Roman"/>
                <w:i/>
              </w:rPr>
              <w:lastRenderedPageBreak/>
              <w:t>Noteiktai jomai paredzēti</w:t>
            </w:r>
          </w:p>
        </w:tc>
        <w:tc>
          <w:tcPr>
            <w:tcW w:w="1066" w:type="pct"/>
            <w:tcBorders>
              <w:left w:val="nil"/>
              <w:right w:val="nil"/>
            </w:tcBorders>
          </w:tcPr>
          <w:p w14:paraId="45F53274" w14:textId="3829006D" w:rsidR="0064558C" w:rsidRPr="00805442" w:rsidRDefault="0064558C" w:rsidP="00174B1A">
            <w:pPr>
              <w:pStyle w:val="Heading2"/>
              <w:spacing w:before="0"/>
              <w:ind w:left="113" w:right="113"/>
              <w:rPr>
                <w:rFonts w:ascii="Times New Roman" w:hAnsi="Times New Roman" w:cs="Times New Roman"/>
                <w:b w:val="0"/>
                <w:bCs w:val="0"/>
                <w:noProof/>
              </w:rPr>
            </w:pPr>
          </w:p>
        </w:tc>
        <w:tc>
          <w:tcPr>
            <w:tcW w:w="1163" w:type="pct"/>
            <w:tcBorders>
              <w:left w:val="nil"/>
              <w:right w:val="nil"/>
            </w:tcBorders>
          </w:tcPr>
          <w:p w14:paraId="6A9D6467" w14:textId="37BB5938" w:rsidR="0064558C" w:rsidRPr="00805442" w:rsidRDefault="0064558C" w:rsidP="00174B1A">
            <w:pPr>
              <w:pStyle w:val="Heading2"/>
              <w:spacing w:before="0"/>
              <w:ind w:left="113" w:right="113"/>
              <w:rPr>
                <w:rFonts w:ascii="Times New Roman" w:hAnsi="Times New Roman" w:cs="Times New Roman"/>
                <w:b w:val="0"/>
                <w:bCs w:val="0"/>
                <w:noProof/>
              </w:rPr>
            </w:pPr>
          </w:p>
        </w:tc>
        <w:tc>
          <w:tcPr>
            <w:tcW w:w="1017" w:type="pct"/>
            <w:tcBorders>
              <w:left w:val="nil"/>
              <w:right w:val="nil"/>
            </w:tcBorders>
          </w:tcPr>
          <w:p w14:paraId="3321C293" w14:textId="59876A12" w:rsidR="0064558C" w:rsidRPr="00805442" w:rsidRDefault="0064558C" w:rsidP="005C7D36">
            <w:pPr>
              <w:pStyle w:val="Heading2"/>
              <w:ind w:left="113" w:right="113"/>
              <w:rPr>
                <w:rFonts w:ascii="Times New Roman" w:hAnsi="Times New Roman" w:cs="Times New Roman"/>
                <w:b w:val="0"/>
                <w:bCs w:val="0"/>
                <w:noProof/>
              </w:rPr>
            </w:pPr>
          </w:p>
        </w:tc>
      </w:tr>
      <w:tr w:rsidR="00825B2F" w:rsidRPr="00805442" w14:paraId="295075EF" w14:textId="77777777" w:rsidTr="00993DDC">
        <w:trPr>
          <w:trHeight w:val="417"/>
        </w:trPr>
        <w:tc>
          <w:tcPr>
            <w:tcW w:w="711" w:type="pct"/>
            <w:tcBorders>
              <w:left w:val="nil"/>
              <w:right w:val="nil"/>
            </w:tcBorders>
          </w:tcPr>
          <w:p w14:paraId="48C9F6B5" w14:textId="77777777" w:rsidR="00993DDC" w:rsidRPr="00805442" w:rsidRDefault="00993DDC" w:rsidP="00174B1A">
            <w:pPr>
              <w:pStyle w:val="Heading2"/>
              <w:spacing w:before="0"/>
              <w:ind w:left="113" w:right="113"/>
              <w:jc w:val="both"/>
              <w:rPr>
                <w:rFonts w:ascii="Times New Roman" w:hAnsi="Times New Roman" w:cs="Times New Roman"/>
                <w:noProof/>
              </w:rPr>
            </w:pPr>
          </w:p>
          <w:p w14:paraId="325C3911" w14:textId="77777777" w:rsidR="00993DDC" w:rsidRPr="00805442" w:rsidRDefault="00993DDC" w:rsidP="00174B1A">
            <w:pPr>
              <w:pStyle w:val="Heading2"/>
              <w:spacing w:before="0"/>
              <w:ind w:left="113" w:right="113"/>
              <w:jc w:val="both"/>
              <w:rPr>
                <w:rFonts w:ascii="Times New Roman" w:hAnsi="Times New Roman" w:cs="Times New Roman"/>
                <w:noProof/>
              </w:rPr>
            </w:pPr>
          </w:p>
          <w:p w14:paraId="6F8ABD3E" w14:textId="070A5499" w:rsidR="00ED38FD" w:rsidRPr="00805442" w:rsidRDefault="00ED38FD" w:rsidP="00174B1A">
            <w:pPr>
              <w:pStyle w:val="Heading2"/>
              <w:spacing w:before="0"/>
              <w:ind w:left="113" w:right="113"/>
              <w:jc w:val="both"/>
              <w:rPr>
                <w:rFonts w:ascii="Times New Roman" w:hAnsi="Times New Roman" w:cs="Times New Roman"/>
                <w:noProof/>
                <w:color w:val="4D81BD"/>
              </w:rPr>
            </w:pPr>
            <w:r w:rsidRPr="00805442">
              <w:rPr>
                <w:rFonts w:ascii="Times New Roman" w:hAnsi="Times New Roman" w:cs="Times New Roman"/>
              </w:rPr>
              <w:t>Globālās dotācijas</w:t>
            </w:r>
          </w:p>
        </w:tc>
        <w:tc>
          <w:tcPr>
            <w:tcW w:w="1043" w:type="pct"/>
            <w:tcBorders>
              <w:left w:val="nil"/>
              <w:right w:val="nil"/>
            </w:tcBorders>
          </w:tcPr>
          <w:p w14:paraId="1AF2D8AD" w14:textId="7777777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Atbalsts plašām pašvaldību izdevumu kategorijām</w:t>
            </w:r>
          </w:p>
          <w:p w14:paraId="388AE2DE" w14:textId="47F8481A"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Starpposms starp vispārēja mērķa un specifiska mērķa pārvedumiem</w:t>
            </w:r>
          </w:p>
        </w:tc>
        <w:tc>
          <w:tcPr>
            <w:tcW w:w="1066" w:type="pct"/>
            <w:tcBorders>
              <w:left w:val="nil"/>
              <w:right w:val="nil"/>
            </w:tcBorders>
          </w:tcPr>
          <w:p w14:paraId="4CA27A36" w14:textId="7777777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Koncentrējoties uz konkrētu jomu, tomēr nodrošina pašvaldībām elastību</w:t>
            </w:r>
          </w:p>
          <w:p w14:paraId="78C585F1" w14:textId="7777777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Novērš “mušpapīra efektu”, veicinot efektīvāku līdzekļu izlietojumu</w:t>
            </w:r>
          </w:p>
          <w:p w14:paraId="432E357E" w14:textId="15084180"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Veicina pielāgotu pakalpojumu sniegšanu un politikas inovācijas</w:t>
            </w:r>
          </w:p>
        </w:tc>
        <w:tc>
          <w:tcPr>
            <w:tcW w:w="1163" w:type="pct"/>
            <w:tcBorders>
              <w:left w:val="nil"/>
              <w:right w:val="nil"/>
            </w:tcBorders>
          </w:tcPr>
          <w:p w14:paraId="295A98F4" w14:textId="7777777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Skaidru pārskatatbildības mehānismu trūkuma dēļ var izraisīt neefektivitāti vai resursu nepareizu sadali</w:t>
            </w:r>
          </w:p>
          <w:p w14:paraId="1111CC8A" w14:textId="7777777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Paļaušanās uz sīkiem datiem, kas bieži nav pieejami</w:t>
            </w:r>
          </w:p>
          <w:p w14:paraId="5EC6EA41" w14:textId="71D84667" w:rsidR="00ED38FD" w:rsidRPr="00805442" w:rsidRDefault="00ED38F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nepietiekami segt programmas izmaksas</w:t>
            </w:r>
          </w:p>
        </w:tc>
        <w:tc>
          <w:tcPr>
            <w:tcW w:w="1017" w:type="pct"/>
            <w:tcBorders>
              <w:left w:val="nil"/>
              <w:right w:val="nil"/>
            </w:tcBorders>
          </w:tcPr>
          <w:p w14:paraId="1015A465" w14:textId="3AFD0C5B" w:rsidR="00ED38FD" w:rsidRPr="00805442" w:rsidRDefault="00ED38FD" w:rsidP="005C7D36">
            <w:pPr>
              <w:pStyle w:val="Heading2"/>
              <w:spacing w:before="0"/>
              <w:ind w:left="113" w:right="113"/>
              <w:rPr>
                <w:rFonts w:ascii="Times New Roman" w:hAnsi="Times New Roman" w:cs="Times New Roman"/>
                <w:noProof/>
                <w:color w:val="4D81BD"/>
              </w:rPr>
            </w:pPr>
            <w:r w:rsidRPr="00805442">
              <w:rPr>
                <w:rFonts w:ascii="Times New Roman" w:hAnsi="Times New Roman" w:cs="Times New Roman"/>
                <w:b w:val="0"/>
              </w:rPr>
              <w:t>Plaši izplatīti (piem., ASV Kopienu attīstības globālās dotācijas</w:t>
            </w:r>
            <w:r w:rsidRPr="00805442">
              <w:rPr>
                <w:rStyle w:val="FootnoteReference"/>
                <w:rFonts w:ascii="Times New Roman" w:hAnsi="Times New Roman" w:cs="Times New Roman"/>
                <w:b w:val="0"/>
                <w:bCs w:val="0"/>
                <w:noProof/>
              </w:rPr>
              <w:footnoteReference w:customMarkFollows="1" w:id="73"/>
              <w:t>76</w:t>
            </w:r>
            <w:r w:rsidRPr="00805442">
              <w:rPr>
                <w:rFonts w:ascii="Times New Roman" w:hAnsi="Times New Roman" w:cs="Times New Roman"/>
                <w:b w:val="0"/>
              </w:rPr>
              <w:t xml:space="preserve"> / Kanādas Veselības pārvedumi</w:t>
            </w:r>
            <w:r w:rsidRPr="00805442">
              <w:rPr>
                <w:rStyle w:val="FootnoteReference"/>
                <w:rFonts w:ascii="Times New Roman" w:hAnsi="Times New Roman" w:cs="Times New Roman"/>
                <w:b w:val="0"/>
                <w:bCs w:val="0"/>
                <w:noProof/>
              </w:rPr>
              <w:footnoteReference w:customMarkFollows="1" w:id="74"/>
              <w:t>77</w:t>
            </w:r>
            <w:r w:rsidRPr="00805442">
              <w:rPr>
                <w:rFonts w:ascii="Times New Roman" w:hAnsi="Times New Roman" w:cs="Times New Roman"/>
                <w:b w:val="0"/>
              </w:rPr>
              <w:t>/ASV Sociālo pakalpojumu globālās dotācijas).</w:t>
            </w:r>
          </w:p>
        </w:tc>
      </w:tr>
      <w:tr w:rsidR="00825B2F" w:rsidRPr="00805442" w14:paraId="53FA2EB9" w14:textId="77777777" w:rsidTr="0064558C">
        <w:trPr>
          <w:trHeight w:val="289"/>
        </w:trPr>
        <w:tc>
          <w:tcPr>
            <w:tcW w:w="711" w:type="pct"/>
            <w:tcBorders>
              <w:left w:val="nil"/>
              <w:right w:val="nil"/>
            </w:tcBorders>
          </w:tcPr>
          <w:p w14:paraId="6E76C570" w14:textId="56189A27" w:rsidR="00ED38FD" w:rsidRPr="00805442" w:rsidRDefault="00ED38FD" w:rsidP="00174B1A">
            <w:pPr>
              <w:pStyle w:val="Heading2"/>
              <w:spacing w:before="0"/>
              <w:ind w:left="113" w:right="113"/>
              <w:jc w:val="both"/>
              <w:rPr>
                <w:rFonts w:ascii="Times New Roman" w:hAnsi="Times New Roman" w:cs="Times New Roman"/>
                <w:noProof/>
                <w:color w:val="4D81BD"/>
                <w:sz w:val="24"/>
                <w:szCs w:val="24"/>
              </w:rPr>
            </w:pPr>
            <w:r w:rsidRPr="00805442">
              <w:rPr>
                <w:rFonts w:ascii="Times New Roman" w:hAnsi="Times New Roman" w:cs="Times New Roman"/>
                <w:i/>
              </w:rPr>
              <w:t>Ar nosacījumiem</w:t>
            </w:r>
          </w:p>
        </w:tc>
        <w:tc>
          <w:tcPr>
            <w:tcW w:w="1043" w:type="pct"/>
            <w:tcBorders>
              <w:left w:val="nil"/>
              <w:right w:val="nil"/>
            </w:tcBorders>
          </w:tcPr>
          <w:p w14:paraId="5D8144E9" w14:textId="77777777" w:rsidR="00ED38FD" w:rsidRPr="00805442" w:rsidRDefault="00ED38FD" w:rsidP="00174B1A">
            <w:pPr>
              <w:pStyle w:val="Heading2"/>
              <w:spacing w:before="0"/>
              <w:ind w:left="113" w:right="113"/>
              <w:jc w:val="both"/>
              <w:rPr>
                <w:rFonts w:ascii="Times New Roman" w:hAnsi="Times New Roman" w:cs="Times New Roman"/>
                <w:noProof/>
                <w:color w:val="4D81BD"/>
                <w:sz w:val="24"/>
                <w:szCs w:val="24"/>
              </w:rPr>
            </w:pPr>
          </w:p>
        </w:tc>
        <w:tc>
          <w:tcPr>
            <w:tcW w:w="1066" w:type="pct"/>
            <w:tcBorders>
              <w:left w:val="nil"/>
              <w:right w:val="nil"/>
            </w:tcBorders>
          </w:tcPr>
          <w:p w14:paraId="433D75C9" w14:textId="77777777" w:rsidR="00ED38FD" w:rsidRPr="00805442" w:rsidRDefault="00ED38FD" w:rsidP="00174B1A">
            <w:pPr>
              <w:pStyle w:val="Heading2"/>
              <w:spacing w:before="0"/>
              <w:ind w:left="113" w:right="113"/>
              <w:jc w:val="both"/>
              <w:rPr>
                <w:rFonts w:ascii="Times New Roman" w:hAnsi="Times New Roman" w:cs="Times New Roman"/>
                <w:noProof/>
                <w:color w:val="4D81BD"/>
                <w:sz w:val="24"/>
                <w:szCs w:val="24"/>
              </w:rPr>
            </w:pPr>
          </w:p>
        </w:tc>
        <w:tc>
          <w:tcPr>
            <w:tcW w:w="1163" w:type="pct"/>
            <w:tcBorders>
              <w:left w:val="nil"/>
              <w:right w:val="nil"/>
            </w:tcBorders>
          </w:tcPr>
          <w:p w14:paraId="27DC8360" w14:textId="77777777" w:rsidR="00ED38FD" w:rsidRPr="00805442" w:rsidRDefault="00ED38FD" w:rsidP="00174B1A">
            <w:pPr>
              <w:pStyle w:val="Heading2"/>
              <w:spacing w:before="0"/>
              <w:ind w:left="113" w:right="113"/>
              <w:jc w:val="both"/>
              <w:rPr>
                <w:rFonts w:ascii="Times New Roman" w:hAnsi="Times New Roman" w:cs="Times New Roman"/>
                <w:noProof/>
                <w:color w:val="4D81BD"/>
                <w:sz w:val="24"/>
                <w:szCs w:val="24"/>
              </w:rPr>
            </w:pPr>
          </w:p>
        </w:tc>
        <w:tc>
          <w:tcPr>
            <w:tcW w:w="1017" w:type="pct"/>
            <w:tcBorders>
              <w:left w:val="nil"/>
              <w:right w:val="nil"/>
            </w:tcBorders>
          </w:tcPr>
          <w:p w14:paraId="51A8CE2B" w14:textId="77777777" w:rsidR="00ED38FD" w:rsidRPr="00805442" w:rsidRDefault="00ED38FD" w:rsidP="005C7D36">
            <w:pPr>
              <w:pStyle w:val="Heading2"/>
              <w:spacing w:before="0"/>
              <w:ind w:left="113" w:right="113"/>
              <w:rPr>
                <w:rFonts w:ascii="Times New Roman" w:hAnsi="Times New Roman" w:cs="Times New Roman"/>
                <w:noProof/>
                <w:color w:val="4D81BD"/>
                <w:sz w:val="24"/>
                <w:szCs w:val="24"/>
              </w:rPr>
            </w:pPr>
          </w:p>
        </w:tc>
      </w:tr>
      <w:tr w:rsidR="00825B2F" w:rsidRPr="00805442" w14:paraId="0C5D7201" w14:textId="77777777" w:rsidTr="0064558C">
        <w:trPr>
          <w:trHeight w:val="392"/>
        </w:trPr>
        <w:tc>
          <w:tcPr>
            <w:tcW w:w="711" w:type="pct"/>
            <w:tcBorders>
              <w:left w:val="nil"/>
              <w:right w:val="nil"/>
            </w:tcBorders>
          </w:tcPr>
          <w:p w14:paraId="495F6FD7" w14:textId="77777777" w:rsidR="00AE0F21" w:rsidRPr="00805442" w:rsidRDefault="00AE0F21" w:rsidP="00174B1A">
            <w:pPr>
              <w:pStyle w:val="Heading2"/>
              <w:spacing w:before="0"/>
              <w:ind w:left="113" w:right="113"/>
              <w:jc w:val="both"/>
              <w:rPr>
                <w:rFonts w:ascii="Times New Roman" w:hAnsi="Times New Roman" w:cs="Times New Roman"/>
                <w:noProof/>
              </w:rPr>
            </w:pPr>
          </w:p>
          <w:p w14:paraId="0ADB01E7" w14:textId="77777777" w:rsidR="00AE0F21" w:rsidRPr="00805442" w:rsidRDefault="00AE0F21" w:rsidP="00174B1A">
            <w:pPr>
              <w:pStyle w:val="Heading2"/>
              <w:spacing w:before="0"/>
              <w:ind w:left="113" w:right="113"/>
              <w:jc w:val="both"/>
              <w:rPr>
                <w:rFonts w:ascii="Times New Roman" w:hAnsi="Times New Roman" w:cs="Times New Roman"/>
                <w:noProof/>
              </w:rPr>
            </w:pPr>
          </w:p>
          <w:p w14:paraId="3FDF46A6" w14:textId="6D5256DB" w:rsidR="00ED38FD" w:rsidRPr="00805442" w:rsidRDefault="00ED38FD" w:rsidP="00174B1A">
            <w:pPr>
              <w:pStyle w:val="Heading2"/>
              <w:spacing w:before="0"/>
              <w:ind w:left="113" w:right="113"/>
              <w:jc w:val="both"/>
              <w:rPr>
                <w:rFonts w:ascii="Times New Roman" w:hAnsi="Times New Roman" w:cs="Times New Roman"/>
                <w:noProof/>
              </w:rPr>
            </w:pPr>
            <w:r w:rsidRPr="00805442">
              <w:rPr>
                <w:rFonts w:ascii="Times New Roman" w:hAnsi="Times New Roman" w:cs="Times New Roman"/>
              </w:rPr>
              <w:t>Mērķdotācijas, kas nav līdzvērtīgas</w:t>
            </w:r>
          </w:p>
        </w:tc>
        <w:tc>
          <w:tcPr>
            <w:tcW w:w="1043" w:type="pct"/>
            <w:tcBorders>
              <w:left w:val="nil"/>
              <w:right w:val="nil"/>
            </w:tcBorders>
          </w:tcPr>
          <w:p w14:paraId="76751AF9" w14:textId="77777777" w:rsidR="003971C9" w:rsidRPr="00805442" w:rsidRDefault="00EE56D2"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finanšu resursus konkrētiem mērķiem, neprasot līdzfinansējumu</w:t>
            </w:r>
          </w:p>
          <w:p w14:paraId="343737A0" w14:textId="77777777" w:rsidR="003971C9" w:rsidRPr="00805442" w:rsidRDefault="00EE56D2"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Atbalstīt reģionus, īpaši tos, kuriem ir ierobežotas fiskālās iespējas</w:t>
            </w:r>
          </w:p>
          <w:p w14:paraId="73A6272B" w14:textId="5D482819" w:rsidR="00ED38FD" w:rsidRPr="00805442" w:rsidRDefault="00EE56D2"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atbilstību plašākiem centrālās valdības mērķiem</w:t>
            </w:r>
          </w:p>
        </w:tc>
        <w:tc>
          <w:tcPr>
            <w:tcW w:w="1066" w:type="pct"/>
            <w:tcBorders>
              <w:left w:val="nil"/>
              <w:right w:val="nil"/>
            </w:tcBorders>
          </w:tcPr>
          <w:p w14:paraId="634FE5C0"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ka līdzekļi tiek novirzīti konkrētām augstas prioritātes jomām</w:t>
            </w:r>
          </w:p>
          <w:p w14:paraId="6F5312EC"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ka arī reģioni ar ierobežotiem resursiem var īstenot konkrētus projektus vai programmas</w:t>
            </w:r>
          </w:p>
          <w:p w14:paraId="483986CB" w14:textId="71A8AF1E" w:rsidR="00ED38FD" w:rsidRPr="00805442" w:rsidRDefault="0008351A" w:rsidP="0064558C">
            <w:pPr>
              <w:pStyle w:val="Heading2"/>
              <w:keepNext/>
              <w:keepLines/>
              <w:widowControl/>
              <w:numPr>
                <w:ilvl w:val="0"/>
                <w:numId w:val="11"/>
              </w:numPr>
              <w:spacing w:before="0"/>
              <w:ind w:left="114" w:right="113" w:hanging="159"/>
              <w:rPr>
                <w:rFonts w:ascii="Times New Roman" w:hAnsi="Times New Roman" w:cs="Times New Roman"/>
                <w:b w:val="0"/>
                <w:bCs w:val="0"/>
                <w:noProof/>
              </w:rPr>
            </w:pPr>
            <w:r w:rsidRPr="00805442">
              <w:rPr>
                <w:rFonts w:ascii="Times New Roman" w:hAnsi="Times New Roman" w:cs="Times New Roman"/>
                <w:b w:val="0"/>
              </w:rPr>
              <w:t>Samazināt finansiālo slogu reģioniem ar ierobežotām fiskālajām spējām</w:t>
            </w:r>
          </w:p>
        </w:tc>
        <w:tc>
          <w:tcPr>
            <w:tcW w:w="1163" w:type="pct"/>
            <w:tcBorders>
              <w:left w:val="nil"/>
              <w:right w:val="nil"/>
            </w:tcBorders>
          </w:tcPr>
          <w:p w14:paraId="7544D28F" w14:textId="77777777" w:rsidR="003971C9"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izkropļot vietējās prioritātes, ja nosacījumi ir pārāk stingri vai neatbilst vietējām vajadzībām</w:t>
            </w:r>
          </w:p>
          <w:p w14:paraId="61F5026B" w14:textId="0AB8F968" w:rsidR="00ED38F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tikt uzskatītas par centrālās valdības pārmērīgu iejaukšanos neatbilstoši vietējām prioritātēm</w:t>
            </w:r>
          </w:p>
        </w:tc>
        <w:tc>
          <w:tcPr>
            <w:tcW w:w="1017" w:type="pct"/>
            <w:tcBorders>
              <w:left w:val="nil"/>
              <w:right w:val="nil"/>
            </w:tcBorders>
          </w:tcPr>
          <w:p w14:paraId="0F6AB990" w14:textId="2046DE9E" w:rsidR="00ED38FD" w:rsidRPr="00805442" w:rsidRDefault="003971C9" w:rsidP="005C7D36">
            <w:pPr>
              <w:pStyle w:val="Heading2"/>
              <w:spacing w:before="0"/>
              <w:ind w:left="113" w:right="113"/>
              <w:rPr>
                <w:rFonts w:ascii="Times New Roman" w:hAnsi="Times New Roman" w:cs="Times New Roman"/>
                <w:b w:val="0"/>
                <w:bCs w:val="0"/>
                <w:noProof/>
              </w:rPr>
            </w:pPr>
            <w:r w:rsidRPr="00805442">
              <w:rPr>
                <w:rFonts w:ascii="Times New Roman" w:hAnsi="Times New Roman" w:cs="Times New Roman"/>
                <w:b w:val="0"/>
              </w:rPr>
              <w:t>Mazāk izplatīts (piem., Apvienotās Karalistes Skolēnu prēmija</w:t>
            </w:r>
            <w:r w:rsidRPr="00805442">
              <w:rPr>
                <w:rStyle w:val="FootnoteReference"/>
                <w:rFonts w:ascii="Times New Roman" w:hAnsi="Times New Roman" w:cs="Times New Roman"/>
                <w:b w:val="0"/>
                <w:bCs w:val="0"/>
                <w:noProof/>
              </w:rPr>
              <w:footnoteReference w:customMarkFollows="1" w:id="75"/>
              <w:t>78</w:t>
            </w:r>
            <w:r w:rsidRPr="00805442">
              <w:rPr>
                <w:rFonts w:ascii="Times New Roman" w:hAnsi="Times New Roman" w:cs="Times New Roman"/>
                <w:b w:val="0"/>
              </w:rPr>
              <w:t xml:space="preserve"> / Kanādas kultūras telpu fonds</w:t>
            </w:r>
            <w:r w:rsidRPr="00805442">
              <w:rPr>
                <w:rStyle w:val="FootnoteReference"/>
                <w:rFonts w:ascii="Times New Roman" w:hAnsi="Times New Roman" w:cs="Times New Roman"/>
                <w:b w:val="0"/>
                <w:bCs w:val="0"/>
                <w:noProof/>
              </w:rPr>
              <w:footnoteReference w:customMarkFollows="1" w:id="76"/>
              <w:t>79</w:t>
            </w:r>
            <w:r w:rsidRPr="00805442">
              <w:rPr>
                <w:rFonts w:ascii="Times New Roman" w:hAnsi="Times New Roman" w:cs="Times New Roman"/>
                <w:b w:val="0"/>
              </w:rPr>
              <w:t>)</w:t>
            </w:r>
          </w:p>
        </w:tc>
      </w:tr>
      <w:tr w:rsidR="00825B2F" w:rsidRPr="00805442" w14:paraId="6AEA91EE" w14:textId="77777777" w:rsidTr="00993DDC">
        <w:trPr>
          <w:trHeight w:val="417"/>
        </w:trPr>
        <w:tc>
          <w:tcPr>
            <w:tcW w:w="711" w:type="pct"/>
            <w:tcBorders>
              <w:left w:val="nil"/>
              <w:right w:val="nil"/>
            </w:tcBorders>
          </w:tcPr>
          <w:p w14:paraId="77EB35AD" w14:textId="589588E7" w:rsidR="00ED38FD" w:rsidRPr="00805442" w:rsidRDefault="00ED38FD" w:rsidP="00174B1A">
            <w:pPr>
              <w:pStyle w:val="Heading2"/>
              <w:spacing w:before="0"/>
              <w:ind w:left="113" w:right="113"/>
              <w:jc w:val="both"/>
              <w:rPr>
                <w:rFonts w:ascii="Times New Roman" w:hAnsi="Times New Roman" w:cs="Times New Roman"/>
                <w:noProof/>
              </w:rPr>
            </w:pPr>
            <w:r w:rsidRPr="00805442">
              <w:rPr>
                <w:rFonts w:ascii="Times New Roman" w:hAnsi="Times New Roman" w:cs="Times New Roman"/>
              </w:rPr>
              <w:t>Neierobežota apmēra mērķdotācijas ar līdzfinansējumu</w:t>
            </w:r>
          </w:p>
        </w:tc>
        <w:tc>
          <w:tcPr>
            <w:tcW w:w="1043" w:type="pct"/>
            <w:tcBorders>
              <w:left w:val="nil"/>
              <w:right w:val="nil"/>
            </w:tcBorders>
          </w:tcPr>
          <w:p w14:paraId="2E03F024"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Subsidēt pakalpojumus ar plašākiem ieguvumiem</w:t>
            </w:r>
          </w:p>
          <w:p w14:paraId="4806FFDD"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Mudināt pašvaldības investēt konkrētās jomās</w:t>
            </w:r>
          </w:p>
          <w:p w14:paraId="15771939" w14:textId="042CDC2B" w:rsidR="00ED38FD"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atbilstību plašākiem centrālās valdības mērķiem</w:t>
            </w:r>
          </w:p>
        </w:tc>
        <w:tc>
          <w:tcPr>
            <w:tcW w:w="1066" w:type="pct"/>
            <w:tcBorders>
              <w:left w:val="nil"/>
              <w:right w:val="nil"/>
            </w:tcBorders>
          </w:tcPr>
          <w:p w14:paraId="032DADFE"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Veicināt rūpīgāku pārraudzību un vietējo atbildību par projektiem</w:t>
            </w:r>
          </w:p>
          <w:p w14:paraId="150F5E6D" w14:textId="6D76D747" w:rsidR="00ED38FD"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Veicināt dažādu pārvaldes līmeņu kopīgu atbildību</w:t>
            </w:r>
          </w:p>
        </w:tc>
        <w:tc>
          <w:tcPr>
            <w:tcW w:w="1163" w:type="pct"/>
            <w:tcBorders>
              <w:left w:val="nil"/>
              <w:right w:val="nil"/>
            </w:tcBorders>
          </w:tcPr>
          <w:p w14:paraId="12681DD9" w14:textId="77777777" w:rsidR="003971C9"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Prasība nodrošināt līdzfinansējumu var atturēt nabadzīgākus reģionus, radot nevienlīdzību pakalpojumu sniegšanā</w:t>
            </w:r>
          </w:p>
          <w:p w14:paraId="09A6305A" w14:textId="11CD7758" w:rsidR="00ED38F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izraisīt neefektivitāti vai resursu nepareizu sadali ienākumu un aizvietošanas efektu dēļ</w:t>
            </w:r>
          </w:p>
        </w:tc>
        <w:tc>
          <w:tcPr>
            <w:tcW w:w="1017" w:type="pct"/>
            <w:tcBorders>
              <w:left w:val="nil"/>
              <w:right w:val="nil"/>
            </w:tcBorders>
          </w:tcPr>
          <w:p w14:paraId="47999B60" w14:textId="5937F2B1" w:rsidR="003971C9" w:rsidRPr="00805442" w:rsidRDefault="003971C9" w:rsidP="005C7D36">
            <w:pPr>
              <w:pStyle w:val="Heading2"/>
              <w:spacing w:before="0"/>
              <w:ind w:left="113" w:right="113"/>
              <w:rPr>
                <w:rFonts w:ascii="Times New Roman" w:hAnsi="Times New Roman" w:cs="Times New Roman"/>
                <w:b w:val="0"/>
                <w:bCs w:val="0"/>
                <w:noProof/>
              </w:rPr>
            </w:pPr>
            <w:r w:rsidRPr="00805442">
              <w:rPr>
                <w:rFonts w:ascii="Times New Roman" w:hAnsi="Times New Roman" w:cs="Times New Roman"/>
                <w:b w:val="0"/>
              </w:rPr>
              <w:t>Izplatīts (piem., ASV “Medicaid”</w:t>
            </w:r>
            <w:r w:rsidRPr="00805442">
              <w:rPr>
                <w:rStyle w:val="FootnoteReference"/>
                <w:rFonts w:ascii="Times New Roman" w:hAnsi="Times New Roman" w:cs="Times New Roman"/>
                <w:b w:val="0"/>
                <w:bCs w:val="0"/>
                <w:noProof/>
              </w:rPr>
              <w:footnoteReference w:customMarkFollows="1" w:id="77"/>
              <w:t>80</w:t>
            </w:r>
            <w:r w:rsidRPr="00805442">
              <w:rPr>
                <w:rFonts w:ascii="Times New Roman" w:hAnsi="Times New Roman" w:cs="Times New Roman"/>
                <w:b w:val="0"/>
              </w:rPr>
              <w:t xml:space="preserve"> / Apvienotās Karalistes Cenas ziņā pieejamo mājokļu programma</w:t>
            </w:r>
            <w:r w:rsidRPr="00805442">
              <w:rPr>
                <w:rStyle w:val="FootnoteReference"/>
                <w:rFonts w:ascii="Times New Roman" w:hAnsi="Times New Roman" w:cs="Times New Roman"/>
                <w:b w:val="0"/>
                <w:bCs w:val="0"/>
                <w:noProof/>
              </w:rPr>
              <w:footnoteReference w:customMarkFollows="1" w:id="78"/>
              <w:t>81</w:t>
            </w:r>
            <w:r w:rsidRPr="00805442">
              <w:rPr>
                <w:rFonts w:ascii="Times New Roman" w:hAnsi="Times New Roman" w:cs="Times New Roman"/>
                <w:b w:val="0"/>
              </w:rPr>
              <w:t>)</w:t>
            </w:r>
          </w:p>
        </w:tc>
      </w:tr>
      <w:tr w:rsidR="00825B2F" w:rsidRPr="00805442" w14:paraId="24509CC1" w14:textId="77777777" w:rsidTr="00993DDC">
        <w:trPr>
          <w:trHeight w:val="417"/>
        </w:trPr>
        <w:tc>
          <w:tcPr>
            <w:tcW w:w="711" w:type="pct"/>
            <w:tcBorders>
              <w:left w:val="nil"/>
              <w:right w:val="nil"/>
            </w:tcBorders>
          </w:tcPr>
          <w:p w14:paraId="4311AA48" w14:textId="77777777" w:rsidR="00AE0F21" w:rsidRPr="00805442" w:rsidRDefault="00AE0F21" w:rsidP="00174B1A">
            <w:pPr>
              <w:pStyle w:val="Heading2"/>
              <w:spacing w:before="0"/>
              <w:ind w:left="113" w:right="113"/>
              <w:jc w:val="both"/>
              <w:rPr>
                <w:rFonts w:ascii="Times New Roman" w:hAnsi="Times New Roman" w:cs="Times New Roman"/>
                <w:noProof/>
              </w:rPr>
            </w:pPr>
          </w:p>
          <w:p w14:paraId="7DE5DE9C" w14:textId="77777777" w:rsidR="00AE0F21" w:rsidRPr="00805442" w:rsidRDefault="00AE0F21" w:rsidP="00174B1A">
            <w:pPr>
              <w:pStyle w:val="Heading2"/>
              <w:spacing w:before="0"/>
              <w:ind w:left="113" w:right="113"/>
              <w:jc w:val="both"/>
              <w:rPr>
                <w:rFonts w:ascii="Times New Roman" w:hAnsi="Times New Roman" w:cs="Times New Roman"/>
                <w:noProof/>
              </w:rPr>
            </w:pPr>
          </w:p>
          <w:p w14:paraId="549406C1" w14:textId="17BE62ED" w:rsidR="00ED38FD" w:rsidRPr="00805442" w:rsidRDefault="00ED38FD" w:rsidP="00174B1A">
            <w:pPr>
              <w:pStyle w:val="Heading2"/>
              <w:spacing w:before="0"/>
              <w:ind w:left="113" w:right="113"/>
              <w:jc w:val="both"/>
              <w:rPr>
                <w:rFonts w:ascii="Times New Roman" w:hAnsi="Times New Roman" w:cs="Times New Roman"/>
                <w:noProof/>
              </w:rPr>
            </w:pPr>
            <w:r w:rsidRPr="00805442">
              <w:rPr>
                <w:rFonts w:ascii="Times New Roman" w:hAnsi="Times New Roman" w:cs="Times New Roman"/>
              </w:rPr>
              <w:t>Ierobežota apjoma mērķdotācijas ar līdzfinansējumu</w:t>
            </w:r>
          </w:p>
        </w:tc>
        <w:tc>
          <w:tcPr>
            <w:tcW w:w="1043" w:type="pct"/>
            <w:tcBorders>
              <w:left w:val="nil"/>
              <w:right w:val="nil"/>
            </w:tcBorders>
          </w:tcPr>
          <w:p w14:paraId="289308AB"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subsīdijas ar ierobežojumu līdzfinansējumam</w:t>
            </w:r>
          </w:p>
          <w:p w14:paraId="6A7A11AD" w14:textId="77777777" w:rsidR="003971C9"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Mudināt pašvaldības investēt konkrētās jomās</w:t>
            </w:r>
          </w:p>
          <w:p w14:paraId="4DD3F214" w14:textId="7411D089" w:rsidR="00ED38FD"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atbilstību plašākiem centrālās valdības mērķiem</w:t>
            </w:r>
          </w:p>
        </w:tc>
        <w:tc>
          <w:tcPr>
            <w:tcW w:w="1066" w:type="pct"/>
            <w:tcBorders>
              <w:left w:val="nil"/>
              <w:right w:val="nil"/>
            </w:tcBorders>
          </w:tcPr>
          <w:p w14:paraId="4C857CA0" w14:textId="320C0D8F" w:rsidR="0055467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Uzlabot pārskatatbildību un izmaksu pārskatāmību</w:t>
            </w:r>
          </w:p>
          <w:p w14:paraId="380AEAAE" w14:textId="6E1EBABF" w:rsidR="0055467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Nodrošināt labāku budžeta kontroli finansējuma piešķīrējiem</w:t>
            </w:r>
          </w:p>
          <w:p w14:paraId="56FACC8B" w14:textId="6E5B7539" w:rsidR="00ED38F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Veicināt dažādu pārvaldes līmeņu kopīgu atbildību</w:t>
            </w:r>
          </w:p>
        </w:tc>
        <w:tc>
          <w:tcPr>
            <w:tcW w:w="1163" w:type="pct"/>
            <w:tcBorders>
              <w:left w:val="nil"/>
              <w:right w:val="nil"/>
            </w:tcBorders>
          </w:tcPr>
          <w:p w14:paraId="3E65C54B" w14:textId="77777777" w:rsidR="003971C9"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Prasība nodrošināt līdzfinansējumu var atturēt nabadzīgākus reģionus, radot nevienlīdzību pakalpojumu sniegšanā</w:t>
            </w:r>
          </w:p>
          <w:p w14:paraId="6E85E42F" w14:textId="0DCE4CD2" w:rsidR="00ED38F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Var izraisīt pārtēriņu mērķa jomās, atstājot novārtā citus sektorus</w:t>
            </w:r>
          </w:p>
        </w:tc>
        <w:tc>
          <w:tcPr>
            <w:tcW w:w="1017" w:type="pct"/>
            <w:tcBorders>
              <w:left w:val="nil"/>
              <w:right w:val="nil"/>
            </w:tcBorders>
          </w:tcPr>
          <w:p w14:paraId="218FCA4C" w14:textId="2DD11B22" w:rsidR="00ED38FD" w:rsidRPr="00805442" w:rsidRDefault="003971C9" w:rsidP="00174B1A">
            <w:pPr>
              <w:pStyle w:val="Heading2"/>
              <w:spacing w:before="0"/>
              <w:ind w:left="113" w:right="113"/>
              <w:rPr>
                <w:rFonts w:ascii="Times New Roman" w:hAnsi="Times New Roman" w:cs="Times New Roman"/>
                <w:b w:val="0"/>
                <w:bCs w:val="0"/>
                <w:noProof/>
              </w:rPr>
            </w:pPr>
            <w:r w:rsidRPr="00805442">
              <w:rPr>
                <w:rFonts w:ascii="Times New Roman" w:hAnsi="Times New Roman" w:cs="Times New Roman"/>
                <w:b w:val="0"/>
              </w:rPr>
              <w:t>Mazāk izplatīti (piem., Francijas Valsts-reģiona plāna līgums (</w:t>
            </w:r>
            <w:r w:rsidRPr="00805442">
              <w:rPr>
                <w:rFonts w:ascii="Times New Roman" w:hAnsi="Times New Roman" w:cs="Times New Roman"/>
                <w:b w:val="0"/>
                <w:i/>
                <w:iCs/>
              </w:rPr>
              <w:t>CPER</w:t>
            </w:r>
            <w:r w:rsidRPr="00805442">
              <w:rPr>
                <w:rFonts w:ascii="Times New Roman" w:hAnsi="Times New Roman" w:cs="Times New Roman"/>
                <w:b w:val="0"/>
              </w:rPr>
              <w:t>)</w:t>
            </w:r>
            <w:r w:rsidRPr="00805442">
              <w:rPr>
                <w:rStyle w:val="FootnoteReference"/>
                <w:rFonts w:ascii="Times New Roman" w:hAnsi="Times New Roman" w:cs="Times New Roman"/>
                <w:b w:val="0"/>
                <w:bCs w:val="0"/>
                <w:noProof/>
              </w:rPr>
              <w:footnoteReference w:customMarkFollows="1" w:id="79"/>
              <w:t>82</w:t>
            </w:r>
            <w:r w:rsidRPr="00805442">
              <w:rPr>
                <w:rFonts w:ascii="Times New Roman" w:hAnsi="Times New Roman" w:cs="Times New Roman"/>
                <w:b w:val="0"/>
              </w:rPr>
              <w:t> / Austrālijas Ceļu atjaunošanas programma</w:t>
            </w:r>
            <w:r w:rsidRPr="00805442">
              <w:rPr>
                <w:rStyle w:val="FootnoteReference"/>
                <w:rFonts w:ascii="Times New Roman" w:hAnsi="Times New Roman" w:cs="Times New Roman"/>
                <w:b w:val="0"/>
                <w:bCs w:val="0"/>
                <w:noProof/>
              </w:rPr>
              <w:footnoteReference w:customMarkFollows="1" w:id="80"/>
              <w:t>83</w:t>
            </w:r>
            <w:r w:rsidRPr="00805442">
              <w:rPr>
                <w:rFonts w:ascii="Times New Roman" w:hAnsi="Times New Roman" w:cs="Times New Roman"/>
                <w:b w:val="0"/>
              </w:rPr>
              <w:t>)</w:t>
            </w:r>
          </w:p>
        </w:tc>
      </w:tr>
      <w:tr w:rsidR="00825B2F" w:rsidRPr="00805442" w14:paraId="651404EA" w14:textId="77777777" w:rsidTr="00993DDC">
        <w:trPr>
          <w:trHeight w:val="417"/>
        </w:trPr>
        <w:tc>
          <w:tcPr>
            <w:tcW w:w="711" w:type="pct"/>
            <w:tcBorders>
              <w:left w:val="nil"/>
              <w:right w:val="nil"/>
            </w:tcBorders>
          </w:tcPr>
          <w:p w14:paraId="40409B5B" w14:textId="77777777" w:rsidR="00AE0F21" w:rsidRPr="00805442" w:rsidRDefault="00AE0F21" w:rsidP="00174B1A">
            <w:pPr>
              <w:pStyle w:val="Heading2"/>
              <w:spacing w:before="0"/>
              <w:ind w:left="113" w:right="113"/>
              <w:jc w:val="both"/>
              <w:rPr>
                <w:rFonts w:ascii="Times New Roman" w:hAnsi="Times New Roman" w:cs="Times New Roman"/>
                <w:noProof/>
              </w:rPr>
            </w:pPr>
          </w:p>
          <w:p w14:paraId="29E3C4CF" w14:textId="77777777" w:rsidR="00AE0F21" w:rsidRPr="00805442" w:rsidRDefault="00AE0F21" w:rsidP="00174B1A">
            <w:pPr>
              <w:pStyle w:val="Heading2"/>
              <w:spacing w:before="0"/>
              <w:ind w:left="113" w:right="113"/>
              <w:jc w:val="both"/>
              <w:rPr>
                <w:rFonts w:ascii="Times New Roman" w:hAnsi="Times New Roman" w:cs="Times New Roman"/>
                <w:noProof/>
              </w:rPr>
            </w:pPr>
          </w:p>
          <w:p w14:paraId="439A551B" w14:textId="0994BB58" w:rsidR="00ED38FD" w:rsidRPr="00805442" w:rsidRDefault="00ED38FD" w:rsidP="00174B1A">
            <w:pPr>
              <w:pStyle w:val="Heading2"/>
              <w:spacing w:before="0"/>
              <w:ind w:left="113" w:right="113"/>
              <w:jc w:val="both"/>
              <w:rPr>
                <w:rFonts w:ascii="Times New Roman" w:hAnsi="Times New Roman" w:cs="Times New Roman"/>
                <w:noProof/>
              </w:rPr>
            </w:pPr>
            <w:r w:rsidRPr="00805442">
              <w:rPr>
                <w:rFonts w:ascii="Times New Roman" w:hAnsi="Times New Roman" w:cs="Times New Roman"/>
              </w:rPr>
              <w:t>Uz sniegumu vērsti pārvedumi</w:t>
            </w:r>
          </w:p>
        </w:tc>
        <w:tc>
          <w:tcPr>
            <w:tcW w:w="1043" w:type="pct"/>
            <w:tcBorders>
              <w:left w:val="nil"/>
              <w:right w:val="nil"/>
            </w:tcBorders>
          </w:tcPr>
          <w:p w14:paraId="3EA4F573" w14:textId="77777777" w:rsidR="00AE0F21"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Apbalvot pašvaldības, kas sasniedz konkrētus rādītājus</w:t>
            </w:r>
          </w:p>
          <w:p w14:paraId="6FEBE1C9" w14:textId="77777777" w:rsidR="00AE0F21"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Uzsvērt rezultātus un iznākumus. Ieguldījumu elastība ir ārkārtīgi svarīga</w:t>
            </w:r>
          </w:p>
          <w:p w14:paraId="12BFC11B" w14:textId="065B1972" w:rsidR="00ED38FD" w:rsidRPr="00805442" w:rsidRDefault="0008351A"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Līgumiskā platforma ar iepriekš noteiktiem mērķiem</w:t>
            </w:r>
          </w:p>
        </w:tc>
        <w:tc>
          <w:tcPr>
            <w:tcW w:w="1066" w:type="pct"/>
            <w:tcBorders>
              <w:left w:val="nil"/>
              <w:right w:val="nil"/>
            </w:tcBorders>
          </w:tcPr>
          <w:p w14:paraId="615FE98C" w14:textId="2B78E785" w:rsidR="00ED38FD" w:rsidRPr="00805442" w:rsidRDefault="0055467D"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Veicināt efektivitāti, lietderību, pārskatāmību un pārskatatbildību pakalpojumu sniegšanā</w:t>
            </w:r>
            <w:r w:rsidRPr="00805442">
              <w:rPr>
                <w:rFonts w:ascii="Times New Roman" w:hAnsi="Times New Roman" w:cs="Times New Roman"/>
                <w:b w:val="0"/>
              </w:rPr>
              <w:br/>
              <w:t>Nodrošināt, ka līdzekļi tiek izmantoti paredzētajam mērķim</w:t>
            </w:r>
          </w:p>
        </w:tc>
        <w:tc>
          <w:tcPr>
            <w:tcW w:w="1163" w:type="pct"/>
            <w:tcBorders>
              <w:left w:val="nil"/>
              <w:right w:val="nil"/>
            </w:tcBorders>
          </w:tcPr>
          <w:p w14:paraId="48830633" w14:textId="77777777" w:rsidR="003971C9" w:rsidRPr="00805442" w:rsidRDefault="003971C9"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Nosacījumiem jābūt piesaistītiem rezultātiem, nevis iznākumiem, kuri ir pakļauti ārējiem faktoriem, kas ir ārpus politikas veidotāju kontroles</w:t>
            </w:r>
          </w:p>
          <w:p w14:paraId="59F27878" w14:textId="77777777" w:rsidR="003971C9" w:rsidRPr="00805442" w:rsidRDefault="003971C9"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Ierobežojumi datu pieejamības dēļ</w:t>
            </w:r>
          </w:p>
          <w:p w14:paraId="378F774D" w14:textId="6B313606" w:rsidR="00ED38FD" w:rsidRPr="00805442" w:rsidRDefault="003971C9" w:rsidP="00174B1A">
            <w:pPr>
              <w:pStyle w:val="Heading2"/>
              <w:numPr>
                <w:ilvl w:val="0"/>
                <w:numId w:val="11"/>
              </w:numPr>
              <w:spacing w:before="0"/>
              <w:ind w:left="113" w:right="113" w:hanging="157"/>
              <w:rPr>
                <w:rFonts w:ascii="Times New Roman" w:hAnsi="Times New Roman" w:cs="Times New Roman"/>
                <w:b w:val="0"/>
                <w:bCs w:val="0"/>
                <w:noProof/>
              </w:rPr>
            </w:pPr>
            <w:r w:rsidRPr="00805442">
              <w:rPr>
                <w:rFonts w:ascii="Times New Roman" w:hAnsi="Times New Roman" w:cs="Times New Roman"/>
                <w:b w:val="0"/>
              </w:rPr>
              <w:t>Iespējama datu manipulācija</w:t>
            </w:r>
          </w:p>
        </w:tc>
        <w:tc>
          <w:tcPr>
            <w:tcW w:w="1017" w:type="pct"/>
            <w:tcBorders>
              <w:left w:val="nil"/>
              <w:right w:val="nil"/>
            </w:tcBorders>
          </w:tcPr>
          <w:p w14:paraId="15E09DD7" w14:textId="0F4C54AB" w:rsidR="00ED38FD" w:rsidRPr="00805442" w:rsidRDefault="003971C9" w:rsidP="00174B1A">
            <w:pPr>
              <w:pStyle w:val="Heading2"/>
              <w:spacing w:before="0"/>
              <w:ind w:left="113" w:right="113"/>
              <w:rPr>
                <w:rFonts w:ascii="Times New Roman" w:hAnsi="Times New Roman" w:cs="Times New Roman"/>
                <w:b w:val="0"/>
                <w:bCs w:val="0"/>
                <w:noProof/>
              </w:rPr>
            </w:pPr>
            <w:r w:rsidRPr="00805442">
              <w:rPr>
                <w:rFonts w:ascii="Times New Roman" w:hAnsi="Times New Roman" w:cs="Times New Roman"/>
                <w:b w:val="0"/>
              </w:rPr>
              <w:t>Mazāk izplatīti (piem., ASV “Race to the Top” dotācijas</w:t>
            </w:r>
            <w:r w:rsidRPr="00805442">
              <w:rPr>
                <w:rStyle w:val="FootnoteReference"/>
                <w:rFonts w:ascii="Times New Roman" w:hAnsi="Times New Roman" w:cs="Times New Roman"/>
                <w:b w:val="0"/>
                <w:bCs w:val="0"/>
                <w:noProof/>
              </w:rPr>
              <w:footnoteReference w:customMarkFollows="1" w:id="81"/>
              <w:t>84</w:t>
            </w:r>
            <w:r w:rsidRPr="00805442">
              <w:rPr>
                <w:rFonts w:ascii="Times New Roman" w:hAnsi="Times New Roman" w:cs="Times New Roman"/>
                <w:b w:val="0"/>
              </w:rPr>
              <w:t xml:space="preserve"> / Austrālijas Nacionālais veselības reformas līgums</w:t>
            </w:r>
            <w:r w:rsidRPr="00805442">
              <w:rPr>
                <w:rStyle w:val="FootnoteReference"/>
                <w:rFonts w:ascii="Times New Roman" w:hAnsi="Times New Roman" w:cs="Times New Roman"/>
                <w:b w:val="0"/>
                <w:bCs w:val="0"/>
                <w:noProof/>
              </w:rPr>
              <w:footnoteReference w:customMarkFollows="1" w:id="82"/>
              <w:t>85</w:t>
            </w:r>
            <w:r w:rsidRPr="00805442">
              <w:rPr>
                <w:rFonts w:ascii="Times New Roman" w:hAnsi="Times New Roman" w:cs="Times New Roman"/>
                <w:b w:val="0"/>
              </w:rPr>
              <w:t> / Jaunzēlandes Uz sniegumu balstītais pētniecības fonds)</w:t>
            </w:r>
            <w:r w:rsidRPr="00805442">
              <w:rPr>
                <w:rStyle w:val="FootnoteReference"/>
                <w:rFonts w:ascii="Times New Roman" w:hAnsi="Times New Roman" w:cs="Times New Roman"/>
                <w:b w:val="0"/>
                <w:bCs w:val="0"/>
                <w:noProof/>
              </w:rPr>
              <w:footnoteReference w:customMarkFollows="1" w:id="83"/>
              <w:t>86</w:t>
            </w:r>
          </w:p>
        </w:tc>
      </w:tr>
    </w:tbl>
    <w:p w14:paraId="756BE6D9" w14:textId="77777777" w:rsidR="00AA56C4" w:rsidRPr="00805442" w:rsidRDefault="00AA56C4" w:rsidP="00F92C74">
      <w:pPr>
        <w:pStyle w:val="Heading2"/>
        <w:spacing w:before="0"/>
        <w:jc w:val="both"/>
        <w:rPr>
          <w:rFonts w:ascii="Times New Roman" w:hAnsi="Times New Roman" w:cs="Times New Roman"/>
          <w:noProof/>
          <w:color w:val="4D81BD"/>
          <w:sz w:val="24"/>
          <w:szCs w:val="24"/>
        </w:rPr>
      </w:pPr>
    </w:p>
    <w:p w14:paraId="61772D5A" w14:textId="77777777" w:rsidR="00174B1A" w:rsidRPr="00805442" w:rsidRDefault="00174B1A" w:rsidP="00F92C74">
      <w:pPr>
        <w:pStyle w:val="BodyText"/>
        <w:jc w:val="both"/>
        <w:rPr>
          <w:rFonts w:ascii="Times New Roman" w:hAnsi="Times New Roman" w:cs="Times New Roman"/>
          <w:b/>
          <w:noProof/>
          <w:sz w:val="24"/>
          <w:szCs w:val="24"/>
        </w:rPr>
        <w:sectPr w:rsidR="00174B1A" w:rsidRPr="00805442" w:rsidSect="00AA56C4">
          <w:headerReference w:type="default" r:id="rId32"/>
          <w:footerReference w:type="default" r:id="rId33"/>
          <w:headerReference w:type="first" r:id="rId34"/>
          <w:footerReference w:type="first" r:id="rId35"/>
          <w:pgSz w:w="16840" w:h="11907" w:orient="landscape" w:code="9"/>
          <w:pgMar w:top="1701" w:right="1134" w:bottom="1134" w:left="1134" w:header="567" w:footer="567" w:gutter="0"/>
          <w:cols w:space="720"/>
          <w:titlePg/>
          <w:docGrid w:linePitch="299"/>
        </w:sectPr>
      </w:pPr>
    </w:p>
    <w:p w14:paraId="7DC7D85A" w14:textId="60B5BB4B" w:rsidR="0068352E" w:rsidRPr="006675E1" w:rsidRDefault="003655C1" w:rsidP="00174B1A">
      <w:pPr>
        <w:pStyle w:val="Heading1"/>
        <w:tabs>
          <w:tab w:val="left" w:pos="439"/>
        </w:tabs>
        <w:ind w:left="0"/>
        <w:jc w:val="both"/>
        <w:rPr>
          <w:rFonts w:ascii="Times New Roman" w:hAnsi="Times New Roman" w:cs="Times New Roman"/>
          <w:noProof/>
          <w:color w:val="4D81BD"/>
          <w:sz w:val="28"/>
          <w:szCs w:val="28"/>
        </w:rPr>
      </w:pPr>
      <w:r w:rsidRPr="006675E1">
        <w:rPr>
          <w:rFonts w:ascii="Times New Roman" w:hAnsi="Times New Roman" w:cs="Times New Roman"/>
          <w:color w:val="4D81BD"/>
          <w:sz w:val="28"/>
          <w:szCs w:val="24"/>
        </w:rPr>
        <w:lastRenderedPageBreak/>
        <w:t>5. Jaunākās un aktuālās tendences starpvaldību fiskālo pārvedumu izstrādē</w:t>
      </w:r>
    </w:p>
    <w:p w14:paraId="76C3E130" w14:textId="77777777" w:rsidR="0068352E" w:rsidRPr="00805442" w:rsidRDefault="0068352E" w:rsidP="00F92C74">
      <w:pPr>
        <w:pStyle w:val="BodyText"/>
        <w:jc w:val="both"/>
        <w:rPr>
          <w:rFonts w:ascii="Times New Roman" w:hAnsi="Times New Roman" w:cs="Times New Roman"/>
          <w:b/>
          <w:noProof/>
          <w:sz w:val="24"/>
          <w:szCs w:val="24"/>
        </w:rPr>
      </w:pPr>
    </w:p>
    <w:p w14:paraId="53A2EF3D" w14:textId="51974967" w:rsidR="0068352E" w:rsidRPr="00805442" w:rsidRDefault="003655C1" w:rsidP="003655C1">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73. Lai gan pēdējā desmitgadē SFP jomā nav notikušas radikālas izmaiņas, jaunākās tendences un aktuālā prakse liecina, ka potenciālas reformas, visticamāk, ir jau saskatāmas pie apvāršņa. Šajā sadaļā vispirms tiks novērtēta Covid-19 pandēmijas ietekme uz SFP sistēmām, izmantojot jaunākos pieejamos datus, pēc tam tiks izpētīta inovatīvā prakse, piemēram, uz sniegumu vērstas dotācijas, un SFP aplūkoti reģionālās politikas, labklājības uzlabošanas un jaunas budžeta veidošanas prakses potenciālās ietekmes kontekstā.</w:t>
      </w:r>
    </w:p>
    <w:p w14:paraId="2CC0DA4B" w14:textId="77777777" w:rsidR="0068352E" w:rsidRPr="00805442" w:rsidRDefault="0068352E" w:rsidP="00F92C74">
      <w:pPr>
        <w:pStyle w:val="BodyText"/>
        <w:jc w:val="both"/>
        <w:rPr>
          <w:rFonts w:ascii="Times New Roman" w:hAnsi="Times New Roman" w:cs="Times New Roman"/>
          <w:noProof/>
          <w:sz w:val="24"/>
          <w:szCs w:val="24"/>
        </w:rPr>
      </w:pPr>
    </w:p>
    <w:p w14:paraId="7D832EA2" w14:textId="44A63487" w:rsidR="0068352E" w:rsidRPr="006675E1" w:rsidRDefault="007A4AE0" w:rsidP="007A4AE0">
      <w:pPr>
        <w:pStyle w:val="Heading3"/>
        <w:tabs>
          <w:tab w:val="left" w:pos="1779"/>
        </w:tabs>
        <w:ind w:left="567" w:firstLine="0"/>
        <w:jc w:val="both"/>
        <w:rPr>
          <w:rFonts w:ascii="Times New Roman" w:hAnsi="Times New Roman" w:cs="Times New Roman"/>
          <w:noProof/>
          <w:sz w:val="28"/>
          <w:szCs w:val="28"/>
        </w:rPr>
      </w:pPr>
      <w:r w:rsidRPr="006675E1">
        <w:rPr>
          <w:rFonts w:ascii="Times New Roman" w:hAnsi="Times New Roman" w:cs="Times New Roman"/>
          <w:sz w:val="28"/>
          <w:szCs w:val="22"/>
        </w:rPr>
        <w:t>5.1. Covid-19 pandēmijas ietekme uz SFP</w:t>
      </w:r>
    </w:p>
    <w:p w14:paraId="18D14090" w14:textId="77777777" w:rsidR="007A4AE0" w:rsidRPr="00805442" w:rsidRDefault="007A4AE0" w:rsidP="007A4AE0">
      <w:pPr>
        <w:pStyle w:val="Heading3"/>
        <w:tabs>
          <w:tab w:val="left" w:pos="1779"/>
        </w:tabs>
        <w:ind w:left="567" w:firstLine="0"/>
        <w:jc w:val="both"/>
        <w:rPr>
          <w:rFonts w:ascii="Times New Roman" w:hAnsi="Times New Roman" w:cs="Times New Roman"/>
          <w:noProof/>
          <w:sz w:val="28"/>
          <w:szCs w:val="28"/>
        </w:rPr>
      </w:pPr>
    </w:p>
    <w:p w14:paraId="2CA0F051" w14:textId="1321E196" w:rsidR="0068352E" w:rsidRPr="00805442" w:rsidRDefault="007A4AE0" w:rsidP="007A4AE0">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74. Jaunizveidotā datu tabula par SFP sniedz ieskatu Covid-19 pandēmijas ietekmē uz pašvaldību atkarību no centrālās valdības dotācijām. 12. attēlā redzams, ka 2020. gadā kopējais centrālo valdību pārvedumu apjoms lielākā vai mazākā mērā palielinājās visās pētījumā iekļautajās valstīs. Jāatzīmē, ka visievērojamākais pārvedumu pieaugums tika fiksēts Spānijā un Itālijā – abās valstīs pārvedumi pieauga par 4,8 procentpunktiem no IKP. Nav nejaušība, ka šīs valstis smagi skāra pandēmijas pirmais vilnis, radot nopietnas sabiedrības veselības un ekonomikas problēmas. Arī citās valstīs, tostarp Islandē, Nīderlandē un Beļģijā, 2020. gadā tika fiksēts ievērojams pārvedumu pieaugums. Turklāt pārmērīgas mirstības rādītāji ir kā būtisks mērījums Covid-19 ietekmes novērtēšanai. Šie rādītāji, kas atspoguļo nāves gadījumu skaitu no visiem cēloņiem attiecībā pret paredzamajiem rādītājiem normālos apstākļos, liecina, ka, lai gan Spānija un Itālija tika ievērojami skartas, arī citās valstīs, piemēram, Beļģijā, Francijā un Apvienotajā Karalistē, pandēmijas laikā bija novērojami līdzīgi pārmērīgas mirstības rādītāju modeļi (Aron et al., 2024).</w:t>
      </w:r>
    </w:p>
    <w:p w14:paraId="164CEA0E" w14:textId="77777777" w:rsidR="007A4AE0" w:rsidRPr="00805442" w:rsidRDefault="007A4AE0" w:rsidP="007A4AE0">
      <w:pPr>
        <w:pStyle w:val="ListParagraph"/>
        <w:tabs>
          <w:tab w:val="left" w:pos="802"/>
        </w:tabs>
        <w:ind w:left="0"/>
        <w:rPr>
          <w:rFonts w:ascii="Times New Roman" w:hAnsi="Times New Roman" w:cs="Times New Roman"/>
          <w:noProof/>
          <w:sz w:val="24"/>
          <w:szCs w:val="24"/>
        </w:rPr>
      </w:pPr>
    </w:p>
    <w:p w14:paraId="7328444B" w14:textId="7926172F" w:rsidR="007A4AE0" w:rsidRPr="00805442" w:rsidRDefault="007A4AE0" w:rsidP="00444601">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75. Turpretī dotāciju dinamika 2021. gadā, kad vairumā valstu joprojām bija spēkā pandēmijas ierobežojumi, bija neviendabīgāka. Lai gan pārvedumi visās valstīs, izņemot Luksemburgu un Norvēģiju, saglabājās lielāki nekā 2019. gadā, vairumā valstu salīdzinājumā ar 2020. gadu bija vērojams centrālās valdības pārvedumu samazinājums. Tomēr aptuveni trešdaļa valstu pārvedumu apmēru vai nu palielināja, vai arī saglabāja iepriekšējā līmenī. Šis modelis bija īpaši izteikts valstīs, kurās pārvedumi kā IKP procentuālā daļa bija vieni no zemākajiem, tostarp Ungārijā, Austrālijā, Slovēnijā, Amerikas Savienotajās Valstīs, Čehijā un Īrijā.</w:t>
      </w:r>
    </w:p>
    <w:p w14:paraId="38B1BE33" w14:textId="77777777" w:rsidR="0068352E" w:rsidRPr="00805442" w:rsidRDefault="0068352E" w:rsidP="00F92C74">
      <w:pPr>
        <w:jc w:val="both"/>
        <w:rPr>
          <w:rFonts w:ascii="Times New Roman" w:hAnsi="Times New Roman" w:cs="Times New Roman"/>
          <w:b/>
          <w:noProof/>
          <w:sz w:val="24"/>
          <w:szCs w:val="24"/>
        </w:rPr>
      </w:pPr>
    </w:p>
    <w:p w14:paraId="6AD0D499" w14:textId="77777777" w:rsidR="0068352E" w:rsidRPr="00805442" w:rsidRDefault="0068352E" w:rsidP="007B16C1">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12. attēls. Centrālo valdību izmaksātie kopējie starpvaldību pārvedumi</w:t>
      </w:r>
    </w:p>
    <w:p w14:paraId="592CD1D4" w14:textId="77777777" w:rsidR="00444601" w:rsidRDefault="00444601" w:rsidP="007B16C1">
      <w:pPr>
        <w:pStyle w:val="BodyText"/>
        <w:keepNext/>
        <w:keepLines/>
        <w:jc w:val="both"/>
        <w:rPr>
          <w:rFonts w:ascii="Times New Roman" w:hAnsi="Times New Roman" w:cs="Times New Roman"/>
          <w:noProof/>
          <w:sz w:val="24"/>
        </w:rPr>
      </w:pPr>
    </w:p>
    <w:p w14:paraId="5278B5C5" w14:textId="34D8DC38" w:rsidR="00444601" w:rsidRPr="007B16C1" w:rsidRDefault="007B16C1" w:rsidP="007B16C1">
      <w:pPr>
        <w:pStyle w:val="BodyText"/>
        <w:keepNext/>
        <w:keepLines/>
        <w:jc w:val="both"/>
        <w:rPr>
          <w:rFonts w:ascii="Times New Roman" w:hAnsi="Times New Roman" w:cs="Times New Roman"/>
          <w:noProof/>
          <w:sz w:val="20"/>
          <w:szCs w:val="16"/>
        </w:rPr>
      </w:pPr>
      <w:r w:rsidRPr="007B16C1">
        <w:rPr>
          <w:rFonts w:ascii="Times New Roman" w:hAnsi="Times New Roman" w:cs="Times New Roman"/>
          <w:noProof/>
          <w:sz w:val="20"/>
          <w:szCs w:val="16"/>
        </w:rPr>
        <w:t>% no IKP</w:t>
      </w:r>
    </w:p>
    <w:p w14:paraId="02118715" w14:textId="2E78539F" w:rsidR="0068352E" w:rsidRPr="00805442" w:rsidRDefault="00A85B14" w:rsidP="007B16C1">
      <w:pPr>
        <w:pStyle w:val="BodyText"/>
        <w:keepNext/>
        <w:keepLines/>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3C8E4038" wp14:editId="2290F79F">
            <wp:extent cx="4860809" cy="2372148"/>
            <wp:effectExtent l="0" t="0" r="0" b="9525"/>
            <wp:docPr id="84990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07159" name=""/>
                    <pic:cNvPicPr/>
                  </pic:nvPicPr>
                  <pic:blipFill rotWithShape="1">
                    <a:blip r:embed="rId36"/>
                    <a:srcRect t="10822"/>
                    <a:stretch>
                      <a:fillRect/>
                    </a:stretch>
                  </pic:blipFill>
                  <pic:spPr bwMode="auto">
                    <a:xfrm>
                      <a:off x="0" y="0"/>
                      <a:ext cx="4893990" cy="2388341"/>
                    </a:xfrm>
                    <a:prstGeom prst="rect">
                      <a:avLst/>
                    </a:prstGeom>
                    <a:ln>
                      <a:noFill/>
                    </a:ln>
                    <a:extLst>
                      <a:ext uri="{53640926-AAD7-44D8-BBD7-CCE9431645EC}">
                        <a14:shadowObscured xmlns:a14="http://schemas.microsoft.com/office/drawing/2010/main"/>
                      </a:ext>
                    </a:extLst>
                  </pic:spPr>
                </pic:pic>
              </a:graphicData>
            </a:graphic>
          </wp:inline>
        </w:drawing>
      </w:r>
    </w:p>
    <w:p w14:paraId="24666036" w14:textId="77777777" w:rsidR="00A85B14" w:rsidRPr="00805442" w:rsidRDefault="00A85B14" w:rsidP="007B16C1">
      <w:pPr>
        <w:keepNext/>
        <w:keepLines/>
        <w:jc w:val="both"/>
        <w:rPr>
          <w:rFonts w:ascii="Times New Roman" w:hAnsi="Times New Roman" w:cs="Times New Roman"/>
          <w:noProof/>
          <w:color w:val="585858"/>
          <w:sz w:val="24"/>
          <w:szCs w:val="24"/>
        </w:rPr>
      </w:pPr>
    </w:p>
    <w:p w14:paraId="69A5B81E" w14:textId="335A25BC" w:rsidR="0068352E" w:rsidRPr="00805442" w:rsidRDefault="0068352E" w:rsidP="007B16C1">
      <w:pPr>
        <w:keepNext/>
        <w:keepLines/>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23453EE9" w14:textId="77777777" w:rsidR="00A85B14" w:rsidRPr="00805442" w:rsidRDefault="00A85B14" w:rsidP="00F92C74">
      <w:pPr>
        <w:jc w:val="both"/>
        <w:rPr>
          <w:rFonts w:ascii="Times New Roman" w:hAnsi="Times New Roman" w:cs="Times New Roman"/>
          <w:noProof/>
          <w:sz w:val="24"/>
          <w:szCs w:val="24"/>
        </w:rPr>
      </w:pPr>
    </w:p>
    <w:p w14:paraId="1595524F" w14:textId="7C2E7C0B" w:rsidR="0068352E" w:rsidRPr="00805442" w:rsidRDefault="00A85B14" w:rsidP="00A85B14">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76. Kā jau iepriekš minēts, centrālajai valdībai bija jāiejaucas, lai atbalstītu pašvaldības (un sociālo nodrošinājumu) tādu sabiedrisko pakalpojumu sniegšanas nodrošināšanā kā veselības aprūpe, izglītība un sociālā palīdzība, kas bieži vien ir decentralizēti. Tomēr, kā redzams 13., 14. un 15. attēlā, mērķdotācijās šīm konkrētajām politikas jomām pandēmijas laikā netika veiktas visbūtiskākās izmaiņas.</w:t>
      </w:r>
    </w:p>
    <w:p w14:paraId="70A07115" w14:textId="77777777" w:rsidR="00A85B14" w:rsidRPr="00805442" w:rsidRDefault="00A85B14" w:rsidP="00A85B14">
      <w:pPr>
        <w:pStyle w:val="ListParagraph"/>
        <w:tabs>
          <w:tab w:val="left" w:pos="802"/>
        </w:tabs>
        <w:ind w:left="0"/>
        <w:rPr>
          <w:rFonts w:ascii="Times New Roman" w:hAnsi="Times New Roman" w:cs="Times New Roman"/>
          <w:noProof/>
          <w:sz w:val="24"/>
          <w:szCs w:val="24"/>
        </w:rPr>
      </w:pPr>
    </w:p>
    <w:p w14:paraId="1C835A66" w14:textId="4DE8AF92" w:rsidR="0068352E" w:rsidRPr="00805442" w:rsidRDefault="00A85B14" w:rsidP="00A85B14">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77. Pirmkārt, kā bija paredzams, lielākajā daļā valstu pandēmijas laikā pieauga ar veselības aprūpi saistītās dotācijas. Tomēr veselības aprūpes dotāciju pieaugums nebija tik būtisks, kā varētu gaidīt, un nebija pietiekams, lai novērstu to relatīvā īpatsvara samazināšanos kopējos pārvedumos, jo citas kategorijas pieauga vēl straujāk. Ungārijā, Somijā, Zviedrijā un Austrijā pandēmijas laikā tika fiksēts visbūtiskākais veselības aprūpes mērķdotāciju pieaugums </w:t>
      </w:r>
      <w:r w:rsidRPr="00805442">
        <w:rPr>
          <w:rFonts w:ascii="Times New Roman" w:hAnsi="Times New Roman" w:cs="Times New Roman"/>
          <w:i/>
          <w:iCs/>
          <w:sz w:val="24"/>
        </w:rPr>
        <w:t>OECD</w:t>
      </w:r>
      <w:r w:rsidRPr="00805442">
        <w:rPr>
          <w:rFonts w:ascii="Times New Roman" w:hAnsi="Times New Roman" w:cs="Times New Roman"/>
          <w:sz w:val="24"/>
        </w:rPr>
        <w:t xml:space="preserve"> valstu vidū. Izraēla, kur vīrusa ietekme bija salīdzinoši viegla, bija vienīgā valsts, kurā centrālās valdības veselības aprūpes pārvedumi attiecībā pret IKP 2021. gadā bija zemāki nekā periodā pirms pandēmijas. Veselības aprūpes izdevumu un pārvedumu pieaugumu noteica nepieciešamība nodarbināt papildu medicīnisko personālu, iegādāties plaušu ventilatorus, paplašināt slimnīcu kapacitāti, izveidot pagaidu veselības aprūpes iestādes, nodrošināt medikamentu piegādes un iepirkt vakcīnas.</w:t>
      </w:r>
    </w:p>
    <w:p w14:paraId="0D6AB5E7" w14:textId="4EA0CA9E" w:rsidR="00A85B14" w:rsidRPr="00805442" w:rsidRDefault="00A85B14">
      <w:pPr>
        <w:rPr>
          <w:rFonts w:ascii="Times New Roman" w:eastAsia="Arial Narrow" w:hAnsi="Times New Roman" w:cs="Times New Roman"/>
          <w:b/>
          <w:bCs/>
          <w:noProof/>
          <w:color w:val="4D81BD"/>
          <w:sz w:val="24"/>
          <w:szCs w:val="24"/>
        </w:rPr>
      </w:pPr>
    </w:p>
    <w:p w14:paraId="0D560950" w14:textId="4EFE50B3" w:rsidR="0068352E" w:rsidRPr="00805442" w:rsidRDefault="0068352E" w:rsidP="007B16C1">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lastRenderedPageBreak/>
        <w:t>13. attēls. Centrālo valdību izmaksātie starpvaldību pārvedumi veselības aprūpes jomā</w:t>
      </w:r>
    </w:p>
    <w:p w14:paraId="792B721B" w14:textId="351261AD" w:rsidR="0068352E" w:rsidRPr="00805442" w:rsidRDefault="0068352E" w:rsidP="007B16C1">
      <w:pPr>
        <w:keepNext/>
        <w:keepLines/>
        <w:jc w:val="both"/>
        <w:rPr>
          <w:rFonts w:ascii="Times New Roman" w:hAnsi="Times New Roman" w:cs="Times New Roman"/>
          <w:noProof/>
          <w:color w:val="585858"/>
          <w:sz w:val="24"/>
          <w:szCs w:val="24"/>
        </w:rPr>
      </w:pPr>
    </w:p>
    <w:p w14:paraId="19763D7D" w14:textId="46833140" w:rsidR="007B16C1" w:rsidRPr="007B16C1" w:rsidRDefault="007B16C1" w:rsidP="007B16C1">
      <w:pPr>
        <w:keepNext/>
        <w:keepLines/>
        <w:jc w:val="both"/>
        <w:rPr>
          <w:rFonts w:ascii="Times New Roman" w:hAnsi="Times New Roman" w:cs="Times New Roman"/>
          <w:noProof/>
          <w:sz w:val="20"/>
          <w:szCs w:val="18"/>
        </w:rPr>
      </w:pPr>
      <w:r w:rsidRPr="007B16C1">
        <w:rPr>
          <w:rFonts w:ascii="Times New Roman" w:hAnsi="Times New Roman" w:cs="Times New Roman"/>
          <w:noProof/>
          <w:sz w:val="20"/>
          <w:szCs w:val="18"/>
        </w:rPr>
        <w:t>% no IKP</w:t>
      </w:r>
    </w:p>
    <w:p w14:paraId="526AAE1D" w14:textId="3576610F" w:rsidR="00A85B14" w:rsidRPr="00805442" w:rsidRDefault="009F4CCB" w:rsidP="007B16C1">
      <w:pPr>
        <w:keepNext/>
        <w:keepLines/>
        <w:jc w:val="both"/>
        <w:rPr>
          <w:rFonts w:ascii="Times New Roman" w:hAnsi="Times New Roman" w:cs="Times New Roman"/>
          <w:noProof/>
          <w:color w:val="585858"/>
          <w:sz w:val="24"/>
          <w:szCs w:val="24"/>
        </w:rPr>
      </w:pPr>
      <w:r w:rsidRPr="00805442">
        <w:rPr>
          <w:rFonts w:ascii="Times New Roman" w:hAnsi="Times New Roman" w:cs="Times New Roman"/>
          <w:noProof/>
          <w:color w:val="585858"/>
          <w:sz w:val="24"/>
        </w:rPr>
        <w:drawing>
          <wp:inline distT="0" distB="0" distL="0" distR="0" wp14:anchorId="5E9F9D10" wp14:editId="6292D15A">
            <wp:extent cx="4744720" cy="2209948"/>
            <wp:effectExtent l="0" t="0" r="0" b="0"/>
            <wp:docPr id="87753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35389" name=""/>
                    <pic:cNvPicPr/>
                  </pic:nvPicPr>
                  <pic:blipFill rotWithShape="1">
                    <a:blip r:embed="rId37"/>
                    <a:srcRect t="9688"/>
                    <a:stretch>
                      <a:fillRect/>
                    </a:stretch>
                  </pic:blipFill>
                  <pic:spPr bwMode="auto">
                    <a:xfrm>
                      <a:off x="0" y="0"/>
                      <a:ext cx="4753459" cy="2214018"/>
                    </a:xfrm>
                    <a:prstGeom prst="rect">
                      <a:avLst/>
                    </a:prstGeom>
                    <a:ln>
                      <a:noFill/>
                    </a:ln>
                    <a:extLst>
                      <a:ext uri="{53640926-AAD7-44D8-BBD7-CCE9431645EC}">
                        <a14:shadowObscured xmlns:a14="http://schemas.microsoft.com/office/drawing/2010/main"/>
                      </a:ext>
                    </a:extLst>
                  </pic:spPr>
                </pic:pic>
              </a:graphicData>
            </a:graphic>
          </wp:inline>
        </w:drawing>
      </w:r>
    </w:p>
    <w:p w14:paraId="5BD24CA9" w14:textId="77777777" w:rsidR="009F4CCB" w:rsidRPr="00805442" w:rsidRDefault="009F4CCB" w:rsidP="00F92C74">
      <w:pPr>
        <w:jc w:val="both"/>
        <w:rPr>
          <w:rFonts w:ascii="Times New Roman" w:hAnsi="Times New Roman" w:cs="Times New Roman"/>
          <w:noProof/>
          <w:color w:val="585858"/>
          <w:sz w:val="24"/>
          <w:szCs w:val="24"/>
        </w:rPr>
      </w:pPr>
    </w:p>
    <w:p w14:paraId="485DC8B4" w14:textId="77777777"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3538421A" w14:textId="31785FBA" w:rsidR="009F4CCB" w:rsidRPr="00805442" w:rsidRDefault="009F4CCB" w:rsidP="00F92C74">
      <w:pPr>
        <w:jc w:val="both"/>
        <w:rPr>
          <w:rFonts w:ascii="Times New Roman" w:hAnsi="Times New Roman" w:cs="Times New Roman"/>
          <w:noProof/>
          <w:sz w:val="24"/>
          <w:szCs w:val="24"/>
        </w:rPr>
      </w:pPr>
    </w:p>
    <w:p w14:paraId="50E97635" w14:textId="539AFE00" w:rsidR="0068352E" w:rsidRPr="00805442" w:rsidRDefault="009F4CCB" w:rsidP="009F4CCB">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78. Otrkārt, līdzīga tendence vērojama arī izglītībai paredzētajās dotācijās, kas visievērojamāk pieauga Čehijā, ASV, Somijā un Slovēnijā. Pandēmijas laikā bija steidzami jāpārkārtojas no ierastās mācību vides klasēs uz pilnībā tiešsaistes un vēlāk hibrīda izglītības modeļiem skolās un universitātēs. Šo pārmaiņu dēļ izglītības iestādes bija nepieciešams renovēt un digitāli modernizēt. Turklāt skolēniem un studentiem bija nepieciešams iegādāties tādas ierīces kā planšetdatori vai datori un nodrošināt uzticamu platjoslas interneta pieslēgumu, lai piedalītos nodarbībās, kas tika vadītas straumēšanas režīmā.</w:t>
      </w:r>
    </w:p>
    <w:p w14:paraId="6BCF4691" w14:textId="77777777" w:rsidR="009F4CCB" w:rsidRPr="00805442" w:rsidRDefault="009F4CCB" w:rsidP="009F4CCB">
      <w:pPr>
        <w:pStyle w:val="ListParagraph"/>
        <w:tabs>
          <w:tab w:val="left" w:pos="802"/>
        </w:tabs>
        <w:ind w:left="0"/>
        <w:rPr>
          <w:rFonts w:ascii="Times New Roman" w:hAnsi="Times New Roman" w:cs="Times New Roman"/>
          <w:noProof/>
          <w:sz w:val="24"/>
          <w:szCs w:val="24"/>
        </w:rPr>
      </w:pPr>
    </w:p>
    <w:p w14:paraId="2768C0C6" w14:textId="77777777" w:rsidR="0068352E" w:rsidRPr="00805442" w:rsidRDefault="0068352E"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14. attēls. Centrālo valdību izmaksātie starpvaldību pārvedumi izglītības jomā</w:t>
      </w:r>
    </w:p>
    <w:p w14:paraId="731C91D5" w14:textId="77777777" w:rsidR="0068352E" w:rsidRPr="00805442" w:rsidRDefault="0068352E" w:rsidP="00F92C74">
      <w:pPr>
        <w:pStyle w:val="BodyText"/>
        <w:jc w:val="both"/>
        <w:rPr>
          <w:rFonts w:ascii="Times New Roman" w:hAnsi="Times New Roman" w:cs="Times New Roman"/>
          <w:noProof/>
          <w:sz w:val="24"/>
          <w:szCs w:val="24"/>
        </w:rPr>
      </w:pPr>
    </w:p>
    <w:p w14:paraId="6E10B10D" w14:textId="4E6B3633" w:rsidR="007B16C1" w:rsidRPr="007B16C1" w:rsidRDefault="007B16C1" w:rsidP="00F92C74">
      <w:pPr>
        <w:pStyle w:val="BodyText"/>
        <w:jc w:val="both"/>
        <w:rPr>
          <w:rFonts w:ascii="Times New Roman" w:hAnsi="Times New Roman" w:cs="Times New Roman"/>
          <w:noProof/>
          <w:sz w:val="20"/>
          <w:szCs w:val="16"/>
        </w:rPr>
      </w:pPr>
      <w:r w:rsidRPr="007B16C1">
        <w:rPr>
          <w:rFonts w:ascii="Times New Roman" w:hAnsi="Times New Roman" w:cs="Times New Roman"/>
          <w:noProof/>
          <w:sz w:val="20"/>
          <w:szCs w:val="16"/>
        </w:rPr>
        <w:t>% no IKP</w:t>
      </w:r>
    </w:p>
    <w:p w14:paraId="2D1B37B3" w14:textId="7C5F4616" w:rsidR="0068352E" w:rsidRPr="00805442" w:rsidRDefault="00EE56F9" w:rsidP="00F92C74">
      <w:pPr>
        <w:pStyle w:val="BodyText"/>
        <w:jc w:val="both"/>
        <w:rPr>
          <w:rFonts w:ascii="Times New Roman" w:hAnsi="Times New Roman" w:cs="Times New Roman"/>
          <w:noProof/>
          <w:color w:val="585858"/>
          <w:sz w:val="24"/>
          <w:szCs w:val="24"/>
        </w:rPr>
      </w:pPr>
      <w:r w:rsidRPr="00805442">
        <w:rPr>
          <w:rFonts w:ascii="Times New Roman" w:hAnsi="Times New Roman" w:cs="Times New Roman"/>
          <w:noProof/>
          <w:color w:val="585858"/>
          <w:sz w:val="24"/>
        </w:rPr>
        <w:drawing>
          <wp:inline distT="0" distB="0" distL="0" distR="0" wp14:anchorId="36424DD9" wp14:editId="66739D1D">
            <wp:extent cx="5087982" cy="2236259"/>
            <wp:effectExtent l="0" t="0" r="0" b="0"/>
            <wp:docPr id="110941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17810" name=""/>
                    <pic:cNvPicPr/>
                  </pic:nvPicPr>
                  <pic:blipFill rotWithShape="1">
                    <a:blip r:embed="rId38"/>
                    <a:srcRect l="-5" t="9585" r="5"/>
                    <a:stretch>
                      <a:fillRect/>
                    </a:stretch>
                  </pic:blipFill>
                  <pic:spPr bwMode="auto">
                    <a:xfrm>
                      <a:off x="0" y="0"/>
                      <a:ext cx="5096745" cy="2240111"/>
                    </a:xfrm>
                    <a:prstGeom prst="rect">
                      <a:avLst/>
                    </a:prstGeom>
                    <a:ln>
                      <a:noFill/>
                    </a:ln>
                    <a:extLst>
                      <a:ext uri="{53640926-AAD7-44D8-BBD7-CCE9431645EC}">
                        <a14:shadowObscured xmlns:a14="http://schemas.microsoft.com/office/drawing/2010/main"/>
                      </a:ext>
                    </a:extLst>
                  </pic:spPr>
                </pic:pic>
              </a:graphicData>
            </a:graphic>
          </wp:inline>
        </w:drawing>
      </w:r>
    </w:p>
    <w:p w14:paraId="41298611" w14:textId="77777777" w:rsidR="00DE02EB" w:rsidRDefault="00DE02EB" w:rsidP="00DE02EB">
      <w:pPr>
        <w:jc w:val="both"/>
        <w:rPr>
          <w:rFonts w:ascii="Times New Roman" w:hAnsi="Times New Roman" w:cs="Times New Roman"/>
          <w:sz w:val="24"/>
        </w:rPr>
      </w:pPr>
    </w:p>
    <w:p w14:paraId="06CF484E" w14:textId="2BFA6CB7" w:rsidR="00DE02EB" w:rsidRPr="00805442" w:rsidRDefault="00DE02EB" w:rsidP="00DE02EB">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7E0AA3EA" w14:textId="77777777" w:rsidR="009F4CCB" w:rsidRPr="00805442" w:rsidRDefault="009F4CCB" w:rsidP="00F92C74">
      <w:pPr>
        <w:pStyle w:val="BodyText"/>
        <w:jc w:val="both"/>
        <w:rPr>
          <w:rFonts w:ascii="Times New Roman" w:hAnsi="Times New Roman" w:cs="Times New Roman"/>
          <w:b/>
          <w:noProof/>
          <w:sz w:val="24"/>
          <w:szCs w:val="24"/>
        </w:rPr>
      </w:pPr>
    </w:p>
    <w:p w14:paraId="0834A818" w14:textId="4F674C5C" w:rsidR="0068352E" w:rsidRPr="00805442" w:rsidRDefault="00EE56F9" w:rsidP="00EE56F9">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79. Treškārt, mērķdotāciju palielinājums sociālajai aizsardzībai bija izteiktāks nekā iepriekšējās divās kategorijās. Sociālās aizsardzības pārvedumi parasti veido lielāku daļu no kopējiem pārvedumiem, veidojot vairāk nekā pusi tādās valstīs kā Luksemburga, Islande, Šveice un gandrīz pusi Dānijā. Ekonomiskie ierobežojumi, kas tika ieviesti 2020. gada sākumā, lai kontrolētu vīrusa izplatību, būtiski ietekmēja iespējas gūt ienākumus miljoniem mājsaimniecību visās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Reaģējot uz to, centrālās valdības ieviesa visaptverošus </w:t>
      </w:r>
      <w:r w:rsidRPr="00805442">
        <w:rPr>
          <w:rFonts w:ascii="Times New Roman" w:hAnsi="Times New Roman" w:cs="Times New Roman"/>
          <w:sz w:val="24"/>
        </w:rPr>
        <w:lastRenderedPageBreak/>
        <w:t>sociālās aizsardzības pasākumus, tostarp nodarbinātības aizsardzības shēmas, ārkārtas bezdarbnieku pabalstus un minimālo ienākumu programmas. Šīs iniciatīvas, kas galvenokārt tika administrētas ar sociālā nodrošinājuma sistēmas starpniecību, veidoja ievērojamu mērķdotāciju pieaugumu Itālijā, Islandē un Šveicē, kā parādīts 15. attēlā.</w:t>
      </w:r>
    </w:p>
    <w:p w14:paraId="4435973F" w14:textId="77777777" w:rsidR="00EE56F9" w:rsidRPr="00805442" w:rsidRDefault="00EE56F9" w:rsidP="00EE56F9">
      <w:pPr>
        <w:pStyle w:val="ListParagraph"/>
        <w:tabs>
          <w:tab w:val="left" w:pos="802"/>
        </w:tabs>
        <w:ind w:left="0"/>
        <w:rPr>
          <w:rFonts w:ascii="Times New Roman" w:hAnsi="Times New Roman" w:cs="Times New Roman"/>
          <w:noProof/>
          <w:sz w:val="24"/>
          <w:szCs w:val="24"/>
        </w:rPr>
      </w:pPr>
    </w:p>
    <w:p w14:paraId="672160EE" w14:textId="77777777" w:rsidR="0068352E" w:rsidRPr="00805442" w:rsidRDefault="0068352E" w:rsidP="00F92C74">
      <w:pPr>
        <w:pStyle w:val="Heading1"/>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15. attēls. Centrālo valdību izmaksātie starpvaldību pārvedumi sociālās aizsardzības jomā</w:t>
      </w:r>
    </w:p>
    <w:p w14:paraId="08A9F690" w14:textId="77777777" w:rsidR="004E2E5B" w:rsidRPr="00805442" w:rsidRDefault="004E2E5B" w:rsidP="00F92C74">
      <w:pPr>
        <w:jc w:val="both"/>
        <w:rPr>
          <w:rFonts w:ascii="Times New Roman" w:hAnsi="Times New Roman" w:cs="Times New Roman"/>
          <w:noProof/>
          <w:sz w:val="24"/>
          <w:szCs w:val="24"/>
        </w:rPr>
      </w:pPr>
    </w:p>
    <w:p w14:paraId="24794E49" w14:textId="1D166054" w:rsidR="00DE02EB" w:rsidRPr="00DE02EB" w:rsidRDefault="00DE02EB" w:rsidP="00F92C74">
      <w:pPr>
        <w:jc w:val="both"/>
        <w:rPr>
          <w:rFonts w:ascii="Times New Roman" w:hAnsi="Times New Roman" w:cs="Times New Roman"/>
          <w:noProof/>
          <w:sz w:val="20"/>
          <w:szCs w:val="18"/>
        </w:rPr>
      </w:pPr>
      <w:r w:rsidRPr="00DE02EB">
        <w:rPr>
          <w:rFonts w:ascii="Times New Roman" w:hAnsi="Times New Roman" w:cs="Times New Roman"/>
          <w:noProof/>
          <w:sz w:val="20"/>
          <w:szCs w:val="18"/>
        </w:rPr>
        <w:t>% no IKP</w:t>
      </w:r>
    </w:p>
    <w:p w14:paraId="5E6FD11B" w14:textId="7553A1F6" w:rsidR="004E2E5B" w:rsidRPr="00805442" w:rsidRDefault="006E54D8" w:rsidP="00F92C74">
      <w:pPr>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780D9EA6" wp14:editId="704A816A">
            <wp:extent cx="5495372" cy="2464223"/>
            <wp:effectExtent l="0" t="0" r="0" b="0"/>
            <wp:docPr id="157214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41551" name=""/>
                    <pic:cNvPicPr/>
                  </pic:nvPicPr>
                  <pic:blipFill rotWithShape="1">
                    <a:blip r:embed="rId39"/>
                    <a:srcRect t="8776"/>
                    <a:stretch>
                      <a:fillRect/>
                    </a:stretch>
                  </pic:blipFill>
                  <pic:spPr bwMode="auto">
                    <a:xfrm>
                      <a:off x="0" y="0"/>
                      <a:ext cx="5506305" cy="2469125"/>
                    </a:xfrm>
                    <a:prstGeom prst="rect">
                      <a:avLst/>
                    </a:prstGeom>
                    <a:ln>
                      <a:noFill/>
                    </a:ln>
                    <a:extLst>
                      <a:ext uri="{53640926-AAD7-44D8-BBD7-CCE9431645EC}">
                        <a14:shadowObscured xmlns:a14="http://schemas.microsoft.com/office/drawing/2010/main"/>
                      </a:ext>
                    </a:extLst>
                  </pic:spPr>
                </pic:pic>
              </a:graphicData>
            </a:graphic>
          </wp:inline>
        </w:drawing>
      </w:r>
    </w:p>
    <w:p w14:paraId="174A5A5B" w14:textId="77777777" w:rsidR="004E2E5B" w:rsidRPr="00805442" w:rsidRDefault="004E2E5B" w:rsidP="00F92C74">
      <w:pPr>
        <w:jc w:val="both"/>
        <w:rPr>
          <w:rFonts w:ascii="Times New Roman" w:hAnsi="Times New Roman" w:cs="Times New Roman"/>
          <w:noProof/>
          <w:sz w:val="24"/>
          <w:szCs w:val="24"/>
        </w:rPr>
      </w:pPr>
    </w:p>
    <w:p w14:paraId="4737CB12" w14:textId="02B5E622"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7CEB2925" w14:textId="77777777" w:rsidR="006E54D8" w:rsidRPr="00805442" w:rsidRDefault="006E54D8" w:rsidP="00F92C74">
      <w:pPr>
        <w:jc w:val="both"/>
        <w:rPr>
          <w:rFonts w:ascii="Times New Roman" w:hAnsi="Times New Roman" w:cs="Times New Roman"/>
          <w:noProof/>
          <w:sz w:val="24"/>
          <w:szCs w:val="24"/>
        </w:rPr>
      </w:pPr>
    </w:p>
    <w:p w14:paraId="42764BFA" w14:textId="52620199" w:rsidR="0068352E" w:rsidRPr="00805442" w:rsidRDefault="006E54D8" w:rsidP="006E54D8">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80. Tomēr visbūtiskākais relatīvais SFP pieaugums 2020. gadā tika novērots ekonomisko lietu kategorijā, kā sīki parādīts 16. attēlā. Šī </w:t>
      </w:r>
      <w:r w:rsidRPr="00805442">
        <w:rPr>
          <w:rFonts w:ascii="Times New Roman" w:hAnsi="Times New Roman" w:cs="Times New Roman"/>
          <w:i/>
          <w:iCs/>
          <w:sz w:val="24"/>
        </w:rPr>
        <w:t>COFOG</w:t>
      </w:r>
      <w:r w:rsidRPr="00805442">
        <w:rPr>
          <w:rFonts w:ascii="Times New Roman" w:hAnsi="Times New Roman" w:cs="Times New Roman"/>
          <w:sz w:val="24"/>
        </w:rPr>
        <w:t xml:space="preserve"> kategorija ietver tādas nozares kā transports un komunikācijas, kuras smagi skāra mobilitātes ierobežojumi un komandantstundas. Jāatzīmē, ka pārvedumi Nīderlandē palielinājās deviņkārtīgi, Izraēlā – septiņkārtīgi, Apvienotajā Karalistē – četrkārtīgi, un būtiski palielinājumi bija arī ASV. Šveicē tika fiksēts līdzīgs pieaugums, bet ar gada nobīdi. Šī statistika atklāj, ka daudzās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ekonomiskās lietas kļuva par galveno fiskālā atbalsta iemeslu pašvaldībām pandēmijas laikā.</w:t>
      </w:r>
    </w:p>
    <w:p w14:paraId="08F17F06" w14:textId="77777777" w:rsidR="006E54D8" w:rsidRPr="00805442" w:rsidRDefault="006E54D8" w:rsidP="00F92C74">
      <w:pPr>
        <w:jc w:val="both"/>
        <w:rPr>
          <w:rFonts w:ascii="Times New Roman" w:hAnsi="Times New Roman" w:cs="Times New Roman"/>
          <w:b/>
          <w:noProof/>
          <w:sz w:val="24"/>
          <w:szCs w:val="24"/>
        </w:rPr>
      </w:pPr>
    </w:p>
    <w:p w14:paraId="54B5FE1E" w14:textId="77777777" w:rsidR="0068352E" w:rsidRPr="00805442" w:rsidRDefault="0068352E" w:rsidP="00460065">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16. attēls. Centrālo valdību izmaksātie starpvaldību pārvedumi ekonomisko lietu jomā</w:t>
      </w:r>
    </w:p>
    <w:p w14:paraId="7905F9AC" w14:textId="77777777" w:rsidR="006E54D8" w:rsidRPr="00805442" w:rsidRDefault="006E54D8" w:rsidP="00460065">
      <w:pPr>
        <w:keepNext/>
        <w:keepLines/>
        <w:jc w:val="both"/>
        <w:rPr>
          <w:rFonts w:ascii="Times New Roman" w:hAnsi="Times New Roman" w:cs="Times New Roman"/>
          <w:noProof/>
          <w:sz w:val="24"/>
          <w:szCs w:val="24"/>
        </w:rPr>
      </w:pPr>
    </w:p>
    <w:p w14:paraId="7E19FBEB" w14:textId="06BE8229" w:rsidR="00DE02EB" w:rsidRPr="00DE02EB" w:rsidRDefault="00DE02EB" w:rsidP="00460065">
      <w:pPr>
        <w:keepNext/>
        <w:keepLines/>
        <w:jc w:val="both"/>
        <w:rPr>
          <w:rFonts w:ascii="Times New Roman" w:hAnsi="Times New Roman" w:cs="Times New Roman"/>
          <w:noProof/>
          <w:sz w:val="20"/>
          <w:szCs w:val="18"/>
        </w:rPr>
      </w:pPr>
      <w:r w:rsidRPr="00DE02EB">
        <w:rPr>
          <w:rFonts w:ascii="Times New Roman" w:hAnsi="Times New Roman" w:cs="Times New Roman"/>
          <w:noProof/>
          <w:sz w:val="20"/>
          <w:szCs w:val="18"/>
        </w:rPr>
        <w:lastRenderedPageBreak/>
        <w:t>% no IKP</w:t>
      </w:r>
    </w:p>
    <w:p w14:paraId="6E82D384" w14:textId="642F1A8A" w:rsidR="006E54D8" w:rsidRPr="00805442" w:rsidRDefault="00AC3307" w:rsidP="00460065">
      <w:pPr>
        <w:keepNext/>
        <w:keepLines/>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5B757878" wp14:editId="01138056">
            <wp:extent cx="5341096" cy="2462107"/>
            <wp:effectExtent l="0" t="0" r="0" b="0"/>
            <wp:docPr id="1589398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98457" name=""/>
                    <pic:cNvPicPr/>
                  </pic:nvPicPr>
                  <pic:blipFill rotWithShape="1">
                    <a:blip r:embed="rId40"/>
                    <a:srcRect t="9068"/>
                    <a:stretch>
                      <a:fillRect/>
                    </a:stretch>
                  </pic:blipFill>
                  <pic:spPr bwMode="auto">
                    <a:xfrm>
                      <a:off x="0" y="0"/>
                      <a:ext cx="5360909" cy="2471240"/>
                    </a:xfrm>
                    <a:prstGeom prst="rect">
                      <a:avLst/>
                    </a:prstGeom>
                    <a:ln>
                      <a:noFill/>
                    </a:ln>
                    <a:extLst>
                      <a:ext uri="{53640926-AAD7-44D8-BBD7-CCE9431645EC}">
                        <a14:shadowObscured xmlns:a14="http://schemas.microsoft.com/office/drawing/2010/main"/>
                      </a:ext>
                    </a:extLst>
                  </pic:spPr>
                </pic:pic>
              </a:graphicData>
            </a:graphic>
          </wp:inline>
        </w:drawing>
      </w:r>
    </w:p>
    <w:p w14:paraId="1BA89D97" w14:textId="77777777" w:rsidR="006E54D8" w:rsidRPr="00805442" w:rsidRDefault="006E54D8" w:rsidP="00F92C74">
      <w:pPr>
        <w:jc w:val="both"/>
        <w:rPr>
          <w:rFonts w:ascii="Times New Roman" w:hAnsi="Times New Roman" w:cs="Times New Roman"/>
          <w:noProof/>
          <w:sz w:val="24"/>
          <w:szCs w:val="24"/>
        </w:rPr>
      </w:pPr>
    </w:p>
    <w:p w14:paraId="5FEA6AE1" w14:textId="2BF97274"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74585DDD" w14:textId="77777777" w:rsidR="00AC3307" w:rsidRPr="00805442" w:rsidRDefault="00AC3307" w:rsidP="00F92C74">
      <w:pPr>
        <w:jc w:val="both"/>
        <w:rPr>
          <w:rFonts w:ascii="Times New Roman" w:hAnsi="Times New Roman" w:cs="Times New Roman"/>
          <w:noProof/>
          <w:sz w:val="24"/>
          <w:szCs w:val="24"/>
        </w:rPr>
      </w:pPr>
    </w:p>
    <w:p w14:paraId="3F131C0B" w14:textId="17D34CB9" w:rsidR="0068352E" w:rsidRPr="00805442" w:rsidRDefault="00AC3307" w:rsidP="00AC3307">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81. Visbeidzot, 17. attēlā skaidrots nenozīmīgs pārvedumu pieaugums dažās pārējās valstīs. Institucionālās, bieži vien federālās tradīcijas dēļ tās izvēlējās nodrošināt neiezīmētus pārvedumus, nevis atbalstu, kas piesaistīts konkrētām politikas jomām. Šī pieeja bija īpaši izteikta Spānijā, Grieķijā un Portugālē, kur dotāciju iezīmēšana konkrētam mērķim nav ierasta prakse, un lielā mērā arī Lietuvā, Norvēģijā un Beļģijā. Tomēr tas, ka konkrētām politikas jomām netika paredzēta iezīmēšana, nenozīmē, ka ar veselību saistītie faktori dotāciju sadalē netika pamanīti, kā to ilustrē 5. ierāmējumā sniegtais piemērs.</w:t>
      </w:r>
    </w:p>
    <w:p w14:paraId="0083A468" w14:textId="77777777" w:rsidR="0068352E" w:rsidRPr="00805442" w:rsidRDefault="0068352E" w:rsidP="00F92C74">
      <w:pPr>
        <w:pStyle w:val="BodyText"/>
        <w:jc w:val="both"/>
        <w:rPr>
          <w:rFonts w:ascii="Times New Roman" w:hAnsi="Times New Roman" w:cs="Times New Roman"/>
          <w:b/>
          <w:noProof/>
          <w:sz w:val="24"/>
          <w:szCs w:val="24"/>
        </w:rPr>
      </w:pPr>
    </w:p>
    <w:tbl>
      <w:tblPr>
        <w:tblStyle w:val="TableGrid"/>
        <w:tblW w:w="0" w:type="auto"/>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shd w:val="clear" w:color="auto" w:fill="DDD9C3" w:themeFill="background2" w:themeFillShade="E6"/>
        <w:tblCellMar>
          <w:top w:w="28" w:type="dxa"/>
          <w:left w:w="28" w:type="dxa"/>
          <w:bottom w:w="28" w:type="dxa"/>
          <w:right w:w="28" w:type="dxa"/>
        </w:tblCellMar>
        <w:tblLook w:val="04A0" w:firstRow="1" w:lastRow="0" w:firstColumn="1" w:lastColumn="0" w:noHBand="0" w:noVBand="1"/>
      </w:tblPr>
      <w:tblGrid>
        <w:gridCol w:w="9128"/>
      </w:tblGrid>
      <w:tr w:rsidR="00AC3307" w:rsidRPr="00805442" w14:paraId="5AA117CD" w14:textId="77777777" w:rsidTr="005E5E12">
        <w:tc>
          <w:tcPr>
            <w:tcW w:w="9288" w:type="dxa"/>
            <w:shd w:val="clear" w:color="auto" w:fill="DDD9C3" w:themeFill="background2" w:themeFillShade="E6"/>
          </w:tcPr>
          <w:p w14:paraId="1972C8E8" w14:textId="77777777" w:rsidR="0011249B" w:rsidRPr="00805442" w:rsidRDefault="0011249B" w:rsidP="0011249B">
            <w:pPr>
              <w:pStyle w:val="Heading1"/>
              <w:ind w:left="113" w:right="113"/>
              <w:jc w:val="both"/>
              <w:rPr>
                <w:rFonts w:ascii="Times New Roman" w:hAnsi="Times New Roman" w:cs="Times New Roman"/>
                <w:noProof/>
                <w:color w:val="4D81BD"/>
                <w:sz w:val="24"/>
                <w:szCs w:val="24"/>
              </w:rPr>
            </w:pPr>
          </w:p>
          <w:p w14:paraId="76B84A01" w14:textId="2D1F00E9" w:rsidR="0011249B" w:rsidRPr="00460065" w:rsidRDefault="0011249B" w:rsidP="0011249B">
            <w:pPr>
              <w:pStyle w:val="Heading1"/>
              <w:ind w:left="113" w:right="113"/>
              <w:jc w:val="both"/>
              <w:rPr>
                <w:rFonts w:ascii="Times New Roman" w:hAnsi="Times New Roman" w:cs="Times New Roman"/>
                <w:noProof/>
                <w:color w:val="4D81BD"/>
                <w:sz w:val="24"/>
                <w:szCs w:val="24"/>
              </w:rPr>
            </w:pPr>
            <w:r w:rsidRPr="00460065">
              <w:rPr>
                <w:rFonts w:ascii="Times New Roman" w:hAnsi="Times New Roman" w:cs="Times New Roman"/>
                <w:color w:val="4D81BD"/>
                <w:sz w:val="24"/>
                <w:szCs w:val="20"/>
              </w:rPr>
              <w:t>5. ierāmējums. “Fondo COVID” – Spānijas centrālās valdības atbalsta programma reģioniem</w:t>
            </w:r>
          </w:p>
          <w:p w14:paraId="7ABEC5C7" w14:textId="77777777" w:rsidR="0011249B" w:rsidRPr="00805442" w:rsidRDefault="0011249B" w:rsidP="0011249B">
            <w:pPr>
              <w:pStyle w:val="Heading1"/>
              <w:ind w:left="113" w:right="113"/>
              <w:jc w:val="both"/>
              <w:rPr>
                <w:rFonts w:ascii="Times New Roman" w:hAnsi="Times New Roman" w:cs="Times New Roman"/>
                <w:noProof/>
                <w:color w:val="4D81BD"/>
                <w:sz w:val="24"/>
                <w:szCs w:val="24"/>
              </w:rPr>
            </w:pPr>
          </w:p>
          <w:p w14:paraId="16FBF16A" w14:textId="77777777" w:rsidR="0011249B" w:rsidRPr="00805442" w:rsidRDefault="0011249B" w:rsidP="0011249B">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2021. gada jūnijā Spānijas centrālā valdība izveidoja beznosacījumu, neatmaksājamu pārvedumu programmu 16 miljardu EUR vērtībā reģionālajām valdībām ar mērķi, strauji pieaugot izdevumu pieprasījumam un samazinoties nodokļu ieņēmumiem, nodrošināt decentralizēto sabiedrisko pakalpojumu, īpaši veselības aprūpes, izglītības un sociālās palīdzības, nepārtrauktību. Fonds nebija daļa no parastās reģionālās finansēšanas sistēmas, bet tika izveidots kā papildu likviditātes mehānisms.</w:t>
            </w:r>
          </w:p>
          <w:p w14:paraId="0C1D7E31" w14:textId="77777777" w:rsidR="0011249B" w:rsidRPr="00805442" w:rsidRDefault="0011249B" w:rsidP="0011249B">
            <w:pPr>
              <w:pStyle w:val="BodyText"/>
              <w:ind w:left="113" w:right="113"/>
              <w:jc w:val="both"/>
              <w:rPr>
                <w:rFonts w:ascii="Times New Roman" w:hAnsi="Times New Roman" w:cs="Times New Roman"/>
                <w:noProof/>
                <w:sz w:val="24"/>
                <w:szCs w:val="24"/>
              </w:rPr>
            </w:pPr>
          </w:p>
          <w:p w14:paraId="5A693C75" w14:textId="77777777" w:rsidR="0011249B" w:rsidRPr="00805442" w:rsidRDefault="0011249B" w:rsidP="0011249B">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Programma ietvēra četrus dažādus pārvedumus, kas tika sadalīti, pamatojoties uz kritērijiem saistībā ar veselību, izglītību un samazinātiem nodokļu ieņēmumiem.</w:t>
            </w:r>
          </w:p>
          <w:p w14:paraId="35C50740" w14:textId="77777777" w:rsidR="0011249B" w:rsidRPr="00805442" w:rsidRDefault="0011249B" w:rsidP="0011249B">
            <w:pPr>
              <w:pStyle w:val="BodyText"/>
              <w:ind w:left="113" w:right="113"/>
              <w:jc w:val="both"/>
              <w:rPr>
                <w:rFonts w:ascii="Times New Roman" w:hAnsi="Times New Roman" w:cs="Times New Roman"/>
                <w:noProof/>
                <w:sz w:val="24"/>
                <w:szCs w:val="24"/>
              </w:rPr>
            </w:pPr>
          </w:p>
          <w:p w14:paraId="12414340" w14:textId="77777777" w:rsidR="0011249B" w:rsidRPr="00805442" w:rsidRDefault="0011249B" w:rsidP="005E5E12">
            <w:pPr>
              <w:pStyle w:val="ListParagraph"/>
              <w:numPr>
                <w:ilvl w:val="0"/>
                <w:numId w:val="12"/>
              </w:numPr>
              <w:tabs>
                <w:tab w:val="left" w:pos="426"/>
              </w:tabs>
              <w:ind w:left="426" w:right="113"/>
              <w:rPr>
                <w:rFonts w:ascii="Times New Roman" w:hAnsi="Times New Roman" w:cs="Times New Roman"/>
                <w:noProof/>
                <w:sz w:val="24"/>
                <w:szCs w:val="24"/>
              </w:rPr>
            </w:pPr>
            <w:r w:rsidRPr="00805442">
              <w:rPr>
                <w:rFonts w:ascii="Times New Roman" w:hAnsi="Times New Roman" w:cs="Times New Roman"/>
                <w:i/>
                <w:sz w:val="24"/>
              </w:rPr>
              <w:t>Veselības aprūpes sistēma (līdz 2020. gada maijam)</w:t>
            </w:r>
            <w:r w:rsidRPr="00805442">
              <w:rPr>
                <w:rFonts w:ascii="Times New Roman" w:hAnsi="Times New Roman" w:cs="Times New Roman"/>
                <w:sz w:val="24"/>
              </w:rPr>
              <w:t>. 6 miljardi EUR tika piešķirti saskaņā ar šādu formulu: aizsargātais iedzīvotāju skaits (rādītājs, kas piešķir lielāku svaru vecāka gadagājuma iedzīvotājiem; 35 %), pacienti intensīvās terapijas nodaļās (30 %), stacionētie pacienti (25 %), veiktie PCR testi (10 %). Tā kā Madride bija viens no pandēmijas vissmagāk skartajiem reģioniem Eiropā, šis reģions saņēma lielu pārvedumu apjomu no šīs pirmās “Fondo COVID” sadaļas (aptuveni ceturto daļu no kopējā apjoma, lai gan tās iedzīvotāji veido tikai 14 % no kopējā Spānijas iedzīvotāju skaita).</w:t>
            </w:r>
          </w:p>
          <w:p w14:paraId="6CBDB38E" w14:textId="77777777" w:rsidR="0011249B" w:rsidRPr="00805442" w:rsidRDefault="0011249B" w:rsidP="005E5E12">
            <w:pPr>
              <w:pStyle w:val="ListParagraph"/>
              <w:numPr>
                <w:ilvl w:val="0"/>
                <w:numId w:val="12"/>
              </w:numPr>
              <w:tabs>
                <w:tab w:val="left" w:pos="426"/>
              </w:tabs>
              <w:ind w:left="426" w:right="113"/>
              <w:rPr>
                <w:rFonts w:ascii="Times New Roman" w:hAnsi="Times New Roman" w:cs="Times New Roman"/>
                <w:noProof/>
                <w:sz w:val="24"/>
                <w:szCs w:val="24"/>
              </w:rPr>
            </w:pPr>
            <w:r w:rsidRPr="00805442">
              <w:rPr>
                <w:rFonts w:ascii="Times New Roman" w:hAnsi="Times New Roman" w:cs="Times New Roman"/>
                <w:i/>
                <w:sz w:val="24"/>
              </w:rPr>
              <w:lastRenderedPageBreak/>
              <w:t>Veselības aprūpes sistēma (līdz 2020. gada novembrim)</w:t>
            </w:r>
            <w:r w:rsidRPr="00805442">
              <w:rPr>
                <w:rFonts w:ascii="Times New Roman" w:hAnsi="Times New Roman" w:cs="Times New Roman"/>
                <w:sz w:val="24"/>
              </w:rPr>
              <w:t>. 3 miljardi EUR tika sadalīti, izmantojot tos pašus kritērijus, bet ar koriģētiem svērumiem. Aizsargātajai iedzīvotāju daļai tika noteikta augstāka procentuālā vērtība (45 %) uz intensīvās terapijas nodaļas pacientu (25 %) un stacionēto pacientu (20 %) rēķina, jo slimnīcu pārslodze tika novērsta 2020. gada vasarā. Tādējādi līdzekļu sadalījums starp reģioniem, rēķinot uz vienu iedzīvotāju, šajā gadījumā kļuva vienmērīgāks.</w:t>
            </w:r>
          </w:p>
          <w:p w14:paraId="449E4F76" w14:textId="77777777" w:rsidR="0011249B" w:rsidRPr="00805442" w:rsidRDefault="0011249B" w:rsidP="005E5E12">
            <w:pPr>
              <w:pStyle w:val="ListParagraph"/>
              <w:numPr>
                <w:ilvl w:val="0"/>
                <w:numId w:val="12"/>
              </w:numPr>
              <w:tabs>
                <w:tab w:val="left" w:pos="426"/>
              </w:tabs>
              <w:ind w:left="426" w:right="113"/>
              <w:rPr>
                <w:rFonts w:ascii="Times New Roman" w:hAnsi="Times New Roman" w:cs="Times New Roman"/>
                <w:noProof/>
                <w:sz w:val="24"/>
                <w:szCs w:val="24"/>
              </w:rPr>
            </w:pPr>
            <w:r w:rsidRPr="00805442">
              <w:rPr>
                <w:rFonts w:ascii="Times New Roman" w:hAnsi="Times New Roman" w:cs="Times New Roman"/>
                <w:i/>
                <w:sz w:val="24"/>
              </w:rPr>
              <w:t>Izglītība</w:t>
            </w:r>
            <w:r w:rsidRPr="00805442">
              <w:rPr>
                <w:rFonts w:ascii="Times New Roman" w:hAnsi="Times New Roman" w:cs="Times New Roman"/>
                <w:sz w:val="24"/>
              </w:rPr>
              <w:t>. 2 miljardi EUR tika piešķirti, pamatojoties uz skolas vecuma bērnu īpatsvaru. Īpaši tika ņemtas vērā 0–16 gadu vecuma iedzīvotāju grupa (80 %) un 17–24 gadu vecuma iedzīvotāju grupa (20 %). Visvairāk no šī pārveduma ieguva Vidusjūras reģioni, pateicoties to jaunākajai demogrāfiskajai struktūrai.</w:t>
            </w:r>
          </w:p>
          <w:p w14:paraId="085B4BE5" w14:textId="77777777" w:rsidR="0011249B" w:rsidRPr="00805442" w:rsidRDefault="0011249B" w:rsidP="005E5E12">
            <w:pPr>
              <w:pStyle w:val="ListParagraph"/>
              <w:numPr>
                <w:ilvl w:val="0"/>
                <w:numId w:val="12"/>
              </w:numPr>
              <w:tabs>
                <w:tab w:val="left" w:pos="426"/>
              </w:tabs>
              <w:ind w:left="426" w:right="113"/>
              <w:rPr>
                <w:rFonts w:ascii="Times New Roman" w:hAnsi="Times New Roman" w:cs="Times New Roman"/>
                <w:noProof/>
                <w:sz w:val="24"/>
                <w:szCs w:val="24"/>
              </w:rPr>
            </w:pPr>
            <w:r w:rsidRPr="00805442">
              <w:rPr>
                <w:rFonts w:ascii="Times New Roman" w:hAnsi="Times New Roman" w:cs="Times New Roman"/>
                <w:i/>
                <w:sz w:val="24"/>
              </w:rPr>
              <w:t>Samazināti nodokļu ieņēmumi</w:t>
            </w:r>
            <w:r w:rsidRPr="00805442">
              <w:rPr>
                <w:rFonts w:ascii="Times New Roman" w:hAnsi="Times New Roman" w:cs="Times New Roman"/>
                <w:sz w:val="24"/>
              </w:rPr>
              <w:t>. Ar 5 miljardiem EUR tika kompensēta samazinātā ekonomiskā aktivitāte, piemērojot formulu, kurā tika ņemts vērā nodokļu ieņēmumu samazinājums (50 %), koriģētais iedzīvotāju skaits (izdevumu vajadzību rādītājs, ko parasti izmanto izlīdzināšanai; 34 %) un sabiedriskā transporta ieņēmumu zudumus (16 %). Rezultātā 40 % no fonda līdzekļiem tika novirzīti Katalonijas un Madrides atbalstam to augstā iedzīvotāju blīvuma dēļ.</w:t>
            </w:r>
          </w:p>
          <w:p w14:paraId="6FA47C68" w14:textId="77777777" w:rsidR="005E5E12" w:rsidRPr="00805442" w:rsidRDefault="005E5E12" w:rsidP="005E5E12">
            <w:pPr>
              <w:pStyle w:val="ListParagraph"/>
              <w:tabs>
                <w:tab w:val="left" w:pos="426"/>
              </w:tabs>
              <w:ind w:left="426" w:right="113"/>
              <w:rPr>
                <w:rFonts w:ascii="Times New Roman" w:hAnsi="Times New Roman" w:cs="Times New Roman"/>
                <w:noProof/>
                <w:sz w:val="24"/>
                <w:szCs w:val="24"/>
              </w:rPr>
            </w:pPr>
          </w:p>
          <w:p w14:paraId="317B447E" w14:textId="77777777" w:rsidR="0011249B" w:rsidRPr="00805442" w:rsidRDefault="0011249B" w:rsidP="0011249B">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Interesanti, ka, lai gan visi četri pārvedumi tika aprēķināti pēc atšķirīgiem kritērijiem, kas saistīti ar veselības aprūpi, izglītību un zaudētiem nodokļu ieņēmumiem, atbilstoši Spānijas starpvaldību fiskālo attiecību modeļa tradīcijai šie pārvedumi bija neiezīmēti. Tas nozīmē, ka reģioni varēja paši lemt par naudas izmantošanu, saglabājot reģionālo izdevumu autonomiju, neraugoties uz lielāku atkarību no pārvedumiem. Tā dēvētie “Foral” reģioni, tas ir, Basku zeme un Navarra, kas tiek finansēti, izmantojot modeli, kura pamatā ir plaša nodokļu autonomija bez centrālā atbalsta, piedalījās “Fondo COVID”, bet tika izslēgti no ceturtā pārveduma.</w:t>
            </w:r>
          </w:p>
          <w:p w14:paraId="6D18C533" w14:textId="77777777" w:rsidR="005E5E12" w:rsidRPr="00805442" w:rsidRDefault="005E5E12" w:rsidP="0011249B">
            <w:pPr>
              <w:pStyle w:val="BodyText"/>
              <w:ind w:left="113" w:right="113"/>
              <w:jc w:val="both"/>
              <w:rPr>
                <w:rFonts w:ascii="Times New Roman" w:hAnsi="Times New Roman" w:cs="Times New Roman"/>
                <w:noProof/>
                <w:sz w:val="24"/>
                <w:szCs w:val="24"/>
              </w:rPr>
            </w:pPr>
          </w:p>
          <w:p w14:paraId="60FF675E" w14:textId="77777777" w:rsidR="0011249B" w:rsidRPr="00805442" w:rsidRDefault="0011249B" w:rsidP="0011249B">
            <w:pPr>
              <w:pStyle w:val="BodyText"/>
              <w:ind w:left="113" w:right="113"/>
              <w:jc w:val="both"/>
              <w:rPr>
                <w:rFonts w:ascii="Times New Roman" w:hAnsi="Times New Roman" w:cs="Times New Roman"/>
                <w:noProof/>
                <w:sz w:val="24"/>
                <w:szCs w:val="24"/>
              </w:rPr>
            </w:pPr>
            <w:r w:rsidRPr="00805442">
              <w:rPr>
                <w:rFonts w:ascii="Times New Roman" w:hAnsi="Times New Roman" w:cs="Times New Roman"/>
                <w:sz w:val="24"/>
              </w:rPr>
              <w:t>Gadu vēlāk, 2021. gadā, tika izveidots jauns fonds ar nosaukumu “Ārkārtas fonds”. Tas sadalīja papildu 13,5 miljardus EUR starp reģioniem atbilstoši to relatīvajam koriģētajam iedzīvotāju skaitam. Lai gan šā fonda mērķis bija stiprināt reģionu finansiālo situāciju pandēmijas seku dēļ, tā apjoms (gandrīz 10 % no kopējā finansējuma, ko nodrošina regulārā reģionālā finansēšanas sistēma) radīja jautājumus par to, vai reģioni pandēmijas laikā nav saņēmuši pārmērīgu finansējumu. Tomēr reģionālais parāds saglabājās augstā līmenī. Autonomo kopienu parāds 2021. gadā pieauga par 2,8 %, kas bija piektais zemākais absolūtais pieaugums kopš 2000. gada. Tomēr tas samazinājās relatīvā izteiksmē. Parāda attiecība pret IKP 2021. gadā samazinājās par 1,6 procentpunktiem, kas bija otrais lielākais samazinājums kopš 2000. gada, un 2023. gada beigās reģionālais parāds veidoja 22,2 % no IKP, kas ir zemākais rādītājs kopš 2013. gada. Aptuveni 60 % no tā pieder centrālajai valdībai. Daži eksperti un reģioni aicina ieviest pagaidu risinājumus, kas nodrošinātu pietiekamu reģionālā finansējuma līmeni, reaģējot uz politiskās vienošanās trūkumu par plašāku reģionālās finansēšanas sistēmas reformu.</w:t>
            </w:r>
          </w:p>
          <w:p w14:paraId="6DB93D0E" w14:textId="77777777" w:rsidR="005E5E12" w:rsidRPr="00805442" w:rsidRDefault="005E5E12" w:rsidP="0011249B">
            <w:pPr>
              <w:pStyle w:val="BodyText"/>
              <w:ind w:left="113" w:right="113"/>
              <w:jc w:val="both"/>
              <w:rPr>
                <w:rFonts w:ascii="Times New Roman" w:hAnsi="Times New Roman" w:cs="Times New Roman"/>
                <w:noProof/>
                <w:sz w:val="24"/>
                <w:szCs w:val="24"/>
              </w:rPr>
            </w:pPr>
          </w:p>
          <w:p w14:paraId="412D79EF" w14:textId="77777777" w:rsidR="0011249B" w:rsidRPr="00805442" w:rsidRDefault="0011249B" w:rsidP="0011249B">
            <w:pPr>
              <w:ind w:left="113" w:right="113"/>
              <w:jc w:val="both"/>
              <w:rPr>
                <w:rFonts w:ascii="Times New Roman" w:hAnsi="Times New Roman" w:cs="Times New Roman"/>
                <w:noProof/>
                <w:sz w:val="24"/>
                <w:szCs w:val="24"/>
              </w:rPr>
            </w:pPr>
            <w:r w:rsidRPr="00805442">
              <w:rPr>
                <w:rFonts w:ascii="Times New Roman" w:hAnsi="Times New Roman" w:cs="Times New Roman"/>
                <w:sz w:val="24"/>
              </w:rPr>
              <w:t>Avots: Spānijas Finanšu ministrija un reģionālās valdības.</w:t>
            </w:r>
          </w:p>
          <w:p w14:paraId="2129C617" w14:textId="77777777" w:rsidR="00AC3307" w:rsidRPr="00805442" w:rsidRDefault="00AC3307" w:rsidP="0011249B">
            <w:pPr>
              <w:pStyle w:val="BodyText"/>
              <w:ind w:left="113" w:right="113"/>
              <w:jc w:val="both"/>
              <w:rPr>
                <w:rFonts w:ascii="Times New Roman" w:hAnsi="Times New Roman" w:cs="Times New Roman"/>
                <w:b/>
                <w:noProof/>
                <w:sz w:val="24"/>
                <w:szCs w:val="24"/>
              </w:rPr>
            </w:pPr>
          </w:p>
        </w:tc>
      </w:tr>
    </w:tbl>
    <w:p w14:paraId="580C312B" w14:textId="77777777" w:rsidR="00AC3307" w:rsidRPr="00805442" w:rsidRDefault="00AC3307" w:rsidP="00F92C74">
      <w:pPr>
        <w:pStyle w:val="BodyText"/>
        <w:jc w:val="both"/>
        <w:rPr>
          <w:rFonts w:ascii="Times New Roman" w:hAnsi="Times New Roman" w:cs="Times New Roman"/>
          <w:b/>
          <w:noProof/>
          <w:sz w:val="24"/>
          <w:szCs w:val="24"/>
        </w:rPr>
      </w:pPr>
    </w:p>
    <w:p w14:paraId="510643A4" w14:textId="77777777" w:rsidR="0068352E" w:rsidRPr="00805442" w:rsidRDefault="0068352E" w:rsidP="001576EF">
      <w:pPr>
        <w:pStyle w:val="Heading1"/>
        <w:keepNext/>
        <w:keepLines/>
        <w:ind w:left="0"/>
        <w:jc w:val="both"/>
        <w:rPr>
          <w:rFonts w:ascii="Times New Roman" w:hAnsi="Times New Roman" w:cs="Times New Roman"/>
          <w:noProof/>
          <w:color w:val="4D81BD"/>
          <w:sz w:val="24"/>
          <w:szCs w:val="24"/>
        </w:rPr>
      </w:pPr>
      <w:r w:rsidRPr="00805442">
        <w:rPr>
          <w:rFonts w:ascii="Times New Roman" w:hAnsi="Times New Roman" w:cs="Times New Roman"/>
          <w:color w:val="4D81BD"/>
          <w:sz w:val="24"/>
        </w:rPr>
        <w:t>17. attēls. Centrālo valdību izmaksātie starpvaldību pārvedumi vispārējo sabiedrisko pakalpojumu jomā</w:t>
      </w:r>
    </w:p>
    <w:p w14:paraId="6093CA5D" w14:textId="77777777" w:rsidR="005E5E12" w:rsidRPr="00805442" w:rsidRDefault="005E5E12" w:rsidP="001576EF">
      <w:pPr>
        <w:pStyle w:val="Heading1"/>
        <w:keepNext/>
        <w:keepLines/>
        <w:ind w:left="0"/>
        <w:jc w:val="both"/>
        <w:rPr>
          <w:rFonts w:ascii="Times New Roman" w:hAnsi="Times New Roman" w:cs="Times New Roman"/>
          <w:noProof/>
          <w:color w:val="4D81BD"/>
          <w:sz w:val="24"/>
          <w:szCs w:val="24"/>
        </w:rPr>
      </w:pPr>
    </w:p>
    <w:p w14:paraId="7087DDB6" w14:textId="0CB1CA89" w:rsidR="001576EF" w:rsidRPr="001576EF" w:rsidRDefault="001576EF" w:rsidP="001576EF">
      <w:pPr>
        <w:keepNext/>
        <w:keepLines/>
        <w:jc w:val="both"/>
        <w:rPr>
          <w:rFonts w:ascii="Times New Roman" w:hAnsi="Times New Roman" w:cs="Times New Roman"/>
          <w:noProof/>
          <w:sz w:val="20"/>
          <w:szCs w:val="18"/>
        </w:rPr>
      </w:pPr>
      <w:r w:rsidRPr="001576EF">
        <w:rPr>
          <w:rFonts w:ascii="Times New Roman" w:hAnsi="Times New Roman" w:cs="Times New Roman"/>
          <w:noProof/>
          <w:sz w:val="20"/>
          <w:szCs w:val="18"/>
        </w:rPr>
        <w:lastRenderedPageBreak/>
        <w:t>% no IKP</w:t>
      </w:r>
    </w:p>
    <w:p w14:paraId="6084CF58" w14:textId="170D33C5" w:rsidR="005E5E12" w:rsidRPr="00805442" w:rsidRDefault="002B4290" w:rsidP="001576EF">
      <w:pPr>
        <w:keepNext/>
        <w:keepLines/>
        <w:jc w:val="both"/>
        <w:rPr>
          <w:rFonts w:ascii="Times New Roman" w:hAnsi="Times New Roman" w:cs="Times New Roman"/>
          <w:noProof/>
          <w:sz w:val="24"/>
          <w:szCs w:val="24"/>
        </w:rPr>
      </w:pPr>
      <w:r w:rsidRPr="00805442">
        <w:rPr>
          <w:rFonts w:ascii="Times New Roman" w:hAnsi="Times New Roman" w:cs="Times New Roman"/>
          <w:noProof/>
          <w:sz w:val="24"/>
        </w:rPr>
        <w:drawing>
          <wp:inline distT="0" distB="0" distL="0" distR="0" wp14:anchorId="687460AB" wp14:editId="3800F03D">
            <wp:extent cx="5533557" cy="2553758"/>
            <wp:effectExtent l="0" t="0" r="0" b="0"/>
            <wp:docPr id="802710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0322" name=""/>
                    <pic:cNvPicPr/>
                  </pic:nvPicPr>
                  <pic:blipFill rotWithShape="1">
                    <a:blip r:embed="rId41"/>
                    <a:srcRect t="10926"/>
                    <a:stretch>
                      <a:fillRect/>
                    </a:stretch>
                  </pic:blipFill>
                  <pic:spPr bwMode="auto">
                    <a:xfrm>
                      <a:off x="0" y="0"/>
                      <a:ext cx="5552213" cy="2562368"/>
                    </a:xfrm>
                    <a:prstGeom prst="rect">
                      <a:avLst/>
                    </a:prstGeom>
                    <a:ln>
                      <a:noFill/>
                    </a:ln>
                    <a:extLst>
                      <a:ext uri="{53640926-AAD7-44D8-BBD7-CCE9431645EC}">
                        <a14:shadowObscured xmlns:a14="http://schemas.microsoft.com/office/drawing/2010/main"/>
                      </a:ext>
                    </a:extLst>
                  </pic:spPr>
                </pic:pic>
              </a:graphicData>
            </a:graphic>
          </wp:inline>
        </w:drawing>
      </w:r>
    </w:p>
    <w:p w14:paraId="1BC22CD1" w14:textId="77777777" w:rsidR="005E5E12" w:rsidRPr="00805442" w:rsidRDefault="005E5E12" w:rsidP="00F92C74">
      <w:pPr>
        <w:jc w:val="both"/>
        <w:rPr>
          <w:rFonts w:ascii="Times New Roman" w:hAnsi="Times New Roman" w:cs="Times New Roman"/>
          <w:noProof/>
          <w:sz w:val="24"/>
          <w:szCs w:val="24"/>
        </w:rPr>
      </w:pPr>
    </w:p>
    <w:p w14:paraId="0C3C70FF" w14:textId="62135C20" w:rsidR="0068352E" w:rsidRPr="00805442" w:rsidRDefault="0068352E" w:rsidP="00F92C74">
      <w:pPr>
        <w:jc w:val="both"/>
        <w:rPr>
          <w:rFonts w:ascii="Times New Roman" w:hAnsi="Times New Roman" w:cs="Times New Roman"/>
          <w:noProof/>
          <w:sz w:val="24"/>
          <w:szCs w:val="24"/>
        </w:rPr>
      </w:pPr>
      <w:r w:rsidRPr="00805442">
        <w:rPr>
          <w:rFonts w:ascii="Times New Roman" w:hAnsi="Times New Roman" w:cs="Times New Roman"/>
          <w:sz w:val="24"/>
        </w:rPr>
        <w:t xml:space="preserve">Avots: izstrādāts, pamatojoties uz </w:t>
      </w:r>
      <w:r w:rsidRPr="00805442">
        <w:rPr>
          <w:rFonts w:ascii="Times New Roman" w:hAnsi="Times New Roman" w:cs="Times New Roman"/>
          <w:i/>
          <w:iCs/>
          <w:sz w:val="24"/>
        </w:rPr>
        <w:t>OECD</w:t>
      </w:r>
      <w:r w:rsidRPr="00805442">
        <w:rPr>
          <w:rFonts w:ascii="Times New Roman" w:hAnsi="Times New Roman" w:cs="Times New Roman"/>
          <w:sz w:val="24"/>
        </w:rPr>
        <w:t xml:space="preserve"> Fiskālās decentralizācijas datubāzi.</w:t>
      </w:r>
    </w:p>
    <w:p w14:paraId="29D68496" w14:textId="77777777" w:rsidR="002B4290" w:rsidRPr="00805442" w:rsidRDefault="002B4290" w:rsidP="00F92C74">
      <w:pPr>
        <w:jc w:val="both"/>
        <w:rPr>
          <w:rFonts w:ascii="Times New Roman" w:hAnsi="Times New Roman" w:cs="Times New Roman"/>
          <w:noProof/>
          <w:sz w:val="24"/>
          <w:szCs w:val="24"/>
        </w:rPr>
      </w:pPr>
    </w:p>
    <w:p w14:paraId="05C792EC" w14:textId="694DC2AE" w:rsidR="0068352E" w:rsidRPr="006675E1" w:rsidRDefault="002B4290" w:rsidP="002B4290">
      <w:pPr>
        <w:pStyle w:val="Heading3"/>
        <w:tabs>
          <w:tab w:val="left" w:pos="1779"/>
        </w:tabs>
        <w:ind w:left="567" w:firstLine="0"/>
        <w:jc w:val="both"/>
        <w:rPr>
          <w:rFonts w:ascii="Times New Roman" w:hAnsi="Times New Roman" w:cs="Times New Roman"/>
          <w:noProof/>
          <w:sz w:val="28"/>
          <w:szCs w:val="28"/>
        </w:rPr>
      </w:pPr>
      <w:r w:rsidRPr="006675E1">
        <w:rPr>
          <w:rFonts w:ascii="Times New Roman" w:hAnsi="Times New Roman" w:cs="Times New Roman"/>
          <w:sz w:val="28"/>
          <w:szCs w:val="22"/>
        </w:rPr>
        <w:t>5.2. Uz sniegumu orientētas dotācijas</w:t>
      </w:r>
    </w:p>
    <w:p w14:paraId="17DE1EE6" w14:textId="77777777" w:rsidR="002B4290" w:rsidRPr="00805442" w:rsidRDefault="002B4290" w:rsidP="002B4290">
      <w:pPr>
        <w:pStyle w:val="Heading3"/>
        <w:tabs>
          <w:tab w:val="left" w:pos="1779"/>
        </w:tabs>
        <w:ind w:left="567" w:firstLine="0"/>
        <w:jc w:val="both"/>
        <w:rPr>
          <w:rFonts w:ascii="Times New Roman" w:hAnsi="Times New Roman" w:cs="Times New Roman"/>
          <w:noProof/>
          <w:sz w:val="24"/>
          <w:szCs w:val="24"/>
        </w:rPr>
      </w:pPr>
    </w:p>
    <w:p w14:paraId="75B3FEB5" w14:textId="2059CB46" w:rsidR="002B4290" w:rsidRPr="00805442" w:rsidRDefault="002B4290" w:rsidP="002B4290">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82.</w:t>
      </w:r>
      <w:r w:rsidRPr="00805442">
        <w:rPr>
          <w:rFonts w:ascii="Times New Roman" w:hAnsi="Times New Roman" w:cs="Times New Roman"/>
          <w:b/>
          <w:i/>
          <w:sz w:val="24"/>
        </w:rPr>
        <w:t xml:space="preserve"> Uz sniegumu orientētas dotācijas </w:t>
      </w:r>
      <w:r w:rsidRPr="00805442">
        <w:rPr>
          <w:rFonts w:ascii="Times New Roman" w:hAnsi="Times New Roman" w:cs="Times New Roman"/>
          <w:sz w:val="24"/>
        </w:rPr>
        <w:t>jeb uz rezultātiem balstītas dotācijas ir raksturīgas pakalpojumu sniegšanas līgumiem, kuru pamatā ir jaunās publiskās pārvaldes principi</w:t>
      </w:r>
      <w:r w:rsidRPr="00805442">
        <w:rPr>
          <w:rStyle w:val="FootnoteReference"/>
          <w:rFonts w:ascii="Times New Roman" w:hAnsi="Times New Roman" w:cs="Times New Roman"/>
          <w:noProof/>
          <w:sz w:val="24"/>
          <w:szCs w:val="24"/>
        </w:rPr>
        <w:footnoteReference w:customMarkFollows="1" w:id="84"/>
        <w:t>87</w:t>
      </w:r>
      <w:r w:rsidRPr="00805442">
        <w:rPr>
          <w:rFonts w:ascii="Times New Roman" w:hAnsi="Times New Roman" w:cs="Times New Roman"/>
          <w:sz w:val="24"/>
        </w:rPr>
        <w:t xml:space="preserve"> un jaunās institucionālās ekonomikas principi</w:t>
      </w:r>
      <w:r w:rsidRPr="00805442">
        <w:rPr>
          <w:rStyle w:val="FootnoteReference"/>
          <w:rFonts w:ascii="Times New Roman" w:hAnsi="Times New Roman" w:cs="Times New Roman"/>
          <w:noProof/>
          <w:sz w:val="24"/>
          <w:szCs w:val="24"/>
        </w:rPr>
        <w:footnoteReference w:customMarkFollows="1" w:id="85"/>
        <w:t>88</w:t>
      </w:r>
      <w:r w:rsidRPr="00805442">
        <w:rPr>
          <w:rFonts w:ascii="Times New Roman" w:hAnsi="Times New Roman" w:cs="Times New Roman"/>
          <w:sz w:val="24"/>
        </w:rPr>
        <w:t>.</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Šo dotaciju piešķiršanas nosacījums ir konkrētu iznākumu sasniegšana,</w:t>
      </w:r>
      <w:r w:rsidRPr="00805442">
        <w:rPr>
          <w:rStyle w:val="FootnoteReference"/>
          <w:rFonts w:ascii="Times New Roman" w:hAnsi="Times New Roman" w:cs="Times New Roman"/>
          <w:noProof/>
          <w:sz w:val="24"/>
          <w:szCs w:val="24"/>
        </w:rPr>
        <w:footnoteReference w:customMarkFollows="1" w:id="86"/>
        <w:t>89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mudinot pašvaldības saskaņot savus centienus ar virsmērķiem. Šo dotāciju mērķis ir uzlabot publiskā sektora pārskatatbildību un pārvaldību, vēršot uzmanību uz sniegumu, nodrošinot elastību programmu izstrādē, vienlaikus nosakot nosacījumus konkrētu rezultātu sasniegšanai. Publiskā sektora vadītāji tiek mudināti uzraudzīt dažādus rādītājus, sākot no ieguldījumiem līdz iznākumiem, lai nodrošinātu šo uz rezultātiem vērsto pieeju</w:t>
      </w:r>
      <w:r w:rsidRPr="00805442">
        <w:rPr>
          <w:rStyle w:val="FootnoteReference"/>
          <w:rFonts w:ascii="Times New Roman" w:hAnsi="Times New Roman" w:cs="Times New Roman"/>
          <w:noProof/>
          <w:sz w:val="24"/>
          <w:szCs w:val="24"/>
        </w:rPr>
        <w:footnoteReference w:customMarkFollows="1" w:id="87"/>
        <w:t>90</w:t>
      </w:r>
      <w:r w:rsidRPr="00805442">
        <w:rPr>
          <w:rFonts w:ascii="Times New Roman" w:hAnsi="Times New Roman" w:cs="Times New Roman"/>
          <w:sz w:val="24"/>
        </w:rPr>
        <w:t xml:space="preserve"> (Shah, 2006).</w:t>
      </w:r>
    </w:p>
    <w:p w14:paraId="3CD272C5" w14:textId="77777777" w:rsidR="002B4290" w:rsidRPr="00805442" w:rsidRDefault="002B4290" w:rsidP="002B4290">
      <w:pPr>
        <w:pStyle w:val="ListParagraph"/>
        <w:tabs>
          <w:tab w:val="left" w:pos="802"/>
        </w:tabs>
        <w:ind w:left="0"/>
        <w:rPr>
          <w:rFonts w:ascii="Times New Roman" w:hAnsi="Times New Roman" w:cs="Times New Roman"/>
          <w:noProof/>
          <w:sz w:val="24"/>
          <w:szCs w:val="24"/>
        </w:rPr>
      </w:pPr>
    </w:p>
    <w:p w14:paraId="6E8F4123" w14:textId="65A91915" w:rsidR="0068352E" w:rsidRPr="00805442" w:rsidRDefault="002B4290" w:rsidP="002B4290">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83. Praksē pašvaldību sniegums tiek vērtēts ikgadējos novērtējumos, attiecīgi pielāgojot piešķirto dotāciju apjomu, lai pašvaldību atalgotu vai sodītu, pamatojoties uz tās sasniegumiem. Tās tiek iedalītas daudznozaru uz sniegumu balstītās dotācijās, kurās tiek izmantoti procesa rādītāji, kas ņem vērā pārvaldību, plānošanu, budžeta veidošanu, publisko finanšu pārvaldību un pārskatāmību, lai novērtētu sniegumu, un nozarei specifiskās uz sniegumu balstītās dotācijās, kas parasti saista snieguma kritērijus ar pakalpojumu sniegšanas </w:t>
      </w:r>
      <w:r w:rsidRPr="00805442">
        <w:rPr>
          <w:rFonts w:ascii="Times New Roman" w:hAnsi="Times New Roman" w:cs="Times New Roman"/>
          <w:sz w:val="24"/>
        </w:rPr>
        <w:lastRenderedPageBreak/>
        <w:t>“iznākuma” rādītājiem, lai gan bieži tiek iekļauti arī “procesa” rādītāji (Steffensen, 2010; Shotton un Gankhuyag, 2021).</w:t>
      </w:r>
    </w:p>
    <w:p w14:paraId="3BC48716" w14:textId="1B8A26D9" w:rsidR="0068352E" w:rsidRPr="00805442" w:rsidRDefault="0068352E" w:rsidP="00F92C74">
      <w:pPr>
        <w:pStyle w:val="BodyText"/>
        <w:jc w:val="both"/>
        <w:rPr>
          <w:rFonts w:ascii="Times New Roman" w:hAnsi="Times New Roman" w:cs="Times New Roman"/>
          <w:b/>
          <w:noProof/>
          <w:sz w:val="24"/>
          <w:szCs w:val="24"/>
        </w:rPr>
      </w:pPr>
    </w:p>
    <w:p w14:paraId="07DF11C0" w14:textId="0246E19D" w:rsidR="00BC0418" w:rsidRPr="00805442" w:rsidRDefault="00BC0418" w:rsidP="00BC0418">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84. Jaunākās tendences liecina, ka uz sniegumu balstītās dotācijas tiek izmantotas aizvien biežāk. Tās bieži tiek integrētas ar jau esošajiem SFP neatkarīgi no tā, vai tie ir beznosacījumu vai iezīmēti, un piedāvā skaidru atlīdzību par uzlabotu pašvaldību sniegumu gan pakalpojumu sniegšanā, gan pārvaldībā</w:t>
      </w:r>
      <w:r w:rsidRPr="00805442">
        <w:rPr>
          <w:rStyle w:val="FootnoteReference"/>
          <w:rFonts w:ascii="Times New Roman" w:hAnsi="Times New Roman" w:cs="Times New Roman"/>
          <w:noProof/>
          <w:sz w:val="24"/>
          <w:szCs w:val="24"/>
        </w:rPr>
        <w:footnoteReference w:customMarkFollows="1" w:id="88"/>
        <w:t>91</w:t>
      </w:r>
      <w:r w:rsidRPr="00805442">
        <w:rPr>
          <w:rFonts w:ascii="Times New Roman" w:hAnsi="Times New Roman" w:cs="Times New Roman"/>
          <w:sz w:val="24"/>
        </w:rPr>
        <w:t xml:space="preserve"> (Martinez-Vazquez, 2011). Konkrētai nozarei paredzētās uz sniegumu balstītās dotācijas tiek izmantotas veselības aprūpes nozarē tādās valstīs kā Argentīna, Brazīlija un Indija. Ar šādām dotācijām līdzekļi tiek piešķirti pašvaldībām un veselības aprūpes pakalpojumu sniedzējiem, pamatojoties uz to sniegumu vispārējos procesos un konkrētiem veselības aprūpes pakalpojumu rezultātiem. Turklāt tās ir izmantotas, lai nodrošinātu ekoloģiskos pārvedumus Brazīlijā, Francijā un Portugālē, ar mērķi veicināt ieguldījumus vides aizsardzībā un saskaņot fiskālo politiku ar ekoloģiskās ilgtspējas mērķiem </w:t>
      </w:r>
      <w:r w:rsidRPr="00805442">
        <w:rPr>
          <w:rFonts w:ascii="Times New Roman" w:hAnsi="Times New Roman" w:cs="Times New Roman"/>
          <w:color w:val="212121"/>
          <w:sz w:val="24"/>
        </w:rPr>
        <w:t>(</w:t>
      </w:r>
      <w:r w:rsidRPr="00805442">
        <w:rPr>
          <w:rFonts w:ascii="Times New Roman" w:hAnsi="Times New Roman" w:cs="Times New Roman"/>
          <w:sz w:val="24"/>
        </w:rPr>
        <w:t xml:space="preserve">Musgrove, 2011; UNICEF, 2013; Loft et al., 2016; </w:t>
      </w:r>
      <w:r w:rsidRPr="00805442">
        <w:rPr>
          <w:rFonts w:ascii="Times New Roman" w:hAnsi="Times New Roman" w:cs="Times New Roman"/>
          <w:color w:val="212121"/>
          <w:sz w:val="24"/>
        </w:rPr>
        <w:t>Dro</w:t>
      </w:r>
      <w:r w:rsidRPr="00805442">
        <w:rPr>
          <w:rFonts w:ascii="Times New Roman" w:hAnsi="Times New Roman" w:cs="Times New Roman"/>
          <w:sz w:val="24"/>
        </w:rPr>
        <w:t xml:space="preserve">st et al., 2017; </w:t>
      </w:r>
      <w:r w:rsidRPr="00805442">
        <w:rPr>
          <w:rFonts w:ascii="Times New Roman" w:hAnsi="Times New Roman" w:cs="Times New Roman"/>
          <w:color w:val="212121"/>
          <w:sz w:val="24"/>
        </w:rPr>
        <w:t>Wetzel un Viñuela, 2020</w:t>
      </w:r>
      <w:r w:rsidRPr="00805442">
        <w:rPr>
          <w:rFonts w:ascii="Times New Roman" w:hAnsi="Times New Roman" w:cs="Times New Roman"/>
          <w:sz w:val="24"/>
        </w:rPr>
        <w:t>).</w:t>
      </w:r>
    </w:p>
    <w:p w14:paraId="2C49C234" w14:textId="77777777" w:rsidR="00BC0418" w:rsidRPr="00805442" w:rsidRDefault="00BC0418" w:rsidP="00BC0418">
      <w:pPr>
        <w:pStyle w:val="ListParagraph"/>
        <w:tabs>
          <w:tab w:val="left" w:pos="802"/>
        </w:tabs>
        <w:ind w:left="0"/>
        <w:rPr>
          <w:rFonts w:ascii="Times New Roman" w:hAnsi="Times New Roman" w:cs="Times New Roman"/>
          <w:noProof/>
          <w:sz w:val="24"/>
          <w:szCs w:val="24"/>
        </w:rPr>
      </w:pPr>
    </w:p>
    <w:p w14:paraId="358496CC" w14:textId="344ADE90" w:rsidR="00BC0418" w:rsidRPr="00805442" w:rsidRDefault="00BC0418" w:rsidP="00BC0418">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85. Nozarei specifisku uz sniegumu balstītu dotāciju efektivitāti ir vienkāršāk noteikt salīdzinājumā ar daudznozaru uz sniegumu balstītām dotācijām, kas bieži vien ir saistītas ar beznosacījumu dotācijām.</w:t>
      </w:r>
      <w:r w:rsidRPr="00805442">
        <w:rPr>
          <w:rStyle w:val="FootnoteReference"/>
          <w:rFonts w:ascii="Times New Roman" w:hAnsi="Times New Roman" w:cs="Times New Roman"/>
          <w:noProof/>
          <w:sz w:val="24"/>
          <w:szCs w:val="24"/>
        </w:rPr>
        <w:footnoteReference w:customMarkFollows="1" w:id="89"/>
        <w:t>92</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Pierādījumi galvenokārt liecina par to, ka daudznozaru uz sniegumu balstītās dotācijas nodrošina labākus pašvaldību ikgadējos snieguma rādītājus, vēršot uzmanību uz to, kā tās nodrošina atbilstību plānošanas un publisko finanšu pārvaldības procesiem, nevis uz izmērāmiem uzlabojumiem izdevumu kvalitātē vai pakalpojumu sniegšanas rezultātos.</w:t>
      </w:r>
      <w:r w:rsidRPr="00805442">
        <w:rPr>
          <w:rStyle w:val="FootnoteReference"/>
          <w:rFonts w:ascii="Times New Roman" w:hAnsi="Times New Roman" w:cs="Times New Roman"/>
          <w:noProof/>
          <w:sz w:val="24"/>
          <w:szCs w:val="24"/>
        </w:rPr>
        <w:footnoteReference w:customMarkFollows="1" w:id="90"/>
        <w:t>93</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Lai gan tiek pieņemts, ka uzlabota procesu atbilstība radīs labākus rezultātus, ir maz pārliecinošu pierādījumu par šādu saikni. Tas uzsver nepieciešamību pēc padziļinātākiem pētījumiem. Turklāt pastāv bažas, ka šīs dotācijas var nesamērīgi dot priekšroku jurisdikcijām ar lielāku administratīvo kapacitāti. Līdz šim šo dotāciju uzmanības centrā pārsvarā ir bijusi atbilstības veicināšana finanšu un administratīvajiem standartiem, nevis tieša pakalpojumu sniegšanas kvalitātes uzlabošana (Shotton un Gankhuyag, 2021).</w:t>
      </w:r>
    </w:p>
    <w:p w14:paraId="3D15A7EF" w14:textId="77777777" w:rsidR="00BC0418" w:rsidRPr="00805442" w:rsidRDefault="00BC0418" w:rsidP="00BC0418">
      <w:pPr>
        <w:pStyle w:val="ListParagraph"/>
        <w:tabs>
          <w:tab w:val="left" w:pos="802"/>
        </w:tabs>
        <w:ind w:left="0"/>
        <w:rPr>
          <w:rFonts w:ascii="Times New Roman" w:hAnsi="Times New Roman" w:cs="Times New Roman"/>
          <w:noProof/>
          <w:sz w:val="24"/>
          <w:szCs w:val="24"/>
        </w:rPr>
      </w:pPr>
    </w:p>
    <w:p w14:paraId="32B04D37" w14:textId="52373A84" w:rsidR="00BC0418" w:rsidRPr="00805442" w:rsidRDefault="00BC0418" w:rsidP="001576EF">
      <w:pPr>
        <w:pStyle w:val="ListParagraph"/>
        <w:widowControl/>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86.</w:t>
      </w:r>
      <w:r w:rsidR="001576EF">
        <w:rPr>
          <w:rFonts w:ascii="Times New Roman" w:hAnsi="Times New Roman" w:cs="Times New Roman"/>
          <w:sz w:val="24"/>
        </w:rPr>
        <w:t xml:space="preserve"> </w:t>
      </w:r>
      <w:r w:rsidRPr="00805442">
        <w:rPr>
          <w:rFonts w:ascii="Times New Roman" w:hAnsi="Times New Roman" w:cs="Times New Roman"/>
          <w:sz w:val="24"/>
        </w:rPr>
        <w:t>Tomēr uz sniegumu balstītu dotāciju ieviešana ir saistīta ar zināmiem ierobežojumiem, īpaši attiecībā uz sīku datu pieejamību vietējā vai reģionālā līmenī. Precīzi un sīki dati ir būtiski efektīvai snieguma mērīšanai, taču šādi dati ne vienmēr var būt viegli pieejami vai uzticami, īpaši mazākos vai mazāk attīstītos reģionos. Šis sīkas informācijas trūkums var kavēt precīzu programmas rezultātu un dotāciju vispārējās efektivitātes novērtēšanu. Turklāt šīs dotācijas bieži vien ietver principāla-aģenta problēmu, jo parasti tieši pašvaldību rīcībā ir attiecīgie dati snieguma mērīšanai. Šis scenārijs var izraisīt potenciālus interešu konfliktus, kad pašvaldībai var būt iegansts prezentēt datus tādā veidā, kas labvēlīgi atspoguļo to sniegumu neatkarīgi no faktiskajiem rezultātiem.</w:t>
      </w:r>
      <w:r w:rsidRPr="00805442">
        <w:rPr>
          <w:rStyle w:val="FootnoteReference"/>
          <w:rFonts w:ascii="Times New Roman" w:hAnsi="Times New Roman" w:cs="Times New Roman"/>
          <w:noProof/>
          <w:sz w:val="24"/>
          <w:szCs w:val="24"/>
        </w:rPr>
        <w:footnoteReference w:customMarkFollows="1" w:id="91"/>
        <w:t>94</w:t>
      </w:r>
    </w:p>
    <w:p w14:paraId="7C3FF18D" w14:textId="77777777" w:rsidR="00BC0418" w:rsidRPr="00805442" w:rsidRDefault="00BC0418" w:rsidP="00BC0418">
      <w:pPr>
        <w:pStyle w:val="ListParagraph"/>
        <w:tabs>
          <w:tab w:val="left" w:pos="802"/>
        </w:tabs>
        <w:ind w:left="0"/>
        <w:rPr>
          <w:rFonts w:ascii="Times New Roman" w:hAnsi="Times New Roman" w:cs="Times New Roman"/>
          <w:noProof/>
          <w:sz w:val="24"/>
          <w:szCs w:val="24"/>
        </w:rPr>
      </w:pPr>
    </w:p>
    <w:p w14:paraId="2505C3C3" w14:textId="2CDE2524" w:rsidR="005806F3" w:rsidRPr="00805442" w:rsidRDefault="00BC0418" w:rsidP="005806F3">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87. Turklāt šādas dotācijas var netīši izraisīt nevienlīdzīgu finansējuma sadalījumu. Piemēram, Indijas 13. Centrālās finanšu komisijas darbības periodā</w:t>
      </w:r>
      <w:r w:rsidRPr="00805442">
        <w:rPr>
          <w:rStyle w:val="FootnoteReference"/>
          <w:rFonts w:ascii="Times New Roman" w:hAnsi="Times New Roman" w:cs="Times New Roman"/>
          <w:noProof/>
          <w:sz w:val="24"/>
          <w:szCs w:val="24"/>
        </w:rPr>
        <w:footnoteReference w:customMarkFollows="1" w:id="92"/>
        <w:t>95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pārvedumi veselības nozarei tika balstīti uz uzlabojumiem pašvaldību zīdaiņu mirstības rādītājos, kas izraisīja ievērojamas atšķirības štatiem piešķirtajā finansējumā.</w:t>
      </w:r>
      <w:r w:rsidRPr="00805442">
        <w:rPr>
          <w:rStyle w:val="FootnoteReference"/>
          <w:rFonts w:ascii="Times New Roman" w:hAnsi="Times New Roman" w:cs="Times New Roman"/>
          <w:noProof/>
          <w:sz w:val="24"/>
          <w:szCs w:val="24"/>
        </w:rPr>
        <w:footnoteReference w:customMarkFollows="1" w:id="93"/>
        <w:t>96</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Tas bija tādēļ, ka šajā politikā netika ņemti vērā dažādie izaicinājumi, ar ko štati saskārās, uzlabojot zīdaiņu mirstības rādītājus no sākotnēji noteiktā līmeņa.</w:t>
      </w:r>
      <w:r w:rsidRPr="00805442">
        <w:rPr>
          <w:rStyle w:val="FootnoteReference"/>
          <w:rFonts w:ascii="Times New Roman" w:hAnsi="Times New Roman" w:cs="Times New Roman"/>
          <w:noProof/>
          <w:sz w:val="24"/>
          <w:szCs w:val="24"/>
        </w:rPr>
        <w:footnoteReference w:customMarkFollows="1" w:id="94"/>
        <w:t>97</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Šis piemērs atspoguļo uz sniegumu balstīto dotāciju izstrādes sarežģītību un potenciālos trūkumus.</w:t>
      </w:r>
    </w:p>
    <w:p w14:paraId="01F86AAE" w14:textId="77777777" w:rsidR="005806F3" w:rsidRPr="00805442" w:rsidRDefault="005806F3" w:rsidP="005806F3">
      <w:pPr>
        <w:pStyle w:val="ListParagraph"/>
        <w:tabs>
          <w:tab w:val="left" w:pos="802"/>
        </w:tabs>
        <w:ind w:left="0"/>
        <w:rPr>
          <w:rFonts w:ascii="Times New Roman" w:hAnsi="Times New Roman" w:cs="Times New Roman"/>
          <w:noProof/>
          <w:sz w:val="24"/>
          <w:szCs w:val="24"/>
        </w:rPr>
      </w:pPr>
    </w:p>
    <w:p w14:paraId="4D738C8B" w14:textId="794D32A5" w:rsidR="005806F3" w:rsidRPr="00805442" w:rsidRDefault="005806F3" w:rsidP="005806F3">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88. Šajā kontekstā izaicinājums, lai pienācīgi izmantotu uz sniegumu balstītas dotācijas, ir izveidot saikni starp sniegumu un pakalpojumu rezultātiem vai iznākumiem. Attiecībā uz daudznozaru uz sniegumu balstītām dotācijām pašvaldību pakalpojumu sniegšanas salīdzinošo novērtēšanu sarežģī to piedāvāto pakalpojumu daudzveidība. Līdzīgi, konkrētās dotētās nozarēs rezultātu vai iznākumu rādītājus ir iespējams piemērot, taču tam ir nepieciešami ievērojami priekšdarbi.</w:t>
      </w:r>
      <w:r w:rsidRPr="00805442">
        <w:rPr>
          <w:rStyle w:val="FootnoteReference"/>
          <w:rFonts w:ascii="Times New Roman" w:hAnsi="Times New Roman" w:cs="Times New Roman"/>
          <w:noProof/>
          <w:sz w:val="24"/>
          <w:szCs w:val="24"/>
        </w:rPr>
        <w:footnoteReference w:customMarkFollows="1" w:id="95"/>
        <w:t>98</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Turklāt, pat ja uz sniegumu balstītās dotācijas ir piesaistītas rezultātiem vai iznākumiem, ir būtiski veikt sākotnējos pamatpētījumus, lai nodrošinātu, ka atlīdzība par sasniegumiem ir atbilstoša. Tomēr šos rezultātus var ietekmēt ārpus pašvaldību kontroles esoši faktori, kā dēļ mērījumi, kuru pamatā ir atbilstība noteikumiem, ir viennozīmīgāki un pamatotāki.</w:t>
      </w:r>
    </w:p>
    <w:p w14:paraId="0B55535A" w14:textId="77777777" w:rsidR="005806F3" w:rsidRPr="00805442" w:rsidRDefault="005806F3" w:rsidP="005806F3">
      <w:pPr>
        <w:pStyle w:val="ListParagraph"/>
        <w:tabs>
          <w:tab w:val="left" w:pos="802"/>
        </w:tabs>
        <w:ind w:left="0"/>
        <w:rPr>
          <w:rFonts w:ascii="Times New Roman" w:hAnsi="Times New Roman" w:cs="Times New Roman"/>
          <w:noProof/>
          <w:sz w:val="24"/>
          <w:szCs w:val="24"/>
        </w:rPr>
      </w:pPr>
    </w:p>
    <w:p w14:paraId="3EC61DDB" w14:textId="6BFEE637" w:rsidR="0068352E" w:rsidRPr="00805442" w:rsidRDefault="005806F3" w:rsidP="005806F3">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89. Turklāt uz sniegumu balstīto dotāciju efektivitāte ir atkarīga no papildu atlīdzības atbilstoša apmēra noteikšanas. Nepietiekami uz sniegumu balstīto dotāciju apjomi vai nepareizi kalibrēta sadale var vājināt paredzēto motivējošo ietekmi. Uz sniegumu balstīto dotāciju piešķiršanas formulai jābūt vienkāršai un caurredzamai, ļaujot pašvaldībām skaidrāk saskatīt saikni starp to sniegumu un saņemto atlīdzību. Ir arī būtiski nodrošināt, lai snieguma novērtējumi būtu objektīvi un taisnīgi. Ārēju iestāžu, piemēram, privātu uzņēmumu vai pētniecības iestāžu, piesaiste šo novērtējumu veikšanai var nodrošināt lielāku objektivitāti un budžeta termiņu ievērošanu.</w:t>
      </w:r>
      <w:r w:rsidRPr="00805442">
        <w:rPr>
          <w:rStyle w:val="FootnoteReference"/>
          <w:rFonts w:ascii="Times New Roman" w:hAnsi="Times New Roman" w:cs="Times New Roman"/>
          <w:noProof/>
          <w:sz w:val="24"/>
          <w:szCs w:val="24"/>
        </w:rPr>
        <w:footnoteReference w:customMarkFollows="1" w:id="96"/>
        <w:t>99</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Turklāt uz sniegumu balstīto dotāciju sistēmu ilgtermiņa panākumi ir atkarīgi no centrālās valdības amatpersonu politiskā atbalsta, lai saglabātu dotāciju nodrošināto rezultātu integritāti un novērstu to pašvaldību neapmierinātību, kuras vai nu nesaņem šādas dotācijas, vai apstrīd novērtējuma rezultātu taisnīgumu. Lai gan ir pāragri veikt galīgos secinājumus par uz sniegumu balstīto dotāciju efektivitāti, tās piedāvā daudzsološu virzienu inovācijām fiskālajā politikā, kā dēļ ir vērts īstenot turpmākus izmēģinājumus (Martinez-Vazquez, 2011).</w:t>
      </w:r>
    </w:p>
    <w:p w14:paraId="51743D50" w14:textId="77777777" w:rsidR="0068352E" w:rsidRPr="00805442" w:rsidRDefault="0068352E" w:rsidP="00F92C74">
      <w:pPr>
        <w:pStyle w:val="BodyText"/>
        <w:jc w:val="both"/>
        <w:rPr>
          <w:rFonts w:ascii="Times New Roman" w:hAnsi="Times New Roman" w:cs="Times New Roman"/>
          <w:noProof/>
          <w:sz w:val="24"/>
          <w:szCs w:val="24"/>
        </w:rPr>
      </w:pPr>
    </w:p>
    <w:p w14:paraId="73610F55" w14:textId="2C459703" w:rsidR="0068352E" w:rsidRPr="006675E1" w:rsidRDefault="005806F3" w:rsidP="00453E24">
      <w:pPr>
        <w:pStyle w:val="Heading3"/>
        <w:keepNext/>
        <w:keepLines/>
        <w:tabs>
          <w:tab w:val="left" w:pos="1779"/>
        </w:tabs>
        <w:ind w:left="567" w:firstLine="0"/>
        <w:jc w:val="both"/>
        <w:rPr>
          <w:rFonts w:ascii="Times New Roman" w:hAnsi="Times New Roman" w:cs="Times New Roman"/>
          <w:noProof/>
          <w:sz w:val="28"/>
          <w:szCs w:val="28"/>
        </w:rPr>
      </w:pPr>
      <w:r w:rsidRPr="006675E1">
        <w:rPr>
          <w:rFonts w:ascii="Times New Roman" w:hAnsi="Times New Roman" w:cs="Times New Roman"/>
          <w:sz w:val="28"/>
          <w:szCs w:val="22"/>
        </w:rPr>
        <w:t>5.3. SFP un reģionālās politikas sinerģija</w:t>
      </w:r>
    </w:p>
    <w:p w14:paraId="2E7D7CE0" w14:textId="77777777" w:rsidR="002072C3" w:rsidRPr="00805442" w:rsidRDefault="002072C3" w:rsidP="00453E24">
      <w:pPr>
        <w:pStyle w:val="Heading3"/>
        <w:keepNext/>
        <w:keepLines/>
        <w:tabs>
          <w:tab w:val="left" w:pos="1779"/>
        </w:tabs>
        <w:ind w:left="567" w:firstLine="0"/>
        <w:jc w:val="both"/>
        <w:rPr>
          <w:rFonts w:ascii="Times New Roman" w:hAnsi="Times New Roman" w:cs="Times New Roman"/>
          <w:noProof/>
          <w:sz w:val="24"/>
          <w:szCs w:val="24"/>
        </w:rPr>
      </w:pPr>
    </w:p>
    <w:p w14:paraId="5DFAB6E0" w14:textId="77777777" w:rsidR="005806F3" w:rsidRPr="00805442" w:rsidRDefault="005806F3" w:rsidP="005806F3">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90. Pēdējā laikā akadēmiskās diskusijās ir uzsvērts sabiedrisko preču un pakalpojumu efektīvas sniegšanas un plašāku mērķu, piemēram, reģionālās attīstības un atbilstības valsts </w:t>
      </w:r>
      <w:r w:rsidRPr="00805442">
        <w:rPr>
          <w:rFonts w:ascii="Times New Roman" w:hAnsi="Times New Roman" w:cs="Times New Roman"/>
          <w:sz w:val="24"/>
        </w:rPr>
        <w:lastRenderedPageBreak/>
        <w:t>politikai, līdzsvara panākšanas nozīmīgums. Šajā nolūkā ir jāizstrādā tādi SFP, kas ne tikai veicina pašvaldību pakalpojumu nodrošināšanu, bet arī plašāko mērķu sasniegšanu. Piemēram, pārvedumiem, kas paredzēti atpalikušo reģionu atbalstam, jābūt strukturētiem tā, lai risinātu tūlītējus fiskālos iztrūkumus, vienlaikus veicinot ilgtermiņa ekonomisko izaugsmi un attīstību (Ter-Minassian, 2021).</w:t>
      </w:r>
    </w:p>
    <w:p w14:paraId="0D0D5D82" w14:textId="77777777" w:rsidR="005806F3" w:rsidRPr="00805442" w:rsidRDefault="005806F3" w:rsidP="005806F3">
      <w:pPr>
        <w:pStyle w:val="ListParagraph"/>
        <w:tabs>
          <w:tab w:val="left" w:pos="802"/>
        </w:tabs>
        <w:ind w:left="0"/>
        <w:rPr>
          <w:rFonts w:ascii="Times New Roman" w:hAnsi="Times New Roman" w:cs="Times New Roman"/>
          <w:noProof/>
          <w:sz w:val="24"/>
          <w:szCs w:val="24"/>
        </w:rPr>
      </w:pPr>
    </w:p>
    <w:p w14:paraId="03D6AF63" w14:textId="77777777" w:rsidR="00C649AF" w:rsidRPr="00805442" w:rsidRDefault="005806F3" w:rsidP="00C649AF">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91. Pētot pārvedumu lomu attīstības plaisu mazināšanā starp dažādām jurisdikcijām, fiskālā izlīdzināšana bieži izvirzās priekšplānā, pateicoties tās lomai taisnīguma veicināšanā. Dažkārt fiskālā izlīdzināšana pat tiek sapludināta ar reģionālās attīstības politiku, īpaši valstīs, kur abas ir cieši saistītas fiskālās izlīdzināšanas ietvarā (Dougherty et al., 2022; OECD, 2023). Lai gan fiskālā izlīdzināšana un reģionālās attīstības fondi abi tiek izmantoti teritoriālo atšķirību mazināšanai,</w:t>
      </w:r>
      <w:r w:rsidRPr="00805442">
        <w:rPr>
          <w:rStyle w:val="FootnoteReference"/>
          <w:rFonts w:ascii="Times New Roman" w:hAnsi="Times New Roman" w:cs="Times New Roman"/>
          <w:noProof/>
          <w:sz w:val="24"/>
          <w:szCs w:val="24"/>
        </w:rPr>
        <w:footnoteReference w:customMarkFollows="1" w:id="97"/>
        <w:t>100</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fiskālās izlīdzināšanas sistēmas, neraugoties uz fiskālo plaisu samazināšanu, ne vienmēr efektīvi veicina reģionālo attīstību vai tieši ietekmē reģionālo ienākumu vienlīdzību. Pretstatā tam reģionālās attīstības fondi konkrēti pievēršas reģiona problēmu pamatcēloņiem, piemēram, ienākumu atšķirībām, demogrāfiskajām izmaiņām, deindustrializācijai un prasmju iztrūkumiem, lai izlīdzinātu apstākļus starp dažādām teritorijām un iedzīvotājiem. Tādējādi šo divu politiku stratēģiska saskaņošana piedāvā vispusīgāku stratēģiju valsts mērķu sasniegšanai.</w:t>
      </w:r>
    </w:p>
    <w:p w14:paraId="1DF1EFD4" w14:textId="77777777" w:rsidR="00C649AF" w:rsidRPr="00805442" w:rsidRDefault="00C649AF" w:rsidP="00C649AF">
      <w:pPr>
        <w:pStyle w:val="ListParagraph"/>
        <w:tabs>
          <w:tab w:val="left" w:pos="802"/>
        </w:tabs>
        <w:ind w:left="0"/>
        <w:rPr>
          <w:rFonts w:ascii="Times New Roman" w:hAnsi="Times New Roman" w:cs="Times New Roman"/>
          <w:noProof/>
          <w:sz w:val="24"/>
          <w:szCs w:val="24"/>
        </w:rPr>
      </w:pPr>
    </w:p>
    <w:p w14:paraId="13C0E00A" w14:textId="77777777" w:rsidR="00C649AF" w:rsidRPr="00805442" w:rsidRDefault="00C649AF" w:rsidP="00C649AF">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92. Finanšu pārvedumi ir ārkārtīgi svarīgi resursu pārdalīšanai par labu trūcīgākajiem reģioniem, efektīvi apvienojot fiskālās izlīdzināšanas un reģionālās attīstības centienus. Tomēr šo mehānismu precīzā ietekme uz reģionālo attīstību joprojām nav skaidra. Trūkst pētījumu par to, kā fiskālās izlīdzināšanas sistēmas uzbūve ietekmē reģionālo ekonomisko izaugsmi, un par reģionālo politiku izstrādi, kas varētu palielināt ieguvumus no fiskālās izlīdzināšanas (Padovano, 2007). Tomēr aizvien biežāk priekšroka tiek dota pieejai “katram mērķim savs instruments”, attiecībā uz ko abas politikas aizvien tiek saskaņotas, bet ir savstarpēji nošķirtas (Dougherty un Montes-Nebreda, 2023a).</w:t>
      </w:r>
    </w:p>
    <w:p w14:paraId="16B77B83" w14:textId="77777777" w:rsidR="00C649AF" w:rsidRPr="00805442" w:rsidRDefault="00C649AF" w:rsidP="00C649AF">
      <w:pPr>
        <w:pStyle w:val="ListParagraph"/>
        <w:tabs>
          <w:tab w:val="left" w:pos="802"/>
        </w:tabs>
        <w:ind w:left="0"/>
        <w:rPr>
          <w:rFonts w:ascii="Times New Roman" w:hAnsi="Times New Roman" w:cs="Times New Roman"/>
          <w:noProof/>
          <w:sz w:val="24"/>
          <w:szCs w:val="24"/>
        </w:rPr>
      </w:pPr>
    </w:p>
    <w:p w14:paraId="1740C6DA" w14:textId="57961C8F" w:rsidR="0068352E" w:rsidRPr="00805442" w:rsidRDefault="00C649AF" w:rsidP="00C649AF">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93. Turpmāka izpēte jāsāk ar visaptverošu pētījumu par fiskālās izlīdzināšanas mehānismiem, fiskālajiem instrumentiem un reģionālās attīstības stratēģijām, kas pielāgotas katras valsts konkrētajai situācijai. Šajā pētījumā sīki jāapskata fiskālās izlīdzināšanas metožu īpašības un tvērums, uz reģionālo attīstību vērsto fiskālo instrumentu dažādība un mērogs, kā arī reģionālo ienākumu atšķirību mazināšanai paredzēto reģionālās attīstības politiku iezīmes. Turklāt datubāzes izveide, kas ietvertu gan kvantitatīvos, gan kvalitatīvos izlīdzināšanas mehānismu un fiskālo instrumentu rādītājus, var veicināt sistemātisku pieeju politikas sinerģiju kvantitatīvai novērtēšanai un sniegt ieteikumus izlīdzināšanas mehānismu, fiskālo instrumentu un reģionālās attīstības stratēģiju pilnveidošanai.</w:t>
      </w:r>
    </w:p>
    <w:p w14:paraId="2B195E22" w14:textId="77777777" w:rsidR="0068352E" w:rsidRPr="00805442" w:rsidRDefault="0068352E" w:rsidP="00F92C74">
      <w:pPr>
        <w:pStyle w:val="BodyText"/>
        <w:jc w:val="both"/>
        <w:rPr>
          <w:rFonts w:ascii="Times New Roman" w:hAnsi="Times New Roman" w:cs="Times New Roman"/>
          <w:noProof/>
          <w:sz w:val="24"/>
          <w:szCs w:val="24"/>
        </w:rPr>
      </w:pPr>
    </w:p>
    <w:p w14:paraId="073CF607" w14:textId="22F37801" w:rsidR="0068352E" w:rsidRPr="006675E1" w:rsidRDefault="00C649AF" w:rsidP="00453E24">
      <w:pPr>
        <w:pStyle w:val="Heading3"/>
        <w:keepNext/>
        <w:keepLines/>
        <w:tabs>
          <w:tab w:val="left" w:pos="1779"/>
        </w:tabs>
        <w:ind w:left="567" w:firstLine="0"/>
        <w:jc w:val="both"/>
        <w:rPr>
          <w:rFonts w:ascii="Times New Roman" w:hAnsi="Times New Roman" w:cs="Times New Roman"/>
          <w:noProof/>
          <w:sz w:val="28"/>
          <w:szCs w:val="28"/>
        </w:rPr>
      </w:pPr>
      <w:r w:rsidRPr="006675E1">
        <w:rPr>
          <w:rFonts w:ascii="Times New Roman" w:hAnsi="Times New Roman" w:cs="Times New Roman"/>
          <w:sz w:val="28"/>
          <w:szCs w:val="22"/>
        </w:rPr>
        <w:t>5.4. Pamatnostādnes labklājības uzlabošanai ar SFP uzbūvi</w:t>
      </w:r>
    </w:p>
    <w:p w14:paraId="14894056" w14:textId="77777777" w:rsidR="00C649AF" w:rsidRPr="00805442" w:rsidRDefault="00C649AF" w:rsidP="00453E24">
      <w:pPr>
        <w:pStyle w:val="Heading3"/>
        <w:keepNext/>
        <w:keepLines/>
        <w:tabs>
          <w:tab w:val="left" w:pos="1779"/>
        </w:tabs>
        <w:ind w:left="567" w:firstLine="0"/>
        <w:jc w:val="both"/>
        <w:rPr>
          <w:rFonts w:ascii="Times New Roman" w:hAnsi="Times New Roman" w:cs="Times New Roman"/>
          <w:noProof/>
          <w:sz w:val="24"/>
          <w:szCs w:val="24"/>
        </w:rPr>
      </w:pPr>
    </w:p>
    <w:p w14:paraId="564E19B1" w14:textId="77777777" w:rsidR="00C649AF" w:rsidRPr="00805442" w:rsidRDefault="00C649AF" w:rsidP="00453E24">
      <w:pPr>
        <w:pStyle w:val="ListParagraph"/>
        <w:keepNext/>
        <w:keepLines/>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 xml:space="preserve">94. Zinātniskā literatūra bieži pievēršas tēmai par pamatnostādnēm, kurās tiek novērtēta un uzlabota decentralizētas politikas ietekme uz labklājību, cenšoties integrēt stimulus taisnīguma un efektivitātes celšanai visos pārvaldes līmeņos. Šī attīstībā esošā literatūra pēdējā laikā ir pievērsusies jurisdikciju savstarpējās konkurences dinamikai. Šo centienu centrā ir Pigū nodokļu koncepcija, kurā privātās darbības tiek saskaņotas ar to plašāko ietekmi uz sabiedrību, ar nodokļiem apliekot tās darbības, kas rada negatīvas ārējās ietekmes, un </w:t>
      </w:r>
      <w:r w:rsidRPr="00805442">
        <w:rPr>
          <w:rFonts w:ascii="Times New Roman" w:hAnsi="Times New Roman" w:cs="Times New Roman"/>
          <w:sz w:val="24"/>
        </w:rPr>
        <w:lastRenderedPageBreak/>
        <w:t>subsidējot tās, kas sniedz pozitīvus sabiedriskos ieguvumus.</w:t>
      </w:r>
      <w:r w:rsidRPr="00805442">
        <w:rPr>
          <w:rStyle w:val="FootnoteReference"/>
          <w:rFonts w:ascii="Times New Roman" w:hAnsi="Times New Roman" w:cs="Times New Roman"/>
          <w:noProof/>
          <w:sz w:val="24"/>
          <w:szCs w:val="24"/>
        </w:rPr>
        <w:footnoteReference w:customMarkFollows="1" w:id="98"/>
        <w:t>101</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Šis princips ir vērsts uz to, lai nodrošinātu, ka darbības privātās izmaksas atspoguļo tās patiesās izmaksas sabiedrībai, tādējādi virzot uzvedību uz sabiedrībai labvēlīgiem rezultātiem.</w:t>
      </w:r>
      <w:r w:rsidRPr="00805442">
        <w:rPr>
          <w:rStyle w:val="FootnoteReference"/>
          <w:rFonts w:ascii="Times New Roman" w:hAnsi="Times New Roman" w:cs="Times New Roman"/>
          <w:noProof/>
          <w:sz w:val="24"/>
          <w:szCs w:val="24"/>
        </w:rPr>
        <w:footnoteReference w:customMarkFollows="1" w:id="99"/>
        <w:t>102</w:t>
      </w:r>
    </w:p>
    <w:p w14:paraId="67072DFA" w14:textId="77777777" w:rsidR="00C649AF" w:rsidRPr="00805442" w:rsidRDefault="00C649AF" w:rsidP="00C649AF">
      <w:pPr>
        <w:pStyle w:val="ListParagraph"/>
        <w:tabs>
          <w:tab w:val="left" w:pos="802"/>
        </w:tabs>
        <w:ind w:left="0"/>
        <w:rPr>
          <w:rFonts w:ascii="Times New Roman" w:hAnsi="Times New Roman" w:cs="Times New Roman"/>
          <w:noProof/>
          <w:sz w:val="24"/>
          <w:szCs w:val="24"/>
        </w:rPr>
      </w:pPr>
    </w:p>
    <w:p w14:paraId="65F72966" w14:textId="77777777" w:rsidR="00487254" w:rsidRPr="00805442" w:rsidRDefault="00C649AF" w:rsidP="00487254">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95. Pigū nodokļi tiek piemēroti dažādi, un katrai metodei ir atšķirīga ietekme uz ienākumu sadali. Biežāk izmantotās stratēģijas ietver nodokļa uzlikšanu, lai mazinātu negatīvās ārējās ietekmes vai veicinātu pozitīvu uzvedību, koriģējot darbību subjektīvās izmaksas, lai veicinātu sabiedrībai vēlamākus rezultātus.</w:t>
      </w:r>
      <w:r w:rsidRPr="00805442">
        <w:rPr>
          <w:rStyle w:val="FootnoteReference"/>
          <w:rFonts w:ascii="Times New Roman" w:hAnsi="Times New Roman" w:cs="Times New Roman"/>
          <w:noProof/>
          <w:sz w:val="24"/>
          <w:szCs w:val="24"/>
        </w:rPr>
        <w:footnoteReference w:customMarkFollows="1" w:id="100"/>
        <w:t>103</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Taču to īstenošanu sarežģī tādi izaicinājumi kā nepilnīga informācija un ieviešanas izmaksas. Lai veiksmīgi izmantotu Pigū nodokļus paredzētā efekta panākšanai, ir nepieciešams pārdomāts līdzsvars starp nodokļu līmeni un radītajām uzvedības izmaiņām, kam nepieciešama dziļa izpratne par iesaistīto ekonomisko un sociālo dinamiku. Tādējādi Pigū nodokļu efektivitāte ir atkarīga no precīzas sabiedrisko izmaksu un ieguvumu novērtēšanas un rūpīgas nodokļu mehānisma izstrādes, lai sasniegtu vēlamos sociālos un ekonomiskos mērķus (Shah, 2023).</w:t>
      </w:r>
    </w:p>
    <w:p w14:paraId="461FF04E" w14:textId="77777777" w:rsidR="00487254" w:rsidRPr="00805442" w:rsidRDefault="00487254" w:rsidP="00487254">
      <w:pPr>
        <w:pStyle w:val="ListParagraph"/>
        <w:tabs>
          <w:tab w:val="left" w:pos="802"/>
        </w:tabs>
        <w:ind w:left="0"/>
        <w:rPr>
          <w:rFonts w:ascii="Times New Roman" w:hAnsi="Times New Roman" w:cs="Times New Roman"/>
          <w:noProof/>
          <w:sz w:val="24"/>
          <w:szCs w:val="24"/>
        </w:rPr>
      </w:pPr>
    </w:p>
    <w:p w14:paraId="284884E8" w14:textId="77777777" w:rsidR="00487254" w:rsidRPr="00805442" w:rsidRDefault="00487254" w:rsidP="00487254">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96. Nesenās diskusijās literatūrā, tostarp Agravala [</w:t>
      </w:r>
      <w:r w:rsidRPr="00805442">
        <w:rPr>
          <w:rFonts w:ascii="Times New Roman" w:hAnsi="Times New Roman" w:cs="Times New Roman"/>
          <w:i/>
          <w:iCs/>
          <w:sz w:val="24"/>
        </w:rPr>
        <w:t>Agrawal</w:t>
      </w:r>
      <w:r w:rsidRPr="00805442">
        <w:rPr>
          <w:rFonts w:ascii="Times New Roman" w:hAnsi="Times New Roman" w:cs="Times New Roman"/>
          <w:sz w:val="24"/>
        </w:rPr>
        <w:t>] un citu autoru darbos (2023b), iezīmējas jaunas pamatnostādnes decentralizētas politikas ietekmes uz labklājību izpratnei, īpaši attiecībā uz SFP konkurējošās jurisdikcijās.</w:t>
      </w:r>
      <w:r w:rsidRPr="00805442">
        <w:rPr>
          <w:rStyle w:val="FootnoteReference"/>
          <w:rFonts w:ascii="Times New Roman" w:hAnsi="Times New Roman" w:cs="Times New Roman"/>
          <w:noProof/>
          <w:sz w:val="24"/>
          <w:szCs w:val="24"/>
        </w:rPr>
        <w:footnoteReference w:customMarkFollows="1" w:id="101"/>
        <w:t>104</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Šīs pamatnostādnes balstās uz Dālbi [</w:t>
      </w:r>
      <w:r w:rsidRPr="00805442">
        <w:rPr>
          <w:rFonts w:ascii="Times New Roman" w:hAnsi="Times New Roman" w:cs="Times New Roman"/>
          <w:i/>
          <w:iCs/>
          <w:sz w:val="24"/>
        </w:rPr>
        <w:t>Dahlby</w:t>
      </w:r>
      <w:r w:rsidRPr="00805442">
        <w:rPr>
          <w:rFonts w:ascii="Times New Roman" w:hAnsi="Times New Roman" w:cs="Times New Roman"/>
          <w:sz w:val="24"/>
        </w:rPr>
        <w:t>] (2008) pazīstamo publisko līdzekļu robežizmaksu koncepciju, izmantojot publisko līdzekļu robežvērtību (</w:t>
      </w:r>
      <w:r w:rsidRPr="00805442">
        <w:rPr>
          <w:rFonts w:ascii="Times New Roman" w:hAnsi="Times New Roman" w:cs="Times New Roman"/>
          <w:i/>
          <w:iCs/>
          <w:sz w:val="24"/>
        </w:rPr>
        <w:t>marginal value of public funds</w:t>
      </w:r>
      <w:r w:rsidRPr="00805442">
        <w:rPr>
          <w:rFonts w:ascii="Times New Roman" w:hAnsi="Times New Roman" w:cs="Times New Roman"/>
          <w:sz w:val="24"/>
        </w:rPr>
        <w:t xml:space="preserve"> – </w:t>
      </w:r>
      <w:r w:rsidRPr="00805442">
        <w:rPr>
          <w:rFonts w:ascii="Times New Roman" w:hAnsi="Times New Roman" w:cs="Times New Roman"/>
          <w:i/>
          <w:iCs/>
          <w:sz w:val="24"/>
        </w:rPr>
        <w:t>MVPF</w:t>
      </w:r>
      <w:r w:rsidRPr="00805442">
        <w:rPr>
          <w:rFonts w:ascii="Times New Roman" w:hAnsi="Times New Roman" w:cs="Times New Roman"/>
          <w:sz w:val="24"/>
        </w:rPr>
        <w:t>) un koriģējošā robežpārveduma (</w:t>
      </w:r>
      <w:r w:rsidRPr="00805442">
        <w:rPr>
          <w:rFonts w:ascii="Times New Roman" w:hAnsi="Times New Roman" w:cs="Times New Roman"/>
          <w:i/>
          <w:iCs/>
          <w:sz w:val="24"/>
        </w:rPr>
        <w:t>marginal corrective transfer – MCT</w:t>
      </w:r>
      <w:r w:rsidRPr="00805442">
        <w:rPr>
          <w:rFonts w:ascii="Times New Roman" w:hAnsi="Times New Roman" w:cs="Times New Roman"/>
          <w:sz w:val="24"/>
        </w:rPr>
        <w:t>) koncepciju, lai novērtētu vietējo un federālo valdību lēmumu savstarpējo dinamiku.</w:t>
      </w:r>
    </w:p>
    <w:p w14:paraId="2E7B5762" w14:textId="77777777" w:rsidR="00487254" w:rsidRPr="00805442" w:rsidRDefault="00487254" w:rsidP="00487254">
      <w:pPr>
        <w:pStyle w:val="ListParagraph"/>
        <w:tabs>
          <w:tab w:val="left" w:pos="802"/>
        </w:tabs>
        <w:ind w:left="0"/>
        <w:rPr>
          <w:rFonts w:ascii="Times New Roman" w:hAnsi="Times New Roman" w:cs="Times New Roman"/>
          <w:noProof/>
          <w:sz w:val="24"/>
          <w:szCs w:val="24"/>
        </w:rPr>
      </w:pPr>
    </w:p>
    <w:p w14:paraId="723451A6" w14:textId="77777777" w:rsidR="004836CF" w:rsidRPr="00805442" w:rsidRDefault="00487254" w:rsidP="004836CF">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97. Publisko līdzekļu robežvērtība, kas tiek ņemta vērā gan pašvaldības, gan sabiedrības līmenī, ir būtiska, lai novērtētu publisko izdevumu ieguvumus salīdzinājumā ar līdzekļu piesaistei saistītajām izmaksām.</w:t>
      </w:r>
      <w:r w:rsidRPr="00805442">
        <w:rPr>
          <w:rStyle w:val="FootnoteReference"/>
          <w:rFonts w:ascii="Times New Roman" w:hAnsi="Times New Roman" w:cs="Times New Roman"/>
          <w:noProof/>
          <w:sz w:val="24"/>
          <w:szCs w:val="24"/>
        </w:rPr>
        <w:footnoteReference w:customMarkFollows="1" w:id="102"/>
        <w:t>105</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Koriģējošā robežpārveduma mērķis ir saskaņot šos divus publisko līdzekļu robežvērtības līmeņus, pielāgojot federālos pārvedumus pašvaldībām. Šīs korekcijas mērķis ir novērst labklājības līmeņa nepilnības, ko izraisa decentralizēta lēmumu pieņemšana, neņemot vērā politikas ietekmi uz dažādām jurisdikcijām. Salīdzinot pašvaldības publisko līdzekļu robežvērtību ar sabiedrības mēroga publisko līdzekļu robežvērtību, koriģējošais robežpārvedums ir kvantitatīva un mērķtiecīga metode, lai nodrošinātu, ka pašvaldību darbība saskan ar plašākiem sabiedrības labklājības mērķiem.</w:t>
      </w:r>
      <w:r w:rsidRPr="00805442">
        <w:rPr>
          <w:rStyle w:val="FootnoteReference"/>
          <w:rFonts w:ascii="Times New Roman" w:hAnsi="Times New Roman" w:cs="Times New Roman"/>
          <w:noProof/>
          <w:sz w:val="24"/>
          <w:szCs w:val="24"/>
        </w:rPr>
        <w:footnoteReference w:customMarkFollows="1" w:id="103"/>
        <w:t>106</w:t>
      </w:r>
      <w:r w:rsidRPr="00805442">
        <w:rPr>
          <w:rFonts w:ascii="Times New Roman" w:hAnsi="Times New Roman" w:cs="Times New Roman"/>
          <w:sz w:val="24"/>
          <w:vertAlign w:val="superscript"/>
        </w:rPr>
        <w:t xml:space="preserve"> </w:t>
      </w:r>
      <w:r w:rsidRPr="00805442">
        <w:rPr>
          <w:rFonts w:ascii="Times New Roman" w:hAnsi="Times New Roman" w:cs="Times New Roman"/>
          <w:sz w:val="24"/>
        </w:rPr>
        <w:t xml:space="preserve">Šī metodoloģija piedāvā jaunu skatījumu uz fiskālās politikas novērtēšanu un izstrādi, īpaši federālajās sistēmās, uzsverot to, cik svarīgi ir ņemt vērā ārējo ietekmi un decentralizētās pārvaldības dinamiku. Turklāt koriģējošā robežpārveduma pielāgojamība reālās pasaules politikas scenārijiem izceļ tā nozīmi un pieaugošo interesi par metodoloģiju, kurā pašvaldības darbība </w:t>
      </w:r>
      <w:r w:rsidRPr="00805442">
        <w:rPr>
          <w:rFonts w:ascii="Times New Roman" w:hAnsi="Times New Roman" w:cs="Times New Roman"/>
          <w:sz w:val="24"/>
        </w:rPr>
        <w:lastRenderedPageBreak/>
        <w:t>tiek saskaņota ar sabiedrības labklājības rezultātiem.</w:t>
      </w:r>
      <w:r w:rsidRPr="00805442">
        <w:rPr>
          <w:rStyle w:val="FootnoteReference"/>
          <w:rFonts w:ascii="Times New Roman" w:hAnsi="Times New Roman" w:cs="Times New Roman"/>
          <w:noProof/>
          <w:sz w:val="24"/>
          <w:szCs w:val="24"/>
        </w:rPr>
        <w:footnoteReference w:customMarkFollows="1" w:id="104"/>
        <w:t>107</w:t>
      </w:r>
    </w:p>
    <w:p w14:paraId="4EC45FD7" w14:textId="77777777" w:rsidR="004836CF" w:rsidRPr="00805442" w:rsidRDefault="004836CF" w:rsidP="004836CF">
      <w:pPr>
        <w:pStyle w:val="ListParagraph"/>
        <w:tabs>
          <w:tab w:val="left" w:pos="802"/>
        </w:tabs>
        <w:ind w:left="0"/>
        <w:rPr>
          <w:rFonts w:ascii="Times New Roman" w:hAnsi="Times New Roman" w:cs="Times New Roman"/>
          <w:noProof/>
          <w:sz w:val="24"/>
          <w:szCs w:val="24"/>
        </w:rPr>
      </w:pPr>
    </w:p>
    <w:p w14:paraId="6FF6F0C6" w14:textId="1F50C070" w:rsidR="0068352E" w:rsidRPr="00805442" w:rsidRDefault="004836CF" w:rsidP="004836CF">
      <w:pPr>
        <w:pStyle w:val="ListParagraph"/>
        <w:tabs>
          <w:tab w:val="left" w:pos="802"/>
        </w:tabs>
        <w:ind w:left="0"/>
        <w:rPr>
          <w:rFonts w:ascii="Times New Roman" w:hAnsi="Times New Roman" w:cs="Times New Roman"/>
          <w:noProof/>
          <w:sz w:val="24"/>
          <w:szCs w:val="24"/>
        </w:rPr>
      </w:pPr>
      <w:r w:rsidRPr="00805442">
        <w:rPr>
          <w:rFonts w:ascii="Times New Roman" w:hAnsi="Times New Roman" w:cs="Times New Roman"/>
          <w:sz w:val="24"/>
        </w:rPr>
        <w:t>98. Tomēr šai sistēmai ir ierobežojumi. Piemēram, pie ārkārtīgi lieliem ārējiem efektiem ideālais līdzvērtīgas dotācijas apjoms kļūst bezgalīgs. Tas liecina, ka attiecīgā sabiedriskā pakalpojuma centralizācija varētu būt visefektīvākā pieeja ārējās ietekmes pienācīgai risināšanai. Turklāt optimāla dotāciju apjoma noteikšanai, ja tas ir ierobežots, ir nepieciešams sīks un precīzs attiecīgo elastību novērtējums. Pat ja šādi dati ir to rīcībā, valdības ne vienmēr rīkojas labvēlīgi, tā vietā rīkojoties pašlabuma vai politisku nolūku vadītas (Agrawal et al., 2023a).</w:t>
      </w:r>
    </w:p>
    <w:p w14:paraId="6F7FC0C8" w14:textId="77777777" w:rsidR="0068352E" w:rsidRPr="00805442" w:rsidRDefault="0068352E" w:rsidP="00F92C74">
      <w:pPr>
        <w:pStyle w:val="BodyText"/>
        <w:jc w:val="both"/>
        <w:rPr>
          <w:rFonts w:ascii="Times New Roman" w:hAnsi="Times New Roman" w:cs="Times New Roman"/>
          <w:noProof/>
          <w:sz w:val="24"/>
          <w:szCs w:val="24"/>
        </w:rPr>
      </w:pPr>
    </w:p>
    <w:p w14:paraId="1313A561" w14:textId="519AFDD1" w:rsidR="0068352E" w:rsidRPr="006675E1" w:rsidRDefault="000D032A" w:rsidP="000D032A">
      <w:pPr>
        <w:pStyle w:val="Heading3"/>
        <w:tabs>
          <w:tab w:val="left" w:pos="1779"/>
        </w:tabs>
        <w:ind w:left="567" w:firstLine="0"/>
        <w:jc w:val="both"/>
        <w:rPr>
          <w:rFonts w:ascii="Times New Roman" w:hAnsi="Times New Roman" w:cs="Times New Roman"/>
          <w:noProof/>
          <w:sz w:val="28"/>
          <w:szCs w:val="28"/>
        </w:rPr>
      </w:pPr>
      <w:r w:rsidRPr="006675E1">
        <w:rPr>
          <w:rFonts w:ascii="Times New Roman" w:hAnsi="Times New Roman" w:cs="Times New Roman"/>
          <w:sz w:val="28"/>
          <w:szCs w:val="22"/>
        </w:rPr>
        <w:t>5.5. Starpvaldību fiskālie pārvedumi un inovatīva budžeta veidošanas prakse</w:t>
      </w:r>
    </w:p>
    <w:p w14:paraId="6F1C9435" w14:textId="77777777" w:rsidR="000D032A" w:rsidRPr="00805442" w:rsidRDefault="000D032A" w:rsidP="000D032A">
      <w:pPr>
        <w:pStyle w:val="Heading3"/>
        <w:tabs>
          <w:tab w:val="left" w:pos="1779"/>
        </w:tabs>
        <w:ind w:left="567" w:firstLine="0"/>
        <w:jc w:val="both"/>
        <w:rPr>
          <w:rFonts w:ascii="Times New Roman" w:hAnsi="Times New Roman" w:cs="Times New Roman"/>
          <w:noProof/>
          <w:sz w:val="24"/>
          <w:szCs w:val="24"/>
        </w:rPr>
      </w:pPr>
    </w:p>
    <w:p w14:paraId="0D96DF64"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99. Kā minēts iepriekš, pēdējos gados </w:t>
      </w:r>
      <w:r w:rsidRPr="00805442">
        <w:rPr>
          <w:rFonts w:ascii="Times New Roman" w:hAnsi="Times New Roman" w:cs="Times New Roman"/>
          <w:i/>
          <w:iCs/>
          <w:sz w:val="24"/>
        </w:rPr>
        <w:t>OECD</w:t>
      </w:r>
      <w:r w:rsidRPr="00805442">
        <w:rPr>
          <w:rFonts w:ascii="Times New Roman" w:hAnsi="Times New Roman" w:cs="Times New Roman"/>
          <w:sz w:val="24"/>
        </w:rPr>
        <w:t xml:space="preserve"> valstis nav ieviesušas radikālas inovācijas SFP jomā – galvenokārt politisko sarežģījumu un pretrunīgo interešu dēļ, kas saistītas ar to reformēšanu. Turpretī budžeta veidošanas praksē ir notikuši ievērojami uzlabojumi, sākot no jaunu perspektīvu iekļaušanas tradicionālajās budžeta veidošanas pieejās un metodoloģijās līdz budžeta plāna aptvertā laika perioda paplašināšanai. Ņemot vērā ciešo saikni starp dotācijām un budžetu, inovācijas centrālās vai vispārējās valdības budžeta veidošanas praksē varētu ietekmēt SFP izstrādi. Šajā sadaļā vispirms tiks apskatītas jaunākas inovatīvās budžeta veidošanas prakses, pēc tam sniedzot dažus piemērus tam, kā tās varētu veicināt pārvedumu sistēmu pārveidošanu.</w:t>
      </w:r>
    </w:p>
    <w:p w14:paraId="7E1E8815"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0AC3E44F"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100. Fiskālie pārvedumi un valsts budžets ir dziļi savstarpēji saistīti. Kā paskaidrots 2. sadaļā (4. attēls), centrālo valdību veiktie pārvedumi var veidot līdz pat 90 % pašvaldību ieņēmumu dažās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savukārt atkarība no šādiem pārvedumiem 50% apmērā ir ierasta parādība. Šī ciešā saistība starp dotācijām un budžetu liecina, ka jaunas budžeta veidošanas prakses varētu ietekmēt SFP izstrādi – līdzīgi ietekmei, kas novērota saistībā ar sniegumam piesaistītām dotācijām</w:t>
      </w:r>
      <w:r w:rsidRPr="00805442">
        <w:rPr>
          <w:rStyle w:val="FootnoteReference"/>
          <w:rFonts w:ascii="Times New Roman" w:hAnsi="Times New Roman" w:cs="Times New Roman"/>
          <w:noProof/>
          <w:sz w:val="24"/>
          <w:szCs w:val="24"/>
        </w:rPr>
        <w:footnoteReference w:customMarkFollows="1" w:id="105"/>
        <w:t>108</w:t>
      </w:r>
      <w:r w:rsidRPr="00805442">
        <w:rPr>
          <w:rFonts w:ascii="Times New Roman" w:hAnsi="Times New Roman" w:cs="Times New Roman"/>
          <w:sz w:val="24"/>
        </w:rPr>
        <w:t xml:space="preserve"> (OECD, 2019).</w:t>
      </w:r>
    </w:p>
    <w:p w14:paraId="44D2AA95"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7A95E3A8"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101. Pirmā apskatāmā budžeta veidošanas inovācija ir </w:t>
      </w:r>
      <w:r w:rsidRPr="00805442">
        <w:rPr>
          <w:rFonts w:ascii="Times New Roman" w:hAnsi="Times New Roman" w:cs="Times New Roman"/>
          <w:b/>
          <w:i/>
          <w:sz w:val="24"/>
        </w:rPr>
        <w:t>budžeta veidošana labklājībai</w:t>
      </w:r>
      <w:r w:rsidRPr="00805442">
        <w:rPr>
          <w:rFonts w:ascii="Times New Roman" w:hAnsi="Times New Roman" w:cs="Times New Roman"/>
          <w:sz w:val="24"/>
        </w:rPr>
        <w:t xml:space="preserve">. Šī jaunā metode uzsver sociālo izdevumu nozīmīgumu valsts budžetā, saskaņojot tos ar plašāku labklājības mērīšanas koncepciju, kas aptver vairāk nekā tikai ierastos IKP rādītājus. Tas nozīmē, ka ir svarīgi ne tikai izpētīt, cik daudz publisko izdevumu tiek veltīti konkrētai programmai, bet arī novērtēt publisko izdevumu ietekmi uz iedzīvotāju labklājību ikdienā. Jaunzēlande ir bijusi priekšgājēja šajā jomā, ieviešot ilgtermiņa un uz nākotnes redzējumu balstītu komponentu visā budžeta veidošanas procesā (OECD, 2024). Arī citas </w:t>
      </w:r>
      <w:r w:rsidRPr="00805442">
        <w:rPr>
          <w:rFonts w:ascii="Times New Roman" w:hAnsi="Times New Roman" w:cs="Times New Roman"/>
          <w:i/>
          <w:iCs/>
          <w:sz w:val="24"/>
        </w:rPr>
        <w:t>OECD</w:t>
      </w:r>
      <w:r w:rsidRPr="00805442">
        <w:rPr>
          <w:rFonts w:ascii="Times New Roman" w:hAnsi="Times New Roman" w:cs="Times New Roman"/>
          <w:sz w:val="24"/>
        </w:rPr>
        <w:t xml:space="preserve"> valstis ir sākušas iekļaut labklājības un nevienlīdzības apsvērumus budžeta izstrādes posmos, arvien biežāk izmantojot gan </w:t>
      </w:r>
      <w:r w:rsidRPr="00805442">
        <w:rPr>
          <w:rFonts w:ascii="Times New Roman" w:hAnsi="Times New Roman" w:cs="Times New Roman"/>
          <w:i/>
          <w:sz w:val="24"/>
        </w:rPr>
        <w:t>ex-ante</w:t>
      </w:r>
      <w:r w:rsidRPr="00805442">
        <w:rPr>
          <w:rFonts w:ascii="Times New Roman" w:hAnsi="Times New Roman" w:cs="Times New Roman"/>
          <w:sz w:val="24"/>
        </w:rPr>
        <w:t xml:space="preserve">, gan </w:t>
      </w:r>
      <w:r w:rsidRPr="00805442">
        <w:rPr>
          <w:rFonts w:ascii="Times New Roman" w:hAnsi="Times New Roman" w:cs="Times New Roman"/>
          <w:i/>
          <w:sz w:val="24"/>
        </w:rPr>
        <w:t xml:space="preserve">ex-post </w:t>
      </w:r>
      <w:r w:rsidRPr="00805442">
        <w:rPr>
          <w:rFonts w:ascii="Times New Roman" w:hAnsi="Times New Roman" w:cs="Times New Roman"/>
          <w:sz w:val="24"/>
        </w:rPr>
        <w:t>nevienlīdzības analīzes. Pašvaldību līmenī Velsas 2015. gada “Future Generations Act” [Nākotnes paaudžu likums] izceļams kā labklājības budžeta piemērs, kas vērsts uz jauniešiem, visiem Velsā pieņemtajiem tiesību aktiem veicot “jauniešu pārbaudi” (Future Generations Commissioner for Wales, 2015).</w:t>
      </w:r>
    </w:p>
    <w:p w14:paraId="650884A6"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1FB32BAE"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102. Otrkārt, </w:t>
      </w:r>
      <w:r w:rsidRPr="00805442">
        <w:rPr>
          <w:rFonts w:ascii="Times New Roman" w:hAnsi="Times New Roman" w:cs="Times New Roman"/>
          <w:b/>
          <w:i/>
          <w:sz w:val="24"/>
        </w:rPr>
        <w:t xml:space="preserve">zaļajā budžeta plānošanā </w:t>
      </w:r>
      <w:r w:rsidRPr="00805442">
        <w:rPr>
          <w:rFonts w:ascii="Times New Roman" w:hAnsi="Times New Roman" w:cs="Times New Roman"/>
          <w:sz w:val="24"/>
        </w:rPr>
        <w:t xml:space="preserve">tiek integrēta un izvērtēta budžeta un fiskālās </w:t>
      </w:r>
      <w:r w:rsidRPr="00805442">
        <w:rPr>
          <w:rFonts w:ascii="Times New Roman" w:hAnsi="Times New Roman" w:cs="Times New Roman"/>
          <w:sz w:val="24"/>
        </w:rPr>
        <w:lastRenderedPageBreak/>
        <w:t xml:space="preserve">politikas ietekme uz klimatu un vidi, saskaņojot to ar valsts un starptautiskajām saistībām vides jomā (Blazey un Lelong, 2022). Kopā ar dzimumu līdztiesības budžeta plānošanu šī pieeja ir visplašāk izmantotā no šajā sadaļā uzskaitītajām. Līdz 2022. gadam divas trešdaļas </w:t>
      </w:r>
      <w:r w:rsidRPr="00805442">
        <w:rPr>
          <w:rFonts w:ascii="Times New Roman" w:hAnsi="Times New Roman" w:cs="Times New Roman"/>
          <w:i/>
          <w:iCs/>
          <w:sz w:val="24"/>
        </w:rPr>
        <w:t>OECD</w:t>
      </w:r>
      <w:r w:rsidRPr="00805442">
        <w:rPr>
          <w:rFonts w:ascii="Times New Roman" w:hAnsi="Times New Roman" w:cs="Times New Roman"/>
          <w:sz w:val="24"/>
        </w:rPr>
        <w:t xml:space="preserve"> valstu bija ieviesušas zaļā budžeta plānošanas instrumentus savās sistēmās. Šī pieeja arī strauji izplatās, jo vienpadsmit jaunas valstis pievienojās šai tendencei tikai viena gada laikā – no 2021. līdz 2022. gadam (OECD, 2022), atspoguļojot pieaugošo izpratni par klimata pārmaiņu jautājumiem. Lai gan lielākoties zaļā budžeta plānošana tiek veikta centrālajā līmenī, ir arī piemēri tam, ka to ieviesušas reģionālās pārvaldes (OECD, 2023a).</w:t>
      </w:r>
    </w:p>
    <w:p w14:paraId="7D4B71B9"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5B5C5E3D"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103. Treškārt, ar </w:t>
      </w:r>
      <w:r w:rsidRPr="00805442">
        <w:rPr>
          <w:rFonts w:ascii="Times New Roman" w:hAnsi="Times New Roman" w:cs="Times New Roman"/>
          <w:b/>
          <w:i/>
          <w:sz w:val="24"/>
        </w:rPr>
        <w:t xml:space="preserve">dzimumu līdztiesības budžeta plānošanas </w:t>
      </w:r>
      <w:r w:rsidRPr="00805442">
        <w:rPr>
          <w:rFonts w:ascii="Times New Roman" w:hAnsi="Times New Roman" w:cs="Times New Roman"/>
          <w:sz w:val="24"/>
        </w:rPr>
        <w:t xml:space="preserve">palīdzību valdības var identificēt budžeta pasākumus, kas veicina dzimumu līdztiesību. Šī pieeja var palīdzēt novērst dzimumu aizspriedumus valdības lēmumu pieņemšanas procesos un identificēt veidus, kā virzīties uz reālu dzimumu līdztiesību (OECD, 2023b). Līdzīgi kā zaļā budžeta plānošana, arī šī pieeja ir strauji izplatījusies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Līdz 2022. gadam gandrīz divas trešdaļas no tām bija ieviesušas atsevišķus dzimumu līdztiesības budžeta plānošanas elementus, salīdzinot ar tikai vienu trešdaļu 2016. gadā (Gatt Rapa un Nicol, tiks publicēts).</w:t>
      </w:r>
    </w:p>
    <w:p w14:paraId="48EB54A8"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273C077B"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104. Visbeidzot, pēdējā jaunā budžeta veidošanas tendence neattiecas uz saturu, bet gan uz laika ietvaru. </w:t>
      </w:r>
      <w:r w:rsidRPr="00805442">
        <w:rPr>
          <w:rFonts w:ascii="Times New Roman" w:hAnsi="Times New Roman" w:cs="Times New Roman"/>
          <w:b/>
          <w:i/>
          <w:sz w:val="24"/>
        </w:rPr>
        <w:t xml:space="preserve">Daudzgadu budžeta plānošanas </w:t>
      </w:r>
      <w:r w:rsidRPr="00805442">
        <w:rPr>
          <w:rFonts w:ascii="Times New Roman" w:hAnsi="Times New Roman" w:cs="Times New Roman"/>
          <w:sz w:val="24"/>
        </w:rPr>
        <w:t>stratēģijas paplašina ierasto publisko budžetu gada ietvaru, nosakot ilgtermiņa perspektīvu (Moretti et al., 2023). Šī metode veicina budžeta stabilitāti un finansiālo ilgtspēju, jo tā ļauj valdībām plānot un labāk sagatavoties nākotnes izaicinājumiem, kas ietekmē nepieciešamos izdevumus, kā arī ieņēmumu kapacitāti, piemēram, novecošanas vai klimata pārmaiņu megatendencēm. Daudzgadu budžeta plānošanas stratēģiju izvēršot ļoti ilgā termiņā, ir jāveic arī prognozēšana. Tāpat kā šajā sadaļā aplūkotās tendences, arī atbilstošas spējas šīs stratēģijas īstenošanai ir pārsvarā centrālajai valdībai. Īstenošana pašvaldību līmenī var būt izaicinoša, jo īpaši tāpēc, ka centrālās valdības ne vienmēr sniedz savlaicīgu informāciju par pārvedumiem pašvaldībām. Tomēr pastāv daži pašvaldību piemēri, piemēram, Katalonija (Spānija), kur reģionālā administrācija ir kļuvusi par celmlauzi daudzgadu budžeta plānošanā (Baños-Rovira, 2024).</w:t>
      </w:r>
    </w:p>
    <w:p w14:paraId="6F6F9065"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5442C620" w14:textId="77777777" w:rsidR="000D032A" w:rsidRPr="00805442" w:rsidRDefault="000D032A" w:rsidP="00453E24">
      <w:pPr>
        <w:pStyle w:val="ListParagraph"/>
        <w:widowControl/>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105. Bet kā šos jauninājumus varētu attiecināt uz SFP? Tie varētu būt pirmais solis, lai skaidrāk iekļautu labklājības, zaļos, dzimumu līdztiesības un ilgtermiņa mērķus SFP ietvaros. Piemēram, iekļaujot saistītos mainīgos pārvedumu piešķiršanas formulās, kā tas aizsākts ar ekoloģiskajiem fiskālajiem pārvedumiem. Pastāv divi galvenie veidi šo rezultātu realizēšanai. No vienas puses, jaunās budžeta plānošanas prakses veicina izpratni par minētajiem jautājumiem valdībās un arī pašvaldībās, kuras jau ir sākušas tās iekļaut savos publiskajos pārskatos. Līdz ar to jāsamazinās pašvaldību pretestībai centrālās valdības priekšlikumiem iekļaut šos aspektus SFP reformās. Potenciālās pretestības risināšana ir ļoti būtiska, jo īpaši tad, ja atsevišķas jurisdikcijas pēc reformas varētu nonākt finansiāli nelabvēlīgākā situācijā. Turklāt budžeta plānošanas prakse ne tikai veicina izpratni valdībās, bet arī sabiedrībā, kas varētu labāk izprast SFP reformu ieteiktajā nozīmē, ņemot vērā gadiem ilgu pieredzi, piemēram, ar zaļās budžeta plānošanas vai dzimumu līdztiesības budžeta plānošanas pieeju, izvairoties no negatīvās ietekmes, iedzīvotājiem pēkšņi konstatējot, ka viņu vietējai/reģionālajai pārvaldei piešķirtie pārvedumi ir mainījušies.</w:t>
      </w:r>
    </w:p>
    <w:p w14:paraId="3F81184E"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44950843"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106. No otras puses, jauno budžeta plānošanas prakšu ieviešana ikdienas darbā varētu pavērt ceļu SFP reformām, nodrošinot nepieciešamos datus. Kā jau tika apspriests attiecībā uz pārvedumiem, kuru pamatā ir sniegums, iekļaujot formulās labklājības, vides vai dzimumu līdztiesības mainīgos, ir nepieciešams liels datu apjoms. Apvienojumā ar nepieciešamību pēc politiskā un sabiedrības atbalsta šī sarežģītība rada nopietnu izaicinājumu (Montes-Nebreda, </w:t>
      </w:r>
      <w:r w:rsidRPr="00805442">
        <w:rPr>
          <w:rFonts w:ascii="Times New Roman" w:hAnsi="Times New Roman" w:cs="Times New Roman"/>
          <w:sz w:val="24"/>
        </w:rPr>
        <w:lastRenderedPageBreak/>
        <w:t>2023b). Tomēr, vispirms jauno budžeta plānošanas praksi ieviešot pašvaldību līmenī, tiktu nodrošināta datu pieejamība.</w:t>
      </w:r>
    </w:p>
    <w:p w14:paraId="2E92849E"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3FC27361" w14:textId="719E82F5" w:rsidR="0068352E"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107. Rezumējot – galveno politikas mērķu, piemēram, sociālās labklājības, dzimumu līdztiesības vai ekoloģiskās pārejas, sasaistīšana ar SFP sistēmām varētu veicināt starptautisko un valstu darba kārtību saskaņošanu un sasniegt izvirzītos mērķus, pateicoties nostiprinātām pašvaldību spējām un pārdomātākām stimulu shēmām (Lopez-Laborda et al., 2023). Finansējuma piešķiršanas sasaiste ar rezultātiem šajās jomās varētu sniegt spēcīgāku signālu nekā tikai budžeta plānošanas prakse, iezīmējot to kā pirmo soli ceļā uz plašāku fiskālo reformu.</w:t>
      </w:r>
    </w:p>
    <w:p w14:paraId="6E71DF90" w14:textId="77777777" w:rsidR="000D032A" w:rsidRDefault="000D032A" w:rsidP="000D032A">
      <w:pPr>
        <w:pStyle w:val="Heading1"/>
        <w:tabs>
          <w:tab w:val="left" w:pos="439"/>
        </w:tabs>
        <w:ind w:left="0"/>
        <w:rPr>
          <w:rFonts w:ascii="Times New Roman" w:hAnsi="Times New Roman" w:cs="Times New Roman"/>
          <w:noProof/>
          <w:color w:val="4D81BD"/>
          <w:sz w:val="24"/>
          <w:szCs w:val="24"/>
        </w:rPr>
      </w:pPr>
    </w:p>
    <w:p w14:paraId="74114C48" w14:textId="77777777" w:rsidR="00453E24" w:rsidRPr="00805442" w:rsidRDefault="00453E24" w:rsidP="000D032A">
      <w:pPr>
        <w:pStyle w:val="Heading1"/>
        <w:tabs>
          <w:tab w:val="left" w:pos="439"/>
        </w:tabs>
        <w:ind w:left="0"/>
        <w:rPr>
          <w:rFonts w:ascii="Times New Roman" w:hAnsi="Times New Roman" w:cs="Times New Roman"/>
          <w:noProof/>
          <w:color w:val="4D81BD"/>
          <w:sz w:val="24"/>
          <w:szCs w:val="24"/>
        </w:rPr>
      </w:pPr>
    </w:p>
    <w:p w14:paraId="6FE93734" w14:textId="2752250E" w:rsidR="0068352E" w:rsidRPr="00805442" w:rsidRDefault="000D032A" w:rsidP="000D032A">
      <w:pPr>
        <w:pStyle w:val="Heading1"/>
        <w:tabs>
          <w:tab w:val="left" w:pos="439"/>
        </w:tabs>
        <w:ind w:left="0"/>
        <w:rPr>
          <w:rFonts w:ascii="Times New Roman" w:hAnsi="Times New Roman" w:cs="Times New Roman"/>
          <w:noProof/>
          <w:color w:val="4D81BD"/>
          <w:sz w:val="28"/>
          <w:szCs w:val="28"/>
        </w:rPr>
      </w:pPr>
      <w:r w:rsidRPr="00805442">
        <w:rPr>
          <w:rFonts w:ascii="Times New Roman" w:hAnsi="Times New Roman" w:cs="Times New Roman"/>
          <w:color w:val="4D81BD"/>
          <w:sz w:val="28"/>
        </w:rPr>
        <w:t>6. Secinājumi</w:t>
      </w:r>
    </w:p>
    <w:p w14:paraId="60F7B42F" w14:textId="77777777" w:rsidR="0068352E" w:rsidRPr="00805442" w:rsidRDefault="0068352E" w:rsidP="00F92C74">
      <w:pPr>
        <w:pStyle w:val="BodyText"/>
        <w:jc w:val="both"/>
        <w:rPr>
          <w:rFonts w:ascii="Times New Roman" w:hAnsi="Times New Roman" w:cs="Times New Roman"/>
          <w:b/>
          <w:noProof/>
          <w:sz w:val="24"/>
          <w:szCs w:val="24"/>
        </w:rPr>
      </w:pPr>
    </w:p>
    <w:p w14:paraId="6D9A6557"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108. Pēdējos gados SFP jomā nav vērojamas tādas inovācijas, kādas bija redzamas fiskālā federālisma un decentralizācijas reformu ietvaros iepriekšējās desmitgadēs. Šo stagnāciju varētu skaidrot ar vēl tikai nesen īstenoto programmu konsolidāciju, kā arī ar politiskajiem izaicinājumiem, cenšoties panākt vienprātību šajā jautājumā. Tomēr SFP joprojām ir izšķiroša loma pašvaldību fiskālo atšķirību mazināšanā. Neraugoties uz zināmu nodokļu autonomijas līmeni, šīs pašvaldības lielā mērā ir atkarīgas no centrālās valdības dotācijām, lai nodrošinātu pamatpakalpojumus, piemēram, izglītību un veselības aprūpi.</w:t>
      </w:r>
    </w:p>
    <w:p w14:paraId="349981C7"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05213879"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109. Ir plaši atzīts, ka SFP ir ļoti specifiski katras valsts situācijā (Lago et al., 2024b). Lai gan to pamatā var būt teorētiskajā literatūrā sniegtas kopīgas definīcijas un ieteikumi, to faktisko īstenošanu būtiski ietekmē katras valsts politiskā kultūra un institucionālās tradīcijas. Šis ziņojums atspoguļo dihotomiju starp kopīgajiem teorētiskajiem pamatiem un unikālajām SFP praksēm, analizējot tās, sākot no praktiskās īstenošanas 2. sadaļā līdz teorētiskām diskusijām 3. un 4. sadaļā.</w:t>
      </w:r>
    </w:p>
    <w:p w14:paraId="60DCD028"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36A01EF1"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110. Praksē nesenie notikumi, piemēram, Covid-19 pandēmija, ir atstājuši ietekmi uz </w:t>
      </w:r>
      <w:r w:rsidRPr="00805442">
        <w:rPr>
          <w:rFonts w:ascii="Times New Roman" w:hAnsi="Times New Roman" w:cs="Times New Roman"/>
          <w:i/>
          <w:sz w:val="24"/>
        </w:rPr>
        <w:t xml:space="preserve">status quo </w:t>
      </w:r>
      <w:r w:rsidRPr="00805442">
        <w:rPr>
          <w:rFonts w:ascii="Times New Roman" w:hAnsi="Times New Roman" w:cs="Times New Roman"/>
          <w:sz w:val="24"/>
        </w:rPr>
        <w:t>SFP jomā. Tomēr joprojām nav skaidrs, vai šīs izmaiņas būs pastāvīgas vai arī pēcpandēmijas apstākļi lielā mērā līdzināsies situācijai pirms pandēmijas. Datu analīzi šajā dokumentā atviegloja izstrādātais jaunais Fiskālās decentralizācijas datubāzes paplašinājums, pirmo reizi desmit gadu laikā atjauninot datubāzi ar jauniem datiem par pārvedumiem dalījumā pa pārvaldes funkcijām. Teorētiski ziņojums iedziļinās galvenajos mērķos un dilemmās, ar kurām politikas veidotāji saskaras, izstrādājot dotāciju sistēmas. Tajā arī tiek izvērsta iepriekšējā SFP klasifikācijas un sniegti ieteikumi par instrumentu izvēli, pamatojoties uz vēlamajiem stimuliem pašvaldībām.</w:t>
      </w:r>
    </w:p>
    <w:p w14:paraId="3D1C6F1D" w14:textId="77777777" w:rsidR="000D032A" w:rsidRPr="00805442" w:rsidRDefault="000D032A" w:rsidP="000D032A">
      <w:pPr>
        <w:pStyle w:val="ListParagraph"/>
        <w:tabs>
          <w:tab w:val="left" w:pos="801"/>
        </w:tabs>
        <w:ind w:left="0"/>
        <w:rPr>
          <w:rFonts w:ascii="Times New Roman" w:hAnsi="Times New Roman" w:cs="Times New Roman"/>
          <w:noProof/>
          <w:sz w:val="24"/>
          <w:szCs w:val="24"/>
        </w:rPr>
      </w:pPr>
    </w:p>
    <w:p w14:paraId="5A279F1A" w14:textId="0BE6B070" w:rsidR="0068352E" w:rsidRPr="00805442" w:rsidRDefault="000D032A" w:rsidP="00453E24">
      <w:pPr>
        <w:pStyle w:val="ListParagraph"/>
        <w:keepNext/>
        <w:keepLines/>
        <w:tabs>
          <w:tab w:val="left" w:pos="801"/>
        </w:tabs>
        <w:ind w:left="0"/>
        <w:rPr>
          <w:rFonts w:ascii="Times New Roman" w:hAnsi="Times New Roman" w:cs="Times New Roman"/>
          <w:noProof/>
          <w:sz w:val="24"/>
          <w:szCs w:val="24"/>
        </w:rPr>
      </w:pPr>
      <w:r w:rsidRPr="00805442">
        <w:rPr>
          <w:rFonts w:ascii="Times New Roman" w:hAnsi="Times New Roman" w:cs="Times New Roman"/>
          <w:sz w:val="24"/>
        </w:rPr>
        <w:t xml:space="preserve">111. Papildus tam ir arī identificētas jaunākās tendences SFP jomā. Lai gan šīs tendences vēl nav izraisījušas būtisku SFP pārveidi galvenokārt to ierobežotās darbības jomas vai ieviešanas </w:t>
      </w:r>
      <w:r w:rsidRPr="00805442">
        <w:rPr>
          <w:rFonts w:ascii="Times New Roman" w:hAnsi="Times New Roman" w:cs="Times New Roman"/>
          <w:i/>
          <w:iCs/>
          <w:sz w:val="24"/>
        </w:rPr>
        <w:t>OECD</w:t>
      </w:r>
      <w:r w:rsidRPr="00805442">
        <w:rPr>
          <w:rFonts w:ascii="Times New Roman" w:hAnsi="Times New Roman" w:cs="Times New Roman"/>
          <w:sz w:val="24"/>
        </w:rPr>
        <w:t xml:space="preserve"> valstīs dēļ, turpmākajos gados tās varētu kļūt aizvien nozīmīgākas. Tas ir īpaši ticami, ņemot vērā pieaugošo izpratni par fiskālās ilgtspējas un ekonomiskās efektivitātes nepieciešamību, kā arī plašākas bažas par sociālo labklājību, nevienlīdzību un vides un klimata problēmu radītajiem izaicinājumiem.</w:t>
      </w:r>
    </w:p>
    <w:p w14:paraId="0864CE18" w14:textId="77777777" w:rsidR="007A53A0" w:rsidRPr="00805442" w:rsidRDefault="007A53A0">
      <w:pPr>
        <w:rPr>
          <w:rFonts w:ascii="Times New Roman" w:eastAsia="Arial Narrow" w:hAnsi="Times New Roman" w:cs="Times New Roman"/>
          <w:b/>
          <w:bCs/>
          <w:noProof/>
          <w:color w:val="4D81BD"/>
          <w:sz w:val="24"/>
          <w:szCs w:val="24"/>
        </w:rPr>
      </w:pPr>
      <w:r w:rsidRPr="00805442">
        <w:rPr>
          <w:rFonts w:ascii="Times New Roman" w:hAnsi="Times New Roman" w:cs="Times New Roman"/>
        </w:rPr>
        <w:br w:type="page"/>
      </w:r>
    </w:p>
    <w:p w14:paraId="00A00FD7" w14:textId="022CB693" w:rsidR="0068352E" w:rsidRPr="00453E24" w:rsidRDefault="0068352E" w:rsidP="00F92C74">
      <w:pPr>
        <w:pStyle w:val="Heading1"/>
        <w:ind w:left="0"/>
        <w:jc w:val="both"/>
        <w:rPr>
          <w:rFonts w:ascii="Times New Roman" w:hAnsi="Times New Roman" w:cs="Times New Roman"/>
          <w:noProof/>
          <w:color w:val="4D81BD"/>
          <w:sz w:val="28"/>
          <w:szCs w:val="28"/>
        </w:rPr>
      </w:pPr>
      <w:r w:rsidRPr="00453E24">
        <w:rPr>
          <w:rFonts w:ascii="Times New Roman" w:hAnsi="Times New Roman" w:cs="Times New Roman"/>
          <w:color w:val="4D81BD"/>
          <w:sz w:val="28"/>
          <w:szCs w:val="24"/>
        </w:rPr>
        <w:lastRenderedPageBreak/>
        <w:t>Atsauces</w:t>
      </w:r>
    </w:p>
    <w:p w14:paraId="178C68C6" w14:textId="77777777" w:rsidR="0068352E" w:rsidRPr="00805442" w:rsidRDefault="0068352E" w:rsidP="00453E24">
      <w:pPr>
        <w:pStyle w:val="BodyText"/>
        <w:jc w:val="both"/>
        <w:rPr>
          <w:rFonts w:ascii="Times New Roman" w:hAnsi="Times New Roman" w:cs="Times New Roman"/>
          <w:b/>
          <w:noProof/>
          <w:sz w:val="24"/>
          <w:szCs w:val="24"/>
        </w:rPr>
      </w:pPr>
    </w:p>
    <w:p w14:paraId="009C3A38"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Agrawal, D. R., Brueckner, J., &amp; Brülhart, M. (2023a), </w:t>
      </w:r>
      <w:r w:rsidRPr="00805442">
        <w:rPr>
          <w:rFonts w:ascii="Times New Roman" w:hAnsi="Times New Roman" w:cs="Times New Roman"/>
          <w:i/>
          <w:sz w:val="24"/>
        </w:rPr>
        <w:t>Fiscal Federalism in the 21st Century</w:t>
      </w:r>
      <w:r w:rsidRPr="00805442">
        <w:rPr>
          <w:rFonts w:ascii="Times New Roman" w:hAnsi="Times New Roman" w:cs="Times New Roman"/>
          <w:sz w:val="24"/>
        </w:rPr>
        <w:t>. CES Ifo working paper. https://sites.socsci.uci.edu/~jkbrueck/Federalism.pdf.</w:t>
      </w:r>
    </w:p>
    <w:p w14:paraId="04721D7F" w14:textId="0DF484F2"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Agrawal, D. R., Hoyt, W. H., &amp; Ly, T. (2023b), </w:t>
      </w:r>
      <w:r w:rsidRPr="00805442">
        <w:rPr>
          <w:rFonts w:ascii="Times New Roman" w:hAnsi="Times New Roman" w:cs="Times New Roman"/>
          <w:i/>
          <w:sz w:val="24"/>
        </w:rPr>
        <w:t>A New Approach to Evaluating the Welfare Effects of Decentralised Policies</w:t>
      </w:r>
      <w:r w:rsidRPr="00805442">
        <w:rPr>
          <w:rFonts w:ascii="Times New Roman" w:hAnsi="Times New Roman" w:cs="Times New Roman"/>
          <w:sz w:val="24"/>
        </w:rPr>
        <w:t>. Mimeo: University of Kentucky and NBER. Pieejams SSRN: https://ssrn.com/abstract=4009872 vai http://dx.doi.org/10.2139/ssrn.4009872.</w:t>
      </w:r>
    </w:p>
    <w:p w14:paraId="28E2543D" w14:textId="7A4D71D1"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Agrawal, D. R., Poterba, J. M., &amp; Zidar, O. M. (2024), </w:t>
      </w:r>
      <w:r w:rsidRPr="00805442">
        <w:rPr>
          <w:rFonts w:ascii="Times New Roman" w:hAnsi="Times New Roman" w:cs="Times New Roman"/>
          <w:i/>
          <w:sz w:val="24"/>
        </w:rPr>
        <w:t xml:space="preserve">Policy Responses to Tax Competition </w:t>
      </w:r>
      <w:r w:rsidRPr="00805442">
        <w:rPr>
          <w:rFonts w:ascii="Times New Roman" w:hAnsi="Times New Roman" w:cs="Times New Roman"/>
          <w:sz w:val="24"/>
        </w:rPr>
        <w:t>(No. agra-3), National Bureau of Economic Research. Working Paper n. 32090. DOI: 10.3386/w32090. https://www.nber.org/papers/w32090.</w:t>
      </w:r>
    </w:p>
    <w:p w14:paraId="0DC66D3E" w14:textId="1B1609CB" w:rsidR="0068352E" w:rsidRPr="00805442" w:rsidRDefault="0068352E" w:rsidP="00453E24">
      <w:pPr>
        <w:tabs>
          <w:tab w:val="left" w:pos="1940"/>
          <w:tab w:val="left" w:pos="3834"/>
          <w:tab w:val="left" w:pos="5479"/>
          <w:tab w:val="left" w:pos="6821"/>
          <w:tab w:val="left" w:pos="8446"/>
        </w:tabs>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Aldasoro, I., &amp; Seiferling, M. M. (2014), </w:t>
      </w:r>
      <w:r w:rsidRPr="00805442">
        <w:rPr>
          <w:rFonts w:ascii="Times New Roman" w:hAnsi="Times New Roman" w:cs="Times New Roman"/>
          <w:i/>
          <w:sz w:val="24"/>
        </w:rPr>
        <w:t>Vertical fiscal imbalances and the accumulation of government debt</w:t>
      </w:r>
      <w:r w:rsidRPr="00805442">
        <w:rPr>
          <w:rFonts w:ascii="Times New Roman" w:hAnsi="Times New Roman" w:cs="Times New Roman"/>
          <w:sz w:val="24"/>
        </w:rPr>
        <w:t>. International Monetary Fund. https://data.imf.org/api/document/download?key=60941304.</w:t>
      </w:r>
    </w:p>
    <w:p w14:paraId="1059A17E"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Allain-Dupré, D. (2018) “Assigning responsibilities across levels of government: Trends, challenges and guidelines for policy-makers”, </w:t>
      </w:r>
      <w:r w:rsidRPr="00805442">
        <w:rPr>
          <w:rFonts w:ascii="Times New Roman" w:hAnsi="Times New Roman" w:cs="Times New Roman"/>
          <w:i/>
          <w:sz w:val="24"/>
        </w:rPr>
        <w:t>OECD Working Papers on Fiscal Federalism</w:t>
      </w:r>
      <w:r w:rsidRPr="00805442">
        <w:rPr>
          <w:rFonts w:ascii="Times New Roman" w:hAnsi="Times New Roman" w:cs="Times New Roman"/>
          <w:sz w:val="24"/>
        </w:rPr>
        <w:t>, No. 24, OECD Publishing, Paris, https://doi.org/10.1787/f0944eae-en.</w:t>
      </w:r>
    </w:p>
    <w:p w14:paraId="59951A91"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Alesina, A., &amp; Spolaore, E. (2005), The size of nations. MIT Press. https://mitpress.mit.edu/9780262511872/the-size-of-nations/</w:t>
      </w:r>
    </w:p>
    <w:p w14:paraId="48290491"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Ambrosanio, F., &amp; Bordignon, M. (2015), 10. Normative versus positive theories of revenue assignments in federations. </w:t>
      </w:r>
      <w:r w:rsidRPr="00805442">
        <w:rPr>
          <w:rFonts w:ascii="Times New Roman" w:hAnsi="Times New Roman" w:cs="Times New Roman"/>
          <w:i/>
          <w:sz w:val="24"/>
        </w:rPr>
        <w:t>Handbook of multilevel finance</w:t>
      </w:r>
      <w:r w:rsidRPr="00805442">
        <w:rPr>
          <w:rFonts w:ascii="Times New Roman" w:hAnsi="Times New Roman" w:cs="Times New Roman"/>
          <w:sz w:val="24"/>
        </w:rPr>
        <w:t>, 231.</w:t>
      </w:r>
    </w:p>
    <w:p w14:paraId="68A10AFC"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Aron, J., Muellbauer, J., Giattino, C., Ritchie, H., &amp; Roser, M. (2024). A pandemic primer on excess mortality statistics and their comparability across countries. </w:t>
      </w:r>
      <w:r w:rsidRPr="00805442">
        <w:rPr>
          <w:rFonts w:ascii="Times New Roman" w:hAnsi="Times New Roman" w:cs="Times New Roman"/>
          <w:i/>
          <w:sz w:val="24"/>
        </w:rPr>
        <w:t>Our World in Data</w:t>
      </w:r>
      <w:r w:rsidRPr="00805442">
        <w:rPr>
          <w:rFonts w:ascii="Times New Roman" w:hAnsi="Times New Roman" w:cs="Times New Roman"/>
          <w:sz w:val="24"/>
        </w:rPr>
        <w:t>. https://ourworldindata.org/covid-excess-mortality.</w:t>
      </w:r>
    </w:p>
    <w:p w14:paraId="052F5D5C" w14:textId="7D48436C"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Bahl, R., Martinez-Vazquez, J. &amp; Youngman, J. (eds.) (2010), Challenging the Conventional Wisdom on the Property Tax, Lincoln Institute of Land Policy, Cambridge, Mass. https://www.lincolninst.edu/sites/default/files/pubfiles/challenging-the-conventional-wisdom-on-the- property-tax-chp.pdf.</w:t>
      </w:r>
    </w:p>
    <w:p w14:paraId="051D56E9"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Baños-Rovira, J (2024), Lessons on applying Multi-year Expenditure Baselines in Catalonia and Barcelona. IMF Blog, Washington. https://blog-pfm.imf.org/en/pfmblog/2024/01/16/lessons-on- applying-multi-year-expenditure-baselines-in-catalonia-and-barcelona</w:t>
      </w:r>
    </w:p>
    <w:p w14:paraId="519BDCDE"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Bergvall, D., Charbit, C., Kraan, D., &amp; Merk, O. (2006), “Intergovernmental Transfers and Decentralised Public Spending”, OECD Working Papers on Fiscal Federalism, No. 3, OECD Publishing, Paris, https://doi.org/10.1787/5k97b11z2hxw-en.</w:t>
      </w:r>
    </w:p>
    <w:p w14:paraId="637521A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Bird, R. (2010), “Subnational Taxation in Developing Countries: A Review of the Literature”</w:t>
      </w:r>
      <w:r w:rsidRPr="00805442">
        <w:rPr>
          <w:rFonts w:ascii="Times New Roman" w:hAnsi="Times New Roman" w:cs="Times New Roman"/>
          <w:i/>
          <w:sz w:val="24"/>
        </w:rPr>
        <w:t>, World Bank Policy Research Working Paper</w:t>
      </w:r>
      <w:r w:rsidRPr="00805442">
        <w:rPr>
          <w:rFonts w:ascii="Times New Roman" w:hAnsi="Times New Roman" w:cs="Times New Roman"/>
          <w:sz w:val="24"/>
        </w:rPr>
        <w:t>, No. 5450, World Bank, Washington, DC. https://ssrn.com/abstract=1694929.</w:t>
      </w:r>
    </w:p>
    <w:p w14:paraId="34B8E23C" w14:textId="32551D63"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Blazey, A. and M. Lelong (2022), “Green budgeting: A way forward”, OECD Journal on Budgeting, Vol. 22/2, https://doi.org/10.1787/dc7ac5a7-en.</w:t>
      </w:r>
    </w:p>
    <w:p w14:paraId="33CBE6B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Blöchliger, H., Merk, O., Charbit, C., &amp; Mizell, L. (2007), “Fiscal equalisation in OECD countries”, OECD Working Papers on Fiscal Federalism, No. 4, OECD Publishing, Paris, https://doi.org/10.1787/5k97b11n2gxx-en.</w:t>
      </w:r>
    </w:p>
    <w:p w14:paraId="305E1EC5"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Blöchliger, H. &amp; Petzold, O. (2009), “Taxes and Grants: On the Revenue Mix of Sub-Central Governments”, OECD Working Papers on Fiscal Federalism, No. 7, OECD Publishing, Paris, https://doi.org/10.1787/5k97b11972bn-en.</w:t>
      </w:r>
    </w:p>
    <w:p w14:paraId="6C163490"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Blöchliger, H., &amp; Campos, J. M. P. (2011), Tax competition between sub-central governments. OECD Working Papers on Fiscal Federalism, No 4, OECD Publishing, </w:t>
      </w:r>
      <w:r w:rsidRPr="00805442">
        <w:rPr>
          <w:rFonts w:ascii="Times New Roman" w:hAnsi="Times New Roman" w:cs="Times New Roman"/>
          <w:sz w:val="24"/>
        </w:rPr>
        <w:lastRenderedPageBreak/>
        <w:t>Paris, https://doi.org/10.1787/5k97b1120t6b-en.</w:t>
      </w:r>
    </w:p>
    <w:p w14:paraId="2AEB7A9D"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Boadway, R. (2006), 14 Intergovernmental redistributive transfers: efficiency and equity. </w:t>
      </w:r>
      <w:r w:rsidRPr="00805442">
        <w:rPr>
          <w:rFonts w:ascii="Times New Roman" w:hAnsi="Times New Roman" w:cs="Times New Roman"/>
          <w:i/>
          <w:sz w:val="24"/>
        </w:rPr>
        <w:t>Handbook of fiscal federalism</w:t>
      </w:r>
      <w:r w:rsidRPr="00805442">
        <w:rPr>
          <w:rFonts w:ascii="Times New Roman" w:hAnsi="Times New Roman" w:cs="Times New Roman"/>
          <w:sz w:val="24"/>
        </w:rPr>
        <w:t>, 355.</w:t>
      </w:r>
    </w:p>
    <w:p w14:paraId="26CBAE15"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Boadway, R. (2007), Grants in a federal economy: A conceptual perspective. in R. Boadway &amp; A. Shah, eds., Intergovernmental Fiscal Transfers: Principles and Practice. The World Bank, 55–74.</w:t>
      </w:r>
    </w:p>
    <w:p w14:paraId="7258E5BE" w14:textId="733FB6D5"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Boadway, R. W. &amp; Shah, A. (Eds.), (2007), Intergovernmental fiscal transfers: principles and practices. World Bank Publications. http://hdl.handle.net/10986/7171</w:t>
      </w:r>
    </w:p>
    <w:p w14:paraId="5772AD12"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Brinkerhoff, D. W., &amp; Wetterberg, A. (2013), Performance-based public management reforms: experience and emerging lessons from service delivery improvement in Indonesia. </w:t>
      </w:r>
      <w:r w:rsidRPr="00805442">
        <w:rPr>
          <w:rFonts w:ascii="Times New Roman" w:hAnsi="Times New Roman" w:cs="Times New Roman"/>
          <w:i/>
          <w:sz w:val="24"/>
        </w:rPr>
        <w:t>International Review of Administrative Sciences</w:t>
      </w:r>
      <w:r w:rsidRPr="00805442">
        <w:rPr>
          <w:rFonts w:ascii="Times New Roman" w:hAnsi="Times New Roman" w:cs="Times New Roman"/>
          <w:sz w:val="24"/>
        </w:rPr>
        <w:t xml:space="preserve">, </w:t>
      </w:r>
      <w:r w:rsidRPr="00805442">
        <w:rPr>
          <w:rFonts w:ascii="Times New Roman" w:hAnsi="Times New Roman" w:cs="Times New Roman"/>
          <w:i/>
          <w:sz w:val="24"/>
        </w:rPr>
        <w:t>79</w:t>
      </w:r>
      <w:r w:rsidRPr="00805442">
        <w:rPr>
          <w:rFonts w:ascii="Times New Roman" w:hAnsi="Times New Roman" w:cs="Times New Roman"/>
          <w:sz w:val="24"/>
        </w:rPr>
        <w:t>(3), 433-457. https://doi.org/10.1177/0020852313491059.</w:t>
      </w:r>
    </w:p>
    <w:p w14:paraId="65667FE7"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Buettner, T., &amp; Krause, M. (2021), Fiscal equalization as a driver of tax increases: empirical evidence from Germany. </w:t>
      </w:r>
      <w:r w:rsidRPr="00805442">
        <w:rPr>
          <w:rFonts w:ascii="Times New Roman" w:hAnsi="Times New Roman" w:cs="Times New Roman"/>
          <w:i/>
          <w:sz w:val="24"/>
        </w:rPr>
        <w:t>International Tax and Public Finance</w:t>
      </w:r>
      <w:r w:rsidRPr="00805442">
        <w:rPr>
          <w:rFonts w:ascii="Times New Roman" w:hAnsi="Times New Roman" w:cs="Times New Roman"/>
          <w:sz w:val="24"/>
        </w:rPr>
        <w:t xml:space="preserve">, </w:t>
      </w:r>
      <w:r w:rsidRPr="00805442">
        <w:rPr>
          <w:rFonts w:ascii="Times New Roman" w:hAnsi="Times New Roman" w:cs="Times New Roman"/>
          <w:i/>
          <w:sz w:val="24"/>
        </w:rPr>
        <w:t>28</w:t>
      </w:r>
      <w:r w:rsidRPr="00805442">
        <w:rPr>
          <w:rFonts w:ascii="Times New Roman" w:hAnsi="Times New Roman" w:cs="Times New Roman"/>
          <w:sz w:val="24"/>
        </w:rPr>
        <w:t>(1), 90-112. https://doi.org/10.1007/s10797-020- 09610-9.</w:t>
      </w:r>
    </w:p>
    <w:p w14:paraId="28459E21" w14:textId="5B8A51B1"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Capella-Ramos, J., Checherita-Westphal, C. D., &amp; Leiner-Killinger, N. (2020). Fiscal transfers and economic convergence. ECB Occasional Paper No. 2020252, https://ssrn.com/abstract=3742258 or http://dx.doi.org/10.2139/ssrn.3742258.</w:t>
      </w:r>
    </w:p>
    <w:p w14:paraId="11D03055"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Council of Europe (2004), “Draft Recommendation of the Committee of Ministers to member states on the financial resources of local and regional authorities”. Steering Committee on Local and Regional Democracy (CDLR), Council of Europe, Strasbourg, France.</w:t>
      </w:r>
    </w:p>
    <w:p w14:paraId="7ADAE645"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Dahlby, B. (2008), The marginal cost of public funds: Theory and applications. MIT press. https://mitpress.mit.edu/9780262042505/the-marginal-cost-of-public-funds/</w:t>
      </w:r>
    </w:p>
    <w:p w14:paraId="3AC0EA84"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Dahlby, B., &amp; Warren, N. (2003), Fiscal incentive effects of the Australian equalisation system. </w:t>
      </w:r>
      <w:r w:rsidRPr="00805442">
        <w:rPr>
          <w:rFonts w:ascii="Times New Roman" w:hAnsi="Times New Roman" w:cs="Times New Roman"/>
          <w:i/>
          <w:sz w:val="24"/>
        </w:rPr>
        <w:t>Economic Record</w:t>
      </w:r>
      <w:r w:rsidRPr="00805442">
        <w:rPr>
          <w:rFonts w:ascii="Times New Roman" w:hAnsi="Times New Roman" w:cs="Times New Roman"/>
          <w:sz w:val="24"/>
        </w:rPr>
        <w:t xml:space="preserve">, </w:t>
      </w:r>
      <w:r w:rsidRPr="00805442">
        <w:rPr>
          <w:rFonts w:ascii="Times New Roman" w:hAnsi="Times New Roman" w:cs="Times New Roman"/>
          <w:i/>
          <w:sz w:val="24"/>
        </w:rPr>
        <w:t>79</w:t>
      </w:r>
      <w:r w:rsidRPr="00805442">
        <w:rPr>
          <w:rFonts w:ascii="Times New Roman" w:hAnsi="Times New Roman" w:cs="Times New Roman"/>
          <w:sz w:val="24"/>
        </w:rPr>
        <w:t>(247), 434–445. https://doi.org/10.1111/j.1475-4932.2003.00143.x.</w:t>
      </w:r>
    </w:p>
    <w:p w14:paraId="15F190C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De Biase, P., &amp; S. Dougherty (2022), “The past and future of subnational fiscal rules: An analysis of fiscal rules over time”, OECD Working Papers on Fiscal Federalism, No. 41, OECD Publishing, Paris, https://doi.org/10.1787/d2798c9e-en.</w:t>
      </w:r>
    </w:p>
    <w:p w14:paraId="6F4B5544"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De Biase, P., S. Dougherty &amp; L. Lorenzoni (2022), “Ageing and the long-run fiscal sustainability of health care across levels of government”, OECD Working Papers on Fiscal Federalism, No. 38, OECD Publishing, Paris, https://doi.org/10.1787/7c184406-en.</w:t>
      </w:r>
    </w:p>
    <w:p w14:paraId="3812F608"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De Mello, L. (1999), Intergovernmental fiscal relations: Coordination failures and fiscal outcomes. </w:t>
      </w:r>
      <w:r w:rsidRPr="00805442">
        <w:rPr>
          <w:rFonts w:ascii="Times New Roman" w:hAnsi="Times New Roman" w:cs="Times New Roman"/>
          <w:i/>
          <w:sz w:val="24"/>
        </w:rPr>
        <w:t>Public Budgeting &amp; Finance</w:t>
      </w:r>
      <w:r w:rsidRPr="00805442">
        <w:rPr>
          <w:rFonts w:ascii="Times New Roman" w:hAnsi="Times New Roman" w:cs="Times New Roman"/>
          <w:sz w:val="24"/>
        </w:rPr>
        <w:t xml:space="preserve">, </w:t>
      </w:r>
      <w:r w:rsidRPr="00805442">
        <w:rPr>
          <w:rFonts w:ascii="Times New Roman" w:hAnsi="Times New Roman" w:cs="Times New Roman"/>
          <w:i/>
          <w:sz w:val="24"/>
        </w:rPr>
        <w:t>19</w:t>
      </w:r>
      <w:r w:rsidRPr="00805442">
        <w:rPr>
          <w:rFonts w:ascii="Times New Roman" w:hAnsi="Times New Roman" w:cs="Times New Roman"/>
          <w:sz w:val="24"/>
        </w:rPr>
        <w:t>(1), 3-25. https://doi.org/10.1046/j.0275-1100.1999.01154.x.</w:t>
      </w:r>
    </w:p>
    <w:p w14:paraId="4A75732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De Mello, L. (2000), Fiscal decentralization and intergovernmental fiscal relations: a cross-country analysis. </w:t>
      </w:r>
      <w:r w:rsidRPr="00805442">
        <w:rPr>
          <w:rFonts w:ascii="Times New Roman" w:hAnsi="Times New Roman" w:cs="Times New Roman"/>
          <w:i/>
          <w:sz w:val="24"/>
        </w:rPr>
        <w:t>World Development</w:t>
      </w:r>
      <w:r w:rsidRPr="00805442">
        <w:rPr>
          <w:rFonts w:ascii="Times New Roman" w:hAnsi="Times New Roman" w:cs="Times New Roman"/>
          <w:sz w:val="24"/>
        </w:rPr>
        <w:t xml:space="preserve">, </w:t>
      </w:r>
      <w:r w:rsidRPr="00805442">
        <w:rPr>
          <w:rFonts w:ascii="Times New Roman" w:hAnsi="Times New Roman" w:cs="Times New Roman"/>
          <w:i/>
          <w:sz w:val="24"/>
        </w:rPr>
        <w:t>28</w:t>
      </w:r>
      <w:r w:rsidRPr="00805442">
        <w:rPr>
          <w:rFonts w:ascii="Times New Roman" w:hAnsi="Times New Roman" w:cs="Times New Roman"/>
          <w:sz w:val="24"/>
        </w:rPr>
        <w:t>(2), 365-380. https://doi.org/10.1016/S0305-750X(99)00123-0.</w:t>
      </w:r>
    </w:p>
    <w:p w14:paraId="16CEE494"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De Mello, L. &amp; T. Ter-Minassian (2022), “Improving subnational governments’ resilience in the wake of the COVID-19 pandemic”, OECD Working Papers on Fiscal Federalism, No. 37, OECD Publishing, Paris, https://doi.org/10.1787/6b1304c8-en.</w:t>
      </w:r>
    </w:p>
    <w:p w14:paraId="336CAA01" w14:textId="3194D761" w:rsidR="000C0B78"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De Mello, L. &amp; Ter-Minassian, T. (2023), “Decarbonisation and intergovernmental relations: policy challenges and reform options”. OECD Working Papers on Fiscal Federalism, No. 43, OECD Publishing, Paris. https://doi.org/10.1787/c434c385-en.</w:t>
      </w:r>
    </w:p>
    <w:p w14:paraId="5A54B632" w14:textId="7348302A"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Dougherty, S. &amp; Phillips, L. (2019), “The spending power of sub-national decision makers across five policy sectors”. OECD Working Papers on Fiscal Federalism, No. 25, </w:t>
      </w:r>
      <w:r w:rsidRPr="00805442">
        <w:rPr>
          <w:rFonts w:ascii="Times New Roman" w:hAnsi="Times New Roman" w:cs="Times New Roman"/>
          <w:sz w:val="24"/>
        </w:rPr>
        <w:lastRenderedPageBreak/>
        <w:t>OECD Publishing, Paris, https://doi.org/10.1787/22265848.</w:t>
      </w:r>
    </w:p>
    <w:p w14:paraId="7EDE8775"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Dougherty, S., P. de Biase &amp; Lorenzoni, L. (2022), “Funding the future: The impact of population ageing on revenues across levels of government”, OECD Working Papers on Fiscal Federalism, No. 39, OECD Publishing, Paris, https://doi.org/10.1787/2b0f063e-en.</w:t>
      </w:r>
    </w:p>
    <w:p w14:paraId="39FF97E7" w14:textId="77777777" w:rsidR="0068352E" w:rsidRPr="00805442" w:rsidRDefault="0068352E" w:rsidP="00453E24">
      <w:pPr>
        <w:pStyle w:val="BodyText"/>
        <w:keepNext/>
        <w:keepLines/>
        <w:ind w:left="567" w:hanging="567"/>
        <w:jc w:val="both"/>
        <w:rPr>
          <w:rFonts w:ascii="Times New Roman" w:hAnsi="Times New Roman" w:cs="Times New Roman"/>
          <w:noProof/>
          <w:sz w:val="24"/>
          <w:szCs w:val="24"/>
        </w:rPr>
      </w:pPr>
      <w:r w:rsidRPr="00805442">
        <w:rPr>
          <w:rFonts w:ascii="Times New Roman" w:hAnsi="Times New Roman" w:cs="Times New Roman"/>
          <w:sz w:val="24"/>
        </w:rPr>
        <w:t>Dougherty, S. &amp; Forman, K. (2021), “Evaluating fiscal equalisation: Finding the right balance”, OECD Working Papers on Fiscal Federalism, No. 36, OECD Publishing, Paris, https://doi.org/10.1787/253da2b8-en.</w:t>
      </w:r>
    </w:p>
    <w:p w14:paraId="1D735143" w14:textId="65F73C33"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Dougherty, S. &amp; Montes-Nebreda, A. (2023a), “Consolidated expenditure by government function: an extension of the Fiscal Decentralisation database”. </w:t>
      </w:r>
      <w:r w:rsidRPr="00805442">
        <w:rPr>
          <w:rFonts w:ascii="Times New Roman" w:hAnsi="Times New Roman" w:cs="Times New Roman"/>
          <w:i/>
          <w:sz w:val="24"/>
        </w:rPr>
        <w:t>OECD Working Papers on Fiscal Federalism</w:t>
      </w:r>
      <w:r w:rsidRPr="00805442">
        <w:rPr>
          <w:rFonts w:ascii="Times New Roman" w:hAnsi="Times New Roman" w:cs="Times New Roman"/>
          <w:sz w:val="24"/>
        </w:rPr>
        <w:t>, No. 44, OECD Publishing, Paris. http://oe.cd/SbF.</w:t>
      </w:r>
    </w:p>
    <w:p w14:paraId="6C0130BC"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Dougherty, S. &amp; Montes-Nebreda, A. (2023b), The multilevel fiscal governance of ecological transition. OECD Working Papers on Fiscal Federalism, No. 44, OECD Publishing, Paris. https://doi.org/10.1787/2051f0f7-en.</w:t>
      </w:r>
    </w:p>
    <w:p w14:paraId="04B77B6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Droste, N., Lima, G. R., May, P. H., &amp; Ring, I. (2017), Municipal Responses to Ecological Fiscal Transfers in Brazil: A microeconometric panel data approach. </w:t>
      </w:r>
      <w:r w:rsidRPr="00805442">
        <w:rPr>
          <w:rFonts w:ascii="Times New Roman" w:hAnsi="Times New Roman" w:cs="Times New Roman"/>
          <w:i/>
          <w:sz w:val="24"/>
        </w:rPr>
        <w:t>Environmental Policy and Governance</w:t>
      </w:r>
      <w:r w:rsidRPr="00805442">
        <w:rPr>
          <w:rFonts w:ascii="Times New Roman" w:hAnsi="Times New Roman" w:cs="Times New Roman"/>
          <w:sz w:val="24"/>
        </w:rPr>
        <w:t xml:space="preserve">, </w:t>
      </w:r>
      <w:r w:rsidRPr="00805442">
        <w:rPr>
          <w:rFonts w:ascii="Times New Roman" w:hAnsi="Times New Roman" w:cs="Times New Roman"/>
          <w:i/>
          <w:sz w:val="24"/>
        </w:rPr>
        <w:t>27</w:t>
      </w:r>
      <w:r w:rsidRPr="00805442">
        <w:rPr>
          <w:rFonts w:ascii="Times New Roman" w:hAnsi="Times New Roman" w:cs="Times New Roman"/>
          <w:sz w:val="24"/>
        </w:rPr>
        <w:t>(4), 378-393. https://doi.org/10.1002/eet.1760.</w:t>
      </w:r>
    </w:p>
    <w:p w14:paraId="0E05256A"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Ferede, E. (2017), The incentive effects of equalization grants on tax policy: Evidence from Canadian provinces. </w:t>
      </w:r>
      <w:r w:rsidRPr="00805442">
        <w:rPr>
          <w:rFonts w:ascii="Times New Roman" w:hAnsi="Times New Roman" w:cs="Times New Roman"/>
          <w:i/>
          <w:sz w:val="24"/>
        </w:rPr>
        <w:t>Public Finance Review</w:t>
      </w:r>
      <w:r w:rsidRPr="00805442">
        <w:rPr>
          <w:rFonts w:ascii="Times New Roman" w:hAnsi="Times New Roman" w:cs="Times New Roman"/>
          <w:sz w:val="24"/>
        </w:rPr>
        <w:t xml:space="preserve">, </w:t>
      </w:r>
      <w:r w:rsidRPr="00805442">
        <w:rPr>
          <w:rFonts w:ascii="Times New Roman" w:hAnsi="Times New Roman" w:cs="Times New Roman"/>
          <w:i/>
          <w:sz w:val="24"/>
        </w:rPr>
        <w:t>45</w:t>
      </w:r>
      <w:r w:rsidRPr="00805442">
        <w:rPr>
          <w:rFonts w:ascii="Times New Roman" w:hAnsi="Times New Roman" w:cs="Times New Roman"/>
          <w:sz w:val="24"/>
        </w:rPr>
        <w:t>(6), 723-747. https://doi.org/10.1177/1091142116666316.</w:t>
      </w:r>
    </w:p>
    <w:p w14:paraId="7678F992"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Gamkhar, S. &amp; Shah., A. (2006), The Impact of Intergovernmental Fiscal Transfers: A Synthesis of the Conceptual and Empirical Literature. In </w:t>
      </w:r>
      <w:r w:rsidRPr="00805442">
        <w:rPr>
          <w:rFonts w:ascii="Times New Roman" w:hAnsi="Times New Roman" w:cs="Times New Roman"/>
          <w:i/>
          <w:sz w:val="24"/>
        </w:rPr>
        <w:t>Intergovernmental Fiscal Transfers: Principles and Practice</w:t>
      </w:r>
      <w:r w:rsidRPr="00805442">
        <w:rPr>
          <w:rFonts w:ascii="Times New Roman" w:hAnsi="Times New Roman" w:cs="Times New Roman"/>
          <w:sz w:val="24"/>
        </w:rPr>
        <w:t>, edited by Robin Boadway and Anwar Shah, chapter 8. Washington, DC: World Bank.</w:t>
      </w:r>
    </w:p>
    <w:p w14:paraId="3BCB0A61" w14:textId="3154BB52"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Gatt Rapa, K. and S. Nicol (forthcoming), “OECD Framework for Gender Budgeting”, OECD, Paris. Gertler, P. J., &amp; Giovagnoli, P. I. (2014), Rewarding provider performance to enable a healthy start to life: evidence from Argentina’s Plan Nacer. </w:t>
      </w:r>
      <w:r w:rsidRPr="00805442">
        <w:rPr>
          <w:rFonts w:ascii="Times New Roman" w:hAnsi="Times New Roman" w:cs="Times New Roman"/>
          <w:i/>
          <w:sz w:val="24"/>
        </w:rPr>
        <w:t>World Bank Policy Research Working Paper</w:t>
      </w:r>
      <w:r w:rsidRPr="00805442">
        <w:rPr>
          <w:rFonts w:ascii="Times New Roman" w:hAnsi="Times New Roman" w:cs="Times New Roman"/>
          <w:sz w:val="24"/>
        </w:rPr>
        <w:t>, No. 6884, https://ssrn.com/abstract=2439991</w:t>
      </w:r>
    </w:p>
    <w:p w14:paraId="775A0A18"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Gramlich, E. M. (1987), Federalism and federal deficit reduction. </w:t>
      </w:r>
      <w:r w:rsidRPr="00805442">
        <w:rPr>
          <w:rFonts w:ascii="Times New Roman" w:hAnsi="Times New Roman" w:cs="Times New Roman"/>
          <w:i/>
          <w:sz w:val="24"/>
        </w:rPr>
        <w:t>National tax journal</w:t>
      </w:r>
      <w:r w:rsidRPr="00805442">
        <w:rPr>
          <w:rFonts w:ascii="Times New Roman" w:hAnsi="Times New Roman" w:cs="Times New Roman"/>
          <w:sz w:val="24"/>
        </w:rPr>
        <w:t xml:space="preserve">, </w:t>
      </w:r>
      <w:r w:rsidRPr="00805442">
        <w:rPr>
          <w:rFonts w:ascii="Times New Roman" w:hAnsi="Times New Roman" w:cs="Times New Roman"/>
          <w:i/>
          <w:sz w:val="24"/>
        </w:rPr>
        <w:t>40</w:t>
      </w:r>
      <w:r w:rsidRPr="00805442">
        <w:rPr>
          <w:rFonts w:ascii="Times New Roman" w:hAnsi="Times New Roman" w:cs="Times New Roman"/>
          <w:sz w:val="24"/>
        </w:rPr>
        <w:t>(3), 299-313. https://doi.org/10.1086/NTJ41788670.</w:t>
      </w:r>
    </w:p>
    <w:p w14:paraId="54423946"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Hagemann, R. (2018), “Tax Policies for Inclusive Growth: Prescription versus Practice”</w:t>
      </w:r>
      <w:r w:rsidRPr="00805442">
        <w:rPr>
          <w:rFonts w:ascii="Times New Roman" w:hAnsi="Times New Roman" w:cs="Times New Roman"/>
          <w:i/>
          <w:sz w:val="24"/>
        </w:rPr>
        <w:t>, OECD Economic Policy Papers</w:t>
      </w:r>
      <w:r w:rsidRPr="00805442">
        <w:rPr>
          <w:rFonts w:ascii="Times New Roman" w:hAnsi="Times New Roman" w:cs="Times New Roman"/>
          <w:sz w:val="24"/>
        </w:rPr>
        <w:t>, No. 24, OECD Publishing, Paris, https://dx.doi.org/10.1787/09ba747a-en.</w:t>
      </w:r>
    </w:p>
    <w:p w14:paraId="0B9C0454"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Hayashi, M., &amp; Boadway, R. (2001), An empirical analysis of intergovernmental tax interaction: the case of business income taxes in Canada. </w:t>
      </w:r>
      <w:r w:rsidRPr="00805442">
        <w:rPr>
          <w:rFonts w:ascii="Times New Roman" w:hAnsi="Times New Roman" w:cs="Times New Roman"/>
          <w:i/>
          <w:sz w:val="24"/>
        </w:rPr>
        <w:t>Canadian Journal of Economics/Revue canadienne d'économique</w:t>
      </w:r>
      <w:r w:rsidRPr="00805442">
        <w:rPr>
          <w:rFonts w:ascii="Times New Roman" w:hAnsi="Times New Roman" w:cs="Times New Roman"/>
          <w:sz w:val="24"/>
        </w:rPr>
        <w:t xml:space="preserve">, </w:t>
      </w:r>
      <w:r w:rsidRPr="00805442">
        <w:rPr>
          <w:rFonts w:ascii="Times New Roman" w:hAnsi="Times New Roman" w:cs="Times New Roman"/>
          <w:i/>
          <w:sz w:val="24"/>
        </w:rPr>
        <w:t>34</w:t>
      </w:r>
      <w:r w:rsidRPr="00805442">
        <w:rPr>
          <w:rFonts w:ascii="Times New Roman" w:hAnsi="Times New Roman" w:cs="Times New Roman"/>
          <w:sz w:val="24"/>
        </w:rPr>
        <w:t>(2), 481-503. https://doi.org/10.1111/0008-4085.00085.</w:t>
      </w:r>
    </w:p>
    <w:p w14:paraId="7FBC47A3" w14:textId="27477D33" w:rsidR="0068352E" w:rsidRPr="00805442" w:rsidRDefault="0068352E" w:rsidP="00453E24">
      <w:pPr>
        <w:pStyle w:val="BodyText"/>
        <w:tabs>
          <w:tab w:val="left" w:pos="2014"/>
          <w:tab w:val="left" w:pos="3692"/>
          <w:tab w:val="left" w:pos="5276"/>
          <w:tab w:val="left" w:pos="6798"/>
          <w:tab w:val="left" w:pos="8131"/>
        </w:tabs>
        <w:ind w:left="567" w:hanging="567"/>
        <w:jc w:val="both"/>
        <w:rPr>
          <w:rFonts w:ascii="Times New Roman" w:hAnsi="Times New Roman" w:cs="Times New Roman"/>
          <w:noProof/>
          <w:sz w:val="24"/>
          <w:szCs w:val="24"/>
        </w:rPr>
      </w:pPr>
      <w:r w:rsidRPr="00805442">
        <w:rPr>
          <w:rFonts w:ascii="Times New Roman" w:hAnsi="Times New Roman" w:cs="Times New Roman"/>
          <w:sz w:val="24"/>
        </w:rPr>
        <w:t>Hortas-Rico, M., &amp; Rios, V. (2020), Is there an optimal size for local governments? A spatial panel data model approach. Regional Studies, 54(7), 958-973. https://doi.org/10.1080/00343404.2019.1648786</w:t>
      </w:r>
    </w:p>
    <w:p w14:paraId="75152B87"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Kim, J., Lotz, J., &amp; Mau, N. J. (Eds.) (2010), </w:t>
      </w:r>
      <w:r w:rsidRPr="00805442">
        <w:rPr>
          <w:rFonts w:ascii="Times New Roman" w:hAnsi="Times New Roman" w:cs="Times New Roman"/>
          <w:i/>
          <w:sz w:val="24"/>
        </w:rPr>
        <w:t>General Grants Versus Earmarked Grants: Theory and Practice: the Copenhagen Workshop 2009</w:t>
      </w:r>
      <w:r w:rsidRPr="00805442">
        <w:rPr>
          <w:rFonts w:ascii="Times New Roman" w:hAnsi="Times New Roman" w:cs="Times New Roman"/>
          <w:sz w:val="24"/>
        </w:rPr>
        <w:t>. Korea Institute of Public Finance.</w:t>
      </w:r>
    </w:p>
    <w:p w14:paraId="4833C8DD"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Kim, J. (2015), Fiscal Illusion over National Mandates, in: Kim, Lotz and Mau (eds.), Interaction between Local Expenditure Responsibilities and Local Tax Policy – </w:t>
      </w:r>
      <w:r w:rsidRPr="00805442">
        <w:rPr>
          <w:rFonts w:ascii="Times New Roman" w:hAnsi="Times New Roman" w:cs="Times New Roman"/>
          <w:i/>
          <w:sz w:val="24"/>
        </w:rPr>
        <w:t>The Copenhagen Workshop 2013</w:t>
      </w:r>
      <w:r w:rsidRPr="00805442">
        <w:rPr>
          <w:rFonts w:ascii="Times New Roman" w:hAnsi="Times New Roman" w:cs="Times New Roman"/>
          <w:sz w:val="24"/>
        </w:rPr>
        <w:t xml:space="preserve">. The Korea Institute of Public Finance and the Danish </w:t>
      </w:r>
      <w:r w:rsidRPr="00805442">
        <w:rPr>
          <w:rFonts w:ascii="Times New Roman" w:hAnsi="Times New Roman" w:cs="Times New Roman"/>
          <w:sz w:val="24"/>
        </w:rPr>
        <w:lastRenderedPageBreak/>
        <w:t>Ministry of Economic Affairs and the Interior.</w:t>
      </w:r>
    </w:p>
    <w:p w14:paraId="4061F7CD"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Kim, J. (2021), “Finding the right balance in the use of conditional grants”, in Kim, J. and S. Dougherty (Eds.), </w:t>
      </w:r>
      <w:r w:rsidRPr="00805442">
        <w:rPr>
          <w:rFonts w:ascii="Times New Roman" w:hAnsi="Times New Roman" w:cs="Times New Roman"/>
          <w:i/>
          <w:sz w:val="24"/>
        </w:rPr>
        <w:t>Local Public Finance and Capacity Building in Asia: Issues and Challenges</w:t>
      </w:r>
      <w:r w:rsidRPr="00805442">
        <w:rPr>
          <w:rFonts w:ascii="Times New Roman" w:hAnsi="Times New Roman" w:cs="Times New Roman"/>
          <w:sz w:val="24"/>
        </w:rPr>
        <w:t>, OECD Publishing, Paris, https://doi.org/10.1787/17791e8c-en.</w:t>
      </w:r>
    </w:p>
    <w:p w14:paraId="096C5A47" w14:textId="0A7FDB45"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Kim, J. &amp; Dougherty, S. (Eds.) (2018), </w:t>
      </w:r>
      <w:r w:rsidRPr="00805442">
        <w:rPr>
          <w:rFonts w:ascii="Times New Roman" w:hAnsi="Times New Roman" w:cs="Times New Roman"/>
          <w:i/>
          <w:sz w:val="24"/>
        </w:rPr>
        <w:t>Fiscal Decentralisation and Inclusive Growth</w:t>
      </w:r>
      <w:r w:rsidRPr="00805442">
        <w:rPr>
          <w:rFonts w:ascii="Times New Roman" w:hAnsi="Times New Roman" w:cs="Times New Roman"/>
          <w:sz w:val="24"/>
        </w:rPr>
        <w:t>, OECD Fiscal Federalism Studies, OECD Publishing, Paris/KIPF, Seoul, http://oe.cd/FDIG.</w:t>
      </w:r>
    </w:p>
    <w:p w14:paraId="1CD0115D" w14:textId="77777777" w:rsidR="0068352E" w:rsidRPr="00805442" w:rsidRDefault="0068352E" w:rsidP="00453E24">
      <w:pPr>
        <w:pStyle w:val="BodyText"/>
        <w:keepNext/>
        <w:keepLines/>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Lago, M. E., Lago-Peñas, S., &amp; Martinez-Vazquez, J. (2024a), On the effects of intergovernmental grants: A survey. </w:t>
      </w:r>
      <w:r w:rsidRPr="00805442">
        <w:rPr>
          <w:rFonts w:ascii="Times New Roman" w:hAnsi="Times New Roman" w:cs="Times New Roman"/>
          <w:i/>
          <w:sz w:val="24"/>
        </w:rPr>
        <w:t>International Tax and Public Finance</w:t>
      </w:r>
      <w:r w:rsidRPr="00805442">
        <w:rPr>
          <w:rFonts w:ascii="Times New Roman" w:hAnsi="Times New Roman" w:cs="Times New Roman"/>
          <w:sz w:val="24"/>
        </w:rPr>
        <w:t>, 1-53. https://doi.org/10.1007/s10797-023-09816-7.</w:t>
      </w:r>
    </w:p>
    <w:p w14:paraId="7536DFC5"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Lago, M. E., Lago-Peñas, S., &amp; Martinez-Vazquez, J. (2024b), Side effects in designing intergovernamental grants. </w:t>
      </w:r>
      <w:r w:rsidRPr="00805442">
        <w:rPr>
          <w:rFonts w:ascii="Times New Roman" w:hAnsi="Times New Roman" w:cs="Times New Roman"/>
          <w:i/>
          <w:sz w:val="24"/>
        </w:rPr>
        <w:t>Room document presented at the 20</w:t>
      </w:r>
      <w:r w:rsidRPr="00805442">
        <w:rPr>
          <w:rFonts w:ascii="Times New Roman" w:hAnsi="Times New Roman" w:cs="Times New Roman"/>
          <w:i/>
          <w:sz w:val="24"/>
          <w:vertAlign w:val="superscript"/>
        </w:rPr>
        <w:t>th</w:t>
      </w:r>
      <w:r w:rsidRPr="00805442">
        <w:rPr>
          <w:rFonts w:ascii="Times New Roman" w:hAnsi="Times New Roman" w:cs="Times New Roman"/>
          <w:i/>
          <w:sz w:val="24"/>
        </w:rPr>
        <w:t xml:space="preserve"> Annual Meeting of the OECD Fiscal Network</w:t>
      </w:r>
      <w:r w:rsidRPr="00805442">
        <w:rPr>
          <w:rFonts w:ascii="Times New Roman" w:hAnsi="Times New Roman" w:cs="Times New Roman"/>
          <w:sz w:val="24"/>
        </w:rPr>
        <w:t>. OECD, Paris.</w:t>
      </w:r>
    </w:p>
    <w:p w14:paraId="5533713E"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Lapuente, V. &amp; Van de Walle, S. (2020), The effects of new public management on the quality of public services. </w:t>
      </w:r>
      <w:r w:rsidRPr="00805442">
        <w:rPr>
          <w:rFonts w:ascii="Times New Roman" w:hAnsi="Times New Roman" w:cs="Times New Roman"/>
          <w:i/>
          <w:sz w:val="24"/>
        </w:rPr>
        <w:t>Governance</w:t>
      </w:r>
      <w:r w:rsidRPr="00805442">
        <w:rPr>
          <w:rFonts w:ascii="Times New Roman" w:hAnsi="Times New Roman" w:cs="Times New Roman"/>
          <w:sz w:val="24"/>
        </w:rPr>
        <w:t xml:space="preserve">, </w:t>
      </w:r>
      <w:r w:rsidRPr="00805442">
        <w:rPr>
          <w:rFonts w:ascii="Times New Roman" w:hAnsi="Times New Roman" w:cs="Times New Roman"/>
          <w:i/>
          <w:sz w:val="24"/>
        </w:rPr>
        <w:t>33</w:t>
      </w:r>
      <w:r w:rsidRPr="00805442">
        <w:rPr>
          <w:rFonts w:ascii="Times New Roman" w:hAnsi="Times New Roman" w:cs="Times New Roman"/>
          <w:sz w:val="24"/>
        </w:rPr>
        <w:t>(3), 461-475. https://doi.org/10.1111/gove.12502.</w:t>
      </w:r>
    </w:p>
    <w:p w14:paraId="318C27EC"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Loft, L., Gebara, M. F., &amp; Wong, G. Y. (2016), </w:t>
      </w:r>
      <w:r w:rsidRPr="00805442">
        <w:rPr>
          <w:rFonts w:ascii="Times New Roman" w:hAnsi="Times New Roman" w:cs="Times New Roman"/>
          <w:i/>
          <w:sz w:val="24"/>
        </w:rPr>
        <w:t xml:space="preserve">The experience of ecological fiscal transfers: Lessons for REDD+ benefit sharing </w:t>
      </w:r>
      <w:r w:rsidRPr="00805442">
        <w:rPr>
          <w:rFonts w:ascii="Times New Roman" w:hAnsi="Times New Roman" w:cs="Times New Roman"/>
          <w:sz w:val="24"/>
        </w:rPr>
        <w:t>(Vol. 154), CIFOR.</w:t>
      </w:r>
    </w:p>
    <w:p w14:paraId="68E45EC0" w14:textId="72F44025" w:rsidR="0068352E" w:rsidRPr="00805442" w:rsidRDefault="0068352E" w:rsidP="00453E24">
      <w:pPr>
        <w:pStyle w:val="BodyText"/>
        <w:tabs>
          <w:tab w:val="left" w:pos="2354"/>
          <w:tab w:val="left" w:pos="3952"/>
          <w:tab w:val="left" w:pos="4798"/>
          <w:tab w:val="left" w:pos="6124"/>
          <w:tab w:val="left" w:pos="7022"/>
          <w:tab w:val="left" w:pos="8245"/>
        </w:tabs>
        <w:ind w:left="567" w:hanging="567"/>
        <w:jc w:val="both"/>
        <w:rPr>
          <w:rFonts w:ascii="Times New Roman" w:hAnsi="Times New Roman" w:cs="Times New Roman"/>
          <w:noProof/>
          <w:sz w:val="24"/>
          <w:szCs w:val="24"/>
        </w:rPr>
      </w:pPr>
      <w:r w:rsidRPr="00805442">
        <w:rPr>
          <w:rFonts w:ascii="Times New Roman" w:hAnsi="Times New Roman" w:cs="Times New Roman"/>
          <w:sz w:val="24"/>
        </w:rPr>
        <w:t>López-Laborda, J., Montes-Nebreda, A., &amp; Onrubia, J. (2023), Going green through local fiscal equalisation. Documento de Trabajo, 07. Fedea, Madrid. https://documentos.fedea.net/pubs/dt/2023/dt2023-07.pdf.</w:t>
      </w:r>
    </w:p>
    <w:p w14:paraId="1C13D9AC" w14:textId="7F30F4A5" w:rsidR="0068352E" w:rsidRPr="00805442" w:rsidRDefault="0068352E" w:rsidP="00453E24">
      <w:pPr>
        <w:pStyle w:val="BodyText"/>
        <w:tabs>
          <w:tab w:val="left" w:pos="2085"/>
          <w:tab w:val="left" w:pos="3374"/>
          <w:tab w:val="left" w:pos="4748"/>
          <w:tab w:val="left" w:pos="5932"/>
          <w:tab w:val="left" w:pos="8132"/>
        </w:tabs>
        <w:ind w:left="567" w:hanging="567"/>
        <w:jc w:val="both"/>
        <w:rPr>
          <w:rFonts w:ascii="Times New Roman" w:hAnsi="Times New Roman" w:cs="Times New Roman"/>
          <w:noProof/>
          <w:sz w:val="24"/>
          <w:szCs w:val="24"/>
        </w:rPr>
      </w:pPr>
      <w:r w:rsidRPr="00805442">
        <w:rPr>
          <w:rFonts w:ascii="Times New Roman" w:hAnsi="Times New Roman" w:cs="Times New Roman"/>
          <w:sz w:val="24"/>
        </w:rPr>
        <w:t>López-Laborda, J; Montes-Nebreda, A., &amp; Onrubia, J. (2024). Should fiscal equalisation and regional policy goals and tools be disentangled?. Regional Studies. https://doi.org/10.1080/00343404.2024.2371146.</w:t>
      </w:r>
    </w:p>
    <w:p w14:paraId="409260DE"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Lotz, J. (2006), “Accountability and Control in the Financing of Local Government in Denmark”, </w:t>
      </w:r>
      <w:r w:rsidRPr="00805442">
        <w:rPr>
          <w:rFonts w:ascii="Times New Roman" w:hAnsi="Times New Roman" w:cs="Times New Roman"/>
          <w:i/>
          <w:sz w:val="24"/>
        </w:rPr>
        <w:t>OECD Journal on Budgeting</w:t>
      </w:r>
      <w:r w:rsidRPr="00805442">
        <w:rPr>
          <w:rFonts w:ascii="Times New Roman" w:hAnsi="Times New Roman" w:cs="Times New Roman"/>
          <w:sz w:val="24"/>
        </w:rPr>
        <w:t>, vol. 5/2, https://doi.org/10.1787/budget-v5-art11-en.</w:t>
      </w:r>
    </w:p>
    <w:p w14:paraId="4A9B0621"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Lotz, J. (2013), “On grant policy and the OECD-taxonomy of grants”, in J. Kim, J. Lotz and H. Blöchliger (Eds.), </w:t>
      </w:r>
      <w:r w:rsidRPr="00805442">
        <w:rPr>
          <w:rFonts w:ascii="Times New Roman" w:hAnsi="Times New Roman" w:cs="Times New Roman"/>
          <w:i/>
          <w:sz w:val="24"/>
        </w:rPr>
        <w:t>Measuring Fiscal Decentralisation: Concepts and Policies</w:t>
      </w:r>
      <w:r w:rsidRPr="00805442">
        <w:rPr>
          <w:rFonts w:ascii="Times New Roman" w:hAnsi="Times New Roman" w:cs="Times New Roman"/>
          <w:sz w:val="24"/>
        </w:rPr>
        <w:t>, OECD and KIPF, Paris.</w:t>
      </w:r>
    </w:p>
    <w:p w14:paraId="384705E4"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Martinez-Vazquez, J., &amp; Searle, B. (Eds.), (2007), Fiscal equalisation: Challenges in the design of intergovernmental transfers. Springer Science &amp; Business Media. https://doi.org/10.1007/978-0- 387-48988-9</w:t>
      </w:r>
    </w:p>
    <w:p w14:paraId="17B9D6DE"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Martinez-Vazquez, J. (2011), Fiscal decentralization in Asia: Challenges and opportunities. Asian Development Bank, Manila.</w:t>
      </w:r>
    </w:p>
    <w:p w14:paraId="4F74D0B9"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Moretti, D., Keller, A., &amp; Majercak, M. (2023), Medium-term and top-down budgeting in OECD countries.</w:t>
      </w:r>
    </w:p>
    <w:p w14:paraId="4F782D63"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Journal on Budgeting, 23(3), https://doi.org/10.1787/39425570-en</w:t>
      </w:r>
    </w:p>
    <w:p w14:paraId="5072032F"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Musgrove, P. (2011), Financial and other rewards for good performance or results: a guided tour of concepts and terms and a short glossary. </w:t>
      </w:r>
      <w:r w:rsidRPr="00805442">
        <w:rPr>
          <w:rFonts w:ascii="Times New Roman" w:hAnsi="Times New Roman" w:cs="Times New Roman"/>
          <w:i/>
          <w:sz w:val="24"/>
        </w:rPr>
        <w:t>Washington, DC: World Bank</w:t>
      </w:r>
      <w:r w:rsidRPr="00805442">
        <w:rPr>
          <w:rFonts w:ascii="Times New Roman" w:hAnsi="Times New Roman" w:cs="Times New Roman"/>
          <w:sz w:val="24"/>
        </w:rPr>
        <w:t xml:space="preserve">, </w:t>
      </w:r>
      <w:r w:rsidRPr="00805442">
        <w:rPr>
          <w:rFonts w:ascii="Times New Roman" w:hAnsi="Times New Roman" w:cs="Times New Roman"/>
          <w:i/>
          <w:sz w:val="24"/>
        </w:rPr>
        <w:t>12</w:t>
      </w:r>
      <w:r w:rsidRPr="00805442">
        <w:rPr>
          <w:rFonts w:ascii="Times New Roman" w:hAnsi="Times New Roman" w:cs="Times New Roman"/>
          <w:sz w:val="24"/>
        </w:rPr>
        <w:t>. https://collaboration.worldbank.org/.</w:t>
      </w:r>
    </w:p>
    <w:p w14:paraId="40F10235"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Neumark, D., &amp; Simpson, H. (2015). Place-based policies. In </w:t>
      </w:r>
      <w:r w:rsidRPr="00805442">
        <w:rPr>
          <w:rFonts w:ascii="Times New Roman" w:hAnsi="Times New Roman" w:cs="Times New Roman"/>
          <w:i/>
          <w:sz w:val="24"/>
        </w:rPr>
        <w:t xml:space="preserve">Handbook of regional and urban economics </w:t>
      </w:r>
      <w:r w:rsidRPr="00805442">
        <w:rPr>
          <w:rFonts w:ascii="Times New Roman" w:hAnsi="Times New Roman" w:cs="Times New Roman"/>
          <w:sz w:val="24"/>
        </w:rPr>
        <w:t>(Vol. 5, pp. 1197-1287). Elsevier. https://doi.org/10.1016/B978-0-444-59531-7.00018-1.</w:t>
      </w:r>
    </w:p>
    <w:p w14:paraId="78EE86D0" w14:textId="048E782A"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Oates, W. E. (1997), On the welfare gains from fiscal decentralization. Journal of Public Finance and Public Choice, 15(2-3), 83-92. https://www.jstor.org/stable/41790447</w:t>
      </w:r>
    </w:p>
    <w:p w14:paraId="71B6D86A"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OECD/KIPF (2016), </w:t>
      </w:r>
      <w:r w:rsidRPr="00805442">
        <w:rPr>
          <w:rFonts w:ascii="Times New Roman" w:hAnsi="Times New Roman" w:cs="Times New Roman"/>
          <w:i/>
          <w:sz w:val="24"/>
        </w:rPr>
        <w:t>Fiscal Federalism 2016: Making Decentralisation Work</w:t>
      </w:r>
      <w:r w:rsidRPr="00805442">
        <w:rPr>
          <w:rFonts w:ascii="Times New Roman" w:hAnsi="Times New Roman" w:cs="Times New Roman"/>
          <w:sz w:val="24"/>
        </w:rPr>
        <w:t>, OECD Publishing, Paris, https://dx.doi.org/10.1787/9789264254053-en.</w:t>
      </w:r>
    </w:p>
    <w:p w14:paraId="0E994848"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lastRenderedPageBreak/>
        <w:t xml:space="preserve">OECD (2018), </w:t>
      </w:r>
      <w:r w:rsidRPr="00805442">
        <w:rPr>
          <w:rFonts w:ascii="Times New Roman" w:hAnsi="Times New Roman" w:cs="Times New Roman"/>
          <w:i/>
          <w:sz w:val="24"/>
        </w:rPr>
        <w:t>Rethinking Regional Development Policy-making</w:t>
      </w:r>
      <w:r w:rsidRPr="00805442">
        <w:rPr>
          <w:rFonts w:ascii="Times New Roman" w:hAnsi="Times New Roman" w:cs="Times New Roman"/>
          <w:sz w:val="24"/>
        </w:rPr>
        <w:t>, OECD Multi-level Governance Studies, OECD Publishing, Paris, https://dx.doi.org/10.1787/9789264293014-en .</w:t>
      </w:r>
    </w:p>
    <w:p w14:paraId="2583F2B7"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(2019), OECD labā prakse snieguma budžeta plānošanā, OECD Publishing, Paris, https://doi.org/10.1787/c90b0305-en.</w:t>
      </w:r>
    </w:p>
    <w:p w14:paraId="52032408"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(2021), Fiscal Federalism 2022: Making Decentralisation Work, OECD Publishing, Paris, https://doi.org/10.1787/201c75b6-en.</w:t>
      </w:r>
    </w:p>
    <w:p w14:paraId="5D8A20AB"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(2022), Green budgeting in OECD countries – 2022 OECD Green Budgeting Survey Results. https://qdd.oecd.org/subject.aspx?Subject=GOV_GREENBUD_2022</w:t>
      </w:r>
    </w:p>
    <w:p w14:paraId="17143131"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(2023a), Environmental Tax Policy Review of Andalusia, OECD Publishing, Paris, https://doi.org/10.1787/fe6d8b45-en.</w:t>
      </w:r>
    </w:p>
    <w:p w14:paraId="7CAFDBF2"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 (2023b), “OECD Best Practices for Gender Budgeting”, OECD Journal on Budgeting, Vol. 23/1, https://doi.org/10.1787/9574ed6f-en.</w:t>
      </w:r>
    </w:p>
    <w:p w14:paraId="0195C722"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OECD/KIPF (2024), Addressing Inequality in Budgeting: Lessons from Recent Country Experience, OECD Publishing, Paris, https://doi.org/10.1787/ea80d61d-en.</w:t>
      </w:r>
    </w:p>
    <w:p w14:paraId="6A050C56" w14:textId="555C6E52"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Olson, M. (1969), The principle of “fiscal equivalence”: the division of responsibilities among different levels of government. The American Economic Review, 59(2), 479-487. www.jstor.org/stable/1823700</w:t>
      </w:r>
    </w:p>
    <w:p w14:paraId="5EB726CB"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Padovano, F. (2007), </w:t>
      </w:r>
      <w:r w:rsidRPr="00805442">
        <w:rPr>
          <w:rFonts w:ascii="Times New Roman" w:hAnsi="Times New Roman" w:cs="Times New Roman"/>
          <w:i/>
          <w:sz w:val="24"/>
        </w:rPr>
        <w:t>The politics and economics of regional transfers: Decentralization, interregional redistribution and income convergence</w:t>
      </w:r>
      <w:r w:rsidRPr="00805442">
        <w:rPr>
          <w:rFonts w:ascii="Times New Roman" w:hAnsi="Times New Roman" w:cs="Times New Roman"/>
          <w:sz w:val="24"/>
        </w:rPr>
        <w:t>. Edward Elgar Publishing. www.e- elgar.com/shop/isbn/9781845426668</w:t>
      </w:r>
    </w:p>
    <w:p w14:paraId="33582019"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Searle, B., &amp; Ahmad, E. (2005), On the implementation of transfers to subnational governments. </w:t>
      </w:r>
      <w:r w:rsidRPr="00805442">
        <w:rPr>
          <w:rFonts w:ascii="Times New Roman" w:hAnsi="Times New Roman" w:cs="Times New Roman"/>
          <w:i/>
          <w:sz w:val="24"/>
        </w:rPr>
        <w:t>IMF Working Papers</w:t>
      </w:r>
      <w:r w:rsidRPr="00805442">
        <w:rPr>
          <w:rFonts w:ascii="Times New Roman" w:hAnsi="Times New Roman" w:cs="Times New Roman"/>
          <w:sz w:val="24"/>
        </w:rPr>
        <w:t xml:space="preserve">, </w:t>
      </w:r>
      <w:r w:rsidRPr="00805442">
        <w:rPr>
          <w:rFonts w:ascii="Times New Roman" w:hAnsi="Times New Roman" w:cs="Times New Roman"/>
          <w:i/>
          <w:sz w:val="24"/>
        </w:rPr>
        <w:t>2005</w:t>
      </w:r>
      <w:r w:rsidRPr="00805442">
        <w:rPr>
          <w:rFonts w:ascii="Times New Roman" w:hAnsi="Times New Roman" w:cs="Times New Roman"/>
          <w:sz w:val="24"/>
        </w:rPr>
        <w:t>(130), A001. Retrieved Jan 25, 2024, from https://doi.org/10.5089/9781451861495.001.</w:t>
      </w:r>
    </w:p>
    <w:p w14:paraId="56D43D91"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Shah, A. (2006), </w:t>
      </w:r>
      <w:r w:rsidRPr="00805442">
        <w:rPr>
          <w:rFonts w:ascii="Times New Roman" w:hAnsi="Times New Roman" w:cs="Times New Roman"/>
          <w:i/>
          <w:sz w:val="24"/>
        </w:rPr>
        <w:t>A practitioner’s guide to intergovernmental fiscal transfers</w:t>
      </w:r>
      <w:r w:rsidRPr="00805442">
        <w:rPr>
          <w:rFonts w:ascii="Times New Roman" w:hAnsi="Times New Roman" w:cs="Times New Roman"/>
          <w:sz w:val="24"/>
        </w:rPr>
        <w:t>. The World Bank.</w:t>
      </w:r>
    </w:p>
    <w:p w14:paraId="274ABF64" w14:textId="229EE9E5" w:rsidR="0068352E" w:rsidRPr="00805442" w:rsidRDefault="0068352E" w:rsidP="00453E24">
      <w:pPr>
        <w:pStyle w:val="BodyText"/>
        <w:tabs>
          <w:tab w:val="left" w:pos="2190"/>
          <w:tab w:val="left" w:pos="3231"/>
          <w:tab w:val="left" w:pos="4219"/>
          <w:tab w:val="left" w:pos="5435"/>
          <w:tab w:val="left" w:pos="6956"/>
          <w:tab w:val="left" w:pos="8446"/>
        </w:tabs>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Shah, A. (2017), Horizontal Fiscal Equalisation in Australia: Peering Inside the Black Box. </w:t>
      </w:r>
      <w:r w:rsidRPr="00805442">
        <w:rPr>
          <w:rFonts w:ascii="Times New Roman" w:hAnsi="Times New Roman" w:cs="Times New Roman"/>
          <w:i/>
          <w:sz w:val="24"/>
        </w:rPr>
        <w:t>Brookings Institution and the World Bank</w:t>
      </w:r>
      <w:r w:rsidRPr="00805442">
        <w:rPr>
          <w:rFonts w:ascii="Times New Roman" w:hAnsi="Times New Roman" w:cs="Times New Roman"/>
          <w:sz w:val="24"/>
        </w:rPr>
        <w:t xml:space="preserve">, </w:t>
      </w:r>
      <w:r w:rsidRPr="00805442">
        <w:rPr>
          <w:rFonts w:ascii="Times New Roman" w:hAnsi="Times New Roman" w:cs="Times New Roman"/>
          <w:i/>
          <w:sz w:val="24"/>
        </w:rPr>
        <w:t>63</w:t>
      </w:r>
      <w:r w:rsidRPr="00805442">
        <w:rPr>
          <w:rFonts w:ascii="Times New Roman" w:hAnsi="Times New Roman" w:cs="Times New Roman"/>
          <w:sz w:val="24"/>
        </w:rPr>
        <w:t>. www.pc.gov.au/ data/assets/pdf_file/0007/223495/subdr103-horizontal-fiscal-equalisation.pdf.</w:t>
      </w:r>
    </w:p>
    <w:p w14:paraId="799D1F63"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Shah, A. (Ed.), (2023), </w:t>
      </w:r>
      <w:r w:rsidRPr="00805442">
        <w:rPr>
          <w:rFonts w:ascii="Times New Roman" w:hAnsi="Times New Roman" w:cs="Times New Roman"/>
          <w:i/>
          <w:sz w:val="24"/>
        </w:rPr>
        <w:t>Taxing Choices for Managing Natural Resources, the Environment and Global Climate Change: Fiscal Systems Reform Perspectives</w:t>
      </w:r>
      <w:r w:rsidRPr="00805442">
        <w:rPr>
          <w:rFonts w:ascii="Times New Roman" w:hAnsi="Times New Roman" w:cs="Times New Roman"/>
          <w:sz w:val="24"/>
        </w:rPr>
        <w:t>. Springer Nature.</w:t>
      </w:r>
    </w:p>
    <w:p w14:paraId="1BCA24C9" w14:textId="04616BC2"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Shotton, R., &amp; Gankhuyag, U. (2021), “Fiscal transfers in Asia: Pitfalls and opportunities for achieving the Sustainable Development Goals”, in Kim, J. and S. Dougherty (Eds.), </w:t>
      </w:r>
      <w:r w:rsidRPr="00805442">
        <w:rPr>
          <w:rFonts w:ascii="Times New Roman" w:hAnsi="Times New Roman" w:cs="Times New Roman"/>
          <w:i/>
          <w:sz w:val="24"/>
        </w:rPr>
        <w:t>Local Public Finance and Capacity Building in Asia: Issues and Challenges</w:t>
      </w:r>
      <w:r w:rsidRPr="00805442">
        <w:rPr>
          <w:rFonts w:ascii="Times New Roman" w:hAnsi="Times New Roman" w:cs="Times New Roman"/>
          <w:sz w:val="24"/>
        </w:rPr>
        <w:t>, OECD Publishing, Paris, https://doi.org/10.1787/76cdfe74-en.</w:t>
      </w:r>
    </w:p>
    <w:p w14:paraId="34F1E466"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Slack, E. &amp; R. Bird (2014), “The Political Economy of Property Tax Reform”</w:t>
      </w:r>
      <w:r w:rsidRPr="00805442">
        <w:rPr>
          <w:rFonts w:ascii="Times New Roman" w:hAnsi="Times New Roman" w:cs="Times New Roman"/>
          <w:i/>
          <w:sz w:val="24"/>
        </w:rPr>
        <w:t>, OECD Working Papers on Fiscal Federalism</w:t>
      </w:r>
      <w:r w:rsidRPr="00805442">
        <w:rPr>
          <w:rFonts w:ascii="Times New Roman" w:hAnsi="Times New Roman" w:cs="Times New Roman"/>
          <w:sz w:val="24"/>
        </w:rPr>
        <w:t>, No. 18, OECD Publishing, Paris, https://dx.doi.org/10.1787/5jz5pzvzv6r7-en.</w:t>
      </w:r>
    </w:p>
    <w:p w14:paraId="3ED3EB6E"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Smart, M. (2007), Raising taxes through equalization. </w:t>
      </w:r>
      <w:r w:rsidRPr="00805442">
        <w:rPr>
          <w:rFonts w:ascii="Times New Roman" w:hAnsi="Times New Roman" w:cs="Times New Roman"/>
          <w:i/>
          <w:sz w:val="24"/>
        </w:rPr>
        <w:t>Canadian Journal of Economics / Revue canadienne d’économique</w:t>
      </w:r>
      <w:r w:rsidRPr="00805442">
        <w:rPr>
          <w:rFonts w:ascii="Times New Roman" w:hAnsi="Times New Roman" w:cs="Times New Roman"/>
          <w:sz w:val="24"/>
        </w:rPr>
        <w:t xml:space="preserve">, </w:t>
      </w:r>
      <w:r w:rsidRPr="00805442">
        <w:rPr>
          <w:rFonts w:ascii="Times New Roman" w:hAnsi="Times New Roman" w:cs="Times New Roman"/>
          <w:i/>
          <w:sz w:val="24"/>
        </w:rPr>
        <w:t>40</w:t>
      </w:r>
      <w:r w:rsidRPr="00805442">
        <w:rPr>
          <w:rFonts w:ascii="Times New Roman" w:hAnsi="Times New Roman" w:cs="Times New Roman"/>
          <w:sz w:val="24"/>
        </w:rPr>
        <w:t>(4), 1188-1212. https://doi.org/10.1111/j.1365-2966.2007.00448.x.</w:t>
      </w:r>
    </w:p>
    <w:p w14:paraId="62FBB4A6" w14:textId="77777777"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Sorens, J. (2014), Fiscal federalism, jurisdictional competition, and the size of government. </w:t>
      </w:r>
      <w:r w:rsidRPr="00805442">
        <w:rPr>
          <w:rFonts w:ascii="Times New Roman" w:hAnsi="Times New Roman" w:cs="Times New Roman"/>
          <w:i/>
          <w:sz w:val="24"/>
        </w:rPr>
        <w:t>Constitutional Political Economy</w:t>
      </w:r>
      <w:r w:rsidRPr="00805442">
        <w:rPr>
          <w:rFonts w:ascii="Times New Roman" w:hAnsi="Times New Roman" w:cs="Times New Roman"/>
          <w:sz w:val="24"/>
        </w:rPr>
        <w:t>, 25, 354-375. https://doi.org/10.1007/s10602-014-9164-0</w:t>
      </w:r>
    </w:p>
    <w:p w14:paraId="6D4E2E67" w14:textId="4984CFAA"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Spahn, P. B. (2012), “Conditioning Intergovernmental Transfers and Modes of Interagency Co-operation for Greater Effectiveness of Multilevel Government in OECD Countries”, www.oecd.org/cfe/regionaldevelopment/Conditioning-Intergovernmental-Transfers-</w:t>
      </w:r>
      <w:r w:rsidRPr="00805442">
        <w:rPr>
          <w:rFonts w:ascii="Times New Roman" w:hAnsi="Times New Roman" w:cs="Times New Roman"/>
          <w:sz w:val="24"/>
        </w:rPr>
        <w:lastRenderedPageBreak/>
        <w:t>paper.pdf</w:t>
      </w:r>
    </w:p>
    <w:p w14:paraId="6B57070C" w14:textId="729F86E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Steffensen, J. (2010), Performance-based grant systems: concept and international experience. </w:t>
      </w:r>
      <w:r w:rsidRPr="00805442">
        <w:rPr>
          <w:rFonts w:ascii="Times New Roman" w:hAnsi="Times New Roman" w:cs="Times New Roman"/>
          <w:i/>
          <w:sz w:val="24"/>
        </w:rPr>
        <w:t xml:space="preserve">United Nations Capital Development Fund. </w:t>
      </w:r>
      <w:r w:rsidRPr="00805442">
        <w:rPr>
          <w:rFonts w:ascii="Times New Roman" w:hAnsi="Times New Roman" w:cs="Times New Roman"/>
          <w:sz w:val="24"/>
        </w:rPr>
        <w:t>http://www.uncdf.org/en/node/2304.</w:t>
      </w:r>
    </w:p>
    <w:p w14:paraId="1F387A0D" w14:textId="0D95154D" w:rsidR="0068352E" w:rsidRPr="00805442" w:rsidRDefault="0068352E" w:rsidP="00453E24">
      <w:pPr>
        <w:pStyle w:val="BodyText"/>
        <w:ind w:left="567" w:hanging="567"/>
        <w:jc w:val="both"/>
        <w:rPr>
          <w:rFonts w:ascii="Times New Roman" w:hAnsi="Times New Roman" w:cs="Times New Roman"/>
          <w:noProof/>
          <w:sz w:val="24"/>
          <w:szCs w:val="24"/>
        </w:rPr>
      </w:pPr>
      <w:r w:rsidRPr="00805442">
        <w:rPr>
          <w:rFonts w:ascii="Times New Roman" w:hAnsi="Times New Roman" w:cs="Times New Roman"/>
          <w:sz w:val="24"/>
        </w:rPr>
        <w:t>Sutter, D. (2016), The Political Economy of Medicaid Expansion: Federalism, Interest Groups and the ACA. Mercatus Available from: http://dx.doi.org/10.2139/ssrn.3191450</w:t>
      </w:r>
    </w:p>
    <w:p w14:paraId="54AF12F2"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Ter-Minassian, T. (2021), “Challenges of subnational capacity development”, in Kim, J. and S. Dougherty (eds.), </w:t>
      </w:r>
      <w:r w:rsidRPr="00805442">
        <w:rPr>
          <w:rFonts w:ascii="Times New Roman" w:hAnsi="Times New Roman" w:cs="Times New Roman"/>
          <w:i/>
          <w:sz w:val="24"/>
        </w:rPr>
        <w:t>Local Public Finance and Capacity Building in Asia: Issues and Challenges</w:t>
      </w:r>
      <w:r w:rsidRPr="00805442">
        <w:rPr>
          <w:rFonts w:ascii="Times New Roman" w:hAnsi="Times New Roman" w:cs="Times New Roman"/>
          <w:sz w:val="24"/>
        </w:rPr>
        <w:t>, OECD Publishing, Paris, https://doi.org/10.1787/c02dc03d-en.</w:t>
      </w:r>
    </w:p>
    <w:p w14:paraId="5B76C007" w14:textId="28BB4B70"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UNICEF (2013), “Performance-Based Equitable Resource Allocation Model: The Punjab Experience”</w:t>
      </w:r>
      <w:r w:rsidRPr="00805442">
        <w:rPr>
          <w:rFonts w:ascii="Times New Roman" w:hAnsi="Times New Roman" w:cs="Times New Roman"/>
          <w:i/>
          <w:sz w:val="24"/>
        </w:rPr>
        <w:t>, Maternal, Newborn and Child Health Working Paper</w:t>
      </w:r>
      <w:r w:rsidRPr="00805442">
        <w:rPr>
          <w:rFonts w:ascii="Times New Roman" w:hAnsi="Times New Roman" w:cs="Times New Roman"/>
          <w:sz w:val="24"/>
        </w:rPr>
        <w:t>, UNICEF. http://www.unicef.org/health/files/Punjab_Model_FINAL.pdf.</w:t>
      </w:r>
    </w:p>
    <w:p w14:paraId="3EF4C4FC" w14:textId="5B74FCBB" w:rsidR="0068352E" w:rsidRPr="00805442" w:rsidRDefault="0068352E" w:rsidP="00453E24">
      <w:pPr>
        <w:keepNext/>
        <w:keepLines/>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Yilmaz, S., &amp; Zahir, F. (2020), </w:t>
      </w:r>
      <w:r w:rsidRPr="00805442">
        <w:rPr>
          <w:rFonts w:ascii="Times New Roman" w:hAnsi="Times New Roman" w:cs="Times New Roman"/>
          <w:i/>
          <w:sz w:val="24"/>
        </w:rPr>
        <w:t>Intergovernmental transfers in federations</w:t>
      </w:r>
      <w:r w:rsidRPr="00805442">
        <w:rPr>
          <w:rFonts w:ascii="Times New Roman" w:hAnsi="Times New Roman" w:cs="Times New Roman"/>
          <w:sz w:val="24"/>
        </w:rPr>
        <w:t>. Edward Elgar Publishing. Future Generations Commissioner for Wales (2015), The Well-being of future generations act. https://www.futuregenerations.wales/about-us/future-generations-act/</w:t>
      </w:r>
    </w:p>
    <w:p w14:paraId="4F35CC24" w14:textId="77777777" w:rsidR="0068352E" w:rsidRPr="00805442" w:rsidRDefault="0068352E" w:rsidP="00453E24">
      <w:pPr>
        <w:ind w:left="567" w:hanging="567"/>
        <w:jc w:val="both"/>
        <w:rPr>
          <w:rFonts w:ascii="Times New Roman" w:hAnsi="Times New Roman" w:cs="Times New Roman"/>
          <w:noProof/>
          <w:sz w:val="24"/>
          <w:szCs w:val="24"/>
        </w:rPr>
      </w:pPr>
      <w:r w:rsidRPr="00805442">
        <w:rPr>
          <w:rFonts w:ascii="Times New Roman" w:hAnsi="Times New Roman" w:cs="Times New Roman"/>
          <w:sz w:val="24"/>
        </w:rPr>
        <w:t xml:space="preserve">Wetzel, D. L., &amp; Viñuela, L. (2020), Intergovernmental fiscal transfers and performance grants in Brazil. In Yilmaz, S., &amp; Zahir (Eds) </w:t>
      </w:r>
      <w:r w:rsidRPr="00805442">
        <w:rPr>
          <w:rFonts w:ascii="Times New Roman" w:hAnsi="Times New Roman" w:cs="Times New Roman"/>
          <w:i/>
          <w:sz w:val="24"/>
        </w:rPr>
        <w:t>Intergovernmental transfers in federations</w:t>
      </w:r>
      <w:r w:rsidRPr="00805442">
        <w:rPr>
          <w:rFonts w:ascii="Times New Roman" w:hAnsi="Times New Roman" w:cs="Times New Roman"/>
          <w:sz w:val="24"/>
        </w:rPr>
        <w:t>, 204. Edward Elgar Publishing.</w:t>
      </w:r>
    </w:p>
    <w:sectPr w:rsidR="0068352E" w:rsidRPr="00805442" w:rsidSect="00174B1A">
      <w:headerReference w:type="default" r:id="rId42"/>
      <w:footerReference w:type="default" r:id="rId43"/>
      <w:headerReference w:type="first" r:id="rId44"/>
      <w:footerReference w:type="first" r:id="rId45"/>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8C32" w14:textId="77777777" w:rsidR="00CF2C42" w:rsidRPr="0068352E" w:rsidRDefault="00CF2C42">
      <w:pPr>
        <w:rPr>
          <w:noProof/>
        </w:rPr>
      </w:pPr>
      <w:r w:rsidRPr="0068352E">
        <w:rPr>
          <w:noProof/>
        </w:rPr>
        <w:separator/>
      </w:r>
    </w:p>
  </w:endnote>
  <w:endnote w:type="continuationSeparator" w:id="0">
    <w:p w14:paraId="259ED2EA" w14:textId="77777777" w:rsidR="00CF2C42" w:rsidRPr="0068352E" w:rsidRDefault="00CF2C42">
      <w:pPr>
        <w:rPr>
          <w:noProof/>
        </w:rPr>
      </w:pPr>
      <w:r w:rsidRPr="0068352E">
        <w:rPr>
          <w:noProof/>
        </w:rPr>
        <w:continuationSeparator/>
      </w:r>
    </w:p>
  </w:endnote>
  <w:endnote w:type="continuationNotice" w:id="1">
    <w:p w14:paraId="0D6DC448" w14:textId="77777777" w:rsidR="00CF2C42" w:rsidRDefault="00CF2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970B" w14:textId="77C28D75" w:rsidR="00917273" w:rsidRDefault="0091727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883B" w14:textId="77777777" w:rsidR="00156BE4" w:rsidRPr="00864FDC" w:rsidRDefault="00156BE4" w:rsidP="00156BE4">
    <w:pPr>
      <w:pStyle w:val="Header"/>
      <w:tabs>
        <w:tab w:val="left" w:pos="9072"/>
      </w:tabs>
      <w:rPr>
        <w:rStyle w:val="PageNumber"/>
        <w:rFonts w:ascii="Times New Roman" w:hAnsi="Times New Roman" w:cs="Times New Roman"/>
        <w:sz w:val="20"/>
        <w:szCs w:val="18"/>
      </w:rPr>
    </w:pPr>
  </w:p>
  <w:p w14:paraId="5640DD41" w14:textId="77777777" w:rsidR="00156BE4" w:rsidRPr="00864FDC" w:rsidRDefault="00156BE4" w:rsidP="00156BE4">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174EBB2" w14:textId="77777777" w:rsidR="00156BE4" w:rsidRPr="00864FDC" w:rsidRDefault="00156BE4" w:rsidP="00156BE4">
    <w:pPr>
      <w:pStyle w:val="Header"/>
      <w:tabs>
        <w:tab w:val="right" w:pos="9072"/>
      </w:tabs>
      <w:rPr>
        <w:rStyle w:val="PageNumber"/>
        <w:rFonts w:ascii="Times New Roman" w:hAnsi="Times New Roman" w:cs="Times New Roman"/>
        <w:sz w:val="20"/>
        <w:szCs w:val="18"/>
      </w:rPr>
    </w:pPr>
  </w:p>
  <w:p w14:paraId="4DF4970C" w14:textId="0687AF97" w:rsidR="00917273" w:rsidRPr="00156BE4" w:rsidRDefault="00156BE4" w:rsidP="00156BE4">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1186" w14:textId="77777777" w:rsidR="00101341" w:rsidRPr="00864FDC" w:rsidRDefault="00101341" w:rsidP="00101341">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27D034C5" w14:textId="77777777" w:rsidR="00101341" w:rsidRPr="00864FDC" w:rsidRDefault="00101341" w:rsidP="00101341">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9854367" w14:textId="77777777" w:rsidR="00101341" w:rsidRPr="00864FDC" w:rsidRDefault="00101341" w:rsidP="00101341">
    <w:pPr>
      <w:pStyle w:val="Header"/>
      <w:tabs>
        <w:tab w:val="left" w:pos="9072"/>
      </w:tabs>
      <w:rPr>
        <w:rStyle w:val="PageNumber"/>
        <w:rFonts w:ascii="Times New Roman" w:hAnsi="Times New Roman" w:cs="Times New Roman"/>
        <w:sz w:val="20"/>
        <w:szCs w:val="18"/>
      </w:rPr>
    </w:pPr>
  </w:p>
  <w:p w14:paraId="175AB710" w14:textId="0507F9F1" w:rsidR="00734ACD" w:rsidRPr="00101341" w:rsidRDefault="00101341">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3386" w14:textId="77777777" w:rsidR="0064558C" w:rsidRPr="00864FDC" w:rsidRDefault="0064558C" w:rsidP="00156BE4">
    <w:pPr>
      <w:pStyle w:val="Header"/>
      <w:tabs>
        <w:tab w:val="left" w:pos="9072"/>
      </w:tabs>
      <w:rPr>
        <w:rStyle w:val="PageNumber"/>
        <w:rFonts w:ascii="Times New Roman" w:hAnsi="Times New Roman" w:cs="Times New Roman"/>
        <w:sz w:val="20"/>
        <w:szCs w:val="18"/>
      </w:rPr>
    </w:pPr>
  </w:p>
  <w:p w14:paraId="55EE954A" w14:textId="77777777" w:rsidR="0064558C" w:rsidRPr="00864FDC" w:rsidRDefault="0064558C" w:rsidP="0064558C">
    <w:pPr>
      <w:pStyle w:val="Header"/>
      <w:tabs>
        <w:tab w:val="clear" w:pos="4513"/>
        <w:tab w:val="clear" w:pos="9026"/>
        <w:tab w:val="right" w:leader="underscore" w:pos="14459"/>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CE20A28" w14:textId="77777777" w:rsidR="0064558C" w:rsidRPr="00864FDC" w:rsidRDefault="0064558C" w:rsidP="00156BE4">
    <w:pPr>
      <w:pStyle w:val="Header"/>
      <w:tabs>
        <w:tab w:val="right" w:pos="9072"/>
      </w:tabs>
      <w:rPr>
        <w:rStyle w:val="PageNumber"/>
        <w:rFonts w:ascii="Times New Roman" w:hAnsi="Times New Roman" w:cs="Times New Roman"/>
        <w:sz w:val="20"/>
        <w:szCs w:val="18"/>
      </w:rPr>
    </w:pPr>
  </w:p>
  <w:p w14:paraId="46AC64F1" w14:textId="77777777" w:rsidR="0064558C" w:rsidRPr="00156BE4" w:rsidRDefault="0064558C" w:rsidP="0064558C">
    <w:pPr>
      <w:pStyle w:val="Footer"/>
      <w:tabs>
        <w:tab w:val="clear" w:pos="4513"/>
        <w:tab w:val="clear" w:pos="9026"/>
        <w:tab w:val="right" w:pos="14317"/>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7985" w14:textId="77777777" w:rsidR="0064558C" w:rsidRPr="00864FDC" w:rsidRDefault="0064558C" w:rsidP="0064558C">
    <w:pPr>
      <w:pStyle w:val="Header"/>
      <w:tabs>
        <w:tab w:val="left" w:pos="9072"/>
      </w:tabs>
      <w:rPr>
        <w:rStyle w:val="PageNumber"/>
        <w:rFonts w:ascii="Times New Roman" w:hAnsi="Times New Roman" w:cs="Times New Roman"/>
        <w:sz w:val="20"/>
        <w:szCs w:val="18"/>
      </w:rPr>
    </w:pPr>
  </w:p>
  <w:p w14:paraId="23B1BD3B" w14:textId="77777777" w:rsidR="0064558C" w:rsidRPr="00864FDC" w:rsidRDefault="0064558C" w:rsidP="0064558C">
    <w:pPr>
      <w:pStyle w:val="Header"/>
      <w:tabs>
        <w:tab w:val="clear" w:pos="4513"/>
        <w:tab w:val="clear" w:pos="9026"/>
        <w:tab w:val="right" w:leader="underscore" w:pos="14459"/>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4B55912" w14:textId="77777777" w:rsidR="0064558C" w:rsidRPr="00864FDC" w:rsidRDefault="0064558C" w:rsidP="0064558C">
    <w:pPr>
      <w:pStyle w:val="Header"/>
      <w:tabs>
        <w:tab w:val="right" w:pos="9072"/>
      </w:tabs>
      <w:rPr>
        <w:rStyle w:val="PageNumber"/>
        <w:rFonts w:ascii="Times New Roman" w:hAnsi="Times New Roman" w:cs="Times New Roman"/>
        <w:sz w:val="20"/>
        <w:szCs w:val="18"/>
      </w:rPr>
    </w:pPr>
  </w:p>
  <w:p w14:paraId="32397B84" w14:textId="4DF76998" w:rsidR="0064558C" w:rsidRPr="0064558C" w:rsidRDefault="0064558C" w:rsidP="0064558C">
    <w:pPr>
      <w:pStyle w:val="Footer"/>
      <w:tabs>
        <w:tab w:val="clear" w:pos="4513"/>
        <w:tab w:val="clear" w:pos="9026"/>
        <w:tab w:val="right" w:pos="14317"/>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39</w:t>
    </w:r>
    <w:r w:rsidRPr="00864FDC">
      <w:rPr>
        <w:rStyle w:val="PageNumber"/>
        <w:rFonts w:ascii="Times New Roman" w:hAnsi="Times New Roman" w:cs="Times New Roman"/>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53D2" w14:textId="77777777" w:rsidR="0064558C" w:rsidRPr="00864FDC" w:rsidRDefault="0064558C" w:rsidP="0064558C">
    <w:pPr>
      <w:pStyle w:val="Header"/>
      <w:tabs>
        <w:tab w:val="left" w:pos="9072"/>
      </w:tabs>
      <w:rPr>
        <w:rStyle w:val="PageNumber"/>
        <w:rFonts w:ascii="Times New Roman" w:hAnsi="Times New Roman" w:cs="Times New Roman"/>
        <w:sz w:val="20"/>
        <w:szCs w:val="18"/>
      </w:rPr>
    </w:pPr>
  </w:p>
  <w:p w14:paraId="5E0E6259" w14:textId="77777777" w:rsidR="0064558C" w:rsidRPr="00864FDC" w:rsidRDefault="0064558C" w:rsidP="0064558C">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8DFDFF9" w14:textId="77777777" w:rsidR="0064558C" w:rsidRPr="00864FDC" w:rsidRDefault="0064558C" w:rsidP="0064558C">
    <w:pPr>
      <w:pStyle w:val="Header"/>
      <w:tabs>
        <w:tab w:val="right" w:pos="9072"/>
      </w:tabs>
      <w:rPr>
        <w:rStyle w:val="PageNumber"/>
        <w:rFonts w:ascii="Times New Roman" w:hAnsi="Times New Roman" w:cs="Times New Roman"/>
        <w:sz w:val="20"/>
        <w:szCs w:val="18"/>
      </w:rPr>
    </w:pPr>
  </w:p>
  <w:p w14:paraId="5EC71BDC" w14:textId="2F2B5D63" w:rsidR="0064558C" w:rsidRPr="00156BE4" w:rsidRDefault="0064558C" w:rsidP="0064558C">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BECB" w14:textId="77777777" w:rsidR="0064558C" w:rsidRPr="00864FDC" w:rsidRDefault="0064558C" w:rsidP="0064558C">
    <w:pPr>
      <w:pStyle w:val="Header"/>
      <w:tabs>
        <w:tab w:val="left" w:pos="9072"/>
      </w:tabs>
      <w:rPr>
        <w:rStyle w:val="PageNumber"/>
        <w:rFonts w:ascii="Times New Roman" w:hAnsi="Times New Roman" w:cs="Times New Roman"/>
        <w:sz w:val="20"/>
        <w:szCs w:val="18"/>
      </w:rPr>
    </w:pPr>
  </w:p>
  <w:p w14:paraId="542D2DFD" w14:textId="77777777" w:rsidR="0064558C" w:rsidRPr="00864FDC" w:rsidRDefault="0064558C" w:rsidP="0064558C">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44A29BF" w14:textId="77777777" w:rsidR="0064558C" w:rsidRPr="00864FDC" w:rsidRDefault="0064558C" w:rsidP="0064558C">
    <w:pPr>
      <w:pStyle w:val="Header"/>
      <w:tabs>
        <w:tab w:val="right" w:pos="9072"/>
      </w:tabs>
      <w:rPr>
        <w:rStyle w:val="PageNumber"/>
        <w:rFonts w:ascii="Times New Roman" w:hAnsi="Times New Roman" w:cs="Times New Roman"/>
        <w:sz w:val="20"/>
        <w:szCs w:val="18"/>
      </w:rPr>
    </w:pPr>
  </w:p>
  <w:p w14:paraId="46D99914" w14:textId="0A0F2613" w:rsidR="0064558C" w:rsidRPr="0064558C" w:rsidRDefault="0064558C" w:rsidP="0064558C">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37</w:t>
    </w:r>
    <w:r w:rsidRPr="00864FDC">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61CA4" w14:textId="77777777" w:rsidR="00CF2C42" w:rsidRPr="0068352E" w:rsidRDefault="00CF2C42">
      <w:pPr>
        <w:rPr>
          <w:noProof/>
        </w:rPr>
      </w:pPr>
      <w:r w:rsidRPr="0068352E">
        <w:rPr>
          <w:noProof/>
        </w:rPr>
        <w:separator/>
      </w:r>
    </w:p>
  </w:footnote>
  <w:footnote w:type="continuationSeparator" w:id="0">
    <w:p w14:paraId="3B63C470" w14:textId="77777777" w:rsidR="00CF2C42" w:rsidRPr="0068352E" w:rsidRDefault="00CF2C42">
      <w:pPr>
        <w:rPr>
          <w:noProof/>
        </w:rPr>
      </w:pPr>
      <w:r w:rsidRPr="0068352E">
        <w:rPr>
          <w:noProof/>
        </w:rPr>
        <w:continuationSeparator/>
      </w:r>
    </w:p>
  </w:footnote>
  <w:footnote w:type="continuationNotice" w:id="1">
    <w:p w14:paraId="5F89AFC2" w14:textId="77777777" w:rsidR="00CF2C42" w:rsidRDefault="00CF2C42"/>
  </w:footnote>
  <w:footnote w:id="2">
    <w:p w14:paraId="4CD7E9E3" w14:textId="2F8F0588" w:rsidR="008B0274" w:rsidRPr="008B0274" w:rsidRDefault="00B060C8" w:rsidP="008B0274">
      <w:pPr>
        <w:pStyle w:val="FootnoteText"/>
        <w:spacing w:before="1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dokuments tika apspriests </w:t>
      </w:r>
      <w:r>
        <w:rPr>
          <w:rFonts w:ascii="Times New Roman" w:hAnsi="Times New Roman"/>
          <w:i/>
          <w:iCs/>
        </w:rPr>
        <w:t>OECD</w:t>
      </w:r>
      <w:r>
        <w:rPr>
          <w:rFonts w:ascii="Times New Roman" w:hAnsi="Times New Roman"/>
        </w:rPr>
        <w:t xml:space="preserve"> Fiskālo attiecību tīkla 20. ikgadējā sanāksmē. To sagatavoja tīkla sadarbības partneri Andoni Montess Nebreda un Tatjana Mota Tīkla sekretariāta vadītāja Šona Dohertija vadībā. Mēs pateicamies delegātiem par komentāriem attiecībā uz dokumentu tīklu, kā arī Horhem Martinesam-Vaskesam [</w:t>
      </w:r>
      <w:r>
        <w:rPr>
          <w:rFonts w:ascii="Times New Roman" w:hAnsi="Times New Roman"/>
          <w:i/>
          <w:iCs/>
        </w:rPr>
        <w:t>Jorge Martinez-Vasquez</w:t>
      </w:r>
      <w:r>
        <w:rPr>
          <w:rFonts w:ascii="Times New Roman" w:hAnsi="Times New Roman"/>
        </w:rPr>
        <w:t>] (Džordžijas Universitāte), Nadimam Ahmadam [</w:t>
      </w:r>
      <w:r>
        <w:rPr>
          <w:rFonts w:ascii="Times New Roman" w:hAnsi="Times New Roman"/>
          <w:i/>
          <w:iCs/>
        </w:rPr>
        <w:t>Nadim Ahmad</w:t>
      </w:r>
      <w:r>
        <w:rPr>
          <w:rFonts w:ascii="Times New Roman" w:hAnsi="Times New Roman"/>
        </w:rPr>
        <w:t>], Anti Moisio [</w:t>
      </w:r>
      <w:r>
        <w:rPr>
          <w:rFonts w:ascii="Times New Roman" w:hAnsi="Times New Roman"/>
          <w:i/>
          <w:iCs/>
        </w:rPr>
        <w:t>Antti Moisio</w:t>
      </w:r>
      <w:r>
        <w:rPr>
          <w:rFonts w:ascii="Times New Roman" w:hAnsi="Times New Roman"/>
        </w:rPr>
        <w:t>] un Mikelam Vidālam-Bovē [</w:t>
      </w:r>
      <w:r>
        <w:rPr>
          <w:rFonts w:ascii="Times New Roman" w:hAnsi="Times New Roman"/>
          <w:i/>
          <w:iCs/>
        </w:rPr>
        <w:t>Miquel Vidal-Bover</w:t>
      </w:r>
      <w:r>
        <w:rPr>
          <w:rFonts w:ascii="Times New Roman" w:hAnsi="Times New Roman"/>
        </w:rPr>
        <w:t>] (</w:t>
      </w:r>
      <w:r>
        <w:rPr>
          <w:rFonts w:ascii="Times New Roman" w:hAnsi="Times New Roman"/>
          <w:i/>
          <w:iCs/>
        </w:rPr>
        <w:t>OECD</w:t>
      </w:r>
      <w:r>
        <w:rPr>
          <w:rFonts w:ascii="Times New Roman" w:hAnsi="Times New Roman"/>
        </w:rPr>
        <w:t xml:space="preserve"> Uzņēmējdarbības, MVU, reģionu un pilsētu centrs).</w:t>
      </w:r>
    </w:p>
  </w:footnote>
  <w:footnote w:id="3">
    <w:p w14:paraId="58B03FEB" w14:textId="63DC19AE" w:rsidR="00CC6949" w:rsidRPr="00CC6949" w:rsidRDefault="00CC6949" w:rsidP="00290391">
      <w:pPr>
        <w:pStyle w:val="FootnoteText"/>
        <w:spacing w:before="120"/>
        <w:jc w:val="both"/>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Jauni dati, kas ļauj nošķirt pašvaldībām veicamos izdevumus un ieņēmumu gūšanas pienākumus, ir būtiski, lai uzlabotu izpratni par fiskālās decentralizācijas procesu, resursu sadales efektivitāti un pašvaldību spēju apmierināt savu iedzīvotāju vajadzības plašākā fiskālā federālisma kontekstā.</w:t>
      </w:r>
    </w:p>
  </w:footnote>
  <w:footnote w:id="4">
    <w:p w14:paraId="57553511" w14:textId="416DF114" w:rsidR="00BE750C" w:rsidRPr="00FC0DE3" w:rsidRDefault="00BE750C" w:rsidP="00B632FD">
      <w:pPr>
        <w:pStyle w:val="FootnoteText"/>
        <w:spacing w:before="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Šāda ziņošanas forma ir būtiska pārskatāmībai un vietējai pārvaldībai, ļaujot iekšējām un ārējām ieinteresētajām pusēm novērtēt konkrētu pārvaldes segmentu finansiālo stāvokli un pārskatatbildību.</w:t>
      </w:r>
    </w:p>
  </w:footnote>
  <w:footnote w:id="5">
    <w:p w14:paraId="1E7C6012" w14:textId="1B5B2536" w:rsidR="00FC0DE3" w:rsidRPr="00FC0DE3" w:rsidRDefault="00FC0DE3" w:rsidP="00B632FD">
      <w:pPr>
        <w:pStyle w:val="FootnoteText"/>
        <w:spacing w:before="6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Konsolidētie dati paredzēti tam, lai novērtētu valdības darbību kopējo ekonomisko ietekmi, nodrošinot, ka fiskālās stabilitātes un politikas efektivitātes analīze ir balstīta uz visas valsts kopējām finanšu darbībām.</w:t>
      </w:r>
    </w:p>
  </w:footnote>
  <w:footnote w:id="6">
    <w:p w14:paraId="7E8DAB03" w14:textId="5B028482" w:rsidR="00FC0DE3" w:rsidRPr="00FC0DE3" w:rsidRDefault="00FC0DE3" w:rsidP="00B632FD">
      <w:pPr>
        <w:pStyle w:val="FootnoteText"/>
        <w:spacing w:before="60"/>
        <w:jc w:val="both"/>
      </w:pPr>
      <w:r>
        <w:rPr>
          <w:rStyle w:val="FootnoteReference"/>
          <w:rFonts w:ascii="Times New Roman" w:hAnsi="Times New Roman" w:cs="Times New Roman"/>
        </w:rPr>
        <w:footnoteRef/>
      </w:r>
      <w:r>
        <w:rPr>
          <w:rFonts w:ascii="Times New Roman" w:hAnsi="Times New Roman"/>
        </w:rPr>
        <w:t xml:space="preserve"> Konsolidētie dati ir paredzēti tam, lai novērtētu valdības darbību kopējo ekonomisko ietekmi, nodrošinot, ka fiskālās stabilitātes un politikas efektivitātes analīze ir balstīta uz visas valsts kopējām finanšu darbībām.</w:t>
      </w:r>
    </w:p>
  </w:footnote>
  <w:footnote w:id="7">
    <w:p w14:paraId="044CF908" w14:textId="46179DF5" w:rsidR="007B1468" w:rsidRPr="007B1468" w:rsidRDefault="007B1468" w:rsidP="007B1468">
      <w:pPr>
        <w:pStyle w:val="FootnoteText"/>
        <w:jc w:val="both"/>
        <w:rPr>
          <w:rFonts w:ascii="Times New Roman" w:hAnsi="Times New Roman" w:cs="Times New Roman"/>
        </w:rPr>
      </w:pPr>
      <w:r>
        <w:rPr>
          <w:rStyle w:val="FootnoteReference"/>
          <w:rFonts w:ascii="Times New Roman" w:hAnsi="Times New Roman"/>
        </w:rPr>
        <w:t>10</w:t>
      </w:r>
      <w:r>
        <w:rPr>
          <w:rFonts w:ascii="Times New Roman" w:hAnsi="Times New Roman"/>
        </w:rPr>
        <w:t xml:space="preserve"> Šī problēma ir īpaši izteikta valstīs, kurām nav specializētas institūcijas, piemēram, valsts ministrijas vai finanšu komisijas pašvaldību finanšu uzraudzībai.</w:t>
      </w:r>
    </w:p>
  </w:footnote>
  <w:footnote w:id="8">
    <w:p w14:paraId="623C2B62" w14:textId="2DCBC1F7" w:rsidR="00B12C89" w:rsidRPr="00974183" w:rsidRDefault="00B12C89" w:rsidP="00763840">
      <w:pPr>
        <w:pStyle w:val="FootnoteText"/>
        <w:spacing w:before="60"/>
        <w:jc w:val="both"/>
        <w:rPr>
          <w:rFonts w:ascii="Times New Roman" w:hAnsi="Times New Roman" w:cs="Times New Roman"/>
        </w:rPr>
      </w:pPr>
      <w:r>
        <w:rPr>
          <w:rStyle w:val="FootnoteReference"/>
          <w:rFonts w:ascii="Times New Roman" w:hAnsi="Times New Roman"/>
        </w:rPr>
        <w:t>11</w:t>
      </w:r>
      <w:r>
        <w:rPr>
          <w:rFonts w:ascii="Times New Roman" w:hAnsi="Times New Roman"/>
        </w:rPr>
        <w:t xml:space="preserve"> Ideālā gadījumā šai sistēmai jāaptver plašs pārvedumu spektrs, ieskaitot beznosacījumu dotācijas izlīdzināšanai, nosacījumu dotācijas, ieņēmumu sadales pārvedumus, kas nav vērsti uz izlīdzināšanu, un pašvaldību pašu ieņēmumu avotus.</w:t>
      </w:r>
    </w:p>
  </w:footnote>
  <w:footnote w:id="9">
    <w:p w14:paraId="355E0CC7" w14:textId="3591CDE4" w:rsidR="00974183" w:rsidRPr="00974183" w:rsidRDefault="00974183" w:rsidP="00763840">
      <w:pPr>
        <w:pStyle w:val="FootnoteText"/>
        <w:spacing w:before="60"/>
        <w:jc w:val="both"/>
        <w:rPr>
          <w:rFonts w:ascii="Times New Roman" w:hAnsi="Times New Roman" w:cs="Times New Roman"/>
        </w:rPr>
      </w:pPr>
      <w:r>
        <w:rPr>
          <w:rStyle w:val="FootnoteReference"/>
          <w:rFonts w:ascii="Times New Roman" w:hAnsi="Times New Roman"/>
        </w:rPr>
        <w:t>12</w:t>
      </w:r>
      <w:r>
        <w:rPr>
          <w:rFonts w:ascii="Times New Roman" w:hAnsi="Times New Roman"/>
        </w:rPr>
        <w:t xml:space="preserve"> Līdzvērtīgas dotācijas teorētiski mudina pašvaldības palielināt izdevumus šajās jomās, samazinot faktiskās izmaksas pakalpojumu sniegšanai ar pozitīvu plašāku ietekmi.</w:t>
      </w:r>
    </w:p>
  </w:footnote>
  <w:footnote w:id="10">
    <w:p w14:paraId="3444EB17" w14:textId="688CB2EE" w:rsidR="00974183" w:rsidRPr="00974183" w:rsidRDefault="00974183" w:rsidP="00763840">
      <w:pPr>
        <w:pStyle w:val="FootnoteText"/>
        <w:spacing w:before="60"/>
        <w:jc w:val="both"/>
        <w:rPr>
          <w:rFonts w:ascii="Times New Roman" w:hAnsi="Times New Roman" w:cs="Times New Roman"/>
        </w:rPr>
      </w:pPr>
      <w:r>
        <w:rPr>
          <w:rStyle w:val="FootnoteReference"/>
          <w:rFonts w:ascii="Times New Roman" w:hAnsi="Times New Roman"/>
        </w:rPr>
        <w:t>13</w:t>
      </w:r>
      <w:r>
        <w:rPr>
          <w:rFonts w:ascii="Times New Roman" w:hAnsi="Times New Roman"/>
        </w:rPr>
        <w:t xml:space="preserve"> Šādi sadarbības pasākumi nodrošina efektīvu resursu sadali kopīgiem izaicinājumiem, pašvaldībām kopīgi risinot ārējo ietekmi.</w:t>
      </w:r>
    </w:p>
  </w:footnote>
  <w:footnote w:id="11">
    <w:p w14:paraId="063D271F" w14:textId="588E2139" w:rsidR="00974183" w:rsidRPr="00974183" w:rsidRDefault="00974183" w:rsidP="00763840">
      <w:pPr>
        <w:pStyle w:val="FootnoteText"/>
        <w:spacing w:before="60"/>
        <w:jc w:val="both"/>
      </w:pPr>
      <w:r>
        <w:rPr>
          <w:rStyle w:val="FootnoteReference"/>
          <w:rFonts w:ascii="Times New Roman" w:hAnsi="Times New Roman"/>
        </w:rPr>
        <w:t>14</w:t>
      </w:r>
      <w:r>
        <w:rPr>
          <w:rFonts w:ascii="Times New Roman" w:hAnsi="Times New Roman"/>
        </w:rPr>
        <w:t xml:space="preserve"> Šis sarežģījums papildina neviennozīmīgus empīriskos pierādījumus par dotāciju efektivitāti starpjurisdikciju ārējo ietekmju mazināšanā (Lago et al., 2024).</w:t>
      </w:r>
    </w:p>
  </w:footnote>
  <w:footnote w:id="12">
    <w:p w14:paraId="424789A8" w14:textId="77782FBA" w:rsidR="00587946" w:rsidRPr="009E71FD" w:rsidRDefault="00587946" w:rsidP="009E71FD">
      <w:pPr>
        <w:pStyle w:val="FootnoteText"/>
        <w:spacing w:before="60"/>
        <w:jc w:val="both"/>
        <w:rPr>
          <w:rFonts w:ascii="Times New Roman" w:hAnsi="Times New Roman" w:cs="Times New Roman"/>
        </w:rPr>
      </w:pPr>
      <w:r>
        <w:rPr>
          <w:rStyle w:val="FootnoteReference"/>
          <w:rFonts w:ascii="Times New Roman" w:hAnsi="Times New Roman"/>
        </w:rPr>
        <w:t>15</w:t>
      </w:r>
      <w:r>
        <w:rPr>
          <w:rFonts w:ascii="Times New Roman" w:hAnsi="Times New Roman"/>
        </w:rPr>
        <w:t xml:space="preserve"> Šis fenomens, kas galvenokārt pētīts </w:t>
      </w:r>
      <w:r>
        <w:rPr>
          <w:rFonts w:ascii="Times New Roman" w:hAnsi="Times New Roman"/>
          <w:i/>
          <w:iCs/>
        </w:rPr>
        <w:t>OECD</w:t>
      </w:r>
      <w:r>
        <w:rPr>
          <w:rFonts w:ascii="Times New Roman" w:hAnsi="Times New Roman"/>
        </w:rPr>
        <w:t xml:space="preserve"> valstīs, piemēram, Kanādā, Vācijā, Šveicē un ASV, atšķiras atkarībā no fiskālās un iestāžu sistēmas (Blöchliger un Pinero-Campos, 2011).</w:t>
      </w:r>
    </w:p>
  </w:footnote>
  <w:footnote w:id="13">
    <w:p w14:paraId="4622EC30" w14:textId="01FFA17A" w:rsidR="00587946" w:rsidRPr="009E71FD" w:rsidRDefault="00587946" w:rsidP="009E71FD">
      <w:pPr>
        <w:pStyle w:val="FootnoteText"/>
        <w:spacing w:before="60"/>
        <w:jc w:val="both"/>
        <w:rPr>
          <w:rFonts w:ascii="Times New Roman" w:hAnsi="Times New Roman" w:cs="Times New Roman"/>
        </w:rPr>
      </w:pPr>
      <w:r>
        <w:rPr>
          <w:rStyle w:val="FootnoteReference"/>
          <w:rFonts w:ascii="Times New Roman" w:hAnsi="Times New Roman"/>
        </w:rPr>
        <w:t>16</w:t>
      </w:r>
      <w:r>
        <w:rPr>
          <w:rFonts w:ascii="Times New Roman" w:hAnsi="Times New Roman"/>
        </w:rPr>
        <w:t xml:space="preserve"> Pētījumi par Kanādas izlīdzināšanas sistēmu ir liecinājuši par nodokļu konkurences samazināšanos starp provincēm, kas tiek saistīts ar to, ka sistēma galvenokārt ir vērsta uz fiskālās kapacitātes atšķirībām (Hayashi un Boadway, 2001; Smart, 2007; Ferede, 2017).</w:t>
      </w:r>
    </w:p>
  </w:footnote>
  <w:footnote w:id="14">
    <w:p w14:paraId="11D00549" w14:textId="26148006" w:rsidR="00587946" w:rsidRPr="009E71FD" w:rsidRDefault="00587946" w:rsidP="009E71FD">
      <w:pPr>
        <w:pStyle w:val="FootnoteText"/>
        <w:spacing w:before="60"/>
        <w:jc w:val="both"/>
        <w:rPr>
          <w:rFonts w:ascii="Times New Roman" w:hAnsi="Times New Roman" w:cs="Times New Roman"/>
        </w:rPr>
      </w:pPr>
      <w:r>
        <w:rPr>
          <w:rStyle w:val="FootnoteReference"/>
          <w:rFonts w:ascii="Times New Roman" w:hAnsi="Times New Roman"/>
        </w:rPr>
        <w:t>17</w:t>
      </w:r>
      <w:r>
        <w:rPr>
          <w:rFonts w:ascii="Times New Roman" w:hAnsi="Times New Roman"/>
        </w:rPr>
        <w:t xml:space="preserve"> Pieejams Dahlby un Warren (2003); Buettner un Krause (2021).</w:t>
      </w:r>
    </w:p>
  </w:footnote>
  <w:footnote w:id="15">
    <w:p w14:paraId="5CFC07A8" w14:textId="4C83E40F" w:rsidR="009E71FD" w:rsidRPr="009E71FD" w:rsidRDefault="009E71FD" w:rsidP="009E71FD">
      <w:pPr>
        <w:pStyle w:val="FootnoteText"/>
        <w:spacing w:before="60"/>
        <w:jc w:val="both"/>
      </w:pPr>
      <w:r>
        <w:rPr>
          <w:rStyle w:val="FootnoteReference"/>
          <w:rFonts w:ascii="Times New Roman" w:hAnsi="Times New Roman"/>
        </w:rPr>
        <w:t>18</w:t>
      </w:r>
      <w:r>
        <w:rPr>
          <w:rFonts w:ascii="Times New Roman" w:hAnsi="Times New Roman"/>
        </w:rPr>
        <w:t xml:space="preserve"> Izspiešanas efekts izriet no politiskās ekonomikas dinamikas, kad amatpersonas pašvaldību līmenī labprātāk paļaujas uz centrālās valdības pārvedumiem, nevis palielina vietējos nodokļus, jo tas ir politiski sarežģītāk. Savukārt centrālajām valdībām ir nosliece atbalstīt šo atkarību no pārvedumiem, jo tas palielina to ietekmi un kontroli pār pašvaldībām.</w:t>
      </w:r>
    </w:p>
  </w:footnote>
  <w:footnote w:id="16">
    <w:p w14:paraId="5119FABB" w14:textId="4D3CCF3B" w:rsidR="00BB7BA6" w:rsidRPr="00AC50AE" w:rsidRDefault="00BB7BA6" w:rsidP="00AC50AE">
      <w:pPr>
        <w:pStyle w:val="FootnoteText"/>
        <w:spacing w:before="60"/>
        <w:jc w:val="both"/>
        <w:rPr>
          <w:rFonts w:ascii="Times New Roman" w:hAnsi="Times New Roman" w:cs="Times New Roman"/>
        </w:rPr>
      </w:pPr>
      <w:r>
        <w:rPr>
          <w:rStyle w:val="FootnoteReference"/>
          <w:rFonts w:ascii="Times New Roman" w:hAnsi="Times New Roman"/>
        </w:rPr>
        <w:t>19</w:t>
      </w:r>
      <w:r>
        <w:rPr>
          <w:rFonts w:ascii="Times New Roman" w:hAnsi="Times New Roman"/>
        </w:rPr>
        <w:t xml:space="preserve"> Iekļaušanas efekts attiecas uz scenāriju, kad valdības intervences stimulē vai veicina pašvaldību papildu centienus gūt ieņēmumus. SFP kontekstā iekļaušanas efekts liecina par to, ka šādi pārvedumi var stimulēt pašvaldības uzlabot ieņēmumu iekasēšanu no pašu avotiem vai investēt sabiedriskajās precēs un pakalpojumos, tādējādi veicinot kopējo ekonomisko aktivitāti un fiskālo veselību.</w:t>
      </w:r>
    </w:p>
  </w:footnote>
  <w:footnote w:id="17">
    <w:p w14:paraId="7A580ECD" w14:textId="111D394D" w:rsidR="003E4DFF" w:rsidRPr="00AC50AE" w:rsidRDefault="003E4DFF" w:rsidP="00AC50AE">
      <w:pPr>
        <w:pStyle w:val="FootnoteText"/>
        <w:spacing w:before="60"/>
        <w:jc w:val="both"/>
        <w:rPr>
          <w:rFonts w:ascii="Times New Roman" w:hAnsi="Times New Roman" w:cs="Times New Roman"/>
        </w:rPr>
      </w:pPr>
      <w:r>
        <w:rPr>
          <w:rStyle w:val="FootnoteReference"/>
          <w:rFonts w:ascii="Times New Roman" w:hAnsi="Times New Roman"/>
        </w:rPr>
        <w:t>20</w:t>
      </w:r>
      <w:r>
        <w:rPr>
          <w:rFonts w:ascii="Times New Roman" w:hAnsi="Times New Roman"/>
        </w:rPr>
        <w:t xml:space="preserve"> Šī problēma atbilst maigā budžeta ierobežojuma hipotēzei, kas norāda, ka paļaušanās uz pārvedumiem un ievērojama fiskālā nelīdzsvarotība mazina budžeta disciplīnu, kas izraisa aktīvāku aizņemšanos un parādu uzkrāšanos.</w:t>
      </w:r>
    </w:p>
  </w:footnote>
  <w:footnote w:id="18">
    <w:p w14:paraId="3AAC1A24" w14:textId="284870E7" w:rsidR="003E4DFF" w:rsidRPr="00AC50AE" w:rsidRDefault="003E4DFF" w:rsidP="00AC50AE">
      <w:pPr>
        <w:pStyle w:val="FootnoteText"/>
        <w:spacing w:before="60"/>
        <w:jc w:val="both"/>
        <w:rPr>
          <w:rFonts w:ascii="Times New Roman" w:hAnsi="Times New Roman" w:cs="Times New Roman"/>
        </w:rPr>
      </w:pPr>
      <w:r>
        <w:rPr>
          <w:rStyle w:val="FootnoteReference"/>
          <w:rFonts w:ascii="Times New Roman" w:hAnsi="Times New Roman"/>
        </w:rPr>
        <w:t>21</w:t>
      </w:r>
      <w:r>
        <w:rPr>
          <w:rFonts w:ascii="Times New Roman" w:hAnsi="Times New Roman"/>
        </w:rPr>
        <w:t xml:space="preserve"> Aldasoro un Seiferlinga (2014) un De Mello (1999, 2000) pētījumi ir parādījuši kopējā fonda problēmas nozīmi nosliecē uz deficītu, pašvaldību izdevumu palielināšanā, nodokļu ieņēmumu samazināšanā un parādsaistību pieaugumā gan </w:t>
      </w:r>
      <w:r>
        <w:rPr>
          <w:rFonts w:ascii="Times New Roman" w:hAnsi="Times New Roman"/>
          <w:i/>
          <w:iCs/>
        </w:rPr>
        <w:t>OECD</w:t>
      </w:r>
      <w:r>
        <w:rPr>
          <w:rFonts w:ascii="Times New Roman" w:hAnsi="Times New Roman"/>
        </w:rPr>
        <w:t xml:space="preserve"> valstīs, gan valstīs, kuras nav </w:t>
      </w:r>
      <w:r>
        <w:rPr>
          <w:rFonts w:ascii="Times New Roman" w:hAnsi="Times New Roman"/>
          <w:i/>
          <w:iCs/>
        </w:rPr>
        <w:t>OECD</w:t>
      </w:r>
      <w:r>
        <w:rPr>
          <w:rFonts w:ascii="Times New Roman" w:hAnsi="Times New Roman"/>
        </w:rPr>
        <w:t xml:space="preserve"> dalībvalstis.</w:t>
      </w:r>
    </w:p>
  </w:footnote>
  <w:footnote w:id="19">
    <w:p w14:paraId="5794C140" w14:textId="4C64F715" w:rsidR="003E4DFF" w:rsidRPr="00AC50AE" w:rsidRDefault="003E4DFF" w:rsidP="00AC50AE">
      <w:pPr>
        <w:pStyle w:val="FootnoteText"/>
        <w:spacing w:before="60"/>
        <w:jc w:val="both"/>
        <w:rPr>
          <w:rFonts w:ascii="Times New Roman" w:hAnsi="Times New Roman" w:cs="Times New Roman"/>
        </w:rPr>
      </w:pPr>
      <w:r>
        <w:rPr>
          <w:rStyle w:val="FootnoteReference"/>
          <w:rFonts w:ascii="Times New Roman" w:hAnsi="Times New Roman"/>
        </w:rPr>
        <w:t>22</w:t>
      </w:r>
      <w:r>
        <w:rPr>
          <w:rFonts w:ascii="Times New Roman" w:hAnsi="Times New Roman"/>
        </w:rPr>
        <w:t xml:space="preserve"> Piemēram, iztrūkuma aizpildīšanas pārvedumi var atturēt pašvaldības no efektīvas nodokļu politikas īstenošanas vai izdevumu ierobežošanas, jo tās paļaujas uz centrālās valdības palīdzību, lai segtu fiskālos iztrūkumus (Boadway, 2006).</w:t>
      </w:r>
    </w:p>
  </w:footnote>
  <w:footnote w:id="20">
    <w:p w14:paraId="093BA2E6" w14:textId="3F6A0093" w:rsidR="003E4DFF" w:rsidRPr="003E4DFF" w:rsidRDefault="003E4DFF" w:rsidP="00AC50AE">
      <w:pPr>
        <w:pStyle w:val="FootnoteText"/>
        <w:spacing w:before="60"/>
        <w:jc w:val="both"/>
      </w:pPr>
      <w:r>
        <w:rPr>
          <w:rStyle w:val="FootnoteReference"/>
          <w:rFonts w:ascii="Times New Roman" w:hAnsi="Times New Roman"/>
        </w:rPr>
        <w:t>23</w:t>
      </w:r>
      <w:r>
        <w:rPr>
          <w:rFonts w:ascii="Times New Roman" w:hAnsi="Times New Roman"/>
        </w:rPr>
        <w:t xml:space="preserve"> Tas varētu ietvert dotāciju formulu pielāgošanu, lai atalgotu tās pašvaldības, kuras sekmīgi paplašina savas nodokļu bāzes vai īsteno izmaksu samazināšanas pasākumus.</w:t>
      </w:r>
    </w:p>
  </w:footnote>
  <w:footnote w:id="21">
    <w:p w14:paraId="198FEAF1" w14:textId="3EB4BCAE" w:rsidR="000D0C07" w:rsidRPr="001B768E" w:rsidRDefault="000D0C07" w:rsidP="001B768E">
      <w:pPr>
        <w:pStyle w:val="FootnoteText"/>
        <w:spacing w:before="60"/>
        <w:jc w:val="both"/>
        <w:rPr>
          <w:rFonts w:ascii="Times New Roman" w:hAnsi="Times New Roman" w:cs="Times New Roman"/>
        </w:rPr>
      </w:pPr>
      <w:r>
        <w:rPr>
          <w:rStyle w:val="FootnoteReference"/>
          <w:rFonts w:ascii="Times New Roman" w:hAnsi="Times New Roman"/>
        </w:rPr>
        <w:t>24</w:t>
      </w:r>
      <w:r>
        <w:rPr>
          <w:rFonts w:ascii="Times New Roman" w:hAnsi="Times New Roman"/>
        </w:rPr>
        <w:t xml:space="preserve"> Mušpapīra efekts rodas, kad vienreizēji starpvaldību pārvedumi izraisa lielāku pašvaldību publisko izdevumu pieaugumu nekā līdzvērtīgs personīgo ienākumu pieaugums. Tas nozīmē, ka pašvaldības visdrīzāk novirzīs šos pārskaitītos līdzekļus publiskajiem izdevumiem, nevis nodokļu atvieglojumiem.</w:t>
      </w:r>
    </w:p>
  </w:footnote>
  <w:footnote w:id="22">
    <w:p w14:paraId="68911A69" w14:textId="068C85F4" w:rsidR="000D0C07" w:rsidRPr="001B768E" w:rsidRDefault="000D0C07" w:rsidP="001B768E">
      <w:pPr>
        <w:pStyle w:val="FootnoteText"/>
        <w:spacing w:before="60"/>
        <w:jc w:val="both"/>
        <w:rPr>
          <w:rFonts w:ascii="Times New Roman" w:hAnsi="Times New Roman" w:cs="Times New Roman"/>
        </w:rPr>
      </w:pPr>
      <w:r>
        <w:rPr>
          <w:rStyle w:val="FootnoteReference"/>
          <w:rFonts w:ascii="Times New Roman" w:hAnsi="Times New Roman"/>
        </w:rPr>
        <w:t>25</w:t>
      </w:r>
      <w:r>
        <w:rPr>
          <w:rFonts w:ascii="Times New Roman" w:hAnsi="Times New Roman"/>
        </w:rPr>
        <w:t xml:space="preserve"> Šādi pasākumi motivē pašvaldības par prioritāti noteikt rezultātus un efektivitāti, nevis vienkārši izdevumu palielināšanu.</w:t>
      </w:r>
    </w:p>
  </w:footnote>
  <w:footnote w:id="23">
    <w:p w14:paraId="1D1DB057" w14:textId="1C7EAAEA" w:rsidR="000D0C07" w:rsidRPr="001B768E" w:rsidRDefault="000D0C07" w:rsidP="001B768E">
      <w:pPr>
        <w:pStyle w:val="FootnoteText"/>
        <w:spacing w:before="60"/>
        <w:jc w:val="both"/>
        <w:rPr>
          <w:rFonts w:ascii="Times New Roman" w:hAnsi="Times New Roman" w:cs="Times New Roman"/>
        </w:rPr>
      </w:pPr>
      <w:r>
        <w:rPr>
          <w:rStyle w:val="FootnoteReference"/>
          <w:rFonts w:ascii="Times New Roman" w:hAnsi="Times New Roman"/>
        </w:rPr>
        <w:t>26</w:t>
      </w:r>
      <w:r>
        <w:rPr>
          <w:rFonts w:ascii="Times New Roman" w:hAnsi="Times New Roman"/>
        </w:rPr>
        <w:t xml:space="preserve"> Šo efektu pirmo reizi aprakstīja Gramlihs [</w:t>
      </w:r>
      <w:r>
        <w:rPr>
          <w:rFonts w:ascii="Times New Roman" w:hAnsi="Times New Roman"/>
          <w:i/>
          <w:iCs/>
        </w:rPr>
        <w:t>Gramlich</w:t>
      </w:r>
      <w:r>
        <w:rPr>
          <w:rFonts w:ascii="Times New Roman" w:hAnsi="Times New Roman"/>
        </w:rPr>
        <w:t>] (1987).</w:t>
      </w:r>
    </w:p>
  </w:footnote>
  <w:footnote w:id="24">
    <w:p w14:paraId="07A4FB49" w14:textId="686B3881" w:rsidR="001B768E" w:rsidRPr="001B768E" w:rsidRDefault="001B768E" w:rsidP="001B768E">
      <w:pPr>
        <w:pStyle w:val="FootnoteText"/>
        <w:spacing w:before="60"/>
        <w:jc w:val="both"/>
      </w:pPr>
      <w:r>
        <w:rPr>
          <w:rStyle w:val="FootnoteReference"/>
          <w:rFonts w:ascii="Times New Roman" w:hAnsi="Times New Roman"/>
        </w:rPr>
        <w:t>27</w:t>
      </w:r>
      <w:r>
        <w:rPr>
          <w:rFonts w:ascii="Times New Roman" w:hAnsi="Times New Roman"/>
        </w:rPr>
        <w:t xml:space="preserve"> Šo asimetrisko ietekmi papildus ietekmē institucionālie un politiskie faktori. Pašvaldības ar mazākiem parādiem, tās, kuras pārvalda kreisā spārna administrācijas, vai tās, kuras nodokļu iekasēšanai pieiet ar mazāku stingrību, ir vairāk pakļautas fiskālās aizvietošanas efektam, palielinot nodokļus, lai kompensētu samazinātās dotācijas (Lago et al., 2024a)</w:t>
      </w:r>
    </w:p>
  </w:footnote>
  <w:footnote w:id="25">
    <w:p w14:paraId="4E250403" w14:textId="68689E7A" w:rsidR="00FC00BD" w:rsidRPr="00FC00BD" w:rsidRDefault="00FC00BD" w:rsidP="00FC00BD">
      <w:pPr>
        <w:pStyle w:val="FootnoteText"/>
        <w:spacing w:before="60"/>
        <w:jc w:val="both"/>
        <w:rPr>
          <w:rFonts w:ascii="Times New Roman" w:hAnsi="Times New Roman" w:cs="Times New Roman"/>
        </w:rPr>
      </w:pPr>
      <w:r>
        <w:rPr>
          <w:rStyle w:val="FootnoteReference"/>
          <w:rFonts w:ascii="Times New Roman" w:hAnsi="Times New Roman"/>
        </w:rPr>
        <w:t>28</w:t>
      </w:r>
      <w:r>
        <w:rPr>
          <w:rFonts w:ascii="Times New Roman" w:hAnsi="Times New Roman"/>
        </w:rPr>
        <w:t xml:space="preserve"> Šī klasifikācijas shēma ir būtiska, lai izprastu dažādu dotāciju veidu pamatmērķus neatkarīgi no tā, vai tās ir vērstas uz fiskālā līdzsvara uzturēšanu, resursu izlīdzināšanu starp reģioniem vai konkrētu politikas rezultātu veicināšanu. Lai gan šī pieeja saskan ar Špāna [</w:t>
      </w:r>
      <w:r>
        <w:rPr>
          <w:rFonts w:ascii="Times New Roman" w:hAnsi="Times New Roman"/>
          <w:i/>
          <w:iCs/>
        </w:rPr>
        <w:t>Spahn</w:t>
      </w:r>
      <w:r>
        <w:rPr>
          <w:rFonts w:ascii="Times New Roman" w:hAnsi="Times New Roman"/>
        </w:rPr>
        <w:t>] (2012) konstatējumiem, tajā konkrēti pārvedumi tiek kategorizēti atšķirīgi.</w:t>
      </w:r>
    </w:p>
  </w:footnote>
  <w:footnote w:id="26">
    <w:p w14:paraId="44CEC310" w14:textId="78AC872C" w:rsidR="00FC00BD" w:rsidRPr="00FC00BD" w:rsidRDefault="00FC00BD" w:rsidP="00FC00BD">
      <w:pPr>
        <w:pStyle w:val="FootnoteText"/>
        <w:spacing w:before="60"/>
        <w:jc w:val="both"/>
        <w:rPr>
          <w:rFonts w:ascii="Times New Roman" w:hAnsi="Times New Roman" w:cs="Times New Roman"/>
        </w:rPr>
      </w:pPr>
      <w:r>
        <w:rPr>
          <w:rStyle w:val="FootnoteReference"/>
          <w:rFonts w:ascii="Times New Roman" w:hAnsi="Times New Roman"/>
        </w:rPr>
        <w:t>29</w:t>
      </w:r>
      <w:r>
        <w:rPr>
          <w:rFonts w:ascii="Times New Roman" w:hAnsi="Times New Roman"/>
        </w:rPr>
        <w:t xml:space="preserve"> Sīka informācija par SFP veidiem un stimuliem ir sniegta nākamajā 4.2. sadaļā.</w:t>
      </w:r>
    </w:p>
  </w:footnote>
  <w:footnote w:id="27">
    <w:p w14:paraId="00764F1B" w14:textId="47BF7B62" w:rsidR="00FC00BD" w:rsidRPr="00FC00BD" w:rsidRDefault="00FC00BD" w:rsidP="00FC00BD">
      <w:pPr>
        <w:pStyle w:val="FootnoteText"/>
        <w:spacing w:before="60"/>
        <w:jc w:val="both"/>
        <w:rPr>
          <w:rFonts w:ascii="Times New Roman" w:hAnsi="Times New Roman" w:cs="Times New Roman"/>
        </w:rPr>
      </w:pPr>
      <w:r>
        <w:rPr>
          <w:rStyle w:val="FootnoteReference"/>
          <w:rFonts w:ascii="Times New Roman" w:hAnsi="Times New Roman"/>
        </w:rPr>
        <w:t>30</w:t>
      </w:r>
      <w:r>
        <w:rPr>
          <w:rFonts w:ascii="Times New Roman" w:hAnsi="Times New Roman"/>
        </w:rPr>
        <w:t xml:space="preserve"> Šī pieeja ir īpaši izdevīga reģioniem, kas saskaras ar unikāliem izaicinājumiem vai augstākām pakalpojumu sniegšanas izmaksām, nodrošinot, ka šīs teritorijas saņem atbilstošu finansiālu atbalstu.</w:t>
      </w:r>
    </w:p>
  </w:footnote>
  <w:footnote w:id="28">
    <w:p w14:paraId="67F984E4" w14:textId="2BB73E0A" w:rsidR="00FC00BD" w:rsidRPr="00FC00BD" w:rsidRDefault="00FC00BD" w:rsidP="00FC00BD">
      <w:pPr>
        <w:pStyle w:val="FootnoteText"/>
        <w:spacing w:before="60"/>
        <w:jc w:val="both"/>
        <w:rPr>
          <w:rFonts w:ascii="Times New Roman" w:hAnsi="Times New Roman" w:cs="Times New Roman"/>
        </w:rPr>
      </w:pPr>
      <w:r>
        <w:rPr>
          <w:rStyle w:val="FootnoteReference"/>
          <w:rFonts w:ascii="Times New Roman" w:hAnsi="Times New Roman"/>
        </w:rPr>
        <w:t>31</w:t>
      </w:r>
      <w:r>
        <w:rPr>
          <w:rFonts w:ascii="Times New Roman" w:hAnsi="Times New Roman"/>
        </w:rPr>
        <w:t xml:space="preserve"> Šāda veida pārvedums veicina efektīvu un lietderīgu pakalpojumu sniegšanu, sasaistot finansiālo atbalstu ar izmērāmiem rezultātiem (Dougherty un Forman, 2021). Sniegumam piesaistīti pārvedumi atšķiras no parastajiem mērķfinansējuma pārvedumiem ar to, ka nosacījumi tiek piemēroti </w:t>
      </w:r>
      <w:r>
        <w:rPr>
          <w:rFonts w:ascii="Times New Roman" w:hAnsi="Times New Roman"/>
          <w:i/>
          <w:iCs/>
        </w:rPr>
        <w:t>ex-post</w:t>
      </w:r>
      <w:r>
        <w:rPr>
          <w:rFonts w:ascii="Times New Roman" w:hAnsi="Times New Roman"/>
        </w:rPr>
        <w:t xml:space="preserve">, nevis </w:t>
      </w:r>
      <w:r>
        <w:rPr>
          <w:rFonts w:ascii="Times New Roman" w:hAnsi="Times New Roman"/>
          <w:i/>
          <w:iCs/>
        </w:rPr>
        <w:t>ex-ante</w:t>
      </w:r>
      <w:r>
        <w:rPr>
          <w:rFonts w:ascii="Times New Roman" w:hAnsi="Times New Roman"/>
        </w:rPr>
        <w:t xml:space="preserve"> kā priekšnoteikums pārveduma veikšanai. Parastajos mērķfinansējuma pārvedumos nosacījumi tiek definēti jau sākotnēji, un tiem jābūt izpildītiem pirms līdzekļu izmaksas.</w:t>
      </w:r>
    </w:p>
  </w:footnote>
  <w:footnote w:id="29">
    <w:p w14:paraId="4936ADFB" w14:textId="3CEB7E0F" w:rsidR="00FC00BD" w:rsidRPr="00FC00BD" w:rsidRDefault="00FC00BD" w:rsidP="00FC00BD">
      <w:pPr>
        <w:pStyle w:val="FootnoteText"/>
        <w:spacing w:before="60"/>
        <w:jc w:val="both"/>
      </w:pPr>
      <w:r>
        <w:rPr>
          <w:rStyle w:val="FootnoteReference"/>
          <w:rFonts w:ascii="Times New Roman" w:hAnsi="Times New Roman"/>
        </w:rPr>
        <w:t>32</w:t>
      </w:r>
      <w:r>
        <w:rPr>
          <w:rFonts w:ascii="Times New Roman" w:hAnsi="Times New Roman"/>
        </w:rPr>
        <w:t xml:space="preserve"> Piemēram, lai atjaunotu Olsona fiskālās ekvivalences principu, kas tiek apdraudēts, ja vienas jurisdikcijas iedzīvotāji (nodokļu maksātāji) gūst labumu no kaimiņu jurisdikcijas sniegtajiem pašvaldības sabiedriskajiem pakalpojumiem.</w:t>
      </w:r>
    </w:p>
  </w:footnote>
  <w:footnote w:id="30">
    <w:p w14:paraId="54E1703E" w14:textId="7D9796B8" w:rsidR="00893F83" w:rsidRPr="00893F83" w:rsidRDefault="00893F83" w:rsidP="00893F83">
      <w:pPr>
        <w:pStyle w:val="FootnoteText"/>
        <w:spacing w:before="60"/>
        <w:jc w:val="both"/>
        <w:rPr>
          <w:rFonts w:ascii="Times New Roman" w:hAnsi="Times New Roman" w:cs="Times New Roman"/>
        </w:rPr>
      </w:pPr>
      <w:r>
        <w:rPr>
          <w:rStyle w:val="FootnoteReference"/>
          <w:rFonts w:ascii="Times New Roman" w:hAnsi="Times New Roman"/>
        </w:rPr>
        <w:t>33</w:t>
      </w:r>
      <w:r>
        <w:rPr>
          <w:rFonts w:ascii="Times New Roman" w:hAnsi="Times New Roman"/>
        </w:rPr>
        <w:t xml:space="preserve"> Hartā, īpaši tās 9. pantā, ir noteikta pamatpieeja nodokļu bāzu un ieņēmumu sadalījumam starp centrālajām valdībām un pašvaldībām un dotāciju būtībai. Harta nosaka, ka “dotācijas, kas tiek piešķirtas vietējām varām, pēc iespējas nedrīkst paredzēt noteiktu projektu finansēšanai”. (https://www.coe.int/en/web/impact-convention-human-rights/european-charter-of-local-self-government/).</w:t>
      </w:r>
    </w:p>
  </w:footnote>
  <w:footnote w:id="31">
    <w:p w14:paraId="7015E10D" w14:textId="184DCD6E" w:rsidR="00893F83" w:rsidRPr="00893F83" w:rsidRDefault="00893F83" w:rsidP="00893F83">
      <w:pPr>
        <w:pStyle w:val="FootnoteText"/>
        <w:spacing w:before="60"/>
        <w:jc w:val="both"/>
      </w:pPr>
      <w:r>
        <w:rPr>
          <w:rStyle w:val="FootnoteReference"/>
          <w:rFonts w:ascii="Times New Roman" w:hAnsi="Times New Roman"/>
        </w:rPr>
        <w:t>34</w:t>
      </w:r>
      <w:r>
        <w:rPr>
          <w:rFonts w:ascii="Times New Roman" w:hAnsi="Times New Roman"/>
        </w:rPr>
        <w:t xml:space="preserve"> 20. gadsimta 80. un 90. gados Ziemeļvalstu reģiona valstis, kā arī Japāna un Koreja, pārgāja no mērķdotācijām uz vispārēja mērķa dotācijām, pārliecības vadīti, ka šādas dotācijas sniedz lielākas priekšrocības. Šī pārmaiņa bija īpaši nozīmīga Ziemeļvalstu kontekstā, kas pazīstamas ar savu spēcīgo vietējo pārvaldību un sabiedrisko pakalpojumu sniegšanu (Kim et al., 2010).</w:t>
      </w:r>
    </w:p>
  </w:footnote>
  <w:footnote w:id="32">
    <w:p w14:paraId="57E2107F" w14:textId="10B53676" w:rsidR="00893F83" w:rsidRPr="00773732" w:rsidRDefault="00893F83" w:rsidP="00773732">
      <w:pPr>
        <w:pStyle w:val="FootnoteText"/>
        <w:spacing w:before="60"/>
        <w:jc w:val="both"/>
        <w:rPr>
          <w:rFonts w:ascii="Times New Roman" w:hAnsi="Times New Roman" w:cs="Times New Roman"/>
        </w:rPr>
      </w:pPr>
      <w:r>
        <w:rPr>
          <w:rStyle w:val="FootnoteReference"/>
          <w:rFonts w:ascii="Times New Roman" w:hAnsi="Times New Roman"/>
        </w:rPr>
        <w:t>35</w:t>
      </w:r>
      <w:r>
        <w:rPr>
          <w:rFonts w:ascii="Times New Roman" w:hAnsi="Times New Roman"/>
        </w:rPr>
        <w:t xml:space="preserve"> Finansējuma iezīmējuma trūkums apgrūtināja izdevumu efektivitātes uzraudzību konkrētās nozarēs, piemēram, izglītībā vai veselības aprūpē.</w:t>
      </w:r>
    </w:p>
  </w:footnote>
  <w:footnote w:id="33">
    <w:p w14:paraId="4E3FBA5F" w14:textId="6F4D7276" w:rsidR="00893F83" w:rsidRPr="00773732" w:rsidRDefault="00893F83" w:rsidP="00773732">
      <w:pPr>
        <w:pStyle w:val="FootnoteText"/>
        <w:spacing w:before="60"/>
        <w:jc w:val="both"/>
        <w:rPr>
          <w:rFonts w:ascii="Times New Roman" w:hAnsi="Times New Roman" w:cs="Times New Roman"/>
        </w:rPr>
      </w:pPr>
      <w:r>
        <w:rPr>
          <w:rStyle w:val="FootnoteReference"/>
          <w:rFonts w:ascii="Times New Roman" w:hAnsi="Times New Roman"/>
        </w:rPr>
        <w:t>36</w:t>
      </w:r>
      <w:r>
        <w:rPr>
          <w:rFonts w:ascii="Times New Roman" w:hAnsi="Times New Roman"/>
        </w:rPr>
        <w:t xml:space="preserve"> Reģioni ar spēcīgāku ekonomisko bāzi bija labākā pozīcijā, lai izmantotu šīs dotācijas salīdzinājumā ar mazāk pārtikušiem reģioniem, potenciāli palielinot atšķirības sabiedrisko pakalpojumu kvalitātē.</w:t>
      </w:r>
    </w:p>
  </w:footnote>
  <w:footnote w:id="34">
    <w:p w14:paraId="37EEF476" w14:textId="1D0D78F4" w:rsidR="00893F83" w:rsidRPr="00773732" w:rsidRDefault="00893F83" w:rsidP="00773732">
      <w:pPr>
        <w:pStyle w:val="FootnoteText"/>
        <w:spacing w:before="60"/>
        <w:jc w:val="both"/>
        <w:rPr>
          <w:rFonts w:ascii="Times New Roman" w:hAnsi="Times New Roman" w:cs="Times New Roman"/>
        </w:rPr>
      </w:pPr>
      <w:r>
        <w:rPr>
          <w:rStyle w:val="FootnoteReference"/>
          <w:rFonts w:ascii="Times New Roman" w:hAnsi="Times New Roman"/>
        </w:rPr>
        <w:t>37</w:t>
      </w:r>
      <w:r>
        <w:rPr>
          <w:rFonts w:ascii="Times New Roman" w:hAnsi="Times New Roman"/>
        </w:rPr>
        <w:t xml:space="preserve"> Korejas Publisko finanšu institūts (</w:t>
      </w:r>
      <w:r>
        <w:rPr>
          <w:rFonts w:ascii="Times New Roman" w:hAnsi="Times New Roman"/>
          <w:i/>
          <w:iCs/>
        </w:rPr>
        <w:t>KIPF</w:t>
      </w:r>
      <w:r>
        <w:rPr>
          <w:rFonts w:ascii="Times New Roman" w:hAnsi="Times New Roman"/>
        </w:rPr>
        <w:t xml:space="preserve">) un Dānijas Iekšlietu un veselības ministrija 2007. gadā kopīgi organizēja semināru un sagatavoja grāmatu ar nosaukumu “Measuring Local Government Expenditure Needs – The Copenhagen Workshop 2007” [Vietējo pašvaldību izdevumu vajadzību mērīšana – 2007. gada Kopenhāgenas seminārs]. Vēlāk, 2009. gadā, </w:t>
      </w:r>
      <w:r>
        <w:rPr>
          <w:rFonts w:ascii="Times New Roman" w:hAnsi="Times New Roman"/>
          <w:i/>
          <w:iCs/>
        </w:rPr>
        <w:t>KIPF</w:t>
      </w:r>
      <w:r>
        <w:rPr>
          <w:rFonts w:ascii="Times New Roman" w:hAnsi="Times New Roman"/>
        </w:rPr>
        <w:t xml:space="preserve"> un Dānijas Iekšlietu un sociālo lietu ministrija rīkoja vēl vienu semināru par jautājumu, kā izvēlēties vispārējas dotācijas un mērķdotācijas, un prezentēja grāmatu “General Grants versus Earmarked Grants Theory and Practice” [Vispārējās dotācijas salīdzinājumā ar mērķdotācijām teorijā un praksē].</w:t>
      </w:r>
    </w:p>
  </w:footnote>
  <w:footnote w:id="35">
    <w:p w14:paraId="46D42EE2" w14:textId="30A58D35" w:rsidR="00893F83" w:rsidRPr="00773732" w:rsidRDefault="00893F83" w:rsidP="00773732">
      <w:pPr>
        <w:pStyle w:val="FootnoteText"/>
        <w:spacing w:before="60"/>
        <w:jc w:val="both"/>
        <w:rPr>
          <w:rFonts w:ascii="Times New Roman" w:hAnsi="Times New Roman" w:cs="Times New Roman"/>
        </w:rPr>
      </w:pPr>
      <w:r>
        <w:rPr>
          <w:rStyle w:val="FootnoteReference"/>
          <w:rFonts w:ascii="Times New Roman" w:hAnsi="Times New Roman"/>
        </w:rPr>
        <w:t>38</w:t>
      </w:r>
      <w:r>
        <w:rPr>
          <w:rFonts w:ascii="Times New Roman" w:hAnsi="Times New Roman"/>
        </w:rPr>
        <w:t xml:space="preserve"> Piemēram, Anglijā 2006. gadā īstenotā pāreja no vispārējām dotācijām uz mērķdotācijām skolu finansēšanai parāda, ka lēmumam par izmantojamo dotāciju veidu jābūt pielāgotam katras nozares specifiskajām prasībām un mērķiem, nevis jābalstās uz vispārēju preferenci vienam dotāciju veidam salīdzinājumā ar citiem (Kim, 2021).</w:t>
      </w:r>
    </w:p>
  </w:footnote>
  <w:footnote w:id="36">
    <w:p w14:paraId="39865789" w14:textId="584431DB" w:rsidR="00893F83" w:rsidRPr="00773732" w:rsidRDefault="00893F83" w:rsidP="00773732">
      <w:pPr>
        <w:pStyle w:val="FootnoteText"/>
        <w:spacing w:before="60"/>
        <w:jc w:val="both"/>
        <w:rPr>
          <w:rFonts w:ascii="Times New Roman" w:hAnsi="Times New Roman" w:cs="Times New Roman"/>
        </w:rPr>
      </w:pPr>
      <w:r>
        <w:rPr>
          <w:rStyle w:val="FootnoteReference"/>
          <w:rFonts w:ascii="Times New Roman" w:hAnsi="Times New Roman"/>
        </w:rPr>
        <w:t>39</w:t>
      </w:r>
      <w:r>
        <w:rPr>
          <w:rFonts w:ascii="Times New Roman" w:hAnsi="Times New Roman"/>
        </w:rPr>
        <w:t xml:space="preserve"> Šo dotāciju efektivitāte ir nepārtrauktu diskusiju temats, taču Komisijas loma tiešajos fiskālajos pārvedumos joprojām ir viens no galvenajiem faktoriem dotāciju sistēmu izstrādē.</w:t>
      </w:r>
    </w:p>
  </w:footnote>
  <w:footnote w:id="37">
    <w:p w14:paraId="17C0CAC7" w14:textId="708EBAB5" w:rsidR="00893F83" w:rsidRPr="00893F83" w:rsidRDefault="00893F83" w:rsidP="00773732">
      <w:pPr>
        <w:pStyle w:val="FootnoteText"/>
        <w:spacing w:before="60"/>
        <w:jc w:val="both"/>
      </w:pPr>
      <w:r>
        <w:rPr>
          <w:rStyle w:val="FootnoteReference"/>
          <w:rFonts w:ascii="Times New Roman" w:hAnsi="Times New Roman"/>
        </w:rPr>
        <w:t>40</w:t>
      </w:r>
      <w:r>
        <w:rPr>
          <w:rFonts w:ascii="Times New Roman" w:hAnsi="Times New Roman"/>
        </w:rPr>
        <w:t xml:space="preserve"> Tas ir īpaši būtiski, jo pašvaldību pasākumi bez noteiktas ievirzes var nesasniegt valsts līmenī noteiktos zaļos mērķus. Šo izaicinājumu vēl jo vairāk saasina nepieciešamība pēc uzvedības maiņas un vides jomā noteikto mērķu ievērošanas, it īpaši mazākās pašvaldībās.</w:t>
      </w:r>
    </w:p>
  </w:footnote>
  <w:footnote w:id="38">
    <w:p w14:paraId="473A486A" w14:textId="66E8C038" w:rsidR="00893F83" w:rsidRPr="00FB4419" w:rsidRDefault="00893F83" w:rsidP="00FB4419">
      <w:pPr>
        <w:pStyle w:val="FootnoteText"/>
        <w:spacing w:before="60"/>
        <w:jc w:val="both"/>
        <w:rPr>
          <w:rFonts w:ascii="Times New Roman" w:hAnsi="Times New Roman" w:cs="Times New Roman"/>
        </w:rPr>
      </w:pPr>
      <w:r>
        <w:rPr>
          <w:rStyle w:val="FootnoteReference"/>
          <w:rFonts w:ascii="Times New Roman" w:hAnsi="Times New Roman"/>
        </w:rPr>
        <w:t>41</w:t>
      </w:r>
      <w:r>
        <w:rPr>
          <w:rFonts w:ascii="Times New Roman" w:hAnsi="Times New Roman"/>
        </w:rPr>
        <w:t xml:space="preserve"> Piemēram, Indijā pirms 14. Finanšu komisijas reformēšanas sistēma, kurā galvenokārt tika piešķirtas dotācijas ar nosacījumiem, ierobežoja vietējo lēmumu pieņemšanu. Līdzīgi arī Butānā, Laosā un Vjetnamā publiskās investīcijas ierobežo iepriekš noteikti plāni, tādējādi mazinot vietējo pielāgojamību. Indonēzijā </w:t>
      </w:r>
      <w:r>
        <w:rPr>
          <w:rFonts w:ascii="Times New Roman" w:hAnsi="Times New Roman"/>
          <w:i/>
          <w:iCs/>
        </w:rPr>
        <w:t>DAK</w:t>
      </w:r>
      <w:r>
        <w:rPr>
          <w:rFonts w:ascii="Times New Roman" w:hAnsi="Times New Roman"/>
        </w:rPr>
        <w:t xml:space="preserve"> mērķdotācijas ir izraisījušas neefektīvu līdzekļu sadalījumu, savukārt Mongolijā uzsvars uz kapitālizdevumiem, izmantojot Vietējās attīstības fonda dotācijas, veicināja neilgtspējīgu infrastruktūras projektu īstenošanu (Shotton un Gankhuyag, 2021).</w:t>
      </w:r>
    </w:p>
  </w:footnote>
  <w:footnote w:id="39">
    <w:p w14:paraId="4FF4ED7E" w14:textId="4F40451E" w:rsidR="00773732" w:rsidRPr="00FB4419" w:rsidRDefault="00773732" w:rsidP="004A369C">
      <w:pPr>
        <w:pStyle w:val="FootnoteText"/>
        <w:keepNext/>
        <w:keepLines/>
        <w:spacing w:before="60"/>
        <w:jc w:val="both"/>
        <w:rPr>
          <w:rStyle w:val="FootnoteReference"/>
          <w:rFonts w:ascii="Times New Roman" w:hAnsi="Times New Roman" w:cs="Times New Roman"/>
        </w:rPr>
      </w:pPr>
      <w:r>
        <w:rPr>
          <w:rStyle w:val="FootnoteReference"/>
          <w:rFonts w:ascii="Times New Roman" w:hAnsi="Times New Roman"/>
        </w:rPr>
        <w:t>42</w:t>
      </w:r>
      <w:r>
        <w:rPr>
          <w:rFonts w:ascii="Times New Roman" w:hAnsi="Times New Roman"/>
        </w:rPr>
        <w:t xml:space="preserve"> Piemēram, Indijā, atvieglojot nosacījumus dotāciju saņemšanai, ir radušās ievērojamas atšķirības izdevumos vidējai izglītībai dažādos štatos, raisot debates par šādas elastības efektivitāti. Lai gan šīs atšķirības izdevumos var atspoguļot katra štata atšķirīgās vajadzības, tās iezīmē izaicinājumus, līdzsvarojot </w:t>
      </w:r>
      <w:r>
        <w:rPr>
          <w:rStyle w:val="FootnoteReference"/>
          <w:rFonts w:ascii="Times New Roman" w:hAnsi="Times New Roman"/>
          <w:vertAlign w:val="baseline"/>
        </w:rPr>
        <w:t>fiskālo autonomiju ar nepieciešamību uzturēt vienādu pakalpojumu apjomu visā valstī.</w:t>
      </w:r>
    </w:p>
  </w:footnote>
  <w:footnote w:id="40">
    <w:p w14:paraId="0B43B06F" w14:textId="66BFD3A6" w:rsidR="00FB4419" w:rsidRPr="00FB4419" w:rsidRDefault="00FB4419" w:rsidP="00FB4419">
      <w:pPr>
        <w:pStyle w:val="FootnoteText"/>
        <w:spacing w:before="60"/>
        <w:jc w:val="both"/>
      </w:pPr>
      <w:r>
        <w:rPr>
          <w:rStyle w:val="FootnoteReference"/>
          <w:rFonts w:ascii="Times New Roman" w:hAnsi="Times New Roman"/>
        </w:rPr>
        <w:t xml:space="preserve">43 </w:t>
      </w:r>
      <w:r>
        <w:rPr>
          <w:rFonts w:ascii="Times New Roman" w:hAnsi="Times New Roman"/>
        </w:rPr>
        <w:t>ES pārvedumi, piemēram, ES struktūrfondi un kohēzijas fondi, ir nozīmīgs fiskālo pārvedumu veids pārvalstiskā līmenī. Tomēr šajā pētījumā īpaši aplūkoti pārvedumi federālajās un unitārajās valstīs, nevis tie, kas saistīti ar ES. ES pārvedumu sistēma ir sarežģīta, tā darbojas unikālā tiesiskajā ietvarā, kas pārsniedz ekonomiskās, administratīvās un valstu robežas. Sīkāku informāciju par ES pārvedumiem un līdzekļu apguvi skatīt Kapēla-Ramusa [</w:t>
      </w:r>
      <w:r>
        <w:rPr>
          <w:rFonts w:ascii="Times New Roman" w:hAnsi="Times New Roman"/>
          <w:i/>
          <w:iCs/>
        </w:rPr>
        <w:t>Capella-Ramos</w:t>
      </w:r>
      <w:r>
        <w:rPr>
          <w:rFonts w:ascii="Times New Roman" w:hAnsi="Times New Roman"/>
        </w:rPr>
        <w:t xml:space="preserve">] un citu autoru (2020) pētījumā un </w:t>
      </w:r>
      <w:r>
        <w:rPr>
          <w:rFonts w:ascii="Times New Roman" w:hAnsi="Times New Roman"/>
          <w:i/>
          <w:iCs/>
        </w:rPr>
        <w:t>OECD</w:t>
      </w:r>
      <w:r>
        <w:rPr>
          <w:rFonts w:ascii="Times New Roman" w:hAnsi="Times New Roman"/>
        </w:rPr>
        <w:t xml:space="preserve"> (2021) 1.5. ierāmējumā.</w:t>
      </w:r>
    </w:p>
  </w:footnote>
  <w:footnote w:id="41">
    <w:p w14:paraId="1097388C" w14:textId="6A274EAC" w:rsidR="00122FE6" w:rsidRPr="009C58B8" w:rsidRDefault="00122FE6" w:rsidP="009C58B8">
      <w:pPr>
        <w:pStyle w:val="FootnoteText"/>
        <w:spacing w:before="60"/>
        <w:jc w:val="both"/>
        <w:rPr>
          <w:rFonts w:ascii="Times New Roman" w:hAnsi="Times New Roman" w:cs="Times New Roman"/>
        </w:rPr>
      </w:pPr>
      <w:r>
        <w:rPr>
          <w:rStyle w:val="FootnoteReference"/>
          <w:rFonts w:ascii="Times New Roman" w:hAnsi="Times New Roman"/>
        </w:rPr>
        <w:t>44</w:t>
      </w:r>
      <w:r>
        <w:rPr>
          <w:rFonts w:ascii="Times New Roman" w:hAnsi="Times New Roman"/>
        </w:rPr>
        <w:t xml:space="preserve"> Šie piešķīrumi ir stratēģiski izstrādāti, lai nodrošinātu, ka visiem reģioniem vai jurisdikcijām ir nepieciešamā fiskālā kapacitāte salīdzināma sabiedrisko pakalpojumu līmeņa sniegšanai neatkarīgi no to individuālajām ieņēmumu gūšanas spējām.</w:t>
      </w:r>
    </w:p>
  </w:footnote>
  <w:footnote w:id="42">
    <w:p w14:paraId="45EA149E" w14:textId="650273CC" w:rsidR="00C227F1" w:rsidRPr="009C58B8" w:rsidRDefault="00C227F1" w:rsidP="009C58B8">
      <w:pPr>
        <w:pStyle w:val="FootnoteText"/>
        <w:spacing w:before="60"/>
        <w:jc w:val="both"/>
        <w:rPr>
          <w:rFonts w:ascii="Times New Roman" w:hAnsi="Times New Roman" w:cs="Times New Roman"/>
        </w:rPr>
      </w:pPr>
      <w:r>
        <w:rPr>
          <w:rStyle w:val="FootnoteReference"/>
          <w:rFonts w:ascii="Times New Roman" w:hAnsi="Times New Roman"/>
        </w:rPr>
        <w:t>45</w:t>
      </w:r>
      <w:r>
        <w:rPr>
          <w:rFonts w:ascii="Times New Roman" w:hAnsi="Times New Roman"/>
        </w:rPr>
        <w:t xml:space="preserve"> Šis efekts tiek novērots, kad, piemēram, viena eiro pieaugums dotācijās izraisa neproporcionāli lielāku vietējo izdevumu pieaugumu salīdzinājumā ar līdzīgu vietējo nodokļu ieņēmumu pieaugumu. Tas norāda, ka piešķirtie līdzekļi mēdz “iesprūst” tur, kur tie tiek piešķirti, tādējādi palielinot vietējos publiskos izdevumus vairāk nekā tad, ja tāda pati summa tiktu iegūta ar vietēja mēroga iniciatīvām. Šo efektu bieži vien izraisa vietējo birokrātu motivācija, kuri var censties paplašināt savus budžetus, lai uzlabotu savas izredzes tikt atkārtoti ievēlētiem vai nostiprinātu varu. Lielāki budžeti var nodrošināt lielāku autoritāti un ietekmi, mudinot birokrātus vairāk pievērst uzmanību vietējo izdevumu straujākai palielināšanai, kad saņem papildu dotācijas, nekā tad, kad ieņēmumus gūst vietējā līmenī.</w:t>
      </w:r>
    </w:p>
  </w:footnote>
  <w:footnote w:id="43">
    <w:p w14:paraId="02823715" w14:textId="2FCD3859" w:rsidR="009C58B8" w:rsidRPr="009C58B8" w:rsidRDefault="009C58B8" w:rsidP="009C58B8">
      <w:pPr>
        <w:pStyle w:val="FootnoteText"/>
        <w:spacing w:before="60"/>
        <w:jc w:val="both"/>
        <w:rPr>
          <w:rFonts w:ascii="Times New Roman" w:hAnsi="Times New Roman" w:cs="Times New Roman"/>
        </w:rPr>
      </w:pPr>
      <w:r>
        <w:rPr>
          <w:rStyle w:val="FootnoteReference"/>
          <w:rFonts w:ascii="Times New Roman" w:hAnsi="Times New Roman"/>
        </w:rPr>
        <w:t>46</w:t>
      </w:r>
      <w:r>
        <w:rPr>
          <w:rFonts w:ascii="Times New Roman" w:hAnsi="Times New Roman"/>
        </w:rPr>
        <w:t xml:space="preserve"> Svārstās no 0,5 % līdz 3,8 % no IKP jeb no 1,2 % līdz 7,2 % no valdības izdevumiem dalībvalstīs (OECD, 2021).</w:t>
      </w:r>
    </w:p>
  </w:footnote>
  <w:footnote w:id="44">
    <w:p w14:paraId="355E7060" w14:textId="50B16D61" w:rsidR="009C58B8" w:rsidRPr="00B53019" w:rsidRDefault="009C58B8" w:rsidP="00B53019">
      <w:pPr>
        <w:pStyle w:val="FootnoteText"/>
        <w:spacing w:before="60"/>
        <w:jc w:val="both"/>
        <w:rPr>
          <w:rFonts w:ascii="Times New Roman" w:hAnsi="Times New Roman" w:cs="Times New Roman"/>
        </w:rPr>
      </w:pPr>
      <w:r>
        <w:rPr>
          <w:rStyle w:val="FootnoteReference"/>
          <w:rFonts w:ascii="Times New Roman" w:hAnsi="Times New Roman"/>
        </w:rPr>
        <w:t>47</w:t>
      </w:r>
      <w:r>
        <w:rPr>
          <w:rFonts w:ascii="Times New Roman" w:hAnsi="Times New Roman"/>
        </w:rPr>
        <w:t xml:space="preserve"> Kanādas federālajā izlīdzināšanas programmā tiek novērtēta katras provinces fiskālā kapacitāte un maksājumi tiek veikti tām provincēm, kuru rādītāji ir zem valsts vidējā līmeņa, ļaujot provincēm piedāvāt salīdzināmus sabiedriskos pakalpojumus pie līdzīgiem nodokļu līmeņiem. Tomēr, ņemot vērā augstākas pakalpojumu sniegšanas izmaksas Ziemeļrietumu teritorijās, tika ieviesta īpaša dotācija, kas norāda uz pāreju uz niansētāku izlīdzināšanas pieeju.</w:t>
      </w:r>
    </w:p>
  </w:footnote>
  <w:footnote w:id="45">
    <w:p w14:paraId="226FC224" w14:textId="1949E87E" w:rsidR="009C58B8" w:rsidRPr="00B53019" w:rsidRDefault="009C58B8" w:rsidP="00B53019">
      <w:pPr>
        <w:pStyle w:val="FootnoteText"/>
        <w:spacing w:before="60"/>
        <w:jc w:val="both"/>
        <w:rPr>
          <w:rFonts w:ascii="Times New Roman" w:hAnsi="Times New Roman" w:cs="Times New Roman"/>
        </w:rPr>
      </w:pPr>
      <w:r>
        <w:rPr>
          <w:rStyle w:val="FootnoteReference"/>
          <w:rFonts w:ascii="Times New Roman" w:hAnsi="Times New Roman"/>
        </w:rPr>
        <w:t>48</w:t>
      </w:r>
      <w:r>
        <w:rPr>
          <w:rFonts w:ascii="Times New Roman" w:hAnsi="Times New Roman"/>
        </w:rPr>
        <w:t xml:space="preserve"> Šo uz vajadzībām balstīto dotāciju apjoms bieži pārsniedz tradicionālos izlīdzināšanas pārvedumus, atspoguļojot uzmanības pārorientēšanu uz konkrētu pakalpojumu sniegšanas prasību risināšanu (Searle un Ahmad, 2005).</w:t>
      </w:r>
    </w:p>
  </w:footnote>
  <w:footnote w:id="46">
    <w:p w14:paraId="279D1F00" w14:textId="21663A8F" w:rsidR="00714797" w:rsidRPr="00B53019" w:rsidRDefault="00714797" w:rsidP="00B53019">
      <w:pPr>
        <w:pStyle w:val="FootnoteText"/>
        <w:spacing w:before="60"/>
        <w:jc w:val="both"/>
        <w:rPr>
          <w:rFonts w:ascii="Times New Roman" w:hAnsi="Times New Roman" w:cs="Times New Roman"/>
        </w:rPr>
      </w:pPr>
      <w:r>
        <w:rPr>
          <w:rStyle w:val="FootnoteReference"/>
          <w:rFonts w:ascii="Times New Roman" w:hAnsi="Times New Roman"/>
        </w:rPr>
        <w:t>49</w:t>
      </w:r>
      <w:r>
        <w:rPr>
          <w:rFonts w:ascii="Times New Roman" w:hAnsi="Times New Roman"/>
        </w:rPr>
        <w:t xml:space="preserve"> Provinču nodokļu iekasēšanas un ieņēmumu gūšanas pilnvaru paplašināšana Kanādā, aptverot visas centrālās valdības rīcībā esošās galvenās nodokļu bāzes, rosināja pārvērtēt vertikālo nelīdzsvarotību, jo provinces teorētiski varētu kompensēt samazinātos federālos ieņēmumus, palielinot savus nodokļus.</w:t>
      </w:r>
    </w:p>
  </w:footnote>
  <w:footnote w:id="47">
    <w:p w14:paraId="738093B9" w14:textId="69376078" w:rsidR="00F41E59" w:rsidRPr="00B53019" w:rsidRDefault="00F41E59" w:rsidP="00B53019">
      <w:pPr>
        <w:pStyle w:val="FootnoteText"/>
        <w:spacing w:before="60"/>
        <w:jc w:val="both"/>
        <w:rPr>
          <w:rFonts w:ascii="Times New Roman" w:hAnsi="Times New Roman" w:cs="Times New Roman"/>
        </w:rPr>
      </w:pPr>
      <w:r>
        <w:rPr>
          <w:rStyle w:val="FootnoteReference"/>
          <w:rFonts w:ascii="Times New Roman" w:hAnsi="Times New Roman"/>
        </w:rPr>
        <w:t>50</w:t>
      </w:r>
      <w:r>
        <w:rPr>
          <w:rFonts w:ascii="Times New Roman" w:hAnsi="Times New Roman"/>
        </w:rPr>
        <w:t xml:space="preserve"> Šai metodei ir savi ierobežojumi, neraugoties uz to, ka tā vērš uzmanību uz izdevumu prasībām. Piemēram, “ekonomiskās ražības” mainīgā izmantošana Dienvidāfrikas modelī dažkārt tiek uzskatīta par netiešu veidu, kā uzskaitīt ieņēmumu kapacitātes atšķirības starp provincēm.</w:t>
      </w:r>
    </w:p>
  </w:footnote>
  <w:footnote w:id="48">
    <w:p w14:paraId="3754FA02" w14:textId="13F8B579" w:rsidR="00F41E59" w:rsidRPr="00B53019" w:rsidRDefault="00F41E59" w:rsidP="00B53019">
      <w:pPr>
        <w:pStyle w:val="FootnoteText"/>
        <w:spacing w:before="60"/>
        <w:jc w:val="both"/>
        <w:rPr>
          <w:rFonts w:ascii="Times New Roman" w:hAnsi="Times New Roman" w:cs="Times New Roman"/>
        </w:rPr>
      </w:pPr>
      <w:r>
        <w:rPr>
          <w:rStyle w:val="FootnoteReference"/>
          <w:rFonts w:ascii="Times New Roman" w:hAnsi="Times New Roman"/>
        </w:rPr>
        <w:t>51</w:t>
      </w:r>
      <w:r>
        <w:rPr>
          <w:rFonts w:ascii="Times New Roman" w:hAnsi="Times New Roman"/>
        </w:rPr>
        <w:t xml:space="preserve"> Sociālie apstākļi, kas tiek ņemti vērā izmaksu aprēķināšanā, ir, piemēram, zīdaiņu, vecu cilvēku vai skolas vecuma bērnu skaits.</w:t>
      </w:r>
    </w:p>
  </w:footnote>
  <w:footnote w:id="49">
    <w:p w14:paraId="2CF7009D" w14:textId="358D15DE" w:rsidR="00123BA6" w:rsidRPr="00B53019" w:rsidRDefault="00123BA6" w:rsidP="00B53019">
      <w:pPr>
        <w:pStyle w:val="FootnoteText"/>
        <w:jc w:val="both"/>
        <w:rPr>
          <w:rFonts w:ascii="Times New Roman" w:hAnsi="Times New Roman" w:cs="Times New Roman"/>
        </w:rPr>
      </w:pPr>
      <w:r>
        <w:rPr>
          <w:rStyle w:val="FootnoteReference"/>
          <w:rFonts w:ascii="Times New Roman" w:hAnsi="Times New Roman"/>
        </w:rPr>
        <w:t>52</w:t>
      </w:r>
      <w:r>
        <w:rPr>
          <w:rFonts w:ascii="Times New Roman" w:hAnsi="Times New Roman"/>
        </w:rPr>
        <w:t xml:space="preserve"> Līdzīgs izaicinājums tika novērots Itālijā, kas sākotnēji vērsa uzmanību tikai uz izlīdzināšanas centieniem izdevumu vajadzībām. Vēlāk, sākot ņemt vērā ieņēmumu kapacitāti, Itālijas izlīdzināšanas sistēmā iezīmējās nozīmīgas pārmaiņas, uzlabojot sistēmas efektivitāti un lietderību (Searle un Ahmad, 2005).</w:t>
      </w:r>
    </w:p>
  </w:footnote>
  <w:footnote w:id="50">
    <w:p w14:paraId="1682B4B7" w14:textId="4A10D6EB" w:rsidR="00123BA6" w:rsidRPr="00B53019" w:rsidRDefault="00123BA6" w:rsidP="00B53019">
      <w:pPr>
        <w:pStyle w:val="FootnoteText"/>
        <w:jc w:val="both"/>
        <w:rPr>
          <w:rFonts w:ascii="Times New Roman" w:hAnsi="Times New Roman" w:cs="Times New Roman"/>
        </w:rPr>
      </w:pPr>
      <w:r>
        <w:rPr>
          <w:rStyle w:val="FootnoteReference"/>
          <w:rFonts w:ascii="Times New Roman" w:hAnsi="Times New Roman"/>
        </w:rPr>
        <w:t>53</w:t>
      </w:r>
      <w:r>
        <w:rPr>
          <w:rFonts w:ascii="Times New Roman" w:hAnsi="Times New Roman"/>
        </w:rPr>
        <w:t xml:space="preserve"> Vācu valodā “Länderfinanzausgleich”.</w:t>
      </w:r>
    </w:p>
  </w:footnote>
  <w:footnote w:id="51">
    <w:p w14:paraId="4904BAB7" w14:textId="02A66AD5" w:rsidR="00123BA6" w:rsidRPr="00B53019" w:rsidRDefault="00123BA6" w:rsidP="00B53019">
      <w:pPr>
        <w:pStyle w:val="FootnoteText"/>
        <w:spacing w:before="60"/>
        <w:jc w:val="both"/>
        <w:rPr>
          <w:rFonts w:ascii="Times New Roman" w:hAnsi="Times New Roman" w:cs="Times New Roman"/>
        </w:rPr>
      </w:pPr>
      <w:r>
        <w:rPr>
          <w:rStyle w:val="FootnoteReference"/>
          <w:rFonts w:ascii="Times New Roman" w:hAnsi="Times New Roman"/>
        </w:rPr>
        <w:t>54</w:t>
      </w:r>
      <w:r>
        <w:rPr>
          <w:rFonts w:ascii="Times New Roman" w:hAnsi="Times New Roman"/>
        </w:rPr>
        <w:t xml:space="preserve"> Lai gan “Länderfinanzausgleich” sistēma galvenokārt ir vērsta uz ieņēmumu spējām, tajā netieši tiek ņemtas vērā izdevumu vajadzības, federālajai valdībai piešķirot papildu dotācijas federālajām zemēm.</w:t>
      </w:r>
      <w:r>
        <w:t xml:space="preserve"> </w:t>
      </w:r>
      <w:r>
        <w:rPr>
          <w:rFonts w:ascii="Times New Roman" w:hAnsi="Times New Roman"/>
        </w:rPr>
        <w:t>Šīs dotācijas var uzskatīt par mehānismu, lai risinātu īpašas izdevumu vajadzības, kuras netiek pilnībā segtas ar horizontālajiem finanšu izlīdzinājumiem starp federālajām zemēm, piemēram, augstākas izmaksas sociālajiem pakalpojumiem vai infrastruktūras ieguldījumiem mazāk turīgās federālajās zemēs.</w:t>
      </w:r>
    </w:p>
  </w:footnote>
  <w:footnote w:id="52">
    <w:p w14:paraId="5A3744B8" w14:textId="5CADF8AA" w:rsidR="00123BA6" w:rsidRPr="00B53019" w:rsidRDefault="00123BA6" w:rsidP="00B53019">
      <w:pPr>
        <w:pStyle w:val="FootnoteText"/>
        <w:spacing w:before="60"/>
        <w:jc w:val="both"/>
        <w:rPr>
          <w:rFonts w:ascii="Times New Roman" w:hAnsi="Times New Roman" w:cs="Times New Roman"/>
        </w:rPr>
      </w:pPr>
      <w:r>
        <w:rPr>
          <w:rStyle w:val="FootnoteReference"/>
          <w:rFonts w:ascii="Times New Roman" w:hAnsi="Times New Roman"/>
        </w:rPr>
        <w:t>55</w:t>
      </w:r>
      <w:r>
        <w:rPr>
          <w:rFonts w:ascii="Times New Roman" w:hAnsi="Times New Roman"/>
        </w:rPr>
        <w:t xml:space="preserve"> Kritiķi apgalvo, ka sistēma varētu atturēt federālās zemes no savas ekonomiskās darbības uzlabošanas, ja tās zina, ka pieaugušie ieņēmumi radīs lielākus ieguldījumus izlīdzināšanas mehānismā vai samazinātiem ieņēmumiem no tā.</w:t>
      </w:r>
    </w:p>
  </w:footnote>
  <w:footnote w:id="53">
    <w:p w14:paraId="7145AC7A" w14:textId="0ABFDF2E" w:rsidR="00106D14" w:rsidRPr="00B53019" w:rsidRDefault="00106D14" w:rsidP="00B53019">
      <w:pPr>
        <w:pStyle w:val="FootnoteText"/>
        <w:spacing w:before="60"/>
        <w:jc w:val="both"/>
        <w:rPr>
          <w:rFonts w:ascii="Times New Roman" w:hAnsi="Times New Roman" w:cs="Times New Roman"/>
        </w:rPr>
      </w:pPr>
      <w:r>
        <w:rPr>
          <w:rStyle w:val="FootnoteReference"/>
          <w:rFonts w:ascii="Times New Roman" w:hAnsi="Times New Roman"/>
        </w:rPr>
        <w:t>56</w:t>
      </w:r>
      <w:r>
        <w:rPr>
          <w:rFonts w:ascii="Times New Roman" w:hAnsi="Times New Roman"/>
        </w:rPr>
        <w:t xml:space="preserve"> Lai novērstu šīs neparedzētās sekas, stratēģijām jābūt vērstām uz fiskālās atbildības veicināšanu un ieņēmumu iekasēšanas centienu uzlabošanu pašvaldībās. Būtiski pasākumi ir minimālo standartu ieviešana attiecībā uz nodokļu iekasēšanu un sadales procesa pārskatāmības uzlabošana. Šo pasākumu mērķis ir saskaņot pašvaldību motivāciju ar visaptverošajiem fiskālā taisnīguma un efektivitātes mērķiem.</w:t>
      </w:r>
    </w:p>
  </w:footnote>
  <w:footnote w:id="54">
    <w:p w14:paraId="0A6FDD58" w14:textId="7D9C3B29" w:rsidR="00106D14" w:rsidRPr="00B53019" w:rsidRDefault="00106D14" w:rsidP="00B53019">
      <w:pPr>
        <w:pStyle w:val="FootnoteText"/>
        <w:spacing w:before="60"/>
        <w:jc w:val="both"/>
        <w:rPr>
          <w:rFonts w:ascii="Times New Roman" w:hAnsi="Times New Roman" w:cs="Times New Roman"/>
        </w:rPr>
      </w:pPr>
      <w:r>
        <w:rPr>
          <w:rStyle w:val="FootnoteReference"/>
          <w:rFonts w:ascii="Times New Roman" w:hAnsi="Times New Roman"/>
        </w:rPr>
        <w:t>57</w:t>
      </w:r>
      <w:r>
        <w:rPr>
          <w:rFonts w:ascii="Times New Roman" w:hAnsi="Times New Roman"/>
        </w:rPr>
        <w:t xml:space="preserve"> Dažas valstis, piemēram, Austrālija, ir uzticējušas šo sarežģīto uzdevumu neatkarīgām tehnisko ekspertu institūcijām, piemēram, Austrālijas Dotāciju komisijai.</w:t>
      </w:r>
    </w:p>
  </w:footnote>
  <w:footnote w:id="55">
    <w:p w14:paraId="67374BCB" w14:textId="1E4E6729" w:rsidR="00106D14" w:rsidRPr="002A56D3" w:rsidRDefault="00106D14" w:rsidP="00B53019">
      <w:pPr>
        <w:pStyle w:val="FootnoteText"/>
        <w:spacing w:before="60"/>
        <w:jc w:val="both"/>
        <w:rPr>
          <w:rFonts w:ascii="Times New Roman" w:hAnsi="Times New Roman" w:cs="Times New Roman"/>
        </w:rPr>
      </w:pPr>
      <w:r>
        <w:rPr>
          <w:rStyle w:val="FootnoteReference"/>
          <w:rFonts w:ascii="Times New Roman" w:hAnsi="Times New Roman"/>
        </w:rPr>
        <w:t>58</w:t>
      </w:r>
      <w:r>
        <w:rPr>
          <w:rFonts w:ascii="Times New Roman" w:hAnsi="Times New Roman"/>
        </w:rPr>
        <w:t xml:space="preserve"> Procikliskie nodokļi ir nodokļi, kas parasti pieaug ekonomikas izaugsmes periodos un samazinās ekonomikas lejupslīdes periodos, tādējādi pastiprinot dabisko ekonomikas attīstības ciklu.</w:t>
      </w:r>
    </w:p>
  </w:footnote>
  <w:footnote w:id="56">
    <w:p w14:paraId="0ACC9EE4" w14:textId="2D8DC440" w:rsidR="000E204E" w:rsidRPr="00A01D0C" w:rsidRDefault="000E204E" w:rsidP="00A01D0C">
      <w:pPr>
        <w:pStyle w:val="FootnoteText"/>
        <w:spacing w:before="60"/>
        <w:jc w:val="both"/>
        <w:rPr>
          <w:rFonts w:ascii="Times New Roman" w:hAnsi="Times New Roman" w:cs="Times New Roman"/>
        </w:rPr>
      </w:pPr>
      <w:r>
        <w:rPr>
          <w:rStyle w:val="FootnoteReference"/>
          <w:rFonts w:ascii="Times New Roman" w:hAnsi="Times New Roman"/>
        </w:rPr>
        <w:t>59</w:t>
      </w:r>
      <w:r>
        <w:rPr>
          <w:rFonts w:ascii="Times New Roman" w:hAnsi="Times New Roman"/>
        </w:rPr>
        <w:t xml:space="preserve"> Iztrūkumu aizpildīšanas pārvedumi, kas parasti tiek izmantoti valstīs, kuru tautsaimniecības vēsturiski nav bijušas balstītas tirgū, nodrošina resursus pašvaldībām. Šo līdzekļu izmantošana lielākoties ir iepriekš noteikta budžeta veidošanas procesā, jo pašvaldību budžeti bieži vien ir integrēti plašākā valsts budžetā.</w:t>
      </w:r>
    </w:p>
  </w:footnote>
  <w:footnote w:id="57">
    <w:p w14:paraId="59900EC1" w14:textId="335448AB" w:rsidR="000E204E" w:rsidRPr="00A01D0C" w:rsidRDefault="000E204E" w:rsidP="00A01D0C">
      <w:pPr>
        <w:pStyle w:val="FootnoteText"/>
        <w:spacing w:before="60"/>
        <w:jc w:val="both"/>
        <w:rPr>
          <w:rFonts w:ascii="Times New Roman" w:hAnsi="Times New Roman" w:cs="Times New Roman"/>
        </w:rPr>
      </w:pPr>
      <w:r>
        <w:rPr>
          <w:rStyle w:val="FootnoteReference"/>
          <w:rFonts w:ascii="Times New Roman" w:hAnsi="Times New Roman"/>
        </w:rPr>
        <w:t>60</w:t>
      </w:r>
      <w:r>
        <w:rPr>
          <w:rFonts w:ascii="Times New Roman" w:hAnsi="Times New Roman"/>
        </w:rPr>
        <w:t xml:space="preserve"> Šī evolūcija uzsver pieaugošo vienprātību par nepieciešamību pašvaldībām pieņemt fiskālās politikas un stratēģijas, kas ir gan atbildīgas, gan ilgtspējīgas.</w:t>
      </w:r>
    </w:p>
  </w:footnote>
  <w:footnote w:id="58">
    <w:p w14:paraId="1287DC75" w14:textId="1F8E4565" w:rsidR="000E204E" w:rsidRPr="00A01D0C" w:rsidRDefault="000E204E" w:rsidP="00A01D0C">
      <w:pPr>
        <w:pStyle w:val="FootnoteText"/>
        <w:spacing w:before="60"/>
        <w:jc w:val="both"/>
        <w:rPr>
          <w:rFonts w:ascii="Times New Roman" w:hAnsi="Times New Roman" w:cs="Times New Roman"/>
        </w:rPr>
      </w:pPr>
      <w:r>
        <w:rPr>
          <w:rStyle w:val="FootnoteReference"/>
          <w:rFonts w:ascii="Times New Roman" w:hAnsi="Times New Roman"/>
        </w:rPr>
        <w:t>61</w:t>
      </w:r>
      <w:r>
        <w:rPr>
          <w:rFonts w:ascii="Times New Roman" w:hAnsi="Times New Roman"/>
        </w:rPr>
        <w:t xml:space="preserve"> Šī iezīme atšķir globālās dotācijas no nosacījumu dotācijām vai mērķdotācijām, kuru līdzekļi jāizmanto konkrētiem, iepriekš noteiktiem mērķiem.</w:t>
      </w:r>
    </w:p>
  </w:footnote>
  <w:footnote w:id="59">
    <w:p w14:paraId="25253FEB" w14:textId="5CD602D5" w:rsidR="000E204E" w:rsidRPr="00A01D0C" w:rsidRDefault="000E204E" w:rsidP="00B73DD7">
      <w:pPr>
        <w:pStyle w:val="FootnoteText"/>
        <w:keepNext/>
        <w:keepLines/>
        <w:spacing w:before="60"/>
        <w:jc w:val="both"/>
        <w:rPr>
          <w:rFonts w:ascii="Times New Roman" w:hAnsi="Times New Roman" w:cs="Times New Roman"/>
        </w:rPr>
      </w:pPr>
      <w:r>
        <w:rPr>
          <w:rStyle w:val="FootnoteReference"/>
          <w:rFonts w:ascii="Times New Roman" w:hAnsi="Times New Roman"/>
        </w:rPr>
        <w:t>62</w:t>
      </w:r>
      <w:r>
        <w:rPr>
          <w:rFonts w:ascii="Times New Roman" w:hAnsi="Times New Roman"/>
        </w:rPr>
        <w:t xml:space="preserve"> Tomēr šī elastība var radīt arī izaicinājumus saistībā ar līdzekļu efektīvu un lietderīgu izmantošanu. Bez konkrētām vadlīnijām pastāv risks, ka līdzekļi netiks piešķirti tām jomām, kurām tie ir visvairāk nepieciešami, vai netiks izmantoti visefektīvākajā veidā. Šīs bažas uzsver spēcīgas vietējās pārvaldības un pārskatatbildības mehānismu nozīmi, lai nodrošinātu, ka globālās dotācijas sniedz iecerēto rezultātu.</w:t>
      </w:r>
    </w:p>
  </w:footnote>
  <w:footnote w:id="60">
    <w:p w14:paraId="5D816765" w14:textId="069A521F" w:rsidR="00931298" w:rsidRPr="00931298" w:rsidRDefault="00931298" w:rsidP="00A01D0C">
      <w:pPr>
        <w:pStyle w:val="FootnoteText"/>
        <w:spacing w:before="60"/>
        <w:jc w:val="both"/>
      </w:pPr>
      <w:r>
        <w:rPr>
          <w:rStyle w:val="FootnoteReference"/>
          <w:rFonts w:ascii="Times New Roman" w:hAnsi="Times New Roman"/>
        </w:rPr>
        <w:t>63</w:t>
      </w:r>
      <w:r>
        <w:rPr>
          <w:rFonts w:ascii="Times New Roman" w:hAnsi="Times New Roman"/>
        </w:rPr>
        <w:t xml:space="preserve"> Lai gan globālās dotācijas bieži tiek sadalītas, ņemot vērā iedzīvotāju skaitu, šī metode nav universāla. Piešķiršanas kritēriji var atšķirties atkarībā no katras dotācijas konkrētajiem mērķiem.</w:t>
      </w:r>
    </w:p>
  </w:footnote>
  <w:footnote w:id="61">
    <w:p w14:paraId="20D07B45" w14:textId="2CAB1D46" w:rsidR="00B53019" w:rsidRPr="00B53019" w:rsidRDefault="00B53019" w:rsidP="00B53019">
      <w:pPr>
        <w:pStyle w:val="FootnoteText"/>
        <w:spacing w:before="60"/>
        <w:jc w:val="both"/>
        <w:rPr>
          <w:rFonts w:ascii="Times New Roman" w:hAnsi="Times New Roman" w:cs="Times New Roman"/>
        </w:rPr>
      </w:pPr>
      <w:r>
        <w:rPr>
          <w:rStyle w:val="FootnoteReference"/>
          <w:rFonts w:ascii="Times New Roman" w:hAnsi="Times New Roman"/>
        </w:rPr>
        <w:t>64</w:t>
      </w:r>
      <w:r>
        <w:rPr>
          <w:rFonts w:ascii="Times New Roman" w:hAnsi="Times New Roman"/>
        </w:rPr>
        <w:t xml:space="preserve"> Piemēram, Vjetnamā veselības nozares dotācijas, kas piešķirtas, pamatojoties uz slimnīcu gultu skaitu, ir nesamērīgi atbalstījušas jau tā labi aprīkotas teritorijas.</w:t>
      </w:r>
    </w:p>
  </w:footnote>
  <w:footnote w:id="62">
    <w:p w14:paraId="09E70851" w14:textId="48763260" w:rsidR="00B53019" w:rsidRPr="00B53019" w:rsidRDefault="00B53019" w:rsidP="00B53019">
      <w:pPr>
        <w:pStyle w:val="FootnoteText"/>
        <w:spacing w:before="60"/>
        <w:jc w:val="both"/>
        <w:rPr>
          <w:rFonts w:ascii="Times New Roman" w:hAnsi="Times New Roman" w:cs="Times New Roman"/>
        </w:rPr>
      </w:pPr>
      <w:r>
        <w:rPr>
          <w:rStyle w:val="FootnoteReference"/>
          <w:rFonts w:ascii="Times New Roman" w:hAnsi="Times New Roman"/>
        </w:rPr>
        <w:t>65</w:t>
      </w:r>
      <w:r>
        <w:rPr>
          <w:rFonts w:ascii="Times New Roman" w:hAnsi="Times New Roman"/>
        </w:rPr>
        <w:t xml:space="preserve"> Lai gan pašvaldības bieži dod priekšroku beznosacījumu pārvedumiem bez līdzfinansējuma to elastības dēļ, lai risinātu savas vietējās vajadzības, dotāciju piešķīrēji dažkārt izvēlas mērķtiecīgāku stratēģiju, lai garantētu, ka finansējums tiek novirzīts būtiskām valsts interesēm.</w:t>
      </w:r>
    </w:p>
  </w:footnote>
  <w:footnote w:id="63">
    <w:p w14:paraId="57562BDA" w14:textId="1F4F602C" w:rsidR="00B53019" w:rsidRPr="00B53019" w:rsidRDefault="00B53019" w:rsidP="00B53019">
      <w:pPr>
        <w:pStyle w:val="FootnoteText"/>
        <w:spacing w:before="60"/>
        <w:jc w:val="both"/>
        <w:rPr>
          <w:rFonts w:ascii="Times New Roman" w:hAnsi="Times New Roman" w:cs="Times New Roman"/>
        </w:rPr>
      </w:pPr>
      <w:r>
        <w:rPr>
          <w:rStyle w:val="FootnoteReference"/>
          <w:rFonts w:ascii="Times New Roman" w:hAnsi="Times New Roman"/>
        </w:rPr>
        <w:t>66</w:t>
      </w:r>
      <w:r>
        <w:rPr>
          <w:rFonts w:ascii="Times New Roman" w:hAnsi="Times New Roman"/>
        </w:rPr>
        <w:t xml:space="preserve"> Turklāt nosacījumu līdzvērtīgas dotācijas var arī netieši veicināt citu sabiedrisko preču un pakalpojumu iegādi, pateicoties “aizstājamības efektam”. Šis efekts nozīmē to, ka faktiskie izdevumi noteiktā jomā var būt mazāki nekā dotācijas summa, ļaujot pārpalikumu izmantot citiem pakalpojumiem vai nodokļu atvieglojumiem (Shah, 2006).</w:t>
      </w:r>
    </w:p>
  </w:footnote>
  <w:footnote w:id="64">
    <w:p w14:paraId="39B57087" w14:textId="5A5CD241" w:rsidR="00B53019" w:rsidRPr="00B53019" w:rsidRDefault="00B53019" w:rsidP="00B53019">
      <w:pPr>
        <w:pStyle w:val="FootnoteText"/>
        <w:spacing w:before="60"/>
        <w:jc w:val="both"/>
        <w:rPr>
          <w:rFonts w:ascii="Times New Roman" w:hAnsi="Times New Roman" w:cs="Times New Roman"/>
        </w:rPr>
      </w:pPr>
      <w:r>
        <w:rPr>
          <w:rStyle w:val="FootnoteReference"/>
          <w:rFonts w:ascii="Times New Roman" w:hAnsi="Times New Roman"/>
        </w:rPr>
        <w:t>67</w:t>
      </w:r>
      <w:r>
        <w:rPr>
          <w:rFonts w:ascii="Times New Roman" w:hAnsi="Times New Roman"/>
        </w:rPr>
        <w:t xml:space="preserve"> Informācija pieejama vietnē: https://www.medicaid.gov/.</w:t>
      </w:r>
    </w:p>
  </w:footnote>
  <w:footnote w:id="65">
    <w:p w14:paraId="18B47774" w14:textId="6D8A2AD0" w:rsidR="00B53019" w:rsidRPr="00B53019" w:rsidRDefault="00B53019" w:rsidP="00B53019">
      <w:pPr>
        <w:pStyle w:val="FootnoteText"/>
        <w:spacing w:before="60"/>
        <w:jc w:val="both"/>
        <w:rPr>
          <w:rFonts w:ascii="Times New Roman" w:hAnsi="Times New Roman" w:cs="Times New Roman"/>
        </w:rPr>
      </w:pPr>
      <w:r>
        <w:rPr>
          <w:rStyle w:val="FootnoteReference"/>
          <w:rFonts w:ascii="Times New Roman" w:hAnsi="Times New Roman"/>
        </w:rPr>
        <w:t>68</w:t>
      </w:r>
      <w:r>
        <w:rPr>
          <w:rFonts w:ascii="Times New Roman" w:hAnsi="Times New Roman"/>
        </w:rPr>
        <w:t xml:space="preserve"> Informācija pieejama vietnē: https://elpais.com/economia/2023-12-27/la-gratuidad-del-transporte-publico-de-trenes-y- autocares-se-mantendra-en-2024.html.</w:t>
      </w:r>
    </w:p>
  </w:footnote>
  <w:footnote w:id="66">
    <w:p w14:paraId="1C478D1C" w14:textId="632158AC" w:rsidR="00B53019" w:rsidRPr="00B53019" w:rsidRDefault="00B53019" w:rsidP="00B53019">
      <w:pPr>
        <w:pStyle w:val="FootnoteText"/>
        <w:spacing w:before="60"/>
        <w:jc w:val="both"/>
      </w:pPr>
      <w:r>
        <w:rPr>
          <w:rStyle w:val="FootnoteReference"/>
          <w:rFonts w:ascii="Times New Roman" w:hAnsi="Times New Roman"/>
        </w:rPr>
        <w:t>69</w:t>
      </w:r>
      <w:r>
        <w:rPr>
          <w:rFonts w:ascii="Times New Roman" w:hAnsi="Times New Roman"/>
        </w:rPr>
        <w:t xml:space="preserve"> Informācija pieejama vietnē: https://www.housing.org.uk/our-work/building-new-homes/AHP-2021-26/.</w:t>
      </w:r>
    </w:p>
  </w:footnote>
  <w:footnote w:id="67">
    <w:p w14:paraId="14461BCE" w14:textId="3803931B" w:rsidR="00B53019" w:rsidRPr="00B53019" w:rsidRDefault="00B53019" w:rsidP="00B53019">
      <w:pPr>
        <w:pStyle w:val="FootnoteText"/>
        <w:spacing w:before="60"/>
        <w:jc w:val="both"/>
      </w:pPr>
      <w:r>
        <w:rPr>
          <w:rStyle w:val="FootnoteReference"/>
        </w:rPr>
        <w:t>70</w:t>
      </w:r>
      <w:r>
        <w:t xml:space="preserve"> </w:t>
      </w:r>
      <w:r>
        <w:rPr>
          <w:rFonts w:ascii="Times New Roman" w:hAnsi="Times New Roman"/>
        </w:rPr>
        <w:t>Plašāka ietekme rodas, kad pakalpojums, ko finansē viena pašvaldība, sniedz labumu arī kaimiņu teritorijām, kas finansiāli nepiedalās, kā rezultātā parasti pakalpojums netiek nodrošināts pietiekamā apmērā.</w:t>
      </w:r>
    </w:p>
  </w:footnote>
  <w:footnote w:id="68">
    <w:p w14:paraId="42D7580A" w14:textId="21029419" w:rsidR="00CA1203" w:rsidRPr="00AA6561" w:rsidRDefault="00CA1203" w:rsidP="00AA6561">
      <w:pPr>
        <w:pStyle w:val="FootnoteText"/>
        <w:spacing w:before="60"/>
        <w:jc w:val="both"/>
        <w:rPr>
          <w:rFonts w:ascii="Times New Roman" w:hAnsi="Times New Roman" w:cs="Times New Roman"/>
        </w:rPr>
      </w:pPr>
      <w:r>
        <w:rPr>
          <w:rStyle w:val="FootnoteReference"/>
          <w:rFonts w:ascii="Times New Roman" w:hAnsi="Times New Roman"/>
        </w:rPr>
        <w:t>71</w:t>
      </w:r>
      <w:r>
        <w:rPr>
          <w:rFonts w:ascii="Times New Roman" w:hAnsi="Times New Roman"/>
        </w:rPr>
        <w:t xml:space="preserve"> Informācija pieejama vietnē: https://www.canada.ca/en/department-finance/programs/federal-transfers/equalisation.html.</w:t>
      </w:r>
    </w:p>
  </w:footnote>
  <w:footnote w:id="69">
    <w:p w14:paraId="29C432F4" w14:textId="77777777" w:rsidR="00AA6561" w:rsidRPr="00AA6561" w:rsidRDefault="00CA1203" w:rsidP="0064558C">
      <w:pPr>
        <w:pStyle w:val="FootnoteText"/>
        <w:spacing w:before="60"/>
        <w:rPr>
          <w:rFonts w:ascii="Times New Roman" w:hAnsi="Times New Roman" w:cs="Times New Roman"/>
        </w:rPr>
      </w:pPr>
      <w:r>
        <w:rPr>
          <w:rStyle w:val="FootnoteReference"/>
          <w:rFonts w:ascii="Times New Roman" w:hAnsi="Times New Roman"/>
        </w:rPr>
        <w:t>72</w:t>
      </w:r>
      <w:r>
        <w:rPr>
          <w:rFonts w:ascii="Times New Roman" w:hAnsi="Times New Roman"/>
        </w:rPr>
        <w:t xml:space="preserve"> Informācija pieejama vietnē: www.bundesfinanzministerium.de/Content/DE/Standardartikel/Themen/Oeffentliche_Finanzen/Foederale_Finanzbeziehungen/Laenderfinanzausgleich/</w:t>
      </w:r>
    </w:p>
    <w:p w14:paraId="2F19C355" w14:textId="66E37289" w:rsidR="00CA1203" w:rsidRPr="00AA6561" w:rsidRDefault="00AA6561" w:rsidP="00AA6561">
      <w:pPr>
        <w:pStyle w:val="FootnoteText"/>
        <w:spacing w:before="60"/>
        <w:jc w:val="both"/>
        <w:rPr>
          <w:rFonts w:ascii="Times New Roman" w:hAnsi="Times New Roman" w:cs="Times New Roman"/>
        </w:rPr>
      </w:pPr>
      <w:r>
        <w:rPr>
          <w:rFonts w:ascii="Times New Roman" w:hAnsi="Times New Roman"/>
        </w:rPr>
        <w:t>laenderfinanzausgleich.html.</w:t>
      </w:r>
    </w:p>
  </w:footnote>
  <w:footnote w:id="70">
    <w:p w14:paraId="5FB78C53" w14:textId="1A0C08E3" w:rsidR="0085717C" w:rsidRPr="00AA6561" w:rsidRDefault="0085717C" w:rsidP="00AA6561">
      <w:pPr>
        <w:pStyle w:val="FootnoteText"/>
        <w:spacing w:before="60"/>
        <w:jc w:val="both"/>
        <w:rPr>
          <w:rFonts w:ascii="Times New Roman" w:hAnsi="Times New Roman" w:cs="Times New Roman"/>
        </w:rPr>
      </w:pPr>
      <w:r>
        <w:rPr>
          <w:rStyle w:val="FootnoteReference"/>
          <w:rFonts w:ascii="Times New Roman" w:hAnsi="Times New Roman"/>
        </w:rPr>
        <w:t>73</w:t>
      </w:r>
      <w:r>
        <w:rPr>
          <w:rFonts w:ascii="Times New Roman" w:hAnsi="Times New Roman"/>
        </w:rPr>
        <w:t xml:space="preserve"> Informācija pieejama vietnē: https://www.bundesfinanzministerium.de/Web/EN/Issues/Taxation/VAT/vat.html. </w:t>
      </w:r>
    </w:p>
  </w:footnote>
  <w:footnote w:id="71">
    <w:p w14:paraId="3B887691" w14:textId="51BFAD4B" w:rsidR="0085717C" w:rsidRPr="0085717C" w:rsidRDefault="0085717C" w:rsidP="00AA6561">
      <w:pPr>
        <w:pStyle w:val="FootnoteText"/>
        <w:spacing w:before="60"/>
        <w:jc w:val="both"/>
      </w:pPr>
      <w:r>
        <w:rPr>
          <w:rStyle w:val="FootnoteReference"/>
          <w:rFonts w:ascii="Times New Roman" w:hAnsi="Times New Roman"/>
        </w:rPr>
        <w:t>74</w:t>
      </w:r>
      <w:r>
        <w:rPr>
          <w:rFonts w:ascii="Times New Roman" w:hAnsi="Times New Roman"/>
        </w:rPr>
        <w:t xml:space="preserve"> Informācija pieejama vietnē: https://www.cgc.gov.au/.</w:t>
      </w:r>
    </w:p>
  </w:footnote>
  <w:footnote w:id="72">
    <w:p w14:paraId="79DC29E1" w14:textId="6478D74D" w:rsidR="00534541" w:rsidRPr="00871663" w:rsidRDefault="00534541" w:rsidP="00871663">
      <w:pPr>
        <w:pStyle w:val="FootnoteText"/>
        <w:spacing w:before="60"/>
        <w:rPr>
          <w:rFonts w:ascii="Times New Roman" w:hAnsi="Times New Roman" w:cs="Times New Roman"/>
        </w:rPr>
      </w:pPr>
      <w:r>
        <w:rPr>
          <w:rStyle w:val="FootnoteReference"/>
          <w:rFonts w:ascii="Times New Roman" w:hAnsi="Times New Roman"/>
        </w:rPr>
        <w:t>75</w:t>
      </w:r>
      <w:r>
        <w:rPr>
          <w:rFonts w:ascii="Times New Roman" w:hAnsi="Times New Roman"/>
        </w:rPr>
        <w:t xml:space="preserve"> Informācija pieejama vietnē: https://www.fondoseuropeos.hacienda.gob.es/sitios/dgfc/en-GB/ipr/oipr/fci/paginas/inicio.aspx.</w:t>
      </w:r>
    </w:p>
  </w:footnote>
  <w:footnote w:id="73">
    <w:p w14:paraId="18CFD468" w14:textId="77777777" w:rsidR="00ED38FD" w:rsidRPr="00871663" w:rsidRDefault="00ED38FD" w:rsidP="00ED38FD">
      <w:pPr>
        <w:pStyle w:val="FootnoteText"/>
        <w:spacing w:before="60"/>
        <w:rPr>
          <w:rFonts w:ascii="Times New Roman" w:hAnsi="Times New Roman" w:cs="Times New Roman"/>
        </w:rPr>
      </w:pPr>
      <w:r>
        <w:rPr>
          <w:rStyle w:val="FootnoteReference"/>
          <w:rFonts w:ascii="Times New Roman" w:hAnsi="Times New Roman"/>
        </w:rPr>
        <w:t>76</w:t>
      </w:r>
      <w:r>
        <w:rPr>
          <w:rFonts w:ascii="Times New Roman" w:hAnsi="Times New Roman"/>
        </w:rPr>
        <w:t xml:space="preserve"> Informācija pieejama vietnē: https://www.hud.gov/program_offices/comm_planning/cdbg.</w:t>
      </w:r>
    </w:p>
  </w:footnote>
  <w:footnote w:id="74">
    <w:p w14:paraId="781448FC" w14:textId="77777777" w:rsidR="00ED38FD" w:rsidRPr="00E459C2" w:rsidRDefault="00ED38FD" w:rsidP="00ED38FD">
      <w:pPr>
        <w:pStyle w:val="FootnoteText"/>
        <w:spacing w:before="60"/>
      </w:pPr>
      <w:r>
        <w:rPr>
          <w:rStyle w:val="FootnoteReference"/>
          <w:rFonts w:ascii="Times New Roman" w:hAnsi="Times New Roman"/>
        </w:rPr>
        <w:t>77</w:t>
      </w:r>
      <w:r>
        <w:rPr>
          <w:rFonts w:ascii="Times New Roman" w:hAnsi="Times New Roman"/>
        </w:rPr>
        <w:t xml:space="preserve"> Informācija pieejama vietnē: https://www.canada.ca/en/department-finance/programs/federal-transfers/canada-health-transfer.html.</w:t>
      </w:r>
    </w:p>
  </w:footnote>
  <w:footnote w:id="75">
    <w:p w14:paraId="0176D5FC" w14:textId="200FD1CF" w:rsidR="003971C9" w:rsidRPr="006F1747" w:rsidRDefault="003971C9" w:rsidP="006F1747">
      <w:pPr>
        <w:pStyle w:val="FootnoteText"/>
        <w:spacing w:before="60"/>
        <w:rPr>
          <w:rFonts w:ascii="Times New Roman" w:hAnsi="Times New Roman" w:cs="Times New Roman"/>
        </w:rPr>
      </w:pPr>
      <w:r>
        <w:rPr>
          <w:rFonts w:ascii="Times New Roman" w:hAnsi="Times New Roman"/>
          <w:vertAlign w:val="superscript"/>
        </w:rPr>
        <w:t>78</w:t>
      </w:r>
      <w:r>
        <w:rPr>
          <w:rFonts w:ascii="Times New Roman" w:hAnsi="Times New Roman"/>
        </w:rPr>
        <w:t xml:space="preserve"> Informācija pieejama vietnē: https://www.gov.uk/government/publications/pupil-premium/pupil-premium.</w:t>
      </w:r>
    </w:p>
  </w:footnote>
  <w:footnote w:id="76">
    <w:p w14:paraId="59D7176F" w14:textId="2E567A76" w:rsidR="003971C9" w:rsidRPr="006F1747" w:rsidRDefault="003971C9" w:rsidP="006F1747">
      <w:pPr>
        <w:pStyle w:val="FootnoteText"/>
        <w:spacing w:before="60"/>
        <w:rPr>
          <w:rFonts w:ascii="Times New Roman" w:hAnsi="Times New Roman" w:cs="Times New Roman"/>
        </w:rPr>
      </w:pPr>
      <w:r>
        <w:rPr>
          <w:rFonts w:ascii="Times New Roman" w:hAnsi="Times New Roman"/>
          <w:vertAlign w:val="superscript"/>
        </w:rPr>
        <w:t>79</w:t>
      </w:r>
      <w:r>
        <w:rPr>
          <w:rFonts w:ascii="Times New Roman" w:hAnsi="Times New Roman"/>
        </w:rPr>
        <w:t xml:space="preserve"> Informācija pieejama vietnē: https://www.canada.ca/en/canadian-heritage/services/funding/cultural-spaces-fund.html.</w:t>
      </w:r>
    </w:p>
  </w:footnote>
  <w:footnote w:id="77">
    <w:p w14:paraId="7672AD76" w14:textId="511E88EF" w:rsidR="003971C9" w:rsidRPr="006F1747" w:rsidRDefault="003971C9" w:rsidP="006F1747">
      <w:pPr>
        <w:pStyle w:val="FootnoteText"/>
        <w:spacing w:before="60"/>
        <w:rPr>
          <w:rFonts w:ascii="Times New Roman" w:hAnsi="Times New Roman" w:cs="Times New Roman"/>
        </w:rPr>
      </w:pPr>
      <w:r>
        <w:rPr>
          <w:rFonts w:ascii="Times New Roman" w:hAnsi="Times New Roman"/>
          <w:vertAlign w:val="superscript"/>
        </w:rPr>
        <w:t>80</w:t>
      </w:r>
      <w:r>
        <w:rPr>
          <w:rFonts w:ascii="Times New Roman" w:hAnsi="Times New Roman"/>
        </w:rPr>
        <w:t xml:space="preserve"> Informācija pieejama vietnē: https://www.medicaid.gov/.</w:t>
      </w:r>
    </w:p>
  </w:footnote>
  <w:footnote w:id="78">
    <w:p w14:paraId="52666078" w14:textId="2BA52E7D" w:rsidR="003971C9" w:rsidRPr="003971C9" w:rsidRDefault="003971C9" w:rsidP="006F1747">
      <w:pPr>
        <w:pStyle w:val="FootnoteText"/>
        <w:spacing w:before="60"/>
      </w:pPr>
      <w:r>
        <w:rPr>
          <w:rFonts w:ascii="Times New Roman" w:hAnsi="Times New Roman"/>
          <w:vertAlign w:val="superscript"/>
        </w:rPr>
        <w:t>81</w:t>
      </w:r>
      <w:r>
        <w:rPr>
          <w:rFonts w:ascii="Times New Roman" w:hAnsi="Times New Roman"/>
        </w:rPr>
        <w:t xml:space="preserve"> Informācija pieejama vietnē: https://www.gov.uk/government/collections/affordable-homes-programme-2021-to-2026.</w:t>
      </w:r>
    </w:p>
  </w:footnote>
  <w:footnote w:id="79">
    <w:p w14:paraId="6F9CC1CC" w14:textId="2E9DD0DE" w:rsidR="00174B1A" w:rsidRPr="00174B1A" w:rsidRDefault="00174B1A" w:rsidP="00174B1A">
      <w:pPr>
        <w:pStyle w:val="FootnoteText"/>
        <w:spacing w:before="60"/>
        <w:jc w:val="both"/>
        <w:rPr>
          <w:rFonts w:ascii="Times New Roman" w:hAnsi="Times New Roman" w:cs="Times New Roman"/>
        </w:rPr>
      </w:pPr>
      <w:r>
        <w:rPr>
          <w:rStyle w:val="FootnoteReference"/>
          <w:rFonts w:ascii="Times New Roman" w:hAnsi="Times New Roman"/>
        </w:rPr>
        <w:t>82</w:t>
      </w:r>
      <w:r>
        <w:rPr>
          <w:rFonts w:ascii="Times New Roman" w:hAnsi="Times New Roman"/>
        </w:rPr>
        <w:t xml:space="preserve"> Informācija pieejama vietnē: https://www.centre-inffo.fr/site-regions-formation/en-cours-dans-les-regions/accords-de-prefiguration-des-contrats-de-plan-etat-region-cper.</w:t>
      </w:r>
    </w:p>
  </w:footnote>
  <w:footnote w:id="80">
    <w:p w14:paraId="4A0AA65E" w14:textId="1306F805" w:rsidR="00174B1A" w:rsidRPr="00174B1A" w:rsidRDefault="00174B1A" w:rsidP="00174B1A">
      <w:pPr>
        <w:pStyle w:val="FootnoteText"/>
        <w:spacing w:before="60"/>
        <w:jc w:val="both"/>
        <w:rPr>
          <w:rFonts w:ascii="Times New Roman" w:hAnsi="Times New Roman" w:cs="Times New Roman"/>
        </w:rPr>
      </w:pPr>
      <w:r>
        <w:rPr>
          <w:rStyle w:val="FootnoteReference"/>
          <w:rFonts w:ascii="Times New Roman" w:hAnsi="Times New Roman"/>
        </w:rPr>
        <w:t>83</w:t>
      </w:r>
      <w:r>
        <w:rPr>
          <w:rFonts w:ascii="Times New Roman" w:hAnsi="Times New Roman"/>
        </w:rPr>
        <w:t xml:space="preserve"> Informācija pieejama vietnē: https://investment.infrastructure.gov.au/about/local-initiatives/roads-recovery-program.</w:t>
      </w:r>
    </w:p>
  </w:footnote>
  <w:footnote w:id="81">
    <w:p w14:paraId="4CA7EC48" w14:textId="5DF25899" w:rsidR="003971C9" w:rsidRPr="00174B1A" w:rsidRDefault="003971C9" w:rsidP="00174B1A">
      <w:pPr>
        <w:pStyle w:val="FootnoteText"/>
        <w:spacing w:before="60"/>
        <w:jc w:val="both"/>
        <w:rPr>
          <w:rFonts w:ascii="Times New Roman" w:hAnsi="Times New Roman" w:cs="Times New Roman"/>
        </w:rPr>
      </w:pPr>
      <w:r>
        <w:rPr>
          <w:rStyle w:val="FootnoteReference"/>
          <w:rFonts w:ascii="Times New Roman" w:hAnsi="Times New Roman"/>
        </w:rPr>
        <w:t>84</w:t>
      </w:r>
      <w:r>
        <w:rPr>
          <w:rFonts w:ascii="Times New Roman" w:hAnsi="Times New Roman"/>
        </w:rPr>
        <w:t xml:space="preserve"> Informācija pieejama vietnē: https://eric.ed.gov/?id=ED557422.</w:t>
      </w:r>
    </w:p>
  </w:footnote>
  <w:footnote w:id="82">
    <w:p w14:paraId="10B04593" w14:textId="7D98CA54" w:rsidR="006F1747" w:rsidRPr="00174B1A" w:rsidRDefault="006F1747" w:rsidP="00174B1A">
      <w:pPr>
        <w:pStyle w:val="FootnoteText"/>
        <w:spacing w:before="60"/>
        <w:jc w:val="both"/>
        <w:rPr>
          <w:rFonts w:ascii="Times New Roman" w:hAnsi="Times New Roman" w:cs="Times New Roman"/>
        </w:rPr>
      </w:pPr>
      <w:r>
        <w:rPr>
          <w:rStyle w:val="FootnoteReference"/>
          <w:rFonts w:ascii="Times New Roman" w:hAnsi="Times New Roman"/>
        </w:rPr>
        <w:t>85</w:t>
      </w:r>
      <w:r>
        <w:rPr>
          <w:rFonts w:ascii="Times New Roman" w:hAnsi="Times New Roman"/>
        </w:rPr>
        <w:t xml:space="preserve"> Informācija pieejama vietnē: https://www.health.gov.au/our-work/2020-25-national-health-reform-agreement-nhra.</w:t>
      </w:r>
    </w:p>
  </w:footnote>
  <w:footnote w:id="83">
    <w:p w14:paraId="7E58DE56" w14:textId="2A236F21" w:rsidR="006F1747" w:rsidRPr="006F1747" w:rsidRDefault="006F1747" w:rsidP="00174B1A">
      <w:pPr>
        <w:pStyle w:val="FootnoteText"/>
        <w:spacing w:before="60"/>
        <w:jc w:val="both"/>
      </w:pPr>
      <w:r>
        <w:rPr>
          <w:rStyle w:val="FootnoteReference"/>
          <w:rFonts w:ascii="Times New Roman" w:hAnsi="Times New Roman"/>
        </w:rPr>
        <w:t>86</w:t>
      </w:r>
      <w:r>
        <w:rPr>
          <w:rFonts w:ascii="Times New Roman" w:hAnsi="Times New Roman"/>
        </w:rPr>
        <w:t xml:space="preserve"> Informācija pieejama vietnē: https://www.tec.govt.nz/funding/funding-and-performance/funding/fund-finder/pbrf/.</w:t>
      </w:r>
    </w:p>
  </w:footnote>
  <w:footnote w:id="84">
    <w:p w14:paraId="005FCD3D" w14:textId="25D89CD3" w:rsidR="004C4A5F" w:rsidRPr="00251538" w:rsidRDefault="004C4A5F" w:rsidP="00251538">
      <w:pPr>
        <w:pStyle w:val="FootnoteText"/>
        <w:spacing w:before="60"/>
        <w:jc w:val="both"/>
        <w:rPr>
          <w:rFonts w:ascii="Times New Roman" w:hAnsi="Times New Roman" w:cs="Times New Roman"/>
        </w:rPr>
      </w:pPr>
      <w:r>
        <w:rPr>
          <w:rStyle w:val="FootnoteReference"/>
          <w:rFonts w:ascii="Times New Roman" w:hAnsi="Times New Roman"/>
        </w:rPr>
        <w:t>87</w:t>
      </w:r>
      <w:r>
        <w:rPr>
          <w:rFonts w:ascii="Times New Roman" w:hAnsi="Times New Roman"/>
        </w:rPr>
        <w:t xml:space="preserve"> Jaunajā publiskās pārvaldes paradigmā tiek veicināta konkurētspējīga pakalpojumu sniegšanas vide, piedāvājot finansējumu visiem pakalpojumu sniedzējiem – gan valstiskiem, gan nevalstiskiem, pamatojoties uz pakalpojumu sniegšanas līgumiem (Lapuente un Van de Walle, 2020).</w:t>
      </w:r>
    </w:p>
  </w:footnote>
  <w:footnote w:id="85">
    <w:p w14:paraId="422E43DF" w14:textId="06F02019" w:rsidR="004C4A5F" w:rsidRPr="00251538" w:rsidRDefault="004C4A5F" w:rsidP="00251538">
      <w:pPr>
        <w:pStyle w:val="FootnoteText"/>
        <w:spacing w:before="60"/>
        <w:jc w:val="both"/>
        <w:rPr>
          <w:rFonts w:ascii="Times New Roman" w:hAnsi="Times New Roman" w:cs="Times New Roman"/>
        </w:rPr>
      </w:pPr>
      <w:r>
        <w:rPr>
          <w:rStyle w:val="FootnoteReference"/>
          <w:rFonts w:ascii="Times New Roman" w:hAnsi="Times New Roman"/>
        </w:rPr>
        <w:t>88</w:t>
      </w:r>
      <w:r>
        <w:rPr>
          <w:rFonts w:ascii="Times New Roman" w:hAnsi="Times New Roman"/>
        </w:rPr>
        <w:t xml:space="preserve"> Jaunajā institucionālās ekonomikas perspektīvā tiek uzsvērti izaicinājumi, kas rodas informācijas asimetrijas dēļ starp iedzīvotājiem, kuri darbojas kā pilnvarotāji, un publiskā sektora amatpersonām, kuras darbojas kā aģenti. Ierobežotās informācijas dēļ iedzīvotāji bieži saskaras ar augstām darījumu izmaksām, pieprasot amatpersonu atbildību. Uz sniegumu vērstas dotācijas risina šo problēmu, sasaistot finansējumu ar pakalpojumu sniegšanas rezultātiem, tādējādi nodrošinot iedzīvotājiem vairāk informācijas un samazinot viņu darījumu izmaksas.</w:t>
      </w:r>
    </w:p>
  </w:footnote>
  <w:footnote w:id="86">
    <w:p w14:paraId="458544B0" w14:textId="55F28D01" w:rsidR="004C4A5F" w:rsidRPr="00251538" w:rsidRDefault="004C4A5F" w:rsidP="00251538">
      <w:pPr>
        <w:pStyle w:val="FootnoteText"/>
        <w:spacing w:before="60"/>
        <w:jc w:val="both"/>
        <w:rPr>
          <w:rFonts w:ascii="Times New Roman" w:hAnsi="Times New Roman" w:cs="Times New Roman"/>
        </w:rPr>
      </w:pPr>
      <w:r>
        <w:rPr>
          <w:rStyle w:val="FootnoteReference"/>
          <w:rFonts w:ascii="Times New Roman" w:hAnsi="Times New Roman"/>
        </w:rPr>
        <w:t>89</w:t>
      </w:r>
      <w:r>
        <w:rPr>
          <w:rFonts w:ascii="Times New Roman" w:hAnsi="Times New Roman"/>
        </w:rPr>
        <w:t xml:space="preserve"> Piemēram, uzlabojumi vides standartos, izglītības kvalitātē vai veselības aprūpes sniegšanā.</w:t>
      </w:r>
    </w:p>
  </w:footnote>
  <w:footnote w:id="87">
    <w:p w14:paraId="2FD804A9" w14:textId="214E892E" w:rsidR="004C4A5F" w:rsidRPr="00251538" w:rsidRDefault="004C4A5F" w:rsidP="00251538">
      <w:pPr>
        <w:pStyle w:val="FootnoteText"/>
        <w:spacing w:before="60"/>
        <w:jc w:val="both"/>
        <w:rPr>
          <w:rFonts w:ascii="Times New Roman" w:hAnsi="Times New Roman" w:cs="Times New Roman"/>
        </w:rPr>
      </w:pPr>
      <w:r>
        <w:rPr>
          <w:rStyle w:val="FootnoteReference"/>
          <w:rFonts w:ascii="Times New Roman" w:hAnsi="Times New Roman"/>
        </w:rPr>
        <w:t>90</w:t>
      </w:r>
      <w:r>
        <w:rPr>
          <w:rFonts w:ascii="Times New Roman" w:hAnsi="Times New Roman"/>
        </w:rPr>
        <w:t xml:space="preserve"> Šī pāreja uz snieguma rezultātiem veicina sabiedrības un amatpersonu kopīgu atbildību un pārskatatbildību, uzsverot savstarpējās uzticēšanās un partnerības nozīmi kopīgo mērķu sasniegšanā.</w:t>
      </w:r>
    </w:p>
  </w:footnote>
  <w:footnote w:id="88">
    <w:p w14:paraId="7449FCFA" w14:textId="45D61E94" w:rsidR="00BC0418" w:rsidRPr="00251538" w:rsidRDefault="00BC0418" w:rsidP="00251538">
      <w:pPr>
        <w:pStyle w:val="FootnoteText"/>
        <w:spacing w:before="60"/>
        <w:jc w:val="both"/>
        <w:rPr>
          <w:rFonts w:ascii="Times New Roman" w:hAnsi="Times New Roman" w:cs="Times New Roman"/>
        </w:rPr>
      </w:pPr>
      <w:r>
        <w:rPr>
          <w:rStyle w:val="FootnoteReference"/>
          <w:rFonts w:ascii="Times New Roman" w:hAnsi="Times New Roman"/>
        </w:rPr>
        <w:t>91</w:t>
      </w:r>
      <w:r>
        <w:rPr>
          <w:rFonts w:ascii="Times New Roman" w:hAnsi="Times New Roman"/>
        </w:rPr>
        <w:t xml:space="preserve"> Tādējādi uz sniegumu balstītas dotācijas apvieno beznosacījumu dotāciju elastību ar nestandarta nosacījumu veidu.</w:t>
      </w:r>
    </w:p>
  </w:footnote>
  <w:footnote w:id="89">
    <w:p w14:paraId="0D81079F" w14:textId="47F3B0EF" w:rsidR="00BC0418" w:rsidRPr="00251538" w:rsidRDefault="00BC0418" w:rsidP="00251538">
      <w:pPr>
        <w:pStyle w:val="FootnoteText"/>
        <w:spacing w:before="60"/>
        <w:jc w:val="both"/>
        <w:rPr>
          <w:rFonts w:ascii="Times New Roman" w:hAnsi="Times New Roman" w:cs="Times New Roman"/>
        </w:rPr>
      </w:pPr>
      <w:r>
        <w:rPr>
          <w:rStyle w:val="FootnoteReference"/>
          <w:rFonts w:ascii="Times New Roman" w:hAnsi="Times New Roman"/>
        </w:rPr>
        <w:t>92</w:t>
      </w:r>
      <w:r>
        <w:rPr>
          <w:rFonts w:ascii="Times New Roman" w:hAnsi="Times New Roman"/>
        </w:rPr>
        <w:t xml:space="preserve"> Piemēram, Argentīnas “Plan Nacer” veselības nozares dotācijas (Gertler un Giovagnoli, 2014) un Indonēzijas uz sniegumu balstītās iniciatīvas (Brinkerhoff un Wetterberg, 2013).</w:t>
      </w:r>
    </w:p>
  </w:footnote>
  <w:footnote w:id="90">
    <w:p w14:paraId="3749161A" w14:textId="5D098E37" w:rsidR="00BC0418" w:rsidRPr="00251538" w:rsidRDefault="00BC0418" w:rsidP="00251538">
      <w:pPr>
        <w:pStyle w:val="FootnoteText"/>
        <w:spacing w:before="60"/>
        <w:jc w:val="both"/>
        <w:rPr>
          <w:rFonts w:ascii="Times New Roman" w:hAnsi="Times New Roman" w:cs="Times New Roman"/>
        </w:rPr>
      </w:pPr>
      <w:r>
        <w:rPr>
          <w:rStyle w:val="FootnoteReference"/>
          <w:rFonts w:ascii="Times New Roman" w:hAnsi="Times New Roman"/>
        </w:rPr>
        <w:t>93</w:t>
      </w:r>
      <w:r>
        <w:rPr>
          <w:rFonts w:ascii="Times New Roman" w:hAnsi="Times New Roman"/>
        </w:rPr>
        <w:t xml:space="preserve"> Daudznozaru uz sniegumu balstīto dotāciju shēmas parasti vērtē pašvaldību sniegumu, izmantojot ar administratīvajiem procesiem (piemēram, plānošanu un budžeta izstrādi) vai pamata procedūru rezultātiem (piemēram, plānu un ziņojumu sagatavošanu) saistītus kritērijus. Šī pieeja ļauj netiešā veidā mērīt publisko finanšu pārvaldības un pakalpojumu sniegšanas efektivitāti. Priekšroka uz procesiem orientētiem rādītājiem, nevis tiešiem pakalpojumu sniegšanas rezultātu mērījumiem, izriet no grūtībām precīzi un taisnīgi novērtēt pašvaldības, pamatojoties uz šiem sarežģītākajiem rezultātiem.</w:t>
      </w:r>
    </w:p>
  </w:footnote>
  <w:footnote w:id="91">
    <w:p w14:paraId="07CEE87A" w14:textId="4A665B8A" w:rsidR="00251538" w:rsidRPr="00251538" w:rsidRDefault="00251538" w:rsidP="00251538">
      <w:pPr>
        <w:pStyle w:val="FootnoteText"/>
        <w:spacing w:before="60"/>
        <w:jc w:val="both"/>
        <w:rPr>
          <w:rFonts w:ascii="Times New Roman" w:hAnsi="Times New Roman" w:cs="Times New Roman"/>
        </w:rPr>
      </w:pPr>
      <w:r>
        <w:rPr>
          <w:rStyle w:val="FootnoteReference"/>
          <w:rFonts w:ascii="Times New Roman" w:hAnsi="Times New Roman"/>
        </w:rPr>
        <w:t>94</w:t>
      </w:r>
      <w:r>
        <w:rPr>
          <w:rFonts w:ascii="Times New Roman" w:hAnsi="Times New Roman"/>
        </w:rPr>
        <w:t xml:space="preserve"> Šī problēma uzsver nepieciešamību pēc stingriem mehānismiem, lai nodrošinātu datu integritāti un objektivitāti snieguma novērtēšanā.</w:t>
      </w:r>
    </w:p>
  </w:footnote>
  <w:footnote w:id="92">
    <w:p w14:paraId="477FD193" w14:textId="7A625F6A" w:rsidR="00251538" w:rsidRPr="00251538" w:rsidRDefault="00251538" w:rsidP="00251538">
      <w:pPr>
        <w:pStyle w:val="FootnoteText"/>
        <w:spacing w:before="60"/>
        <w:rPr>
          <w:rFonts w:ascii="Times New Roman" w:hAnsi="Times New Roman" w:cs="Times New Roman"/>
        </w:rPr>
      </w:pPr>
      <w:r>
        <w:rPr>
          <w:rStyle w:val="FootnoteReference"/>
          <w:rFonts w:ascii="Times New Roman" w:hAnsi="Times New Roman"/>
        </w:rPr>
        <w:t>95</w:t>
      </w:r>
      <w:r>
        <w:rPr>
          <w:rFonts w:ascii="Times New Roman" w:hAnsi="Times New Roman"/>
        </w:rPr>
        <w:t xml:space="preserve"> 2010.–2015. gads. Informācija pieejama vietnē: https://finance.cg.gov.in/15%20Finance%20Commission/15fc/13thFCReport-Eng.pdf.</w:t>
      </w:r>
    </w:p>
  </w:footnote>
  <w:footnote w:id="93">
    <w:p w14:paraId="3E351A78" w14:textId="3B7C93B8" w:rsidR="00251538" w:rsidRPr="006B0D85" w:rsidRDefault="00251538" w:rsidP="006B0D85">
      <w:pPr>
        <w:pStyle w:val="FootnoteText"/>
        <w:spacing w:before="60"/>
        <w:jc w:val="both"/>
        <w:rPr>
          <w:rFonts w:ascii="Times New Roman" w:hAnsi="Times New Roman" w:cs="Times New Roman"/>
        </w:rPr>
      </w:pPr>
      <w:r>
        <w:rPr>
          <w:rStyle w:val="FootnoteReference"/>
          <w:rFonts w:ascii="Times New Roman" w:hAnsi="Times New Roman"/>
        </w:rPr>
        <w:t>96</w:t>
      </w:r>
      <w:r>
        <w:rPr>
          <w:rFonts w:ascii="Times New Roman" w:hAnsi="Times New Roman"/>
        </w:rPr>
        <w:t xml:space="preserve"> Piešķīrumu apmērs bija robežās no 200 INR uz vienu iedzīvotāju līdz mazāk nekā 1 INR.</w:t>
      </w:r>
    </w:p>
  </w:footnote>
  <w:footnote w:id="94">
    <w:p w14:paraId="6143AC9E" w14:textId="56A4729D" w:rsidR="00765D1D" w:rsidRPr="006B0D85" w:rsidRDefault="00765D1D" w:rsidP="006B0D85">
      <w:pPr>
        <w:pStyle w:val="FootnoteText"/>
        <w:spacing w:before="60"/>
        <w:jc w:val="both"/>
        <w:rPr>
          <w:rFonts w:ascii="Times New Roman" w:hAnsi="Times New Roman" w:cs="Times New Roman"/>
        </w:rPr>
      </w:pPr>
      <w:r>
        <w:rPr>
          <w:rStyle w:val="FootnoteReference"/>
          <w:rFonts w:ascii="Times New Roman" w:hAnsi="Times New Roman"/>
        </w:rPr>
        <w:t>97</w:t>
      </w:r>
      <w:r>
        <w:rPr>
          <w:rFonts w:ascii="Times New Roman" w:hAnsi="Times New Roman"/>
        </w:rPr>
        <w:t xml:space="preserve"> Štati ar sākotnēji zemākiem zīdaiņu mirstības rādītājiem, kuriem bija grūtāk panākt turpmākus uzlabojumus, saņēma mazāku finansējumu.</w:t>
      </w:r>
    </w:p>
  </w:footnote>
  <w:footnote w:id="95">
    <w:p w14:paraId="219CDF6D" w14:textId="1C5D4B9F" w:rsidR="00765D1D" w:rsidRPr="00765D1D" w:rsidRDefault="00765D1D" w:rsidP="006B0D85">
      <w:pPr>
        <w:pStyle w:val="FootnoteText"/>
        <w:spacing w:before="60"/>
        <w:jc w:val="both"/>
      </w:pPr>
      <w:r>
        <w:rPr>
          <w:rStyle w:val="FootnoteReference"/>
          <w:rFonts w:ascii="Times New Roman" w:hAnsi="Times New Roman"/>
        </w:rPr>
        <w:t>98</w:t>
      </w:r>
      <w:r>
        <w:rPr>
          <w:rFonts w:ascii="Times New Roman" w:hAnsi="Times New Roman"/>
        </w:rPr>
        <w:t xml:space="preserve"> Pakalpojumu kvalitātes un apjoma novērtēšanai nepieciešami plaši konkrētās situācijas pētījumi, un pašvaldību sasniegto rezultātu salīdzināšanu vēl vairāk sarežģī to atšķirīgie sākotnējie apstākļi.</w:t>
      </w:r>
    </w:p>
  </w:footnote>
  <w:footnote w:id="96">
    <w:p w14:paraId="2CD2B063" w14:textId="7BFF1BA9" w:rsidR="00C649AF" w:rsidRPr="00C649AF" w:rsidRDefault="00C649AF" w:rsidP="00C649AF">
      <w:pPr>
        <w:pStyle w:val="FootnoteText"/>
        <w:spacing w:before="60"/>
        <w:jc w:val="both"/>
        <w:rPr>
          <w:rFonts w:ascii="Times New Roman" w:hAnsi="Times New Roman" w:cs="Times New Roman"/>
        </w:rPr>
      </w:pPr>
      <w:r>
        <w:rPr>
          <w:rStyle w:val="FootnoteReference"/>
          <w:rFonts w:ascii="Times New Roman" w:hAnsi="Times New Roman"/>
        </w:rPr>
        <w:t>99</w:t>
      </w:r>
      <w:r>
        <w:rPr>
          <w:rFonts w:ascii="Times New Roman" w:hAnsi="Times New Roman"/>
        </w:rPr>
        <w:t xml:space="preserve"> Tomēr šo ārējo vērtētāju veikta uzraudzība, lai garantētu augstas kvalitātes un savlaicīgus novērtējumus, rada savus izaicinājumus.</w:t>
      </w:r>
    </w:p>
  </w:footnote>
  <w:footnote w:id="97">
    <w:p w14:paraId="29DE561C" w14:textId="4C37F83A" w:rsidR="006B0D85" w:rsidRPr="00C649AF" w:rsidRDefault="006B0D85" w:rsidP="00C649AF">
      <w:pPr>
        <w:pStyle w:val="FootnoteText"/>
        <w:spacing w:before="60"/>
        <w:rPr>
          <w:rFonts w:ascii="Times New Roman" w:hAnsi="Times New Roman" w:cs="Times New Roman"/>
        </w:rPr>
      </w:pPr>
      <w:r>
        <w:rPr>
          <w:rStyle w:val="FootnoteReference"/>
          <w:rFonts w:ascii="Times New Roman" w:hAnsi="Times New Roman"/>
        </w:rPr>
        <w:t>100</w:t>
      </w:r>
      <w:r>
        <w:rPr>
          <w:rFonts w:ascii="Times New Roman" w:hAnsi="Times New Roman"/>
        </w:rPr>
        <w:t xml:space="preserve"> Reģionālā attīstība parasti tiek atbalstīta ar tiešajām subsīdijām, piemēram, reģionālās attīstības fondiem, un netiešiem līdzekļiem. Šie netiešie paņēmieni ietver nodokļu stimulus, koncesijas, kredītus, īpašās ekonomiskās zonas un nodokļu atvieglojumus.</w:t>
      </w:r>
    </w:p>
  </w:footnote>
  <w:footnote w:id="98">
    <w:p w14:paraId="3DB3FC36" w14:textId="78D92321" w:rsidR="00695B8E" w:rsidRPr="004836CF" w:rsidRDefault="00695B8E" w:rsidP="004836CF">
      <w:pPr>
        <w:pStyle w:val="FootnoteText"/>
        <w:spacing w:before="60"/>
        <w:jc w:val="both"/>
        <w:rPr>
          <w:rFonts w:ascii="Times New Roman" w:hAnsi="Times New Roman" w:cs="Times New Roman"/>
        </w:rPr>
      </w:pPr>
      <w:r>
        <w:rPr>
          <w:rStyle w:val="FootnoteReference"/>
          <w:rFonts w:ascii="Times New Roman" w:hAnsi="Times New Roman"/>
        </w:rPr>
        <w:t>101</w:t>
      </w:r>
      <w:r>
        <w:rPr>
          <w:rFonts w:ascii="Times New Roman" w:hAnsi="Times New Roman"/>
        </w:rPr>
        <w:t xml:space="preserve"> Ekonomista Artura Pigū [</w:t>
      </w:r>
      <w:r>
        <w:rPr>
          <w:rFonts w:ascii="Times New Roman" w:hAnsi="Times New Roman"/>
          <w:i/>
          <w:iCs/>
        </w:rPr>
        <w:t>Arthur Pigou</w:t>
      </w:r>
      <w:r>
        <w:rPr>
          <w:rFonts w:ascii="Times New Roman" w:hAnsi="Times New Roman"/>
        </w:rPr>
        <w:t>] izstrādātie Pigū nodokļi cenšas internalizēt ārējās ietekmes, lai labotu tirgus nepilnības un virzītu uzvedību uz rezultātiem, kas sniedz lielāku ieguvumu sabiedrībai.</w:t>
      </w:r>
    </w:p>
  </w:footnote>
  <w:footnote w:id="99">
    <w:p w14:paraId="4A026596" w14:textId="53EDD2A6" w:rsidR="00695B8E" w:rsidRPr="004836CF" w:rsidRDefault="00695B8E" w:rsidP="004836CF">
      <w:pPr>
        <w:pStyle w:val="FootnoteText"/>
        <w:spacing w:before="60"/>
        <w:jc w:val="both"/>
        <w:rPr>
          <w:rFonts w:ascii="Times New Roman" w:hAnsi="Times New Roman" w:cs="Times New Roman"/>
        </w:rPr>
      </w:pPr>
      <w:r>
        <w:rPr>
          <w:rStyle w:val="FootnoteReference"/>
          <w:rFonts w:ascii="Times New Roman" w:hAnsi="Times New Roman"/>
        </w:rPr>
        <w:t>102</w:t>
      </w:r>
      <w:r>
        <w:rPr>
          <w:rFonts w:ascii="Times New Roman" w:hAnsi="Times New Roman"/>
        </w:rPr>
        <w:t xml:space="preserve"> Piemēram, iedzīvotājiem tiek uzlikts vispārējs nodoklis, un tā ieņēmumi tiek izmantoti, lai mudinātu samazināt tādu piesārņojošo vielu lietošanu kā benzīns, līdz ar to tiek mainīta patērētāju uzvedība, jo tiek palielinātas piesārņojošās vielas subjektīvās izmaksas. Šī metode atšķiras pēc tās ietekmes uz patērētāju labklājību salīdzinājumā ar tiešu nodokli pašai piesārņojošajai vielai.</w:t>
      </w:r>
    </w:p>
  </w:footnote>
  <w:footnote w:id="100">
    <w:p w14:paraId="77204864" w14:textId="28E12853" w:rsidR="00C649AF" w:rsidRPr="004836CF" w:rsidRDefault="00C649AF" w:rsidP="004836CF">
      <w:pPr>
        <w:pStyle w:val="FootnoteText"/>
        <w:spacing w:before="60"/>
        <w:jc w:val="both"/>
        <w:rPr>
          <w:rFonts w:ascii="Times New Roman" w:hAnsi="Times New Roman" w:cs="Times New Roman"/>
        </w:rPr>
      </w:pPr>
      <w:r>
        <w:rPr>
          <w:rStyle w:val="FootnoteReference"/>
          <w:rFonts w:ascii="Times New Roman" w:hAnsi="Times New Roman"/>
        </w:rPr>
        <w:t>103</w:t>
      </w:r>
      <w:r>
        <w:rPr>
          <w:rFonts w:ascii="Times New Roman" w:hAnsi="Times New Roman"/>
        </w:rPr>
        <w:t xml:space="preserve"> Ietekme uz individuālo labklājību var atšķirties atkarībā no nodokļa specifikas un mērķtiecīgās darbības.</w:t>
      </w:r>
    </w:p>
  </w:footnote>
  <w:footnote w:id="101">
    <w:p w14:paraId="03692C5A" w14:textId="414A7C79" w:rsidR="00487254" w:rsidRPr="004836CF" w:rsidRDefault="00487254" w:rsidP="004836CF">
      <w:pPr>
        <w:pStyle w:val="FootnoteText"/>
        <w:spacing w:before="60"/>
        <w:jc w:val="both"/>
        <w:rPr>
          <w:rFonts w:ascii="Times New Roman" w:hAnsi="Times New Roman" w:cs="Times New Roman"/>
        </w:rPr>
      </w:pPr>
      <w:r>
        <w:rPr>
          <w:rStyle w:val="FootnoteReference"/>
          <w:rFonts w:ascii="Times New Roman" w:hAnsi="Times New Roman"/>
        </w:rPr>
        <w:t>104</w:t>
      </w:r>
      <w:r>
        <w:rPr>
          <w:rFonts w:ascii="Times New Roman" w:hAnsi="Times New Roman"/>
        </w:rPr>
        <w:t xml:space="preserve"> Īpaši tad, kad pašvaldības politikai ir plašāka ietekme.</w:t>
      </w:r>
    </w:p>
  </w:footnote>
  <w:footnote w:id="102">
    <w:p w14:paraId="4A7E17EE" w14:textId="5704F0F5" w:rsidR="004836CF" w:rsidRPr="004836CF" w:rsidRDefault="004836CF" w:rsidP="004836CF">
      <w:pPr>
        <w:pStyle w:val="FootnoteText"/>
        <w:spacing w:before="60"/>
        <w:jc w:val="both"/>
        <w:rPr>
          <w:rFonts w:ascii="Times New Roman" w:hAnsi="Times New Roman" w:cs="Times New Roman"/>
        </w:rPr>
      </w:pPr>
      <w:r>
        <w:rPr>
          <w:rStyle w:val="FootnoteReference"/>
          <w:rFonts w:ascii="Times New Roman" w:hAnsi="Times New Roman"/>
        </w:rPr>
        <w:t>105</w:t>
      </w:r>
      <w:r>
        <w:rPr>
          <w:rFonts w:ascii="Times New Roman" w:hAnsi="Times New Roman"/>
        </w:rPr>
        <w:t xml:space="preserve"> Šajā kontekstā pamatnostādnes uzsver dilemmas, kas izriet no fiskālās ārējās ietekmes – situācijas, kad vienas jurisdikcijas lēmumi netieši ietekmē citas, bieži vien izraisot atšķirības starp vietējo un sabiedrisko optimalitāti.</w:t>
      </w:r>
    </w:p>
  </w:footnote>
  <w:footnote w:id="103">
    <w:p w14:paraId="4AC29022" w14:textId="32C3F0DC" w:rsidR="004836CF" w:rsidRPr="004836CF" w:rsidRDefault="004836CF" w:rsidP="004836CF">
      <w:pPr>
        <w:pStyle w:val="FootnoteText"/>
        <w:spacing w:before="60"/>
        <w:jc w:val="both"/>
      </w:pPr>
      <w:r>
        <w:rPr>
          <w:rStyle w:val="FootnoteReference"/>
          <w:rFonts w:ascii="Times New Roman" w:hAnsi="Times New Roman"/>
        </w:rPr>
        <w:t>106</w:t>
      </w:r>
      <w:r>
        <w:rPr>
          <w:rFonts w:ascii="Times New Roman" w:hAnsi="Times New Roman"/>
        </w:rPr>
        <w:t xml:space="preserve"> Tas ir īpaši būtiski konkurējošās jurisdikcijās, kur stratēģiskā mijiedarbība starp kaimiņu pašvaldībām var pastiprināt resursu nepareizu sadali un labklājības zudumus.</w:t>
      </w:r>
    </w:p>
  </w:footnote>
  <w:footnote w:id="104">
    <w:p w14:paraId="5EC30A1A" w14:textId="265C378C" w:rsidR="004836CF" w:rsidRPr="000D032A" w:rsidRDefault="004836CF" w:rsidP="000D032A">
      <w:pPr>
        <w:pStyle w:val="FootnoteText"/>
        <w:spacing w:before="60"/>
        <w:jc w:val="both"/>
        <w:rPr>
          <w:rFonts w:ascii="Times New Roman" w:hAnsi="Times New Roman" w:cs="Times New Roman"/>
        </w:rPr>
      </w:pPr>
      <w:r>
        <w:rPr>
          <w:rStyle w:val="FootnoteReference"/>
          <w:rFonts w:ascii="Times New Roman" w:hAnsi="Times New Roman"/>
        </w:rPr>
        <w:t>107</w:t>
      </w:r>
      <w:r>
        <w:rPr>
          <w:rFonts w:ascii="Times New Roman" w:hAnsi="Times New Roman"/>
        </w:rPr>
        <w:t xml:space="preserve"> Agravals un citi autori (2023) analizēja sešas politikas jomas, izmantojot ASV ievāktus datus. Viņu secinājumi liecina, ka izdevumi izglītībai no pirmsskolas līdz 12. klasei rada augstākās koriģējošā robežpārveduma vērtības, kas norāda uz spēcīgu pozitīvu ietekmi. Savukārt valsts līmeņa subsīdijām un nodokļu kredītiem, kas paredzēti uzņēmumu piesaistīšanai, ir visnegatīvākais koriģējošais robežpārvedums, kas liecina, ka šīm politikām ir mazāk labvēlīga ietekme.</w:t>
      </w:r>
    </w:p>
  </w:footnote>
  <w:footnote w:id="105">
    <w:p w14:paraId="6027A43C" w14:textId="222BB4FD" w:rsidR="000D032A" w:rsidRPr="000D032A" w:rsidRDefault="000D032A" w:rsidP="000D032A">
      <w:pPr>
        <w:pStyle w:val="FootnoteText"/>
        <w:spacing w:before="60"/>
        <w:jc w:val="both"/>
      </w:pPr>
      <w:r>
        <w:rPr>
          <w:rStyle w:val="FootnoteReference"/>
          <w:rFonts w:ascii="Times New Roman" w:hAnsi="Times New Roman"/>
        </w:rPr>
        <w:t>108</w:t>
      </w:r>
      <w:r>
        <w:rPr>
          <w:rFonts w:ascii="Times New Roman" w:hAnsi="Times New Roman"/>
        </w:rPr>
        <w:t xml:space="preserve"> Sniegumam piesaistītas dotācijas arī izrietēja no inovācijām budžeta veidošanā (OECD,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1FFE" w14:textId="77777777" w:rsidR="00A84FA2" w:rsidRPr="00864FDC" w:rsidRDefault="00A84FA2" w:rsidP="00A84FA2">
    <w:pPr>
      <w:pStyle w:val="Header"/>
      <w:rPr>
        <w:rStyle w:val="PageNumber"/>
        <w:rFonts w:ascii="Times New Roman" w:hAnsi="Times New Roman" w:cs="Times New Roman"/>
        <w:sz w:val="20"/>
        <w:szCs w:val="20"/>
      </w:rPr>
    </w:pPr>
  </w:p>
  <w:p w14:paraId="23E63E7F" w14:textId="77777777" w:rsidR="00A84FA2" w:rsidRPr="00864FDC" w:rsidRDefault="00A84FA2" w:rsidP="00A84FA2">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1724BCA7" w14:textId="77777777" w:rsidR="00A84FA2" w:rsidRDefault="00A84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9B1C" w14:textId="77777777" w:rsidR="00734ACD" w:rsidRPr="00864FDC" w:rsidRDefault="00734ACD" w:rsidP="00734ACD">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68BD33D4" w14:textId="77777777" w:rsidR="00734ACD" w:rsidRDefault="00734A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3B05" w14:textId="77777777" w:rsidR="0064558C" w:rsidRPr="00864FDC" w:rsidRDefault="0064558C" w:rsidP="00A84FA2">
    <w:pPr>
      <w:pStyle w:val="Header"/>
      <w:rPr>
        <w:rStyle w:val="PageNumber"/>
        <w:rFonts w:ascii="Times New Roman" w:hAnsi="Times New Roman" w:cs="Times New Roman"/>
        <w:sz w:val="20"/>
        <w:szCs w:val="20"/>
      </w:rPr>
    </w:pPr>
  </w:p>
  <w:p w14:paraId="7BE8031B" w14:textId="77777777" w:rsidR="0064558C" w:rsidRPr="00864FDC" w:rsidRDefault="0064558C" w:rsidP="0064558C">
    <w:pPr>
      <w:pStyle w:val="Header"/>
      <w:tabs>
        <w:tab w:val="clear" w:pos="4513"/>
        <w:tab w:val="clear" w:pos="9026"/>
        <w:tab w:val="right" w:leader="underscore" w:pos="14459"/>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0ECC3047" w14:textId="77777777" w:rsidR="0064558C" w:rsidRDefault="006455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BDB3" w14:textId="77777777" w:rsidR="0064558C" w:rsidRPr="00864FDC" w:rsidRDefault="0064558C" w:rsidP="0064558C">
    <w:pPr>
      <w:pStyle w:val="Header"/>
      <w:rPr>
        <w:rStyle w:val="PageNumber"/>
        <w:rFonts w:ascii="Times New Roman" w:hAnsi="Times New Roman" w:cs="Times New Roman"/>
        <w:sz w:val="20"/>
        <w:szCs w:val="20"/>
      </w:rPr>
    </w:pPr>
  </w:p>
  <w:p w14:paraId="13973FFE" w14:textId="77777777" w:rsidR="0064558C" w:rsidRPr="00864FDC" w:rsidRDefault="0064558C" w:rsidP="0064558C">
    <w:pPr>
      <w:pStyle w:val="Header"/>
      <w:tabs>
        <w:tab w:val="clear" w:pos="4513"/>
        <w:tab w:val="clear" w:pos="9026"/>
        <w:tab w:val="right" w:leader="underscore" w:pos="14459"/>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10379972" w14:textId="77777777" w:rsidR="0064558C" w:rsidRPr="0064558C" w:rsidRDefault="0064558C" w:rsidP="006455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D9B1" w14:textId="77777777" w:rsidR="0064558C" w:rsidRPr="00864FDC" w:rsidRDefault="0064558C" w:rsidP="0064558C">
    <w:pPr>
      <w:pStyle w:val="Header"/>
      <w:rPr>
        <w:rStyle w:val="PageNumber"/>
        <w:rFonts w:ascii="Times New Roman" w:hAnsi="Times New Roman" w:cs="Times New Roman"/>
        <w:sz w:val="20"/>
        <w:szCs w:val="20"/>
      </w:rPr>
    </w:pPr>
  </w:p>
  <w:p w14:paraId="632F49AB" w14:textId="77777777" w:rsidR="0064558C" w:rsidRPr="00864FDC" w:rsidRDefault="0064558C" w:rsidP="0064558C">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444041DA" w14:textId="77777777" w:rsidR="0064558C" w:rsidRPr="0064558C" w:rsidRDefault="0064558C" w:rsidP="006455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555F" w14:textId="77777777" w:rsidR="0064558C" w:rsidRPr="00864FDC" w:rsidRDefault="0064558C" w:rsidP="0064558C">
    <w:pPr>
      <w:pStyle w:val="Header"/>
      <w:rPr>
        <w:rStyle w:val="PageNumber"/>
        <w:rFonts w:ascii="Times New Roman" w:hAnsi="Times New Roman" w:cs="Times New Roman"/>
        <w:sz w:val="20"/>
        <w:szCs w:val="20"/>
      </w:rPr>
    </w:pPr>
  </w:p>
  <w:p w14:paraId="3141E1C6" w14:textId="77777777" w:rsidR="0064558C" w:rsidRPr="00864FDC" w:rsidRDefault="0064558C" w:rsidP="0064558C">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5E3A43B6" w14:textId="6F34C644" w:rsidR="0064558C" w:rsidRPr="0064558C" w:rsidRDefault="0064558C" w:rsidP="00645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EE7"/>
    <w:multiLevelType w:val="hybridMultilevel"/>
    <w:tmpl w:val="D186A26E"/>
    <w:lvl w:ilvl="0" w:tplc="F8AA16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060754"/>
    <w:multiLevelType w:val="hybridMultilevel"/>
    <w:tmpl w:val="7F1E26B2"/>
    <w:lvl w:ilvl="0" w:tplc="06BE1160">
      <w:start w:val="2"/>
      <w:numFmt w:val="lowerLetter"/>
      <w:lvlText w:val="%1."/>
      <w:lvlJc w:val="left"/>
      <w:pPr>
        <w:ind w:left="1685" w:hanging="338"/>
      </w:pPr>
      <w:rPr>
        <w:rFonts w:ascii="Arial" w:eastAsia="Arial" w:hAnsi="Arial" w:cs="Arial" w:hint="default"/>
        <w:b/>
        <w:bCs/>
        <w:i w:val="0"/>
        <w:iCs w:val="0"/>
        <w:spacing w:val="0"/>
        <w:w w:val="103"/>
        <w:sz w:val="20"/>
        <w:szCs w:val="20"/>
        <w:lang w:val="en-US" w:eastAsia="en-US" w:bidi="ar-SA"/>
      </w:rPr>
    </w:lvl>
    <w:lvl w:ilvl="1" w:tplc="EB1ACCB4">
      <w:numFmt w:val="bullet"/>
      <w:lvlText w:val="•"/>
      <w:lvlJc w:val="left"/>
      <w:pPr>
        <w:ind w:left="2448" w:hanging="338"/>
      </w:pPr>
      <w:rPr>
        <w:rFonts w:hint="default"/>
        <w:lang w:val="en-US" w:eastAsia="en-US" w:bidi="ar-SA"/>
      </w:rPr>
    </w:lvl>
    <w:lvl w:ilvl="2" w:tplc="A84E5E52">
      <w:numFmt w:val="bullet"/>
      <w:lvlText w:val="•"/>
      <w:lvlJc w:val="left"/>
      <w:pPr>
        <w:ind w:left="3216" w:hanging="338"/>
      </w:pPr>
      <w:rPr>
        <w:rFonts w:hint="default"/>
        <w:lang w:val="en-US" w:eastAsia="en-US" w:bidi="ar-SA"/>
      </w:rPr>
    </w:lvl>
    <w:lvl w:ilvl="3" w:tplc="0772DB72">
      <w:numFmt w:val="bullet"/>
      <w:lvlText w:val="•"/>
      <w:lvlJc w:val="left"/>
      <w:pPr>
        <w:ind w:left="3984" w:hanging="338"/>
      </w:pPr>
      <w:rPr>
        <w:rFonts w:hint="default"/>
        <w:lang w:val="en-US" w:eastAsia="en-US" w:bidi="ar-SA"/>
      </w:rPr>
    </w:lvl>
    <w:lvl w:ilvl="4" w:tplc="60A4EC3A">
      <w:numFmt w:val="bullet"/>
      <w:lvlText w:val="•"/>
      <w:lvlJc w:val="left"/>
      <w:pPr>
        <w:ind w:left="4752" w:hanging="338"/>
      </w:pPr>
      <w:rPr>
        <w:rFonts w:hint="default"/>
        <w:lang w:val="en-US" w:eastAsia="en-US" w:bidi="ar-SA"/>
      </w:rPr>
    </w:lvl>
    <w:lvl w:ilvl="5" w:tplc="27C63B32">
      <w:numFmt w:val="bullet"/>
      <w:lvlText w:val="•"/>
      <w:lvlJc w:val="left"/>
      <w:pPr>
        <w:ind w:left="5520" w:hanging="338"/>
      </w:pPr>
      <w:rPr>
        <w:rFonts w:hint="default"/>
        <w:lang w:val="en-US" w:eastAsia="en-US" w:bidi="ar-SA"/>
      </w:rPr>
    </w:lvl>
    <w:lvl w:ilvl="6" w:tplc="66E256C8">
      <w:numFmt w:val="bullet"/>
      <w:lvlText w:val="•"/>
      <w:lvlJc w:val="left"/>
      <w:pPr>
        <w:ind w:left="6288" w:hanging="338"/>
      </w:pPr>
      <w:rPr>
        <w:rFonts w:hint="default"/>
        <w:lang w:val="en-US" w:eastAsia="en-US" w:bidi="ar-SA"/>
      </w:rPr>
    </w:lvl>
    <w:lvl w:ilvl="7" w:tplc="BE80BD1A">
      <w:numFmt w:val="bullet"/>
      <w:lvlText w:val="•"/>
      <w:lvlJc w:val="left"/>
      <w:pPr>
        <w:ind w:left="7056" w:hanging="338"/>
      </w:pPr>
      <w:rPr>
        <w:rFonts w:hint="default"/>
        <w:lang w:val="en-US" w:eastAsia="en-US" w:bidi="ar-SA"/>
      </w:rPr>
    </w:lvl>
    <w:lvl w:ilvl="8" w:tplc="3AEA7AD4">
      <w:numFmt w:val="bullet"/>
      <w:lvlText w:val="•"/>
      <w:lvlJc w:val="left"/>
      <w:pPr>
        <w:ind w:left="7824" w:hanging="338"/>
      </w:pPr>
      <w:rPr>
        <w:rFonts w:hint="default"/>
        <w:lang w:val="en-US" w:eastAsia="en-US" w:bidi="ar-SA"/>
      </w:rPr>
    </w:lvl>
  </w:abstractNum>
  <w:abstractNum w:abstractNumId="2" w15:restartNumberingAfterBreak="0">
    <w:nsid w:val="0EA57037"/>
    <w:multiLevelType w:val="hybridMultilevel"/>
    <w:tmpl w:val="5B72985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2010F"/>
    <w:multiLevelType w:val="hybridMultilevel"/>
    <w:tmpl w:val="A72243BE"/>
    <w:lvl w:ilvl="0" w:tplc="0EFE84DC">
      <w:numFmt w:val="bullet"/>
      <w:lvlText w:val=""/>
      <w:lvlJc w:val="left"/>
      <w:pPr>
        <w:ind w:left="1004" w:hanging="360"/>
      </w:pPr>
      <w:rPr>
        <w:rFonts w:ascii="Symbol" w:eastAsia="Symbol" w:hAnsi="Symbol" w:cs="Symbol" w:hint="default"/>
        <w:b w:val="0"/>
        <w:bCs w:val="0"/>
        <w:i w:val="0"/>
        <w:iCs w:val="0"/>
        <w:color w:val="4D81BD"/>
        <w:spacing w:val="0"/>
        <w:w w:val="99"/>
        <w:sz w:val="19"/>
        <w:szCs w:val="19"/>
        <w:lang w:val="en-US" w:eastAsia="en-US" w:bidi="ar-SA"/>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5572FF3"/>
    <w:multiLevelType w:val="hybridMultilevel"/>
    <w:tmpl w:val="7244F446"/>
    <w:lvl w:ilvl="0" w:tplc="CCFEE4EA">
      <w:start w:val="1"/>
      <w:numFmt w:val="decimal"/>
      <w:lvlText w:val="%1."/>
      <w:lvlJc w:val="left"/>
      <w:pPr>
        <w:ind w:left="680" w:hanging="678"/>
        <w:jc w:val="right"/>
      </w:pPr>
      <w:rPr>
        <w:rFonts w:hint="default"/>
        <w:spacing w:val="0"/>
        <w:w w:val="99"/>
        <w:lang w:val="en-US" w:eastAsia="en-US" w:bidi="ar-SA"/>
      </w:rPr>
    </w:lvl>
    <w:lvl w:ilvl="1" w:tplc="9E6AF1EE">
      <w:start w:val="1"/>
      <w:numFmt w:val="lowerLetter"/>
      <w:lvlText w:val="%2."/>
      <w:lvlJc w:val="left"/>
      <w:pPr>
        <w:ind w:left="1687" w:hanging="339"/>
      </w:pPr>
      <w:rPr>
        <w:rFonts w:ascii="Arial" w:eastAsia="Arial" w:hAnsi="Arial" w:cs="Arial" w:hint="default"/>
        <w:b/>
        <w:bCs/>
        <w:i w:val="0"/>
        <w:iCs w:val="0"/>
        <w:spacing w:val="0"/>
        <w:w w:val="103"/>
        <w:sz w:val="20"/>
        <w:szCs w:val="20"/>
        <w:lang w:val="en-US" w:eastAsia="en-US" w:bidi="ar-SA"/>
      </w:rPr>
    </w:lvl>
    <w:lvl w:ilvl="2" w:tplc="D46EF9B6">
      <w:numFmt w:val="bullet"/>
      <w:lvlText w:val="•"/>
      <w:lvlJc w:val="left"/>
      <w:pPr>
        <w:ind w:left="2533" w:hanging="339"/>
      </w:pPr>
      <w:rPr>
        <w:rFonts w:hint="default"/>
        <w:lang w:val="en-US" w:eastAsia="en-US" w:bidi="ar-SA"/>
      </w:rPr>
    </w:lvl>
    <w:lvl w:ilvl="3" w:tplc="6712A596">
      <w:numFmt w:val="bullet"/>
      <w:lvlText w:val="•"/>
      <w:lvlJc w:val="left"/>
      <w:pPr>
        <w:ind w:left="3386" w:hanging="339"/>
      </w:pPr>
      <w:rPr>
        <w:rFonts w:hint="default"/>
        <w:lang w:val="en-US" w:eastAsia="en-US" w:bidi="ar-SA"/>
      </w:rPr>
    </w:lvl>
    <w:lvl w:ilvl="4" w:tplc="01EC15BC">
      <w:numFmt w:val="bullet"/>
      <w:lvlText w:val="•"/>
      <w:lvlJc w:val="left"/>
      <w:pPr>
        <w:ind w:left="4240" w:hanging="339"/>
      </w:pPr>
      <w:rPr>
        <w:rFonts w:hint="default"/>
        <w:lang w:val="en-US" w:eastAsia="en-US" w:bidi="ar-SA"/>
      </w:rPr>
    </w:lvl>
    <w:lvl w:ilvl="5" w:tplc="4754E12A">
      <w:numFmt w:val="bullet"/>
      <w:lvlText w:val="•"/>
      <w:lvlJc w:val="left"/>
      <w:pPr>
        <w:ind w:left="5093" w:hanging="339"/>
      </w:pPr>
      <w:rPr>
        <w:rFonts w:hint="default"/>
        <w:lang w:val="en-US" w:eastAsia="en-US" w:bidi="ar-SA"/>
      </w:rPr>
    </w:lvl>
    <w:lvl w:ilvl="6" w:tplc="CC3253D0">
      <w:numFmt w:val="bullet"/>
      <w:lvlText w:val="•"/>
      <w:lvlJc w:val="left"/>
      <w:pPr>
        <w:ind w:left="5946" w:hanging="339"/>
      </w:pPr>
      <w:rPr>
        <w:rFonts w:hint="default"/>
        <w:lang w:val="en-US" w:eastAsia="en-US" w:bidi="ar-SA"/>
      </w:rPr>
    </w:lvl>
    <w:lvl w:ilvl="7" w:tplc="A7109CD2">
      <w:numFmt w:val="bullet"/>
      <w:lvlText w:val="•"/>
      <w:lvlJc w:val="left"/>
      <w:pPr>
        <w:ind w:left="6800" w:hanging="339"/>
      </w:pPr>
      <w:rPr>
        <w:rFonts w:hint="default"/>
        <w:lang w:val="en-US" w:eastAsia="en-US" w:bidi="ar-SA"/>
      </w:rPr>
    </w:lvl>
    <w:lvl w:ilvl="8" w:tplc="A3D82504">
      <w:numFmt w:val="bullet"/>
      <w:lvlText w:val="•"/>
      <w:lvlJc w:val="left"/>
      <w:pPr>
        <w:ind w:left="7653" w:hanging="339"/>
      </w:pPr>
      <w:rPr>
        <w:rFonts w:hint="default"/>
        <w:lang w:val="en-US" w:eastAsia="en-US" w:bidi="ar-SA"/>
      </w:rPr>
    </w:lvl>
  </w:abstractNum>
  <w:abstractNum w:abstractNumId="5" w15:restartNumberingAfterBreak="0">
    <w:nsid w:val="3A9B7D1C"/>
    <w:multiLevelType w:val="hybridMultilevel"/>
    <w:tmpl w:val="002A908A"/>
    <w:lvl w:ilvl="0" w:tplc="83027854">
      <w:numFmt w:val="bullet"/>
      <w:lvlText w:val=""/>
      <w:lvlJc w:val="left"/>
      <w:pPr>
        <w:ind w:left="644" w:hanging="267"/>
      </w:pPr>
      <w:rPr>
        <w:rFonts w:ascii="Symbol" w:eastAsia="Symbol" w:hAnsi="Symbol" w:cs="Symbol" w:hint="default"/>
        <w:b w:val="0"/>
        <w:bCs w:val="0"/>
        <w:i w:val="0"/>
        <w:iCs w:val="0"/>
        <w:spacing w:val="0"/>
        <w:w w:val="99"/>
        <w:sz w:val="19"/>
        <w:szCs w:val="19"/>
        <w:lang w:val="en-US" w:eastAsia="en-US" w:bidi="ar-SA"/>
      </w:rPr>
    </w:lvl>
    <w:lvl w:ilvl="1" w:tplc="ADD68698">
      <w:numFmt w:val="bullet"/>
      <w:lvlText w:val="•"/>
      <w:lvlJc w:val="left"/>
      <w:pPr>
        <w:ind w:left="1474" w:hanging="267"/>
      </w:pPr>
      <w:rPr>
        <w:rFonts w:hint="default"/>
        <w:lang w:val="en-US" w:eastAsia="en-US" w:bidi="ar-SA"/>
      </w:rPr>
    </w:lvl>
    <w:lvl w:ilvl="2" w:tplc="F1F4BFFA">
      <w:numFmt w:val="bullet"/>
      <w:lvlText w:val="•"/>
      <w:lvlJc w:val="left"/>
      <w:pPr>
        <w:ind w:left="2308" w:hanging="267"/>
      </w:pPr>
      <w:rPr>
        <w:rFonts w:hint="default"/>
        <w:lang w:val="en-US" w:eastAsia="en-US" w:bidi="ar-SA"/>
      </w:rPr>
    </w:lvl>
    <w:lvl w:ilvl="3" w:tplc="4F8C1CF0">
      <w:numFmt w:val="bullet"/>
      <w:lvlText w:val="•"/>
      <w:lvlJc w:val="left"/>
      <w:pPr>
        <w:ind w:left="3142" w:hanging="267"/>
      </w:pPr>
      <w:rPr>
        <w:rFonts w:hint="default"/>
        <w:lang w:val="en-US" w:eastAsia="en-US" w:bidi="ar-SA"/>
      </w:rPr>
    </w:lvl>
    <w:lvl w:ilvl="4" w:tplc="98988C00">
      <w:numFmt w:val="bullet"/>
      <w:lvlText w:val="•"/>
      <w:lvlJc w:val="left"/>
      <w:pPr>
        <w:ind w:left="3976" w:hanging="267"/>
      </w:pPr>
      <w:rPr>
        <w:rFonts w:hint="default"/>
        <w:lang w:val="en-US" w:eastAsia="en-US" w:bidi="ar-SA"/>
      </w:rPr>
    </w:lvl>
    <w:lvl w:ilvl="5" w:tplc="45B81FA6">
      <w:numFmt w:val="bullet"/>
      <w:lvlText w:val="•"/>
      <w:lvlJc w:val="left"/>
      <w:pPr>
        <w:ind w:left="4810" w:hanging="267"/>
      </w:pPr>
      <w:rPr>
        <w:rFonts w:hint="default"/>
        <w:lang w:val="en-US" w:eastAsia="en-US" w:bidi="ar-SA"/>
      </w:rPr>
    </w:lvl>
    <w:lvl w:ilvl="6" w:tplc="9DF8AB92">
      <w:numFmt w:val="bullet"/>
      <w:lvlText w:val="•"/>
      <w:lvlJc w:val="left"/>
      <w:pPr>
        <w:ind w:left="5644" w:hanging="267"/>
      </w:pPr>
      <w:rPr>
        <w:rFonts w:hint="default"/>
        <w:lang w:val="en-US" w:eastAsia="en-US" w:bidi="ar-SA"/>
      </w:rPr>
    </w:lvl>
    <w:lvl w:ilvl="7" w:tplc="8586CD52">
      <w:numFmt w:val="bullet"/>
      <w:lvlText w:val="•"/>
      <w:lvlJc w:val="left"/>
      <w:pPr>
        <w:ind w:left="6478" w:hanging="267"/>
      </w:pPr>
      <w:rPr>
        <w:rFonts w:hint="default"/>
        <w:lang w:val="en-US" w:eastAsia="en-US" w:bidi="ar-SA"/>
      </w:rPr>
    </w:lvl>
    <w:lvl w:ilvl="8" w:tplc="783C0C1A">
      <w:numFmt w:val="bullet"/>
      <w:lvlText w:val="•"/>
      <w:lvlJc w:val="left"/>
      <w:pPr>
        <w:ind w:left="7312" w:hanging="267"/>
      </w:pPr>
      <w:rPr>
        <w:rFonts w:hint="default"/>
        <w:lang w:val="en-US" w:eastAsia="en-US" w:bidi="ar-SA"/>
      </w:rPr>
    </w:lvl>
  </w:abstractNum>
  <w:abstractNum w:abstractNumId="6" w15:restartNumberingAfterBreak="0">
    <w:nsid w:val="5AAE0728"/>
    <w:multiLevelType w:val="hybridMultilevel"/>
    <w:tmpl w:val="A91AEF78"/>
    <w:lvl w:ilvl="0" w:tplc="8BD4EE72">
      <w:start w:val="1"/>
      <w:numFmt w:val="bullet"/>
      <w:lvlText w:val="•"/>
      <w:lvlJc w:val="left"/>
      <w:pPr>
        <w:ind w:left="644" w:hanging="267"/>
      </w:pPr>
      <w:rPr>
        <w:rFonts w:ascii="Times New Roman" w:hAnsi="Times New Roman" w:hint="default"/>
        <w:b/>
        <w:bCs w:val="0"/>
        <w:i w:val="0"/>
        <w:iCs w:val="0"/>
        <w:color w:val="auto"/>
        <w:spacing w:val="0"/>
        <w:w w:val="99"/>
        <w:sz w:val="24"/>
        <w:szCs w:val="19"/>
        <w:lang w:val="en-US" w:eastAsia="en-US" w:bidi="ar-SA"/>
      </w:rPr>
    </w:lvl>
    <w:lvl w:ilvl="1" w:tplc="FFFFFFFF">
      <w:numFmt w:val="bullet"/>
      <w:lvlText w:val="•"/>
      <w:lvlJc w:val="left"/>
      <w:pPr>
        <w:ind w:left="1474" w:hanging="267"/>
      </w:pPr>
      <w:rPr>
        <w:rFonts w:hint="default"/>
        <w:lang w:val="en-US" w:eastAsia="en-US" w:bidi="ar-SA"/>
      </w:rPr>
    </w:lvl>
    <w:lvl w:ilvl="2" w:tplc="FFFFFFFF">
      <w:numFmt w:val="bullet"/>
      <w:lvlText w:val="•"/>
      <w:lvlJc w:val="left"/>
      <w:pPr>
        <w:ind w:left="2308" w:hanging="267"/>
      </w:pPr>
      <w:rPr>
        <w:rFonts w:hint="default"/>
        <w:lang w:val="en-US" w:eastAsia="en-US" w:bidi="ar-SA"/>
      </w:rPr>
    </w:lvl>
    <w:lvl w:ilvl="3" w:tplc="FFFFFFFF">
      <w:numFmt w:val="bullet"/>
      <w:lvlText w:val="•"/>
      <w:lvlJc w:val="left"/>
      <w:pPr>
        <w:ind w:left="3142" w:hanging="267"/>
      </w:pPr>
      <w:rPr>
        <w:rFonts w:hint="default"/>
        <w:lang w:val="en-US" w:eastAsia="en-US" w:bidi="ar-SA"/>
      </w:rPr>
    </w:lvl>
    <w:lvl w:ilvl="4" w:tplc="FFFFFFFF">
      <w:numFmt w:val="bullet"/>
      <w:lvlText w:val="•"/>
      <w:lvlJc w:val="left"/>
      <w:pPr>
        <w:ind w:left="3976" w:hanging="267"/>
      </w:pPr>
      <w:rPr>
        <w:rFonts w:hint="default"/>
        <w:lang w:val="en-US" w:eastAsia="en-US" w:bidi="ar-SA"/>
      </w:rPr>
    </w:lvl>
    <w:lvl w:ilvl="5" w:tplc="FFFFFFFF">
      <w:numFmt w:val="bullet"/>
      <w:lvlText w:val="•"/>
      <w:lvlJc w:val="left"/>
      <w:pPr>
        <w:ind w:left="4810" w:hanging="267"/>
      </w:pPr>
      <w:rPr>
        <w:rFonts w:hint="default"/>
        <w:lang w:val="en-US" w:eastAsia="en-US" w:bidi="ar-SA"/>
      </w:rPr>
    </w:lvl>
    <w:lvl w:ilvl="6" w:tplc="FFFFFFFF">
      <w:numFmt w:val="bullet"/>
      <w:lvlText w:val="•"/>
      <w:lvlJc w:val="left"/>
      <w:pPr>
        <w:ind w:left="5644" w:hanging="267"/>
      </w:pPr>
      <w:rPr>
        <w:rFonts w:hint="default"/>
        <w:lang w:val="en-US" w:eastAsia="en-US" w:bidi="ar-SA"/>
      </w:rPr>
    </w:lvl>
    <w:lvl w:ilvl="7" w:tplc="FFFFFFFF">
      <w:numFmt w:val="bullet"/>
      <w:lvlText w:val="•"/>
      <w:lvlJc w:val="left"/>
      <w:pPr>
        <w:ind w:left="6478" w:hanging="267"/>
      </w:pPr>
      <w:rPr>
        <w:rFonts w:hint="default"/>
        <w:lang w:val="en-US" w:eastAsia="en-US" w:bidi="ar-SA"/>
      </w:rPr>
    </w:lvl>
    <w:lvl w:ilvl="8" w:tplc="FFFFFFFF">
      <w:numFmt w:val="bullet"/>
      <w:lvlText w:val="•"/>
      <w:lvlJc w:val="left"/>
      <w:pPr>
        <w:ind w:left="7312" w:hanging="267"/>
      </w:pPr>
      <w:rPr>
        <w:rFonts w:hint="default"/>
        <w:lang w:val="en-US" w:eastAsia="en-US" w:bidi="ar-SA"/>
      </w:rPr>
    </w:lvl>
  </w:abstractNum>
  <w:abstractNum w:abstractNumId="7" w15:restartNumberingAfterBreak="0">
    <w:nsid w:val="5D5140CC"/>
    <w:multiLevelType w:val="hybridMultilevel"/>
    <w:tmpl w:val="068A2E12"/>
    <w:lvl w:ilvl="0" w:tplc="C3529584">
      <w:numFmt w:val="bullet"/>
      <w:lvlText w:val=""/>
      <w:lvlJc w:val="left"/>
      <w:pPr>
        <w:ind w:left="740" w:hanging="321"/>
      </w:pPr>
      <w:rPr>
        <w:rFonts w:ascii="Symbol" w:eastAsia="Symbol" w:hAnsi="Symbol" w:cs="Symbol" w:hint="default"/>
        <w:b w:val="0"/>
        <w:bCs w:val="0"/>
        <w:i w:val="0"/>
        <w:iCs w:val="0"/>
        <w:color w:val="4D81BD"/>
        <w:spacing w:val="0"/>
        <w:w w:val="99"/>
        <w:sz w:val="19"/>
        <w:szCs w:val="19"/>
        <w:lang w:val="en-US" w:eastAsia="en-US" w:bidi="ar-SA"/>
      </w:rPr>
    </w:lvl>
    <w:lvl w:ilvl="1" w:tplc="750A94B6">
      <w:numFmt w:val="bullet"/>
      <w:lvlText w:val="•"/>
      <w:lvlJc w:val="left"/>
      <w:pPr>
        <w:ind w:left="1457" w:hanging="321"/>
      </w:pPr>
      <w:rPr>
        <w:rFonts w:hint="default"/>
        <w:lang w:val="en-US" w:eastAsia="en-US" w:bidi="ar-SA"/>
      </w:rPr>
    </w:lvl>
    <w:lvl w:ilvl="2" w:tplc="AF04AF18">
      <w:numFmt w:val="bullet"/>
      <w:lvlText w:val="•"/>
      <w:lvlJc w:val="left"/>
      <w:pPr>
        <w:ind w:left="2175" w:hanging="321"/>
      </w:pPr>
      <w:rPr>
        <w:rFonts w:hint="default"/>
        <w:lang w:val="en-US" w:eastAsia="en-US" w:bidi="ar-SA"/>
      </w:rPr>
    </w:lvl>
    <w:lvl w:ilvl="3" w:tplc="A1247718">
      <w:numFmt w:val="bullet"/>
      <w:lvlText w:val="•"/>
      <w:lvlJc w:val="left"/>
      <w:pPr>
        <w:ind w:left="2892" w:hanging="321"/>
      </w:pPr>
      <w:rPr>
        <w:rFonts w:hint="default"/>
        <w:lang w:val="en-US" w:eastAsia="en-US" w:bidi="ar-SA"/>
      </w:rPr>
    </w:lvl>
    <w:lvl w:ilvl="4" w:tplc="59440EEE">
      <w:numFmt w:val="bullet"/>
      <w:lvlText w:val="•"/>
      <w:lvlJc w:val="left"/>
      <w:pPr>
        <w:ind w:left="3610" w:hanging="321"/>
      </w:pPr>
      <w:rPr>
        <w:rFonts w:hint="default"/>
        <w:lang w:val="en-US" w:eastAsia="en-US" w:bidi="ar-SA"/>
      </w:rPr>
    </w:lvl>
    <w:lvl w:ilvl="5" w:tplc="2452E9AC">
      <w:numFmt w:val="bullet"/>
      <w:lvlText w:val="•"/>
      <w:lvlJc w:val="left"/>
      <w:pPr>
        <w:ind w:left="4327" w:hanging="321"/>
      </w:pPr>
      <w:rPr>
        <w:rFonts w:hint="default"/>
        <w:lang w:val="en-US" w:eastAsia="en-US" w:bidi="ar-SA"/>
      </w:rPr>
    </w:lvl>
    <w:lvl w:ilvl="6" w:tplc="2A06AA3A">
      <w:numFmt w:val="bullet"/>
      <w:lvlText w:val="•"/>
      <w:lvlJc w:val="left"/>
      <w:pPr>
        <w:ind w:left="5045" w:hanging="321"/>
      </w:pPr>
      <w:rPr>
        <w:rFonts w:hint="default"/>
        <w:lang w:val="en-US" w:eastAsia="en-US" w:bidi="ar-SA"/>
      </w:rPr>
    </w:lvl>
    <w:lvl w:ilvl="7" w:tplc="FF46DEBA">
      <w:numFmt w:val="bullet"/>
      <w:lvlText w:val="•"/>
      <w:lvlJc w:val="left"/>
      <w:pPr>
        <w:ind w:left="5762" w:hanging="321"/>
      </w:pPr>
      <w:rPr>
        <w:rFonts w:hint="default"/>
        <w:lang w:val="en-US" w:eastAsia="en-US" w:bidi="ar-SA"/>
      </w:rPr>
    </w:lvl>
    <w:lvl w:ilvl="8" w:tplc="2D2EC314">
      <w:numFmt w:val="bullet"/>
      <w:lvlText w:val="•"/>
      <w:lvlJc w:val="left"/>
      <w:pPr>
        <w:ind w:left="6480" w:hanging="321"/>
      </w:pPr>
      <w:rPr>
        <w:rFonts w:hint="default"/>
        <w:lang w:val="en-US" w:eastAsia="en-US" w:bidi="ar-SA"/>
      </w:rPr>
    </w:lvl>
  </w:abstractNum>
  <w:abstractNum w:abstractNumId="8" w15:restartNumberingAfterBreak="0">
    <w:nsid w:val="64EB603F"/>
    <w:multiLevelType w:val="hybridMultilevel"/>
    <w:tmpl w:val="3BDE030E"/>
    <w:lvl w:ilvl="0" w:tplc="68749506">
      <w:numFmt w:val="bullet"/>
      <w:lvlText w:val="-"/>
      <w:lvlJc w:val="left"/>
      <w:pPr>
        <w:ind w:left="90" w:hanging="92"/>
      </w:pPr>
      <w:rPr>
        <w:rFonts w:ascii="Arial" w:eastAsia="Arial" w:hAnsi="Arial" w:cs="Arial" w:hint="default"/>
        <w:b w:val="0"/>
        <w:bCs w:val="0"/>
        <w:i w:val="0"/>
        <w:iCs w:val="0"/>
        <w:spacing w:val="0"/>
        <w:w w:val="100"/>
        <w:sz w:val="15"/>
        <w:szCs w:val="15"/>
        <w:lang w:val="en-US" w:eastAsia="en-US" w:bidi="ar-SA"/>
      </w:rPr>
    </w:lvl>
    <w:lvl w:ilvl="1" w:tplc="6E229990">
      <w:numFmt w:val="bullet"/>
      <w:lvlText w:val="-"/>
      <w:lvlJc w:val="left"/>
      <w:pPr>
        <w:ind w:left="180" w:hanging="92"/>
      </w:pPr>
      <w:rPr>
        <w:rFonts w:ascii="Arial" w:eastAsia="Arial" w:hAnsi="Arial" w:cs="Arial" w:hint="default"/>
        <w:b w:val="0"/>
        <w:bCs w:val="0"/>
        <w:i w:val="0"/>
        <w:iCs w:val="0"/>
        <w:spacing w:val="0"/>
        <w:w w:val="100"/>
        <w:sz w:val="15"/>
        <w:szCs w:val="15"/>
        <w:lang w:val="en-US" w:eastAsia="en-US" w:bidi="ar-SA"/>
      </w:rPr>
    </w:lvl>
    <w:lvl w:ilvl="2" w:tplc="A18E34C2">
      <w:numFmt w:val="bullet"/>
      <w:lvlText w:val="•"/>
      <w:lvlJc w:val="left"/>
      <w:pPr>
        <w:ind w:left="148" w:hanging="92"/>
      </w:pPr>
      <w:rPr>
        <w:rFonts w:hint="default"/>
        <w:lang w:val="en-US" w:eastAsia="en-US" w:bidi="ar-SA"/>
      </w:rPr>
    </w:lvl>
    <w:lvl w:ilvl="3" w:tplc="686C927A">
      <w:numFmt w:val="bullet"/>
      <w:lvlText w:val="•"/>
      <w:lvlJc w:val="left"/>
      <w:pPr>
        <w:ind w:left="117" w:hanging="92"/>
      </w:pPr>
      <w:rPr>
        <w:rFonts w:hint="default"/>
        <w:lang w:val="en-US" w:eastAsia="en-US" w:bidi="ar-SA"/>
      </w:rPr>
    </w:lvl>
    <w:lvl w:ilvl="4" w:tplc="BF28D2CA">
      <w:numFmt w:val="bullet"/>
      <w:lvlText w:val="•"/>
      <w:lvlJc w:val="left"/>
      <w:pPr>
        <w:ind w:left="86" w:hanging="92"/>
      </w:pPr>
      <w:rPr>
        <w:rFonts w:hint="default"/>
        <w:lang w:val="en-US" w:eastAsia="en-US" w:bidi="ar-SA"/>
      </w:rPr>
    </w:lvl>
    <w:lvl w:ilvl="5" w:tplc="223A4DD4">
      <w:numFmt w:val="bullet"/>
      <w:lvlText w:val="•"/>
      <w:lvlJc w:val="left"/>
      <w:pPr>
        <w:ind w:left="54" w:hanging="92"/>
      </w:pPr>
      <w:rPr>
        <w:rFonts w:hint="default"/>
        <w:lang w:val="en-US" w:eastAsia="en-US" w:bidi="ar-SA"/>
      </w:rPr>
    </w:lvl>
    <w:lvl w:ilvl="6" w:tplc="43BA8656">
      <w:numFmt w:val="bullet"/>
      <w:lvlText w:val="•"/>
      <w:lvlJc w:val="left"/>
      <w:pPr>
        <w:ind w:left="23" w:hanging="92"/>
      </w:pPr>
      <w:rPr>
        <w:rFonts w:hint="default"/>
        <w:lang w:val="en-US" w:eastAsia="en-US" w:bidi="ar-SA"/>
      </w:rPr>
    </w:lvl>
    <w:lvl w:ilvl="7" w:tplc="0BDEA412">
      <w:numFmt w:val="bullet"/>
      <w:lvlText w:val="•"/>
      <w:lvlJc w:val="left"/>
      <w:pPr>
        <w:ind w:left="-8" w:hanging="92"/>
      </w:pPr>
      <w:rPr>
        <w:rFonts w:hint="default"/>
        <w:lang w:val="en-US" w:eastAsia="en-US" w:bidi="ar-SA"/>
      </w:rPr>
    </w:lvl>
    <w:lvl w:ilvl="8" w:tplc="EC52AFA4">
      <w:numFmt w:val="bullet"/>
      <w:lvlText w:val="•"/>
      <w:lvlJc w:val="left"/>
      <w:pPr>
        <w:ind w:left="-39" w:hanging="92"/>
      </w:pPr>
      <w:rPr>
        <w:rFonts w:hint="default"/>
        <w:lang w:val="en-US" w:eastAsia="en-US" w:bidi="ar-SA"/>
      </w:rPr>
    </w:lvl>
  </w:abstractNum>
  <w:abstractNum w:abstractNumId="9" w15:restartNumberingAfterBreak="0">
    <w:nsid w:val="6C112065"/>
    <w:multiLevelType w:val="hybridMultilevel"/>
    <w:tmpl w:val="51361338"/>
    <w:lvl w:ilvl="0" w:tplc="76D8DB28">
      <w:numFmt w:val="bullet"/>
      <w:lvlText w:val="•"/>
      <w:lvlJc w:val="left"/>
      <w:pPr>
        <w:ind w:left="644" w:hanging="360"/>
      </w:pPr>
      <w:rPr>
        <w:rFonts w:ascii="Times New Roman" w:eastAsia="Arial"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73F53E37"/>
    <w:multiLevelType w:val="hybridMultilevel"/>
    <w:tmpl w:val="16482D0A"/>
    <w:lvl w:ilvl="0" w:tplc="64C2C636">
      <w:numFmt w:val="bullet"/>
      <w:lvlText w:val="-"/>
      <w:lvlJc w:val="left"/>
      <w:pPr>
        <w:ind w:left="180" w:hanging="142"/>
      </w:pPr>
      <w:rPr>
        <w:rFonts w:ascii="Arial" w:eastAsia="Arial" w:hAnsi="Arial" w:cs="Arial" w:hint="default"/>
        <w:b w:val="0"/>
        <w:bCs w:val="0"/>
        <w:i w:val="0"/>
        <w:iCs w:val="0"/>
        <w:spacing w:val="0"/>
        <w:w w:val="100"/>
        <w:sz w:val="15"/>
        <w:szCs w:val="15"/>
        <w:lang w:val="en-US" w:eastAsia="en-US" w:bidi="ar-SA"/>
      </w:rPr>
    </w:lvl>
    <w:lvl w:ilvl="1" w:tplc="87CE689A">
      <w:numFmt w:val="bullet"/>
      <w:lvlText w:val="•"/>
      <w:lvlJc w:val="left"/>
      <w:pPr>
        <w:ind w:left="420" w:hanging="142"/>
      </w:pPr>
      <w:rPr>
        <w:rFonts w:hint="default"/>
        <w:lang w:val="en-US" w:eastAsia="en-US" w:bidi="ar-SA"/>
      </w:rPr>
    </w:lvl>
    <w:lvl w:ilvl="2" w:tplc="39282CCE">
      <w:numFmt w:val="bullet"/>
      <w:lvlText w:val="•"/>
      <w:lvlJc w:val="left"/>
      <w:pPr>
        <w:ind w:left="660" w:hanging="142"/>
      </w:pPr>
      <w:rPr>
        <w:rFonts w:hint="default"/>
        <w:lang w:val="en-US" w:eastAsia="en-US" w:bidi="ar-SA"/>
      </w:rPr>
    </w:lvl>
    <w:lvl w:ilvl="3" w:tplc="38C438CE">
      <w:numFmt w:val="bullet"/>
      <w:lvlText w:val="•"/>
      <w:lvlJc w:val="left"/>
      <w:pPr>
        <w:ind w:left="901" w:hanging="142"/>
      </w:pPr>
      <w:rPr>
        <w:rFonts w:hint="default"/>
        <w:lang w:val="en-US" w:eastAsia="en-US" w:bidi="ar-SA"/>
      </w:rPr>
    </w:lvl>
    <w:lvl w:ilvl="4" w:tplc="8334F570">
      <w:numFmt w:val="bullet"/>
      <w:lvlText w:val="•"/>
      <w:lvlJc w:val="left"/>
      <w:pPr>
        <w:ind w:left="1141" w:hanging="142"/>
      </w:pPr>
      <w:rPr>
        <w:rFonts w:hint="default"/>
        <w:lang w:val="en-US" w:eastAsia="en-US" w:bidi="ar-SA"/>
      </w:rPr>
    </w:lvl>
    <w:lvl w:ilvl="5" w:tplc="8036180C">
      <w:numFmt w:val="bullet"/>
      <w:lvlText w:val="•"/>
      <w:lvlJc w:val="left"/>
      <w:pPr>
        <w:ind w:left="1381" w:hanging="142"/>
      </w:pPr>
      <w:rPr>
        <w:rFonts w:hint="default"/>
        <w:lang w:val="en-US" w:eastAsia="en-US" w:bidi="ar-SA"/>
      </w:rPr>
    </w:lvl>
    <w:lvl w:ilvl="6" w:tplc="097C20B2">
      <w:numFmt w:val="bullet"/>
      <w:lvlText w:val="•"/>
      <w:lvlJc w:val="left"/>
      <w:pPr>
        <w:ind w:left="1622" w:hanging="142"/>
      </w:pPr>
      <w:rPr>
        <w:rFonts w:hint="default"/>
        <w:lang w:val="en-US" w:eastAsia="en-US" w:bidi="ar-SA"/>
      </w:rPr>
    </w:lvl>
    <w:lvl w:ilvl="7" w:tplc="C9904B16">
      <w:numFmt w:val="bullet"/>
      <w:lvlText w:val="•"/>
      <w:lvlJc w:val="left"/>
      <w:pPr>
        <w:ind w:left="1862" w:hanging="142"/>
      </w:pPr>
      <w:rPr>
        <w:rFonts w:hint="default"/>
        <w:lang w:val="en-US" w:eastAsia="en-US" w:bidi="ar-SA"/>
      </w:rPr>
    </w:lvl>
    <w:lvl w:ilvl="8" w:tplc="F990CC4E">
      <w:numFmt w:val="bullet"/>
      <w:lvlText w:val="•"/>
      <w:lvlJc w:val="left"/>
      <w:pPr>
        <w:ind w:left="2103" w:hanging="142"/>
      </w:pPr>
      <w:rPr>
        <w:rFonts w:hint="default"/>
        <w:lang w:val="en-US" w:eastAsia="en-US" w:bidi="ar-SA"/>
      </w:rPr>
    </w:lvl>
  </w:abstractNum>
  <w:abstractNum w:abstractNumId="11" w15:restartNumberingAfterBreak="0">
    <w:nsid w:val="79E10B65"/>
    <w:multiLevelType w:val="multilevel"/>
    <w:tmpl w:val="BFE8E1F0"/>
    <w:lvl w:ilvl="0">
      <w:start w:val="1"/>
      <w:numFmt w:val="decimal"/>
      <w:lvlText w:val="%1."/>
      <w:lvlJc w:val="left"/>
      <w:pPr>
        <w:ind w:left="995" w:hanging="315"/>
        <w:jc w:val="right"/>
      </w:pPr>
      <w:rPr>
        <w:rFonts w:ascii="Arial" w:eastAsia="Arial" w:hAnsi="Arial" w:cs="Arial" w:hint="default"/>
        <w:b/>
        <w:bCs/>
        <w:i w:val="0"/>
        <w:iCs w:val="0"/>
        <w:color w:val="4D81BD"/>
        <w:spacing w:val="0"/>
        <w:w w:val="102"/>
        <w:sz w:val="22"/>
        <w:szCs w:val="22"/>
        <w:lang w:val="en-US" w:eastAsia="en-US" w:bidi="ar-SA"/>
      </w:rPr>
    </w:lvl>
    <w:lvl w:ilvl="1">
      <w:start w:val="1"/>
      <w:numFmt w:val="decimal"/>
      <w:lvlText w:val="%1.%2."/>
      <w:lvlJc w:val="left"/>
      <w:pPr>
        <w:ind w:left="1780" w:hanging="460"/>
      </w:pPr>
      <w:rPr>
        <w:rFonts w:ascii="Arial" w:eastAsia="Arial" w:hAnsi="Arial" w:cs="Arial" w:hint="default"/>
        <w:b/>
        <w:bCs/>
        <w:i/>
        <w:iCs/>
        <w:spacing w:val="0"/>
        <w:w w:val="103"/>
        <w:sz w:val="20"/>
        <w:szCs w:val="20"/>
        <w:lang w:val="en-US" w:eastAsia="en-US" w:bidi="ar-SA"/>
      </w:rPr>
    </w:lvl>
    <w:lvl w:ilvl="2">
      <w:numFmt w:val="bullet"/>
      <w:lvlText w:val="•"/>
      <w:lvlJc w:val="left"/>
      <w:pPr>
        <w:ind w:left="1320" w:hanging="460"/>
      </w:pPr>
      <w:rPr>
        <w:rFonts w:hint="default"/>
        <w:lang w:val="en-US" w:eastAsia="en-US" w:bidi="ar-SA"/>
      </w:rPr>
    </w:lvl>
    <w:lvl w:ilvl="3">
      <w:numFmt w:val="bullet"/>
      <w:lvlText w:val="•"/>
      <w:lvlJc w:val="left"/>
      <w:pPr>
        <w:ind w:left="1780" w:hanging="460"/>
      </w:pPr>
      <w:rPr>
        <w:rFonts w:hint="default"/>
        <w:lang w:val="en-US" w:eastAsia="en-US" w:bidi="ar-SA"/>
      </w:rPr>
    </w:lvl>
    <w:lvl w:ilvl="4">
      <w:numFmt w:val="bullet"/>
      <w:lvlText w:val="•"/>
      <w:lvlJc w:val="left"/>
      <w:pPr>
        <w:ind w:left="2808" w:hanging="460"/>
      </w:pPr>
      <w:rPr>
        <w:rFonts w:hint="default"/>
        <w:lang w:val="en-US" w:eastAsia="en-US" w:bidi="ar-SA"/>
      </w:rPr>
    </w:lvl>
    <w:lvl w:ilvl="5">
      <w:numFmt w:val="bullet"/>
      <w:lvlText w:val="•"/>
      <w:lvlJc w:val="left"/>
      <w:pPr>
        <w:ind w:left="3837" w:hanging="460"/>
      </w:pPr>
      <w:rPr>
        <w:rFonts w:hint="default"/>
        <w:lang w:val="en-US" w:eastAsia="en-US" w:bidi="ar-SA"/>
      </w:rPr>
    </w:lvl>
    <w:lvl w:ilvl="6">
      <w:numFmt w:val="bullet"/>
      <w:lvlText w:val="•"/>
      <w:lvlJc w:val="left"/>
      <w:pPr>
        <w:ind w:left="4865" w:hanging="460"/>
      </w:pPr>
      <w:rPr>
        <w:rFonts w:hint="default"/>
        <w:lang w:val="en-US" w:eastAsia="en-US" w:bidi="ar-SA"/>
      </w:rPr>
    </w:lvl>
    <w:lvl w:ilvl="7">
      <w:numFmt w:val="bullet"/>
      <w:lvlText w:val="•"/>
      <w:lvlJc w:val="left"/>
      <w:pPr>
        <w:ind w:left="5894" w:hanging="460"/>
      </w:pPr>
      <w:rPr>
        <w:rFonts w:hint="default"/>
        <w:lang w:val="en-US" w:eastAsia="en-US" w:bidi="ar-SA"/>
      </w:rPr>
    </w:lvl>
    <w:lvl w:ilvl="8">
      <w:numFmt w:val="bullet"/>
      <w:lvlText w:val="•"/>
      <w:lvlJc w:val="left"/>
      <w:pPr>
        <w:ind w:left="6922" w:hanging="460"/>
      </w:pPr>
      <w:rPr>
        <w:rFonts w:hint="default"/>
        <w:lang w:val="en-US" w:eastAsia="en-US" w:bidi="ar-SA"/>
      </w:rPr>
    </w:lvl>
  </w:abstractNum>
  <w:num w:numId="1" w16cid:durableId="1249999343">
    <w:abstractNumId w:val="5"/>
  </w:num>
  <w:num w:numId="2" w16cid:durableId="134878357">
    <w:abstractNumId w:val="8"/>
  </w:num>
  <w:num w:numId="3" w16cid:durableId="1490707341">
    <w:abstractNumId w:val="10"/>
  </w:num>
  <w:num w:numId="4" w16cid:durableId="833376614">
    <w:abstractNumId w:val="1"/>
  </w:num>
  <w:num w:numId="5" w16cid:durableId="1105267826">
    <w:abstractNumId w:val="4"/>
  </w:num>
  <w:num w:numId="6" w16cid:durableId="192311038">
    <w:abstractNumId w:val="11"/>
  </w:num>
  <w:num w:numId="7" w16cid:durableId="782263193">
    <w:abstractNumId w:val="7"/>
  </w:num>
  <w:num w:numId="8" w16cid:durableId="13266324">
    <w:abstractNumId w:val="3"/>
  </w:num>
  <w:num w:numId="9" w16cid:durableId="1252658848">
    <w:abstractNumId w:val="9"/>
  </w:num>
  <w:num w:numId="10" w16cid:durableId="1014499521">
    <w:abstractNumId w:val="2"/>
  </w:num>
  <w:num w:numId="11" w16cid:durableId="1116484836">
    <w:abstractNumId w:val="0"/>
  </w:num>
  <w:num w:numId="12" w16cid:durableId="1280726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17273"/>
    <w:rsid w:val="000031D7"/>
    <w:rsid w:val="00036EB9"/>
    <w:rsid w:val="000737D4"/>
    <w:rsid w:val="00080AF4"/>
    <w:rsid w:val="0008351A"/>
    <w:rsid w:val="000C0B78"/>
    <w:rsid w:val="000D032A"/>
    <w:rsid w:val="000D0C07"/>
    <w:rsid w:val="000D0E9F"/>
    <w:rsid w:val="000E204E"/>
    <w:rsid w:val="000F1039"/>
    <w:rsid w:val="000F34B5"/>
    <w:rsid w:val="000F573B"/>
    <w:rsid w:val="00101341"/>
    <w:rsid w:val="00106D14"/>
    <w:rsid w:val="0011249B"/>
    <w:rsid w:val="00120BDA"/>
    <w:rsid w:val="00122FE6"/>
    <w:rsid w:val="00123BA6"/>
    <w:rsid w:val="0013738F"/>
    <w:rsid w:val="00156BE4"/>
    <w:rsid w:val="001576EF"/>
    <w:rsid w:val="00174B1A"/>
    <w:rsid w:val="001B768E"/>
    <w:rsid w:val="001C4401"/>
    <w:rsid w:val="001F76D2"/>
    <w:rsid w:val="002072C3"/>
    <w:rsid w:val="002243C0"/>
    <w:rsid w:val="0022473B"/>
    <w:rsid w:val="00251538"/>
    <w:rsid w:val="0028765A"/>
    <w:rsid w:val="00290391"/>
    <w:rsid w:val="002A56D3"/>
    <w:rsid w:val="002A6682"/>
    <w:rsid w:val="002B4290"/>
    <w:rsid w:val="002C6873"/>
    <w:rsid w:val="00307386"/>
    <w:rsid w:val="00315274"/>
    <w:rsid w:val="003251A0"/>
    <w:rsid w:val="00327789"/>
    <w:rsid w:val="00361CCA"/>
    <w:rsid w:val="003655C1"/>
    <w:rsid w:val="00367C16"/>
    <w:rsid w:val="003971C9"/>
    <w:rsid w:val="003E4DFF"/>
    <w:rsid w:val="0041526F"/>
    <w:rsid w:val="00444601"/>
    <w:rsid w:val="00453E24"/>
    <w:rsid w:val="00460065"/>
    <w:rsid w:val="004629BA"/>
    <w:rsid w:val="004836CF"/>
    <w:rsid w:val="00487254"/>
    <w:rsid w:val="00496B34"/>
    <w:rsid w:val="004A369C"/>
    <w:rsid w:val="004B7C3F"/>
    <w:rsid w:val="004C38D8"/>
    <w:rsid w:val="004C4A5F"/>
    <w:rsid w:val="004C5897"/>
    <w:rsid w:val="004C7D37"/>
    <w:rsid w:val="004E2E5B"/>
    <w:rsid w:val="004E368A"/>
    <w:rsid w:val="0050074C"/>
    <w:rsid w:val="0050079A"/>
    <w:rsid w:val="005062A1"/>
    <w:rsid w:val="005140E3"/>
    <w:rsid w:val="00521F8C"/>
    <w:rsid w:val="00522BEB"/>
    <w:rsid w:val="00534541"/>
    <w:rsid w:val="0055467D"/>
    <w:rsid w:val="005806F3"/>
    <w:rsid w:val="005840CB"/>
    <w:rsid w:val="00587946"/>
    <w:rsid w:val="005C5BD2"/>
    <w:rsid w:val="005C7D36"/>
    <w:rsid w:val="005D11B4"/>
    <w:rsid w:val="005D2B1B"/>
    <w:rsid w:val="005E5E12"/>
    <w:rsid w:val="005F2EC0"/>
    <w:rsid w:val="0064558C"/>
    <w:rsid w:val="006458DC"/>
    <w:rsid w:val="006675E1"/>
    <w:rsid w:val="0068352E"/>
    <w:rsid w:val="00683AC8"/>
    <w:rsid w:val="00695B8E"/>
    <w:rsid w:val="006A4DDB"/>
    <w:rsid w:val="006B0D85"/>
    <w:rsid w:val="006C0F66"/>
    <w:rsid w:val="006E3B62"/>
    <w:rsid w:val="006E54D8"/>
    <w:rsid w:val="006F1747"/>
    <w:rsid w:val="00712475"/>
    <w:rsid w:val="00713842"/>
    <w:rsid w:val="00714797"/>
    <w:rsid w:val="0072275C"/>
    <w:rsid w:val="00725ED6"/>
    <w:rsid w:val="00734ACD"/>
    <w:rsid w:val="00735E20"/>
    <w:rsid w:val="00746B01"/>
    <w:rsid w:val="00763840"/>
    <w:rsid w:val="00765D1D"/>
    <w:rsid w:val="00773732"/>
    <w:rsid w:val="00786994"/>
    <w:rsid w:val="00791884"/>
    <w:rsid w:val="007A4AE0"/>
    <w:rsid w:val="007A53A0"/>
    <w:rsid w:val="007B1468"/>
    <w:rsid w:val="007B16C1"/>
    <w:rsid w:val="007C4E04"/>
    <w:rsid w:val="007E571F"/>
    <w:rsid w:val="007F2003"/>
    <w:rsid w:val="00805442"/>
    <w:rsid w:val="008150D8"/>
    <w:rsid w:val="00825B2F"/>
    <w:rsid w:val="00826C7B"/>
    <w:rsid w:val="00847EC7"/>
    <w:rsid w:val="0085717C"/>
    <w:rsid w:val="00871663"/>
    <w:rsid w:val="00887893"/>
    <w:rsid w:val="00893F83"/>
    <w:rsid w:val="008A38CB"/>
    <w:rsid w:val="008B0274"/>
    <w:rsid w:val="008C3F5E"/>
    <w:rsid w:val="008C73D6"/>
    <w:rsid w:val="00917273"/>
    <w:rsid w:val="00931298"/>
    <w:rsid w:val="009344F7"/>
    <w:rsid w:val="00974183"/>
    <w:rsid w:val="00993DDC"/>
    <w:rsid w:val="009A44E0"/>
    <w:rsid w:val="009C58B8"/>
    <w:rsid w:val="009D6CED"/>
    <w:rsid w:val="009E71FD"/>
    <w:rsid w:val="009F4CCB"/>
    <w:rsid w:val="00A01D0C"/>
    <w:rsid w:val="00A11C1B"/>
    <w:rsid w:val="00A4419D"/>
    <w:rsid w:val="00A47D09"/>
    <w:rsid w:val="00A54D7F"/>
    <w:rsid w:val="00A72677"/>
    <w:rsid w:val="00A73C99"/>
    <w:rsid w:val="00A84FA2"/>
    <w:rsid w:val="00A85B14"/>
    <w:rsid w:val="00AA56C4"/>
    <w:rsid w:val="00AA6561"/>
    <w:rsid w:val="00AB03D0"/>
    <w:rsid w:val="00AC3307"/>
    <w:rsid w:val="00AC50AE"/>
    <w:rsid w:val="00AC761D"/>
    <w:rsid w:val="00AE0F21"/>
    <w:rsid w:val="00B060C8"/>
    <w:rsid w:val="00B12C89"/>
    <w:rsid w:val="00B221FC"/>
    <w:rsid w:val="00B34292"/>
    <w:rsid w:val="00B53019"/>
    <w:rsid w:val="00B632FD"/>
    <w:rsid w:val="00B65173"/>
    <w:rsid w:val="00B67E1C"/>
    <w:rsid w:val="00B73DD7"/>
    <w:rsid w:val="00B82EC4"/>
    <w:rsid w:val="00B928AC"/>
    <w:rsid w:val="00BB4D75"/>
    <w:rsid w:val="00BB7BA6"/>
    <w:rsid w:val="00BC0418"/>
    <w:rsid w:val="00BE750C"/>
    <w:rsid w:val="00C219EA"/>
    <w:rsid w:val="00C21D8A"/>
    <w:rsid w:val="00C227F1"/>
    <w:rsid w:val="00C649AF"/>
    <w:rsid w:val="00C75E29"/>
    <w:rsid w:val="00C90C5A"/>
    <w:rsid w:val="00C96A82"/>
    <w:rsid w:val="00CA1203"/>
    <w:rsid w:val="00CA6575"/>
    <w:rsid w:val="00CB404A"/>
    <w:rsid w:val="00CC6949"/>
    <w:rsid w:val="00CD6373"/>
    <w:rsid w:val="00CD7AA5"/>
    <w:rsid w:val="00CE66E8"/>
    <w:rsid w:val="00CF2C42"/>
    <w:rsid w:val="00D15A4A"/>
    <w:rsid w:val="00D31E8D"/>
    <w:rsid w:val="00D331E7"/>
    <w:rsid w:val="00D33BCA"/>
    <w:rsid w:val="00D46A2A"/>
    <w:rsid w:val="00D940CC"/>
    <w:rsid w:val="00DE02EB"/>
    <w:rsid w:val="00DE69FF"/>
    <w:rsid w:val="00DF7134"/>
    <w:rsid w:val="00E17582"/>
    <w:rsid w:val="00E401B1"/>
    <w:rsid w:val="00E459C2"/>
    <w:rsid w:val="00EA26A6"/>
    <w:rsid w:val="00EA7967"/>
    <w:rsid w:val="00EC0538"/>
    <w:rsid w:val="00EC7A76"/>
    <w:rsid w:val="00ED38FD"/>
    <w:rsid w:val="00EE56D2"/>
    <w:rsid w:val="00EE56F9"/>
    <w:rsid w:val="00EF1D15"/>
    <w:rsid w:val="00F03619"/>
    <w:rsid w:val="00F10F43"/>
    <w:rsid w:val="00F41E59"/>
    <w:rsid w:val="00F72FDE"/>
    <w:rsid w:val="00F92C74"/>
    <w:rsid w:val="00FB26A8"/>
    <w:rsid w:val="00FB4419"/>
    <w:rsid w:val="00FC00BD"/>
    <w:rsid w:val="00FC0DE3"/>
    <w:rsid w:val="00FD056F"/>
    <w:rsid w:val="00FD4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4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80"/>
      <w:outlineLvl w:val="0"/>
    </w:pPr>
    <w:rPr>
      <w:rFonts w:ascii="Arial Narrow" w:eastAsia="Arial Narrow" w:hAnsi="Arial Narrow" w:cs="Arial Narrow"/>
      <w:b/>
      <w:bCs/>
    </w:rPr>
  </w:style>
  <w:style w:type="paragraph" w:styleId="Heading2">
    <w:name w:val="heading 2"/>
    <w:basedOn w:val="Normal"/>
    <w:uiPriority w:val="9"/>
    <w:unhideWhenUsed/>
    <w:qFormat/>
    <w:pPr>
      <w:spacing w:before="79"/>
      <w:outlineLvl w:val="1"/>
    </w:pPr>
    <w:rPr>
      <w:rFonts w:ascii="Arial Narrow" w:eastAsia="Arial Narrow" w:hAnsi="Arial Narrow" w:cs="Arial Narrow"/>
      <w:b/>
      <w:bCs/>
      <w:sz w:val="20"/>
      <w:szCs w:val="20"/>
    </w:rPr>
  </w:style>
  <w:style w:type="paragraph" w:styleId="Heading3">
    <w:name w:val="heading 3"/>
    <w:basedOn w:val="Normal"/>
    <w:uiPriority w:val="9"/>
    <w:unhideWhenUsed/>
    <w:qFormat/>
    <w:pPr>
      <w:ind w:left="1224" w:hanging="458"/>
      <w:outlineLvl w:val="2"/>
    </w:pPr>
    <w:rPr>
      <w:b/>
      <w:bCs/>
      <w:i/>
      <w:iCs/>
      <w:sz w:val="20"/>
      <w:szCs w:val="20"/>
    </w:rPr>
  </w:style>
  <w:style w:type="paragraph" w:styleId="Heading4">
    <w:name w:val="heading 4"/>
    <w:basedOn w:val="Normal"/>
    <w:uiPriority w:val="9"/>
    <w:unhideWhenUsed/>
    <w:qFormat/>
    <w:pPr>
      <w:spacing w:line="439" w:lineRule="exact"/>
      <w:ind w:left="680"/>
      <w:outlineLvl w:val="3"/>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57"/>
      <w:ind w:left="105" w:right="1258"/>
    </w:pPr>
    <w:rPr>
      <w:rFonts w:ascii="Calibri" w:eastAsia="Calibri" w:hAnsi="Calibri" w:cs="Calibri"/>
      <w:b/>
      <w:bCs/>
      <w:sz w:val="60"/>
      <w:szCs w:val="60"/>
    </w:rPr>
  </w:style>
  <w:style w:type="paragraph" w:styleId="ListParagraph">
    <w:name w:val="List Paragraph"/>
    <w:basedOn w:val="Normal"/>
    <w:uiPriority w:val="1"/>
    <w:qFormat/>
    <w:pPr>
      <w:ind w:left="68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8352E"/>
    <w:pPr>
      <w:tabs>
        <w:tab w:val="center" w:pos="4513"/>
        <w:tab w:val="right" w:pos="9026"/>
      </w:tabs>
    </w:pPr>
  </w:style>
  <w:style w:type="character" w:customStyle="1" w:styleId="HeaderChar">
    <w:name w:val="Header Char"/>
    <w:basedOn w:val="DefaultParagraphFont"/>
    <w:link w:val="Header"/>
    <w:uiPriority w:val="99"/>
    <w:rsid w:val="0068352E"/>
    <w:rPr>
      <w:rFonts w:ascii="Arial" w:eastAsia="Arial" w:hAnsi="Arial" w:cs="Arial"/>
    </w:rPr>
  </w:style>
  <w:style w:type="paragraph" w:styleId="Footer">
    <w:name w:val="footer"/>
    <w:basedOn w:val="Normal"/>
    <w:link w:val="FooterChar"/>
    <w:unhideWhenUsed/>
    <w:rsid w:val="0068352E"/>
    <w:pPr>
      <w:tabs>
        <w:tab w:val="center" w:pos="4513"/>
        <w:tab w:val="right" w:pos="9026"/>
      </w:tabs>
    </w:pPr>
  </w:style>
  <w:style w:type="character" w:customStyle="1" w:styleId="FooterChar">
    <w:name w:val="Footer Char"/>
    <w:basedOn w:val="DefaultParagraphFont"/>
    <w:link w:val="Footer"/>
    <w:uiPriority w:val="99"/>
    <w:rsid w:val="0068352E"/>
    <w:rPr>
      <w:rFonts w:ascii="Arial" w:eastAsia="Arial" w:hAnsi="Arial" w:cs="Arial"/>
    </w:rPr>
  </w:style>
  <w:style w:type="paragraph" w:styleId="FootnoteText">
    <w:name w:val="footnote text"/>
    <w:basedOn w:val="Normal"/>
    <w:link w:val="FootnoteTextChar"/>
    <w:uiPriority w:val="99"/>
    <w:semiHidden/>
    <w:unhideWhenUsed/>
    <w:rsid w:val="00B060C8"/>
    <w:rPr>
      <w:sz w:val="20"/>
      <w:szCs w:val="20"/>
    </w:rPr>
  </w:style>
  <w:style w:type="character" w:customStyle="1" w:styleId="FootnoteTextChar">
    <w:name w:val="Footnote Text Char"/>
    <w:basedOn w:val="DefaultParagraphFont"/>
    <w:link w:val="FootnoteText"/>
    <w:uiPriority w:val="99"/>
    <w:semiHidden/>
    <w:rsid w:val="00B060C8"/>
    <w:rPr>
      <w:rFonts w:ascii="Arial" w:eastAsia="Arial" w:hAnsi="Arial" w:cs="Arial"/>
      <w:sz w:val="20"/>
      <w:szCs w:val="20"/>
    </w:rPr>
  </w:style>
  <w:style w:type="character" w:styleId="FootnoteReference">
    <w:name w:val="footnote reference"/>
    <w:basedOn w:val="DefaultParagraphFont"/>
    <w:uiPriority w:val="99"/>
    <w:semiHidden/>
    <w:unhideWhenUsed/>
    <w:rsid w:val="00B060C8"/>
    <w:rPr>
      <w:vertAlign w:val="superscript"/>
    </w:rPr>
  </w:style>
  <w:style w:type="table" w:styleId="TableGrid">
    <w:name w:val="Table Grid"/>
    <w:basedOn w:val="TableNormal"/>
    <w:uiPriority w:val="39"/>
    <w:rsid w:val="00722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0B78"/>
    <w:rPr>
      <w:color w:val="0000FF" w:themeColor="hyperlink"/>
      <w:u w:val="single"/>
    </w:rPr>
  </w:style>
  <w:style w:type="character" w:styleId="UnresolvedMention">
    <w:name w:val="Unresolved Mention"/>
    <w:basedOn w:val="DefaultParagraphFont"/>
    <w:uiPriority w:val="99"/>
    <w:semiHidden/>
    <w:unhideWhenUsed/>
    <w:rsid w:val="000C0B78"/>
    <w:rPr>
      <w:color w:val="605E5C"/>
      <w:shd w:val="clear" w:color="auto" w:fill="E1DFDD"/>
    </w:rPr>
  </w:style>
  <w:style w:type="character" w:styleId="PageNumber">
    <w:name w:val="page number"/>
    <w:basedOn w:val="DefaultParagraphFont"/>
    <w:semiHidden/>
    <w:rsid w:val="00101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0.png"/><Relationship Id="rId21" Type="http://schemas.openxmlformats.org/officeDocument/2006/relationships/image" Target="media/image11.png"/><Relationship Id="rId34" Type="http://schemas.openxmlformats.org/officeDocument/2006/relationships/header" Target="header4.xml"/><Relationship Id="rId42" Type="http://schemas.openxmlformats.org/officeDocument/2006/relationships/header" Target="header5.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3.xm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footer" Target="footer5.xm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4.xml"/><Relationship Id="rId38" Type="http://schemas.openxmlformats.org/officeDocument/2006/relationships/image" Target="media/image19.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E810F-11F9-44A1-B541-AE58234762AF}">
  <ds:schemaRefs>
    <ds:schemaRef ds:uri="http://schemas.openxmlformats.org/officeDocument/2006/bibliography"/>
  </ds:schemaRefs>
</ds:datastoreItem>
</file>

<file path=customXml/itemProps2.xml><?xml version="1.0" encoding="utf-8"?>
<ds:datastoreItem xmlns:ds="http://schemas.openxmlformats.org/officeDocument/2006/customXml" ds:itemID="{83D452ED-3C2F-493E-A109-05A8099DE8B6}">
  <ds:schemaRefs>
    <ds:schemaRef ds:uri="http://schemas.microsoft.com/sharepoint/v3/contenttype/forms"/>
  </ds:schemaRefs>
</ds:datastoreItem>
</file>

<file path=customXml/itemProps3.xml><?xml version="1.0" encoding="utf-8"?>
<ds:datastoreItem xmlns:ds="http://schemas.openxmlformats.org/officeDocument/2006/customXml" ds:itemID="{FC7BC2D0-F30F-4DA1-9860-6475E2EAFF2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6311763-AC1E-44A2-92A9-12527B83EB9B}"/>
</file>

<file path=docProps/app.xml><?xml version="1.0" encoding="utf-8"?>
<Properties xmlns="http://schemas.openxmlformats.org/officeDocument/2006/extended-properties" xmlns:vt="http://schemas.openxmlformats.org/officeDocument/2006/docPropsVTypes">
  <Template>Normal</Template>
  <TotalTime>0</TotalTime>
  <Pages>61</Pages>
  <Words>20495</Words>
  <Characters>116822</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2025-04-01T07:49:00Z</dcterms:created>
  <dcterms:modified xsi:type="dcterms:W3CDTF">2025-06-18T11:14:00Z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