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384C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775487A3" wp14:editId="00E477F9">
            <wp:extent cx="1256330" cy="393763"/>
            <wp:effectExtent l="0" t="0" r="0" b="0"/>
            <wp:docPr id="3" name="Image 3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330" cy="39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E7813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4BD16125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3A88A607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27562F5D" w14:textId="77777777" w:rsidR="004567ED" w:rsidRPr="00B1511D" w:rsidRDefault="004567ED" w:rsidP="003D2189">
      <w:pPr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i/>
          <w:iCs/>
          <w:sz w:val="24"/>
        </w:rPr>
        <w:t>ED</w:t>
      </w:r>
      <w:r>
        <w:rPr>
          <w:rFonts w:ascii="Times New Roman" w:hAnsi="Times New Roman"/>
          <w:b/>
          <w:sz w:val="24"/>
        </w:rPr>
        <w:t xml:space="preserve"> Lēmuma 2025/002/R VI pielikums</w:t>
      </w:r>
    </w:p>
    <w:p w14:paraId="3063CDF1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b/>
          <w:noProof/>
          <w:sz w:val="24"/>
        </w:rPr>
      </w:pPr>
    </w:p>
    <w:p w14:paraId="7FE05124" w14:textId="77777777" w:rsidR="004567ED" w:rsidRPr="00B1511D" w:rsidRDefault="004567ED" w:rsidP="003D2189">
      <w:pPr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“</w:t>
      </w:r>
      <w:r>
        <w:rPr>
          <w:rFonts w:ascii="Times New Roman" w:hAnsi="Times New Roman"/>
          <w:b/>
          <w:i/>
          <w:iCs/>
          <w:sz w:val="24"/>
        </w:rPr>
        <w:t>AMC</w:t>
      </w:r>
      <w:r>
        <w:rPr>
          <w:rFonts w:ascii="Times New Roman" w:hAnsi="Times New Roman"/>
          <w:b/>
          <w:sz w:val="24"/>
        </w:rPr>
        <w:t xml:space="preserve"> un </w:t>
      </w:r>
      <w:r>
        <w:rPr>
          <w:rFonts w:ascii="Times New Roman" w:hAnsi="Times New Roman"/>
          <w:b/>
          <w:i/>
          <w:iCs/>
          <w:sz w:val="24"/>
        </w:rPr>
        <w:t>GM</w:t>
      </w:r>
      <w:r>
        <w:rPr>
          <w:rFonts w:ascii="Times New Roman" w:hAnsi="Times New Roman"/>
          <w:b/>
          <w:sz w:val="24"/>
        </w:rPr>
        <w:t xml:space="preserve"> par </w:t>
      </w:r>
      <w:r>
        <w:rPr>
          <w:rFonts w:ascii="Times New Roman" w:hAnsi="Times New Roman"/>
          <w:b/>
          <w:i/>
          <w:iCs/>
          <w:sz w:val="24"/>
        </w:rPr>
        <w:t>DTO</w:t>
      </w:r>
      <w:r>
        <w:rPr>
          <w:rFonts w:ascii="Times New Roman" w:hAnsi="Times New Roman"/>
          <w:b/>
          <w:sz w:val="24"/>
        </w:rPr>
        <w:t> daļu. 1. izdevums, 2. grozījums”</w:t>
      </w:r>
    </w:p>
    <w:p w14:paraId="5B95D3ED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b/>
          <w:noProof/>
          <w:sz w:val="24"/>
        </w:rPr>
      </w:pPr>
    </w:p>
    <w:p w14:paraId="1DF0230F" w14:textId="77777777" w:rsidR="004567E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Grozījuma teksts ir izkārtots tā, lai parādītu gan svītroto tekstu, gan jauno un neizmainīto tekstu:</w:t>
      </w:r>
    </w:p>
    <w:p w14:paraId="133535D6" w14:textId="77777777" w:rsidR="003D2189" w:rsidRPr="00B1511D" w:rsidRDefault="003D2189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207DC8DF" w14:textId="77777777" w:rsidR="004567ED" w:rsidRDefault="004567ED" w:rsidP="00B1511D">
      <w:pPr>
        <w:pStyle w:val="ListParagraph"/>
        <w:numPr>
          <w:ilvl w:val="0"/>
          <w:numId w:val="1"/>
        </w:numPr>
        <w:tabs>
          <w:tab w:val="left" w:pos="707"/>
        </w:tabs>
        <w:spacing w:before="0"/>
        <w:ind w:left="0" w:firstLine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svītrotais teksts ir </w:t>
      </w:r>
      <w:r>
        <w:rPr>
          <w:rFonts w:ascii="Times New Roman" w:hAnsi="Times New Roman"/>
          <w:strike/>
          <w:color w:val="FF0000"/>
          <w:sz w:val="24"/>
        </w:rPr>
        <w:t>pārsvītrots</w:t>
      </w:r>
      <w:r>
        <w:rPr>
          <w:rFonts w:ascii="Times New Roman" w:hAnsi="Times New Roman"/>
          <w:sz w:val="24"/>
        </w:rPr>
        <w:t>;</w:t>
      </w:r>
    </w:p>
    <w:p w14:paraId="607505FB" w14:textId="77777777" w:rsidR="003D2189" w:rsidRPr="00B1511D" w:rsidRDefault="003D2189" w:rsidP="003D2189">
      <w:pPr>
        <w:pStyle w:val="ListParagraph"/>
        <w:tabs>
          <w:tab w:val="left" w:pos="707"/>
        </w:tabs>
        <w:spacing w:before="0"/>
        <w:ind w:left="0" w:firstLine="0"/>
        <w:jc w:val="both"/>
        <w:rPr>
          <w:rFonts w:ascii="Times New Roman" w:hAnsi="Times New Roman"/>
          <w:noProof/>
          <w:sz w:val="24"/>
        </w:rPr>
      </w:pPr>
    </w:p>
    <w:p w14:paraId="148FE55C" w14:textId="77777777" w:rsidR="004567ED" w:rsidRPr="003D2189" w:rsidRDefault="004567ED" w:rsidP="00B1511D">
      <w:pPr>
        <w:pStyle w:val="ListParagraph"/>
        <w:numPr>
          <w:ilvl w:val="0"/>
          <w:numId w:val="1"/>
        </w:numPr>
        <w:tabs>
          <w:tab w:val="left" w:pos="707"/>
        </w:tabs>
        <w:spacing w:before="0"/>
        <w:ind w:left="0" w:firstLine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jaunais vai grozītais teksts ir iekrāsots </w:t>
      </w:r>
      <w:r>
        <w:rPr>
          <w:rFonts w:ascii="Times New Roman" w:hAnsi="Times New Roman"/>
          <w:sz w:val="24"/>
          <w:highlight w:val="cyan"/>
        </w:rPr>
        <w:t>zilā</w:t>
      </w:r>
      <w:r>
        <w:rPr>
          <w:rFonts w:ascii="Times New Roman" w:hAnsi="Times New Roman"/>
          <w:sz w:val="24"/>
        </w:rPr>
        <w:t xml:space="preserve"> krāsā;</w:t>
      </w:r>
    </w:p>
    <w:p w14:paraId="5AE02353" w14:textId="77777777" w:rsidR="003D2189" w:rsidRPr="00B1511D" w:rsidRDefault="003D2189" w:rsidP="003D2189">
      <w:pPr>
        <w:pStyle w:val="ListParagraph"/>
        <w:tabs>
          <w:tab w:val="left" w:pos="707"/>
        </w:tabs>
        <w:spacing w:before="0"/>
        <w:ind w:left="0" w:firstLine="0"/>
        <w:jc w:val="both"/>
        <w:rPr>
          <w:rFonts w:ascii="Times New Roman" w:hAnsi="Times New Roman"/>
          <w:noProof/>
          <w:sz w:val="24"/>
        </w:rPr>
      </w:pPr>
    </w:p>
    <w:p w14:paraId="6F5EC5CC" w14:textId="77777777" w:rsidR="004567ED" w:rsidRPr="00B1511D" w:rsidRDefault="004567ED" w:rsidP="00B1511D">
      <w:pPr>
        <w:pStyle w:val="ListParagraph"/>
        <w:numPr>
          <w:ilvl w:val="0"/>
          <w:numId w:val="1"/>
        </w:numPr>
        <w:tabs>
          <w:tab w:val="left" w:pos="707"/>
        </w:tabs>
        <w:spacing w:before="0"/>
        <w:ind w:left="0" w:firstLine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divpunkte “(..)” norāda, ka pārējais teksts nav grozīts.</w:t>
      </w:r>
    </w:p>
    <w:p w14:paraId="21D718F9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53E5D7A8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338F21A6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150A9A13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52C58A4A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7F572C58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4E4D28A6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011D4BBD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5BEF468F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0572BEEF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1E1393BE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7017AD59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57621A8E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69A190BA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763A12EC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2CF4E265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499DFD81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4D131C46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71307E2C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6C654888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049C6EA3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004D25FB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2AB6BB97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3F476C8B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321BECCF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3ED1E9A9" w14:textId="77777777" w:rsidR="004567E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15FDD9A8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4693ACAA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2A53DD29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6E583AD8" w14:textId="77777777" w:rsidR="004567ED" w:rsidRDefault="004567ED" w:rsidP="00B1511D">
      <w:pPr>
        <w:jc w:val="both"/>
        <w:rPr>
          <w:rFonts w:ascii="Times New Roman" w:hAnsi="Times New Roman"/>
          <w:b/>
          <w:i/>
          <w:noProof/>
          <w:szCs w:val="20"/>
        </w:rPr>
      </w:pPr>
      <w:r>
        <w:rPr>
          <w:rFonts w:ascii="Times New Roman" w:hAnsi="Times New Roman"/>
          <w:b/>
          <w:i/>
        </w:rPr>
        <w:t>Piezīme lasītājam</w:t>
      </w:r>
    </w:p>
    <w:p w14:paraId="1BB18282" w14:textId="77777777" w:rsidR="00E823F1" w:rsidRPr="00E823F1" w:rsidRDefault="00E823F1" w:rsidP="00B1511D">
      <w:pPr>
        <w:jc w:val="both"/>
        <w:rPr>
          <w:rFonts w:ascii="Times New Roman" w:hAnsi="Times New Roman"/>
          <w:b/>
          <w:i/>
          <w:noProof/>
          <w:szCs w:val="20"/>
        </w:rPr>
      </w:pPr>
    </w:p>
    <w:p w14:paraId="7F65B930" w14:textId="4314EC1A" w:rsidR="00D77240" w:rsidRDefault="004567ED" w:rsidP="00D77240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Grozītajā un jo īpaši esošajā (tas ir, nemainītajā) tekstā termins </w:t>
      </w:r>
      <w:r>
        <w:rPr>
          <w:rFonts w:ascii="Times New Roman" w:hAnsi="Times New Roman"/>
        </w:rPr>
        <w:t xml:space="preserve">“aģentūra” </w:t>
      </w:r>
      <w:r>
        <w:rPr>
          <w:rFonts w:ascii="Times New Roman" w:hAnsi="Times New Roman"/>
          <w:i/>
        </w:rPr>
        <w:t xml:space="preserve">tiek lietots pamīšus terminam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i/>
          <w:iCs/>
        </w:rPr>
        <w:t>EASA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  <w:i/>
        </w:rPr>
        <w:t xml:space="preserve">. Šo abu terminu pamīšais lietojums ir izteiktāks konsolidētajās redakcijās. Tāpēc ņemiet vērā, ka abi termini attiecas uz </w:t>
      </w:r>
      <w:r>
        <w:rPr>
          <w:rFonts w:ascii="Times New Roman" w:hAnsi="Times New Roman"/>
        </w:rPr>
        <w:t>“Eiropas Aviācijas drošības aģentūru (</w:t>
      </w:r>
      <w:r>
        <w:rPr>
          <w:rFonts w:ascii="Times New Roman" w:hAnsi="Times New Roman"/>
          <w:i/>
          <w:iCs/>
        </w:rPr>
        <w:t>EASA</w:t>
      </w:r>
      <w:r>
        <w:rPr>
          <w:rFonts w:ascii="Times New Roman" w:hAnsi="Times New Roman"/>
        </w:rPr>
        <w:t>)”</w:t>
      </w:r>
      <w:r>
        <w:rPr>
          <w:rFonts w:ascii="Times New Roman" w:hAnsi="Times New Roman"/>
          <w:i/>
        </w:rPr>
        <w:t>.</w:t>
      </w:r>
      <w:r w:rsidR="00D77240">
        <w:rPr>
          <w:rFonts w:ascii="Times New Roman" w:hAnsi="Times New Roman"/>
          <w:i/>
        </w:rPr>
        <w:br w:type="page"/>
      </w:r>
    </w:p>
    <w:p w14:paraId="193FA380" w14:textId="77777777" w:rsidR="004567E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lastRenderedPageBreak/>
        <w:t>Aģentūras izpilddirektora 2018. gada 14. septembra Lēmuma 2018/009/R I pielikumu groza, kā norādīts turpmāk.</w:t>
      </w:r>
    </w:p>
    <w:p w14:paraId="53217EB0" w14:textId="77777777" w:rsidR="00CB147A" w:rsidRPr="00B1511D" w:rsidRDefault="00CB147A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39701A8D" w14:textId="77777777" w:rsidR="004567E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1"/>
      </w:tblGrid>
      <w:tr w:rsidR="00D47710" w14:paraId="6D362BE5" w14:textId="77777777" w:rsidTr="00193AF2">
        <w:tc>
          <w:tcPr>
            <w:tcW w:w="5000" w:type="pct"/>
            <w:shd w:val="clear" w:color="auto" w:fill="FFC000"/>
          </w:tcPr>
          <w:p w14:paraId="267EE579" w14:textId="5322B67F" w:rsidR="00D47710" w:rsidRPr="00D47710" w:rsidRDefault="00D47710" w:rsidP="00B1511D">
            <w:pPr>
              <w:pStyle w:val="BodyText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bookmarkStart w:id="0" w:name="_Hlk199924725"/>
            <w:r>
              <w:rPr>
                <w:rFonts w:ascii="Times New Roman" w:hAnsi="Times New Roman"/>
                <w:b/>
                <w:color w:val="FFFFFF" w:themeColor="background1"/>
                <w:sz w:val="28"/>
              </w:rPr>
              <w:t>AMC1 par DTO.GEN.210. punkta “Prasības personālam” a) apakšpunkta 1. daļas ii) punktu</w:t>
            </w:r>
          </w:p>
        </w:tc>
      </w:tr>
      <w:bookmarkEnd w:id="0"/>
    </w:tbl>
    <w:p w14:paraId="1C365F8C" w14:textId="77777777" w:rsidR="00D47710" w:rsidRDefault="00D47710" w:rsidP="00B1511D">
      <w:pPr>
        <w:jc w:val="both"/>
        <w:rPr>
          <w:rFonts w:ascii="Times New Roman" w:hAnsi="Times New Roman"/>
          <w:noProof/>
          <w:sz w:val="24"/>
        </w:rPr>
      </w:pPr>
    </w:p>
    <w:p w14:paraId="41956ADE" w14:textId="64D00AAC" w:rsidR="004567ED" w:rsidRDefault="004567ED" w:rsidP="00B1511D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(..)</w:t>
      </w:r>
    </w:p>
    <w:p w14:paraId="25983867" w14:textId="77777777" w:rsidR="00D47710" w:rsidRPr="00B1511D" w:rsidRDefault="00D47710" w:rsidP="00B1511D">
      <w:pPr>
        <w:jc w:val="both"/>
        <w:rPr>
          <w:rFonts w:ascii="Times New Roman" w:hAnsi="Times New Roman"/>
          <w:noProof/>
          <w:sz w:val="24"/>
        </w:rPr>
      </w:pPr>
    </w:p>
    <w:p w14:paraId="1C319CBE" w14:textId="2F114CB1" w:rsidR="004567ED" w:rsidRPr="00B1511D" w:rsidRDefault="00193AF2" w:rsidP="00193AF2">
      <w:pPr>
        <w:pStyle w:val="BodyText"/>
        <w:tabs>
          <w:tab w:val="left" w:pos="707"/>
        </w:tabs>
        <w:ind w:left="426" w:hanging="426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sz w:val="24"/>
        </w:rPr>
        <w:t>b) Droš</w:t>
      </w:r>
      <w:r w:rsidR="00537BFA">
        <w:rPr>
          <w:rFonts w:ascii="Times New Roman" w:hAnsi="Times New Roman"/>
          <w:sz w:val="24"/>
        </w:rPr>
        <w:t>uma</w:t>
      </w:r>
      <w:r>
        <w:rPr>
          <w:rFonts w:ascii="Times New Roman" w:hAnsi="Times New Roman"/>
          <w:sz w:val="24"/>
        </w:rPr>
        <w:t xml:space="preserve"> politikā ir papildus jāiekļauj procedūras, kas ir nepieciešamas ziņošanai par atgadījumiem saskaņā ar Regulu (ES) Nr. 376/2014 (</w:t>
      </w:r>
      <w:r>
        <w:rPr>
          <w:rFonts w:ascii="Times New Roman" w:hAnsi="Times New Roman"/>
          <w:strike/>
          <w:color w:val="FF0000"/>
          <w:sz w:val="24"/>
        </w:rPr>
        <w:t xml:space="preserve">sal. </w:t>
      </w:r>
      <w:r>
        <w:rPr>
          <w:rFonts w:ascii="Times New Roman" w:hAnsi="Times New Roman"/>
          <w:color w:val="000000"/>
          <w:sz w:val="24"/>
          <w:highlight w:val="cyan"/>
        </w:rPr>
        <w:t>skat.</w:t>
      </w:r>
      <w:r>
        <w:rPr>
          <w:rFonts w:ascii="Times New Roman" w:hAnsi="Times New Roman"/>
          <w:color w:val="000000"/>
          <w:sz w:val="24"/>
        </w:rPr>
        <w:t xml:space="preserve"> GM1 par DTO.GEN.210. punkta a) apakšpunkta </w:t>
      </w:r>
      <w:r>
        <w:rPr>
          <w:rFonts w:ascii="Times New Roman" w:hAnsi="Times New Roman"/>
          <w:color w:val="000000"/>
          <w:sz w:val="24"/>
          <w:highlight w:val="cyan"/>
        </w:rPr>
        <w:t>1. daļas i) punktu</w:t>
      </w:r>
      <w:r>
        <w:rPr>
          <w:rFonts w:ascii="Times New Roman" w:hAnsi="Times New Roman"/>
          <w:color w:val="000000"/>
          <w:sz w:val="24"/>
        </w:rPr>
        <w:t>).</w:t>
      </w:r>
    </w:p>
    <w:p w14:paraId="3656F38D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color w:val="000000"/>
          <w:sz w:val="24"/>
        </w:rPr>
      </w:pPr>
    </w:p>
    <w:tbl>
      <w:tblPr>
        <w:tblW w:w="0" w:type="auto"/>
        <w:tblInd w:w="7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05"/>
        <w:gridCol w:w="4244"/>
      </w:tblGrid>
      <w:tr w:rsidR="004567ED" w:rsidRPr="00B1511D" w14:paraId="57208F4C" w14:textId="77777777" w:rsidTr="00193AF2">
        <w:trPr>
          <w:trHeight w:val="52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</w:tcPr>
          <w:p w14:paraId="40CA297C" w14:textId="77777777" w:rsidR="004567ED" w:rsidRPr="00B1511D" w:rsidRDefault="004567ED" w:rsidP="00193AF2">
            <w:pPr>
              <w:pStyle w:val="TableParagraph"/>
              <w:spacing w:before="0"/>
              <w:ind w:left="113"/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Pamatojums</w:t>
            </w:r>
          </w:p>
        </w:tc>
        <w:tc>
          <w:tcPr>
            <w:tcW w:w="4244" w:type="dxa"/>
            <w:tcBorders>
              <w:top w:val="single" w:sz="4" w:space="0" w:color="000000"/>
              <w:right w:val="single" w:sz="4" w:space="0" w:color="000000"/>
            </w:tcBorders>
          </w:tcPr>
          <w:p w14:paraId="26A65BE8" w14:textId="77777777" w:rsidR="004567ED" w:rsidRPr="00B1511D" w:rsidRDefault="004567ED" w:rsidP="00193AF2">
            <w:pPr>
              <w:pStyle w:val="TableParagraph"/>
              <w:spacing w:before="0"/>
              <w:ind w:left="2590"/>
              <w:jc w:val="both"/>
              <w:rPr>
                <w:rFonts w:ascii="Times New Roman" w:hAnsi="Times New Roman"/>
                <w:i/>
                <w:noProof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RMT.0587</w:t>
            </w:r>
          </w:p>
        </w:tc>
      </w:tr>
      <w:tr w:rsidR="004567ED" w:rsidRPr="00B1511D" w14:paraId="14F92482" w14:textId="77777777" w:rsidTr="00193AF2">
        <w:trPr>
          <w:trHeight w:val="520"/>
        </w:trPr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</w:tcPr>
          <w:p w14:paraId="17264368" w14:textId="77777777" w:rsidR="004567ED" w:rsidRPr="00B1511D" w:rsidRDefault="004567ED" w:rsidP="00193AF2">
            <w:pPr>
              <w:pStyle w:val="TableParagraph"/>
              <w:spacing w:before="0"/>
              <w:ind w:left="113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Labojumi atsaucē.</w:t>
            </w:r>
          </w:p>
        </w:tc>
        <w:tc>
          <w:tcPr>
            <w:tcW w:w="4244" w:type="dxa"/>
            <w:tcBorders>
              <w:bottom w:val="single" w:sz="4" w:space="0" w:color="000000"/>
              <w:right w:val="single" w:sz="4" w:space="0" w:color="000000"/>
            </w:tcBorders>
          </w:tcPr>
          <w:p w14:paraId="31F4BCBB" w14:textId="77777777" w:rsidR="004567ED" w:rsidRPr="00B1511D" w:rsidRDefault="004567ED" w:rsidP="00193AF2">
            <w:pPr>
              <w:pStyle w:val="TableParagraph"/>
              <w:spacing w:before="0"/>
              <w:ind w:left="113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</w:tr>
    </w:tbl>
    <w:p w14:paraId="34FA4926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1"/>
      </w:tblGrid>
      <w:tr w:rsidR="00193AF2" w14:paraId="22A6F683" w14:textId="77777777" w:rsidTr="00193AF2">
        <w:tc>
          <w:tcPr>
            <w:tcW w:w="5000" w:type="pct"/>
            <w:shd w:val="clear" w:color="auto" w:fill="00B050"/>
          </w:tcPr>
          <w:p w14:paraId="0ED52988" w14:textId="6E782192" w:rsidR="00193AF2" w:rsidRPr="00D47710" w:rsidRDefault="00DE5166" w:rsidP="00DE5166">
            <w:pPr>
              <w:pStyle w:val="BodyText"/>
              <w:rPr>
                <w:rFonts w:ascii="Times New Roman" w:hAnsi="Times New Roman"/>
                <w:b/>
                <w:bCs/>
                <w:noProof/>
                <w:sz w:val="24"/>
              </w:rPr>
            </w:pPr>
            <w:bookmarkStart w:id="1" w:name="_Hlk199924996"/>
            <w:r>
              <w:rPr>
                <w:rFonts w:ascii="Times New Roman" w:hAnsi="Times New Roman"/>
                <w:b/>
                <w:color w:val="FFFFFF" w:themeColor="background1"/>
                <w:sz w:val="28"/>
              </w:rPr>
              <w:t>GM1 par DTO.GEN.210. punkta “Prasības personālam” a) apakšpunkta 2) daļu</w:t>
            </w:r>
          </w:p>
        </w:tc>
      </w:tr>
      <w:bookmarkEnd w:id="1"/>
    </w:tbl>
    <w:p w14:paraId="00D4F9F2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692C1A8D" w14:textId="77777777" w:rsidR="004567ED" w:rsidRDefault="004567ED" w:rsidP="00B1511D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(..)</w:t>
      </w:r>
    </w:p>
    <w:p w14:paraId="689AE478" w14:textId="77777777" w:rsidR="003507A6" w:rsidRPr="00B1511D" w:rsidRDefault="003507A6" w:rsidP="00B1511D">
      <w:pPr>
        <w:jc w:val="both"/>
        <w:rPr>
          <w:rFonts w:ascii="Times New Roman" w:hAnsi="Times New Roman"/>
          <w:noProof/>
          <w:sz w:val="24"/>
        </w:rPr>
      </w:pPr>
    </w:p>
    <w:p w14:paraId="5C0394E1" w14:textId="65410343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sz w:val="24"/>
        </w:rPr>
        <w:t>Saskaņā ar AMC</w:t>
      </w:r>
      <w:r>
        <w:rPr>
          <w:rFonts w:ascii="Times New Roman" w:hAnsi="Times New Roman"/>
          <w:strike/>
          <w:color w:val="FF0000"/>
          <w:sz w:val="24"/>
        </w:rPr>
        <w:t>2</w:t>
      </w:r>
      <w:r>
        <w:rPr>
          <w:rFonts w:ascii="Times New Roman" w:hAnsi="Times New Roman"/>
          <w:color w:val="000000"/>
          <w:sz w:val="24"/>
          <w:highlight w:val="cyan"/>
        </w:rPr>
        <w:t>1</w:t>
      </w:r>
      <w:r>
        <w:rPr>
          <w:rFonts w:ascii="Times New Roman" w:hAnsi="Times New Roman"/>
          <w:color w:val="000000"/>
          <w:sz w:val="24"/>
        </w:rPr>
        <w:t xml:space="preserve"> par DTO.GEN.210. punkta a) apakšpunkta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trike/>
          <w:color w:val="FF0000"/>
          <w:sz w:val="24"/>
        </w:rPr>
        <w:t>1.</w:t>
      </w:r>
      <w:r>
        <w:rPr>
          <w:rFonts w:ascii="Times New Roman" w:hAnsi="Times New Roman"/>
          <w:color w:val="000000"/>
          <w:sz w:val="24"/>
          <w:highlight w:val="cyan"/>
        </w:rPr>
        <w:t>2.</w:t>
      </w:r>
      <w:r>
        <w:rPr>
          <w:rFonts w:ascii="Times New Roman" w:hAnsi="Times New Roman"/>
          <w:color w:val="000000"/>
          <w:sz w:val="24"/>
        </w:rPr>
        <w:t> daļu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a) punkta 1. apakšpunktu “pietiekama pieredze” nozīmē to, ka </w:t>
      </w:r>
      <w:r>
        <w:rPr>
          <w:rFonts w:ascii="Times New Roman" w:hAnsi="Times New Roman"/>
          <w:i/>
          <w:iCs/>
          <w:color w:val="000000"/>
          <w:sz w:val="24"/>
        </w:rPr>
        <w:t>HT</w:t>
      </w:r>
      <w:r>
        <w:rPr>
          <w:rFonts w:ascii="Times New Roman" w:hAnsi="Times New Roman"/>
          <w:color w:val="000000"/>
          <w:sz w:val="24"/>
        </w:rPr>
        <w:t xml:space="preserve"> ir jābūt ieguvušam nepieciešamo instruktora pieredzi, lai viņš būtu tiesīgs vadīt konkrēto mācību pasākumu attiecīgajā </w:t>
      </w:r>
      <w:r>
        <w:rPr>
          <w:rFonts w:ascii="Times New Roman" w:hAnsi="Times New Roman"/>
          <w:i/>
          <w:iCs/>
          <w:color w:val="000000"/>
          <w:sz w:val="24"/>
        </w:rPr>
        <w:t>DTO</w:t>
      </w:r>
      <w:r>
        <w:rPr>
          <w:rFonts w:ascii="Times New Roman" w:hAnsi="Times New Roman"/>
          <w:color w:val="000000"/>
          <w:sz w:val="24"/>
        </w:rPr>
        <w:t>. Lai noteiktu nepieciešamo pieredzi, jāapsver šādi faktori:</w:t>
      </w:r>
    </w:p>
    <w:p w14:paraId="10736DC8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color w:val="000000"/>
          <w:sz w:val="24"/>
        </w:rPr>
      </w:pPr>
    </w:p>
    <w:tbl>
      <w:tblPr>
        <w:tblW w:w="0" w:type="auto"/>
        <w:tblInd w:w="7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05"/>
        <w:gridCol w:w="4244"/>
      </w:tblGrid>
      <w:tr w:rsidR="004567ED" w:rsidRPr="00B1511D" w14:paraId="658EB8FB" w14:textId="77777777" w:rsidTr="003507A6">
        <w:trPr>
          <w:trHeight w:val="5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</w:tcPr>
          <w:p w14:paraId="374756AB" w14:textId="77777777" w:rsidR="004567ED" w:rsidRPr="00B1511D" w:rsidRDefault="004567ED" w:rsidP="003507A6">
            <w:pPr>
              <w:pStyle w:val="TableParagraph"/>
              <w:spacing w:before="0"/>
              <w:ind w:left="113"/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Pamatojums</w:t>
            </w:r>
          </w:p>
        </w:tc>
        <w:tc>
          <w:tcPr>
            <w:tcW w:w="4244" w:type="dxa"/>
            <w:tcBorders>
              <w:top w:val="single" w:sz="4" w:space="0" w:color="000000"/>
              <w:right w:val="single" w:sz="4" w:space="0" w:color="000000"/>
            </w:tcBorders>
          </w:tcPr>
          <w:p w14:paraId="46D49CC3" w14:textId="77777777" w:rsidR="004567ED" w:rsidRPr="00B1511D" w:rsidRDefault="004567ED" w:rsidP="003507A6">
            <w:pPr>
              <w:pStyle w:val="TableParagraph"/>
              <w:spacing w:before="0"/>
              <w:ind w:left="2590"/>
              <w:jc w:val="both"/>
              <w:rPr>
                <w:rFonts w:ascii="Times New Roman" w:hAnsi="Times New Roman"/>
                <w:i/>
                <w:noProof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RMT.0587</w:t>
            </w:r>
          </w:p>
        </w:tc>
      </w:tr>
      <w:tr w:rsidR="004567ED" w:rsidRPr="00B1511D" w14:paraId="2DB11597" w14:textId="77777777" w:rsidTr="003507A6">
        <w:trPr>
          <w:trHeight w:val="520"/>
        </w:trPr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</w:tcPr>
          <w:p w14:paraId="2F5B74B6" w14:textId="77777777" w:rsidR="004567ED" w:rsidRPr="00B1511D" w:rsidRDefault="004567ED" w:rsidP="003507A6">
            <w:pPr>
              <w:pStyle w:val="TableParagraph"/>
              <w:spacing w:before="0"/>
              <w:ind w:left="113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Labojumi atsaucē.</w:t>
            </w:r>
          </w:p>
        </w:tc>
        <w:tc>
          <w:tcPr>
            <w:tcW w:w="4244" w:type="dxa"/>
            <w:tcBorders>
              <w:bottom w:val="single" w:sz="4" w:space="0" w:color="000000"/>
              <w:right w:val="single" w:sz="4" w:space="0" w:color="000000"/>
            </w:tcBorders>
          </w:tcPr>
          <w:p w14:paraId="629949CD" w14:textId="77777777" w:rsidR="004567ED" w:rsidRPr="00B1511D" w:rsidRDefault="004567ED" w:rsidP="003507A6">
            <w:pPr>
              <w:pStyle w:val="TableParagraph"/>
              <w:spacing w:before="0"/>
              <w:ind w:left="113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</w:tr>
    </w:tbl>
    <w:p w14:paraId="7D960CB5" w14:textId="77777777" w:rsidR="004567E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1"/>
      </w:tblGrid>
      <w:tr w:rsidR="003507A6" w14:paraId="3B43115C" w14:textId="77777777" w:rsidTr="00581D0D">
        <w:tc>
          <w:tcPr>
            <w:tcW w:w="5000" w:type="pct"/>
            <w:shd w:val="clear" w:color="auto" w:fill="00B050"/>
          </w:tcPr>
          <w:p w14:paraId="5778402E" w14:textId="61920870" w:rsidR="003507A6" w:rsidRPr="003507A6" w:rsidRDefault="003507A6" w:rsidP="00581D0D">
            <w:pPr>
              <w:pStyle w:val="BodyText"/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8"/>
                <w:szCs w:val="24"/>
              </w:rPr>
            </w:pPr>
            <w:bookmarkStart w:id="2" w:name="_Hlk199925196"/>
            <w:r>
              <w:rPr>
                <w:rFonts w:ascii="Times New Roman" w:hAnsi="Times New Roman"/>
                <w:b/>
                <w:color w:val="FFFFFF" w:themeColor="background1"/>
                <w:sz w:val="28"/>
              </w:rPr>
              <w:t>GM1 par DTO.GEN.210. punkta “Prasības personālam” c) apakšpunktu</w:t>
            </w:r>
          </w:p>
        </w:tc>
      </w:tr>
      <w:bookmarkEnd w:id="2"/>
    </w:tbl>
    <w:p w14:paraId="0F7E0DDF" w14:textId="77777777" w:rsidR="003507A6" w:rsidRPr="00B1511D" w:rsidRDefault="003507A6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3FEDFBA6" w14:textId="77777777" w:rsidR="004567ED" w:rsidRDefault="004567ED" w:rsidP="00B1511D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(..)</w:t>
      </w:r>
    </w:p>
    <w:p w14:paraId="22758239" w14:textId="77777777" w:rsidR="00AB3421" w:rsidRPr="00B1511D" w:rsidRDefault="00AB3421" w:rsidP="00B1511D">
      <w:pPr>
        <w:jc w:val="both"/>
        <w:rPr>
          <w:rFonts w:ascii="Times New Roman" w:hAnsi="Times New Roman"/>
          <w:noProof/>
          <w:sz w:val="24"/>
        </w:rPr>
      </w:pPr>
    </w:p>
    <w:p w14:paraId="27DBED45" w14:textId="155A68D2" w:rsidR="004567ED" w:rsidRDefault="004567ED" w:rsidP="00B1511D">
      <w:pPr>
        <w:pStyle w:val="BodyText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Ja pēdējo </w:t>
      </w:r>
      <w:r>
        <w:rPr>
          <w:rFonts w:ascii="Times New Roman" w:hAnsi="Times New Roman"/>
          <w:strike/>
          <w:color w:val="FF0000"/>
          <w:sz w:val="24"/>
        </w:rPr>
        <w:t>5</w:t>
      </w:r>
      <w:r>
        <w:rPr>
          <w:rFonts w:ascii="Times New Roman" w:hAnsi="Times New Roman"/>
          <w:color w:val="000000"/>
          <w:sz w:val="24"/>
          <w:highlight w:val="cyan"/>
        </w:rPr>
        <w:t>3</w:t>
      </w:r>
      <w:r>
        <w:rPr>
          <w:rFonts w:ascii="Times New Roman" w:hAnsi="Times New Roman"/>
          <w:color w:val="000000"/>
          <w:sz w:val="24"/>
        </w:rPr>
        <w:t xml:space="preserve"> gadu laikā pirms šīs personas izvirzīšanas pārstāvja vai </w:t>
      </w:r>
      <w:r>
        <w:rPr>
          <w:rFonts w:ascii="Times New Roman" w:hAnsi="Times New Roman"/>
          <w:i/>
          <w:iCs/>
          <w:color w:val="000000"/>
          <w:sz w:val="24"/>
        </w:rPr>
        <w:t>HT</w:t>
      </w:r>
      <w:r>
        <w:rPr>
          <w:rFonts w:ascii="Times New Roman" w:hAnsi="Times New Roman"/>
          <w:color w:val="000000"/>
          <w:sz w:val="24"/>
        </w:rPr>
        <w:t xml:space="preserve"> amatam deklarācijā saskaņā ar </w:t>
      </w:r>
      <w:r>
        <w:rPr>
          <w:rFonts w:ascii="Times New Roman" w:hAnsi="Times New Roman"/>
          <w:i/>
          <w:iCs/>
          <w:color w:val="000000"/>
          <w:sz w:val="24"/>
        </w:rPr>
        <w:t>DTO</w:t>
      </w:r>
      <w:r>
        <w:rPr>
          <w:rFonts w:ascii="Times New Roman" w:hAnsi="Times New Roman"/>
          <w:color w:val="000000"/>
          <w:sz w:val="24"/>
        </w:rPr>
        <w:t xml:space="preserve"> daļu:</w:t>
      </w:r>
    </w:p>
    <w:p w14:paraId="538D0A07" w14:textId="77777777" w:rsidR="00AB3421" w:rsidRPr="00B1511D" w:rsidRDefault="00AB3421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3B2A2677" w14:textId="77777777" w:rsidR="004567ED" w:rsidRPr="00B1511D" w:rsidRDefault="004567ED" w:rsidP="00B1511D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(..)</w:t>
      </w:r>
    </w:p>
    <w:p w14:paraId="5B12781F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05"/>
        <w:gridCol w:w="4244"/>
      </w:tblGrid>
      <w:tr w:rsidR="004567ED" w:rsidRPr="00B1511D" w14:paraId="23690FA5" w14:textId="77777777" w:rsidTr="00224D2F">
        <w:trPr>
          <w:trHeight w:val="522"/>
        </w:trPr>
        <w:tc>
          <w:tcPr>
            <w:tcW w:w="4205" w:type="dxa"/>
            <w:tcBorders>
              <w:bottom w:val="nil"/>
              <w:right w:val="nil"/>
            </w:tcBorders>
          </w:tcPr>
          <w:p w14:paraId="6E9735BE" w14:textId="77777777" w:rsidR="004567ED" w:rsidRPr="00B1511D" w:rsidRDefault="004567ED" w:rsidP="00D77240">
            <w:pPr>
              <w:pStyle w:val="TableParagraph"/>
              <w:keepNext/>
              <w:keepLines/>
              <w:spacing w:before="0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Pamatojums</w:t>
            </w:r>
          </w:p>
        </w:tc>
        <w:tc>
          <w:tcPr>
            <w:tcW w:w="4244" w:type="dxa"/>
            <w:tcBorders>
              <w:left w:val="nil"/>
              <w:bottom w:val="nil"/>
            </w:tcBorders>
          </w:tcPr>
          <w:p w14:paraId="39F5BD39" w14:textId="77777777" w:rsidR="004567ED" w:rsidRPr="00B1511D" w:rsidRDefault="004567ED" w:rsidP="00D77240">
            <w:pPr>
              <w:pStyle w:val="TableParagraph"/>
              <w:keepNext/>
              <w:keepLines/>
              <w:spacing w:before="0"/>
              <w:ind w:left="2732" w:right="113"/>
              <w:jc w:val="both"/>
              <w:rPr>
                <w:rFonts w:ascii="Times New Roman" w:hAnsi="Times New Roman"/>
                <w:i/>
                <w:noProof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RMT.0587</w:t>
            </w:r>
          </w:p>
        </w:tc>
      </w:tr>
      <w:tr w:rsidR="004567ED" w:rsidRPr="00B1511D" w14:paraId="197820BD" w14:textId="77777777" w:rsidTr="00224D2F">
        <w:trPr>
          <w:trHeight w:val="1643"/>
        </w:trPr>
        <w:tc>
          <w:tcPr>
            <w:tcW w:w="8449" w:type="dxa"/>
            <w:gridSpan w:val="2"/>
            <w:tcBorders>
              <w:top w:val="nil"/>
            </w:tcBorders>
          </w:tcPr>
          <w:p w14:paraId="1123329E" w14:textId="77777777" w:rsidR="004567ED" w:rsidRDefault="004567ED" w:rsidP="00D77240">
            <w:pPr>
              <w:pStyle w:val="TableParagraph"/>
              <w:keepNext/>
              <w:keepLines/>
              <w:spacing w:before="0"/>
              <w:ind w:left="113" w:right="113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DTO.GEN.210. punkta c) apakšpunktā norādīts, ka saskaņā ar </w:t>
            </w:r>
            <w:r>
              <w:rPr>
                <w:rFonts w:ascii="Times New Roman" w:hAnsi="Times New Roman"/>
                <w:i/>
                <w:iCs/>
                <w:sz w:val="24"/>
              </w:rPr>
              <w:t>ARA</w:t>
            </w:r>
            <w:r>
              <w:rPr>
                <w:rFonts w:ascii="Times New Roman" w:hAnsi="Times New Roman"/>
                <w:sz w:val="24"/>
              </w:rPr>
              <w:t xml:space="preserve"> daļu tas, ka personai iepriekšējos 3 gados piemēroti izpildes nodrošināšanas pasākumi, tiek uzskatīts par objektīvu pazīmi, ka šai personai nevar uzticēt </w:t>
            </w:r>
            <w:r>
              <w:rPr>
                <w:rFonts w:ascii="Times New Roman" w:hAnsi="Times New Roman"/>
                <w:i/>
                <w:iCs/>
                <w:sz w:val="24"/>
              </w:rPr>
              <w:t>DTO</w:t>
            </w:r>
            <w:r>
              <w:rPr>
                <w:rFonts w:ascii="Times New Roman" w:hAnsi="Times New Roman"/>
                <w:sz w:val="24"/>
              </w:rPr>
              <w:t xml:space="preserve"> pārstāvja vai mācību vadītāja amatu. Tomēr, kad tiek uzskaitīti piemēri šādiem izpildes nodrošināšanas pasākumiem, saistītajās </w:t>
            </w:r>
            <w:r>
              <w:rPr>
                <w:rFonts w:ascii="Times New Roman" w:hAnsi="Times New Roman"/>
                <w:i/>
                <w:iCs/>
                <w:sz w:val="24"/>
              </w:rPr>
              <w:t>GM</w:t>
            </w:r>
            <w:r>
              <w:rPr>
                <w:rFonts w:ascii="Times New Roman" w:hAnsi="Times New Roman"/>
                <w:sz w:val="24"/>
              </w:rPr>
              <w:t xml:space="preserve"> norādīts uz “pēdējiem 5 gadiem”. Šī pretruna ir jāizlabo.</w:t>
            </w:r>
          </w:p>
          <w:p w14:paraId="108A01EA" w14:textId="77777777" w:rsidR="00224D2F" w:rsidRPr="00B1511D" w:rsidRDefault="00224D2F" w:rsidP="00D77240">
            <w:pPr>
              <w:pStyle w:val="TableParagraph"/>
              <w:keepNext/>
              <w:keepLines/>
              <w:spacing w:before="0"/>
              <w:ind w:left="113" w:right="113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</w:tr>
    </w:tbl>
    <w:p w14:paraId="671F4E15" w14:textId="77777777" w:rsidR="00E75EA5" w:rsidRDefault="00E75EA5" w:rsidP="00B1511D">
      <w:pPr>
        <w:jc w:val="both"/>
        <w:rPr>
          <w:rFonts w:ascii="Times New Roman" w:hAnsi="Times New Roman"/>
          <w:noProof/>
          <w:sz w:val="24"/>
        </w:rPr>
      </w:pPr>
    </w:p>
    <w:p w14:paraId="76C45307" w14:textId="77777777" w:rsidR="00D77240" w:rsidRPr="00B1511D" w:rsidRDefault="00D77240" w:rsidP="00B1511D">
      <w:pPr>
        <w:jc w:val="both"/>
        <w:rPr>
          <w:rFonts w:ascii="Times New Roman" w:hAnsi="Times New Roman"/>
          <w:noProof/>
          <w:sz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1"/>
      </w:tblGrid>
      <w:tr w:rsidR="00224D2F" w14:paraId="4DEAF185" w14:textId="77777777" w:rsidTr="00224D2F">
        <w:tc>
          <w:tcPr>
            <w:tcW w:w="5000" w:type="pct"/>
            <w:shd w:val="clear" w:color="auto" w:fill="FFC000"/>
          </w:tcPr>
          <w:p w14:paraId="0C0C4620" w14:textId="09DA7324" w:rsidR="00224D2F" w:rsidRPr="003507A6" w:rsidRDefault="00224D2F" w:rsidP="00581D0D">
            <w:pPr>
              <w:pStyle w:val="BodyText"/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</w:rPr>
              <w:t>AMC1 par DTO.GEN.270. punkta “Ikgadējais iekšējais pārskats un ikgadējais darbības pārskats” a) apakšpunktu</w:t>
            </w:r>
          </w:p>
        </w:tc>
      </w:tr>
    </w:tbl>
    <w:p w14:paraId="3DD48D35" w14:textId="77777777" w:rsidR="00224D2F" w:rsidRDefault="00224D2F" w:rsidP="00B1511D">
      <w:pPr>
        <w:jc w:val="both"/>
        <w:rPr>
          <w:rFonts w:ascii="Times New Roman" w:hAnsi="Times New Roman"/>
          <w:b/>
          <w:noProof/>
          <w:sz w:val="24"/>
        </w:rPr>
      </w:pPr>
    </w:p>
    <w:p w14:paraId="0C181F3F" w14:textId="4A83D022" w:rsidR="004567ED" w:rsidRDefault="004567ED" w:rsidP="00B1511D">
      <w:pPr>
        <w:jc w:val="both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IKGADĒJAIS IEKŠĒJAIS PĀRSKATS</w:t>
      </w:r>
    </w:p>
    <w:p w14:paraId="3C5AD8DB" w14:textId="77777777" w:rsidR="00EF4F57" w:rsidRPr="00B1511D" w:rsidRDefault="00EF4F57" w:rsidP="00B1511D">
      <w:pPr>
        <w:jc w:val="both"/>
        <w:rPr>
          <w:rFonts w:ascii="Times New Roman" w:hAnsi="Times New Roman"/>
          <w:b/>
          <w:noProof/>
          <w:sz w:val="24"/>
        </w:rPr>
      </w:pPr>
    </w:p>
    <w:p w14:paraId="147367D1" w14:textId="77777777" w:rsidR="004567ED" w:rsidRDefault="004567ED" w:rsidP="00B1511D">
      <w:pPr>
        <w:pStyle w:val="BodyText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Ikgadējā iekšējā pārskatā ir jābūt iekļautam vispusīgam novērtējumam par to, vai </w:t>
      </w:r>
      <w:r>
        <w:rPr>
          <w:rFonts w:ascii="Times New Roman" w:hAnsi="Times New Roman"/>
          <w:i/>
          <w:iCs/>
          <w:sz w:val="24"/>
        </w:rPr>
        <w:t>DTO</w:t>
      </w:r>
      <w:r>
        <w:rPr>
          <w:rFonts w:ascii="Times New Roman" w:hAnsi="Times New Roman"/>
          <w:sz w:val="24"/>
        </w:rPr>
        <w:t xml:space="preserve"> efektīvi veic savus uzdevumus un pienākumus saskaņā ar DTO.GEN.210. punktu.</w:t>
      </w:r>
      <w:r>
        <w:rPr>
          <w:rFonts w:ascii="Times New Roman" w:hAnsi="Times New Roman"/>
          <w:color w:val="000000"/>
          <w:sz w:val="24"/>
        </w:rPr>
        <w:t xml:space="preserve"> Īpaša uzmanība ir jāpievērš šādiem aspektiem:</w:t>
      </w:r>
    </w:p>
    <w:p w14:paraId="435517A3" w14:textId="77777777" w:rsidR="00CB147A" w:rsidRPr="00B1511D" w:rsidRDefault="00CB147A" w:rsidP="00B1511D">
      <w:pPr>
        <w:pStyle w:val="BodyText"/>
        <w:jc w:val="both"/>
        <w:rPr>
          <w:rFonts w:ascii="Times New Roman" w:hAnsi="Times New Roman"/>
          <w:noProof/>
          <w:color w:val="000000"/>
          <w:sz w:val="24"/>
        </w:rPr>
      </w:pPr>
    </w:p>
    <w:p w14:paraId="2A626BAF" w14:textId="77777777" w:rsidR="004567ED" w:rsidRDefault="004567ED" w:rsidP="00B1511D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(..)</w:t>
      </w:r>
    </w:p>
    <w:p w14:paraId="5935A186" w14:textId="77777777" w:rsidR="00CB147A" w:rsidRPr="00B1511D" w:rsidRDefault="00CB147A" w:rsidP="00B1511D">
      <w:pPr>
        <w:jc w:val="both"/>
        <w:rPr>
          <w:rFonts w:ascii="Times New Roman" w:hAnsi="Times New Roman"/>
          <w:noProof/>
          <w:sz w:val="24"/>
        </w:rPr>
      </w:pPr>
    </w:p>
    <w:p w14:paraId="1CC9D93D" w14:textId="5285A25B" w:rsidR="004567ED" w:rsidRDefault="004567ED" w:rsidP="00CB147A">
      <w:pPr>
        <w:pStyle w:val="BodyText"/>
        <w:tabs>
          <w:tab w:val="left" w:pos="707"/>
        </w:tabs>
        <w:ind w:left="426" w:hanging="426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sz w:val="24"/>
        </w:rPr>
        <w:t>h) droš</w:t>
      </w:r>
      <w:r w:rsidR="00537BFA">
        <w:rPr>
          <w:rFonts w:ascii="Times New Roman" w:hAnsi="Times New Roman"/>
          <w:sz w:val="24"/>
        </w:rPr>
        <w:t>uma</w:t>
      </w:r>
      <w:r>
        <w:rPr>
          <w:rFonts w:ascii="Times New Roman" w:hAnsi="Times New Roman"/>
          <w:sz w:val="24"/>
        </w:rPr>
        <w:t xml:space="preserve"> politikas, tostarp tās līdzekļu un paņēmienu, kas ir noteikti AMC1 par DTO.GEN.210. punkta </w:t>
      </w:r>
      <w:r>
        <w:rPr>
          <w:rFonts w:ascii="Times New Roman" w:hAnsi="Times New Roman"/>
          <w:color w:val="000000"/>
          <w:sz w:val="24"/>
          <w:highlight w:val="cyan"/>
        </w:rPr>
        <w:t>a) apakšpunkta 1. daļas ii) punktu</w:t>
      </w:r>
      <w:r>
        <w:rPr>
          <w:rFonts w:ascii="Times New Roman" w:hAnsi="Times New Roman"/>
          <w:color w:val="000000"/>
          <w:sz w:val="24"/>
        </w:rPr>
        <w:t>, atbilstības un aktualitātes novērtēšanai;</w:t>
      </w:r>
    </w:p>
    <w:p w14:paraId="657A5DD6" w14:textId="77777777" w:rsidR="00CB147A" w:rsidRPr="00B1511D" w:rsidRDefault="00CB147A" w:rsidP="00CB147A">
      <w:pPr>
        <w:pStyle w:val="BodyText"/>
        <w:tabs>
          <w:tab w:val="left" w:pos="707"/>
        </w:tabs>
        <w:ind w:left="426" w:hanging="426"/>
        <w:jc w:val="both"/>
        <w:rPr>
          <w:rFonts w:ascii="Times New Roman" w:hAnsi="Times New Roman"/>
          <w:noProof/>
          <w:sz w:val="24"/>
        </w:rPr>
      </w:pPr>
    </w:p>
    <w:p w14:paraId="069FC9A3" w14:textId="77777777" w:rsidR="004567ED" w:rsidRPr="00B1511D" w:rsidRDefault="004567ED" w:rsidP="00B1511D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(..)</w:t>
      </w:r>
    </w:p>
    <w:p w14:paraId="1CB6838B" w14:textId="77777777" w:rsidR="004567ED" w:rsidRPr="00B1511D" w:rsidRDefault="004567ED" w:rsidP="00B1511D">
      <w:pPr>
        <w:pStyle w:val="BodyText"/>
        <w:jc w:val="both"/>
        <w:rPr>
          <w:rFonts w:ascii="Times New Roman" w:hAnsi="Times New Roman"/>
          <w:noProof/>
          <w:sz w:val="24"/>
        </w:rPr>
      </w:pPr>
    </w:p>
    <w:tbl>
      <w:tblPr>
        <w:tblW w:w="0" w:type="auto"/>
        <w:tblInd w:w="7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05"/>
        <w:gridCol w:w="4244"/>
      </w:tblGrid>
      <w:tr w:rsidR="004567ED" w:rsidRPr="00B1511D" w14:paraId="6E57A0B2" w14:textId="77777777" w:rsidTr="00CB147A">
        <w:trPr>
          <w:trHeight w:val="5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</w:tcPr>
          <w:p w14:paraId="20E13142" w14:textId="77777777" w:rsidR="004567ED" w:rsidRPr="00B1511D" w:rsidRDefault="004567ED" w:rsidP="00CB147A">
            <w:pPr>
              <w:pStyle w:val="TableParagraph"/>
              <w:spacing w:before="0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Pamatojums</w:t>
            </w:r>
          </w:p>
        </w:tc>
        <w:tc>
          <w:tcPr>
            <w:tcW w:w="4244" w:type="dxa"/>
            <w:tcBorders>
              <w:top w:val="single" w:sz="4" w:space="0" w:color="000000"/>
              <w:right w:val="single" w:sz="4" w:space="0" w:color="000000"/>
            </w:tcBorders>
          </w:tcPr>
          <w:p w14:paraId="7A2B6892" w14:textId="77777777" w:rsidR="004567ED" w:rsidRPr="00B1511D" w:rsidRDefault="004567ED" w:rsidP="00CB147A">
            <w:pPr>
              <w:pStyle w:val="TableParagraph"/>
              <w:spacing w:before="0"/>
              <w:ind w:left="2590" w:right="113"/>
              <w:jc w:val="both"/>
              <w:rPr>
                <w:rFonts w:ascii="Times New Roman" w:hAnsi="Times New Roman"/>
                <w:i/>
                <w:noProof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RMT.0587</w:t>
            </w:r>
          </w:p>
        </w:tc>
      </w:tr>
      <w:tr w:rsidR="004567ED" w:rsidRPr="00B1511D" w14:paraId="56838C75" w14:textId="77777777" w:rsidTr="00CB147A">
        <w:trPr>
          <w:trHeight w:val="521"/>
        </w:trPr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</w:tcPr>
          <w:p w14:paraId="32BCD004" w14:textId="77777777" w:rsidR="004567ED" w:rsidRPr="00B1511D" w:rsidRDefault="004567ED" w:rsidP="00CB147A">
            <w:pPr>
              <w:pStyle w:val="TableParagraph"/>
              <w:spacing w:before="0"/>
              <w:ind w:left="113" w:right="113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Labojumi atsaucē.</w:t>
            </w:r>
          </w:p>
        </w:tc>
        <w:tc>
          <w:tcPr>
            <w:tcW w:w="4244" w:type="dxa"/>
            <w:tcBorders>
              <w:bottom w:val="single" w:sz="4" w:space="0" w:color="000000"/>
              <w:right w:val="single" w:sz="4" w:space="0" w:color="000000"/>
            </w:tcBorders>
          </w:tcPr>
          <w:p w14:paraId="1084ECF7" w14:textId="77777777" w:rsidR="004567ED" w:rsidRPr="00B1511D" w:rsidRDefault="004567ED" w:rsidP="00CB147A">
            <w:pPr>
              <w:pStyle w:val="TableParagraph"/>
              <w:spacing w:before="0"/>
              <w:ind w:left="113" w:right="113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</w:tr>
    </w:tbl>
    <w:p w14:paraId="0FB03E59" w14:textId="77777777" w:rsidR="004567ED" w:rsidRPr="00B1511D" w:rsidRDefault="004567ED" w:rsidP="00B1511D">
      <w:pPr>
        <w:jc w:val="both"/>
        <w:rPr>
          <w:rFonts w:ascii="Times New Roman" w:hAnsi="Times New Roman"/>
          <w:noProof/>
          <w:sz w:val="24"/>
        </w:rPr>
      </w:pPr>
    </w:p>
    <w:sectPr w:rsidR="004567ED" w:rsidRPr="00B1511D" w:rsidSect="00EA6B56">
      <w:headerReference w:type="default" r:id="rId12"/>
      <w:footerReference w:type="default" r:id="rId13"/>
      <w:headerReference w:type="first" r:id="rId14"/>
      <w:footerReference w:type="first" r:id="rId15"/>
      <w:pgSz w:w="11910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52D6A" w14:textId="77777777" w:rsidR="00E80D37" w:rsidRPr="004567ED" w:rsidRDefault="00E80D37">
      <w:pPr>
        <w:rPr>
          <w:noProof/>
        </w:rPr>
      </w:pPr>
      <w:r w:rsidRPr="004567ED">
        <w:rPr>
          <w:noProof/>
        </w:rPr>
        <w:separator/>
      </w:r>
    </w:p>
  </w:endnote>
  <w:endnote w:type="continuationSeparator" w:id="0">
    <w:p w14:paraId="0B1830B2" w14:textId="77777777" w:rsidR="00E80D37" w:rsidRPr="004567ED" w:rsidRDefault="00E80D37">
      <w:pPr>
        <w:rPr>
          <w:noProof/>
        </w:rPr>
      </w:pPr>
      <w:r w:rsidRPr="004567ED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0A8D0" w14:textId="77777777" w:rsidR="00D77240" w:rsidRPr="00864FDC" w:rsidRDefault="00D77240" w:rsidP="00D77240">
    <w:pPr>
      <w:pStyle w:val="Header"/>
      <w:tabs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1968ED8F" w14:textId="77777777" w:rsidR="00D77240" w:rsidRPr="00864FDC" w:rsidRDefault="00D77240" w:rsidP="00D77240">
    <w:pPr>
      <w:pStyle w:val="Header"/>
      <w:tabs>
        <w:tab w:val="clear" w:pos="4513"/>
        <w:tab w:val="clear" w:pos="902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18"/>
      </w:rPr>
    </w:pPr>
    <w:r w:rsidRPr="00864FDC">
      <w:rPr>
        <w:rStyle w:val="PageNumber"/>
        <w:rFonts w:ascii="Times New Roman" w:hAnsi="Times New Roman" w:cs="Times New Roman"/>
        <w:sz w:val="20"/>
        <w:szCs w:val="18"/>
      </w:rPr>
      <w:tab/>
    </w:r>
  </w:p>
  <w:p w14:paraId="696E510D" w14:textId="77777777" w:rsidR="00D77240" w:rsidRPr="00864FDC" w:rsidRDefault="00D77240" w:rsidP="00D77240">
    <w:pPr>
      <w:pStyle w:val="Header"/>
      <w:tabs>
        <w:tab w:val="righ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041668D5" w14:textId="07BC5260" w:rsidR="00397D07" w:rsidRPr="00D77240" w:rsidRDefault="00D77240" w:rsidP="00D77240">
    <w:pPr>
      <w:pStyle w:val="Footer"/>
      <w:tabs>
        <w:tab w:val="clear" w:pos="4513"/>
        <w:tab w:val="clear" w:pos="9026"/>
        <w:tab w:val="right" w:pos="9072"/>
      </w:tabs>
      <w:rPr>
        <w:rFonts w:ascii="Times New Roman" w:hAnsi="Times New Roman" w:cs="Times New Roman"/>
        <w:sz w:val="20"/>
        <w:szCs w:val="18"/>
      </w:rPr>
    </w:pPr>
    <w:r w:rsidRPr="00864FDC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864FDC">
      <w:rPr>
        <w:rFonts w:ascii="Times New Roman" w:hAnsi="Times New Roman" w:cs="Times New Roman"/>
        <w:noProof/>
        <w:sz w:val="20"/>
        <w:szCs w:val="18"/>
      </w:rPr>
      <w:fldChar w:fldCharType="begin"/>
    </w:r>
    <w:r w:rsidRPr="00864FDC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864FDC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864FDC">
      <w:rPr>
        <w:rFonts w:ascii="Times New Roman" w:hAnsi="Times New Roman" w:cs="Times New Roman"/>
        <w:noProof/>
        <w:sz w:val="20"/>
        <w:szCs w:val="18"/>
      </w:rPr>
      <w:t>Ó</w:t>
    </w:r>
    <w:r w:rsidRPr="00864FDC">
      <w:rPr>
        <w:rFonts w:ascii="Times New Roman" w:hAnsi="Times New Roman" w:cs="Times New Roman"/>
        <w:noProof/>
        <w:sz w:val="20"/>
        <w:szCs w:val="18"/>
      </w:rPr>
      <w:fldChar w:fldCharType="end"/>
    </w:r>
    <w:r w:rsidRPr="00864FDC">
      <w:rPr>
        <w:rFonts w:ascii="Times New Roman" w:hAnsi="Times New Roman" w:cs="Times New Roman"/>
        <w:noProof/>
        <w:sz w:val="20"/>
        <w:szCs w:val="18"/>
      </w:rPr>
      <w:t xml:space="preserve"> Valsts valodas centrs, 202</w:t>
    </w:r>
    <w:r>
      <w:rPr>
        <w:rFonts w:ascii="Times New Roman" w:hAnsi="Times New Roman" w:cs="Times New Roman"/>
        <w:noProof/>
        <w:sz w:val="20"/>
        <w:szCs w:val="18"/>
      </w:rPr>
      <w:t>5</w:t>
    </w:r>
    <w:r w:rsidRPr="00864FDC">
      <w:rPr>
        <w:rFonts w:ascii="Times New Roman" w:hAnsi="Times New Roman" w:cs="Times New Roman"/>
        <w:sz w:val="20"/>
        <w:szCs w:val="18"/>
      </w:rPr>
      <w:tab/>
    </w:r>
    <w:r w:rsidRPr="00864FDC">
      <w:rPr>
        <w:rStyle w:val="PageNumber"/>
        <w:rFonts w:ascii="Times New Roman" w:hAnsi="Times New Roman" w:cs="Times New Roman"/>
        <w:sz w:val="20"/>
        <w:szCs w:val="18"/>
      </w:rPr>
      <w:fldChar w:fldCharType="begin"/>
    </w:r>
    <w:r w:rsidRPr="00864FDC">
      <w:rPr>
        <w:rStyle w:val="PageNumber"/>
        <w:rFonts w:ascii="Times New Roman" w:hAnsi="Times New Roman" w:cs="Times New Roman"/>
        <w:sz w:val="20"/>
        <w:szCs w:val="18"/>
      </w:rPr>
      <w:instrText xml:space="preserve">page </w:instrText>
    </w:r>
    <w:r w:rsidRPr="00864FDC">
      <w:rPr>
        <w:rStyle w:val="PageNumber"/>
        <w:rFonts w:ascii="Times New Roman" w:hAnsi="Times New Roman" w:cs="Times New Roman"/>
        <w:sz w:val="20"/>
        <w:szCs w:val="18"/>
      </w:rPr>
      <w:fldChar w:fldCharType="separate"/>
    </w:r>
    <w:r>
      <w:rPr>
        <w:rStyle w:val="PageNumber"/>
        <w:rFonts w:ascii="Times New Roman" w:hAnsi="Times New Roman" w:cs="Times New Roman"/>
        <w:sz w:val="20"/>
        <w:szCs w:val="18"/>
      </w:rPr>
      <w:t>2</w:t>
    </w:r>
    <w:r w:rsidRPr="00864FDC">
      <w:rPr>
        <w:rStyle w:val="PageNumber"/>
        <w:rFonts w:ascii="Times New Roman" w:hAnsi="Times New Roman" w:cs="Times New Roman"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23162" w14:textId="77777777" w:rsidR="0076623E" w:rsidRPr="00864FDC" w:rsidRDefault="0076623E" w:rsidP="0076623E">
    <w:pPr>
      <w:pStyle w:val="Header"/>
      <w:tabs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  <w:bookmarkStart w:id="21" w:name="_Hlk496261764"/>
    <w:bookmarkStart w:id="22" w:name="_Hlk496261765"/>
    <w:bookmarkStart w:id="23" w:name="_Hlk496261766"/>
    <w:bookmarkStart w:id="24" w:name="_Hlk30491075"/>
    <w:bookmarkStart w:id="25" w:name="_Hlk30491076"/>
  </w:p>
  <w:p w14:paraId="256D3972" w14:textId="77777777" w:rsidR="0076623E" w:rsidRPr="00864FDC" w:rsidRDefault="0076623E" w:rsidP="0076623E">
    <w:pPr>
      <w:pStyle w:val="Header"/>
      <w:tabs>
        <w:tab w:val="clear" w:pos="4513"/>
        <w:tab w:val="clear" w:pos="9026"/>
        <w:tab w:val="left" w:leader="underscore" w:pos="9072"/>
      </w:tabs>
      <w:rPr>
        <w:rStyle w:val="PageNumber"/>
        <w:rFonts w:ascii="Times New Roman" w:hAnsi="Times New Roman" w:cs="Times New Roman"/>
        <w:sz w:val="20"/>
        <w:szCs w:val="18"/>
      </w:rPr>
    </w:pPr>
    <w:r w:rsidRPr="00864FDC">
      <w:rPr>
        <w:rStyle w:val="PageNumber"/>
        <w:rFonts w:ascii="Times New Roman" w:hAnsi="Times New Roman" w:cs="Times New Roman"/>
        <w:sz w:val="20"/>
        <w:szCs w:val="18"/>
      </w:rPr>
      <w:tab/>
    </w:r>
  </w:p>
  <w:p w14:paraId="6A4190C5" w14:textId="77777777" w:rsidR="0076623E" w:rsidRPr="00864FDC" w:rsidRDefault="0076623E" w:rsidP="0076623E">
    <w:pPr>
      <w:pStyle w:val="Header"/>
      <w:tabs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46687CA1" w14:textId="02DF7141" w:rsidR="00826C63" w:rsidRPr="0076623E" w:rsidRDefault="0076623E">
    <w:pPr>
      <w:pStyle w:val="Footer"/>
      <w:rPr>
        <w:rFonts w:ascii="Times New Roman" w:hAnsi="Times New Roman" w:cs="Times New Roman"/>
        <w:sz w:val="20"/>
        <w:szCs w:val="18"/>
      </w:rPr>
    </w:pPr>
    <w:r w:rsidRPr="00864FDC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864FDC">
      <w:rPr>
        <w:rFonts w:ascii="Times New Roman" w:hAnsi="Times New Roman" w:cs="Times New Roman"/>
        <w:noProof/>
        <w:sz w:val="20"/>
        <w:szCs w:val="18"/>
      </w:rPr>
      <w:fldChar w:fldCharType="begin"/>
    </w:r>
    <w:r w:rsidRPr="00864FDC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864FDC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864FDC">
      <w:rPr>
        <w:rFonts w:ascii="Times New Roman" w:hAnsi="Times New Roman" w:cs="Times New Roman"/>
        <w:noProof/>
        <w:sz w:val="20"/>
        <w:szCs w:val="18"/>
      </w:rPr>
      <w:t>Ó</w:t>
    </w:r>
    <w:r w:rsidRPr="00864FDC">
      <w:rPr>
        <w:rFonts w:ascii="Times New Roman" w:hAnsi="Times New Roman" w:cs="Times New Roman"/>
        <w:noProof/>
        <w:sz w:val="20"/>
        <w:szCs w:val="18"/>
      </w:rPr>
      <w:fldChar w:fldCharType="end"/>
    </w:r>
    <w:r w:rsidRPr="00864FDC">
      <w:rPr>
        <w:rFonts w:ascii="Times New Roman" w:hAnsi="Times New Roman" w:cs="Times New Roman"/>
        <w:noProof/>
        <w:sz w:val="20"/>
        <w:szCs w:val="18"/>
      </w:rPr>
      <w:t xml:space="preserve"> Valsts valodas centrs, 20</w:t>
    </w:r>
    <w:bookmarkEnd w:id="21"/>
    <w:bookmarkEnd w:id="22"/>
    <w:bookmarkEnd w:id="23"/>
    <w:r w:rsidRPr="00864FDC">
      <w:rPr>
        <w:rFonts w:ascii="Times New Roman" w:hAnsi="Times New Roman" w:cs="Times New Roman"/>
        <w:noProof/>
        <w:sz w:val="20"/>
        <w:szCs w:val="18"/>
      </w:rPr>
      <w:t>2</w:t>
    </w:r>
    <w:bookmarkEnd w:id="24"/>
    <w:bookmarkEnd w:id="25"/>
    <w:r>
      <w:rPr>
        <w:rFonts w:ascii="Times New Roman" w:hAnsi="Times New Roman" w:cs="Times New Roman"/>
        <w:noProof/>
        <w:sz w:val="20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72AD" w14:textId="77777777" w:rsidR="00E80D37" w:rsidRPr="004567ED" w:rsidRDefault="00E80D37">
      <w:pPr>
        <w:rPr>
          <w:noProof/>
        </w:rPr>
      </w:pPr>
      <w:r w:rsidRPr="004567ED">
        <w:rPr>
          <w:noProof/>
        </w:rPr>
        <w:separator/>
      </w:r>
    </w:p>
  </w:footnote>
  <w:footnote w:type="continuationSeparator" w:id="0">
    <w:p w14:paraId="09A1A2A6" w14:textId="77777777" w:rsidR="00E80D37" w:rsidRPr="004567ED" w:rsidRDefault="00E80D37">
      <w:pPr>
        <w:rPr>
          <w:noProof/>
        </w:rPr>
      </w:pPr>
      <w:r w:rsidRPr="004567ED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30C01" w14:textId="77777777" w:rsidR="00AC54FD" w:rsidRPr="00864FDC" w:rsidRDefault="00AC54FD" w:rsidP="00AC54FD">
    <w:pPr>
      <w:pStyle w:val="Header"/>
      <w:rPr>
        <w:rStyle w:val="PageNumber"/>
        <w:rFonts w:ascii="Times New Roman" w:hAnsi="Times New Roman" w:cs="Times New Roman"/>
        <w:sz w:val="20"/>
        <w:szCs w:val="20"/>
      </w:rPr>
    </w:pPr>
  </w:p>
  <w:p w14:paraId="27D05E3A" w14:textId="77777777" w:rsidR="00AC54FD" w:rsidRPr="00864FDC" w:rsidRDefault="00AC54FD" w:rsidP="00AC54FD">
    <w:pPr>
      <w:pStyle w:val="Header"/>
      <w:tabs>
        <w:tab w:val="clear" w:pos="4513"/>
        <w:tab w:val="clear" w:pos="902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20"/>
      </w:rPr>
    </w:pPr>
    <w:bookmarkStart w:id="3" w:name="_Hlk496261784"/>
    <w:bookmarkStart w:id="4" w:name="_Hlk496261785"/>
    <w:bookmarkStart w:id="5" w:name="_Hlk496261786"/>
    <w:bookmarkStart w:id="6" w:name="_Hlk502757728"/>
    <w:bookmarkStart w:id="7" w:name="_Hlk502757729"/>
    <w:bookmarkStart w:id="8" w:name="_Hlk502757738"/>
    <w:bookmarkStart w:id="9" w:name="_Hlk502757739"/>
    <w:bookmarkStart w:id="10" w:name="_Hlk30491084"/>
    <w:bookmarkStart w:id="11" w:name="_Hlk30491085"/>
    <w:bookmarkStart w:id="12" w:name="_Hlk63344778"/>
    <w:bookmarkStart w:id="13" w:name="_Hlk63344779"/>
    <w:bookmarkStart w:id="14" w:name="_Hlk63344780"/>
    <w:bookmarkStart w:id="15" w:name="_Hlk63344781"/>
    <w:r w:rsidRPr="00864FDC">
      <w:rPr>
        <w:rStyle w:val="PageNumber"/>
        <w:rFonts w:ascii="Times New Roman" w:hAnsi="Times New Roman" w:cs="Times New Roman"/>
        <w:sz w:val="20"/>
        <w:szCs w:val="20"/>
      </w:rPr>
      <w:tab/>
    </w: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p w14:paraId="041668D4" w14:textId="7A2F440B" w:rsidR="00397D07" w:rsidRPr="00AC54FD" w:rsidRDefault="00397D07" w:rsidP="00AC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20667" w14:textId="77777777" w:rsidR="00826C63" w:rsidRPr="00864FDC" w:rsidRDefault="00826C63" w:rsidP="00826C63">
    <w:pPr>
      <w:pBdr>
        <w:bottom w:val="single" w:sz="12" w:space="5" w:color="auto"/>
      </w:pBdr>
      <w:rPr>
        <w:rFonts w:ascii="Times New Roman" w:hAnsi="Times New Roman" w:cs="Times New Roman"/>
        <w:spacing w:val="-2"/>
        <w:sz w:val="20"/>
        <w:szCs w:val="20"/>
      </w:rPr>
    </w:pPr>
    <w:bookmarkStart w:id="16" w:name="_Hlk496261745"/>
    <w:bookmarkStart w:id="17" w:name="_Hlk496261746"/>
    <w:bookmarkStart w:id="18" w:name="_Hlk496261747"/>
    <w:bookmarkStart w:id="19" w:name="_Hlk30491063"/>
    <w:bookmarkStart w:id="20" w:name="_Hlk30491064"/>
  </w:p>
  <w:bookmarkEnd w:id="16"/>
  <w:bookmarkEnd w:id="17"/>
  <w:bookmarkEnd w:id="18"/>
  <w:bookmarkEnd w:id="19"/>
  <w:bookmarkEnd w:id="20"/>
  <w:p w14:paraId="54367245" w14:textId="77777777" w:rsidR="00826C63" w:rsidRDefault="00826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E622F"/>
    <w:multiLevelType w:val="hybridMultilevel"/>
    <w:tmpl w:val="E67826BE"/>
    <w:lvl w:ilvl="0" w:tplc="90129D08">
      <w:numFmt w:val="bullet"/>
      <w:lvlText w:val="—"/>
      <w:lvlJc w:val="left"/>
      <w:pPr>
        <w:ind w:left="708" w:hanging="5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6F2A582">
      <w:numFmt w:val="bullet"/>
      <w:lvlText w:val="•"/>
      <w:lvlJc w:val="left"/>
      <w:pPr>
        <w:ind w:left="1560" w:hanging="568"/>
      </w:pPr>
      <w:rPr>
        <w:rFonts w:hint="default"/>
        <w:lang w:val="en-US" w:eastAsia="en-US" w:bidi="ar-SA"/>
      </w:rPr>
    </w:lvl>
    <w:lvl w:ilvl="2" w:tplc="187CD048">
      <w:numFmt w:val="bullet"/>
      <w:lvlText w:val="•"/>
      <w:lvlJc w:val="left"/>
      <w:pPr>
        <w:ind w:left="2421" w:hanging="568"/>
      </w:pPr>
      <w:rPr>
        <w:rFonts w:hint="default"/>
        <w:lang w:val="en-US" w:eastAsia="en-US" w:bidi="ar-SA"/>
      </w:rPr>
    </w:lvl>
    <w:lvl w:ilvl="3" w:tplc="D72E7A22">
      <w:numFmt w:val="bullet"/>
      <w:lvlText w:val="•"/>
      <w:lvlJc w:val="left"/>
      <w:pPr>
        <w:ind w:left="3281" w:hanging="568"/>
      </w:pPr>
      <w:rPr>
        <w:rFonts w:hint="default"/>
        <w:lang w:val="en-US" w:eastAsia="en-US" w:bidi="ar-SA"/>
      </w:rPr>
    </w:lvl>
    <w:lvl w:ilvl="4" w:tplc="FF9C87E2">
      <w:numFmt w:val="bullet"/>
      <w:lvlText w:val="•"/>
      <w:lvlJc w:val="left"/>
      <w:pPr>
        <w:ind w:left="4142" w:hanging="568"/>
      </w:pPr>
      <w:rPr>
        <w:rFonts w:hint="default"/>
        <w:lang w:val="en-US" w:eastAsia="en-US" w:bidi="ar-SA"/>
      </w:rPr>
    </w:lvl>
    <w:lvl w:ilvl="5" w:tplc="576AFE3A">
      <w:numFmt w:val="bullet"/>
      <w:lvlText w:val="•"/>
      <w:lvlJc w:val="left"/>
      <w:pPr>
        <w:ind w:left="5003" w:hanging="568"/>
      </w:pPr>
      <w:rPr>
        <w:rFonts w:hint="default"/>
        <w:lang w:val="en-US" w:eastAsia="en-US" w:bidi="ar-SA"/>
      </w:rPr>
    </w:lvl>
    <w:lvl w:ilvl="6" w:tplc="986A915C">
      <w:numFmt w:val="bullet"/>
      <w:lvlText w:val="•"/>
      <w:lvlJc w:val="left"/>
      <w:pPr>
        <w:ind w:left="5863" w:hanging="568"/>
      </w:pPr>
      <w:rPr>
        <w:rFonts w:hint="default"/>
        <w:lang w:val="en-US" w:eastAsia="en-US" w:bidi="ar-SA"/>
      </w:rPr>
    </w:lvl>
    <w:lvl w:ilvl="7" w:tplc="0630D2A6">
      <w:numFmt w:val="bullet"/>
      <w:lvlText w:val="•"/>
      <w:lvlJc w:val="left"/>
      <w:pPr>
        <w:ind w:left="6724" w:hanging="568"/>
      </w:pPr>
      <w:rPr>
        <w:rFonts w:hint="default"/>
        <w:lang w:val="en-US" w:eastAsia="en-US" w:bidi="ar-SA"/>
      </w:rPr>
    </w:lvl>
    <w:lvl w:ilvl="8" w:tplc="A2C0401A">
      <w:numFmt w:val="bullet"/>
      <w:lvlText w:val="•"/>
      <w:lvlJc w:val="left"/>
      <w:pPr>
        <w:ind w:left="7585" w:hanging="568"/>
      </w:pPr>
      <w:rPr>
        <w:rFonts w:hint="default"/>
        <w:lang w:val="en-US" w:eastAsia="en-US" w:bidi="ar-SA"/>
      </w:rPr>
    </w:lvl>
  </w:abstractNum>
  <w:num w:numId="1" w16cid:durableId="165047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7D07"/>
    <w:rsid w:val="00163FBA"/>
    <w:rsid w:val="00193AF2"/>
    <w:rsid w:val="001E528B"/>
    <w:rsid w:val="00224D2F"/>
    <w:rsid w:val="003507A6"/>
    <w:rsid w:val="003762AB"/>
    <w:rsid w:val="00397D07"/>
    <w:rsid w:val="003D2189"/>
    <w:rsid w:val="004567ED"/>
    <w:rsid w:val="004F501A"/>
    <w:rsid w:val="00537BFA"/>
    <w:rsid w:val="0075412B"/>
    <w:rsid w:val="0076623E"/>
    <w:rsid w:val="00826C63"/>
    <w:rsid w:val="00A50A73"/>
    <w:rsid w:val="00AB3421"/>
    <w:rsid w:val="00AC54FD"/>
    <w:rsid w:val="00AF36C5"/>
    <w:rsid w:val="00B1511D"/>
    <w:rsid w:val="00CB147A"/>
    <w:rsid w:val="00D47710"/>
    <w:rsid w:val="00D77240"/>
    <w:rsid w:val="00DE5166"/>
    <w:rsid w:val="00E75EA5"/>
    <w:rsid w:val="00E80D37"/>
    <w:rsid w:val="00E823F1"/>
    <w:rsid w:val="00EA6B56"/>
    <w:rsid w:val="00EF4F57"/>
    <w:rsid w:val="00F9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66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60"/>
      <w:ind w:left="707" w:hanging="567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107"/>
    </w:pPr>
  </w:style>
  <w:style w:type="paragraph" w:styleId="Header">
    <w:name w:val="header"/>
    <w:basedOn w:val="Normal"/>
    <w:link w:val="HeaderChar"/>
    <w:unhideWhenUsed/>
    <w:rsid w:val="004567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567E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nhideWhenUsed/>
    <w:rsid w:val="004567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567E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D2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76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easa.europa.e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c81c9-325d-42ab-a312-d2989bc4c6c1" xsi:nil="true"/>
    <lcf76f155ced4ddcb4097134ff3c332f xmlns="1d57a815-79e8-498e-8f04-9c2e9221b6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47409639620A48BB08F713A1AC624B" ma:contentTypeVersion="14" ma:contentTypeDescription="Izveidot jaunu dokumentu." ma:contentTypeScope="" ma:versionID="214bdd172c618ab9cd53eb4b2f74f16d">
  <xsd:schema xmlns:xsd="http://www.w3.org/2001/XMLSchema" xmlns:xs="http://www.w3.org/2001/XMLSchema" xmlns:p="http://schemas.microsoft.com/office/2006/metadata/properties" xmlns:ns2="1d57a815-79e8-498e-8f04-9c2e9221b678" xmlns:ns3="05fc81c9-325d-42ab-a312-d2989bc4c6c1" targetNamespace="http://schemas.microsoft.com/office/2006/metadata/properties" ma:root="true" ma:fieldsID="0ef2b8e2d6827afe8d1ce76e8ab0b534" ns2:_="" ns3:_="">
    <xsd:import namespace="1d57a815-79e8-498e-8f04-9c2e9221b678"/>
    <xsd:import namespace="05fc81c9-325d-42ab-a312-d2989bc4c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a815-79e8-498e-8f04-9c2e9221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f2b9b02f-9abf-4f74-b798-1ff310cbf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81c9-325d-42ab-a312-d2989bc4c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8d4f8d-5674-4ada-909c-3de2b86c3fae}" ma:internalName="TaxCatchAll" ma:showField="CatchAllData" ma:web="05fc81c9-325d-42ab-a312-d2989bc4c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C24B7-3A38-41EC-B137-FE7D06B00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D6D93-4D02-4B8A-98E2-F58A1D47CC1D}">
  <ds:schemaRefs>
    <ds:schemaRef ds:uri="http://schemas.microsoft.com/office/2006/metadata/properties"/>
    <ds:schemaRef ds:uri="http://schemas.microsoft.com/office/infopath/2007/PartnerControls"/>
    <ds:schemaRef ds:uri="05fc81c9-325d-42ab-a312-d2989bc4c6c1"/>
    <ds:schemaRef ds:uri="1d57a815-79e8-498e-8f04-9c2e9221b678"/>
  </ds:schemaRefs>
</ds:datastoreItem>
</file>

<file path=customXml/itemProps3.xml><?xml version="1.0" encoding="utf-8"?>
<ds:datastoreItem xmlns:ds="http://schemas.openxmlformats.org/officeDocument/2006/customXml" ds:itemID="{F5D235E2-4FD3-48B2-AA68-2A5A6528E5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1773</Words>
  <Characters>1011</Characters>
  <Application>Microsoft Office Word</Application>
  <DocSecurity>0</DocSecurity>
  <Lines>8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2025-06-04T07:05:00Z</dcterms:created>
  <dcterms:modified xsi:type="dcterms:W3CDTF">2025-08-26T06:47:00Z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2025-06-04T00:00:00Z</vt:filetime>
  </property>
  <property fmtid="{D5CDD505-2E9C-101B-9397-08002B2CF9AE}" pid="3" name="MediaServiceImageTags">
    <vt:lpwstr/>
  </property>
  <property fmtid="{D5CDD505-2E9C-101B-9397-08002B2CF9AE}" pid="4" name="ContentTypeId">
    <vt:lpwstr>0x0101006747409639620A48BB08F713A1AC624B</vt:lpwstr>
  </property>
  <property fmtid="{D5CDD505-2E9C-101B-9397-08002B2CF9AE}" pid="5" name="Creator">
    <vt:lpwstr>Microsoft® Word for Microsoft 365</vt:lpwstr>
  </property>
  <property fmtid="{D5CDD505-2E9C-101B-9397-08002B2CF9AE}" pid="6" name="Producer">
    <vt:lpwstr>Microsoft® Word for Microsoft 365</vt:lpwstr>
  </property>
  <property fmtid="{D5CDD505-2E9C-101B-9397-08002B2CF9AE}" pid="7" name="Created">
    <vt:filetime>2025-02-04T00:00:00Z</vt:filetime>
  </property>
</Properties>
</file>