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FDBD" w14:textId="77777777" w:rsidR="0089377B" w:rsidRPr="006D0233" w:rsidRDefault="0089377B" w:rsidP="003755B6">
      <w:pPr>
        <w:pStyle w:val="Title"/>
        <w:spacing w:before="0"/>
        <w:ind w:left="0" w:right="0" w:firstLine="0"/>
        <w:jc w:val="both"/>
        <w:rPr>
          <w:rFonts w:ascii="Times New Roman" w:hAnsi="Times New Roman" w:cs="Times New Roman"/>
          <w:sz w:val="24"/>
        </w:rPr>
      </w:pPr>
      <w:r>
        <w:rPr>
          <w:rFonts w:ascii="Times New Roman" w:hAnsi="Times New Roman"/>
          <w:sz w:val="24"/>
        </w:rPr>
        <w:t>ENERĢĒTIKAS HARTAS SEKRETARIĀTS</w:t>
      </w:r>
    </w:p>
    <w:p w14:paraId="4CB53C76" w14:textId="77777777" w:rsidR="0089377B" w:rsidRPr="006D0233" w:rsidRDefault="0089377B" w:rsidP="003755B6">
      <w:pPr>
        <w:pStyle w:val="Title"/>
        <w:spacing w:before="0"/>
        <w:ind w:left="0" w:right="0" w:firstLine="0"/>
        <w:jc w:val="both"/>
        <w:rPr>
          <w:rFonts w:ascii="Times New Roman" w:hAnsi="Times New Roman" w:cs="Times New Roman"/>
          <w:sz w:val="24"/>
          <w:lang w:val="en-GB"/>
        </w:rPr>
      </w:pPr>
    </w:p>
    <w:tbl>
      <w:tblPr>
        <w:tblStyle w:val="TableGrid"/>
        <w:tblW w:w="0" w:type="auto"/>
        <w:tblInd w:w="5857" w:type="dxa"/>
        <w:tblBorders>
          <w:left w:val="none" w:sz="0" w:space="0" w:color="auto"/>
          <w:right w:val="none" w:sz="0" w:space="0" w:color="auto"/>
        </w:tblBorders>
        <w:tblLook w:val="04A0" w:firstRow="1" w:lastRow="0" w:firstColumn="1" w:lastColumn="0" w:noHBand="0" w:noVBand="1"/>
      </w:tblPr>
      <w:tblGrid>
        <w:gridCol w:w="3226"/>
      </w:tblGrid>
      <w:tr w:rsidR="0089377B" w:rsidRPr="006D0233" w14:paraId="4106B4F8" w14:textId="77777777" w:rsidTr="0013401F">
        <w:trPr>
          <w:trHeight w:val="989"/>
        </w:trPr>
        <w:tc>
          <w:tcPr>
            <w:tcW w:w="3226" w:type="dxa"/>
          </w:tcPr>
          <w:p w14:paraId="5FDD5DFF" w14:textId="77777777" w:rsidR="0089377B" w:rsidRPr="006D0233" w:rsidRDefault="0089377B" w:rsidP="0036398E">
            <w:pPr>
              <w:ind w:left="805"/>
              <w:jc w:val="both"/>
              <w:rPr>
                <w:sz w:val="24"/>
                <w:lang w:val="en-GB"/>
              </w:rPr>
            </w:pPr>
          </w:p>
          <w:p w14:paraId="4A6BE564" w14:textId="77777777" w:rsidR="0089377B" w:rsidRPr="006D0233" w:rsidRDefault="0089377B" w:rsidP="0036398E">
            <w:pPr>
              <w:ind w:left="805"/>
              <w:jc w:val="both"/>
              <w:rPr>
                <w:sz w:val="24"/>
              </w:rPr>
            </w:pPr>
            <w:r>
              <w:rPr>
                <w:sz w:val="24"/>
              </w:rPr>
              <w:t>CCDEC 2024</w:t>
            </w:r>
          </w:p>
          <w:p w14:paraId="284BFA6E" w14:textId="77777777" w:rsidR="0089377B" w:rsidRPr="006D0233" w:rsidRDefault="0089377B" w:rsidP="0036398E">
            <w:pPr>
              <w:ind w:left="805"/>
              <w:jc w:val="both"/>
              <w:rPr>
                <w:sz w:val="24"/>
                <w:lang w:val="en-GB"/>
              </w:rPr>
            </w:pPr>
          </w:p>
          <w:p w14:paraId="05D32448" w14:textId="1DF37AAE" w:rsidR="0089377B" w:rsidRPr="006D0233" w:rsidRDefault="00D940CD" w:rsidP="0036398E">
            <w:pPr>
              <w:ind w:left="805"/>
              <w:jc w:val="both"/>
              <w:rPr>
                <w:sz w:val="24"/>
              </w:rPr>
            </w:pPr>
            <w:r>
              <w:rPr>
                <w:sz w:val="24"/>
              </w:rPr>
              <w:t>14 GEN</w:t>
            </w:r>
          </w:p>
          <w:p w14:paraId="10239B3A" w14:textId="77777777" w:rsidR="0089377B" w:rsidRPr="006D0233" w:rsidRDefault="0089377B" w:rsidP="003755B6">
            <w:pPr>
              <w:jc w:val="both"/>
              <w:rPr>
                <w:sz w:val="24"/>
                <w:lang w:val="en-GB"/>
              </w:rPr>
            </w:pPr>
          </w:p>
        </w:tc>
      </w:tr>
    </w:tbl>
    <w:p w14:paraId="39597113" w14:textId="77777777" w:rsidR="0089377B" w:rsidRPr="006D0233" w:rsidRDefault="0089377B" w:rsidP="003755B6">
      <w:pPr>
        <w:pStyle w:val="BodyText"/>
        <w:jc w:val="both"/>
        <w:rPr>
          <w:b/>
          <w:sz w:val="24"/>
          <w:lang w:val="en-GB"/>
        </w:rPr>
      </w:pPr>
    </w:p>
    <w:p w14:paraId="3753BDB8" w14:textId="77777777" w:rsidR="0089377B" w:rsidRPr="006D0233" w:rsidRDefault="0089377B" w:rsidP="0036398E">
      <w:pPr>
        <w:ind w:right="425"/>
        <w:jc w:val="right"/>
        <w:rPr>
          <w:sz w:val="24"/>
        </w:rPr>
      </w:pPr>
      <w:r>
        <w:rPr>
          <w:sz w:val="24"/>
        </w:rPr>
        <w:t>Briselē, 2024. gada 3. decembrī</w:t>
      </w:r>
    </w:p>
    <w:p w14:paraId="22A21130" w14:textId="77777777" w:rsidR="0089377B" w:rsidRPr="006D0233" w:rsidRDefault="0089377B" w:rsidP="003755B6">
      <w:pPr>
        <w:pStyle w:val="BodyText"/>
        <w:jc w:val="both"/>
        <w:rPr>
          <w:b/>
          <w:sz w:val="24"/>
          <w:lang w:val="en-GB"/>
        </w:rPr>
      </w:pPr>
    </w:p>
    <w:tbl>
      <w:tblPr>
        <w:tblStyle w:val="TableGrid"/>
        <w:tblW w:w="0" w:type="auto"/>
        <w:tblInd w:w="5844" w:type="dxa"/>
        <w:tblLook w:val="04A0" w:firstRow="1" w:lastRow="0" w:firstColumn="1" w:lastColumn="0" w:noHBand="0" w:noVBand="1"/>
      </w:tblPr>
      <w:tblGrid>
        <w:gridCol w:w="3226"/>
      </w:tblGrid>
      <w:tr w:rsidR="006D0233" w:rsidRPr="006D0233" w14:paraId="6B06D843" w14:textId="77777777" w:rsidTr="0013401F">
        <w:trPr>
          <w:trHeight w:val="1026"/>
        </w:trPr>
        <w:tc>
          <w:tcPr>
            <w:tcW w:w="3226" w:type="dxa"/>
          </w:tcPr>
          <w:p w14:paraId="3E7A3402" w14:textId="77777777" w:rsidR="0089377B" w:rsidRPr="006D0233" w:rsidRDefault="0089377B" w:rsidP="003755B6">
            <w:pPr>
              <w:jc w:val="both"/>
              <w:rPr>
                <w:sz w:val="24"/>
                <w:lang w:val="en-GB"/>
              </w:rPr>
            </w:pPr>
          </w:p>
          <w:p w14:paraId="7129F4D5" w14:textId="77777777" w:rsidR="0089377B" w:rsidRPr="006D0233" w:rsidRDefault="0089377B" w:rsidP="003755B6">
            <w:pPr>
              <w:jc w:val="both"/>
              <w:rPr>
                <w:sz w:val="24"/>
              </w:rPr>
            </w:pPr>
            <w:r>
              <w:rPr>
                <w:sz w:val="24"/>
              </w:rPr>
              <w:t>Saistītie dokumenti:</w:t>
            </w:r>
          </w:p>
          <w:p w14:paraId="71A293D9" w14:textId="54314B9B" w:rsidR="0089377B" w:rsidRPr="006D0233" w:rsidRDefault="0089377B" w:rsidP="003755B6">
            <w:pPr>
              <w:jc w:val="both"/>
              <w:rPr>
                <w:sz w:val="24"/>
              </w:rPr>
            </w:pPr>
            <w:r>
              <w:rPr>
                <w:sz w:val="24"/>
              </w:rPr>
              <w:t>CC 762, CC 762 Rev,</w:t>
            </w:r>
          </w:p>
          <w:p w14:paraId="050EF16F" w14:textId="4977651A" w:rsidR="0089377B" w:rsidRPr="006D0233" w:rsidRDefault="0089377B" w:rsidP="003755B6">
            <w:pPr>
              <w:jc w:val="both"/>
              <w:rPr>
                <w:sz w:val="24"/>
              </w:rPr>
            </w:pPr>
            <w:r>
              <w:rPr>
                <w:sz w:val="24"/>
              </w:rPr>
              <w:t>CC 762 Rev 2,</w:t>
            </w:r>
          </w:p>
          <w:p w14:paraId="2950DDB5" w14:textId="77777777" w:rsidR="0089377B" w:rsidRPr="006D0233" w:rsidRDefault="0089377B" w:rsidP="003755B6">
            <w:pPr>
              <w:jc w:val="both"/>
              <w:rPr>
                <w:sz w:val="24"/>
              </w:rPr>
            </w:pPr>
            <w:r>
              <w:rPr>
                <w:sz w:val="24"/>
              </w:rPr>
              <w:t>Mess 2171/24</w:t>
            </w:r>
          </w:p>
          <w:p w14:paraId="1E562CF1" w14:textId="77777777" w:rsidR="0089377B" w:rsidRPr="006D0233" w:rsidRDefault="0089377B" w:rsidP="003755B6">
            <w:pPr>
              <w:jc w:val="both"/>
              <w:rPr>
                <w:sz w:val="24"/>
                <w:lang w:val="en-GB"/>
              </w:rPr>
            </w:pPr>
          </w:p>
        </w:tc>
      </w:tr>
    </w:tbl>
    <w:p w14:paraId="34E965B3" w14:textId="77777777" w:rsidR="00405184" w:rsidRPr="006D0233" w:rsidRDefault="00405184" w:rsidP="003755B6">
      <w:pPr>
        <w:pStyle w:val="BodyText"/>
        <w:rPr>
          <w:noProof/>
          <w:sz w:val="24"/>
        </w:rPr>
      </w:pPr>
    </w:p>
    <w:p w14:paraId="78EF4ECD" w14:textId="77777777" w:rsidR="00405184" w:rsidRPr="006D0233" w:rsidRDefault="00405184" w:rsidP="003755B6">
      <w:pPr>
        <w:pStyle w:val="BodyText"/>
        <w:rPr>
          <w:noProof/>
          <w:sz w:val="24"/>
        </w:rPr>
      </w:pPr>
    </w:p>
    <w:p w14:paraId="0FAF1951" w14:textId="77777777" w:rsidR="00405184" w:rsidRPr="006D0233" w:rsidRDefault="00405184" w:rsidP="003755B6">
      <w:pPr>
        <w:jc w:val="center"/>
        <w:rPr>
          <w:b/>
          <w:noProof/>
          <w:sz w:val="24"/>
          <w:u w:val="single"/>
        </w:rPr>
      </w:pPr>
      <w:r>
        <w:rPr>
          <w:b/>
          <w:sz w:val="24"/>
          <w:u w:val="single"/>
        </w:rPr>
        <w:t>ENERĢĒTIKAS HARTAS KONFERENCES LĒMUMS</w:t>
      </w:r>
    </w:p>
    <w:p w14:paraId="4B6B023B" w14:textId="77777777" w:rsidR="00405184" w:rsidRPr="006D0233" w:rsidRDefault="00405184" w:rsidP="003755B6">
      <w:pPr>
        <w:pStyle w:val="BodyText"/>
        <w:rPr>
          <w:b/>
          <w:noProof/>
          <w:sz w:val="24"/>
        </w:rPr>
      </w:pPr>
    </w:p>
    <w:p w14:paraId="6341680D" w14:textId="77777777" w:rsidR="00405184" w:rsidRPr="006D0233" w:rsidRDefault="00405184" w:rsidP="003755B6">
      <w:pPr>
        <w:pStyle w:val="BodyText"/>
        <w:rPr>
          <w:b/>
          <w:noProof/>
          <w:sz w:val="24"/>
        </w:rPr>
      </w:pPr>
    </w:p>
    <w:p w14:paraId="5F4193A9" w14:textId="77777777" w:rsidR="00405184" w:rsidRPr="006D0233" w:rsidRDefault="00405184" w:rsidP="003755B6">
      <w:pPr>
        <w:pStyle w:val="Heading1"/>
        <w:ind w:left="0"/>
        <w:jc w:val="both"/>
        <w:rPr>
          <w:noProof/>
          <w:sz w:val="24"/>
        </w:rPr>
      </w:pPr>
      <w:r>
        <w:rPr>
          <w:sz w:val="24"/>
        </w:rPr>
        <w:t>Priekšmets: izmaiņas vienošanās punktos, deklarācijās un lēmumos</w:t>
      </w:r>
    </w:p>
    <w:p w14:paraId="71CAAB89" w14:textId="77777777" w:rsidR="00405184" w:rsidRPr="006D0233" w:rsidRDefault="00405184" w:rsidP="003755B6">
      <w:pPr>
        <w:pStyle w:val="BodyText"/>
        <w:rPr>
          <w:b/>
          <w:noProof/>
          <w:sz w:val="24"/>
        </w:rPr>
      </w:pPr>
    </w:p>
    <w:p w14:paraId="07238B41" w14:textId="77777777" w:rsidR="00405184" w:rsidRPr="006D0233" w:rsidRDefault="00405184" w:rsidP="003755B6">
      <w:pPr>
        <w:pStyle w:val="BodyText"/>
        <w:ind w:hanging="18"/>
        <w:jc w:val="both"/>
        <w:rPr>
          <w:noProof/>
          <w:sz w:val="24"/>
        </w:rPr>
      </w:pPr>
      <w:r>
        <w:rPr>
          <w:sz w:val="24"/>
        </w:rPr>
        <w:t>Enerģētikas hartas konference 2024. gada 3. decembra 35. sanāksmes statūtos noteiktajā sesijā apstiprināja izmaiņas</w:t>
      </w:r>
    </w:p>
    <w:p w14:paraId="11A0BED0" w14:textId="77777777" w:rsidR="00FA1017" w:rsidRPr="006D0233" w:rsidRDefault="00FA1017" w:rsidP="003755B6">
      <w:pPr>
        <w:pStyle w:val="BodyText"/>
        <w:ind w:hanging="18"/>
        <w:jc w:val="both"/>
        <w:rPr>
          <w:noProof/>
          <w:sz w:val="24"/>
        </w:rPr>
      </w:pPr>
    </w:p>
    <w:p w14:paraId="340BF96F" w14:textId="77777777" w:rsidR="005604EB" w:rsidRPr="006D0233" w:rsidRDefault="005604EB" w:rsidP="003755B6">
      <w:pPr>
        <w:pStyle w:val="ListParagraph"/>
        <w:tabs>
          <w:tab w:val="left" w:pos="882"/>
          <w:tab w:val="left" w:pos="888"/>
        </w:tabs>
        <w:ind w:left="567" w:hanging="283"/>
        <w:rPr>
          <w:noProof/>
          <w:sz w:val="24"/>
        </w:rPr>
      </w:pPr>
      <w:r>
        <w:rPr>
          <w:sz w:val="24"/>
        </w:rPr>
        <w:t>a) vienošanās punktos, deklarācijās un lēmumos, kas ietverti Eiropas Enerģētikas hartas konferences Nobeiguma aktā (kas grozīts ar Labojumu protokolu 1996. gadā) un</w:t>
      </w:r>
    </w:p>
    <w:p w14:paraId="44652D5B" w14:textId="77777777" w:rsidR="00FA1017" w:rsidRPr="006D0233" w:rsidRDefault="00FA1017" w:rsidP="003755B6">
      <w:pPr>
        <w:pStyle w:val="ListParagraph"/>
        <w:tabs>
          <w:tab w:val="left" w:pos="882"/>
          <w:tab w:val="left" w:pos="888"/>
        </w:tabs>
        <w:ind w:left="567" w:hanging="283"/>
        <w:rPr>
          <w:noProof/>
          <w:sz w:val="24"/>
        </w:rPr>
      </w:pPr>
    </w:p>
    <w:p w14:paraId="521D4FB4" w14:textId="5BF7B365" w:rsidR="00405184" w:rsidRPr="006D0233" w:rsidRDefault="005604EB" w:rsidP="003755B6">
      <w:pPr>
        <w:pStyle w:val="ListParagraph"/>
        <w:tabs>
          <w:tab w:val="left" w:pos="882"/>
          <w:tab w:val="left" w:pos="888"/>
        </w:tabs>
        <w:ind w:left="567" w:hanging="283"/>
        <w:rPr>
          <w:noProof/>
          <w:sz w:val="24"/>
        </w:rPr>
      </w:pPr>
      <w:r>
        <w:rPr>
          <w:sz w:val="24"/>
        </w:rPr>
        <w:t>b) vienošanās punktos, kas ietverti Starptautiskās konferences Nobeiguma aktā un Enerģētikas hartas konferences lēmumā par Enerģētikas hartas nolīguma (EHN) tirdzniecības noteikumu grozījumiem,</w:t>
      </w:r>
    </w:p>
    <w:p w14:paraId="587E45A4" w14:textId="77777777" w:rsidR="00FA1017" w:rsidRPr="006D0233" w:rsidRDefault="00FA1017" w:rsidP="003755B6">
      <w:pPr>
        <w:pStyle w:val="ListParagraph"/>
        <w:tabs>
          <w:tab w:val="left" w:pos="882"/>
          <w:tab w:val="left" w:pos="888"/>
        </w:tabs>
        <w:ind w:left="0" w:firstLine="0"/>
        <w:rPr>
          <w:noProof/>
          <w:sz w:val="24"/>
        </w:rPr>
      </w:pPr>
    </w:p>
    <w:p w14:paraId="65C83FE2" w14:textId="77777777" w:rsidR="003755B6" w:rsidRPr="006D0233" w:rsidRDefault="00405184" w:rsidP="003755B6">
      <w:pPr>
        <w:pStyle w:val="BodyText"/>
        <w:ind w:firstLine="8"/>
        <w:jc w:val="both"/>
        <w:rPr>
          <w:noProof/>
          <w:sz w:val="24"/>
        </w:rPr>
      </w:pPr>
      <w:r>
        <w:rPr>
          <w:sz w:val="24"/>
        </w:rPr>
        <w:t>kas pievienoti šim dokumentam.</w:t>
      </w:r>
    </w:p>
    <w:p w14:paraId="19E45AAA" w14:textId="77777777" w:rsidR="003755B6" w:rsidRPr="006D0233" w:rsidRDefault="003755B6" w:rsidP="003755B6">
      <w:pPr>
        <w:pStyle w:val="BodyText"/>
        <w:ind w:firstLine="8"/>
        <w:jc w:val="both"/>
        <w:rPr>
          <w:noProof/>
          <w:sz w:val="24"/>
        </w:rPr>
      </w:pPr>
    </w:p>
    <w:p w14:paraId="49878555" w14:textId="4E47A907" w:rsidR="00405184" w:rsidRPr="006D0233" w:rsidRDefault="00405184" w:rsidP="003755B6">
      <w:pPr>
        <w:pStyle w:val="BodyText"/>
        <w:jc w:val="both"/>
        <w:rPr>
          <w:noProof/>
          <w:sz w:val="24"/>
        </w:rPr>
      </w:pPr>
      <w:r>
        <w:rPr>
          <w:sz w:val="24"/>
        </w:rPr>
        <w:t>Izmaiņas:</w:t>
      </w:r>
    </w:p>
    <w:p w14:paraId="34AF2357" w14:textId="77777777" w:rsidR="003755B6" w:rsidRPr="006D0233" w:rsidRDefault="003755B6" w:rsidP="003755B6">
      <w:pPr>
        <w:pStyle w:val="BodyText"/>
        <w:jc w:val="both"/>
        <w:rPr>
          <w:noProof/>
          <w:sz w:val="24"/>
        </w:rPr>
      </w:pPr>
    </w:p>
    <w:p w14:paraId="6F12D8A8" w14:textId="5B6D75F5" w:rsidR="00405184" w:rsidRPr="006D0233" w:rsidRDefault="00FA1017" w:rsidP="003755B6">
      <w:pPr>
        <w:pStyle w:val="ListParagraph"/>
        <w:tabs>
          <w:tab w:val="left" w:pos="873"/>
        </w:tabs>
        <w:ind w:left="284" w:firstLine="0"/>
        <w:jc w:val="left"/>
        <w:rPr>
          <w:noProof/>
          <w:sz w:val="24"/>
        </w:rPr>
      </w:pPr>
      <w:r>
        <w:rPr>
          <w:sz w:val="24"/>
        </w:rPr>
        <w:t>a) vienošanās punktos, kas norādīti šā lēmuma I. iedaļas 1., 3., 19., 21. punktā;</w:t>
      </w:r>
    </w:p>
    <w:p w14:paraId="410E8983" w14:textId="15C18419" w:rsidR="00405184" w:rsidRPr="006D0233" w:rsidRDefault="00FA1017" w:rsidP="003755B6">
      <w:pPr>
        <w:pStyle w:val="ListParagraph"/>
        <w:tabs>
          <w:tab w:val="left" w:pos="874"/>
        </w:tabs>
        <w:ind w:left="284" w:firstLine="0"/>
        <w:jc w:val="left"/>
        <w:rPr>
          <w:noProof/>
          <w:sz w:val="24"/>
        </w:rPr>
      </w:pPr>
      <w:r>
        <w:rPr>
          <w:sz w:val="24"/>
        </w:rPr>
        <w:t>b) deklarācijās, kas norādītas šā lēmuma II. iedaļā;</w:t>
      </w:r>
    </w:p>
    <w:p w14:paraId="65BE3064" w14:textId="561A7395" w:rsidR="00405184" w:rsidRPr="006D0233" w:rsidRDefault="00FA1017" w:rsidP="003755B6">
      <w:pPr>
        <w:pStyle w:val="ListParagraph"/>
        <w:tabs>
          <w:tab w:val="left" w:pos="873"/>
        </w:tabs>
        <w:ind w:left="284" w:firstLine="0"/>
        <w:jc w:val="left"/>
        <w:rPr>
          <w:noProof/>
          <w:sz w:val="24"/>
        </w:rPr>
      </w:pPr>
      <w:r>
        <w:rPr>
          <w:sz w:val="24"/>
        </w:rPr>
        <w:t>c) lēmumos, kas norādīti šā lēmuma III. iedaļas 2.–4. punktā;</w:t>
      </w:r>
    </w:p>
    <w:p w14:paraId="0159960C" w14:textId="77777777" w:rsidR="003755B6" w:rsidRPr="006D0233" w:rsidRDefault="003755B6" w:rsidP="003755B6">
      <w:pPr>
        <w:tabs>
          <w:tab w:val="left" w:pos="873"/>
        </w:tabs>
        <w:ind w:left="284"/>
        <w:rPr>
          <w:noProof/>
          <w:sz w:val="24"/>
        </w:rPr>
      </w:pPr>
      <w:r>
        <w:rPr>
          <w:sz w:val="24"/>
        </w:rPr>
        <w:t>d) šā lēmuma IV. iedaļas 1. punktā</w:t>
      </w:r>
    </w:p>
    <w:p w14:paraId="0F3B1F80" w14:textId="77777777" w:rsidR="003755B6" w:rsidRPr="006D0233" w:rsidRDefault="003755B6" w:rsidP="003755B6">
      <w:pPr>
        <w:tabs>
          <w:tab w:val="left" w:pos="873"/>
        </w:tabs>
        <w:rPr>
          <w:noProof/>
          <w:sz w:val="24"/>
        </w:rPr>
      </w:pPr>
    </w:p>
    <w:p w14:paraId="4C53694F" w14:textId="64DDF178" w:rsidR="00405184" w:rsidRPr="006D0233" w:rsidRDefault="00405184" w:rsidP="003755B6">
      <w:pPr>
        <w:tabs>
          <w:tab w:val="left" w:pos="873"/>
        </w:tabs>
        <w:rPr>
          <w:noProof/>
          <w:sz w:val="24"/>
        </w:rPr>
      </w:pPr>
      <w:r>
        <w:rPr>
          <w:sz w:val="24"/>
        </w:rPr>
        <w:t>stājas spēkā 2024. gada 3. decembrī.</w:t>
      </w:r>
    </w:p>
    <w:p w14:paraId="6CDD439A" w14:textId="77777777" w:rsidR="003755B6" w:rsidRPr="006D0233" w:rsidRDefault="003755B6" w:rsidP="003755B6">
      <w:pPr>
        <w:tabs>
          <w:tab w:val="left" w:pos="873"/>
        </w:tabs>
        <w:rPr>
          <w:noProof/>
          <w:sz w:val="24"/>
        </w:rPr>
      </w:pPr>
    </w:p>
    <w:p w14:paraId="7619625B" w14:textId="367E9269" w:rsidR="00405184" w:rsidRPr="006D0233" w:rsidRDefault="00405184" w:rsidP="003755B6">
      <w:pPr>
        <w:pStyle w:val="BodyText"/>
        <w:jc w:val="both"/>
        <w:rPr>
          <w:noProof/>
          <w:sz w:val="24"/>
        </w:rPr>
      </w:pPr>
      <w:r>
        <w:rPr>
          <w:sz w:val="24"/>
        </w:rPr>
        <w:t>Pārējās izmaiņas, kas norādītas šajā lēmumā, stājas spēkā attiecībā uz katru Līgumslēdzēju Pusi līdz ar brīdi, kad attiecīgajai Līgumslēdzējai Pusei stājas spēkā EHN grozījumi, kas pieņemti 2024. gada 3. decembrī. Līdz tam tās tiks piemērotas pagaidu kārtībā tādā pašā veidā kā 2024. gada 3. decembrī pieņemtie EHN grozījumi.</w:t>
      </w:r>
    </w:p>
    <w:p w14:paraId="46DF218A" w14:textId="77777777" w:rsidR="00405184" w:rsidRPr="006D0233" w:rsidRDefault="00405184" w:rsidP="003755B6">
      <w:pPr>
        <w:pStyle w:val="BodyText"/>
        <w:rPr>
          <w:noProof/>
          <w:sz w:val="24"/>
        </w:rPr>
      </w:pPr>
    </w:p>
    <w:p w14:paraId="791674EF" w14:textId="77777777" w:rsidR="00405184" w:rsidRPr="006D0233" w:rsidRDefault="00405184" w:rsidP="003755B6">
      <w:pPr>
        <w:pStyle w:val="BodyText"/>
        <w:rPr>
          <w:noProof/>
          <w:sz w:val="24"/>
        </w:rPr>
      </w:pPr>
    </w:p>
    <w:p w14:paraId="6D90F1CD" w14:textId="1777B8F5" w:rsidR="00405184" w:rsidRPr="006D0233" w:rsidRDefault="00405184" w:rsidP="003755B6">
      <w:pPr>
        <w:pStyle w:val="BodyText"/>
        <w:ind w:firstLine="14"/>
        <w:jc w:val="both"/>
        <w:rPr>
          <w:noProof/>
          <w:sz w:val="24"/>
        </w:rPr>
      </w:pPr>
      <w:r>
        <w:rPr>
          <w:sz w:val="24"/>
        </w:rPr>
        <w:t>Atslēgvārdi: modernizācija, Enerģētikas hartas nolīgums, vienošanās, deklarācijas, lēmumi, izmaiņas</w:t>
      </w:r>
    </w:p>
    <w:p w14:paraId="4EF05125" w14:textId="4E92BBD6" w:rsidR="00405184" w:rsidRPr="006D0233" w:rsidRDefault="00444D24" w:rsidP="003755B6">
      <w:pPr>
        <w:pStyle w:val="Heading2"/>
        <w:tabs>
          <w:tab w:val="left" w:pos="1027"/>
        </w:tabs>
        <w:ind w:left="0" w:firstLine="0"/>
        <w:rPr>
          <w:noProof/>
          <w:sz w:val="24"/>
        </w:rPr>
      </w:pPr>
      <w:r>
        <w:rPr>
          <w:sz w:val="24"/>
        </w:rPr>
        <w:lastRenderedPageBreak/>
        <w:t>I. IZMAIŅAS VIENOŠANĀS PUNKTOS</w:t>
      </w:r>
    </w:p>
    <w:p w14:paraId="7465E3F6" w14:textId="77777777" w:rsidR="00405184" w:rsidRPr="006D0233" w:rsidRDefault="00405184" w:rsidP="003755B6">
      <w:pPr>
        <w:pStyle w:val="BodyText"/>
        <w:rPr>
          <w:b/>
          <w:noProof/>
          <w:sz w:val="24"/>
        </w:rPr>
      </w:pPr>
    </w:p>
    <w:p w14:paraId="03E74750" w14:textId="0DEB2F3A" w:rsidR="00405184" w:rsidRPr="006D0233" w:rsidRDefault="00444D24" w:rsidP="004771C1">
      <w:pPr>
        <w:pStyle w:val="ListParagraph"/>
        <w:tabs>
          <w:tab w:val="left" w:pos="473"/>
          <w:tab w:val="left" w:pos="494"/>
        </w:tabs>
        <w:ind w:left="284" w:hanging="284"/>
        <w:rPr>
          <w:noProof/>
          <w:sz w:val="24"/>
        </w:rPr>
      </w:pPr>
      <w:r>
        <w:rPr>
          <w:sz w:val="24"/>
        </w:rPr>
        <w:t>1. Nobeiguma akta 1. vienošanās “Attiecībā uz Nolīgumu kopumā” b) apakšpunkta i) daļā aizstāj “trešajām personām” [</w:t>
      </w:r>
      <w:r>
        <w:rPr>
          <w:i/>
          <w:iCs/>
          <w:sz w:val="24"/>
        </w:rPr>
        <w:t>third party</w:t>
      </w:r>
      <w:r>
        <w:rPr>
          <w:sz w:val="24"/>
        </w:rPr>
        <w:t>] ar “trešajām personām [</w:t>
      </w:r>
      <w:r>
        <w:rPr>
          <w:i/>
          <w:iCs/>
          <w:sz w:val="24"/>
        </w:rPr>
        <w:t>third-party</w:t>
      </w:r>
      <w:r>
        <w:rPr>
          <w:sz w:val="24"/>
        </w:rPr>
        <w:t>].</w:t>
      </w:r>
    </w:p>
    <w:p w14:paraId="5AA76DC0" w14:textId="77777777" w:rsidR="00405184" w:rsidRPr="006D0233" w:rsidRDefault="00405184" w:rsidP="004771C1">
      <w:pPr>
        <w:pStyle w:val="BodyText"/>
        <w:jc w:val="both"/>
        <w:rPr>
          <w:noProof/>
          <w:sz w:val="24"/>
        </w:rPr>
      </w:pPr>
    </w:p>
    <w:p w14:paraId="642A4699" w14:textId="7B4D6EC9" w:rsidR="00405184" w:rsidRPr="006D0233" w:rsidRDefault="00444D24" w:rsidP="004771C1">
      <w:pPr>
        <w:pStyle w:val="ListParagraph"/>
        <w:tabs>
          <w:tab w:val="left" w:pos="473"/>
          <w:tab w:val="left" w:pos="490"/>
        </w:tabs>
        <w:ind w:left="284" w:hanging="284"/>
        <w:rPr>
          <w:noProof/>
          <w:sz w:val="24"/>
        </w:rPr>
      </w:pPr>
      <w:r>
        <w:rPr>
          <w:sz w:val="24"/>
        </w:rPr>
        <w:t>2. Nobeiguma akta 2. vienošanās “Attiecībā uz 1. panta 5. punktu” b) apakšpunkta iii) daļā aizstāj “transportēšana” ar “transports”; b) apakšpunkta iv) daļā “saistītas ar enerģētiku” [</w:t>
      </w:r>
      <w:r>
        <w:rPr>
          <w:i/>
          <w:iCs/>
          <w:sz w:val="24"/>
        </w:rPr>
        <w:t>energy related</w:t>
      </w:r>
      <w:r>
        <w:rPr>
          <w:sz w:val="24"/>
        </w:rPr>
        <w:t>] aizstāj ar “saistītas ar enerģētiku” [</w:t>
      </w:r>
      <w:r>
        <w:rPr>
          <w:i/>
          <w:iCs/>
          <w:sz w:val="24"/>
        </w:rPr>
        <w:t>energy-related</w:t>
      </w:r>
      <w:r>
        <w:rPr>
          <w:sz w:val="24"/>
        </w:rPr>
        <w:t>] un v) daļā tekstu “ar enerģētiku saistīto” (</w:t>
      </w:r>
      <w:r>
        <w:rPr>
          <w:i/>
          <w:iCs/>
          <w:sz w:val="24"/>
        </w:rPr>
        <w:t>energy related</w:t>
      </w:r>
      <w:r>
        <w:rPr>
          <w:sz w:val="24"/>
        </w:rPr>
        <w:t>) aizstāj ar “ar enerģētiku saistīto” [</w:t>
      </w:r>
      <w:r>
        <w:rPr>
          <w:i/>
          <w:iCs/>
          <w:sz w:val="24"/>
        </w:rPr>
        <w:t>energy-related</w:t>
      </w:r>
      <w:r>
        <w:rPr>
          <w:sz w:val="24"/>
        </w:rPr>
        <w:t>]; b) apakšpunkta vii) daļā pievieno tekstu “kā noteikts 19. panta 7. punkta c) apakšpunktā”.</w:t>
      </w:r>
    </w:p>
    <w:p w14:paraId="44E35258" w14:textId="77777777" w:rsidR="00405184" w:rsidRPr="006D0233" w:rsidRDefault="00405184" w:rsidP="003755B6">
      <w:pPr>
        <w:pStyle w:val="BodyText"/>
        <w:rPr>
          <w:noProof/>
          <w:sz w:val="24"/>
        </w:rPr>
      </w:pPr>
    </w:p>
    <w:p w14:paraId="5FDACFFC" w14:textId="60B855A4" w:rsidR="00405184" w:rsidRPr="006D0233" w:rsidRDefault="00026973" w:rsidP="00026973">
      <w:pPr>
        <w:pStyle w:val="ListParagraph"/>
        <w:tabs>
          <w:tab w:val="left" w:pos="488"/>
        </w:tabs>
        <w:ind w:left="0" w:firstLine="0"/>
        <w:jc w:val="left"/>
        <w:rPr>
          <w:noProof/>
          <w:sz w:val="24"/>
        </w:rPr>
      </w:pPr>
      <w:r>
        <w:rPr>
          <w:sz w:val="24"/>
        </w:rPr>
        <w:t>3. Svītro 4. vienošanos “Attiecībā uz 1. panta 8. punktu”.</w:t>
      </w:r>
    </w:p>
    <w:p w14:paraId="6869E477" w14:textId="77777777" w:rsidR="00405184" w:rsidRPr="006D0233" w:rsidRDefault="00405184" w:rsidP="003755B6">
      <w:pPr>
        <w:pStyle w:val="BodyText"/>
        <w:rPr>
          <w:noProof/>
          <w:sz w:val="24"/>
        </w:rPr>
      </w:pPr>
    </w:p>
    <w:p w14:paraId="416E94FA" w14:textId="2C18E928" w:rsidR="00405184" w:rsidRPr="006D0233" w:rsidRDefault="00026973" w:rsidP="00026973">
      <w:pPr>
        <w:pStyle w:val="ListParagraph"/>
        <w:tabs>
          <w:tab w:val="left" w:pos="483"/>
        </w:tabs>
        <w:ind w:left="0" w:firstLine="0"/>
        <w:jc w:val="left"/>
        <w:rPr>
          <w:noProof/>
          <w:sz w:val="24"/>
        </w:rPr>
      </w:pPr>
      <w:r>
        <w:rPr>
          <w:sz w:val="24"/>
        </w:rPr>
        <w:t>4. Svītro 5. vienošanos “Attiecībā uz 1. panta 12. punktu”.</w:t>
      </w:r>
    </w:p>
    <w:p w14:paraId="4A561C4D" w14:textId="77777777" w:rsidR="00405184" w:rsidRPr="006D0233" w:rsidRDefault="00405184" w:rsidP="003755B6">
      <w:pPr>
        <w:pStyle w:val="BodyText"/>
        <w:rPr>
          <w:noProof/>
          <w:sz w:val="24"/>
        </w:rPr>
      </w:pPr>
    </w:p>
    <w:p w14:paraId="64889BE0" w14:textId="35FB08C6" w:rsidR="00405184" w:rsidRPr="006D0233" w:rsidRDefault="00026973" w:rsidP="00026973">
      <w:pPr>
        <w:pStyle w:val="ListParagraph"/>
        <w:tabs>
          <w:tab w:val="left" w:pos="486"/>
        </w:tabs>
        <w:ind w:left="0" w:firstLine="0"/>
        <w:jc w:val="left"/>
        <w:rPr>
          <w:noProof/>
          <w:sz w:val="24"/>
        </w:rPr>
      </w:pPr>
      <w:r>
        <w:rPr>
          <w:sz w:val="24"/>
        </w:rPr>
        <w:t>5. 8. vienošanās “Attiecībā uz 7. panta 4. punktu” nosaukumā aizstāj “4” ar “7”.</w:t>
      </w:r>
    </w:p>
    <w:p w14:paraId="67D0BB69" w14:textId="77777777" w:rsidR="00405184" w:rsidRPr="006D0233" w:rsidRDefault="00405184" w:rsidP="003755B6">
      <w:pPr>
        <w:pStyle w:val="BodyText"/>
        <w:rPr>
          <w:noProof/>
          <w:sz w:val="24"/>
        </w:rPr>
      </w:pPr>
    </w:p>
    <w:p w14:paraId="4DB29F95" w14:textId="0491B4C6" w:rsidR="00405184" w:rsidRPr="006D0233" w:rsidRDefault="00714B93" w:rsidP="004771C1">
      <w:pPr>
        <w:pStyle w:val="ListParagraph"/>
        <w:tabs>
          <w:tab w:val="left" w:pos="487"/>
        </w:tabs>
        <w:ind w:left="0" w:firstLine="0"/>
        <w:rPr>
          <w:noProof/>
          <w:sz w:val="24"/>
        </w:rPr>
      </w:pPr>
      <w:r>
        <w:rPr>
          <w:sz w:val="24"/>
        </w:rPr>
        <w:t>6. 6.–9. vienošanos pārnumurē par 4.–7. vienošanos.</w:t>
      </w:r>
    </w:p>
    <w:p w14:paraId="58A0FB4F" w14:textId="77777777" w:rsidR="00405184" w:rsidRPr="006D0233" w:rsidRDefault="00405184" w:rsidP="004771C1">
      <w:pPr>
        <w:pStyle w:val="BodyText"/>
        <w:jc w:val="both"/>
        <w:rPr>
          <w:noProof/>
          <w:sz w:val="24"/>
        </w:rPr>
      </w:pPr>
    </w:p>
    <w:p w14:paraId="32D5D9EB" w14:textId="1D9CCA0C" w:rsidR="00405184" w:rsidRPr="006D0233" w:rsidRDefault="00714B93" w:rsidP="004771C1">
      <w:pPr>
        <w:pStyle w:val="ListParagraph"/>
        <w:tabs>
          <w:tab w:val="left" w:pos="488"/>
        </w:tabs>
        <w:ind w:left="0" w:firstLine="0"/>
        <w:rPr>
          <w:noProof/>
          <w:sz w:val="24"/>
        </w:rPr>
      </w:pPr>
      <w:r>
        <w:rPr>
          <w:sz w:val="24"/>
        </w:rPr>
        <w:t>7. Svītro 10. vienošanos “Attiecībā uz 10. panta 4. punktu”.</w:t>
      </w:r>
    </w:p>
    <w:p w14:paraId="5115EC81" w14:textId="77777777" w:rsidR="00405184" w:rsidRPr="006D0233" w:rsidRDefault="00405184" w:rsidP="004771C1">
      <w:pPr>
        <w:pStyle w:val="BodyText"/>
        <w:jc w:val="both"/>
        <w:rPr>
          <w:noProof/>
          <w:sz w:val="24"/>
        </w:rPr>
      </w:pPr>
    </w:p>
    <w:p w14:paraId="511EEC6D" w14:textId="6BA07BD4" w:rsidR="00405184" w:rsidRPr="006D0233" w:rsidRDefault="00714B93" w:rsidP="004771C1">
      <w:pPr>
        <w:pStyle w:val="ListParagraph"/>
        <w:tabs>
          <w:tab w:val="left" w:pos="487"/>
        </w:tabs>
        <w:ind w:left="0" w:firstLine="0"/>
        <w:rPr>
          <w:noProof/>
          <w:sz w:val="24"/>
        </w:rPr>
      </w:pPr>
      <w:r>
        <w:rPr>
          <w:sz w:val="24"/>
        </w:rPr>
        <w:t>8. Svītro 11. vienošanos “Attiecībā uz 10. panta 4. punktu un 29. panta 6. punktu”.</w:t>
      </w:r>
    </w:p>
    <w:p w14:paraId="2A60EA17" w14:textId="77777777" w:rsidR="00405184" w:rsidRPr="006D0233" w:rsidRDefault="00405184" w:rsidP="004771C1">
      <w:pPr>
        <w:pStyle w:val="BodyText"/>
        <w:jc w:val="both"/>
        <w:rPr>
          <w:noProof/>
          <w:sz w:val="24"/>
        </w:rPr>
      </w:pPr>
    </w:p>
    <w:p w14:paraId="63013BAF" w14:textId="387FE76C" w:rsidR="00405184" w:rsidRPr="006D0233" w:rsidRDefault="00714B93" w:rsidP="004771C1">
      <w:pPr>
        <w:pStyle w:val="ListParagraph"/>
        <w:tabs>
          <w:tab w:val="left" w:pos="483"/>
        </w:tabs>
        <w:ind w:left="0" w:firstLine="0"/>
        <w:rPr>
          <w:noProof/>
          <w:sz w:val="24"/>
        </w:rPr>
      </w:pPr>
      <w:r>
        <w:rPr>
          <w:sz w:val="24"/>
        </w:rPr>
        <w:t>9. Svītro 12. vienošanos “Attiecībā uz 14. panta 5. punktu”.</w:t>
      </w:r>
    </w:p>
    <w:p w14:paraId="415BA5C8" w14:textId="77777777" w:rsidR="00405184" w:rsidRPr="006D0233" w:rsidRDefault="00405184" w:rsidP="004771C1">
      <w:pPr>
        <w:pStyle w:val="BodyText"/>
        <w:jc w:val="both"/>
        <w:rPr>
          <w:noProof/>
          <w:sz w:val="24"/>
        </w:rPr>
      </w:pPr>
    </w:p>
    <w:p w14:paraId="257AA457" w14:textId="77777777" w:rsidR="003468C7" w:rsidRPr="006D0233" w:rsidRDefault="00714B93" w:rsidP="004771C1">
      <w:pPr>
        <w:pStyle w:val="BodyText"/>
        <w:jc w:val="both"/>
        <w:rPr>
          <w:noProof/>
          <w:sz w:val="24"/>
        </w:rPr>
      </w:pPr>
      <w:r>
        <w:rPr>
          <w:sz w:val="24"/>
        </w:rPr>
        <w:t>10. Pievieno jaunu 8. vienošanos “Attiecībā uz 17.bis pantu”:</w:t>
      </w:r>
    </w:p>
    <w:p w14:paraId="1DBBD76D" w14:textId="77777777" w:rsidR="003468C7" w:rsidRPr="006D0233" w:rsidRDefault="003468C7" w:rsidP="004771C1">
      <w:pPr>
        <w:pStyle w:val="BodyText"/>
        <w:jc w:val="both"/>
        <w:rPr>
          <w:noProof/>
          <w:sz w:val="24"/>
        </w:rPr>
      </w:pPr>
    </w:p>
    <w:p w14:paraId="73F3B123" w14:textId="2353B6A2" w:rsidR="00405184" w:rsidRPr="006D0233" w:rsidRDefault="003468C7" w:rsidP="004771C1">
      <w:pPr>
        <w:pStyle w:val="BodyText"/>
        <w:ind w:left="284"/>
        <w:jc w:val="both"/>
        <w:rPr>
          <w:noProof/>
          <w:sz w:val="24"/>
        </w:rPr>
      </w:pPr>
      <w:r>
        <w:rPr>
          <w:sz w:val="24"/>
        </w:rPr>
        <w:t>“Eiropas Savienībā:</w:t>
      </w:r>
    </w:p>
    <w:p w14:paraId="4DC11D62" w14:textId="77777777" w:rsidR="003468C7" w:rsidRPr="006D0233" w:rsidRDefault="003468C7" w:rsidP="004771C1">
      <w:pPr>
        <w:pStyle w:val="BodyText"/>
        <w:jc w:val="both"/>
        <w:rPr>
          <w:noProof/>
          <w:sz w:val="24"/>
        </w:rPr>
      </w:pPr>
    </w:p>
    <w:p w14:paraId="66DF707E" w14:textId="13C1A19C" w:rsidR="00405184" w:rsidRPr="006D0233" w:rsidRDefault="003468C7" w:rsidP="004771C1">
      <w:pPr>
        <w:pStyle w:val="ListParagraph"/>
        <w:tabs>
          <w:tab w:val="left" w:pos="1015"/>
        </w:tabs>
        <w:ind w:left="567" w:hanging="283"/>
        <w:rPr>
          <w:noProof/>
          <w:sz w:val="24"/>
        </w:rPr>
      </w:pPr>
      <w:r>
        <w:rPr>
          <w:sz w:val="24"/>
        </w:rPr>
        <w:t>a) “subsīdija” ietver “valsts atbalstu”, kā noteikts Eiropas Savienības tiesībās;</w:t>
      </w:r>
    </w:p>
    <w:p w14:paraId="69D33BE9" w14:textId="77777777" w:rsidR="004D3B29" w:rsidRPr="006D0233" w:rsidRDefault="004D3B29" w:rsidP="004771C1">
      <w:pPr>
        <w:pStyle w:val="ListParagraph"/>
        <w:tabs>
          <w:tab w:val="left" w:pos="1015"/>
        </w:tabs>
        <w:ind w:left="567" w:hanging="283"/>
        <w:rPr>
          <w:noProof/>
          <w:sz w:val="24"/>
        </w:rPr>
      </w:pPr>
    </w:p>
    <w:p w14:paraId="24EB7774" w14:textId="516C7B42" w:rsidR="00405184" w:rsidRPr="006D0233" w:rsidRDefault="004D3B29" w:rsidP="004771C1">
      <w:pPr>
        <w:pStyle w:val="ListParagraph"/>
        <w:tabs>
          <w:tab w:val="left" w:pos="1021"/>
          <w:tab w:val="left" w:pos="1026"/>
        </w:tabs>
        <w:ind w:left="567" w:hanging="283"/>
        <w:rPr>
          <w:noProof/>
          <w:sz w:val="24"/>
        </w:rPr>
      </w:pPr>
      <w:r>
        <w:rPr>
          <w:sz w:val="24"/>
        </w:rPr>
        <w:t>b) kompetentās iestādes, kas tiesīgas izdot rīkojumu veikt 17.bis pantā minētās darbības, ir Eiropas Komisija vai dalībvalsts tiesa vai šķīrējtiesa, kad piemēro Eiropas Savienības tiesības par valsts atbalstu.”</w:t>
      </w:r>
    </w:p>
    <w:p w14:paraId="1E6C8919" w14:textId="77777777" w:rsidR="004D3B29" w:rsidRPr="006D0233" w:rsidRDefault="004D3B29" w:rsidP="004771C1">
      <w:pPr>
        <w:pStyle w:val="ListParagraph"/>
        <w:tabs>
          <w:tab w:val="left" w:pos="1021"/>
          <w:tab w:val="left" w:pos="1026"/>
        </w:tabs>
        <w:ind w:left="0" w:firstLine="0"/>
        <w:rPr>
          <w:noProof/>
          <w:sz w:val="24"/>
        </w:rPr>
      </w:pPr>
    </w:p>
    <w:p w14:paraId="78526345" w14:textId="74341C6F" w:rsidR="00405184" w:rsidRPr="006D0233" w:rsidRDefault="004D3B29" w:rsidP="004771C1">
      <w:pPr>
        <w:pStyle w:val="ListParagraph"/>
        <w:tabs>
          <w:tab w:val="left" w:pos="470"/>
          <w:tab w:val="left" w:pos="622"/>
        </w:tabs>
        <w:ind w:left="284" w:hanging="284"/>
        <w:rPr>
          <w:noProof/>
          <w:sz w:val="24"/>
        </w:rPr>
      </w:pPr>
      <w:r>
        <w:rPr>
          <w:sz w:val="24"/>
        </w:rPr>
        <w:t>11. 13. vienošanos “Attiecībā uz 19. panta 1. punkta i) apakšpunktu” pārnumurē par 9. vienošanos un tās virsrakstā “1” aizstāj ar “5”.</w:t>
      </w:r>
    </w:p>
    <w:p w14:paraId="0BB74EDF" w14:textId="77777777" w:rsidR="00405184" w:rsidRPr="006D0233" w:rsidRDefault="00405184" w:rsidP="004771C1">
      <w:pPr>
        <w:pStyle w:val="BodyText"/>
        <w:ind w:left="284" w:hanging="284"/>
        <w:jc w:val="both"/>
        <w:rPr>
          <w:noProof/>
          <w:sz w:val="24"/>
        </w:rPr>
      </w:pPr>
    </w:p>
    <w:p w14:paraId="12597DC8" w14:textId="7764E61A" w:rsidR="00405184" w:rsidRPr="006D0233" w:rsidRDefault="004D3B29" w:rsidP="004771C1">
      <w:pPr>
        <w:pStyle w:val="ListParagraph"/>
        <w:tabs>
          <w:tab w:val="left" w:pos="486"/>
          <w:tab w:val="left" w:pos="622"/>
        </w:tabs>
        <w:ind w:left="284" w:hanging="284"/>
        <w:rPr>
          <w:noProof/>
          <w:sz w:val="24"/>
        </w:rPr>
      </w:pPr>
      <w:r>
        <w:rPr>
          <w:sz w:val="24"/>
        </w:rPr>
        <w:t>12. 14. vienošanos “Attiecībā uz 22. un 23. pantu” pārnumurē par 10. vienošanos un tekstu “29. pants” aizstāj ar “32. pants”.</w:t>
      </w:r>
    </w:p>
    <w:p w14:paraId="0E3B210D" w14:textId="77777777" w:rsidR="00405184" w:rsidRPr="006D0233" w:rsidRDefault="00405184" w:rsidP="00E46011">
      <w:pPr>
        <w:pStyle w:val="BodyText"/>
        <w:ind w:left="284" w:hanging="284"/>
        <w:rPr>
          <w:noProof/>
          <w:sz w:val="24"/>
        </w:rPr>
      </w:pPr>
    </w:p>
    <w:p w14:paraId="0D6F9677" w14:textId="7F9E05C9" w:rsidR="00405184" w:rsidRPr="006D0233" w:rsidRDefault="004D3B29" w:rsidP="00E46011">
      <w:pPr>
        <w:pStyle w:val="ListParagraph"/>
        <w:tabs>
          <w:tab w:val="left" w:pos="470"/>
          <w:tab w:val="left" w:pos="620"/>
        </w:tabs>
        <w:ind w:left="284" w:hanging="284"/>
        <w:rPr>
          <w:noProof/>
          <w:sz w:val="24"/>
        </w:rPr>
      </w:pPr>
      <w:r>
        <w:rPr>
          <w:sz w:val="24"/>
        </w:rPr>
        <w:t>13. Attiecībā uz sākotnējo EHN 15. vienošanos “Attiecībā uz 24. pantu” pārnumurē par 11. vienošanos; virsrakstā aizstāj “24. pantu” ar “24. un 24.bis pantu” un tekstu aizstāj ar šādu:</w:t>
      </w:r>
    </w:p>
    <w:p w14:paraId="0CEC0330" w14:textId="77777777" w:rsidR="00405184" w:rsidRPr="006D0233" w:rsidRDefault="00405184" w:rsidP="00E46011">
      <w:pPr>
        <w:pStyle w:val="BodyText"/>
        <w:ind w:left="284"/>
        <w:rPr>
          <w:noProof/>
          <w:sz w:val="24"/>
        </w:rPr>
      </w:pPr>
    </w:p>
    <w:p w14:paraId="55430581" w14:textId="2113CDAF" w:rsidR="00405184" w:rsidRPr="006D0233" w:rsidRDefault="00BE76BF" w:rsidP="00E46011">
      <w:pPr>
        <w:pStyle w:val="BodyText"/>
        <w:ind w:left="284"/>
        <w:jc w:val="both"/>
        <w:rPr>
          <w:noProof/>
          <w:sz w:val="24"/>
        </w:rPr>
      </w:pPr>
      <w:r>
        <w:rPr>
          <w:sz w:val="24"/>
        </w:rPr>
        <w:t>“Izņēmumi, kas iekļauti VVTT un ar to saistītajos dokumentos, ir piemērojami konkrēto Līgumslēdzēju Pušu starpā, ja tās ir VVTT puses, kā atzīts 4. pantā. Attiecībā uz tirdzniecību ar energomateriāliem un energoproduktiem, ko reglamentē 32. pants, minētajā pantā ir norādīti noteikumi, kas attiecas uz 24. un 24.bis pantā iekļautajiem jautājumiem.”</w:t>
      </w:r>
    </w:p>
    <w:p w14:paraId="207DD624" w14:textId="77777777" w:rsidR="00BE76BF" w:rsidRPr="006D0233" w:rsidRDefault="00BE76BF" w:rsidP="00B34AB7">
      <w:pPr>
        <w:pStyle w:val="ListParagraph"/>
        <w:keepNext/>
        <w:keepLines/>
        <w:tabs>
          <w:tab w:val="left" w:pos="442"/>
          <w:tab w:val="left" w:pos="586"/>
        </w:tabs>
        <w:ind w:left="0" w:firstLine="0"/>
        <w:rPr>
          <w:noProof/>
          <w:sz w:val="24"/>
        </w:rPr>
      </w:pPr>
    </w:p>
    <w:p w14:paraId="64330B9A" w14:textId="2D5250B7" w:rsidR="00405184" w:rsidRPr="006D0233" w:rsidRDefault="00BE76BF" w:rsidP="00B34AB7">
      <w:pPr>
        <w:pStyle w:val="ListParagraph"/>
        <w:keepNext/>
        <w:keepLines/>
        <w:tabs>
          <w:tab w:val="left" w:pos="284"/>
          <w:tab w:val="left" w:pos="442"/>
          <w:tab w:val="left" w:pos="586"/>
        </w:tabs>
        <w:ind w:left="284" w:hanging="284"/>
        <w:rPr>
          <w:noProof/>
          <w:sz w:val="24"/>
        </w:rPr>
      </w:pPr>
      <w:r>
        <w:rPr>
          <w:sz w:val="24"/>
        </w:rPr>
        <w:t>14. Attiecībā uz 1998. gadā grozīto EHN 15. vienošanos “Attiecībā uz 24. pantu” pārnumurē par 11. vienošanos; virsrakstā aizstāj “24” ar “24.un 24.bis” un tekstu aizstāj ar šādu:</w:t>
      </w:r>
    </w:p>
    <w:p w14:paraId="15511121" w14:textId="77777777" w:rsidR="00405184" w:rsidRPr="006D0233" w:rsidRDefault="00405184" w:rsidP="00B34AB7">
      <w:pPr>
        <w:pStyle w:val="BodyText"/>
        <w:keepNext/>
        <w:keepLines/>
        <w:rPr>
          <w:noProof/>
          <w:sz w:val="24"/>
        </w:rPr>
      </w:pPr>
    </w:p>
    <w:p w14:paraId="620ACDF7" w14:textId="0DB4AFF4" w:rsidR="00405184" w:rsidRPr="006D0233" w:rsidRDefault="00BE76BF" w:rsidP="00B34AB7">
      <w:pPr>
        <w:pStyle w:val="BodyText"/>
        <w:keepNext/>
        <w:keepLines/>
        <w:ind w:left="284" w:hanging="14"/>
        <w:jc w:val="both"/>
        <w:rPr>
          <w:noProof/>
          <w:sz w:val="24"/>
        </w:rPr>
      </w:pPr>
      <w:r>
        <w:rPr>
          <w:sz w:val="24"/>
        </w:rPr>
        <w:t>“Izņēmumi, kas iekļauti VVTT. “VVTT un ar to saistītie dokumenti ir piemērojami konkrēto Līgumslēdzēju Pušu starpā, ja tās ir PTO puses, kā atzīts 4. pantā. Attiecībā uz tirdzniecību ar energomateriāliem un energoproduktiem, ko reglamentē 32. pants, minētajā pantā ir norādīti noteikumi, kas attiecas uz 24. un 24.bis pantā iekļautajiem jautājumiem.”</w:t>
      </w:r>
    </w:p>
    <w:p w14:paraId="538C78A9" w14:textId="77777777" w:rsidR="00405184" w:rsidRPr="006D0233" w:rsidRDefault="00405184" w:rsidP="003755B6">
      <w:pPr>
        <w:pStyle w:val="BodyText"/>
        <w:rPr>
          <w:noProof/>
          <w:sz w:val="24"/>
        </w:rPr>
      </w:pPr>
    </w:p>
    <w:p w14:paraId="4EFDD5DE" w14:textId="606D2E93" w:rsidR="00405184" w:rsidRPr="006D0233" w:rsidRDefault="00C51C3C" w:rsidP="00E46011">
      <w:pPr>
        <w:pStyle w:val="ListParagraph"/>
        <w:tabs>
          <w:tab w:val="left" w:pos="583"/>
        </w:tabs>
        <w:ind w:left="284" w:hanging="284"/>
        <w:rPr>
          <w:noProof/>
          <w:sz w:val="24"/>
        </w:rPr>
      </w:pPr>
      <w:r>
        <w:rPr>
          <w:sz w:val="24"/>
        </w:rPr>
        <w:t>15. 16. vienošanos “Attiecībā uz 26. panta 2. punkta a) apakšpunktu” pārnumurē par 12. vienošanos.</w:t>
      </w:r>
    </w:p>
    <w:p w14:paraId="7B0283C1" w14:textId="77777777" w:rsidR="00405184" w:rsidRPr="006D0233" w:rsidRDefault="00405184" w:rsidP="00E46011">
      <w:pPr>
        <w:pStyle w:val="BodyText"/>
        <w:ind w:left="284" w:hanging="284"/>
        <w:rPr>
          <w:noProof/>
          <w:sz w:val="24"/>
        </w:rPr>
      </w:pPr>
    </w:p>
    <w:p w14:paraId="2A8588B6" w14:textId="3F6E383E" w:rsidR="00405184" w:rsidRPr="006D0233" w:rsidRDefault="00C51C3C" w:rsidP="00E46011">
      <w:pPr>
        <w:pStyle w:val="ListParagraph"/>
        <w:tabs>
          <w:tab w:val="left" w:pos="584"/>
        </w:tabs>
        <w:ind w:left="284" w:hanging="284"/>
        <w:rPr>
          <w:noProof/>
          <w:sz w:val="24"/>
        </w:rPr>
      </w:pPr>
      <w:r>
        <w:rPr>
          <w:sz w:val="24"/>
        </w:rPr>
        <w:t>16. Svītro 17. vienošanos “Attiecībā uz 26. un 27. pantu”.</w:t>
      </w:r>
    </w:p>
    <w:p w14:paraId="5FDA82DC" w14:textId="77777777" w:rsidR="00405184" w:rsidRPr="006D0233" w:rsidRDefault="00405184" w:rsidP="00E46011">
      <w:pPr>
        <w:pStyle w:val="BodyText"/>
        <w:ind w:left="284" w:hanging="284"/>
        <w:rPr>
          <w:noProof/>
          <w:sz w:val="24"/>
        </w:rPr>
      </w:pPr>
    </w:p>
    <w:p w14:paraId="5CDB1C78" w14:textId="765A309D" w:rsidR="00405184" w:rsidRPr="006D0233" w:rsidRDefault="00C51C3C" w:rsidP="00E46011">
      <w:pPr>
        <w:pStyle w:val="ListParagraph"/>
        <w:tabs>
          <w:tab w:val="left" w:pos="435"/>
          <w:tab w:val="left" w:pos="576"/>
        </w:tabs>
        <w:ind w:left="284" w:hanging="284"/>
        <w:rPr>
          <w:noProof/>
          <w:sz w:val="24"/>
        </w:rPr>
      </w:pPr>
      <w:r>
        <w:rPr>
          <w:sz w:val="24"/>
        </w:rPr>
        <w:t>17. Attiecībā uz sākotnējo EHN 18. vienošanos “Attiecībā uz 29. panta 2. punkta a) apakšpunktu” pārnumurē par 13. vienošanos un tās virsrakstu aizstāj ar “Attiecībā uz 32. panta 2. punkta a) apakšpunktu”.</w:t>
      </w:r>
    </w:p>
    <w:p w14:paraId="5CE00CAC" w14:textId="77777777" w:rsidR="00405184" w:rsidRPr="006D0233" w:rsidRDefault="00405184" w:rsidP="00E46011">
      <w:pPr>
        <w:pStyle w:val="BodyText"/>
        <w:ind w:left="284" w:hanging="284"/>
        <w:rPr>
          <w:noProof/>
          <w:sz w:val="24"/>
        </w:rPr>
      </w:pPr>
    </w:p>
    <w:p w14:paraId="1A52FD9A" w14:textId="3DF81A53" w:rsidR="00405184" w:rsidRPr="006D0233" w:rsidRDefault="00C51C3C" w:rsidP="00E46011">
      <w:pPr>
        <w:pStyle w:val="ListParagraph"/>
        <w:tabs>
          <w:tab w:val="left" w:pos="422"/>
          <w:tab w:val="left" w:pos="580"/>
        </w:tabs>
        <w:ind w:left="284" w:hanging="284"/>
        <w:rPr>
          <w:noProof/>
          <w:sz w:val="24"/>
        </w:rPr>
      </w:pPr>
      <w:r>
        <w:rPr>
          <w:sz w:val="24"/>
        </w:rPr>
        <w:t>18. Starptautiskās konferences Nobeiguma aktā un Enerģētikas hartas konferences lēmumā par Enerģētikas hartas nolīguma tirdzniecības noteikumu grozījumiem 1. vienošanās virsrakstu “Vienošanās par 29. panta 2. punkta a) apakšpunktu un W pielikumu” aizstāj ar “Vienošanās par 32. panta 2. punkta a) apakšpunktu un W pielikumu”.</w:t>
      </w:r>
    </w:p>
    <w:p w14:paraId="6D67AEBF" w14:textId="77777777" w:rsidR="00A224C4" w:rsidRPr="006D0233" w:rsidRDefault="00A224C4" w:rsidP="00C51C3C">
      <w:pPr>
        <w:pStyle w:val="ListParagraph"/>
        <w:tabs>
          <w:tab w:val="left" w:pos="422"/>
          <w:tab w:val="left" w:pos="580"/>
        </w:tabs>
        <w:ind w:left="0" w:firstLine="0"/>
        <w:rPr>
          <w:noProof/>
          <w:sz w:val="24"/>
        </w:rPr>
      </w:pPr>
    </w:p>
    <w:p w14:paraId="7CD7AB9F" w14:textId="61D44DE5" w:rsidR="00405184" w:rsidRPr="006D0233" w:rsidRDefault="00405184" w:rsidP="00E46011">
      <w:pPr>
        <w:pStyle w:val="BodyText"/>
        <w:ind w:left="284" w:firstLine="11"/>
        <w:jc w:val="both"/>
        <w:rPr>
          <w:noProof/>
          <w:sz w:val="24"/>
        </w:rPr>
      </w:pPr>
      <w:r>
        <w:rPr>
          <w:sz w:val="24"/>
        </w:rPr>
        <w:t>Vienošanās sākumā pievieno šādu tekstu: “Ja šajā punktā minētā PTO tiesību norma paredz PTO dalībvalstu kopīgu rīcību, tas nozīmē, ka Hartas konference šādi rīkojas.”; vārdu “parakstītājām” aizstāj ar “Līgumslēdzējām Pusēm”.</w:t>
      </w:r>
    </w:p>
    <w:p w14:paraId="179C4AAE" w14:textId="77777777" w:rsidR="006D0233" w:rsidRPr="006D0233" w:rsidRDefault="006D0233" w:rsidP="00E46011">
      <w:pPr>
        <w:pStyle w:val="BodyText"/>
        <w:ind w:left="284" w:firstLine="11"/>
        <w:jc w:val="both"/>
        <w:rPr>
          <w:noProof/>
          <w:sz w:val="24"/>
        </w:rPr>
      </w:pPr>
    </w:p>
    <w:p w14:paraId="78DFF92E" w14:textId="77777777" w:rsidR="00405184" w:rsidRPr="006D0233" w:rsidRDefault="00405184" w:rsidP="00E46011">
      <w:pPr>
        <w:pStyle w:val="BodyText"/>
        <w:ind w:left="284" w:firstLine="1"/>
        <w:jc w:val="both"/>
        <w:rPr>
          <w:noProof/>
          <w:sz w:val="24"/>
        </w:rPr>
      </w:pPr>
      <w:r>
        <w:rPr>
          <w:sz w:val="24"/>
        </w:rPr>
        <w:t>Ar šo vienošanos aizstāj 18. vienošanos Eiropas Enerģētikas hartas konferences Nobeiguma aktā attiecībā uz 1998. gadā grozīto EHN, pārnumurējot to par 13. vienošanos.</w:t>
      </w:r>
    </w:p>
    <w:p w14:paraId="436754D1" w14:textId="77777777" w:rsidR="00405184" w:rsidRPr="006D0233" w:rsidRDefault="00405184" w:rsidP="003755B6">
      <w:pPr>
        <w:pStyle w:val="BodyText"/>
        <w:rPr>
          <w:noProof/>
          <w:sz w:val="24"/>
        </w:rPr>
      </w:pPr>
    </w:p>
    <w:p w14:paraId="6E2DC08C" w14:textId="1B7A2B4A" w:rsidR="00405184" w:rsidRPr="006D0233" w:rsidRDefault="006D0233" w:rsidP="00E46011">
      <w:pPr>
        <w:pStyle w:val="ListParagraph"/>
        <w:tabs>
          <w:tab w:val="left" w:pos="422"/>
          <w:tab w:val="left" w:pos="579"/>
        </w:tabs>
        <w:ind w:left="284" w:hanging="284"/>
        <w:rPr>
          <w:noProof/>
          <w:sz w:val="24"/>
        </w:rPr>
      </w:pPr>
      <w:r>
        <w:rPr>
          <w:sz w:val="24"/>
        </w:rPr>
        <w:t>19. Starptautiskās konferences Nobeiguma aktā un Enerģētikas hartas konferences lēmumā par Enerģētikas hartas nolīguma tirdzniecības noteikumu grozījumiem 2. vienošanās virsrakstu “Vienošanās par 29. panta 7. punktu” aizstāj ar “Vienošanās par 32. panta 7. punktu” un vārdu “parakstītāju” aizstāj ar “Līgumslēdzēju Pusi”. Šo vienošanos pievieno kā 14. vienošanos Eiropas Enerģētikas hartas konferences Nobeiguma aktā attiecībā uz 1998. gadā grozīto EHN.</w:t>
      </w:r>
    </w:p>
    <w:p w14:paraId="6C40A6E7" w14:textId="77777777" w:rsidR="00405184" w:rsidRPr="006D0233" w:rsidRDefault="00405184" w:rsidP="00E46011">
      <w:pPr>
        <w:pStyle w:val="BodyText"/>
        <w:ind w:left="284" w:hanging="284"/>
        <w:rPr>
          <w:noProof/>
          <w:sz w:val="24"/>
        </w:rPr>
      </w:pPr>
    </w:p>
    <w:p w14:paraId="074FE96D" w14:textId="30835D09" w:rsidR="00405184" w:rsidRPr="006D0233" w:rsidRDefault="006D0233" w:rsidP="004771C1">
      <w:pPr>
        <w:pStyle w:val="ListParagraph"/>
        <w:tabs>
          <w:tab w:val="left" w:pos="422"/>
          <w:tab w:val="left" w:pos="569"/>
        </w:tabs>
        <w:ind w:left="284" w:hanging="284"/>
        <w:rPr>
          <w:noProof/>
          <w:sz w:val="24"/>
        </w:rPr>
      </w:pPr>
      <w:r>
        <w:rPr>
          <w:sz w:val="24"/>
        </w:rPr>
        <w:t>20. Starptautiskās konferences Nobeiguma aktā un Enerģētikas hartas konferences lēmumā par Enerģētikas hartas nolīguma tirdzniecības noteikumu grozījumiem 3. vienošanās virsrakstu “Vienošanās par 29. panta 6. un 7. punktu un 34. panta 3. punkta o) apakšpunktu” aizstāj ar “Vienošanās par 32. panta 6. un 7. punktu un 34. panta 3. punkta o) apakšpunktu”; Šo vienošanos pievieno kā 15. vienošanos Eiropas Enerģētikas hartas konferences Nobeiguma aktā attiecībā uz 1998. gadā grozīto EHN.</w:t>
      </w:r>
    </w:p>
    <w:p w14:paraId="1FBAB7AB" w14:textId="77777777" w:rsidR="00405184" w:rsidRPr="006D0233" w:rsidRDefault="00405184" w:rsidP="004771C1">
      <w:pPr>
        <w:pStyle w:val="BodyText"/>
        <w:jc w:val="both"/>
        <w:rPr>
          <w:noProof/>
          <w:sz w:val="24"/>
        </w:rPr>
      </w:pPr>
    </w:p>
    <w:p w14:paraId="5924D005" w14:textId="1B7AF245" w:rsidR="00405184" w:rsidRPr="006D0233" w:rsidRDefault="006D0233" w:rsidP="004771C1">
      <w:pPr>
        <w:pStyle w:val="ListParagraph"/>
        <w:tabs>
          <w:tab w:val="left" w:pos="569"/>
        </w:tabs>
        <w:ind w:left="284" w:hanging="284"/>
        <w:rPr>
          <w:noProof/>
          <w:sz w:val="24"/>
        </w:rPr>
      </w:pPr>
      <w:r>
        <w:rPr>
          <w:sz w:val="24"/>
        </w:rPr>
        <w:t>21. Svītro 19. vienošanos “Attiecībā uz 33. pantu”.</w:t>
      </w:r>
    </w:p>
    <w:p w14:paraId="744D32CB" w14:textId="77777777" w:rsidR="00405184" w:rsidRPr="006D0233" w:rsidRDefault="00405184" w:rsidP="004771C1">
      <w:pPr>
        <w:pStyle w:val="BodyText"/>
        <w:ind w:left="284" w:hanging="284"/>
        <w:jc w:val="both"/>
        <w:rPr>
          <w:noProof/>
          <w:sz w:val="24"/>
        </w:rPr>
      </w:pPr>
    </w:p>
    <w:p w14:paraId="2DC1091F" w14:textId="77777777" w:rsidR="006D0233" w:rsidRDefault="006D0233" w:rsidP="004771C1">
      <w:pPr>
        <w:pStyle w:val="ListParagraph"/>
        <w:tabs>
          <w:tab w:val="left" w:pos="422"/>
          <w:tab w:val="left" w:pos="567"/>
        </w:tabs>
        <w:ind w:left="284" w:hanging="284"/>
        <w:rPr>
          <w:noProof/>
          <w:sz w:val="24"/>
        </w:rPr>
      </w:pPr>
      <w:r>
        <w:rPr>
          <w:sz w:val="24"/>
        </w:rPr>
        <w:t>22. Attiecībā uz sākotnējo EHN 20. vienošanos “Attiecībā uz 34. pantu” pārnumurē par 14. vienošanos un tās tekstu aizstāj ar “Hartas konferencei ir jāpieņem gada budžets līdz finanšu gada sākumam.” 21. vienošanos pārnumurē par 15. vienošanos.</w:t>
      </w:r>
    </w:p>
    <w:p w14:paraId="2D253187" w14:textId="77777777" w:rsidR="006D0233" w:rsidRDefault="006D0233" w:rsidP="004771C1">
      <w:pPr>
        <w:pStyle w:val="ListParagraph"/>
        <w:tabs>
          <w:tab w:val="left" w:pos="422"/>
          <w:tab w:val="left" w:pos="567"/>
        </w:tabs>
        <w:ind w:left="284" w:hanging="284"/>
        <w:rPr>
          <w:noProof/>
          <w:sz w:val="24"/>
        </w:rPr>
      </w:pPr>
    </w:p>
    <w:p w14:paraId="2C10849F" w14:textId="6F85BAC8" w:rsidR="00405184" w:rsidRPr="006D0233" w:rsidRDefault="006D0233" w:rsidP="00FD0CF9">
      <w:pPr>
        <w:pStyle w:val="ListParagraph"/>
        <w:keepNext/>
        <w:keepLines/>
        <w:tabs>
          <w:tab w:val="left" w:pos="422"/>
          <w:tab w:val="left" w:pos="567"/>
        </w:tabs>
        <w:ind w:left="284" w:hanging="284"/>
        <w:rPr>
          <w:noProof/>
          <w:sz w:val="24"/>
        </w:rPr>
      </w:pPr>
      <w:r>
        <w:rPr>
          <w:sz w:val="24"/>
        </w:rPr>
        <w:lastRenderedPageBreak/>
        <w:t>23. Attiecībā uz 1998. gadā grozīto EHN 20. vienošanos “Attiecībā uz 34. pantu” pārnumurē par 16. vienošanos un tās tekstu aizstāj ar “Hartas konferencei ir jāpieņem gada budžets līdz finanšu gada sākumam.” 21. vienošanos pārnumurē par 17. vienošanos.</w:t>
      </w:r>
    </w:p>
    <w:p w14:paraId="10BC8BE0" w14:textId="77777777" w:rsidR="00405184" w:rsidRPr="006D0233" w:rsidRDefault="00405184" w:rsidP="004771C1">
      <w:pPr>
        <w:pStyle w:val="BodyText"/>
        <w:ind w:left="284" w:hanging="284"/>
        <w:jc w:val="both"/>
        <w:rPr>
          <w:noProof/>
          <w:sz w:val="24"/>
        </w:rPr>
      </w:pPr>
    </w:p>
    <w:p w14:paraId="41D88D4D" w14:textId="77777777" w:rsidR="009B586E" w:rsidRDefault="009B586E" w:rsidP="004771C1">
      <w:pPr>
        <w:pStyle w:val="ListParagraph"/>
        <w:tabs>
          <w:tab w:val="left" w:pos="451"/>
          <w:tab w:val="left" w:pos="601"/>
        </w:tabs>
        <w:ind w:left="284" w:hanging="284"/>
        <w:rPr>
          <w:noProof/>
          <w:sz w:val="24"/>
        </w:rPr>
      </w:pPr>
      <w:r>
        <w:rPr>
          <w:sz w:val="24"/>
        </w:rPr>
        <w:t>24. Attiecībā uz sākotnējo EHN pievieno jaunu 16. vienošanos “Attiecībā uz 49. pantu”:</w:t>
      </w:r>
    </w:p>
    <w:p w14:paraId="595AD7E7" w14:textId="77777777" w:rsidR="009B586E" w:rsidRDefault="009B586E" w:rsidP="004771C1">
      <w:pPr>
        <w:pStyle w:val="ListParagraph"/>
        <w:tabs>
          <w:tab w:val="left" w:pos="451"/>
          <w:tab w:val="left" w:pos="601"/>
        </w:tabs>
        <w:ind w:left="284" w:hanging="284"/>
        <w:rPr>
          <w:noProof/>
          <w:sz w:val="24"/>
        </w:rPr>
      </w:pPr>
    </w:p>
    <w:p w14:paraId="3597D8CF" w14:textId="0EACC991" w:rsidR="00405184" w:rsidRPr="006D0233" w:rsidRDefault="009B586E" w:rsidP="004771C1">
      <w:pPr>
        <w:pStyle w:val="ListParagraph"/>
        <w:tabs>
          <w:tab w:val="left" w:pos="451"/>
          <w:tab w:val="left" w:pos="601"/>
        </w:tabs>
        <w:ind w:left="284" w:firstLine="0"/>
        <w:rPr>
          <w:noProof/>
          <w:sz w:val="24"/>
        </w:rPr>
      </w:pPr>
      <w:r>
        <w:rPr>
          <w:sz w:val="24"/>
        </w:rPr>
        <w:t>“Nolīguma 49. pantā “sekretariāts” ir 35. pantā noteiktais “sekretariāts”. Skaidrības labad šajā nolīgumā visas atsauces uz “depozitāriju” nozīmē, ka tas ir 35. pantā noteiktais “sekretariāts”, kas pilda depozitārija funkcijas.”</w:t>
      </w:r>
    </w:p>
    <w:p w14:paraId="1D653A6B" w14:textId="77777777" w:rsidR="00405184" w:rsidRPr="006D0233" w:rsidRDefault="00405184" w:rsidP="004771C1">
      <w:pPr>
        <w:pStyle w:val="BodyText"/>
        <w:ind w:left="284" w:hanging="284"/>
        <w:jc w:val="both"/>
        <w:rPr>
          <w:noProof/>
          <w:sz w:val="24"/>
        </w:rPr>
      </w:pPr>
    </w:p>
    <w:p w14:paraId="4F7EDDB5" w14:textId="2B5B666F" w:rsidR="00405184" w:rsidRDefault="006B11B9" w:rsidP="004771C1">
      <w:pPr>
        <w:pStyle w:val="ListParagraph"/>
        <w:tabs>
          <w:tab w:val="left" w:pos="452"/>
          <w:tab w:val="left" w:pos="601"/>
        </w:tabs>
        <w:ind w:left="284" w:hanging="284"/>
        <w:rPr>
          <w:noProof/>
          <w:sz w:val="24"/>
        </w:rPr>
      </w:pPr>
      <w:r>
        <w:rPr>
          <w:sz w:val="24"/>
        </w:rPr>
        <w:t>25. Attiecībā uz 1998. gadā grozīto EHN pievieno jaunu 18. vienošanos “Attiecībā uz 49. pantu”:</w:t>
      </w:r>
    </w:p>
    <w:p w14:paraId="714B6112" w14:textId="77777777" w:rsidR="006B11B9" w:rsidRPr="006D0233" w:rsidRDefault="006B11B9" w:rsidP="004771C1">
      <w:pPr>
        <w:pStyle w:val="ListParagraph"/>
        <w:tabs>
          <w:tab w:val="left" w:pos="452"/>
          <w:tab w:val="left" w:pos="601"/>
        </w:tabs>
        <w:ind w:left="0" w:firstLine="0"/>
        <w:rPr>
          <w:noProof/>
          <w:sz w:val="24"/>
        </w:rPr>
      </w:pPr>
    </w:p>
    <w:p w14:paraId="5E861156" w14:textId="7D7D0545" w:rsidR="00405184" w:rsidRPr="006D0233" w:rsidRDefault="006B11B9" w:rsidP="004771C1">
      <w:pPr>
        <w:pStyle w:val="BodyText"/>
        <w:ind w:left="284" w:hanging="8"/>
        <w:jc w:val="both"/>
        <w:rPr>
          <w:noProof/>
          <w:sz w:val="24"/>
        </w:rPr>
      </w:pPr>
      <w:r>
        <w:rPr>
          <w:sz w:val="24"/>
        </w:rPr>
        <w:t>“Nolīguma 49. pantā “sekretariāts” ir 35. pantā noteiktais “sekretariāts”. Skaidrības labad šajā nolīgumā visas atsauces uz “depozitāriju” nozīmē, ka tas ir 35. pantā noteiktais “sekretariāts”, kas pilda depozitārija funkcijas.”</w:t>
      </w:r>
    </w:p>
    <w:p w14:paraId="585404E8" w14:textId="77777777" w:rsidR="00405184" w:rsidRPr="006D0233" w:rsidRDefault="00405184" w:rsidP="004771C1">
      <w:pPr>
        <w:pStyle w:val="BodyText"/>
        <w:jc w:val="both"/>
        <w:rPr>
          <w:noProof/>
          <w:sz w:val="24"/>
        </w:rPr>
      </w:pPr>
    </w:p>
    <w:p w14:paraId="2A4D0B01" w14:textId="7B05D4BD" w:rsidR="00405184" w:rsidRPr="006D0233" w:rsidRDefault="006B11B9" w:rsidP="004771C1">
      <w:pPr>
        <w:pStyle w:val="ListParagraph"/>
        <w:tabs>
          <w:tab w:val="left" w:pos="603"/>
        </w:tabs>
        <w:ind w:left="0" w:firstLine="0"/>
        <w:rPr>
          <w:noProof/>
          <w:sz w:val="24"/>
        </w:rPr>
      </w:pPr>
      <w:r>
        <w:rPr>
          <w:sz w:val="24"/>
        </w:rPr>
        <w:t>26. Svītro 22. vienošanos “Attiecībā uz TFU pielikuma 1. punktu”.</w:t>
      </w:r>
    </w:p>
    <w:p w14:paraId="68ABED38" w14:textId="77777777" w:rsidR="00405184" w:rsidRPr="006D0233" w:rsidRDefault="00405184" w:rsidP="004771C1">
      <w:pPr>
        <w:pStyle w:val="BodyText"/>
        <w:jc w:val="both"/>
        <w:rPr>
          <w:noProof/>
          <w:sz w:val="24"/>
        </w:rPr>
      </w:pPr>
    </w:p>
    <w:p w14:paraId="26B85E9A" w14:textId="144462FD" w:rsidR="00405184" w:rsidRPr="006D0233" w:rsidRDefault="006B11B9" w:rsidP="004771C1">
      <w:pPr>
        <w:pStyle w:val="Heading2"/>
        <w:tabs>
          <w:tab w:val="left" w:pos="993"/>
        </w:tabs>
        <w:ind w:left="0" w:firstLine="0"/>
        <w:jc w:val="both"/>
        <w:rPr>
          <w:noProof/>
          <w:sz w:val="24"/>
        </w:rPr>
      </w:pPr>
      <w:r>
        <w:rPr>
          <w:sz w:val="24"/>
        </w:rPr>
        <w:t>II. IZMAIŅAS DEKLARĀCIJĀS</w:t>
      </w:r>
    </w:p>
    <w:p w14:paraId="0A120AF2" w14:textId="77777777" w:rsidR="00405184" w:rsidRPr="006D0233" w:rsidRDefault="00405184" w:rsidP="004771C1">
      <w:pPr>
        <w:pStyle w:val="BodyText"/>
        <w:jc w:val="both"/>
        <w:rPr>
          <w:b/>
          <w:noProof/>
          <w:sz w:val="24"/>
        </w:rPr>
      </w:pPr>
    </w:p>
    <w:p w14:paraId="713AA6F3" w14:textId="05E5AAC0" w:rsidR="00405184" w:rsidRPr="006D0233" w:rsidRDefault="00916ABE" w:rsidP="004771C1">
      <w:pPr>
        <w:pStyle w:val="BodyText"/>
        <w:ind w:left="284" w:hanging="284"/>
        <w:jc w:val="both"/>
        <w:rPr>
          <w:noProof/>
          <w:sz w:val="24"/>
        </w:rPr>
      </w:pPr>
      <w:r>
        <w:rPr>
          <w:sz w:val="24"/>
        </w:rPr>
        <w:t>1. Svītro 1. deklarāciju “Attiecībā uz 1. panta 6. punktu”.</w:t>
      </w:r>
    </w:p>
    <w:p w14:paraId="7223AB97" w14:textId="77777777" w:rsidR="00405184" w:rsidRPr="006D0233" w:rsidRDefault="00405184" w:rsidP="004771C1">
      <w:pPr>
        <w:pStyle w:val="BodyText"/>
        <w:ind w:left="284" w:hanging="284"/>
        <w:jc w:val="both"/>
        <w:rPr>
          <w:noProof/>
          <w:sz w:val="24"/>
        </w:rPr>
      </w:pPr>
    </w:p>
    <w:p w14:paraId="5D7AAEAC" w14:textId="733EF35B" w:rsidR="00405184" w:rsidRPr="006D0233" w:rsidRDefault="00916ABE" w:rsidP="004771C1">
      <w:pPr>
        <w:pStyle w:val="ListParagraph"/>
        <w:tabs>
          <w:tab w:val="left" w:pos="458"/>
        </w:tabs>
        <w:ind w:left="284" w:hanging="284"/>
        <w:rPr>
          <w:noProof/>
          <w:sz w:val="24"/>
        </w:rPr>
      </w:pPr>
      <w:r>
        <w:rPr>
          <w:sz w:val="24"/>
        </w:rPr>
        <w:t>2. Svītro 2. deklarāciju “Attiecībā uz 5. pantu un 10. panta 11. punktu”.</w:t>
      </w:r>
    </w:p>
    <w:p w14:paraId="468BEF33" w14:textId="77777777" w:rsidR="00405184" w:rsidRPr="006D0233" w:rsidRDefault="00405184" w:rsidP="004771C1">
      <w:pPr>
        <w:pStyle w:val="BodyText"/>
        <w:ind w:left="284" w:hanging="284"/>
        <w:jc w:val="both"/>
        <w:rPr>
          <w:noProof/>
          <w:sz w:val="24"/>
        </w:rPr>
      </w:pPr>
    </w:p>
    <w:p w14:paraId="016454E4" w14:textId="5D5BB9F4" w:rsidR="00405184" w:rsidRPr="006D0233" w:rsidRDefault="00412AE8" w:rsidP="004771C1">
      <w:pPr>
        <w:pStyle w:val="ListParagraph"/>
        <w:tabs>
          <w:tab w:val="left" w:pos="452"/>
          <w:tab w:val="left" w:pos="462"/>
        </w:tabs>
        <w:ind w:left="284" w:hanging="284"/>
        <w:rPr>
          <w:noProof/>
          <w:sz w:val="24"/>
        </w:rPr>
      </w:pPr>
      <w:r>
        <w:rPr>
          <w:sz w:val="24"/>
        </w:rPr>
        <w:t>3. 3. deklarācijā “Attiecībā uz 7. pantu” tekstu “Eiropas Kopienas un to dalībvalstis, kā arī Austrija, Norvēģija, Zviedrija un Somija” aizstāj ar “Eiropas Savienība, Eiropas Atomenerģijas kopiena, to dalībvalstis un Norvēģija”; pārnumurē to par 1. deklarāciju.</w:t>
      </w:r>
    </w:p>
    <w:p w14:paraId="01196EBF" w14:textId="77777777" w:rsidR="00405184" w:rsidRPr="006D0233" w:rsidRDefault="00405184" w:rsidP="004771C1">
      <w:pPr>
        <w:pStyle w:val="BodyText"/>
        <w:ind w:left="284" w:hanging="284"/>
        <w:jc w:val="both"/>
        <w:rPr>
          <w:noProof/>
          <w:sz w:val="24"/>
        </w:rPr>
      </w:pPr>
    </w:p>
    <w:p w14:paraId="47BA468A" w14:textId="6E0E8B53" w:rsidR="00405184" w:rsidRPr="006D0233" w:rsidRDefault="00412AE8" w:rsidP="004771C1">
      <w:pPr>
        <w:pStyle w:val="ListParagraph"/>
        <w:tabs>
          <w:tab w:val="left" w:pos="464"/>
        </w:tabs>
        <w:ind w:left="284" w:hanging="284"/>
        <w:rPr>
          <w:noProof/>
          <w:sz w:val="24"/>
        </w:rPr>
      </w:pPr>
      <w:r>
        <w:rPr>
          <w:sz w:val="24"/>
        </w:rPr>
        <w:t>4. Svītro 4. deklarāciju “Attiecībā uz 10. pantu”.</w:t>
      </w:r>
    </w:p>
    <w:p w14:paraId="50310777" w14:textId="77777777" w:rsidR="00405184" w:rsidRPr="006D0233" w:rsidRDefault="00405184" w:rsidP="004771C1">
      <w:pPr>
        <w:pStyle w:val="BodyText"/>
        <w:ind w:left="284" w:hanging="284"/>
        <w:jc w:val="both"/>
        <w:rPr>
          <w:noProof/>
          <w:sz w:val="24"/>
        </w:rPr>
      </w:pPr>
    </w:p>
    <w:p w14:paraId="03F83DF8" w14:textId="1B41BA1E" w:rsidR="00405184" w:rsidRDefault="00412AE8" w:rsidP="004771C1">
      <w:pPr>
        <w:pStyle w:val="ListParagraph"/>
        <w:tabs>
          <w:tab w:val="left" w:pos="457"/>
          <w:tab w:val="left" w:pos="462"/>
        </w:tabs>
        <w:ind w:left="284" w:hanging="284"/>
        <w:rPr>
          <w:noProof/>
          <w:sz w:val="24"/>
        </w:rPr>
      </w:pPr>
      <w:r>
        <w:rPr>
          <w:sz w:val="24"/>
        </w:rPr>
        <w:t>5. 5. deklarāciju “Attiecībā uz 25. pantu” pārnumurē par 2. deklarāciju un tekstu aizstāj ar šādu:</w:t>
      </w:r>
    </w:p>
    <w:p w14:paraId="2FD332A3" w14:textId="77777777" w:rsidR="00412AE8" w:rsidRPr="006D0233" w:rsidRDefault="00412AE8" w:rsidP="004771C1">
      <w:pPr>
        <w:pStyle w:val="ListParagraph"/>
        <w:tabs>
          <w:tab w:val="left" w:pos="457"/>
          <w:tab w:val="left" w:pos="462"/>
        </w:tabs>
        <w:ind w:left="0" w:firstLine="0"/>
        <w:rPr>
          <w:noProof/>
          <w:sz w:val="24"/>
        </w:rPr>
      </w:pPr>
    </w:p>
    <w:p w14:paraId="656E0F7C" w14:textId="021DAA37" w:rsidR="00405184" w:rsidRDefault="00412AE8" w:rsidP="004771C1">
      <w:pPr>
        <w:pStyle w:val="BodyText"/>
        <w:ind w:left="284" w:hanging="18"/>
        <w:jc w:val="both"/>
        <w:rPr>
          <w:noProof/>
          <w:sz w:val="24"/>
        </w:rPr>
      </w:pPr>
      <w:r>
        <w:rPr>
          <w:sz w:val="24"/>
        </w:rPr>
        <w:t>Eiropas Savienība, Eiropas Atomenerģijas kopiena un to dalībvalstis atgādina, ka saskaņā ar Līguma par Eiropas Savienības darbību 54. pantu:</w:t>
      </w:r>
    </w:p>
    <w:p w14:paraId="3D0FDE7E" w14:textId="77777777" w:rsidR="00412AE8" w:rsidRDefault="00412AE8" w:rsidP="004771C1">
      <w:pPr>
        <w:pStyle w:val="ListParagraph"/>
        <w:tabs>
          <w:tab w:val="left" w:pos="992"/>
          <w:tab w:val="left" w:pos="995"/>
        </w:tabs>
        <w:ind w:left="0" w:firstLine="0"/>
        <w:rPr>
          <w:noProof/>
          <w:sz w:val="24"/>
        </w:rPr>
      </w:pPr>
    </w:p>
    <w:p w14:paraId="1144B496" w14:textId="6137B5C8" w:rsidR="00405184" w:rsidRPr="006D0233" w:rsidRDefault="00412AE8" w:rsidP="00B2110D">
      <w:pPr>
        <w:pStyle w:val="ListParagraph"/>
        <w:tabs>
          <w:tab w:val="left" w:pos="992"/>
          <w:tab w:val="left" w:pos="995"/>
        </w:tabs>
        <w:ind w:left="567" w:hanging="283"/>
        <w:rPr>
          <w:noProof/>
          <w:sz w:val="24"/>
        </w:rPr>
      </w:pPr>
      <w:r>
        <w:rPr>
          <w:sz w:val="24"/>
        </w:rPr>
        <w:t>a) tiesiskais statuss tām sabiedrībām, kuras izveidotas saskaņā ar kādas dalībvalsts tiesību aktiem un kuru juridiskā adrese, galvenā vadība vai galvenā uzņēmējdarbības vieta ir Eiropas Savienībā, Līguma par Eiropas Savienības darbību trešās daļas IV sadaļas 2. nodaļā ir pielīdzināts to fizisko personu tiesiskajam statusam, kuras ir dalībvalstu pilsoņi; tām sabiedrībām vai uzņēmumiem, kam Eiropas Savienības teritorijā ir tikai juridiskā adrese, šajā nolūkā jābūt efektīvai un pastāvīgai saiknei ar kādas dalībvalsts ekonomiku;</w:t>
      </w:r>
    </w:p>
    <w:p w14:paraId="13D086CE" w14:textId="77777777" w:rsidR="00405184" w:rsidRPr="006D0233" w:rsidRDefault="00405184" w:rsidP="00B2110D">
      <w:pPr>
        <w:pStyle w:val="BodyText"/>
        <w:ind w:left="567" w:hanging="283"/>
        <w:jc w:val="both"/>
        <w:rPr>
          <w:noProof/>
          <w:sz w:val="24"/>
        </w:rPr>
      </w:pPr>
    </w:p>
    <w:p w14:paraId="41D05C09" w14:textId="0FCD0DF7" w:rsidR="00405184" w:rsidRDefault="0013046A" w:rsidP="00B2110D">
      <w:pPr>
        <w:pStyle w:val="ListParagraph"/>
        <w:tabs>
          <w:tab w:val="left" w:pos="946"/>
          <w:tab w:val="left" w:pos="956"/>
        </w:tabs>
        <w:ind w:left="567" w:hanging="283"/>
        <w:rPr>
          <w:noProof/>
          <w:sz w:val="24"/>
        </w:rPr>
      </w:pPr>
      <w:r>
        <w:rPr>
          <w:sz w:val="24"/>
        </w:rPr>
        <w:t>b) “sabiedrības” ir tādas sabiedrības, kas izveidotas saskaņā ar civiltiesībām vai komerctiesībām, kā arī kooperatīvi un citas juridiskas personas, kas ir publisko tiesību vai privāttiesību subjekti, izņemot bezpeļņas sabiedrības.</w:t>
      </w:r>
    </w:p>
    <w:p w14:paraId="5D16F9B5" w14:textId="77777777" w:rsidR="00A376FF" w:rsidRPr="006D0233" w:rsidRDefault="00A376FF" w:rsidP="00B2110D">
      <w:pPr>
        <w:pStyle w:val="ListParagraph"/>
        <w:tabs>
          <w:tab w:val="left" w:pos="946"/>
          <w:tab w:val="left" w:pos="956"/>
        </w:tabs>
        <w:ind w:left="0" w:firstLine="0"/>
        <w:rPr>
          <w:noProof/>
          <w:sz w:val="24"/>
        </w:rPr>
      </w:pPr>
    </w:p>
    <w:p w14:paraId="71679EE2" w14:textId="77777777" w:rsidR="00405184" w:rsidRDefault="00405184" w:rsidP="00B2110D">
      <w:pPr>
        <w:pStyle w:val="BodyText"/>
        <w:ind w:left="284" w:hanging="8"/>
        <w:jc w:val="both"/>
        <w:rPr>
          <w:noProof/>
          <w:sz w:val="24"/>
        </w:rPr>
      </w:pPr>
      <w:r>
        <w:rPr>
          <w:sz w:val="24"/>
        </w:rPr>
        <w:t>Turklāt Eiropas Savienība, Eiropas Atomenerģijas kopiena un to dalībvalstis atgādina, ka:</w:t>
      </w:r>
    </w:p>
    <w:p w14:paraId="3BB9EC2D" w14:textId="77777777" w:rsidR="00A376FF" w:rsidRPr="006D0233" w:rsidRDefault="00A376FF" w:rsidP="00B2110D">
      <w:pPr>
        <w:pStyle w:val="BodyText"/>
        <w:ind w:left="284" w:hanging="8"/>
        <w:jc w:val="both"/>
        <w:rPr>
          <w:noProof/>
          <w:sz w:val="24"/>
        </w:rPr>
      </w:pPr>
    </w:p>
    <w:p w14:paraId="2F47273C" w14:textId="3526069F" w:rsidR="00405184" w:rsidRDefault="00405184" w:rsidP="00B2110D">
      <w:pPr>
        <w:pStyle w:val="BodyText"/>
        <w:ind w:left="284" w:hanging="8"/>
        <w:jc w:val="both"/>
        <w:rPr>
          <w:noProof/>
          <w:sz w:val="24"/>
        </w:rPr>
      </w:pPr>
      <w:r>
        <w:rPr>
          <w:sz w:val="24"/>
        </w:rPr>
        <w:t xml:space="preserve">Eiropas Savienības tiesībās ir paredzēta iespēja attiecināt iepriekš aprakstīto tiesisko </w:t>
      </w:r>
      <w:r>
        <w:rPr>
          <w:sz w:val="24"/>
        </w:rPr>
        <w:lastRenderedPageBreak/>
        <w:t xml:space="preserve">statusu arī </w:t>
      </w:r>
      <w:r w:rsidR="006A5435">
        <w:rPr>
          <w:sz w:val="24"/>
        </w:rPr>
        <w:t>uz</w:t>
      </w:r>
      <w:r>
        <w:rPr>
          <w:sz w:val="24"/>
        </w:rPr>
        <w:t xml:space="preserve"> sabiedrību filiālēm un pārstāvniecībām, kas nav izveidotas kādā no dalībvalstīm</w:t>
      </w:r>
      <w:r w:rsidR="006A5435">
        <w:rPr>
          <w:sz w:val="24"/>
        </w:rPr>
        <w:t>,</w:t>
      </w:r>
      <w:r w:rsidR="00851362">
        <w:rPr>
          <w:sz w:val="24"/>
        </w:rPr>
        <w:t xml:space="preserve"> filiālēm un pārstāvniecībām</w:t>
      </w:r>
      <w:r>
        <w:rPr>
          <w:sz w:val="24"/>
        </w:rPr>
        <w:t>; Enerģētikas hartas nolīguma 25. panta piemērošana pieļaus tikai tos izņēmumus, kas ir nepieciešami, lai nodrošinātu atvieglojumu režīmu, kas izriet no plašāka ekonomiskās integrācijas procesa saskaņā ar Eiropas Savienības dibināšanas līgumiem.”</w:t>
      </w:r>
    </w:p>
    <w:p w14:paraId="1B2AFC90" w14:textId="77777777" w:rsidR="00A376FF" w:rsidRPr="006D0233" w:rsidRDefault="00A376FF" w:rsidP="00B2110D">
      <w:pPr>
        <w:pStyle w:val="BodyText"/>
        <w:ind w:firstLine="9"/>
        <w:jc w:val="both"/>
        <w:rPr>
          <w:noProof/>
          <w:sz w:val="24"/>
        </w:rPr>
      </w:pPr>
    </w:p>
    <w:p w14:paraId="57B8E843" w14:textId="6B0ED288" w:rsidR="00405184" w:rsidRPr="006D0233" w:rsidRDefault="00A376FF" w:rsidP="00B2110D">
      <w:pPr>
        <w:pStyle w:val="ListParagraph"/>
        <w:tabs>
          <w:tab w:val="left" w:pos="421"/>
        </w:tabs>
        <w:ind w:left="284" w:hanging="284"/>
        <w:rPr>
          <w:noProof/>
          <w:sz w:val="24"/>
        </w:rPr>
      </w:pPr>
      <w:r>
        <w:rPr>
          <w:sz w:val="24"/>
        </w:rPr>
        <w:t>6. 6. deklarāciju “Attiecībā uz 40. pantu” pārnumurē par 3. deklarāciju.</w:t>
      </w:r>
    </w:p>
    <w:p w14:paraId="6BB32668" w14:textId="77777777" w:rsidR="00405184" w:rsidRPr="006D0233" w:rsidRDefault="00405184" w:rsidP="00B2110D">
      <w:pPr>
        <w:pStyle w:val="BodyText"/>
        <w:ind w:left="284" w:hanging="284"/>
        <w:jc w:val="both"/>
        <w:rPr>
          <w:noProof/>
          <w:sz w:val="24"/>
        </w:rPr>
      </w:pPr>
    </w:p>
    <w:p w14:paraId="4BF39FC1" w14:textId="77777777" w:rsidR="00D10F4C" w:rsidRDefault="00A376FF" w:rsidP="00B2110D">
      <w:pPr>
        <w:pStyle w:val="ListParagraph"/>
        <w:tabs>
          <w:tab w:val="left" w:pos="408"/>
          <w:tab w:val="left" w:pos="421"/>
        </w:tabs>
        <w:ind w:left="284" w:hanging="284"/>
        <w:rPr>
          <w:noProof/>
          <w:sz w:val="24"/>
        </w:rPr>
      </w:pPr>
      <w:r>
        <w:rPr>
          <w:sz w:val="24"/>
        </w:rPr>
        <w:t>7. 7. deklarāciju “Attiecībā uz G pielikuma 4. punktu” pārnumurē par 4. deklarāciju; tikai attiecībā uz 1998. gadā grozīto EHN virsrakstu aizstāj ar “Attiecībā uz W pielikuma 4. punktu” un tekstu aizstāj ar šādu:</w:t>
      </w:r>
    </w:p>
    <w:p w14:paraId="4DDEF7F3" w14:textId="77777777" w:rsidR="00D10F4C" w:rsidRDefault="00D10F4C" w:rsidP="00B2110D">
      <w:pPr>
        <w:pStyle w:val="ListParagraph"/>
        <w:tabs>
          <w:tab w:val="left" w:pos="408"/>
          <w:tab w:val="left" w:pos="421"/>
        </w:tabs>
        <w:ind w:left="0" w:firstLine="0"/>
        <w:rPr>
          <w:noProof/>
          <w:sz w:val="24"/>
        </w:rPr>
      </w:pPr>
    </w:p>
    <w:p w14:paraId="5E44597C" w14:textId="28546333" w:rsidR="00405184" w:rsidRDefault="00D10F4C" w:rsidP="00B2110D">
      <w:pPr>
        <w:pStyle w:val="ListParagraph"/>
        <w:tabs>
          <w:tab w:val="left" w:pos="408"/>
          <w:tab w:val="left" w:pos="421"/>
        </w:tabs>
        <w:ind w:left="567" w:hanging="283"/>
        <w:rPr>
          <w:noProof/>
          <w:sz w:val="24"/>
        </w:rPr>
      </w:pPr>
      <w:r>
        <w:rPr>
          <w:sz w:val="24"/>
        </w:rPr>
        <w:t>“a) Eiropas Atomenerģijas kopiena (</w:t>
      </w:r>
      <w:r>
        <w:rPr>
          <w:i/>
          <w:iCs/>
          <w:sz w:val="24"/>
        </w:rPr>
        <w:t>Euratom</w:t>
      </w:r>
      <w:r>
        <w:rPr>
          <w:sz w:val="24"/>
        </w:rPr>
        <w:t>) un Ukraina paziņo, ka atbilstīgi 1994. gada 14. jūnijā Luksemburgā parakstītajam Partnerības un sadarbības līgumam un attiecīgajam Pagaidu nolīgumam kodolmateriālu tirdzniecība to starpā tiek reglamentēta vienīgi saskaņā ar noteikumiem, kas ietverti Nolīgumā starp Eiropas Atomenerģijas kopienu un Ukrainas Ministru kabinetu par sadarbību kodolenerģijas izmantošanā miermīlīgiem mērķiem.</w:t>
      </w:r>
    </w:p>
    <w:p w14:paraId="4FA233F1" w14:textId="77777777" w:rsidR="00D10F4C" w:rsidRPr="006D0233" w:rsidRDefault="00D10F4C" w:rsidP="00B2110D">
      <w:pPr>
        <w:pStyle w:val="ListParagraph"/>
        <w:tabs>
          <w:tab w:val="left" w:pos="408"/>
          <w:tab w:val="left" w:pos="421"/>
        </w:tabs>
        <w:ind w:left="567" w:hanging="283"/>
        <w:rPr>
          <w:noProof/>
          <w:sz w:val="24"/>
        </w:rPr>
      </w:pPr>
    </w:p>
    <w:p w14:paraId="7F29C8C1" w14:textId="66F3B8BA" w:rsidR="00405184" w:rsidRDefault="00D10F4C" w:rsidP="00B2110D">
      <w:pPr>
        <w:pStyle w:val="ListParagraph"/>
        <w:tabs>
          <w:tab w:val="left" w:pos="955"/>
          <w:tab w:val="left" w:pos="966"/>
        </w:tabs>
        <w:ind w:left="567" w:hanging="283"/>
        <w:rPr>
          <w:noProof/>
          <w:sz w:val="24"/>
        </w:rPr>
      </w:pPr>
      <w:r>
        <w:rPr>
          <w:sz w:val="24"/>
        </w:rPr>
        <w:t xml:space="preserve">b) </w:t>
      </w:r>
      <w:r>
        <w:rPr>
          <w:i/>
          <w:iCs/>
          <w:sz w:val="24"/>
        </w:rPr>
        <w:t>Euratom</w:t>
      </w:r>
      <w:r>
        <w:rPr>
          <w:sz w:val="24"/>
        </w:rPr>
        <w:t xml:space="preserve"> un Kazahstāna paziņo, ka atbilstīgi 1994. gada 20. maijā Briselē parakstītajam Partnerības un sadarbības nolīgumam kodolmateriālu tirdzniecība to starpā tiek reglamentēta tikai saskaņā ar noteikumiem, kas ietverti </w:t>
      </w:r>
      <w:r>
        <w:rPr>
          <w:i/>
          <w:iCs/>
          <w:sz w:val="24"/>
        </w:rPr>
        <w:t>Euratom</w:t>
      </w:r>
      <w:r>
        <w:rPr>
          <w:sz w:val="24"/>
        </w:rPr>
        <w:t xml:space="preserve"> un Kazahstānas Republikas valdības Nolīgumā par sadarbību kodolenerģijas izmantošanā miermīlīgiem mērķiem.</w:t>
      </w:r>
    </w:p>
    <w:p w14:paraId="7B3FFC0D" w14:textId="77777777" w:rsidR="006465E2" w:rsidRPr="006D0233" w:rsidRDefault="006465E2" w:rsidP="00B2110D">
      <w:pPr>
        <w:pStyle w:val="ListParagraph"/>
        <w:tabs>
          <w:tab w:val="left" w:pos="955"/>
          <w:tab w:val="left" w:pos="966"/>
        </w:tabs>
        <w:ind w:left="0" w:firstLine="0"/>
        <w:rPr>
          <w:noProof/>
          <w:sz w:val="24"/>
        </w:rPr>
      </w:pPr>
    </w:p>
    <w:p w14:paraId="010784BC" w14:textId="31274D2D" w:rsidR="00405184" w:rsidRPr="006D0233" w:rsidRDefault="006465E2" w:rsidP="00B2110D">
      <w:pPr>
        <w:pStyle w:val="ListParagraph"/>
        <w:tabs>
          <w:tab w:val="left" w:pos="959"/>
          <w:tab w:val="left" w:pos="965"/>
        </w:tabs>
        <w:ind w:left="567" w:hanging="283"/>
        <w:rPr>
          <w:noProof/>
          <w:sz w:val="24"/>
        </w:rPr>
      </w:pPr>
      <w:r>
        <w:rPr>
          <w:sz w:val="24"/>
        </w:rPr>
        <w:t xml:space="preserve">c) </w:t>
      </w:r>
      <w:r>
        <w:rPr>
          <w:i/>
          <w:iCs/>
          <w:sz w:val="24"/>
        </w:rPr>
        <w:t>Euratom</w:t>
      </w:r>
      <w:r>
        <w:rPr>
          <w:sz w:val="24"/>
        </w:rPr>
        <w:t xml:space="preserve"> un Kirgizstāna paziņo, ka atbilstīgi 1994. gada 31. maijā Briselē parakstītajam Partnerības un sadarbības nolīgumam kodolmateriālu tirdzniecība to starpā tiek reglamentēta tikai saskaņā ar noteikumiem, kas ietverti nolīgumā, kurš tiks noslēgts starp Eiropas Atomenerģijas kopienu un Kirgizstānu.</w:t>
      </w:r>
    </w:p>
    <w:p w14:paraId="6440C09B" w14:textId="77777777" w:rsidR="006465E2" w:rsidRDefault="006465E2" w:rsidP="00B2110D">
      <w:pPr>
        <w:pStyle w:val="BodyText"/>
        <w:ind w:firstLine="14"/>
        <w:jc w:val="both"/>
        <w:rPr>
          <w:noProof/>
          <w:sz w:val="24"/>
        </w:rPr>
      </w:pPr>
    </w:p>
    <w:p w14:paraId="123AB467" w14:textId="5B47D184" w:rsidR="00405184" w:rsidRDefault="00405184" w:rsidP="00B2110D">
      <w:pPr>
        <w:pStyle w:val="BodyText"/>
        <w:ind w:left="284"/>
        <w:jc w:val="both"/>
        <w:rPr>
          <w:noProof/>
          <w:sz w:val="24"/>
        </w:rPr>
      </w:pPr>
      <w:r>
        <w:rPr>
          <w:sz w:val="24"/>
        </w:rPr>
        <w:t>Līdz šā īpašā nolīguma stāšanās spēkā brīdim attiecībā uz kodolmateriālu tirdzniecību to starpā turpina piemērot vienīgi noteikumus, kas minēti 1989. gada 18. decembrī Briselē parakstītajā Nolīgumā par tirdzniecību un ekonomisko un tirdzniecisko sadarbību starp Eiropas Ekonomikas kopienu, Eiropas Atomenerģijas kopienu un Padomju Sociālistisko Republiku Savienību.</w:t>
      </w:r>
    </w:p>
    <w:p w14:paraId="6D2318D9" w14:textId="77777777" w:rsidR="006465E2" w:rsidRPr="006D0233" w:rsidRDefault="006465E2" w:rsidP="00B2110D">
      <w:pPr>
        <w:pStyle w:val="BodyText"/>
        <w:ind w:left="284"/>
        <w:jc w:val="both"/>
        <w:rPr>
          <w:noProof/>
          <w:sz w:val="24"/>
        </w:rPr>
      </w:pPr>
    </w:p>
    <w:p w14:paraId="71278B76" w14:textId="1C0ED0E4" w:rsidR="00405184" w:rsidRDefault="006465E2" w:rsidP="00B2110D">
      <w:pPr>
        <w:pStyle w:val="ListParagraph"/>
        <w:tabs>
          <w:tab w:val="left" w:pos="970"/>
          <w:tab w:val="left" w:pos="980"/>
        </w:tabs>
        <w:ind w:left="567" w:hanging="283"/>
        <w:rPr>
          <w:noProof/>
          <w:sz w:val="24"/>
        </w:rPr>
      </w:pPr>
      <w:r>
        <w:rPr>
          <w:sz w:val="24"/>
        </w:rPr>
        <w:t xml:space="preserve">d) </w:t>
      </w:r>
      <w:r>
        <w:rPr>
          <w:i/>
          <w:iCs/>
          <w:sz w:val="24"/>
        </w:rPr>
        <w:t>Euratom</w:t>
      </w:r>
      <w:r>
        <w:rPr>
          <w:sz w:val="24"/>
        </w:rPr>
        <w:t xml:space="preserve"> un Tadžikistāna paziņo, ka kodolmateriālu tirdzniecība to starpā tiek reglamentēta vienīgi īpaša nolīguma noteikumos, kas tiks noslēgts starp Eiropas Atomenerģijas kopienu un Tadžikistānu.</w:t>
      </w:r>
    </w:p>
    <w:p w14:paraId="169ADFA4" w14:textId="77777777" w:rsidR="006465E2" w:rsidRPr="006D0233" w:rsidRDefault="006465E2" w:rsidP="00B2110D">
      <w:pPr>
        <w:pStyle w:val="ListParagraph"/>
        <w:tabs>
          <w:tab w:val="left" w:pos="970"/>
          <w:tab w:val="left" w:pos="980"/>
        </w:tabs>
        <w:ind w:left="284" w:firstLine="0"/>
        <w:rPr>
          <w:noProof/>
          <w:sz w:val="24"/>
        </w:rPr>
      </w:pPr>
    </w:p>
    <w:p w14:paraId="151E28FA" w14:textId="77777777" w:rsidR="00405184" w:rsidRDefault="00405184" w:rsidP="00B2110D">
      <w:pPr>
        <w:pStyle w:val="BodyText"/>
        <w:ind w:left="284"/>
        <w:jc w:val="both"/>
        <w:rPr>
          <w:noProof/>
          <w:sz w:val="24"/>
        </w:rPr>
      </w:pPr>
      <w:r>
        <w:rPr>
          <w:sz w:val="24"/>
        </w:rPr>
        <w:t>Līdz šā īpašā nolīguma stāšanās spēkā brīdim attiecībā uz kodolmateriālu tirdzniecību to starpā turpina piemērot vienīgi noteikumus, kas minēti 1989. gada 18. decembrī Briselē parakstītajā Nolīgumā par tirdzniecību un ekonomisko un tirdzniecisko sadarbību starp Eiropas Ekonomikas kopienu, Eiropas Atomenerģijas kopienu un Padomju Sociālistisko Republiku Savienību.</w:t>
      </w:r>
    </w:p>
    <w:p w14:paraId="7942B707" w14:textId="77777777" w:rsidR="006465E2" w:rsidRPr="006D0233" w:rsidRDefault="006465E2" w:rsidP="00B2110D">
      <w:pPr>
        <w:pStyle w:val="BodyText"/>
        <w:ind w:left="284"/>
        <w:jc w:val="both"/>
        <w:rPr>
          <w:noProof/>
          <w:sz w:val="24"/>
        </w:rPr>
      </w:pPr>
    </w:p>
    <w:p w14:paraId="4116C315" w14:textId="1315538E" w:rsidR="00405184" w:rsidRDefault="006465E2" w:rsidP="00B2110D">
      <w:pPr>
        <w:pStyle w:val="ListParagraph"/>
        <w:tabs>
          <w:tab w:val="left" w:pos="975"/>
          <w:tab w:val="left" w:pos="982"/>
        </w:tabs>
        <w:ind w:left="567" w:hanging="283"/>
        <w:rPr>
          <w:noProof/>
          <w:sz w:val="24"/>
        </w:rPr>
      </w:pPr>
      <w:r>
        <w:rPr>
          <w:sz w:val="24"/>
        </w:rPr>
        <w:t xml:space="preserve">b) </w:t>
      </w:r>
      <w:r>
        <w:rPr>
          <w:i/>
          <w:iCs/>
          <w:sz w:val="24"/>
        </w:rPr>
        <w:t>Euratom</w:t>
      </w:r>
      <w:r>
        <w:rPr>
          <w:sz w:val="24"/>
        </w:rPr>
        <w:t xml:space="preserve"> un Uzbekistāna paziņo, ka kodolmateriālu tirdzniecība to starpā tiek reglamentēta tikai saskaņā ar noteikumiem, kas ietverti </w:t>
      </w:r>
      <w:r>
        <w:rPr>
          <w:i/>
          <w:iCs/>
          <w:sz w:val="24"/>
        </w:rPr>
        <w:t>Euratom</w:t>
      </w:r>
      <w:r>
        <w:rPr>
          <w:sz w:val="24"/>
        </w:rPr>
        <w:t xml:space="preserve"> un Uzbekistānas Republikas valdības Nolīgumā par sadarbību kodolenerģijas izmantošanā miermīlīgiem mērķiem.”</w:t>
      </w:r>
    </w:p>
    <w:p w14:paraId="27F3B9E4" w14:textId="77777777" w:rsidR="006465E2" w:rsidRPr="006D0233" w:rsidRDefault="006465E2" w:rsidP="006465E2">
      <w:pPr>
        <w:pStyle w:val="ListParagraph"/>
        <w:tabs>
          <w:tab w:val="left" w:pos="975"/>
          <w:tab w:val="left" w:pos="982"/>
        </w:tabs>
        <w:ind w:left="0" w:firstLine="0"/>
        <w:jc w:val="left"/>
        <w:rPr>
          <w:noProof/>
          <w:sz w:val="24"/>
        </w:rPr>
      </w:pPr>
    </w:p>
    <w:p w14:paraId="2146C250" w14:textId="314744FD" w:rsidR="00405184" w:rsidRPr="006D0233" w:rsidRDefault="006465E2" w:rsidP="00FD0CF9">
      <w:pPr>
        <w:pStyle w:val="ListParagraph"/>
        <w:keepNext/>
        <w:keepLines/>
        <w:tabs>
          <w:tab w:val="left" w:pos="431"/>
          <w:tab w:val="left" w:pos="441"/>
        </w:tabs>
        <w:ind w:left="284" w:hanging="284"/>
        <w:jc w:val="left"/>
        <w:rPr>
          <w:noProof/>
          <w:sz w:val="24"/>
        </w:rPr>
      </w:pPr>
      <w:r>
        <w:rPr>
          <w:sz w:val="24"/>
        </w:rPr>
        <w:lastRenderedPageBreak/>
        <w:t>8. Starptautiskās konferences Nobeiguma aktā un Enerģētikas hartas konferences lēmumā par Enerģētikas hartas nolīguma (EHN) tirdzniecības noteikumu grozījumiem svītro Krievijas Federācijas un Eiropas Savienības Kopīgo deklarāciju.</w:t>
      </w:r>
    </w:p>
    <w:p w14:paraId="04B04F10" w14:textId="77777777" w:rsidR="006465E2" w:rsidRDefault="006465E2" w:rsidP="006465E2">
      <w:pPr>
        <w:pStyle w:val="Heading2"/>
        <w:tabs>
          <w:tab w:val="left" w:pos="979"/>
        </w:tabs>
        <w:ind w:left="0" w:firstLine="0"/>
        <w:rPr>
          <w:noProof/>
          <w:sz w:val="24"/>
        </w:rPr>
      </w:pPr>
    </w:p>
    <w:p w14:paraId="78D1301E" w14:textId="77777777" w:rsidR="006465E2" w:rsidRDefault="006465E2" w:rsidP="006465E2">
      <w:pPr>
        <w:pStyle w:val="Heading2"/>
        <w:tabs>
          <w:tab w:val="left" w:pos="979"/>
        </w:tabs>
        <w:ind w:left="0" w:firstLine="0"/>
        <w:rPr>
          <w:noProof/>
          <w:sz w:val="24"/>
        </w:rPr>
      </w:pPr>
    </w:p>
    <w:p w14:paraId="3E544481" w14:textId="753D0414" w:rsidR="00405184" w:rsidRPr="006D0233" w:rsidRDefault="006465E2" w:rsidP="006465E2">
      <w:pPr>
        <w:pStyle w:val="Heading2"/>
        <w:tabs>
          <w:tab w:val="left" w:pos="979"/>
        </w:tabs>
        <w:ind w:left="0" w:firstLine="0"/>
        <w:rPr>
          <w:noProof/>
          <w:sz w:val="24"/>
        </w:rPr>
      </w:pPr>
      <w:r>
        <w:rPr>
          <w:sz w:val="24"/>
        </w:rPr>
        <w:t>III. IZMAIŅAS LĒMUMOS</w:t>
      </w:r>
    </w:p>
    <w:p w14:paraId="41D4E566" w14:textId="77777777" w:rsidR="00405184" w:rsidRPr="006D0233" w:rsidRDefault="00405184" w:rsidP="003755B6">
      <w:pPr>
        <w:pStyle w:val="BodyText"/>
        <w:rPr>
          <w:b/>
          <w:noProof/>
          <w:sz w:val="24"/>
        </w:rPr>
      </w:pPr>
    </w:p>
    <w:p w14:paraId="1F716069" w14:textId="2C9C9416" w:rsidR="00405184" w:rsidRPr="006D0233" w:rsidRDefault="006465E2" w:rsidP="00B2110D">
      <w:pPr>
        <w:pStyle w:val="BodyText"/>
        <w:ind w:left="284" w:hanging="284"/>
        <w:rPr>
          <w:noProof/>
          <w:sz w:val="24"/>
        </w:rPr>
      </w:pPr>
      <w:r>
        <w:rPr>
          <w:sz w:val="24"/>
        </w:rPr>
        <w:t>1. 1. lēmumā “Attiecībā uz Nolīgumu kopumā” svītro “16. pants un”.</w:t>
      </w:r>
    </w:p>
    <w:p w14:paraId="5B8C5444" w14:textId="77777777" w:rsidR="00405184" w:rsidRPr="006D0233" w:rsidRDefault="00405184" w:rsidP="00B2110D">
      <w:pPr>
        <w:pStyle w:val="BodyText"/>
        <w:ind w:left="284" w:hanging="284"/>
        <w:rPr>
          <w:noProof/>
          <w:sz w:val="24"/>
        </w:rPr>
      </w:pPr>
    </w:p>
    <w:p w14:paraId="3189906B" w14:textId="3A88DE99" w:rsidR="00405184" w:rsidRPr="006D0233" w:rsidRDefault="006465E2" w:rsidP="00B2110D">
      <w:pPr>
        <w:pStyle w:val="ListParagraph"/>
        <w:tabs>
          <w:tab w:val="left" w:pos="444"/>
        </w:tabs>
        <w:ind w:left="284" w:hanging="284"/>
        <w:jc w:val="left"/>
        <w:rPr>
          <w:noProof/>
          <w:sz w:val="24"/>
        </w:rPr>
      </w:pPr>
      <w:r>
        <w:rPr>
          <w:sz w:val="24"/>
        </w:rPr>
        <w:t>2. Svītro 2. lēmumu “Attiecībā uz 10. panta 7. punktu”.</w:t>
      </w:r>
    </w:p>
    <w:p w14:paraId="057618F0" w14:textId="77777777" w:rsidR="00405184" w:rsidRPr="006D0233" w:rsidRDefault="00405184" w:rsidP="00B2110D">
      <w:pPr>
        <w:pStyle w:val="BodyText"/>
        <w:ind w:left="284" w:hanging="284"/>
        <w:rPr>
          <w:noProof/>
          <w:sz w:val="24"/>
        </w:rPr>
      </w:pPr>
    </w:p>
    <w:p w14:paraId="1EA76E48" w14:textId="5A24CA3D" w:rsidR="00405184" w:rsidRPr="006D0233" w:rsidRDefault="006465E2" w:rsidP="00B2110D">
      <w:pPr>
        <w:pStyle w:val="ListParagraph"/>
        <w:tabs>
          <w:tab w:val="left" w:pos="440"/>
        </w:tabs>
        <w:ind w:left="284" w:hanging="284"/>
        <w:jc w:val="left"/>
        <w:rPr>
          <w:noProof/>
          <w:sz w:val="24"/>
        </w:rPr>
      </w:pPr>
      <w:r>
        <w:rPr>
          <w:sz w:val="24"/>
        </w:rPr>
        <w:t>3. Svītro 3. lēmumu “Attiecībā uz 14. pantu”.</w:t>
      </w:r>
    </w:p>
    <w:p w14:paraId="183E7163" w14:textId="77777777" w:rsidR="00405184" w:rsidRPr="006D0233" w:rsidRDefault="00405184" w:rsidP="00B2110D">
      <w:pPr>
        <w:pStyle w:val="BodyText"/>
        <w:ind w:left="284" w:hanging="284"/>
        <w:rPr>
          <w:noProof/>
          <w:sz w:val="24"/>
        </w:rPr>
      </w:pPr>
    </w:p>
    <w:p w14:paraId="2E90A368" w14:textId="4BD66EF0" w:rsidR="00405184" w:rsidRPr="006D0233" w:rsidRDefault="006465E2" w:rsidP="00B2110D">
      <w:pPr>
        <w:pStyle w:val="ListParagraph"/>
        <w:tabs>
          <w:tab w:val="left" w:pos="445"/>
        </w:tabs>
        <w:ind w:left="284" w:hanging="284"/>
        <w:jc w:val="left"/>
        <w:rPr>
          <w:noProof/>
          <w:sz w:val="24"/>
        </w:rPr>
      </w:pPr>
      <w:r>
        <w:rPr>
          <w:sz w:val="24"/>
        </w:rPr>
        <w:t>4. Svītro 4. lēmumu “Attiecībā uz 14. panta 2. punktu”.</w:t>
      </w:r>
    </w:p>
    <w:p w14:paraId="7DD98859" w14:textId="77777777" w:rsidR="00405184" w:rsidRPr="006D0233" w:rsidRDefault="00405184" w:rsidP="00B2110D">
      <w:pPr>
        <w:pStyle w:val="BodyText"/>
        <w:ind w:left="284" w:hanging="284"/>
        <w:rPr>
          <w:noProof/>
          <w:sz w:val="24"/>
        </w:rPr>
      </w:pPr>
    </w:p>
    <w:p w14:paraId="1D50A7AF" w14:textId="6E0ACE23" w:rsidR="00405184" w:rsidRPr="006D0233" w:rsidRDefault="006465E2" w:rsidP="00B2110D">
      <w:pPr>
        <w:pStyle w:val="ListParagraph"/>
        <w:tabs>
          <w:tab w:val="left" w:pos="437"/>
          <w:tab w:val="left" w:pos="444"/>
        </w:tabs>
        <w:ind w:left="284" w:hanging="284"/>
        <w:jc w:val="left"/>
        <w:rPr>
          <w:noProof/>
          <w:sz w:val="24"/>
        </w:rPr>
      </w:pPr>
      <w:r>
        <w:rPr>
          <w:sz w:val="24"/>
        </w:rPr>
        <w:t>5. Pārnumurē 5. lēmumu “Attiecībā uz 24. panta 4. punkta a) apakšpunktu un 25. pantu” par 2. lēmumu; virsrakstā aizstāj “24. panta 4. punkta a) apakšpunktu” ar “24. panta 2. punktu” un tekstā aizstāj “1. panta 7. punkta a) apakšpunkta ii) daļā” ar “1. panta 7. punkta b) apakšpunktā”.</w:t>
      </w:r>
    </w:p>
    <w:p w14:paraId="3A3DA709" w14:textId="77777777" w:rsidR="00405184" w:rsidRPr="006D0233" w:rsidRDefault="00405184" w:rsidP="003755B6">
      <w:pPr>
        <w:pStyle w:val="BodyText"/>
        <w:rPr>
          <w:noProof/>
          <w:sz w:val="24"/>
        </w:rPr>
      </w:pPr>
    </w:p>
    <w:p w14:paraId="6A3DE287" w14:textId="553FFF08" w:rsidR="00405184" w:rsidRPr="006D0233" w:rsidRDefault="006465E2" w:rsidP="006465E2">
      <w:pPr>
        <w:pStyle w:val="Heading2"/>
        <w:tabs>
          <w:tab w:val="left" w:pos="984"/>
        </w:tabs>
        <w:ind w:left="0" w:firstLine="0"/>
        <w:rPr>
          <w:noProof/>
          <w:sz w:val="24"/>
        </w:rPr>
      </w:pPr>
      <w:r>
        <w:rPr>
          <w:sz w:val="24"/>
        </w:rPr>
        <w:t>IV. CITAS IZMAIŅAS</w:t>
      </w:r>
    </w:p>
    <w:p w14:paraId="63284236" w14:textId="77777777" w:rsidR="00405184" w:rsidRPr="006D0233" w:rsidRDefault="00405184" w:rsidP="003755B6">
      <w:pPr>
        <w:pStyle w:val="BodyText"/>
        <w:rPr>
          <w:b/>
          <w:noProof/>
          <w:sz w:val="24"/>
        </w:rPr>
      </w:pPr>
    </w:p>
    <w:p w14:paraId="1A810469" w14:textId="030C645F" w:rsidR="00405184" w:rsidRPr="006D0233" w:rsidRDefault="006465E2" w:rsidP="00B2110D">
      <w:pPr>
        <w:pStyle w:val="ListParagraph"/>
        <w:tabs>
          <w:tab w:val="left" w:pos="431"/>
          <w:tab w:val="left" w:pos="444"/>
        </w:tabs>
        <w:ind w:left="284" w:hanging="284"/>
        <w:jc w:val="left"/>
        <w:rPr>
          <w:noProof/>
          <w:sz w:val="24"/>
        </w:rPr>
      </w:pPr>
      <w:r>
        <w:rPr>
          <w:sz w:val="24"/>
        </w:rPr>
        <w:t>1. Eiropas Enerģētikas hartas konferences Nobeiguma aktā (kas grozīts ar Labojumu protokolu 1996. gadā) VIII. iedaļas tekstu aizstāj ar šādu:</w:t>
      </w:r>
    </w:p>
    <w:p w14:paraId="6292EE1C" w14:textId="77777777" w:rsidR="00405184" w:rsidRPr="006D0233" w:rsidRDefault="00405184" w:rsidP="00B2110D">
      <w:pPr>
        <w:pStyle w:val="BodyText"/>
        <w:ind w:left="284" w:hanging="284"/>
        <w:rPr>
          <w:noProof/>
          <w:sz w:val="24"/>
        </w:rPr>
      </w:pPr>
    </w:p>
    <w:p w14:paraId="39C58A54" w14:textId="27CBC1FE" w:rsidR="00405184" w:rsidRPr="006D0233" w:rsidRDefault="006465E2" w:rsidP="00B2110D">
      <w:pPr>
        <w:pStyle w:val="BodyText"/>
        <w:ind w:left="284"/>
        <w:jc w:val="both"/>
        <w:rPr>
          <w:noProof/>
          <w:sz w:val="24"/>
        </w:rPr>
      </w:pPr>
      <w:r>
        <w:rPr>
          <w:sz w:val="24"/>
        </w:rPr>
        <w:t>“Šajā Nolīgumā paredzētā Hartas konference no šā brīža ir atbildīga par lēmumu pieņemšanu attiecībā uz pieprasījumiem parakstīt Hāgas Eiropas Enerģētikas hartas konferences Noslēguma dokumentu un tajā pieņemto Eiropas Enerģētikas hartu, kā arī Ministru (“Hāga II”) konferences par Starptautisko Enerģētikas hartu Noslēguma dokumentu un tajā pieņemto Starptautisko Enerģētikas hartu.”</w:t>
      </w:r>
    </w:p>
    <w:sectPr w:rsidR="00405184" w:rsidRPr="006D0233" w:rsidSect="003F32CC">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5B7D" w14:textId="77777777" w:rsidR="00362031" w:rsidRPr="00405184" w:rsidRDefault="00362031">
      <w:pPr>
        <w:rPr>
          <w:noProof/>
        </w:rPr>
      </w:pPr>
      <w:r w:rsidRPr="00405184">
        <w:rPr>
          <w:noProof/>
        </w:rPr>
        <w:separator/>
      </w:r>
    </w:p>
  </w:endnote>
  <w:endnote w:type="continuationSeparator" w:id="0">
    <w:p w14:paraId="1B5B31A2" w14:textId="77777777" w:rsidR="00362031" w:rsidRPr="00405184" w:rsidRDefault="00362031">
      <w:pPr>
        <w:rPr>
          <w:noProof/>
        </w:rPr>
      </w:pPr>
      <w:r w:rsidRPr="00405184">
        <w:rPr>
          <w:noProof/>
        </w:rPr>
        <w:continuationSeparator/>
      </w:r>
    </w:p>
  </w:endnote>
  <w:endnote w:type="continuationNotice" w:id="1">
    <w:p w14:paraId="536D3C0A" w14:textId="77777777" w:rsidR="00362031" w:rsidRDefault="00362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C8FD" w14:textId="77777777" w:rsidR="00B34AB7" w:rsidRPr="00B34AB7" w:rsidRDefault="00B34AB7" w:rsidP="00B34AB7">
    <w:pPr>
      <w:tabs>
        <w:tab w:val="right" w:leader="underscore" w:pos="9072"/>
      </w:tabs>
      <w:autoSpaceDE/>
      <w:autoSpaceDN/>
      <w:rPr>
        <w:rFonts w:eastAsiaTheme="minorHAnsi"/>
        <w:sz w:val="20"/>
        <w:szCs w:val="18"/>
      </w:rPr>
    </w:pPr>
    <w:r w:rsidRPr="00B34AB7">
      <w:rPr>
        <w:rFonts w:eastAsiaTheme="minorHAnsi"/>
        <w:sz w:val="20"/>
        <w:szCs w:val="18"/>
      </w:rPr>
      <w:tab/>
    </w:r>
  </w:p>
  <w:p w14:paraId="50855B57" w14:textId="77777777" w:rsidR="00B34AB7" w:rsidRPr="00B34AB7" w:rsidRDefault="00B34AB7" w:rsidP="00B34AB7">
    <w:pPr>
      <w:tabs>
        <w:tab w:val="center" w:pos="4513"/>
        <w:tab w:val="right" w:pos="9026"/>
        <w:tab w:val="right" w:pos="9072"/>
      </w:tabs>
      <w:autoSpaceDE/>
      <w:autoSpaceDN/>
      <w:rPr>
        <w:rFonts w:eastAsiaTheme="minorHAnsi"/>
        <w:sz w:val="20"/>
        <w:szCs w:val="18"/>
      </w:rPr>
    </w:pPr>
  </w:p>
  <w:p w14:paraId="270DF2BF" w14:textId="2DF27D4F" w:rsidR="00B34AB7" w:rsidRPr="00B34AB7" w:rsidRDefault="00B34AB7" w:rsidP="00B34AB7">
    <w:pPr>
      <w:tabs>
        <w:tab w:val="right" w:pos="9072"/>
      </w:tabs>
      <w:autoSpaceDE/>
      <w:autoSpaceDN/>
      <w:rPr>
        <w:rFonts w:eastAsiaTheme="minorHAnsi"/>
        <w:sz w:val="20"/>
        <w:szCs w:val="18"/>
      </w:rPr>
    </w:pPr>
    <w:r w:rsidRPr="00B34AB7">
      <w:rPr>
        <w:rFonts w:eastAsiaTheme="minorHAnsi"/>
        <w:noProof/>
        <w:sz w:val="20"/>
        <w:szCs w:val="18"/>
      </w:rPr>
      <w:t xml:space="preserve">Tulkojums </w:t>
    </w:r>
    <w:r w:rsidRPr="00B34AB7">
      <w:rPr>
        <w:rFonts w:eastAsiaTheme="minorHAnsi"/>
        <w:noProof/>
        <w:sz w:val="20"/>
        <w:szCs w:val="18"/>
      </w:rPr>
      <w:fldChar w:fldCharType="begin"/>
    </w:r>
    <w:r w:rsidRPr="00B34AB7">
      <w:rPr>
        <w:rFonts w:eastAsiaTheme="minorHAnsi"/>
        <w:noProof/>
        <w:sz w:val="20"/>
        <w:szCs w:val="18"/>
      </w:rPr>
      <w:instrText>symbol 211 \f "Symbol" \s 9</w:instrText>
    </w:r>
    <w:r w:rsidRPr="00B34AB7">
      <w:rPr>
        <w:rFonts w:eastAsiaTheme="minorHAnsi"/>
        <w:noProof/>
        <w:sz w:val="20"/>
        <w:szCs w:val="18"/>
      </w:rPr>
      <w:fldChar w:fldCharType="separate"/>
    </w:r>
    <w:r w:rsidRPr="00B34AB7">
      <w:rPr>
        <w:rFonts w:eastAsiaTheme="minorHAnsi"/>
        <w:noProof/>
        <w:sz w:val="20"/>
        <w:szCs w:val="18"/>
      </w:rPr>
      <w:t>Ó</w:t>
    </w:r>
    <w:r w:rsidRPr="00B34AB7">
      <w:rPr>
        <w:rFonts w:eastAsiaTheme="minorHAnsi"/>
        <w:noProof/>
        <w:sz w:val="20"/>
        <w:szCs w:val="18"/>
      </w:rPr>
      <w:fldChar w:fldCharType="end"/>
    </w:r>
    <w:r w:rsidRPr="00B34AB7">
      <w:rPr>
        <w:rFonts w:eastAsiaTheme="minorHAnsi"/>
        <w:noProof/>
        <w:sz w:val="20"/>
        <w:szCs w:val="18"/>
      </w:rPr>
      <w:t xml:space="preserve"> Valsts valodas centrs, 202</w:t>
    </w:r>
    <w:r>
      <w:rPr>
        <w:rFonts w:eastAsiaTheme="minorHAnsi"/>
        <w:noProof/>
        <w:sz w:val="20"/>
        <w:szCs w:val="18"/>
      </w:rPr>
      <w:t>5</w:t>
    </w:r>
    <w:r w:rsidRPr="00B34AB7">
      <w:rPr>
        <w:rFonts w:eastAsiaTheme="minorHAnsi"/>
        <w:sz w:val="20"/>
        <w:szCs w:val="18"/>
      </w:rPr>
      <w:tab/>
    </w:r>
    <w:r w:rsidRPr="00B34AB7">
      <w:rPr>
        <w:rFonts w:eastAsiaTheme="minorHAnsi"/>
        <w:sz w:val="20"/>
        <w:szCs w:val="18"/>
      </w:rPr>
      <w:fldChar w:fldCharType="begin"/>
    </w:r>
    <w:r w:rsidRPr="00B34AB7">
      <w:rPr>
        <w:rFonts w:eastAsiaTheme="minorHAnsi"/>
        <w:sz w:val="20"/>
        <w:szCs w:val="18"/>
      </w:rPr>
      <w:instrText xml:space="preserve">page </w:instrText>
    </w:r>
    <w:r w:rsidRPr="00B34AB7">
      <w:rPr>
        <w:rFonts w:eastAsiaTheme="minorHAnsi"/>
        <w:sz w:val="20"/>
        <w:szCs w:val="18"/>
      </w:rPr>
      <w:fldChar w:fldCharType="separate"/>
    </w:r>
    <w:r w:rsidRPr="00B34AB7">
      <w:rPr>
        <w:rFonts w:eastAsiaTheme="minorHAnsi"/>
        <w:sz w:val="20"/>
        <w:szCs w:val="18"/>
      </w:rPr>
      <w:t>2</w:t>
    </w:r>
    <w:r w:rsidRPr="00B34AB7">
      <w:rPr>
        <w:rFonts w:eastAsiaTheme="minorHAnsi"/>
        <w:sz w:val="20"/>
        <w:szCs w:val="18"/>
      </w:rPr>
      <w:fldChar w:fldCharType="end"/>
    </w:r>
  </w:p>
  <w:p w14:paraId="5C9EA24A" w14:textId="77777777" w:rsidR="00FB1B81" w:rsidRDefault="00FB1B81" w:rsidP="00B34AB7">
    <w:pPr>
      <w:pStyle w:val="BodyText"/>
      <w:spacing w:line="14" w:lineRule="auto"/>
      <w:ind w:firstLine="72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6B94" w14:textId="77777777" w:rsidR="002B2814" w:rsidRPr="002B2814" w:rsidRDefault="002B2814" w:rsidP="002B2814">
    <w:pPr>
      <w:tabs>
        <w:tab w:val="left" w:leader="underscore" w:pos="9072"/>
      </w:tabs>
      <w:autoSpaceDE/>
      <w:autoSpaceDN/>
      <w:rPr>
        <w:rFonts w:eastAsiaTheme="minorHAnsi"/>
        <w:sz w:val="20"/>
        <w:szCs w:val="18"/>
      </w:rPr>
    </w:pPr>
    <w:r w:rsidRPr="002B2814">
      <w:rPr>
        <w:rFonts w:eastAsiaTheme="minorHAnsi"/>
        <w:sz w:val="20"/>
        <w:szCs w:val="18"/>
      </w:rPr>
      <w:tab/>
    </w:r>
  </w:p>
  <w:p w14:paraId="2940FD16" w14:textId="77777777" w:rsidR="002B2814" w:rsidRPr="002B2814" w:rsidRDefault="002B2814" w:rsidP="002B2814">
    <w:pPr>
      <w:tabs>
        <w:tab w:val="center" w:pos="4513"/>
        <w:tab w:val="right" w:pos="9026"/>
        <w:tab w:val="left" w:pos="9072"/>
      </w:tabs>
      <w:autoSpaceDE/>
      <w:autoSpaceDN/>
      <w:rPr>
        <w:rFonts w:eastAsiaTheme="minorHAnsi"/>
        <w:sz w:val="20"/>
        <w:szCs w:val="18"/>
      </w:rPr>
    </w:pPr>
  </w:p>
  <w:p w14:paraId="52528F35" w14:textId="459599F2" w:rsidR="005C4A3D" w:rsidRPr="002B2814" w:rsidRDefault="002B2814" w:rsidP="002B2814">
    <w:pPr>
      <w:tabs>
        <w:tab w:val="center" w:pos="4513"/>
        <w:tab w:val="right" w:pos="9026"/>
      </w:tabs>
      <w:autoSpaceDE/>
      <w:autoSpaceDN/>
      <w:rPr>
        <w:rFonts w:eastAsiaTheme="minorHAnsi"/>
        <w:sz w:val="20"/>
        <w:szCs w:val="18"/>
      </w:rPr>
    </w:pPr>
    <w:r w:rsidRPr="002B2814">
      <w:rPr>
        <w:rFonts w:eastAsiaTheme="minorHAnsi"/>
        <w:noProof/>
        <w:sz w:val="20"/>
        <w:szCs w:val="18"/>
      </w:rPr>
      <w:t xml:space="preserve">Tulkojums </w:t>
    </w:r>
    <w:r w:rsidRPr="002B2814">
      <w:rPr>
        <w:rFonts w:eastAsiaTheme="minorHAnsi"/>
        <w:noProof/>
        <w:sz w:val="20"/>
        <w:szCs w:val="18"/>
      </w:rPr>
      <w:fldChar w:fldCharType="begin"/>
    </w:r>
    <w:r w:rsidRPr="002B2814">
      <w:rPr>
        <w:rFonts w:eastAsiaTheme="minorHAnsi"/>
        <w:noProof/>
        <w:sz w:val="20"/>
        <w:szCs w:val="18"/>
      </w:rPr>
      <w:instrText>symbol 211 \f "Symbol" \s 9</w:instrText>
    </w:r>
    <w:r w:rsidRPr="002B2814">
      <w:rPr>
        <w:rFonts w:eastAsiaTheme="minorHAnsi"/>
        <w:noProof/>
        <w:sz w:val="20"/>
        <w:szCs w:val="18"/>
      </w:rPr>
      <w:fldChar w:fldCharType="separate"/>
    </w:r>
    <w:r w:rsidRPr="002B2814">
      <w:rPr>
        <w:rFonts w:eastAsiaTheme="minorHAnsi"/>
        <w:noProof/>
        <w:sz w:val="20"/>
        <w:szCs w:val="18"/>
      </w:rPr>
      <w:t>Ó</w:t>
    </w:r>
    <w:r w:rsidRPr="002B2814">
      <w:rPr>
        <w:rFonts w:eastAsiaTheme="minorHAnsi"/>
        <w:noProof/>
        <w:sz w:val="20"/>
        <w:szCs w:val="18"/>
      </w:rPr>
      <w:fldChar w:fldCharType="end"/>
    </w:r>
    <w:r w:rsidRPr="002B2814">
      <w:rPr>
        <w:rFonts w:eastAsiaTheme="minorHAnsi"/>
        <w:noProof/>
        <w:sz w:val="20"/>
        <w:szCs w:val="18"/>
      </w:rPr>
      <w:t xml:space="preserve"> Valsts valodas centrs, 202</w:t>
    </w:r>
    <w:r>
      <w:rPr>
        <w:rFonts w:eastAsiaTheme="minorHAnsi"/>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8D0F" w14:textId="77777777" w:rsidR="00362031" w:rsidRPr="00405184" w:rsidRDefault="00362031">
      <w:pPr>
        <w:rPr>
          <w:noProof/>
        </w:rPr>
      </w:pPr>
      <w:r w:rsidRPr="00405184">
        <w:rPr>
          <w:noProof/>
        </w:rPr>
        <w:separator/>
      </w:r>
    </w:p>
  </w:footnote>
  <w:footnote w:type="continuationSeparator" w:id="0">
    <w:p w14:paraId="5FCC5121" w14:textId="77777777" w:rsidR="00362031" w:rsidRPr="00405184" w:rsidRDefault="00362031">
      <w:pPr>
        <w:rPr>
          <w:noProof/>
        </w:rPr>
      </w:pPr>
      <w:r w:rsidRPr="00405184">
        <w:rPr>
          <w:noProof/>
        </w:rPr>
        <w:continuationSeparator/>
      </w:r>
    </w:p>
  </w:footnote>
  <w:footnote w:type="continuationNotice" w:id="1">
    <w:p w14:paraId="17A11947" w14:textId="77777777" w:rsidR="00362031" w:rsidRDefault="00362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5E31" w14:textId="77777777" w:rsidR="001656B4" w:rsidRPr="001656B4" w:rsidRDefault="001656B4" w:rsidP="001656B4">
    <w:pPr>
      <w:tabs>
        <w:tab w:val="right" w:leader="underscore" w:pos="9072"/>
      </w:tabs>
      <w:autoSpaceDE/>
      <w:autoSpaceDN/>
      <w:rPr>
        <w:rFonts w:eastAsiaTheme="minorHAnsi"/>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1656B4">
      <w:rPr>
        <w:rFonts w:eastAsiaTheme="minorHAnsi"/>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61AE9C64" w14:textId="77777777" w:rsidR="005C4A3D" w:rsidRDefault="005C4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B07C" w14:textId="77777777" w:rsidR="005C4A3D" w:rsidRPr="00864FDC" w:rsidRDefault="005C4A3D" w:rsidP="005C4A3D">
    <w:pPr>
      <w:pBdr>
        <w:bottom w:val="single" w:sz="12" w:space="5" w:color="auto"/>
      </w:pBdr>
      <w:rPr>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5FF3000A" w14:textId="77777777" w:rsidR="005C4A3D" w:rsidRDefault="005C4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381"/>
    <w:multiLevelType w:val="hybridMultilevel"/>
    <w:tmpl w:val="4CF85528"/>
    <w:lvl w:ilvl="0" w:tplc="4E966094">
      <w:start w:val="1"/>
      <w:numFmt w:val="lowerLetter"/>
      <w:lvlText w:val="%1)"/>
      <w:lvlJc w:val="left"/>
      <w:pPr>
        <w:ind w:left="882" w:hanging="363"/>
        <w:jc w:val="left"/>
      </w:pPr>
      <w:rPr>
        <w:rFonts w:ascii="Times New Roman" w:eastAsia="Times New Roman" w:hAnsi="Times New Roman" w:cs="Times New Roman" w:hint="default"/>
        <w:b w:val="0"/>
        <w:bCs w:val="0"/>
        <w:i w:val="0"/>
        <w:iCs w:val="0"/>
        <w:color w:val="3B3B3B"/>
        <w:spacing w:val="-1"/>
        <w:w w:val="107"/>
        <w:sz w:val="22"/>
        <w:szCs w:val="22"/>
        <w:lang w:val="en-US" w:eastAsia="en-US" w:bidi="ar-SA"/>
      </w:rPr>
    </w:lvl>
    <w:lvl w:ilvl="1" w:tplc="66FA1F56">
      <w:numFmt w:val="bullet"/>
      <w:lvlText w:val="•"/>
      <w:lvlJc w:val="left"/>
      <w:pPr>
        <w:ind w:left="1692" w:hanging="363"/>
      </w:pPr>
      <w:rPr>
        <w:rFonts w:hint="default"/>
        <w:lang w:val="en-US" w:eastAsia="en-US" w:bidi="ar-SA"/>
      </w:rPr>
    </w:lvl>
    <w:lvl w:ilvl="2" w:tplc="9E02426C">
      <w:numFmt w:val="bullet"/>
      <w:lvlText w:val="•"/>
      <w:lvlJc w:val="left"/>
      <w:pPr>
        <w:ind w:left="2504" w:hanging="363"/>
      </w:pPr>
      <w:rPr>
        <w:rFonts w:hint="default"/>
        <w:lang w:val="en-US" w:eastAsia="en-US" w:bidi="ar-SA"/>
      </w:rPr>
    </w:lvl>
    <w:lvl w:ilvl="3" w:tplc="844A92DA">
      <w:numFmt w:val="bullet"/>
      <w:lvlText w:val="•"/>
      <w:lvlJc w:val="left"/>
      <w:pPr>
        <w:ind w:left="3316" w:hanging="363"/>
      </w:pPr>
      <w:rPr>
        <w:rFonts w:hint="default"/>
        <w:lang w:val="en-US" w:eastAsia="en-US" w:bidi="ar-SA"/>
      </w:rPr>
    </w:lvl>
    <w:lvl w:ilvl="4" w:tplc="59A22C28">
      <w:numFmt w:val="bullet"/>
      <w:lvlText w:val="•"/>
      <w:lvlJc w:val="left"/>
      <w:pPr>
        <w:ind w:left="4128" w:hanging="363"/>
      </w:pPr>
      <w:rPr>
        <w:rFonts w:hint="default"/>
        <w:lang w:val="en-US" w:eastAsia="en-US" w:bidi="ar-SA"/>
      </w:rPr>
    </w:lvl>
    <w:lvl w:ilvl="5" w:tplc="68642210">
      <w:numFmt w:val="bullet"/>
      <w:lvlText w:val="•"/>
      <w:lvlJc w:val="left"/>
      <w:pPr>
        <w:ind w:left="4940" w:hanging="363"/>
      </w:pPr>
      <w:rPr>
        <w:rFonts w:hint="default"/>
        <w:lang w:val="en-US" w:eastAsia="en-US" w:bidi="ar-SA"/>
      </w:rPr>
    </w:lvl>
    <w:lvl w:ilvl="6" w:tplc="15F6C154">
      <w:numFmt w:val="bullet"/>
      <w:lvlText w:val="•"/>
      <w:lvlJc w:val="left"/>
      <w:pPr>
        <w:ind w:left="5752" w:hanging="363"/>
      </w:pPr>
      <w:rPr>
        <w:rFonts w:hint="default"/>
        <w:lang w:val="en-US" w:eastAsia="en-US" w:bidi="ar-SA"/>
      </w:rPr>
    </w:lvl>
    <w:lvl w:ilvl="7" w:tplc="430C8878">
      <w:numFmt w:val="bullet"/>
      <w:lvlText w:val="•"/>
      <w:lvlJc w:val="left"/>
      <w:pPr>
        <w:ind w:left="6564" w:hanging="363"/>
      </w:pPr>
      <w:rPr>
        <w:rFonts w:hint="default"/>
        <w:lang w:val="en-US" w:eastAsia="en-US" w:bidi="ar-SA"/>
      </w:rPr>
    </w:lvl>
    <w:lvl w:ilvl="8" w:tplc="D050021A">
      <w:numFmt w:val="bullet"/>
      <w:lvlText w:val="•"/>
      <w:lvlJc w:val="left"/>
      <w:pPr>
        <w:ind w:left="7376" w:hanging="363"/>
      </w:pPr>
      <w:rPr>
        <w:rFonts w:hint="default"/>
        <w:lang w:val="en-US" w:eastAsia="en-US" w:bidi="ar-SA"/>
      </w:rPr>
    </w:lvl>
  </w:abstractNum>
  <w:abstractNum w:abstractNumId="1" w15:restartNumberingAfterBreak="0">
    <w:nsid w:val="25416EE5"/>
    <w:multiLevelType w:val="hybridMultilevel"/>
    <w:tmpl w:val="2F425366"/>
    <w:lvl w:ilvl="0" w:tplc="EEDC14D2">
      <w:start w:val="2"/>
      <w:numFmt w:val="decimal"/>
      <w:lvlText w:val="%1."/>
      <w:lvlJc w:val="left"/>
      <w:pPr>
        <w:ind w:left="473" w:hanging="278"/>
        <w:jc w:val="left"/>
      </w:pPr>
      <w:rPr>
        <w:rFonts w:ascii="Times New Roman" w:eastAsia="Times New Roman" w:hAnsi="Times New Roman" w:cs="Times New Roman" w:hint="default"/>
        <w:b w:val="0"/>
        <w:bCs w:val="0"/>
        <w:i w:val="0"/>
        <w:iCs w:val="0"/>
        <w:color w:val="3F3F3F"/>
        <w:spacing w:val="0"/>
        <w:w w:val="104"/>
        <w:sz w:val="22"/>
        <w:szCs w:val="22"/>
        <w:lang w:val="en-US" w:eastAsia="en-US" w:bidi="ar-SA"/>
      </w:rPr>
    </w:lvl>
    <w:lvl w:ilvl="1" w:tplc="F9224CDA">
      <w:numFmt w:val="bullet"/>
      <w:lvlText w:val="•"/>
      <w:lvlJc w:val="left"/>
      <w:pPr>
        <w:ind w:left="1332" w:hanging="278"/>
      </w:pPr>
      <w:rPr>
        <w:rFonts w:hint="default"/>
        <w:lang w:val="en-US" w:eastAsia="en-US" w:bidi="ar-SA"/>
      </w:rPr>
    </w:lvl>
    <w:lvl w:ilvl="2" w:tplc="B5E838CA">
      <w:numFmt w:val="bullet"/>
      <w:lvlText w:val="•"/>
      <w:lvlJc w:val="left"/>
      <w:pPr>
        <w:ind w:left="2184" w:hanging="278"/>
      </w:pPr>
      <w:rPr>
        <w:rFonts w:hint="default"/>
        <w:lang w:val="en-US" w:eastAsia="en-US" w:bidi="ar-SA"/>
      </w:rPr>
    </w:lvl>
    <w:lvl w:ilvl="3" w:tplc="0B76217A">
      <w:numFmt w:val="bullet"/>
      <w:lvlText w:val="•"/>
      <w:lvlJc w:val="left"/>
      <w:pPr>
        <w:ind w:left="3036" w:hanging="278"/>
      </w:pPr>
      <w:rPr>
        <w:rFonts w:hint="default"/>
        <w:lang w:val="en-US" w:eastAsia="en-US" w:bidi="ar-SA"/>
      </w:rPr>
    </w:lvl>
    <w:lvl w:ilvl="4" w:tplc="B2DC4988">
      <w:numFmt w:val="bullet"/>
      <w:lvlText w:val="•"/>
      <w:lvlJc w:val="left"/>
      <w:pPr>
        <w:ind w:left="3888" w:hanging="278"/>
      </w:pPr>
      <w:rPr>
        <w:rFonts w:hint="default"/>
        <w:lang w:val="en-US" w:eastAsia="en-US" w:bidi="ar-SA"/>
      </w:rPr>
    </w:lvl>
    <w:lvl w:ilvl="5" w:tplc="3AF06AD0">
      <w:numFmt w:val="bullet"/>
      <w:lvlText w:val="•"/>
      <w:lvlJc w:val="left"/>
      <w:pPr>
        <w:ind w:left="4740" w:hanging="278"/>
      </w:pPr>
      <w:rPr>
        <w:rFonts w:hint="default"/>
        <w:lang w:val="en-US" w:eastAsia="en-US" w:bidi="ar-SA"/>
      </w:rPr>
    </w:lvl>
    <w:lvl w:ilvl="6" w:tplc="142648D8">
      <w:numFmt w:val="bullet"/>
      <w:lvlText w:val="•"/>
      <w:lvlJc w:val="left"/>
      <w:pPr>
        <w:ind w:left="5592" w:hanging="278"/>
      </w:pPr>
      <w:rPr>
        <w:rFonts w:hint="default"/>
        <w:lang w:val="en-US" w:eastAsia="en-US" w:bidi="ar-SA"/>
      </w:rPr>
    </w:lvl>
    <w:lvl w:ilvl="7" w:tplc="044C109A">
      <w:numFmt w:val="bullet"/>
      <w:lvlText w:val="•"/>
      <w:lvlJc w:val="left"/>
      <w:pPr>
        <w:ind w:left="6444" w:hanging="278"/>
      </w:pPr>
      <w:rPr>
        <w:rFonts w:hint="default"/>
        <w:lang w:val="en-US" w:eastAsia="en-US" w:bidi="ar-SA"/>
      </w:rPr>
    </w:lvl>
    <w:lvl w:ilvl="8" w:tplc="3B664406">
      <w:numFmt w:val="bullet"/>
      <w:lvlText w:val="•"/>
      <w:lvlJc w:val="left"/>
      <w:pPr>
        <w:ind w:left="7296" w:hanging="278"/>
      </w:pPr>
      <w:rPr>
        <w:rFonts w:hint="default"/>
        <w:lang w:val="en-US" w:eastAsia="en-US" w:bidi="ar-SA"/>
      </w:rPr>
    </w:lvl>
  </w:abstractNum>
  <w:abstractNum w:abstractNumId="2" w15:restartNumberingAfterBreak="0">
    <w:nsid w:val="460B638C"/>
    <w:multiLevelType w:val="hybridMultilevel"/>
    <w:tmpl w:val="8B56C316"/>
    <w:lvl w:ilvl="0" w:tplc="A128E70C">
      <w:start w:val="1"/>
      <w:numFmt w:val="lowerLetter"/>
      <w:lvlText w:val="%1)"/>
      <w:lvlJc w:val="left"/>
      <w:pPr>
        <w:ind w:left="515" w:hanging="352"/>
        <w:jc w:val="left"/>
      </w:pPr>
      <w:rPr>
        <w:rFonts w:ascii="Times New Roman" w:eastAsia="Times New Roman" w:hAnsi="Times New Roman" w:cs="Times New Roman" w:hint="default"/>
        <w:b w:val="0"/>
        <w:bCs w:val="0"/>
        <w:i w:val="0"/>
        <w:iCs w:val="0"/>
        <w:color w:val="3B3B3B"/>
        <w:spacing w:val="-1"/>
        <w:w w:val="109"/>
        <w:sz w:val="21"/>
        <w:szCs w:val="21"/>
        <w:lang w:val="en-US" w:eastAsia="en-US" w:bidi="ar-SA"/>
      </w:rPr>
    </w:lvl>
    <w:lvl w:ilvl="1" w:tplc="66B46DDA">
      <w:start w:val="1"/>
      <w:numFmt w:val="lowerLetter"/>
      <w:lvlText w:val="%2)"/>
      <w:lvlJc w:val="left"/>
      <w:pPr>
        <w:ind w:left="850" w:hanging="342"/>
        <w:jc w:val="left"/>
      </w:pPr>
      <w:rPr>
        <w:rFonts w:ascii="Times New Roman" w:eastAsia="Times New Roman" w:hAnsi="Times New Roman" w:cs="Times New Roman" w:hint="default"/>
        <w:b w:val="0"/>
        <w:bCs w:val="0"/>
        <w:i w:val="0"/>
        <w:iCs w:val="0"/>
        <w:color w:val="3B3B3B"/>
        <w:spacing w:val="-1"/>
        <w:w w:val="109"/>
        <w:sz w:val="21"/>
        <w:szCs w:val="21"/>
        <w:lang w:val="en-US" w:eastAsia="en-US" w:bidi="ar-SA"/>
      </w:rPr>
    </w:lvl>
    <w:lvl w:ilvl="2" w:tplc="DE529542">
      <w:numFmt w:val="bullet"/>
      <w:lvlText w:val="•"/>
      <w:lvlJc w:val="left"/>
      <w:pPr>
        <w:ind w:left="1764" w:hanging="342"/>
      </w:pPr>
      <w:rPr>
        <w:rFonts w:hint="default"/>
        <w:lang w:val="en-US" w:eastAsia="en-US" w:bidi="ar-SA"/>
      </w:rPr>
    </w:lvl>
    <w:lvl w:ilvl="3" w:tplc="79900404">
      <w:numFmt w:val="bullet"/>
      <w:lvlText w:val="•"/>
      <w:lvlJc w:val="left"/>
      <w:pPr>
        <w:ind w:left="2668" w:hanging="342"/>
      </w:pPr>
      <w:rPr>
        <w:rFonts w:hint="default"/>
        <w:lang w:val="en-US" w:eastAsia="en-US" w:bidi="ar-SA"/>
      </w:rPr>
    </w:lvl>
    <w:lvl w:ilvl="4" w:tplc="819E16F2">
      <w:numFmt w:val="bullet"/>
      <w:lvlText w:val="•"/>
      <w:lvlJc w:val="left"/>
      <w:pPr>
        <w:ind w:left="3573" w:hanging="342"/>
      </w:pPr>
      <w:rPr>
        <w:rFonts w:hint="default"/>
        <w:lang w:val="en-US" w:eastAsia="en-US" w:bidi="ar-SA"/>
      </w:rPr>
    </w:lvl>
    <w:lvl w:ilvl="5" w:tplc="93BC4188">
      <w:numFmt w:val="bullet"/>
      <w:lvlText w:val="•"/>
      <w:lvlJc w:val="left"/>
      <w:pPr>
        <w:ind w:left="4477" w:hanging="342"/>
      </w:pPr>
      <w:rPr>
        <w:rFonts w:hint="default"/>
        <w:lang w:val="en-US" w:eastAsia="en-US" w:bidi="ar-SA"/>
      </w:rPr>
    </w:lvl>
    <w:lvl w:ilvl="6" w:tplc="5756E9FE">
      <w:numFmt w:val="bullet"/>
      <w:lvlText w:val="•"/>
      <w:lvlJc w:val="left"/>
      <w:pPr>
        <w:ind w:left="5382" w:hanging="342"/>
      </w:pPr>
      <w:rPr>
        <w:rFonts w:hint="default"/>
        <w:lang w:val="en-US" w:eastAsia="en-US" w:bidi="ar-SA"/>
      </w:rPr>
    </w:lvl>
    <w:lvl w:ilvl="7" w:tplc="3B74393A">
      <w:numFmt w:val="bullet"/>
      <w:lvlText w:val="•"/>
      <w:lvlJc w:val="left"/>
      <w:pPr>
        <w:ind w:left="6286" w:hanging="342"/>
      </w:pPr>
      <w:rPr>
        <w:rFonts w:hint="default"/>
        <w:lang w:val="en-US" w:eastAsia="en-US" w:bidi="ar-SA"/>
      </w:rPr>
    </w:lvl>
    <w:lvl w:ilvl="8" w:tplc="E216F22A">
      <w:numFmt w:val="bullet"/>
      <w:lvlText w:val="•"/>
      <w:lvlJc w:val="left"/>
      <w:pPr>
        <w:ind w:left="7191" w:hanging="342"/>
      </w:pPr>
      <w:rPr>
        <w:rFonts w:hint="default"/>
        <w:lang w:val="en-US" w:eastAsia="en-US" w:bidi="ar-SA"/>
      </w:rPr>
    </w:lvl>
  </w:abstractNum>
  <w:abstractNum w:abstractNumId="3" w15:restartNumberingAfterBreak="0">
    <w:nsid w:val="46A02AA0"/>
    <w:multiLevelType w:val="hybridMultilevel"/>
    <w:tmpl w:val="F27E6B9A"/>
    <w:lvl w:ilvl="0" w:tplc="90DCDE84">
      <w:start w:val="2"/>
      <w:numFmt w:val="decimal"/>
      <w:lvlText w:val="%1."/>
      <w:lvlJc w:val="left"/>
      <w:pPr>
        <w:ind w:left="460" w:hanging="275"/>
        <w:jc w:val="left"/>
      </w:pPr>
      <w:rPr>
        <w:rFonts w:hint="default"/>
        <w:spacing w:val="0"/>
        <w:w w:val="101"/>
        <w:lang w:val="en-US" w:eastAsia="en-US" w:bidi="ar-SA"/>
      </w:rPr>
    </w:lvl>
    <w:lvl w:ilvl="1" w:tplc="10B69AE0">
      <w:start w:val="1"/>
      <w:numFmt w:val="lowerLetter"/>
      <w:lvlText w:val="(%2)"/>
      <w:lvlJc w:val="left"/>
      <w:pPr>
        <w:ind w:left="995" w:hanging="545"/>
        <w:jc w:val="left"/>
      </w:pPr>
      <w:rPr>
        <w:rFonts w:hint="default"/>
        <w:spacing w:val="-1"/>
        <w:w w:val="102"/>
        <w:lang w:val="en-US" w:eastAsia="en-US" w:bidi="ar-SA"/>
      </w:rPr>
    </w:lvl>
    <w:lvl w:ilvl="2" w:tplc="28C6B9AE">
      <w:numFmt w:val="bullet"/>
      <w:lvlText w:val="•"/>
      <w:lvlJc w:val="left"/>
      <w:pPr>
        <w:ind w:left="1888" w:hanging="545"/>
      </w:pPr>
      <w:rPr>
        <w:rFonts w:hint="default"/>
        <w:lang w:val="en-US" w:eastAsia="en-US" w:bidi="ar-SA"/>
      </w:rPr>
    </w:lvl>
    <w:lvl w:ilvl="3" w:tplc="D7D21C04">
      <w:numFmt w:val="bullet"/>
      <w:lvlText w:val="•"/>
      <w:lvlJc w:val="left"/>
      <w:pPr>
        <w:ind w:left="2777" w:hanging="545"/>
      </w:pPr>
      <w:rPr>
        <w:rFonts w:hint="default"/>
        <w:lang w:val="en-US" w:eastAsia="en-US" w:bidi="ar-SA"/>
      </w:rPr>
    </w:lvl>
    <w:lvl w:ilvl="4" w:tplc="2D7A2CDA">
      <w:numFmt w:val="bullet"/>
      <w:lvlText w:val="•"/>
      <w:lvlJc w:val="left"/>
      <w:pPr>
        <w:ind w:left="3666" w:hanging="545"/>
      </w:pPr>
      <w:rPr>
        <w:rFonts w:hint="default"/>
        <w:lang w:val="en-US" w:eastAsia="en-US" w:bidi="ar-SA"/>
      </w:rPr>
    </w:lvl>
    <w:lvl w:ilvl="5" w:tplc="1D0CA216">
      <w:numFmt w:val="bullet"/>
      <w:lvlText w:val="•"/>
      <w:lvlJc w:val="left"/>
      <w:pPr>
        <w:ind w:left="4555" w:hanging="545"/>
      </w:pPr>
      <w:rPr>
        <w:rFonts w:hint="default"/>
        <w:lang w:val="en-US" w:eastAsia="en-US" w:bidi="ar-SA"/>
      </w:rPr>
    </w:lvl>
    <w:lvl w:ilvl="6" w:tplc="A76EAE6E">
      <w:numFmt w:val="bullet"/>
      <w:lvlText w:val="•"/>
      <w:lvlJc w:val="left"/>
      <w:pPr>
        <w:ind w:left="5444" w:hanging="545"/>
      </w:pPr>
      <w:rPr>
        <w:rFonts w:hint="default"/>
        <w:lang w:val="en-US" w:eastAsia="en-US" w:bidi="ar-SA"/>
      </w:rPr>
    </w:lvl>
    <w:lvl w:ilvl="7" w:tplc="225694C4">
      <w:numFmt w:val="bullet"/>
      <w:lvlText w:val="•"/>
      <w:lvlJc w:val="left"/>
      <w:pPr>
        <w:ind w:left="6333" w:hanging="545"/>
      </w:pPr>
      <w:rPr>
        <w:rFonts w:hint="default"/>
        <w:lang w:val="en-US" w:eastAsia="en-US" w:bidi="ar-SA"/>
      </w:rPr>
    </w:lvl>
    <w:lvl w:ilvl="8" w:tplc="B270EFBA">
      <w:numFmt w:val="bullet"/>
      <w:lvlText w:val="•"/>
      <w:lvlJc w:val="left"/>
      <w:pPr>
        <w:ind w:left="7222" w:hanging="545"/>
      </w:pPr>
      <w:rPr>
        <w:rFonts w:hint="default"/>
        <w:lang w:val="en-US" w:eastAsia="en-US" w:bidi="ar-SA"/>
      </w:rPr>
    </w:lvl>
  </w:abstractNum>
  <w:abstractNum w:abstractNumId="4" w15:restartNumberingAfterBreak="0">
    <w:nsid w:val="4CA931DD"/>
    <w:multiLevelType w:val="hybridMultilevel"/>
    <w:tmpl w:val="32AE85A6"/>
    <w:lvl w:ilvl="0" w:tplc="CF965EF8">
      <w:start w:val="1"/>
      <w:numFmt w:val="lowerLetter"/>
      <w:lvlText w:val="(%1)"/>
      <w:lvlJc w:val="left"/>
      <w:pPr>
        <w:ind w:left="1016" w:hanging="409"/>
        <w:jc w:val="left"/>
      </w:pPr>
      <w:rPr>
        <w:rFonts w:ascii="Times New Roman" w:eastAsia="Times New Roman" w:hAnsi="Times New Roman" w:cs="Times New Roman" w:hint="default"/>
        <w:b w:val="0"/>
        <w:bCs w:val="0"/>
        <w:i w:val="0"/>
        <w:iCs w:val="0"/>
        <w:color w:val="3F3F3F"/>
        <w:spacing w:val="-1"/>
        <w:w w:val="106"/>
        <w:sz w:val="22"/>
        <w:szCs w:val="22"/>
        <w:lang w:val="en-US" w:eastAsia="en-US" w:bidi="ar-SA"/>
      </w:rPr>
    </w:lvl>
    <w:lvl w:ilvl="1" w:tplc="B1881BBC">
      <w:numFmt w:val="bullet"/>
      <w:lvlText w:val="•"/>
      <w:lvlJc w:val="left"/>
      <w:pPr>
        <w:ind w:left="1818" w:hanging="409"/>
      </w:pPr>
      <w:rPr>
        <w:rFonts w:hint="default"/>
        <w:lang w:val="en-US" w:eastAsia="en-US" w:bidi="ar-SA"/>
      </w:rPr>
    </w:lvl>
    <w:lvl w:ilvl="2" w:tplc="766696AC">
      <w:numFmt w:val="bullet"/>
      <w:lvlText w:val="•"/>
      <w:lvlJc w:val="left"/>
      <w:pPr>
        <w:ind w:left="2616" w:hanging="409"/>
      </w:pPr>
      <w:rPr>
        <w:rFonts w:hint="default"/>
        <w:lang w:val="en-US" w:eastAsia="en-US" w:bidi="ar-SA"/>
      </w:rPr>
    </w:lvl>
    <w:lvl w:ilvl="3" w:tplc="B08A2A46">
      <w:numFmt w:val="bullet"/>
      <w:lvlText w:val="•"/>
      <w:lvlJc w:val="left"/>
      <w:pPr>
        <w:ind w:left="3414" w:hanging="409"/>
      </w:pPr>
      <w:rPr>
        <w:rFonts w:hint="default"/>
        <w:lang w:val="en-US" w:eastAsia="en-US" w:bidi="ar-SA"/>
      </w:rPr>
    </w:lvl>
    <w:lvl w:ilvl="4" w:tplc="4848576E">
      <w:numFmt w:val="bullet"/>
      <w:lvlText w:val="•"/>
      <w:lvlJc w:val="left"/>
      <w:pPr>
        <w:ind w:left="4212" w:hanging="409"/>
      </w:pPr>
      <w:rPr>
        <w:rFonts w:hint="default"/>
        <w:lang w:val="en-US" w:eastAsia="en-US" w:bidi="ar-SA"/>
      </w:rPr>
    </w:lvl>
    <w:lvl w:ilvl="5" w:tplc="818E9D9A">
      <w:numFmt w:val="bullet"/>
      <w:lvlText w:val="•"/>
      <w:lvlJc w:val="left"/>
      <w:pPr>
        <w:ind w:left="5010" w:hanging="409"/>
      </w:pPr>
      <w:rPr>
        <w:rFonts w:hint="default"/>
        <w:lang w:val="en-US" w:eastAsia="en-US" w:bidi="ar-SA"/>
      </w:rPr>
    </w:lvl>
    <w:lvl w:ilvl="6" w:tplc="8E1E8ED2">
      <w:numFmt w:val="bullet"/>
      <w:lvlText w:val="•"/>
      <w:lvlJc w:val="left"/>
      <w:pPr>
        <w:ind w:left="5808" w:hanging="409"/>
      </w:pPr>
      <w:rPr>
        <w:rFonts w:hint="default"/>
        <w:lang w:val="en-US" w:eastAsia="en-US" w:bidi="ar-SA"/>
      </w:rPr>
    </w:lvl>
    <w:lvl w:ilvl="7" w:tplc="A156C8B6">
      <w:numFmt w:val="bullet"/>
      <w:lvlText w:val="•"/>
      <w:lvlJc w:val="left"/>
      <w:pPr>
        <w:ind w:left="6606" w:hanging="409"/>
      </w:pPr>
      <w:rPr>
        <w:rFonts w:hint="default"/>
        <w:lang w:val="en-US" w:eastAsia="en-US" w:bidi="ar-SA"/>
      </w:rPr>
    </w:lvl>
    <w:lvl w:ilvl="8" w:tplc="9292654E">
      <w:numFmt w:val="bullet"/>
      <w:lvlText w:val="•"/>
      <w:lvlJc w:val="left"/>
      <w:pPr>
        <w:ind w:left="7404" w:hanging="409"/>
      </w:pPr>
      <w:rPr>
        <w:rFonts w:hint="default"/>
        <w:lang w:val="en-US" w:eastAsia="en-US" w:bidi="ar-SA"/>
      </w:rPr>
    </w:lvl>
  </w:abstractNum>
  <w:abstractNum w:abstractNumId="5" w15:restartNumberingAfterBreak="0">
    <w:nsid w:val="70D72A5B"/>
    <w:multiLevelType w:val="hybridMultilevel"/>
    <w:tmpl w:val="38C411FA"/>
    <w:lvl w:ilvl="0" w:tplc="293AFCA2">
      <w:start w:val="2"/>
      <w:numFmt w:val="decimal"/>
      <w:lvlText w:val="%1."/>
      <w:lvlJc w:val="left"/>
      <w:pPr>
        <w:ind w:left="445" w:hanging="275"/>
        <w:jc w:val="left"/>
      </w:pPr>
      <w:rPr>
        <w:rFonts w:ascii="Times New Roman" w:eastAsia="Times New Roman" w:hAnsi="Times New Roman" w:cs="Times New Roman" w:hint="default"/>
        <w:b w:val="0"/>
        <w:bCs w:val="0"/>
        <w:i w:val="0"/>
        <w:iCs w:val="0"/>
        <w:color w:val="3B3B3B"/>
        <w:spacing w:val="0"/>
        <w:w w:val="101"/>
        <w:sz w:val="22"/>
        <w:szCs w:val="22"/>
        <w:lang w:val="en-US" w:eastAsia="en-US" w:bidi="ar-SA"/>
      </w:rPr>
    </w:lvl>
    <w:lvl w:ilvl="1" w:tplc="8AECECB2">
      <w:numFmt w:val="bullet"/>
      <w:lvlText w:val="•"/>
      <w:lvlJc w:val="left"/>
      <w:pPr>
        <w:ind w:left="1296" w:hanging="275"/>
      </w:pPr>
      <w:rPr>
        <w:rFonts w:hint="default"/>
        <w:lang w:val="en-US" w:eastAsia="en-US" w:bidi="ar-SA"/>
      </w:rPr>
    </w:lvl>
    <w:lvl w:ilvl="2" w:tplc="FC6C6988">
      <w:numFmt w:val="bullet"/>
      <w:lvlText w:val="•"/>
      <w:lvlJc w:val="left"/>
      <w:pPr>
        <w:ind w:left="2152" w:hanging="275"/>
      </w:pPr>
      <w:rPr>
        <w:rFonts w:hint="default"/>
        <w:lang w:val="en-US" w:eastAsia="en-US" w:bidi="ar-SA"/>
      </w:rPr>
    </w:lvl>
    <w:lvl w:ilvl="3" w:tplc="20720C46">
      <w:numFmt w:val="bullet"/>
      <w:lvlText w:val="•"/>
      <w:lvlJc w:val="left"/>
      <w:pPr>
        <w:ind w:left="3008" w:hanging="275"/>
      </w:pPr>
      <w:rPr>
        <w:rFonts w:hint="default"/>
        <w:lang w:val="en-US" w:eastAsia="en-US" w:bidi="ar-SA"/>
      </w:rPr>
    </w:lvl>
    <w:lvl w:ilvl="4" w:tplc="57F0EF76">
      <w:numFmt w:val="bullet"/>
      <w:lvlText w:val="•"/>
      <w:lvlJc w:val="left"/>
      <w:pPr>
        <w:ind w:left="3864" w:hanging="275"/>
      </w:pPr>
      <w:rPr>
        <w:rFonts w:hint="default"/>
        <w:lang w:val="en-US" w:eastAsia="en-US" w:bidi="ar-SA"/>
      </w:rPr>
    </w:lvl>
    <w:lvl w:ilvl="5" w:tplc="01649E70">
      <w:numFmt w:val="bullet"/>
      <w:lvlText w:val="•"/>
      <w:lvlJc w:val="left"/>
      <w:pPr>
        <w:ind w:left="4720" w:hanging="275"/>
      </w:pPr>
      <w:rPr>
        <w:rFonts w:hint="default"/>
        <w:lang w:val="en-US" w:eastAsia="en-US" w:bidi="ar-SA"/>
      </w:rPr>
    </w:lvl>
    <w:lvl w:ilvl="6" w:tplc="A7A4E598">
      <w:numFmt w:val="bullet"/>
      <w:lvlText w:val="•"/>
      <w:lvlJc w:val="left"/>
      <w:pPr>
        <w:ind w:left="5576" w:hanging="275"/>
      </w:pPr>
      <w:rPr>
        <w:rFonts w:hint="default"/>
        <w:lang w:val="en-US" w:eastAsia="en-US" w:bidi="ar-SA"/>
      </w:rPr>
    </w:lvl>
    <w:lvl w:ilvl="7" w:tplc="99C477D2">
      <w:numFmt w:val="bullet"/>
      <w:lvlText w:val="•"/>
      <w:lvlJc w:val="left"/>
      <w:pPr>
        <w:ind w:left="6432" w:hanging="275"/>
      </w:pPr>
      <w:rPr>
        <w:rFonts w:hint="default"/>
        <w:lang w:val="en-US" w:eastAsia="en-US" w:bidi="ar-SA"/>
      </w:rPr>
    </w:lvl>
    <w:lvl w:ilvl="8" w:tplc="368C0C76">
      <w:numFmt w:val="bullet"/>
      <w:lvlText w:val="•"/>
      <w:lvlJc w:val="left"/>
      <w:pPr>
        <w:ind w:left="7288" w:hanging="275"/>
      </w:pPr>
      <w:rPr>
        <w:rFonts w:hint="default"/>
        <w:lang w:val="en-US" w:eastAsia="en-US" w:bidi="ar-SA"/>
      </w:rPr>
    </w:lvl>
  </w:abstractNum>
  <w:abstractNum w:abstractNumId="6" w15:restartNumberingAfterBreak="0">
    <w:nsid w:val="780933AF"/>
    <w:multiLevelType w:val="hybridMultilevel"/>
    <w:tmpl w:val="F566F21C"/>
    <w:lvl w:ilvl="0" w:tplc="D9067E64">
      <w:start w:val="1"/>
      <w:numFmt w:val="upperRoman"/>
      <w:lvlText w:val="%1."/>
      <w:lvlJc w:val="left"/>
      <w:pPr>
        <w:ind w:left="473" w:hanging="270"/>
        <w:jc w:val="left"/>
      </w:pPr>
      <w:rPr>
        <w:rFonts w:hint="default"/>
        <w:spacing w:val="-1"/>
        <w:w w:val="104"/>
        <w:lang w:val="en-US" w:eastAsia="en-US" w:bidi="ar-SA"/>
      </w:rPr>
    </w:lvl>
    <w:lvl w:ilvl="1" w:tplc="42F65AE2">
      <w:start w:val="1"/>
      <w:numFmt w:val="decimal"/>
      <w:lvlText w:val="%2."/>
      <w:lvlJc w:val="left"/>
      <w:pPr>
        <w:ind w:left="431" w:hanging="344"/>
        <w:jc w:val="left"/>
      </w:pPr>
      <w:rPr>
        <w:rFonts w:ascii="Times New Roman" w:eastAsia="Times New Roman" w:hAnsi="Times New Roman" w:cs="Times New Roman" w:hint="default"/>
        <w:b w:val="0"/>
        <w:bCs w:val="0"/>
        <w:i w:val="0"/>
        <w:iCs w:val="0"/>
        <w:color w:val="3B3B3B"/>
        <w:spacing w:val="0"/>
        <w:w w:val="99"/>
        <w:sz w:val="22"/>
        <w:szCs w:val="22"/>
        <w:lang w:val="en-US" w:eastAsia="en-US" w:bidi="ar-SA"/>
      </w:rPr>
    </w:lvl>
    <w:lvl w:ilvl="2" w:tplc="E30CD59E">
      <w:numFmt w:val="bullet"/>
      <w:lvlText w:val="•"/>
      <w:lvlJc w:val="left"/>
      <w:pPr>
        <w:ind w:left="1426" w:hanging="344"/>
      </w:pPr>
      <w:rPr>
        <w:rFonts w:hint="default"/>
        <w:lang w:val="en-US" w:eastAsia="en-US" w:bidi="ar-SA"/>
      </w:rPr>
    </w:lvl>
    <w:lvl w:ilvl="3" w:tplc="B10CABEA">
      <w:numFmt w:val="bullet"/>
      <w:lvlText w:val="•"/>
      <w:lvlJc w:val="left"/>
      <w:pPr>
        <w:ind w:left="2373" w:hanging="344"/>
      </w:pPr>
      <w:rPr>
        <w:rFonts w:hint="default"/>
        <w:lang w:val="en-US" w:eastAsia="en-US" w:bidi="ar-SA"/>
      </w:rPr>
    </w:lvl>
    <w:lvl w:ilvl="4" w:tplc="DD5A48A6">
      <w:numFmt w:val="bullet"/>
      <w:lvlText w:val="•"/>
      <w:lvlJc w:val="left"/>
      <w:pPr>
        <w:ind w:left="3320" w:hanging="344"/>
      </w:pPr>
      <w:rPr>
        <w:rFonts w:hint="default"/>
        <w:lang w:val="en-US" w:eastAsia="en-US" w:bidi="ar-SA"/>
      </w:rPr>
    </w:lvl>
    <w:lvl w:ilvl="5" w:tplc="960CE252">
      <w:numFmt w:val="bullet"/>
      <w:lvlText w:val="•"/>
      <w:lvlJc w:val="left"/>
      <w:pPr>
        <w:ind w:left="4266" w:hanging="344"/>
      </w:pPr>
      <w:rPr>
        <w:rFonts w:hint="default"/>
        <w:lang w:val="en-US" w:eastAsia="en-US" w:bidi="ar-SA"/>
      </w:rPr>
    </w:lvl>
    <w:lvl w:ilvl="6" w:tplc="E274283E">
      <w:numFmt w:val="bullet"/>
      <w:lvlText w:val="•"/>
      <w:lvlJc w:val="left"/>
      <w:pPr>
        <w:ind w:left="5213" w:hanging="344"/>
      </w:pPr>
      <w:rPr>
        <w:rFonts w:hint="default"/>
        <w:lang w:val="en-US" w:eastAsia="en-US" w:bidi="ar-SA"/>
      </w:rPr>
    </w:lvl>
    <w:lvl w:ilvl="7" w:tplc="28662AD6">
      <w:numFmt w:val="bullet"/>
      <w:lvlText w:val="•"/>
      <w:lvlJc w:val="left"/>
      <w:pPr>
        <w:ind w:left="6160" w:hanging="344"/>
      </w:pPr>
      <w:rPr>
        <w:rFonts w:hint="default"/>
        <w:lang w:val="en-US" w:eastAsia="en-US" w:bidi="ar-SA"/>
      </w:rPr>
    </w:lvl>
    <w:lvl w:ilvl="8" w:tplc="BE9017DC">
      <w:numFmt w:val="bullet"/>
      <w:lvlText w:val="•"/>
      <w:lvlJc w:val="left"/>
      <w:pPr>
        <w:ind w:left="7106" w:hanging="344"/>
      </w:pPr>
      <w:rPr>
        <w:rFonts w:hint="default"/>
        <w:lang w:val="en-US" w:eastAsia="en-US" w:bidi="ar-SA"/>
      </w:rPr>
    </w:lvl>
  </w:abstractNum>
  <w:abstractNum w:abstractNumId="7" w15:restartNumberingAfterBreak="0">
    <w:nsid w:val="78743A5D"/>
    <w:multiLevelType w:val="hybridMultilevel"/>
    <w:tmpl w:val="A3463A60"/>
    <w:lvl w:ilvl="0" w:tplc="FA9A7DD0">
      <w:start w:val="1"/>
      <w:numFmt w:val="upperRoman"/>
      <w:lvlText w:val="%1."/>
      <w:lvlJc w:val="left"/>
      <w:pPr>
        <w:ind w:left="1027" w:hanging="820"/>
        <w:jc w:val="left"/>
      </w:pPr>
      <w:rPr>
        <w:rFonts w:ascii="Arial" w:eastAsia="Arial" w:hAnsi="Arial" w:cs="Arial" w:hint="default"/>
        <w:b w:val="0"/>
        <w:bCs w:val="0"/>
        <w:i w:val="0"/>
        <w:iCs w:val="0"/>
        <w:color w:val="3F3F3F"/>
        <w:spacing w:val="-1"/>
        <w:w w:val="104"/>
        <w:sz w:val="22"/>
        <w:szCs w:val="22"/>
        <w:lang w:val="en-US" w:eastAsia="en-US" w:bidi="ar-SA"/>
      </w:rPr>
    </w:lvl>
    <w:lvl w:ilvl="1" w:tplc="2FDEE294">
      <w:numFmt w:val="bullet"/>
      <w:lvlText w:val="•"/>
      <w:lvlJc w:val="left"/>
      <w:pPr>
        <w:ind w:left="1818" w:hanging="820"/>
      </w:pPr>
      <w:rPr>
        <w:rFonts w:hint="default"/>
        <w:lang w:val="en-US" w:eastAsia="en-US" w:bidi="ar-SA"/>
      </w:rPr>
    </w:lvl>
    <w:lvl w:ilvl="2" w:tplc="D6F2A1A2">
      <w:numFmt w:val="bullet"/>
      <w:lvlText w:val="•"/>
      <w:lvlJc w:val="left"/>
      <w:pPr>
        <w:ind w:left="2616" w:hanging="820"/>
      </w:pPr>
      <w:rPr>
        <w:rFonts w:hint="default"/>
        <w:lang w:val="en-US" w:eastAsia="en-US" w:bidi="ar-SA"/>
      </w:rPr>
    </w:lvl>
    <w:lvl w:ilvl="3" w:tplc="55228266">
      <w:numFmt w:val="bullet"/>
      <w:lvlText w:val="•"/>
      <w:lvlJc w:val="left"/>
      <w:pPr>
        <w:ind w:left="3414" w:hanging="820"/>
      </w:pPr>
      <w:rPr>
        <w:rFonts w:hint="default"/>
        <w:lang w:val="en-US" w:eastAsia="en-US" w:bidi="ar-SA"/>
      </w:rPr>
    </w:lvl>
    <w:lvl w:ilvl="4" w:tplc="24FC410A">
      <w:numFmt w:val="bullet"/>
      <w:lvlText w:val="•"/>
      <w:lvlJc w:val="left"/>
      <w:pPr>
        <w:ind w:left="4212" w:hanging="820"/>
      </w:pPr>
      <w:rPr>
        <w:rFonts w:hint="default"/>
        <w:lang w:val="en-US" w:eastAsia="en-US" w:bidi="ar-SA"/>
      </w:rPr>
    </w:lvl>
    <w:lvl w:ilvl="5" w:tplc="8DC2BFEE">
      <w:numFmt w:val="bullet"/>
      <w:lvlText w:val="•"/>
      <w:lvlJc w:val="left"/>
      <w:pPr>
        <w:ind w:left="5010" w:hanging="820"/>
      </w:pPr>
      <w:rPr>
        <w:rFonts w:hint="default"/>
        <w:lang w:val="en-US" w:eastAsia="en-US" w:bidi="ar-SA"/>
      </w:rPr>
    </w:lvl>
    <w:lvl w:ilvl="6" w:tplc="BBA8CE3A">
      <w:numFmt w:val="bullet"/>
      <w:lvlText w:val="•"/>
      <w:lvlJc w:val="left"/>
      <w:pPr>
        <w:ind w:left="5808" w:hanging="820"/>
      </w:pPr>
      <w:rPr>
        <w:rFonts w:hint="default"/>
        <w:lang w:val="en-US" w:eastAsia="en-US" w:bidi="ar-SA"/>
      </w:rPr>
    </w:lvl>
    <w:lvl w:ilvl="7" w:tplc="FC2CAF50">
      <w:numFmt w:val="bullet"/>
      <w:lvlText w:val="•"/>
      <w:lvlJc w:val="left"/>
      <w:pPr>
        <w:ind w:left="6606" w:hanging="820"/>
      </w:pPr>
      <w:rPr>
        <w:rFonts w:hint="default"/>
        <w:lang w:val="en-US" w:eastAsia="en-US" w:bidi="ar-SA"/>
      </w:rPr>
    </w:lvl>
    <w:lvl w:ilvl="8" w:tplc="145EAAC4">
      <w:numFmt w:val="bullet"/>
      <w:lvlText w:val="•"/>
      <w:lvlJc w:val="left"/>
      <w:pPr>
        <w:ind w:left="7404" w:hanging="820"/>
      </w:pPr>
      <w:rPr>
        <w:rFonts w:hint="default"/>
        <w:lang w:val="en-US" w:eastAsia="en-US" w:bidi="ar-SA"/>
      </w:rPr>
    </w:lvl>
  </w:abstractNum>
  <w:abstractNum w:abstractNumId="8" w15:restartNumberingAfterBreak="0">
    <w:nsid w:val="7C2B40E5"/>
    <w:multiLevelType w:val="hybridMultilevel"/>
    <w:tmpl w:val="A718DB52"/>
    <w:lvl w:ilvl="0" w:tplc="58202D0A">
      <w:start w:val="11"/>
      <w:numFmt w:val="decimal"/>
      <w:lvlText w:val="%1."/>
      <w:lvlJc w:val="left"/>
      <w:pPr>
        <w:ind w:left="470" w:hanging="407"/>
        <w:jc w:val="right"/>
      </w:pPr>
      <w:rPr>
        <w:rFonts w:hint="default"/>
        <w:spacing w:val="0"/>
        <w:w w:val="97"/>
        <w:lang w:val="en-US" w:eastAsia="en-US" w:bidi="ar-SA"/>
      </w:rPr>
    </w:lvl>
    <w:lvl w:ilvl="1" w:tplc="2048D0A6">
      <w:numFmt w:val="bullet"/>
      <w:lvlText w:val="•"/>
      <w:lvlJc w:val="left"/>
      <w:pPr>
        <w:ind w:left="1332" w:hanging="407"/>
      </w:pPr>
      <w:rPr>
        <w:rFonts w:hint="default"/>
        <w:lang w:val="en-US" w:eastAsia="en-US" w:bidi="ar-SA"/>
      </w:rPr>
    </w:lvl>
    <w:lvl w:ilvl="2" w:tplc="0B30B59A">
      <w:numFmt w:val="bullet"/>
      <w:lvlText w:val="•"/>
      <w:lvlJc w:val="left"/>
      <w:pPr>
        <w:ind w:left="2184" w:hanging="407"/>
      </w:pPr>
      <w:rPr>
        <w:rFonts w:hint="default"/>
        <w:lang w:val="en-US" w:eastAsia="en-US" w:bidi="ar-SA"/>
      </w:rPr>
    </w:lvl>
    <w:lvl w:ilvl="3" w:tplc="874CF10C">
      <w:numFmt w:val="bullet"/>
      <w:lvlText w:val="•"/>
      <w:lvlJc w:val="left"/>
      <w:pPr>
        <w:ind w:left="3036" w:hanging="407"/>
      </w:pPr>
      <w:rPr>
        <w:rFonts w:hint="default"/>
        <w:lang w:val="en-US" w:eastAsia="en-US" w:bidi="ar-SA"/>
      </w:rPr>
    </w:lvl>
    <w:lvl w:ilvl="4" w:tplc="05B07A72">
      <w:numFmt w:val="bullet"/>
      <w:lvlText w:val="•"/>
      <w:lvlJc w:val="left"/>
      <w:pPr>
        <w:ind w:left="3888" w:hanging="407"/>
      </w:pPr>
      <w:rPr>
        <w:rFonts w:hint="default"/>
        <w:lang w:val="en-US" w:eastAsia="en-US" w:bidi="ar-SA"/>
      </w:rPr>
    </w:lvl>
    <w:lvl w:ilvl="5" w:tplc="02607726">
      <w:numFmt w:val="bullet"/>
      <w:lvlText w:val="•"/>
      <w:lvlJc w:val="left"/>
      <w:pPr>
        <w:ind w:left="4740" w:hanging="407"/>
      </w:pPr>
      <w:rPr>
        <w:rFonts w:hint="default"/>
        <w:lang w:val="en-US" w:eastAsia="en-US" w:bidi="ar-SA"/>
      </w:rPr>
    </w:lvl>
    <w:lvl w:ilvl="6" w:tplc="8F6A406E">
      <w:numFmt w:val="bullet"/>
      <w:lvlText w:val="•"/>
      <w:lvlJc w:val="left"/>
      <w:pPr>
        <w:ind w:left="5592" w:hanging="407"/>
      </w:pPr>
      <w:rPr>
        <w:rFonts w:hint="default"/>
        <w:lang w:val="en-US" w:eastAsia="en-US" w:bidi="ar-SA"/>
      </w:rPr>
    </w:lvl>
    <w:lvl w:ilvl="7" w:tplc="48042F2A">
      <w:numFmt w:val="bullet"/>
      <w:lvlText w:val="•"/>
      <w:lvlJc w:val="left"/>
      <w:pPr>
        <w:ind w:left="6444" w:hanging="407"/>
      </w:pPr>
      <w:rPr>
        <w:rFonts w:hint="default"/>
        <w:lang w:val="en-US" w:eastAsia="en-US" w:bidi="ar-SA"/>
      </w:rPr>
    </w:lvl>
    <w:lvl w:ilvl="8" w:tplc="E7B23598">
      <w:numFmt w:val="bullet"/>
      <w:lvlText w:val="•"/>
      <w:lvlJc w:val="left"/>
      <w:pPr>
        <w:ind w:left="7296" w:hanging="407"/>
      </w:pPr>
      <w:rPr>
        <w:rFonts w:hint="default"/>
        <w:lang w:val="en-US" w:eastAsia="en-US" w:bidi="ar-SA"/>
      </w:rPr>
    </w:lvl>
  </w:abstractNum>
  <w:abstractNum w:abstractNumId="9" w15:restartNumberingAfterBreak="0">
    <w:nsid w:val="7D4D4A15"/>
    <w:multiLevelType w:val="hybridMultilevel"/>
    <w:tmpl w:val="97D2DC40"/>
    <w:lvl w:ilvl="0" w:tplc="FBF48260">
      <w:start w:val="2"/>
      <w:numFmt w:val="lowerLetter"/>
      <w:lvlText w:val="(%1)"/>
      <w:lvlJc w:val="left"/>
      <w:pPr>
        <w:ind w:left="966" w:hanging="541"/>
        <w:jc w:val="left"/>
      </w:pPr>
      <w:rPr>
        <w:rFonts w:ascii="Times New Roman" w:eastAsia="Times New Roman" w:hAnsi="Times New Roman" w:cs="Times New Roman" w:hint="default"/>
        <w:b w:val="0"/>
        <w:bCs w:val="0"/>
        <w:i w:val="0"/>
        <w:iCs w:val="0"/>
        <w:color w:val="3B3B3B"/>
        <w:spacing w:val="0"/>
        <w:w w:val="105"/>
        <w:sz w:val="22"/>
        <w:szCs w:val="22"/>
        <w:lang w:val="en-US" w:eastAsia="en-US" w:bidi="ar-SA"/>
      </w:rPr>
    </w:lvl>
    <w:lvl w:ilvl="1" w:tplc="268E65DE">
      <w:numFmt w:val="bullet"/>
      <w:lvlText w:val="•"/>
      <w:lvlJc w:val="left"/>
      <w:pPr>
        <w:ind w:left="1764" w:hanging="541"/>
      </w:pPr>
      <w:rPr>
        <w:rFonts w:hint="default"/>
        <w:lang w:val="en-US" w:eastAsia="en-US" w:bidi="ar-SA"/>
      </w:rPr>
    </w:lvl>
    <w:lvl w:ilvl="2" w:tplc="7E4A784E">
      <w:numFmt w:val="bullet"/>
      <w:lvlText w:val="•"/>
      <w:lvlJc w:val="left"/>
      <w:pPr>
        <w:ind w:left="2568" w:hanging="541"/>
      </w:pPr>
      <w:rPr>
        <w:rFonts w:hint="default"/>
        <w:lang w:val="en-US" w:eastAsia="en-US" w:bidi="ar-SA"/>
      </w:rPr>
    </w:lvl>
    <w:lvl w:ilvl="3" w:tplc="B39AA616">
      <w:numFmt w:val="bullet"/>
      <w:lvlText w:val="•"/>
      <w:lvlJc w:val="left"/>
      <w:pPr>
        <w:ind w:left="3372" w:hanging="541"/>
      </w:pPr>
      <w:rPr>
        <w:rFonts w:hint="default"/>
        <w:lang w:val="en-US" w:eastAsia="en-US" w:bidi="ar-SA"/>
      </w:rPr>
    </w:lvl>
    <w:lvl w:ilvl="4" w:tplc="47223460">
      <w:numFmt w:val="bullet"/>
      <w:lvlText w:val="•"/>
      <w:lvlJc w:val="left"/>
      <w:pPr>
        <w:ind w:left="4176" w:hanging="541"/>
      </w:pPr>
      <w:rPr>
        <w:rFonts w:hint="default"/>
        <w:lang w:val="en-US" w:eastAsia="en-US" w:bidi="ar-SA"/>
      </w:rPr>
    </w:lvl>
    <w:lvl w:ilvl="5" w:tplc="CAF4AB72">
      <w:numFmt w:val="bullet"/>
      <w:lvlText w:val="•"/>
      <w:lvlJc w:val="left"/>
      <w:pPr>
        <w:ind w:left="4980" w:hanging="541"/>
      </w:pPr>
      <w:rPr>
        <w:rFonts w:hint="default"/>
        <w:lang w:val="en-US" w:eastAsia="en-US" w:bidi="ar-SA"/>
      </w:rPr>
    </w:lvl>
    <w:lvl w:ilvl="6" w:tplc="CB6EB690">
      <w:numFmt w:val="bullet"/>
      <w:lvlText w:val="•"/>
      <w:lvlJc w:val="left"/>
      <w:pPr>
        <w:ind w:left="5784" w:hanging="541"/>
      </w:pPr>
      <w:rPr>
        <w:rFonts w:hint="default"/>
        <w:lang w:val="en-US" w:eastAsia="en-US" w:bidi="ar-SA"/>
      </w:rPr>
    </w:lvl>
    <w:lvl w:ilvl="7" w:tplc="616E1A1E">
      <w:numFmt w:val="bullet"/>
      <w:lvlText w:val="•"/>
      <w:lvlJc w:val="left"/>
      <w:pPr>
        <w:ind w:left="6588" w:hanging="541"/>
      </w:pPr>
      <w:rPr>
        <w:rFonts w:hint="default"/>
        <w:lang w:val="en-US" w:eastAsia="en-US" w:bidi="ar-SA"/>
      </w:rPr>
    </w:lvl>
    <w:lvl w:ilvl="8" w:tplc="38662E52">
      <w:numFmt w:val="bullet"/>
      <w:lvlText w:val="•"/>
      <w:lvlJc w:val="left"/>
      <w:pPr>
        <w:ind w:left="7392" w:hanging="541"/>
      </w:pPr>
      <w:rPr>
        <w:rFonts w:hint="default"/>
        <w:lang w:val="en-US" w:eastAsia="en-US" w:bidi="ar-SA"/>
      </w:rPr>
    </w:lvl>
  </w:abstractNum>
  <w:abstractNum w:abstractNumId="10" w15:restartNumberingAfterBreak="0">
    <w:nsid w:val="7D6B3B6D"/>
    <w:multiLevelType w:val="hybridMultilevel"/>
    <w:tmpl w:val="0878491E"/>
    <w:lvl w:ilvl="0" w:tplc="56AEEB1E">
      <w:start w:val="1"/>
      <w:numFmt w:val="lowerLetter"/>
      <w:lvlText w:val="%1)"/>
      <w:lvlJc w:val="left"/>
      <w:pPr>
        <w:ind w:left="875" w:hanging="352"/>
        <w:jc w:val="left"/>
      </w:pPr>
      <w:rPr>
        <w:rFonts w:ascii="Times New Roman" w:eastAsia="Times New Roman" w:hAnsi="Times New Roman" w:cs="Times New Roman" w:hint="default"/>
        <w:b w:val="0"/>
        <w:bCs w:val="0"/>
        <w:i w:val="0"/>
        <w:iCs w:val="0"/>
        <w:color w:val="3B3B3B"/>
        <w:spacing w:val="-1"/>
        <w:w w:val="110"/>
        <w:sz w:val="22"/>
        <w:szCs w:val="22"/>
        <w:lang w:val="en-US" w:eastAsia="en-US" w:bidi="ar-SA"/>
      </w:rPr>
    </w:lvl>
    <w:lvl w:ilvl="1" w:tplc="863661A0">
      <w:numFmt w:val="bullet"/>
      <w:lvlText w:val="•"/>
      <w:lvlJc w:val="left"/>
      <w:pPr>
        <w:ind w:left="1692" w:hanging="352"/>
      </w:pPr>
      <w:rPr>
        <w:rFonts w:hint="default"/>
        <w:lang w:val="en-US" w:eastAsia="en-US" w:bidi="ar-SA"/>
      </w:rPr>
    </w:lvl>
    <w:lvl w:ilvl="2" w:tplc="B9907374">
      <w:numFmt w:val="bullet"/>
      <w:lvlText w:val="•"/>
      <w:lvlJc w:val="left"/>
      <w:pPr>
        <w:ind w:left="2504" w:hanging="352"/>
      </w:pPr>
      <w:rPr>
        <w:rFonts w:hint="default"/>
        <w:lang w:val="en-US" w:eastAsia="en-US" w:bidi="ar-SA"/>
      </w:rPr>
    </w:lvl>
    <w:lvl w:ilvl="3" w:tplc="CCBA8D12">
      <w:numFmt w:val="bullet"/>
      <w:lvlText w:val="•"/>
      <w:lvlJc w:val="left"/>
      <w:pPr>
        <w:ind w:left="3316" w:hanging="352"/>
      </w:pPr>
      <w:rPr>
        <w:rFonts w:hint="default"/>
        <w:lang w:val="en-US" w:eastAsia="en-US" w:bidi="ar-SA"/>
      </w:rPr>
    </w:lvl>
    <w:lvl w:ilvl="4" w:tplc="87EE300A">
      <w:numFmt w:val="bullet"/>
      <w:lvlText w:val="•"/>
      <w:lvlJc w:val="left"/>
      <w:pPr>
        <w:ind w:left="4128" w:hanging="352"/>
      </w:pPr>
      <w:rPr>
        <w:rFonts w:hint="default"/>
        <w:lang w:val="en-US" w:eastAsia="en-US" w:bidi="ar-SA"/>
      </w:rPr>
    </w:lvl>
    <w:lvl w:ilvl="5" w:tplc="383486E6">
      <w:numFmt w:val="bullet"/>
      <w:lvlText w:val="•"/>
      <w:lvlJc w:val="left"/>
      <w:pPr>
        <w:ind w:left="4940" w:hanging="352"/>
      </w:pPr>
      <w:rPr>
        <w:rFonts w:hint="default"/>
        <w:lang w:val="en-US" w:eastAsia="en-US" w:bidi="ar-SA"/>
      </w:rPr>
    </w:lvl>
    <w:lvl w:ilvl="6" w:tplc="918640DC">
      <w:numFmt w:val="bullet"/>
      <w:lvlText w:val="•"/>
      <w:lvlJc w:val="left"/>
      <w:pPr>
        <w:ind w:left="5752" w:hanging="352"/>
      </w:pPr>
      <w:rPr>
        <w:rFonts w:hint="default"/>
        <w:lang w:val="en-US" w:eastAsia="en-US" w:bidi="ar-SA"/>
      </w:rPr>
    </w:lvl>
    <w:lvl w:ilvl="7" w:tplc="89588DE0">
      <w:numFmt w:val="bullet"/>
      <w:lvlText w:val="•"/>
      <w:lvlJc w:val="left"/>
      <w:pPr>
        <w:ind w:left="6564" w:hanging="352"/>
      </w:pPr>
      <w:rPr>
        <w:rFonts w:hint="default"/>
        <w:lang w:val="en-US" w:eastAsia="en-US" w:bidi="ar-SA"/>
      </w:rPr>
    </w:lvl>
    <w:lvl w:ilvl="8" w:tplc="70701C9A">
      <w:numFmt w:val="bullet"/>
      <w:lvlText w:val="•"/>
      <w:lvlJc w:val="left"/>
      <w:pPr>
        <w:ind w:left="7376" w:hanging="352"/>
      </w:pPr>
      <w:rPr>
        <w:rFonts w:hint="default"/>
        <w:lang w:val="en-US" w:eastAsia="en-US" w:bidi="ar-SA"/>
      </w:rPr>
    </w:lvl>
  </w:abstractNum>
  <w:num w:numId="1" w16cid:durableId="812792595">
    <w:abstractNumId w:val="4"/>
  </w:num>
  <w:num w:numId="2" w16cid:durableId="800465089">
    <w:abstractNumId w:val="2"/>
  </w:num>
  <w:num w:numId="3" w16cid:durableId="861895049">
    <w:abstractNumId w:val="5"/>
  </w:num>
  <w:num w:numId="4" w16cid:durableId="1317148548">
    <w:abstractNumId w:val="9"/>
  </w:num>
  <w:num w:numId="5" w16cid:durableId="1086458295">
    <w:abstractNumId w:val="3"/>
  </w:num>
  <w:num w:numId="6" w16cid:durableId="1280187789">
    <w:abstractNumId w:val="8"/>
  </w:num>
  <w:num w:numId="7" w16cid:durableId="215169184">
    <w:abstractNumId w:val="1"/>
  </w:num>
  <w:num w:numId="8" w16cid:durableId="2074158369">
    <w:abstractNumId w:val="6"/>
  </w:num>
  <w:num w:numId="9" w16cid:durableId="1766922231">
    <w:abstractNumId w:val="7"/>
  </w:num>
  <w:num w:numId="10" w16cid:durableId="646520882">
    <w:abstractNumId w:val="10"/>
  </w:num>
  <w:num w:numId="11" w16cid:durableId="136047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FB1B81"/>
    <w:rsid w:val="00026973"/>
    <w:rsid w:val="000C7451"/>
    <w:rsid w:val="0013046A"/>
    <w:rsid w:val="00163EA8"/>
    <w:rsid w:val="001656B4"/>
    <w:rsid w:val="002161B2"/>
    <w:rsid w:val="002B2814"/>
    <w:rsid w:val="003468C7"/>
    <w:rsid w:val="00362031"/>
    <w:rsid w:val="0036398E"/>
    <w:rsid w:val="003755B6"/>
    <w:rsid w:val="003E08F5"/>
    <w:rsid w:val="003F32CC"/>
    <w:rsid w:val="003F386A"/>
    <w:rsid w:val="00405184"/>
    <w:rsid w:val="00412AE8"/>
    <w:rsid w:val="00444D24"/>
    <w:rsid w:val="00471263"/>
    <w:rsid w:val="004771C1"/>
    <w:rsid w:val="004D3B29"/>
    <w:rsid w:val="005604EB"/>
    <w:rsid w:val="00573D14"/>
    <w:rsid w:val="005A386C"/>
    <w:rsid w:val="005C4A3D"/>
    <w:rsid w:val="006465E2"/>
    <w:rsid w:val="006A5435"/>
    <w:rsid w:val="006B11B9"/>
    <w:rsid w:val="006B4E4D"/>
    <w:rsid w:val="006D0233"/>
    <w:rsid w:val="006F60C0"/>
    <w:rsid w:val="00714B93"/>
    <w:rsid w:val="00851362"/>
    <w:rsid w:val="0089377B"/>
    <w:rsid w:val="008B3AA6"/>
    <w:rsid w:val="00916ABE"/>
    <w:rsid w:val="009B586E"/>
    <w:rsid w:val="00A224C4"/>
    <w:rsid w:val="00A376FF"/>
    <w:rsid w:val="00A452B1"/>
    <w:rsid w:val="00B2110D"/>
    <w:rsid w:val="00B34AB7"/>
    <w:rsid w:val="00BE6330"/>
    <w:rsid w:val="00BE76BF"/>
    <w:rsid w:val="00C22CC6"/>
    <w:rsid w:val="00C51C3C"/>
    <w:rsid w:val="00CF7D2A"/>
    <w:rsid w:val="00D10F4C"/>
    <w:rsid w:val="00D940CD"/>
    <w:rsid w:val="00D9414D"/>
    <w:rsid w:val="00E01F55"/>
    <w:rsid w:val="00E46011"/>
    <w:rsid w:val="00FA1017"/>
    <w:rsid w:val="00FB1B81"/>
    <w:rsid w:val="00FD0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E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8"/>
      <w:outlineLvl w:val="0"/>
    </w:pPr>
    <w:rPr>
      <w:b/>
      <w:bCs/>
      <w:sz w:val="23"/>
      <w:szCs w:val="23"/>
    </w:rPr>
  </w:style>
  <w:style w:type="paragraph" w:styleId="Heading2">
    <w:name w:val="heading 2"/>
    <w:basedOn w:val="Normal"/>
    <w:uiPriority w:val="9"/>
    <w:unhideWhenUsed/>
    <w:qFormat/>
    <w:pPr>
      <w:ind w:left="169" w:hanging="8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22" w:hanging="27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1263"/>
    <w:pPr>
      <w:tabs>
        <w:tab w:val="center" w:pos="4513"/>
        <w:tab w:val="right" w:pos="9026"/>
      </w:tabs>
    </w:pPr>
  </w:style>
  <w:style w:type="character" w:customStyle="1" w:styleId="HeaderChar">
    <w:name w:val="Header Char"/>
    <w:basedOn w:val="DefaultParagraphFont"/>
    <w:link w:val="Header"/>
    <w:uiPriority w:val="99"/>
    <w:rsid w:val="00471263"/>
    <w:rPr>
      <w:rFonts w:ascii="Times New Roman" w:eastAsia="Times New Roman" w:hAnsi="Times New Roman" w:cs="Times New Roman"/>
    </w:rPr>
  </w:style>
  <w:style w:type="paragraph" w:styleId="Footer">
    <w:name w:val="footer"/>
    <w:basedOn w:val="Normal"/>
    <w:link w:val="FooterChar"/>
    <w:uiPriority w:val="99"/>
    <w:unhideWhenUsed/>
    <w:rsid w:val="00471263"/>
    <w:pPr>
      <w:tabs>
        <w:tab w:val="center" w:pos="4513"/>
        <w:tab w:val="right" w:pos="9026"/>
      </w:tabs>
    </w:pPr>
  </w:style>
  <w:style w:type="character" w:customStyle="1" w:styleId="FooterChar">
    <w:name w:val="Footer Char"/>
    <w:basedOn w:val="DefaultParagraphFont"/>
    <w:link w:val="Footer"/>
    <w:uiPriority w:val="99"/>
    <w:rsid w:val="00471263"/>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9377B"/>
    <w:rPr>
      <w:rFonts w:ascii="Times New Roman" w:eastAsia="Times New Roman" w:hAnsi="Times New Roman" w:cs="Times New Roman"/>
    </w:rPr>
  </w:style>
  <w:style w:type="paragraph" w:styleId="Title">
    <w:name w:val="Title"/>
    <w:basedOn w:val="Normal"/>
    <w:link w:val="TitleChar"/>
    <w:uiPriority w:val="10"/>
    <w:qFormat/>
    <w:rsid w:val="0089377B"/>
    <w:pPr>
      <w:spacing w:before="134"/>
      <w:ind w:left="1388" w:right="5297" w:hanging="307"/>
    </w:pPr>
    <w:rPr>
      <w:rFonts w:ascii="Palatino Linotype" w:eastAsia="Palatino Linotype" w:hAnsi="Palatino Linotype" w:cs="Palatino Linotype"/>
      <w:b/>
      <w:bCs/>
      <w:sz w:val="28"/>
      <w:szCs w:val="28"/>
    </w:rPr>
  </w:style>
  <w:style w:type="character" w:customStyle="1" w:styleId="TitleChar">
    <w:name w:val="Title Char"/>
    <w:basedOn w:val="DefaultParagraphFont"/>
    <w:link w:val="Title"/>
    <w:uiPriority w:val="10"/>
    <w:rsid w:val="0089377B"/>
    <w:rPr>
      <w:rFonts w:ascii="Palatino Linotype" w:eastAsia="Palatino Linotype" w:hAnsi="Palatino Linotype" w:cs="Palatino Linotype"/>
      <w:b/>
      <w:bCs/>
      <w:sz w:val="28"/>
      <w:szCs w:val="28"/>
    </w:rPr>
  </w:style>
  <w:style w:type="table" w:styleId="TableGrid">
    <w:name w:val="Table Grid"/>
    <w:basedOn w:val="TableNormal"/>
    <w:uiPriority w:val="39"/>
    <w:rsid w:val="00893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55219-CA40-401D-BBD9-7A73C34629C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58C623B3-FAAD-434E-B522-B7F9A8B4D53F}">
  <ds:schemaRefs>
    <ds:schemaRef ds:uri="http://schemas.microsoft.com/sharepoint/v3/contenttype/forms"/>
  </ds:schemaRefs>
</ds:datastoreItem>
</file>

<file path=customXml/itemProps3.xml><?xml version="1.0" encoding="utf-8"?>
<ds:datastoreItem xmlns:ds="http://schemas.openxmlformats.org/officeDocument/2006/customXml" ds:itemID="{8EEF67CC-A4FA-4372-925D-FA64EC8FF5DB}"/>
</file>

<file path=docProps/app.xml><?xml version="1.0" encoding="utf-8"?>
<Properties xmlns="http://schemas.openxmlformats.org/officeDocument/2006/extended-properties" xmlns:vt="http://schemas.openxmlformats.org/officeDocument/2006/docPropsVTypes">
  <Template>Normal</Template>
  <TotalTime>0</TotalTime>
  <Pages>6</Pages>
  <Words>2018</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2025-03-28T10:31:00Z</dcterms:created>
  <dcterms:modified xsi:type="dcterms:W3CDTF">2025-08-22T12:29:00Z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