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F975" w14:textId="77777777" w:rsidR="00624C7B" w:rsidRPr="00974A63" w:rsidRDefault="00624C7B" w:rsidP="00974A63">
      <w:pPr>
        <w:pStyle w:val="Title"/>
        <w:spacing w:before="0"/>
        <w:ind w:left="0" w:right="0" w:firstLine="0"/>
        <w:jc w:val="both"/>
        <w:rPr>
          <w:rFonts w:ascii="Times New Roman" w:hAnsi="Times New Roman" w:cs="Times New Roman"/>
          <w:sz w:val="24"/>
        </w:rPr>
      </w:pPr>
      <w:r>
        <w:rPr>
          <w:rFonts w:ascii="Times New Roman" w:hAnsi="Times New Roman"/>
          <w:sz w:val="24"/>
        </w:rPr>
        <w:t>ENERĢĒTIKAS HARTAS SEKRETARIĀTS</w:t>
      </w:r>
    </w:p>
    <w:p w14:paraId="7D76EE0B" w14:textId="77777777" w:rsidR="00624C7B" w:rsidRPr="00974A63" w:rsidRDefault="00624C7B" w:rsidP="00974A63">
      <w:pPr>
        <w:pStyle w:val="Title"/>
        <w:spacing w:before="0"/>
        <w:ind w:left="0" w:right="0" w:firstLine="0"/>
        <w:jc w:val="both"/>
        <w:rPr>
          <w:rFonts w:ascii="Times New Roman" w:hAnsi="Times New Roman" w:cs="Times New Roman"/>
          <w:sz w:val="24"/>
          <w:lang w:val="en-GB"/>
        </w:rPr>
      </w:pPr>
    </w:p>
    <w:tbl>
      <w:tblPr>
        <w:tblStyle w:val="TableGrid"/>
        <w:tblW w:w="0" w:type="auto"/>
        <w:tblInd w:w="5857" w:type="dxa"/>
        <w:tblBorders>
          <w:left w:val="none" w:sz="0" w:space="0" w:color="auto"/>
          <w:right w:val="none" w:sz="0" w:space="0" w:color="auto"/>
        </w:tblBorders>
        <w:tblLook w:val="04A0" w:firstRow="1" w:lastRow="0" w:firstColumn="1" w:lastColumn="0" w:noHBand="0" w:noVBand="1"/>
      </w:tblPr>
      <w:tblGrid>
        <w:gridCol w:w="3226"/>
      </w:tblGrid>
      <w:tr w:rsidR="00624C7B" w:rsidRPr="00974A63" w14:paraId="304DD629" w14:textId="77777777" w:rsidTr="0013401F">
        <w:trPr>
          <w:trHeight w:val="989"/>
        </w:trPr>
        <w:tc>
          <w:tcPr>
            <w:tcW w:w="3226" w:type="dxa"/>
          </w:tcPr>
          <w:p w14:paraId="56971574" w14:textId="77777777" w:rsidR="00624C7B" w:rsidRPr="00974A63" w:rsidRDefault="00624C7B" w:rsidP="00974A63">
            <w:pPr>
              <w:ind w:left="805"/>
              <w:jc w:val="both"/>
              <w:rPr>
                <w:sz w:val="24"/>
                <w:lang w:val="en-GB"/>
              </w:rPr>
            </w:pPr>
          </w:p>
          <w:p w14:paraId="7D1EEDE9" w14:textId="77777777" w:rsidR="00624C7B" w:rsidRPr="00974A63" w:rsidRDefault="00624C7B" w:rsidP="00974A63">
            <w:pPr>
              <w:ind w:left="805"/>
              <w:jc w:val="both"/>
              <w:rPr>
                <w:sz w:val="24"/>
              </w:rPr>
            </w:pPr>
            <w:r>
              <w:rPr>
                <w:sz w:val="24"/>
              </w:rPr>
              <w:t>CCDEC 2024</w:t>
            </w:r>
          </w:p>
          <w:p w14:paraId="2699FDA1" w14:textId="77777777" w:rsidR="00624C7B" w:rsidRPr="00974A63" w:rsidRDefault="00624C7B" w:rsidP="00974A63">
            <w:pPr>
              <w:ind w:left="805"/>
              <w:jc w:val="both"/>
              <w:rPr>
                <w:sz w:val="24"/>
                <w:lang w:val="en-GB"/>
              </w:rPr>
            </w:pPr>
          </w:p>
          <w:p w14:paraId="7CA3D83C" w14:textId="44141AC3" w:rsidR="00624C7B" w:rsidRPr="00974A63" w:rsidRDefault="00624C7B" w:rsidP="00974A63">
            <w:pPr>
              <w:ind w:left="805"/>
              <w:jc w:val="both"/>
              <w:rPr>
                <w:sz w:val="24"/>
              </w:rPr>
            </w:pPr>
            <w:r>
              <w:rPr>
                <w:sz w:val="24"/>
              </w:rPr>
              <w:t>15 GEN</w:t>
            </w:r>
          </w:p>
          <w:p w14:paraId="34AB7254" w14:textId="77777777" w:rsidR="00624C7B" w:rsidRPr="00974A63" w:rsidRDefault="00624C7B" w:rsidP="00974A63">
            <w:pPr>
              <w:jc w:val="both"/>
              <w:rPr>
                <w:sz w:val="24"/>
                <w:lang w:val="en-GB"/>
              </w:rPr>
            </w:pPr>
          </w:p>
        </w:tc>
      </w:tr>
    </w:tbl>
    <w:p w14:paraId="351DADF9" w14:textId="77777777" w:rsidR="00624C7B" w:rsidRPr="00974A63" w:rsidRDefault="00624C7B" w:rsidP="00974A63">
      <w:pPr>
        <w:pStyle w:val="BodyText"/>
        <w:jc w:val="both"/>
        <w:rPr>
          <w:b/>
          <w:sz w:val="24"/>
          <w:lang w:val="en-GB"/>
        </w:rPr>
      </w:pPr>
    </w:p>
    <w:p w14:paraId="4EA80372" w14:textId="77777777" w:rsidR="00624C7B" w:rsidRPr="00974A63" w:rsidRDefault="00624C7B" w:rsidP="00974A63">
      <w:pPr>
        <w:ind w:right="425"/>
        <w:jc w:val="right"/>
        <w:rPr>
          <w:sz w:val="24"/>
        </w:rPr>
      </w:pPr>
      <w:r>
        <w:rPr>
          <w:sz w:val="24"/>
        </w:rPr>
        <w:t>Briselē, 2024. gada 3. decembrī</w:t>
      </w:r>
    </w:p>
    <w:p w14:paraId="1E990C06" w14:textId="77777777" w:rsidR="00624C7B" w:rsidRPr="00974A63" w:rsidRDefault="00624C7B" w:rsidP="00974A63">
      <w:pPr>
        <w:pStyle w:val="BodyText"/>
        <w:jc w:val="both"/>
        <w:rPr>
          <w:b/>
          <w:sz w:val="24"/>
          <w:lang w:val="en-GB"/>
        </w:rPr>
      </w:pPr>
    </w:p>
    <w:tbl>
      <w:tblPr>
        <w:tblStyle w:val="TableGrid"/>
        <w:tblW w:w="0" w:type="auto"/>
        <w:tblInd w:w="5844" w:type="dxa"/>
        <w:tblLook w:val="04A0" w:firstRow="1" w:lastRow="0" w:firstColumn="1" w:lastColumn="0" w:noHBand="0" w:noVBand="1"/>
      </w:tblPr>
      <w:tblGrid>
        <w:gridCol w:w="3226"/>
      </w:tblGrid>
      <w:tr w:rsidR="00624C7B" w:rsidRPr="00974A63" w14:paraId="4330C1D5" w14:textId="77777777" w:rsidTr="0013401F">
        <w:trPr>
          <w:trHeight w:val="1026"/>
        </w:trPr>
        <w:tc>
          <w:tcPr>
            <w:tcW w:w="3226" w:type="dxa"/>
          </w:tcPr>
          <w:p w14:paraId="706F1353" w14:textId="77777777" w:rsidR="00624C7B" w:rsidRPr="00974A63" w:rsidRDefault="00624C7B" w:rsidP="00974A63">
            <w:pPr>
              <w:jc w:val="both"/>
              <w:rPr>
                <w:sz w:val="24"/>
                <w:lang w:val="en-GB"/>
              </w:rPr>
            </w:pPr>
          </w:p>
          <w:p w14:paraId="70454C7D" w14:textId="77777777" w:rsidR="00624C7B" w:rsidRPr="00974A63" w:rsidRDefault="00624C7B" w:rsidP="00974A63">
            <w:pPr>
              <w:jc w:val="both"/>
              <w:rPr>
                <w:sz w:val="24"/>
              </w:rPr>
            </w:pPr>
            <w:r>
              <w:rPr>
                <w:sz w:val="24"/>
              </w:rPr>
              <w:t>Saistītie dokumenti:</w:t>
            </w:r>
          </w:p>
          <w:p w14:paraId="2D9442A2" w14:textId="7FF0872A" w:rsidR="00624C7B" w:rsidRPr="00974A63" w:rsidRDefault="00624C7B" w:rsidP="00974A63">
            <w:pPr>
              <w:jc w:val="both"/>
              <w:rPr>
                <w:sz w:val="24"/>
              </w:rPr>
            </w:pPr>
            <w:r>
              <w:rPr>
                <w:sz w:val="24"/>
              </w:rPr>
              <w:t>CC 763, CC 763 Rev,</w:t>
            </w:r>
          </w:p>
          <w:p w14:paraId="2BCD17FF" w14:textId="0BC2817B" w:rsidR="00624C7B" w:rsidRPr="00974A63" w:rsidRDefault="00624C7B" w:rsidP="00974A63">
            <w:pPr>
              <w:jc w:val="both"/>
              <w:rPr>
                <w:sz w:val="24"/>
              </w:rPr>
            </w:pPr>
            <w:r>
              <w:rPr>
                <w:sz w:val="24"/>
              </w:rPr>
              <w:t>CC 763 Rev 2,</w:t>
            </w:r>
          </w:p>
          <w:p w14:paraId="62D20927" w14:textId="14FA96DE" w:rsidR="00974A63" w:rsidRPr="00974A63" w:rsidRDefault="00974A63" w:rsidP="00974A63">
            <w:pPr>
              <w:jc w:val="both"/>
              <w:rPr>
                <w:sz w:val="24"/>
              </w:rPr>
            </w:pPr>
            <w:r>
              <w:rPr>
                <w:sz w:val="24"/>
              </w:rPr>
              <w:t>CC 763 Rev 3,</w:t>
            </w:r>
          </w:p>
          <w:p w14:paraId="761E4EA0" w14:textId="77777777" w:rsidR="00624C7B" w:rsidRPr="00974A63" w:rsidRDefault="00624C7B" w:rsidP="00974A63">
            <w:pPr>
              <w:jc w:val="both"/>
              <w:rPr>
                <w:sz w:val="24"/>
              </w:rPr>
            </w:pPr>
            <w:r>
              <w:rPr>
                <w:sz w:val="24"/>
              </w:rPr>
              <w:t>Mess 2171/24</w:t>
            </w:r>
          </w:p>
          <w:p w14:paraId="03BB4AC9" w14:textId="77777777" w:rsidR="00624C7B" w:rsidRPr="00974A63" w:rsidRDefault="00624C7B" w:rsidP="00974A63">
            <w:pPr>
              <w:jc w:val="both"/>
              <w:rPr>
                <w:sz w:val="24"/>
                <w:lang w:val="en-GB"/>
              </w:rPr>
            </w:pPr>
          </w:p>
        </w:tc>
      </w:tr>
    </w:tbl>
    <w:p w14:paraId="7DF27A77" w14:textId="77777777" w:rsidR="005E19C8" w:rsidRPr="00974A63" w:rsidRDefault="005E19C8" w:rsidP="00974A63">
      <w:pPr>
        <w:pStyle w:val="BodyText"/>
        <w:jc w:val="both"/>
        <w:rPr>
          <w:noProof/>
          <w:sz w:val="24"/>
        </w:rPr>
      </w:pPr>
    </w:p>
    <w:p w14:paraId="5A512A6E" w14:textId="77777777" w:rsidR="005E19C8" w:rsidRPr="00974A63" w:rsidRDefault="005E19C8" w:rsidP="00974A63">
      <w:pPr>
        <w:ind w:right="18"/>
        <w:jc w:val="center"/>
        <w:rPr>
          <w:b/>
          <w:noProof/>
          <w:color w:val="343434"/>
          <w:sz w:val="24"/>
          <w:u w:val="thick" w:color="383838"/>
        </w:rPr>
      </w:pPr>
      <w:r>
        <w:rPr>
          <w:b/>
          <w:color w:val="343434"/>
          <w:sz w:val="24"/>
          <w:u w:val="thick" w:color="383838"/>
        </w:rPr>
        <w:t>ENERĢĒTIKAS HARTAS KONFERENCES LĒMUMS</w:t>
      </w:r>
    </w:p>
    <w:p w14:paraId="76D599E5" w14:textId="77777777" w:rsidR="005E19C8" w:rsidRPr="00974A63" w:rsidRDefault="005E19C8" w:rsidP="00974A63">
      <w:pPr>
        <w:pStyle w:val="BodyText"/>
        <w:jc w:val="both"/>
        <w:rPr>
          <w:b/>
          <w:noProof/>
          <w:sz w:val="24"/>
        </w:rPr>
      </w:pPr>
    </w:p>
    <w:p w14:paraId="7B7DE185" w14:textId="77777777" w:rsidR="005E19C8" w:rsidRPr="00974A63" w:rsidRDefault="005E19C8" w:rsidP="00974A63">
      <w:pPr>
        <w:pStyle w:val="BodyText"/>
        <w:jc w:val="both"/>
        <w:rPr>
          <w:b/>
          <w:noProof/>
          <w:sz w:val="24"/>
        </w:rPr>
      </w:pPr>
    </w:p>
    <w:p w14:paraId="2741AAEC" w14:textId="77777777" w:rsidR="005E19C8" w:rsidRDefault="005E19C8" w:rsidP="00974A63">
      <w:pPr>
        <w:ind w:left="993" w:hanging="993"/>
        <w:jc w:val="both"/>
        <w:rPr>
          <w:b/>
          <w:noProof/>
          <w:color w:val="1F1F1F"/>
          <w:sz w:val="24"/>
        </w:rPr>
      </w:pPr>
      <w:r>
        <w:rPr>
          <w:b/>
          <w:color w:val="1F1F1F"/>
          <w:sz w:val="24"/>
        </w:rPr>
        <w:t>Priekšmets: Enerģētikas hartas nolīguma grozījumu un nolīguma pielikumos veikto izmaiņu un pārlabojumu stāšanās spēkā un pagaidu piemērošana</w:t>
      </w:r>
    </w:p>
    <w:p w14:paraId="37A7634E" w14:textId="77777777" w:rsidR="00974A63" w:rsidRPr="00974A63" w:rsidRDefault="00974A63" w:rsidP="00974A63">
      <w:pPr>
        <w:ind w:left="1074" w:hanging="949"/>
        <w:jc w:val="both"/>
        <w:rPr>
          <w:b/>
          <w:noProof/>
          <w:color w:val="1F1F1F"/>
          <w:sz w:val="24"/>
        </w:rPr>
      </w:pPr>
    </w:p>
    <w:p w14:paraId="1D46E01A" w14:textId="705F0EFE" w:rsidR="005E19C8" w:rsidRPr="00974A63" w:rsidRDefault="005E19C8" w:rsidP="00974A63">
      <w:pPr>
        <w:ind w:left="125" w:hanging="2"/>
        <w:jc w:val="both"/>
        <w:rPr>
          <w:noProof/>
          <w:sz w:val="24"/>
        </w:rPr>
      </w:pPr>
      <w:r>
        <w:rPr>
          <w:color w:val="161616"/>
          <w:sz w:val="24"/>
        </w:rPr>
        <w:t xml:space="preserve">Enerģētikas hartas konference 2024. gada 3. decembra 35. sanāksmes statūtos noteiktajā sesijā apstiprināja </w:t>
      </w:r>
      <w:r w:rsidR="00E53CC6">
        <w:rPr>
          <w:color w:val="161616"/>
          <w:sz w:val="24"/>
        </w:rPr>
        <w:t>pievienoto lēmumu.</w:t>
      </w:r>
    </w:p>
    <w:p w14:paraId="430FFA0C" w14:textId="77777777" w:rsidR="005E19C8" w:rsidRPr="00974A63" w:rsidRDefault="005E19C8" w:rsidP="00974A63">
      <w:pPr>
        <w:pStyle w:val="BodyText"/>
        <w:jc w:val="both"/>
        <w:rPr>
          <w:noProof/>
          <w:sz w:val="24"/>
        </w:rPr>
      </w:pPr>
    </w:p>
    <w:p w14:paraId="56F86577" w14:textId="77777777" w:rsidR="005E19C8" w:rsidRPr="00974A63" w:rsidRDefault="005E19C8" w:rsidP="00974A63">
      <w:pPr>
        <w:pStyle w:val="BodyText"/>
        <w:jc w:val="both"/>
        <w:rPr>
          <w:noProof/>
          <w:sz w:val="24"/>
        </w:rPr>
      </w:pPr>
    </w:p>
    <w:p w14:paraId="12596E89" w14:textId="77777777" w:rsidR="005E19C8" w:rsidRPr="00974A63" w:rsidRDefault="005E19C8" w:rsidP="00974A63">
      <w:pPr>
        <w:pStyle w:val="BodyText"/>
        <w:jc w:val="both"/>
        <w:rPr>
          <w:noProof/>
          <w:sz w:val="24"/>
        </w:rPr>
      </w:pPr>
    </w:p>
    <w:p w14:paraId="0BF22B41" w14:textId="77777777" w:rsidR="005E19C8" w:rsidRPr="00974A63" w:rsidRDefault="005E19C8" w:rsidP="00974A63">
      <w:pPr>
        <w:pStyle w:val="BodyText"/>
        <w:jc w:val="both"/>
        <w:rPr>
          <w:noProof/>
          <w:sz w:val="24"/>
        </w:rPr>
      </w:pPr>
    </w:p>
    <w:p w14:paraId="647219E7" w14:textId="77777777" w:rsidR="005E19C8" w:rsidRPr="00974A63" w:rsidRDefault="005E19C8" w:rsidP="00974A63">
      <w:pPr>
        <w:pStyle w:val="BodyText"/>
        <w:jc w:val="both"/>
        <w:rPr>
          <w:noProof/>
          <w:sz w:val="24"/>
        </w:rPr>
      </w:pPr>
    </w:p>
    <w:p w14:paraId="0858A317" w14:textId="77777777" w:rsidR="005E19C8" w:rsidRPr="00974A63" w:rsidRDefault="005E19C8" w:rsidP="00974A63">
      <w:pPr>
        <w:pStyle w:val="BodyText"/>
        <w:jc w:val="both"/>
        <w:rPr>
          <w:noProof/>
          <w:sz w:val="24"/>
        </w:rPr>
      </w:pPr>
    </w:p>
    <w:p w14:paraId="4B75599C" w14:textId="77777777" w:rsidR="005E19C8" w:rsidRPr="00974A63" w:rsidRDefault="005E19C8" w:rsidP="00974A63">
      <w:pPr>
        <w:pStyle w:val="BodyText"/>
        <w:jc w:val="both"/>
        <w:rPr>
          <w:noProof/>
          <w:sz w:val="24"/>
        </w:rPr>
      </w:pPr>
    </w:p>
    <w:p w14:paraId="6FFB8E9C" w14:textId="77777777" w:rsidR="005E19C8" w:rsidRPr="00974A63" w:rsidRDefault="005E19C8" w:rsidP="00974A63">
      <w:pPr>
        <w:pStyle w:val="BodyText"/>
        <w:jc w:val="both"/>
        <w:rPr>
          <w:noProof/>
          <w:sz w:val="24"/>
        </w:rPr>
      </w:pPr>
    </w:p>
    <w:p w14:paraId="209AE7D1" w14:textId="77777777" w:rsidR="005E19C8" w:rsidRPr="00974A63" w:rsidRDefault="005E19C8" w:rsidP="00974A63">
      <w:pPr>
        <w:pStyle w:val="BodyText"/>
        <w:jc w:val="both"/>
        <w:rPr>
          <w:noProof/>
          <w:sz w:val="24"/>
        </w:rPr>
      </w:pPr>
    </w:p>
    <w:p w14:paraId="71BBFB30" w14:textId="77777777" w:rsidR="005E19C8" w:rsidRPr="00974A63" w:rsidRDefault="005E19C8" w:rsidP="00974A63">
      <w:pPr>
        <w:pStyle w:val="BodyText"/>
        <w:jc w:val="both"/>
        <w:rPr>
          <w:noProof/>
          <w:sz w:val="24"/>
        </w:rPr>
      </w:pPr>
    </w:p>
    <w:p w14:paraId="53A05E77" w14:textId="77777777" w:rsidR="005E19C8" w:rsidRPr="00974A63" w:rsidRDefault="005E19C8" w:rsidP="00974A63">
      <w:pPr>
        <w:pStyle w:val="BodyText"/>
        <w:jc w:val="both"/>
        <w:rPr>
          <w:noProof/>
          <w:sz w:val="24"/>
        </w:rPr>
      </w:pPr>
    </w:p>
    <w:p w14:paraId="4A54E926" w14:textId="77777777" w:rsidR="005E19C8" w:rsidRPr="00974A63" w:rsidRDefault="005E19C8" w:rsidP="00974A63">
      <w:pPr>
        <w:pStyle w:val="BodyText"/>
        <w:jc w:val="both"/>
        <w:rPr>
          <w:noProof/>
          <w:sz w:val="24"/>
        </w:rPr>
      </w:pPr>
    </w:p>
    <w:p w14:paraId="3681428D" w14:textId="77777777" w:rsidR="005E19C8" w:rsidRPr="00974A63" w:rsidRDefault="005E19C8" w:rsidP="00974A63">
      <w:pPr>
        <w:pStyle w:val="BodyText"/>
        <w:jc w:val="both"/>
        <w:rPr>
          <w:noProof/>
          <w:sz w:val="24"/>
        </w:rPr>
      </w:pPr>
    </w:p>
    <w:p w14:paraId="17E2FCB5" w14:textId="77777777" w:rsidR="005E19C8" w:rsidRPr="00974A63" w:rsidRDefault="005E19C8" w:rsidP="00974A63">
      <w:pPr>
        <w:pStyle w:val="BodyText"/>
        <w:jc w:val="both"/>
        <w:rPr>
          <w:noProof/>
          <w:sz w:val="24"/>
        </w:rPr>
      </w:pPr>
    </w:p>
    <w:p w14:paraId="7A056B4A" w14:textId="77777777" w:rsidR="005E19C8" w:rsidRPr="00974A63" w:rsidRDefault="005E19C8" w:rsidP="00974A63">
      <w:pPr>
        <w:pStyle w:val="BodyText"/>
        <w:jc w:val="both"/>
        <w:rPr>
          <w:noProof/>
          <w:sz w:val="24"/>
        </w:rPr>
      </w:pPr>
    </w:p>
    <w:p w14:paraId="3CF1F749" w14:textId="77777777" w:rsidR="005E19C8" w:rsidRPr="00974A63" w:rsidRDefault="005E19C8" w:rsidP="00974A63">
      <w:pPr>
        <w:pStyle w:val="BodyText"/>
        <w:jc w:val="both"/>
        <w:rPr>
          <w:noProof/>
          <w:sz w:val="24"/>
        </w:rPr>
      </w:pPr>
    </w:p>
    <w:p w14:paraId="29A879AC" w14:textId="77777777" w:rsidR="005E19C8" w:rsidRPr="00974A63" w:rsidRDefault="005E19C8" w:rsidP="00974A63">
      <w:pPr>
        <w:pStyle w:val="BodyText"/>
        <w:jc w:val="both"/>
        <w:rPr>
          <w:noProof/>
          <w:sz w:val="24"/>
        </w:rPr>
      </w:pPr>
    </w:p>
    <w:p w14:paraId="3F508045" w14:textId="77777777" w:rsidR="005E19C8" w:rsidRPr="00974A63" w:rsidRDefault="005E19C8" w:rsidP="00974A63">
      <w:pPr>
        <w:pStyle w:val="BodyText"/>
        <w:jc w:val="both"/>
        <w:rPr>
          <w:noProof/>
          <w:sz w:val="24"/>
        </w:rPr>
      </w:pPr>
    </w:p>
    <w:p w14:paraId="0E55A72B" w14:textId="77777777" w:rsidR="005E19C8" w:rsidRPr="00974A63" w:rsidRDefault="005E19C8" w:rsidP="00974A63">
      <w:pPr>
        <w:pStyle w:val="BodyText"/>
        <w:jc w:val="both"/>
        <w:rPr>
          <w:noProof/>
          <w:sz w:val="24"/>
        </w:rPr>
      </w:pPr>
    </w:p>
    <w:p w14:paraId="06FAD6C5" w14:textId="77777777" w:rsidR="005E19C8" w:rsidRPr="00974A63" w:rsidRDefault="005E19C8" w:rsidP="00974A63">
      <w:pPr>
        <w:pStyle w:val="BodyText"/>
        <w:jc w:val="both"/>
        <w:rPr>
          <w:noProof/>
          <w:sz w:val="24"/>
        </w:rPr>
      </w:pPr>
    </w:p>
    <w:p w14:paraId="600DF53E" w14:textId="77777777" w:rsidR="005E19C8" w:rsidRPr="00974A63" w:rsidRDefault="005E19C8" w:rsidP="00974A63">
      <w:pPr>
        <w:pStyle w:val="BodyText"/>
        <w:jc w:val="both"/>
        <w:rPr>
          <w:noProof/>
          <w:sz w:val="24"/>
        </w:rPr>
      </w:pPr>
    </w:p>
    <w:p w14:paraId="5408A2CA" w14:textId="77777777" w:rsidR="00974A63" w:rsidRDefault="005E19C8" w:rsidP="00974A63">
      <w:pPr>
        <w:ind w:left="133" w:hanging="7"/>
        <w:jc w:val="both"/>
        <w:rPr>
          <w:noProof/>
          <w:color w:val="292929"/>
          <w:sz w:val="24"/>
        </w:rPr>
      </w:pPr>
      <w:r>
        <w:rPr>
          <w:color w:val="292929"/>
          <w:sz w:val="24"/>
        </w:rPr>
        <w:t>Atslēgvārdi: modernizācija, Enerģētikas hartas nolīgums, grozījumi, pārlabojumi, izmaiņas, pagaidu piemērošana</w:t>
      </w:r>
    </w:p>
    <w:p w14:paraId="19532A87" w14:textId="77777777" w:rsidR="00974A63" w:rsidRDefault="00974A63">
      <w:pPr>
        <w:rPr>
          <w:noProof/>
          <w:color w:val="292929"/>
          <w:sz w:val="24"/>
        </w:rPr>
      </w:pPr>
      <w:r>
        <w:br w:type="page"/>
      </w:r>
    </w:p>
    <w:p w14:paraId="725D21F2" w14:textId="6A59FD31" w:rsidR="005E19C8" w:rsidRDefault="005E19C8" w:rsidP="00974A63">
      <w:pPr>
        <w:ind w:left="133" w:hanging="7"/>
        <w:jc w:val="center"/>
        <w:rPr>
          <w:b/>
          <w:bCs/>
          <w:noProof/>
          <w:color w:val="3A3A3A"/>
          <w:sz w:val="24"/>
        </w:rPr>
      </w:pPr>
      <w:r>
        <w:rPr>
          <w:b/>
          <w:sz w:val="24"/>
        </w:rPr>
        <w:lastRenderedPageBreak/>
        <w:t>ENERĢĒTIKAS HARTAS NOLĪGUMA GROZĪJUMU UN NOLĪGUMA PIELIKUMOS VEIKTO IZMAIŅU UN PĀRLABOJUMU STĀŠANĀS SPĒKĀ UN PAGAIDU PIEMĒROŠANA</w:t>
      </w:r>
    </w:p>
    <w:p w14:paraId="00664F6F" w14:textId="77777777" w:rsidR="001C2EC7" w:rsidRPr="00974A63" w:rsidRDefault="001C2EC7" w:rsidP="00974A63">
      <w:pPr>
        <w:ind w:left="133" w:hanging="7"/>
        <w:jc w:val="center"/>
        <w:rPr>
          <w:b/>
          <w:bCs/>
          <w:noProof/>
          <w:color w:val="292929"/>
          <w:sz w:val="24"/>
        </w:rPr>
      </w:pPr>
    </w:p>
    <w:p w14:paraId="79EC3AD2" w14:textId="77777777" w:rsidR="005E19C8" w:rsidRPr="00974A63" w:rsidRDefault="005E19C8" w:rsidP="00974A63">
      <w:pPr>
        <w:pStyle w:val="BodyText"/>
        <w:jc w:val="both"/>
        <w:rPr>
          <w:b/>
          <w:noProof/>
          <w:sz w:val="24"/>
        </w:rPr>
      </w:pPr>
    </w:p>
    <w:p w14:paraId="5B5D2C4E" w14:textId="77777777" w:rsidR="001C2EC7" w:rsidRDefault="005E19C8" w:rsidP="00277969">
      <w:pPr>
        <w:pStyle w:val="BodyText"/>
        <w:tabs>
          <w:tab w:val="left" w:pos="677"/>
        </w:tabs>
        <w:ind w:left="284" w:right="117" w:hanging="284"/>
        <w:jc w:val="both"/>
        <w:rPr>
          <w:noProof/>
          <w:color w:val="3A3A3A"/>
          <w:sz w:val="24"/>
        </w:rPr>
      </w:pPr>
      <w:r>
        <w:rPr>
          <w:sz w:val="24"/>
        </w:rPr>
        <w:t>1) a) Enerģētikas hartas nolīguma grozījumi, kas pieņemti 2024. gada 3. decembrī, stājas spēkā saskaņā ar EHN 42. panta 4. punktu.</w:t>
      </w:r>
    </w:p>
    <w:p w14:paraId="721FF261" w14:textId="77777777" w:rsidR="001C2EC7" w:rsidRDefault="001C2EC7" w:rsidP="001C2EC7">
      <w:pPr>
        <w:pStyle w:val="BodyText"/>
        <w:tabs>
          <w:tab w:val="left" w:pos="677"/>
        </w:tabs>
        <w:ind w:left="1079" w:right="117" w:hanging="945"/>
        <w:jc w:val="both"/>
        <w:rPr>
          <w:noProof/>
          <w:color w:val="3A3A3A"/>
          <w:sz w:val="24"/>
        </w:rPr>
      </w:pPr>
    </w:p>
    <w:p w14:paraId="4296EA97" w14:textId="77777777" w:rsidR="001C2EC7" w:rsidRDefault="001C2EC7" w:rsidP="00277969">
      <w:pPr>
        <w:pStyle w:val="BodyText"/>
        <w:tabs>
          <w:tab w:val="left" w:pos="677"/>
        </w:tabs>
        <w:ind w:left="567" w:right="117" w:hanging="283"/>
        <w:jc w:val="both"/>
        <w:rPr>
          <w:noProof/>
          <w:color w:val="3A3A3A"/>
          <w:sz w:val="24"/>
        </w:rPr>
      </w:pPr>
      <w:r>
        <w:rPr>
          <w:color w:val="3A3A3A"/>
          <w:sz w:val="24"/>
        </w:rPr>
        <w:t>b) EHN pielikumos veiktie pārlabojumi un izmaiņas, kas apstiprinātas 2024. gada 3. decembrī, stājas spēkā saskaņā ar šādiem apakšpunktiem:</w:t>
      </w:r>
    </w:p>
    <w:p w14:paraId="0210A53D" w14:textId="77777777" w:rsidR="001C2EC7" w:rsidRDefault="001C2EC7" w:rsidP="00277969">
      <w:pPr>
        <w:pStyle w:val="BodyText"/>
        <w:tabs>
          <w:tab w:val="left" w:pos="677"/>
        </w:tabs>
        <w:ind w:left="851" w:right="117" w:hanging="425"/>
        <w:jc w:val="both"/>
        <w:rPr>
          <w:noProof/>
          <w:color w:val="3A3A3A"/>
          <w:sz w:val="24"/>
        </w:rPr>
      </w:pPr>
    </w:p>
    <w:p w14:paraId="37A2E9FE" w14:textId="0384398E" w:rsidR="005E19C8" w:rsidRPr="001C2EC7" w:rsidRDefault="001C2EC7" w:rsidP="00277969">
      <w:pPr>
        <w:pStyle w:val="BodyText"/>
        <w:tabs>
          <w:tab w:val="left" w:pos="677"/>
        </w:tabs>
        <w:ind w:left="851" w:right="117" w:hanging="284"/>
        <w:jc w:val="both"/>
        <w:rPr>
          <w:noProof/>
          <w:color w:val="3A3A3A"/>
          <w:sz w:val="24"/>
        </w:rPr>
      </w:pPr>
      <w:r>
        <w:rPr>
          <w:sz w:val="24"/>
        </w:rPr>
        <w:t>i) NI pielikuma virsraksta un NI pielikuma A un B iedaļā sniegtie pārlabojumi stājas spēkā 2025. gada 3. septembrī.</w:t>
      </w:r>
      <w:r>
        <w:rPr>
          <w:color w:val="3A3A3A"/>
          <w:sz w:val="24"/>
        </w:rPr>
        <w:t xml:space="preserve"> </w:t>
      </w:r>
      <w:r>
        <w:rPr>
          <w:sz w:val="24"/>
        </w:rPr>
        <w:t>Šos pārlabojumus nepiemēro saskaņā ar EHN 26. pantu iesniegtu strīdu, kas ir izskatīšanas stadijā un iesniegts pirms šā datuma;</w:t>
      </w:r>
    </w:p>
    <w:p w14:paraId="7FF7793B" w14:textId="77777777" w:rsidR="005E19C8" w:rsidRPr="00974A63" w:rsidRDefault="005E19C8" w:rsidP="00277969">
      <w:pPr>
        <w:pStyle w:val="BodyText"/>
        <w:ind w:left="1276" w:hanging="425"/>
        <w:jc w:val="both"/>
        <w:rPr>
          <w:noProof/>
          <w:sz w:val="24"/>
        </w:rPr>
      </w:pPr>
    </w:p>
    <w:p w14:paraId="53F2C2F8" w14:textId="54ADEEBA" w:rsidR="005E19C8" w:rsidRDefault="00951F26" w:rsidP="00277969">
      <w:pPr>
        <w:tabs>
          <w:tab w:val="left" w:pos="1473"/>
        </w:tabs>
        <w:ind w:left="851" w:right="123" w:hanging="284"/>
        <w:jc w:val="both"/>
        <w:rPr>
          <w:noProof/>
          <w:color w:val="3A3A3A"/>
          <w:sz w:val="24"/>
        </w:rPr>
      </w:pPr>
      <w:r>
        <w:rPr>
          <w:sz w:val="24"/>
        </w:rPr>
        <w:t>ii) NI pielikuma C iedaļā sniegtie pārlabojumi un citos pielikumos veiktās izmaiņas/pārlabojumi stājas spēkā Līgumslēdzējām Pusēm, kas ratificējušas, pieņēmušas vai apstiprinājušas 2024. gada 3. decembrī pieņemtos EHN grozījumus, šo grozījumu spēkā stāšanās datumā.</w:t>
      </w:r>
      <w:r>
        <w:rPr>
          <w:color w:val="3A3A3A"/>
          <w:sz w:val="24"/>
        </w:rPr>
        <w:t xml:space="preserve"> </w:t>
      </w:r>
      <w:r>
        <w:rPr>
          <w:sz w:val="24"/>
        </w:rPr>
        <w:t>Pēc tam NI pielikuma C iedaļas pārlabojumi attiecībā uz visām citām Līgumslēdzējām Pusēm stājas spēkā deviņdesmitajā dienā pēc tam, kad attiecīgā Līgumslēdzēja Puse ir deponējusi 2024. gada 3. decembrī pieņemto EHN grozījumu ratifikācijas, pieņemšanas vai apstiprināšanas dokumentu.</w:t>
      </w:r>
    </w:p>
    <w:p w14:paraId="7E022586" w14:textId="77777777" w:rsidR="00951F26" w:rsidRPr="00951F26" w:rsidRDefault="00951F26" w:rsidP="00951F26">
      <w:pPr>
        <w:tabs>
          <w:tab w:val="left" w:pos="1473"/>
        </w:tabs>
        <w:ind w:right="123" w:hanging="655"/>
        <w:rPr>
          <w:noProof/>
          <w:sz w:val="24"/>
        </w:rPr>
      </w:pPr>
    </w:p>
    <w:p w14:paraId="1C09F53C" w14:textId="77777777" w:rsidR="00951F26" w:rsidRDefault="00951F26" w:rsidP="00277969">
      <w:pPr>
        <w:tabs>
          <w:tab w:val="left" w:pos="671"/>
        </w:tabs>
        <w:ind w:left="284" w:right="130" w:hanging="284"/>
        <w:jc w:val="both"/>
        <w:rPr>
          <w:noProof/>
          <w:color w:val="3A3A3A"/>
          <w:sz w:val="24"/>
        </w:rPr>
      </w:pPr>
      <w:r>
        <w:rPr>
          <w:sz w:val="24"/>
        </w:rPr>
        <w:t>2) Katra Līgumslēdzēja Puse piekrīt sākot no 2025. gada 3. septembra pagaidu kārtībā piemērot 2024. gada 3. decembrī pieņemtos EHN grozījumus, NI pielikuma C iedaļā sniegtos pārlabojumus un 2024. gada 3. decembrī pieņemtos citu pielikumu pārlabojumus/izmaiņas, līdz tie stājas spēkā attiecīgajai Līgumslēdzējai Pusei, ciktāl šī pagaidu piemērošana nav pretrunā tās konstitūcijai un normatīvajiem aktiem.</w:t>
      </w:r>
      <w:r>
        <w:rPr>
          <w:color w:val="3A3A3A"/>
          <w:sz w:val="24"/>
        </w:rPr>
        <w:t xml:space="preserve"> NI pielikuma C iedaļā atsauces uz “stāšanos spēkā” saprot kā “pagaidu piemērošanu” attiecībā uz tām Līgumslēdzējām Pusēm, kuras pagaidu kārtībā piemēro NI pielikuma C iedaļā sniegtos pārlabojumus.</w:t>
      </w:r>
    </w:p>
    <w:p w14:paraId="535E3430" w14:textId="77777777" w:rsidR="00951F26" w:rsidRDefault="00951F26" w:rsidP="00951F26">
      <w:pPr>
        <w:tabs>
          <w:tab w:val="left" w:pos="671"/>
        </w:tabs>
        <w:ind w:right="130" w:hanging="655"/>
        <w:rPr>
          <w:noProof/>
          <w:color w:val="3A3A3A"/>
          <w:sz w:val="24"/>
        </w:rPr>
      </w:pPr>
    </w:p>
    <w:p w14:paraId="2B3BFC69" w14:textId="1E0794C2" w:rsidR="005E19C8" w:rsidRDefault="00951F26" w:rsidP="00277969">
      <w:pPr>
        <w:tabs>
          <w:tab w:val="left" w:pos="671"/>
        </w:tabs>
        <w:ind w:left="284" w:right="130" w:hanging="284"/>
        <w:jc w:val="both"/>
        <w:rPr>
          <w:noProof/>
          <w:color w:val="3A3A3A"/>
          <w:sz w:val="24"/>
        </w:rPr>
      </w:pPr>
      <w:r>
        <w:rPr>
          <w:sz w:val="24"/>
        </w:rPr>
        <w:t>3) a) Neatkarīgi no 2. punkta, Līgumslēdzējas Puses līdz 2025. gada 3. martam var iesniegt depozitārijā deklarāciju, ka tās nevar pieņemt 2024. gada 3. decembrī pieņemto EHN grozījumu, NI pielikuma C iedaļā sniegto pārlabojumu un 2024. gada 3. decembrī pieņemto citu pielikumu pārlabojumu/izmaiņu piemērošanu pagaidu kārtībā.</w:t>
      </w:r>
      <w:r>
        <w:rPr>
          <w:color w:val="3A3A3A"/>
          <w:sz w:val="24"/>
        </w:rPr>
        <w:t xml:space="preserve"> Sekretariāts publisko šīs deklarācijas. Līgumslēdzējas Puses var jebkurā laikā atsaukt šo deklarāciju, iesniedzot rakstisku paziņojumu depozitārijam.</w:t>
      </w:r>
    </w:p>
    <w:p w14:paraId="1F597FB7" w14:textId="77777777" w:rsidR="00CB510A" w:rsidRPr="00951F26" w:rsidRDefault="00CB510A" w:rsidP="00951F26">
      <w:pPr>
        <w:tabs>
          <w:tab w:val="left" w:pos="671"/>
        </w:tabs>
        <w:ind w:right="130" w:hanging="655"/>
        <w:rPr>
          <w:noProof/>
          <w:color w:val="3A3A3A"/>
          <w:sz w:val="24"/>
        </w:rPr>
      </w:pPr>
    </w:p>
    <w:p w14:paraId="17AEA2EA" w14:textId="77777777" w:rsidR="00CB510A" w:rsidRDefault="005E19C8" w:rsidP="00277969">
      <w:pPr>
        <w:pStyle w:val="BodyText"/>
        <w:ind w:left="567" w:right="142" w:hanging="283"/>
        <w:jc w:val="both"/>
        <w:rPr>
          <w:noProof/>
          <w:sz w:val="24"/>
        </w:rPr>
      </w:pPr>
      <w:r>
        <w:rPr>
          <w:sz w:val="24"/>
        </w:rPr>
        <w:t>b) Ne Līgumslēdzējas Puses, kas iesniegušas deklarāciju saskaņā ar a) apakšpunktu, ne arī šādu Līgumslēdzēju Pušu ieguldītājus neietekmē 2024. gada 3. decembrī pieņemtie EHN grozījumi, NI pielikuma C iedaļā sniegtie pārlabojumi un 2024. gada 3. decembrī pieņemtie citu pielikumu pārlabojumi/izmaiņas, kamēr tie nav stājušies spēkā attiecībā uz šādām Līgumslēdzējām Pusēm vai kamēr tās nav atsaukušas saskaņā ar a) apakšpunktu iesniegto deklarāciju, kā arī šīs Līgumslēdzējas Puses nevar prasīt priekšrocības, ko sniedz šie EHN grozījumi, NI pielikuma C iedaļā sniegtie pārlabojumi un citu pielikumu pārlabojumi/izmaiņas.</w:t>
      </w:r>
    </w:p>
    <w:p w14:paraId="7A4B158D" w14:textId="77777777" w:rsidR="00CB510A" w:rsidRDefault="00CB510A" w:rsidP="00CB510A">
      <w:pPr>
        <w:pStyle w:val="BodyText"/>
        <w:ind w:left="1053" w:right="142" w:hanging="406"/>
        <w:jc w:val="both"/>
        <w:rPr>
          <w:noProof/>
          <w:sz w:val="24"/>
        </w:rPr>
      </w:pPr>
    </w:p>
    <w:p w14:paraId="64D4260D" w14:textId="1D22213D" w:rsidR="005E19C8" w:rsidRPr="00CB510A" w:rsidRDefault="00CB510A" w:rsidP="00F51645">
      <w:pPr>
        <w:pStyle w:val="BodyText"/>
        <w:keepNext/>
        <w:keepLines/>
        <w:ind w:left="284" w:right="142" w:hanging="284"/>
        <w:jc w:val="both"/>
        <w:rPr>
          <w:noProof/>
          <w:sz w:val="24"/>
        </w:rPr>
      </w:pPr>
      <w:r>
        <w:rPr>
          <w:sz w:val="24"/>
        </w:rPr>
        <w:lastRenderedPageBreak/>
        <w:t>4) Ikviena Līgumslēdzēja Puse var izbeigt 2024. gada 3. decembrī pieņemto EHN grozījumu, NI pielikuma C iedaļā sniegto pārlabojumu un 2024. gada 3. decembrī pieņemto citu pielikumu pārlabojumu/izmaiņu piemērošanu pagaidu kārtībā, iesniedzot depozitārijam rakstisku paziņojumu par savu nodomu neratificēt, nepieņemt vai neapstiprināt 2024. gada 3. decembrī pieņemtos EHN grozījumus.</w:t>
      </w:r>
      <w:r>
        <w:rPr>
          <w:color w:val="707070"/>
          <w:sz w:val="24"/>
        </w:rPr>
        <w:t xml:space="preserve"> </w:t>
      </w:r>
      <w:r>
        <w:rPr>
          <w:color w:val="414141"/>
          <w:sz w:val="24"/>
        </w:rPr>
        <w:t>Pagaidu piemērošanas izbeigšana stājas spēkā attiecībā uz šādu Līgumslēdzēju Pusi pēc 60 dienām no dienas, kad depozitārijs ir saņēmis tās rakstisko paziņojumu.</w:t>
      </w:r>
    </w:p>
    <w:sectPr w:rsidR="005E19C8" w:rsidRPr="00CB510A" w:rsidSect="00974A63">
      <w:headerReference w:type="default" r:id="rId10"/>
      <w:footerReference w:type="default" r:id="rId11"/>
      <w:headerReference w:type="first" r:id="rId12"/>
      <w:footerReference w:type="first" r:id="rId13"/>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986D" w14:textId="77777777" w:rsidR="005E0020" w:rsidRPr="005E19C8" w:rsidRDefault="005E0020">
      <w:pPr>
        <w:rPr>
          <w:noProof/>
        </w:rPr>
      </w:pPr>
      <w:r w:rsidRPr="005E19C8">
        <w:rPr>
          <w:noProof/>
        </w:rPr>
        <w:separator/>
      </w:r>
    </w:p>
  </w:endnote>
  <w:endnote w:type="continuationSeparator" w:id="0">
    <w:p w14:paraId="54FC63F1" w14:textId="77777777" w:rsidR="005E0020" w:rsidRPr="005E19C8" w:rsidRDefault="005E0020">
      <w:pPr>
        <w:rPr>
          <w:noProof/>
        </w:rPr>
      </w:pPr>
      <w:r w:rsidRPr="005E19C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044E" w14:textId="77777777" w:rsidR="00F51645" w:rsidRPr="00F51645" w:rsidRDefault="00F51645" w:rsidP="00F51645">
    <w:pPr>
      <w:tabs>
        <w:tab w:val="center" w:pos="4513"/>
        <w:tab w:val="right" w:pos="9026"/>
        <w:tab w:val="left" w:pos="9072"/>
      </w:tabs>
      <w:autoSpaceDE/>
      <w:autoSpaceDN/>
      <w:rPr>
        <w:rFonts w:eastAsiaTheme="minorHAnsi"/>
        <w:sz w:val="20"/>
        <w:szCs w:val="18"/>
      </w:rPr>
    </w:pPr>
  </w:p>
  <w:p w14:paraId="2A9B012C" w14:textId="77777777" w:rsidR="00F51645" w:rsidRPr="00F51645" w:rsidRDefault="00F51645" w:rsidP="00F51645">
    <w:pPr>
      <w:tabs>
        <w:tab w:val="right" w:leader="underscore" w:pos="9072"/>
      </w:tabs>
      <w:autoSpaceDE/>
      <w:autoSpaceDN/>
      <w:rPr>
        <w:rFonts w:eastAsiaTheme="minorHAnsi"/>
        <w:sz w:val="20"/>
        <w:szCs w:val="18"/>
      </w:rPr>
    </w:pPr>
    <w:r w:rsidRPr="00F51645">
      <w:rPr>
        <w:rFonts w:eastAsiaTheme="minorHAnsi"/>
        <w:sz w:val="20"/>
        <w:szCs w:val="18"/>
      </w:rPr>
      <w:tab/>
    </w:r>
  </w:p>
  <w:p w14:paraId="1788D0D9" w14:textId="77777777" w:rsidR="00F51645" w:rsidRPr="00F51645" w:rsidRDefault="00F51645" w:rsidP="00F51645">
    <w:pPr>
      <w:tabs>
        <w:tab w:val="center" w:pos="4513"/>
        <w:tab w:val="right" w:pos="9026"/>
        <w:tab w:val="right" w:pos="9072"/>
      </w:tabs>
      <w:autoSpaceDE/>
      <w:autoSpaceDN/>
      <w:rPr>
        <w:rFonts w:eastAsiaTheme="minorHAnsi"/>
        <w:sz w:val="20"/>
        <w:szCs w:val="18"/>
      </w:rPr>
    </w:pPr>
  </w:p>
  <w:p w14:paraId="76C0E2D4" w14:textId="29FF1DE9" w:rsidR="00F51645" w:rsidRPr="00F51645" w:rsidRDefault="00F51645" w:rsidP="00F51645">
    <w:pPr>
      <w:tabs>
        <w:tab w:val="right" w:pos="9072"/>
      </w:tabs>
      <w:autoSpaceDE/>
      <w:autoSpaceDN/>
      <w:rPr>
        <w:rFonts w:eastAsiaTheme="minorHAnsi"/>
        <w:sz w:val="20"/>
        <w:szCs w:val="18"/>
      </w:rPr>
    </w:pPr>
    <w:r w:rsidRPr="00F51645">
      <w:rPr>
        <w:rFonts w:eastAsiaTheme="minorHAnsi"/>
        <w:noProof/>
        <w:sz w:val="20"/>
        <w:szCs w:val="18"/>
      </w:rPr>
      <w:t xml:space="preserve">Tulkojums </w:t>
    </w:r>
    <w:r w:rsidRPr="00F51645">
      <w:rPr>
        <w:rFonts w:eastAsiaTheme="minorHAnsi"/>
        <w:noProof/>
        <w:sz w:val="20"/>
        <w:szCs w:val="18"/>
      </w:rPr>
      <w:fldChar w:fldCharType="begin"/>
    </w:r>
    <w:r w:rsidRPr="00F51645">
      <w:rPr>
        <w:rFonts w:eastAsiaTheme="minorHAnsi"/>
        <w:noProof/>
        <w:sz w:val="20"/>
        <w:szCs w:val="18"/>
      </w:rPr>
      <w:instrText>symbol 211 \f "Symbol" \s 9</w:instrText>
    </w:r>
    <w:r w:rsidRPr="00F51645">
      <w:rPr>
        <w:rFonts w:eastAsiaTheme="minorHAnsi"/>
        <w:noProof/>
        <w:sz w:val="20"/>
        <w:szCs w:val="18"/>
      </w:rPr>
      <w:fldChar w:fldCharType="separate"/>
    </w:r>
    <w:r w:rsidRPr="00F51645">
      <w:rPr>
        <w:rFonts w:eastAsiaTheme="minorHAnsi"/>
        <w:noProof/>
        <w:sz w:val="20"/>
        <w:szCs w:val="18"/>
      </w:rPr>
      <w:t>Ó</w:t>
    </w:r>
    <w:r w:rsidRPr="00F51645">
      <w:rPr>
        <w:rFonts w:eastAsiaTheme="minorHAnsi"/>
        <w:noProof/>
        <w:sz w:val="20"/>
        <w:szCs w:val="18"/>
      </w:rPr>
      <w:fldChar w:fldCharType="end"/>
    </w:r>
    <w:r w:rsidRPr="00F51645">
      <w:rPr>
        <w:rFonts w:eastAsiaTheme="minorHAnsi"/>
        <w:noProof/>
        <w:sz w:val="20"/>
        <w:szCs w:val="18"/>
      </w:rPr>
      <w:t xml:space="preserve"> Valsts valodas centrs, 202</w:t>
    </w:r>
    <w:r>
      <w:rPr>
        <w:rFonts w:eastAsiaTheme="minorHAnsi"/>
        <w:noProof/>
        <w:sz w:val="20"/>
        <w:szCs w:val="18"/>
      </w:rPr>
      <w:t>5</w:t>
    </w:r>
    <w:r w:rsidRPr="00F51645">
      <w:rPr>
        <w:rFonts w:eastAsiaTheme="minorHAnsi"/>
        <w:sz w:val="20"/>
        <w:szCs w:val="18"/>
      </w:rPr>
      <w:tab/>
    </w:r>
    <w:r w:rsidRPr="00F51645">
      <w:rPr>
        <w:rFonts w:eastAsiaTheme="minorHAnsi"/>
        <w:sz w:val="20"/>
        <w:szCs w:val="18"/>
      </w:rPr>
      <w:fldChar w:fldCharType="begin"/>
    </w:r>
    <w:r w:rsidRPr="00F51645">
      <w:rPr>
        <w:rFonts w:eastAsiaTheme="minorHAnsi"/>
        <w:sz w:val="20"/>
        <w:szCs w:val="18"/>
      </w:rPr>
      <w:instrText xml:space="preserve">page </w:instrText>
    </w:r>
    <w:r w:rsidRPr="00F51645">
      <w:rPr>
        <w:rFonts w:eastAsiaTheme="minorHAnsi"/>
        <w:sz w:val="20"/>
        <w:szCs w:val="18"/>
      </w:rPr>
      <w:fldChar w:fldCharType="separate"/>
    </w:r>
    <w:r w:rsidRPr="00F51645">
      <w:rPr>
        <w:rFonts w:eastAsiaTheme="minorHAnsi"/>
        <w:sz w:val="20"/>
        <w:szCs w:val="18"/>
      </w:rPr>
      <w:t>2</w:t>
    </w:r>
    <w:r w:rsidRPr="00F51645">
      <w:rPr>
        <w:rFonts w:eastAsiaTheme="minorHAnsi"/>
        <w:sz w:val="20"/>
        <w:szCs w:val="18"/>
      </w:rPr>
      <w:fldChar w:fldCharType="end"/>
    </w:r>
  </w:p>
  <w:p w14:paraId="6B890B1D" w14:textId="47A9354C" w:rsidR="00C70F70" w:rsidRPr="005E19C8" w:rsidRDefault="00C70F70">
    <w:pPr>
      <w:pStyle w:val="BodyText"/>
      <w:spacing w:line="14" w:lineRule="auto"/>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0044" w14:textId="77777777" w:rsidR="004D27F3" w:rsidRPr="004D27F3" w:rsidRDefault="004D27F3" w:rsidP="004D27F3">
    <w:pPr>
      <w:tabs>
        <w:tab w:val="center" w:pos="4513"/>
        <w:tab w:val="right" w:pos="9026"/>
        <w:tab w:val="left" w:pos="9072"/>
      </w:tabs>
      <w:autoSpaceDE/>
      <w:autoSpaceDN/>
      <w:rPr>
        <w:rFonts w:eastAsiaTheme="minorHAnsi"/>
        <w:sz w:val="20"/>
        <w:szCs w:val="18"/>
      </w:rPr>
    </w:pPr>
    <w:bookmarkStart w:id="18" w:name="_Hlk496261764"/>
    <w:bookmarkStart w:id="19" w:name="_Hlk496261765"/>
    <w:bookmarkStart w:id="20" w:name="_Hlk496261766"/>
    <w:bookmarkStart w:id="21" w:name="_Hlk30491075"/>
    <w:bookmarkStart w:id="22" w:name="_Hlk30491076"/>
  </w:p>
  <w:p w14:paraId="12C022D2" w14:textId="77777777" w:rsidR="004D27F3" w:rsidRPr="004D27F3" w:rsidRDefault="004D27F3" w:rsidP="004D27F3">
    <w:pPr>
      <w:tabs>
        <w:tab w:val="left" w:leader="underscore" w:pos="9072"/>
      </w:tabs>
      <w:autoSpaceDE/>
      <w:autoSpaceDN/>
      <w:rPr>
        <w:rFonts w:eastAsiaTheme="minorHAnsi"/>
        <w:sz w:val="20"/>
        <w:szCs w:val="18"/>
      </w:rPr>
    </w:pPr>
    <w:r w:rsidRPr="004D27F3">
      <w:rPr>
        <w:rFonts w:eastAsiaTheme="minorHAnsi"/>
        <w:sz w:val="20"/>
        <w:szCs w:val="18"/>
      </w:rPr>
      <w:tab/>
    </w:r>
  </w:p>
  <w:p w14:paraId="70049E44" w14:textId="77777777" w:rsidR="004D27F3" w:rsidRPr="004D27F3" w:rsidRDefault="004D27F3" w:rsidP="004D27F3">
    <w:pPr>
      <w:tabs>
        <w:tab w:val="center" w:pos="4513"/>
        <w:tab w:val="right" w:pos="9026"/>
        <w:tab w:val="left" w:pos="9072"/>
      </w:tabs>
      <w:autoSpaceDE/>
      <w:autoSpaceDN/>
      <w:rPr>
        <w:rFonts w:eastAsiaTheme="minorHAnsi"/>
        <w:sz w:val="20"/>
        <w:szCs w:val="18"/>
      </w:rPr>
    </w:pPr>
  </w:p>
  <w:p w14:paraId="2A117A11" w14:textId="0688D971" w:rsidR="004A1790" w:rsidRPr="004D27F3" w:rsidRDefault="004D27F3" w:rsidP="004D27F3">
    <w:pPr>
      <w:tabs>
        <w:tab w:val="center" w:pos="4513"/>
        <w:tab w:val="right" w:pos="9026"/>
      </w:tabs>
      <w:autoSpaceDE/>
      <w:autoSpaceDN/>
      <w:rPr>
        <w:rFonts w:eastAsiaTheme="minorHAnsi"/>
        <w:sz w:val="20"/>
        <w:szCs w:val="18"/>
      </w:rPr>
    </w:pPr>
    <w:r w:rsidRPr="004D27F3">
      <w:rPr>
        <w:rFonts w:eastAsiaTheme="minorHAnsi"/>
        <w:noProof/>
        <w:sz w:val="20"/>
        <w:szCs w:val="18"/>
      </w:rPr>
      <w:t xml:space="preserve">Tulkojums </w:t>
    </w:r>
    <w:r w:rsidRPr="004D27F3">
      <w:rPr>
        <w:rFonts w:eastAsiaTheme="minorHAnsi"/>
        <w:noProof/>
        <w:sz w:val="20"/>
        <w:szCs w:val="18"/>
      </w:rPr>
      <w:fldChar w:fldCharType="begin"/>
    </w:r>
    <w:r w:rsidRPr="004D27F3">
      <w:rPr>
        <w:rFonts w:eastAsiaTheme="minorHAnsi"/>
        <w:noProof/>
        <w:sz w:val="20"/>
        <w:szCs w:val="18"/>
      </w:rPr>
      <w:instrText>symbol 211 \f "Symbol" \s 9</w:instrText>
    </w:r>
    <w:r w:rsidRPr="004D27F3">
      <w:rPr>
        <w:rFonts w:eastAsiaTheme="minorHAnsi"/>
        <w:noProof/>
        <w:sz w:val="20"/>
        <w:szCs w:val="18"/>
      </w:rPr>
      <w:fldChar w:fldCharType="separate"/>
    </w:r>
    <w:r w:rsidRPr="004D27F3">
      <w:rPr>
        <w:rFonts w:eastAsiaTheme="minorHAnsi"/>
        <w:noProof/>
        <w:sz w:val="20"/>
        <w:szCs w:val="18"/>
      </w:rPr>
      <w:t>Ó</w:t>
    </w:r>
    <w:r w:rsidRPr="004D27F3">
      <w:rPr>
        <w:rFonts w:eastAsiaTheme="minorHAnsi"/>
        <w:noProof/>
        <w:sz w:val="20"/>
        <w:szCs w:val="18"/>
      </w:rPr>
      <w:fldChar w:fldCharType="end"/>
    </w:r>
    <w:r w:rsidRPr="004D27F3">
      <w:rPr>
        <w:rFonts w:eastAsiaTheme="minorHAnsi"/>
        <w:noProof/>
        <w:sz w:val="20"/>
        <w:szCs w:val="18"/>
      </w:rPr>
      <w:t xml:space="preserve"> Valsts valodas centrs, 20</w:t>
    </w:r>
    <w:bookmarkEnd w:id="18"/>
    <w:bookmarkEnd w:id="19"/>
    <w:bookmarkEnd w:id="20"/>
    <w:r w:rsidRPr="004D27F3">
      <w:rPr>
        <w:rFonts w:eastAsiaTheme="minorHAnsi"/>
        <w:noProof/>
        <w:sz w:val="20"/>
        <w:szCs w:val="18"/>
      </w:rPr>
      <w:t>2</w:t>
    </w:r>
    <w:bookmarkEnd w:id="21"/>
    <w:bookmarkEnd w:id="22"/>
    <w:r>
      <w:rPr>
        <w:rFonts w:eastAsiaTheme="minorHAnsi"/>
        <w:noProof/>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FBF19" w14:textId="77777777" w:rsidR="005E0020" w:rsidRPr="005E19C8" w:rsidRDefault="005E0020">
      <w:pPr>
        <w:rPr>
          <w:noProof/>
        </w:rPr>
      </w:pPr>
      <w:r w:rsidRPr="005E19C8">
        <w:rPr>
          <w:noProof/>
        </w:rPr>
        <w:separator/>
      </w:r>
    </w:p>
  </w:footnote>
  <w:footnote w:type="continuationSeparator" w:id="0">
    <w:p w14:paraId="05034166" w14:textId="77777777" w:rsidR="005E0020" w:rsidRPr="005E19C8" w:rsidRDefault="005E0020">
      <w:pPr>
        <w:rPr>
          <w:noProof/>
        </w:rPr>
      </w:pPr>
      <w:r w:rsidRPr="005E19C8">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77FE" w14:textId="77777777" w:rsidR="007D6C56" w:rsidRPr="007D6C56" w:rsidRDefault="007D6C56" w:rsidP="007D6C56">
    <w:pPr>
      <w:tabs>
        <w:tab w:val="center" w:pos="4513"/>
        <w:tab w:val="right" w:pos="9026"/>
      </w:tabs>
      <w:autoSpaceDE/>
      <w:autoSpaceDN/>
      <w:rPr>
        <w:rFonts w:eastAsiaTheme="minorHAnsi"/>
        <w:sz w:val="20"/>
        <w:szCs w:val="20"/>
      </w:rPr>
    </w:pPr>
  </w:p>
  <w:p w14:paraId="61EEFAC7" w14:textId="77777777" w:rsidR="007D6C56" w:rsidRPr="007D6C56" w:rsidRDefault="007D6C56" w:rsidP="007D6C56">
    <w:pPr>
      <w:tabs>
        <w:tab w:val="right" w:leader="underscore" w:pos="9072"/>
      </w:tabs>
      <w:autoSpaceDE/>
      <w:autoSpaceDN/>
      <w:rPr>
        <w:rFonts w:eastAsiaTheme="minorHAnsi"/>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7D6C56">
      <w:rPr>
        <w:rFonts w:eastAsiaTheme="minorHAnsi"/>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258FEFA9" w14:textId="77777777" w:rsidR="004A1790" w:rsidRDefault="004A17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1276" w14:textId="77777777" w:rsidR="004A1790" w:rsidRPr="00864FDC" w:rsidRDefault="004A1790" w:rsidP="004A1790">
    <w:pPr>
      <w:pBdr>
        <w:bottom w:val="single" w:sz="12" w:space="5" w:color="auto"/>
      </w:pBdr>
      <w:rPr>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574F9F26" w14:textId="77777777" w:rsidR="004A1790" w:rsidRDefault="004A1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9AD"/>
    <w:multiLevelType w:val="hybridMultilevel"/>
    <w:tmpl w:val="C95EBE56"/>
    <w:lvl w:ilvl="0" w:tplc="A1A23BE0">
      <w:start w:val="2"/>
      <w:numFmt w:val="decimal"/>
      <w:lvlText w:val="(%1)"/>
      <w:lvlJc w:val="left"/>
      <w:pPr>
        <w:ind w:left="655" w:hanging="553"/>
        <w:jc w:val="left"/>
      </w:pPr>
      <w:rPr>
        <w:rFonts w:ascii="Times New Roman" w:eastAsia="Times New Roman" w:hAnsi="Times New Roman" w:cs="Times New Roman" w:hint="default"/>
        <w:b w:val="0"/>
        <w:bCs w:val="0"/>
        <w:i w:val="0"/>
        <w:iCs w:val="0"/>
        <w:color w:val="3A3A3A"/>
        <w:spacing w:val="0"/>
        <w:w w:val="107"/>
        <w:sz w:val="22"/>
        <w:szCs w:val="22"/>
        <w:lang w:val="en-US" w:eastAsia="en-US" w:bidi="ar-SA"/>
      </w:rPr>
    </w:lvl>
    <w:lvl w:ilvl="1" w:tplc="630C2C3A">
      <w:numFmt w:val="bullet"/>
      <w:lvlText w:val="•"/>
      <w:lvlJc w:val="left"/>
      <w:pPr>
        <w:ind w:left="1486" w:hanging="553"/>
      </w:pPr>
      <w:rPr>
        <w:rFonts w:hint="default"/>
        <w:lang w:val="en-US" w:eastAsia="en-US" w:bidi="ar-SA"/>
      </w:rPr>
    </w:lvl>
    <w:lvl w:ilvl="2" w:tplc="F99C729C">
      <w:numFmt w:val="bullet"/>
      <w:lvlText w:val="•"/>
      <w:lvlJc w:val="left"/>
      <w:pPr>
        <w:ind w:left="2312" w:hanging="553"/>
      </w:pPr>
      <w:rPr>
        <w:rFonts w:hint="default"/>
        <w:lang w:val="en-US" w:eastAsia="en-US" w:bidi="ar-SA"/>
      </w:rPr>
    </w:lvl>
    <w:lvl w:ilvl="3" w:tplc="3006C7A4">
      <w:numFmt w:val="bullet"/>
      <w:lvlText w:val="•"/>
      <w:lvlJc w:val="left"/>
      <w:pPr>
        <w:ind w:left="3138" w:hanging="553"/>
      </w:pPr>
      <w:rPr>
        <w:rFonts w:hint="default"/>
        <w:lang w:val="en-US" w:eastAsia="en-US" w:bidi="ar-SA"/>
      </w:rPr>
    </w:lvl>
    <w:lvl w:ilvl="4" w:tplc="848420D2">
      <w:numFmt w:val="bullet"/>
      <w:lvlText w:val="•"/>
      <w:lvlJc w:val="left"/>
      <w:pPr>
        <w:ind w:left="3964" w:hanging="553"/>
      </w:pPr>
      <w:rPr>
        <w:rFonts w:hint="default"/>
        <w:lang w:val="en-US" w:eastAsia="en-US" w:bidi="ar-SA"/>
      </w:rPr>
    </w:lvl>
    <w:lvl w:ilvl="5" w:tplc="832817CC">
      <w:numFmt w:val="bullet"/>
      <w:lvlText w:val="•"/>
      <w:lvlJc w:val="left"/>
      <w:pPr>
        <w:ind w:left="4790" w:hanging="553"/>
      </w:pPr>
      <w:rPr>
        <w:rFonts w:hint="default"/>
        <w:lang w:val="en-US" w:eastAsia="en-US" w:bidi="ar-SA"/>
      </w:rPr>
    </w:lvl>
    <w:lvl w:ilvl="6" w:tplc="7200FF00">
      <w:numFmt w:val="bullet"/>
      <w:lvlText w:val="•"/>
      <w:lvlJc w:val="left"/>
      <w:pPr>
        <w:ind w:left="5616" w:hanging="553"/>
      </w:pPr>
      <w:rPr>
        <w:rFonts w:hint="default"/>
        <w:lang w:val="en-US" w:eastAsia="en-US" w:bidi="ar-SA"/>
      </w:rPr>
    </w:lvl>
    <w:lvl w:ilvl="7" w:tplc="2AD23BE8">
      <w:numFmt w:val="bullet"/>
      <w:lvlText w:val="•"/>
      <w:lvlJc w:val="left"/>
      <w:pPr>
        <w:ind w:left="6442" w:hanging="553"/>
      </w:pPr>
      <w:rPr>
        <w:rFonts w:hint="default"/>
        <w:lang w:val="en-US" w:eastAsia="en-US" w:bidi="ar-SA"/>
      </w:rPr>
    </w:lvl>
    <w:lvl w:ilvl="8" w:tplc="B65A16A8">
      <w:numFmt w:val="bullet"/>
      <w:lvlText w:val="•"/>
      <w:lvlJc w:val="left"/>
      <w:pPr>
        <w:ind w:left="7268" w:hanging="553"/>
      </w:pPr>
      <w:rPr>
        <w:rFonts w:hint="default"/>
        <w:lang w:val="en-US" w:eastAsia="en-US" w:bidi="ar-SA"/>
      </w:rPr>
    </w:lvl>
  </w:abstractNum>
  <w:abstractNum w:abstractNumId="1" w15:restartNumberingAfterBreak="0">
    <w:nsid w:val="64FE1EF7"/>
    <w:multiLevelType w:val="hybridMultilevel"/>
    <w:tmpl w:val="4AE8F5C2"/>
    <w:lvl w:ilvl="0" w:tplc="A508A876">
      <w:start w:val="2"/>
      <w:numFmt w:val="lowerLetter"/>
      <w:lvlText w:val="(%1)"/>
      <w:lvlJc w:val="left"/>
      <w:pPr>
        <w:ind w:left="1085" w:hanging="407"/>
        <w:jc w:val="left"/>
      </w:pPr>
      <w:rPr>
        <w:rFonts w:ascii="Times New Roman" w:eastAsia="Times New Roman" w:hAnsi="Times New Roman" w:cs="Times New Roman" w:hint="default"/>
        <w:b w:val="0"/>
        <w:bCs w:val="0"/>
        <w:i w:val="0"/>
        <w:iCs w:val="0"/>
        <w:color w:val="3A3A3A"/>
        <w:spacing w:val="0"/>
        <w:w w:val="107"/>
        <w:sz w:val="22"/>
        <w:szCs w:val="22"/>
        <w:lang w:val="en-US" w:eastAsia="en-US" w:bidi="ar-SA"/>
      </w:rPr>
    </w:lvl>
    <w:lvl w:ilvl="1" w:tplc="5DEC8CEE">
      <w:start w:val="1"/>
      <w:numFmt w:val="lowerRoman"/>
      <w:lvlText w:val="(%2)"/>
      <w:lvlJc w:val="left"/>
      <w:pPr>
        <w:ind w:left="1476" w:hanging="397"/>
        <w:jc w:val="left"/>
      </w:pPr>
      <w:rPr>
        <w:rFonts w:ascii="Times New Roman" w:eastAsia="Times New Roman" w:hAnsi="Times New Roman" w:cs="Times New Roman" w:hint="default"/>
        <w:b w:val="0"/>
        <w:bCs w:val="0"/>
        <w:i w:val="0"/>
        <w:iCs w:val="0"/>
        <w:color w:val="3A3A3A"/>
        <w:spacing w:val="-1"/>
        <w:w w:val="107"/>
        <w:sz w:val="22"/>
        <w:szCs w:val="22"/>
        <w:lang w:val="en-US" w:eastAsia="en-US" w:bidi="ar-SA"/>
      </w:rPr>
    </w:lvl>
    <w:lvl w:ilvl="2" w:tplc="F3747110">
      <w:numFmt w:val="bullet"/>
      <w:lvlText w:val="•"/>
      <w:lvlJc w:val="left"/>
      <w:pPr>
        <w:ind w:left="2306" w:hanging="397"/>
      </w:pPr>
      <w:rPr>
        <w:rFonts w:hint="default"/>
        <w:lang w:val="en-US" w:eastAsia="en-US" w:bidi="ar-SA"/>
      </w:rPr>
    </w:lvl>
    <w:lvl w:ilvl="3" w:tplc="EB388CA8">
      <w:numFmt w:val="bullet"/>
      <w:lvlText w:val="•"/>
      <w:lvlJc w:val="left"/>
      <w:pPr>
        <w:ind w:left="3133" w:hanging="397"/>
      </w:pPr>
      <w:rPr>
        <w:rFonts w:hint="default"/>
        <w:lang w:val="en-US" w:eastAsia="en-US" w:bidi="ar-SA"/>
      </w:rPr>
    </w:lvl>
    <w:lvl w:ilvl="4" w:tplc="7AE4FCE8">
      <w:numFmt w:val="bullet"/>
      <w:lvlText w:val="•"/>
      <w:lvlJc w:val="left"/>
      <w:pPr>
        <w:ind w:left="3960" w:hanging="397"/>
      </w:pPr>
      <w:rPr>
        <w:rFonts w:hint="default"/>
        <w:lang w:val="en-US" w:eastAsia="en-US" w:bidi="ar-SA"/>
      </w:rPr>
    </w:lvl>
    <w:lvl w:ilvl="5" w:tplc="EAEA97DE">
      <w:numFmt w:val="bullet"/>
      <w:lvlText w:val="•"/>
      <w:lvlJc w:val="left"/>
      <w:pPr>
        <w:ind w:left="4786" w:hanging="397"/>
      </w:pPr>
      <w:rPr>
        <w:rFonts w:hint="default"/>
        <w:lang w:val="en-US" w:eastAsia="en-US" w:bidi="ar-SA"/>
      </w:rPr>
    </w:lvl>
    <w:lvl w:ilvl="6" w:tplc="A1361048">
      <w:numFmt w:val="bullet"/>
      <w:lvlText w:val="•"/>
      <w:lvlJc w:val="left"/>
      <w:pPr>
        <w:ind w:left="5613" w:hanging="397"/>
      </w:pPr>
      <w:rPr>
        <w:rFonts w:hint="default"/>
        <w:lang w:val="en-US" w:eastAsia="en-US" w:bidi="ar-SA"/>
      </w:rPr>
    </w:lvl>
    <w:lvl w:ilvl="7" w:tplc="1602B330">
      <w:numFmt w:val="bullet"/>
      <w:lvlText w:val="•"/>
      <w:lvlJc w:val="left"/>
      <w:pPr>
        <w:ind w:left="6440" w:hanging="397"/>
      </w:pPr>
      <w:rPr>
        <w:rFonts w:hint="default"/>
        <w:lang w:val="en-US" w:eastAsia="en-US" w:bidi="ar-SA"/>
      </w:rPr>
    </w:lvl>
    <w:lvl w:ilvl="8" w:tplc="AB6E259E">
      <w:numFmt w:val="bullet"/>
      <w:lvlText w:val="•"/>
      <w:lvlJc w:val="left"/>
      <w:pPr>
        <w:ind w:left="7266" w:hanging="397"/>
      </w:pPr>
      <w:rPr>
        <w:rFonts w:hint="default"/>
        <w:lang w:val="en-US" w:eastAsia="en-US" w:bidi="ar-SA"/>
      </w:rPr>
    </w:lvl>
  </w:abstractNum>
  <w:num w:numId="1" w16cid:durableId="1004744226">
    <w:abstractNumId w:val="0"/>
  </w:num>
  <w:num w:numId="2" w16cid:durableId="1204825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0F70"/>
    <w:rsid w:val="000C7451"/>
    <w:rsid w:val="001C2EC7"/>
    <w:rsid w:val="002054EA"/>
    <w:rsid w:val="00277969"/>
    <w:rsid w:val="004A1790"/>
    <w:rsid w:val="004D27F3"/>
    <w:rsid w:val="005E0020"/>
    <w:rsid w:val="005E19C8"/>
    <w:rsid w:val="00624C7B"/>
    <w:rsid w:val="006F60C0"/>
    <w:rsid w:val="007D6C56"/>
    <w:rsid w:val="00951F26"/>
    <w:rsid w:val="00974A63"/>
    <w:rsid w:val="009F63DD"/>
    <w:rsid w:val="00C70F70"/>
    <w:rsid w:val="00CB510A"/>
    <w:rsid w:val="00D9414D"/>
    <w:rsid w:val="00E53CC6"/>
    <w:rsid w:val="00F51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9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hanging="949"/>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129"/>
      <w:ind w:left="1324" w:right="5351" w:hanging="325"/>
    </w:pPr>
    <w:rPr>
      <w:rFonts w:ascii="Palatino Linotype" w:eastAsia="Palatino Linotype" w:hAnsi="Palatino Linotype" w:cs="Palatino Linotype"/>
      <w:b/>
      <w:bCs/>
      <w:sz w:val="28"/>
      <w:szCs w:val="28"/>
    </w:rPr>
  </w:style>
  <w:style w:type="paragraph" w:styleId="ListParagraph">
    <w:name w:val="List Paragraph"/>
    <w:basedOn w:val="Normal"/>
    <w:uiPriority w:val="1"/>
    <w:qFormat/>
    <w:pPr>
      <w:ind w:left="655" w:right="118" w:hanging="941"/>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5E19C8"/>
    <w:pPr>
      <w:tabs>
        <w:tab w:val="center" w:pos="4513"/>
        <w:tab w:val="right" w:pos="9026"/>
      </w:tabs>
    </w:pPr>
  </w:style>
  <w:style w:type="character" w:customStyle="1" w:styleId="HeaderChar">
    <w:name w:val="Header Char"/>
    <w:basedOn w:val="DefaultParagraphFont"/>
    <w:link w:val="Header"/>
    <w:uiPriority w:val="99"/>
    <w:rsid w:val="005E19C8"/>
    <w:rPr>
      <w:rFonts w:ascii="Times New Roman" w:eastAsia="Times New Roman" w:hAnsi="Times New Roman" w:cs="Times New Roman"/>
    </w:rPr>
  </w:style>
  <w:style w:type="paragraph" w:styleId="Footer">
    <w:name w:val="footer"/>
    <w:basedOn w:val="Normal"/>
    <w:link w:val="FooterChar"/>
    <w:uiPriority w:val="99"/>
    <w:unhideWhenUsed/>
    <w:rsid w:val="005E19C8"/>
    <w:pPr>
      <w:tabs>
        <w:tab w:val="center" w:pos="4513"/>
        <w:tab w:val="right" w:pos="9026"/>
      </w:tabs>
    </w:pPr>
  </w:style>
  <w:style w:type="character" w:customStyle="1" w:styleId="FooterChar">
    <w:name w:val="Footer Char"/>
    <w:basedOn w:val="DefaultParagraphFont"/>
    <w:link w:val="Footer"/>
    <w:uiPriority w:val="99"/>
    <w:rsid w:val="005E19C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24C7B"/>
    <w:rPr>
      <w:rFonts w:ascii="Times New Roman" w:eastAsia="Times New Roman" w:hAnsi="Times New Roman" w:cs="Times New Roman"/>
    </w:rPr>
  </w:style>
  <w:style w:type="character" w:customStyle="1" w:styleId="TitleChar">
    <w:name w:val="Title Char"/>
    <w:basedOn w:val="DefaultParagraphFont"/>
    <w:link w:val="Title"/>
    <w:uiPriority w:val="10"/>
    <w:rsid w:val="00624C7B"/>
    <w:rPr>
      <w:rFonts w:ascii="Palatino Linotype" w:eastAsia="Palatino Linotype" w:hAnsi="Palatino Linotype" w:cs="Palatino Linotype"/>
      <w:b/>
      <w:bCs/>
      <w:sz w:val="28"/>
      <w:szCs w:val="28"/>
    </w:rPr>
  </w:style>
  <w:style w:type="table" w:styleId="TableGrid">
    <w:name w:val="Table Grid"/>
    <w:basedOn w:val="TableNormal"/>
    <w:uiPriority w:val="39"/>
    <w:rsid w:val="00624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575F98-FF0B-47DD-91BB-F6F6E9F4C4F0}">
  <ds:schemaRefs>
    <ds:schemaRef ds:uri="http://schemas.microsoft.com/sharepoint/v3/contenttype/forms"/>
  </ds:schemaRefs>
</ds:datastoreItem>
</file>

<file path=customXml/itemProps2.xml><?xml version="1.0" encoding="utf-8"?>
<ds:datastoreItem xmlns:ds="http://schemas.openxmlformats.org/officeDocument/2006/customXml" ds:itemID="{04BC33B5-8854-4579-ACBD-C70A1B398A9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ECEE668F-66BE-4032-ACC0-C61F0BEAFCE4}"/>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2025-03-28T11:51:00Z</dcterms:created>
  <dcterms:modified xsi:type="dcterms:W3CDTF">2025-08-22T12:42:00Z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