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5FCB" w14:textId="77777777" w:rsidR="00A574AC" w:rsidRDefault="00A574AC" w:rsidP="003E6A75">
      <w:pPr>
        <w:pStyle w:val="Heading1"/>
        <w:spacing w:before="0"/>
        <w:ind w:left="0" w:firstLine="0"/>
        <w:rPr>
          <w:noProof/>
          <w:sz w:val="24"/>
        </w:rPr>
      </w:pPr>
      <w:r>
        <w:rPr>
          <w:sz w:val="24"/>
        </w:rPr>
        <w:t>RĪCĪBAS KODEKSS CĪŅAI PRET NELIKUMĪGU NAIDA RUNU TIEŠSAISTĒ +</w:t>
      </w:r>
    </w:p>
    <w:p w14:paraId="4D81C69B" w14:textId="77777777" w:rsidR="003E6A75" w:rsidRPr="003E6A75" w:rsidRDefault="003E6A75" w:rsidP="003E6A75">
      <w:pPr>
        <w:pStyle w:val="Heading1"/>
        <w:spacing w:before="0"/>
        <w:ind w:left="0" w:firstLine="0"/>
        <w:rPr>
          <w:noProof/>
          <w:sz w:val="24"/>
        </w:rPr>
      </w:pPr>
    </w:p>
    <w:p w14:paraId="23E2ED74" w14:textId="0300FD3C" w:rsidR="00A574AC" w:rsidRDefault="003E6A75" w:rsidP="003E6A75">
      <w:pPr>
        <w:pStyle w:val="ListParagraph"/>
        <w:tabs>
          <w:tab w:val="left" w:pos="426"/>
          <w:tab w:val="left" w:pos="1134"/>
        </w:tabs>
        <w:spacing w:before="0"/>
        <w:ind w:left="284" w:hanging="284"/>
        <w:rPr>
          <w:noProof/>
          <w:sz w:val="24"/>
        </w:rPr>
      </w:pPr>
      <w:r>
        <w:rPr>
          <w:sz w:val="24"/>
        </w:rPr>
        <w:t xml:space="preserve">a) Pirmo rīcības kodeksu cīņai pret nelikumīgu naida runu tiešsaistē 2016. gada 31. maijā pieņēma Komisija un attiecīgo </w:t>
      </w:r>
      <w:r>
        <w:rPr>
          <w:i/>
          <w:iCs/>
          <w:sz w:val="24"/>
        </w:rPr>
        <w:t>Google</w:t>
      </w:r>
      <w:r>
        <w:rPr>
          <w:sz w:val="24"/>
        </w:rPr>
        <w:t xml:space="preserve"> (</w:t>
      </w:r>
      <w:r>
        <w:rPr>
          <w:i/>
          <w:iCs/>
          <w:sz w:val="24"/>
        </w:rPr>
        <w:t>YouTube</w:t>
      </w:r>
      <w:r>
        <w:rPr>
          <w:sz w:val="24"/>
        </w:rPr>
        <w:t xml:space="preserve">), </w:t>
      </w:r>
      <w:r>
        <w:rPr>
          <w:i/>
          <w:iCs/>
          <w:sz w:val="24"/>
        </w:rPr>
        <w:t>Facebook</w:t>
      </w:r>
      <w:r>
        <w:rPr>
          <w:sz w:val="24"/>
        </w:rPr>
        <w:t xml:space="preserve">, </w:t>
      </w:r>
      <w:r>
        <w:rPr>
          <w:i/>
          <w:iCs/>
          <w:sz w:val="24"/>
        </w:rPr>
        <w:t>X</w:t>
      </w:r>
      <w:r>
        <w:rPr>
          <w:sz w:val="24"/>
        </w:rPr>
        <w:t xml:space="preserve"> (agrāk – </w:t>
      </w:r>
      <w:r>
        <w:rPr>
          <w:i/>
          <w:iCs/>
          <w:sz w:val="24"/>
        </w:rPr>
        <w:t>Twitter</w:t>
      </w:r>
      <w:r>
        <w:rPr>
          <w:sz w:val="24"/>
        </w:rPr>
        <w:t xml:space="preserve">) un </w:t>
      </w:r>
      <w:r>
        <w:rPr>
          <w:i/>
          <w:iCs/>
          <w:sz w:val="24"/>
        </w:rPr>
        <w:t>Microsoft</w:t>
      </w:r>
      <w:r>
        <w:rPr>
          <w:sz w:val="24"/>
        </w:rPr>
        <w:t xml:space="preserve"> mitināto patērētāju pakalpojumu nodrošinātāji. Laikā no 2018. gada līdz 2022. gadam Kodeksa paredzētās apņemšanās parakstīja </w:t>
      </w:r>
      <w:r>
        <w:rPr>
          <w:i/>
          <w:iCs/>
          <w:sz w:val="24"/>
        </w:rPr>
        <w:t>Instagram</w:t>
      </w:r>
      <w:r>
        <w:rPr>
          <w:sz w:val="24"/>
        </w:rPr>
        <w:t xml:space="preserve">, </w:t>
      </w:r>
      <w:r>
        <w:rPr>
          <w:i/>
          <w:iCs/>
          <w:sz w:val="24"/>
        </w:rPr>
        <w:t>Dailymotion</w:t>
      </w:r>
      <w:r>
        <w:rPr>
          <w:sz w:val="24"/>
        </w:rPr>
        <w:t xml:space="preserve">, </w:t>
      </w:r>
      <w:r>
        <w:rPr>
          <w:i/>
          <w:iCs/>
          <w:sz w:val="24"/>
        </w:rPr>
        <w:t>Snap Inc.</w:t>
      </w:r>
      <w:r>
        <w:rPr>
          <w:sz w:val="24"/>
        </w:rPr>
        <w:t xml:space="preserve">, </w:t>
      </w:r>
      <w:r>
        <w:rPr>
          <w:i/>
          <w:iCs/>
          <w:sz w:val="24"/>
        </w:rPr>
        <w:t>Jeuxvideo.com</w:t>
      </w:r>
      <w:r>
        <w:rPr>
          <w:sz w:val="24"/>
        </w:rPr>
        <w:t xml:space="preserve">, </w:t>
      </w:r>
      <w:r>
        <w:rPr>
          <w:i/>
          <w:iCs/>
          <w:sz w:val="24"/>
        </w:rPr>
        <w:t>TikTok</w:t>
      </w:r>
      <w:r>
        <w:rPr>
          <w:sz w:val="24"/>
        </w:rPr>
        <w:t xml:space="preserve">, </w:t>
      </w:r>
      <w:r>
        <w:rPr>
          <w:i/>
          <w:iCs/>
          <w:sz w:val="24"/>
        </w:rPr>
        <w:t>LinkedIn</w:t>
      </w:r>
      <w:r>
        <w:rPr>
          <w:sz w:val="24"/>
        </w:rPr>
        <w:t xml:space="preserve">, </w:t>
      </w:r>
      <w:r>
        <w:rPr>
          <w:i/>
          <w:iCs/>
          <w:sz w:val="24"/>
        </w:rPr>
        <w:t>Rakuten</w:t>
      </w:r>
      <w:r>
        <w:rPr>
          <w:sz w:val="24"/>
        </w:rPr>
        <w:t xml:space="preserve">, </w:t>
      </w:r>
      <w:r>
        <w:rPr>
          <w:i/>
          <w:iCs/>
          <w:sz w:val="24"/>
        </w:rPr>
        <w:t>Viber</w:t>
      </w:r>
      <w:r>
        <w:rPr>
          <w:sz w:val="24"/>
        </w:rPr>
        <w:t xml:space="preserve"> un </w:t>
      </w:r>
      <w:r>
        <w:rPr>
          <w:i/>
          <w:iCs/>
          <w:sz w:val="24"/>
        </w:rPr>
        <w:t>Twitch</w:t>
      </w:r>
      <w:r>
        <w:rPr>
          <w:sz w:val="24"/>
        </w:rPr>
        <w:t xml:space="preserve"> (turpmāk tekstā visi uzņēmumi, kas parakstījuši Kodeksu, tiks dēvēti par “parakstītājiem”).</w:t>
      </w:r>
    </w:p>
    <w:p w14:paraId="064F4445" w14:textId="77777777" w:rsidR="003E6A75" w:rsidRPr="003E6A75" w:rsidRDefault="003E6A75" w:rsidP="003E6A75">
      <w:pPr>
        <w:pStyle w:val="ListParagraph"/>
        <w:tabs>
          <w:tab w:val="left" w:pos="836"/>
        </w:tabs>
        <w:spacing w:before="0"/>
        <w:ind w:left="0" w:firstLine="0"/>
        <w:rPr>
          <w:noProof/>
          <w:sz w:val="24"/>
        </w:rPr>
      </w:pPr>
    </w:p>
    <w:p w14:paraId="53BC3489" w14:textId="586E6AE3" w:rsidR="00A574AC" w:rsidRPr="003E6A75" w:rsidRDefault="003E6A75" w:rsidP="003E6A75">
      <w:pPr>
        <w:pStyle w:val="ListParagraph"/>
        <w:tabs>
          <w:tab w:val="left" w:pos="426"/>
          <w:tab w:val="left" w:pos="1134"/>
        </w:tabs>
        <w:spacing w:before="0"/>
        <w:ind w:left="284" w:hanging="284"/>
        <w:rPr>
          <w:noProof/>
          <w:sz w:val="24"/>
        </w:rPr>
      </w:pPr>
      <w:r>
        <w:rPr>
          <w:sz w:val="24"/>
        </w:rPr>
        <w:t>b) Šo gadu laikā Kodekss ir veicinājis būtisku progresu, tostarp tāda satura ātru pārskatīšanu un izņemšanu, kas ietver nelikumīgu naida runu, kā arī ir palielinājis uzticēšanos un sadarbību starp platformām, pilsoniskās sabiedrības organizācijām un dalībvalstu iestādēm strukturēta savstarpējas mācīšanās un zināšanu apmaiņas procesa veidā.</w:t>
      </w:r>
    </w:p>
    <w:p w14:paraId="7A5C729D" w14:textId="77777777" w:rsidR="003E6A75" w:rsidRDefault="003E6A75" w:rsidP="003E6A75">
      <w:pPr>
        <w:pStyle w:val="ListParagraph"/>
        <w:tabs>
          <w:tab w:val="left" w:pos="426"/>
          <w:tab w:val="left" w:pos="1134"/>
        </w:tabs>
        <w:spacing w:before="0"/>
        <w:ind w:left="284" w:hanging="284"/>
        <w:rPr>
          <w:noProof/>
          <w:sz w:val="24"/>
        </w:rPr>
      </w:pPr>
    </w:p>
    <w:p w14:paraId="76384ADA" w14:textId="029D6D4B" w:rsidR="00A574AC" w:rsidRPr="003E6A75" w:rsidRDefault="003E6A75" w:rsidP="003E6A75">
      <w:pPr>
        <w:pStyle w:val="ListParagraph"/>
        <w:tabs>
          <w:tab w:val="left" w:pos="426"/>
          <w:tab w:val="left" w:pos="1134"/>
        </w:tabs>
        <w:spacing w:before="0"/>
        <w:ind w:left="284" w:hanging="284"/>
        <w:rPr>
          <w:noProof/>
          <w:sz w:val="24"/>
        </w:rPr>
      </w:pPr>
      <w:r>
        <w:rPr>
          <w:sz w:val="24"/>
        </w:rPr>
        <w:t>c) Apzinoties ievērojamās iespējas un izaicinājumus, ko rada straujā tehnoloģiju attīstība un politikas un tiesiskā regulējuma attīstība Eiropas Savienībā, parakstītāji turpina lepoties ar pamattiesību ievērošanas veicināšanu tiešsaistes vidē, kā tas ir noteikts ES Pamattiesību hartā, kā arī ar Komisijas un ES dalībvalstu apņemšanos cīnīties pret nelikumīgu naida runu tiešsaistē, un kopīgi uzņemties atbildību par to.</w:t>
      </w:r>
    </w:p>
    <w:p w14:paraId="18F62240" w14:textId="77777777" w:rsidR="003E6A75" w:rsidRDefault="003E6A75" w:rsidP="003E6A75">
      <w:pPr>
        <w:pStyle w:val="ListParagraph"/>
        <w:tabs>
          <w:tab w:val="left" w:pos="426"/>
          <w:tab w:val="left" w:pos="1134"/>
        </w:tabs>
        <w:spacing w:before="0"/>
        <w:ind w:left="284" w:hanging="284"/>
        <w:rPr>
          <w:noProof/>
          <w:sz w:val="24"/>
        </w:rPr>
      </w:pPr>
    </w:p>
    <w:p w14:paraId="689C7A4A" w14:textId="2323458F" w:rsidR="00A574AC" w:rsidRPr="003E6A75" w:rsidRDefault="003E6A75" w:rsidP="003E6A75">
      <w:pPr>
        <w:pStyle w:val="ListParagraph"/>
        <w:tabs>
          <w:tab w:val="left" w:pos="426"/>
          <w:tab w:val="left" w:pos="1134"/>
        </w:tabs>
        <w:spacing w:before="0"/>
        <w:ind w:left="284" w:hanging="284"/>
        <w:rPr>
          <w:noProof/>
          <w:sz w:val="24"/>
        </w:rPr>
      </w:pPr>
      <w:r>
        <w:rPr>
          <w:sz w:val="24"/>
        </w:rPr>
        <w:t>d) Parakstītāji atzīst pārredzamības, uzraudzības un pārskatatbildības nozīmi savās sistēmās un procesos attiecībā uz to, kā tie rīkojas ar savos pakalpojumos pieejamu saturu, kas, iespējams, ietver nelikumīgu naida runu, un jo īpaši attiecībā uz saviem paziņošanas un rīcības mehānismiem. Turklāt, kā liecina gūtie panākumi, kopš 2016. gada īstenojot sadarbības pieeju saskaņā ar Rīcības kodeksu, parakstītāji atzīst daudzu ieinteresēto pušu pieejas nozīmi, kas paredz iesaistīt pilsoniskās sabiedrības organizāciju pārstāvjus, ekspertus, kā arī valsts iestādes kopīgajos pasākumos ar mērķi uzlabot satura moderācijas politiku, lai novērtētu un mazinātu nelikumīgas naida runas publiskas izplatīšanas risku, izmantojot to pakalpojumus.</w:t>
      </w:r>
    </w:p>
    <w:p w14:paraId="26F96402" w14:textId="77777777" w:rsidR="003E6A75" w:rsidRDefault="003E6A75" w:rsidP="003E6A75">
      <w:pPr>
        <w:pStyle w:val="ListParagraph"/>
        <w:tabs>
          <w:tab w:val="left" w:pos="426"/>
          <w:tab w:val="left" w:pos="1134"/>
        </w:tabs>
        <w:spacing w:before="0"/>
        <w:ind w:left="284" w:hanging="284"/>
        <w:rPr>
          <w:noProof/>
          <w:sz w:val="24"/>
        </w:rPr>
      </w:pPr>
    </w:p>
    <w:p w14:paraId="560C54B4" w14:textId="5CFD558E" w:rsidR="00A574AC" w:rsidRPr="003E6A75" w:rsidRDefault="003E6A75" w:rsidP="003E6A75">
      <w:pPr>
        <w:pStyle w:val="ListParagraph"/>
        <w:tabs>
          <w:tab w:val="left" w:pos="426"/>
          <w:tab w:val="left" w:pos="1134"/>
        </w:tabs>
        <w:spacing w:before="0"/>
        <w:ind w:left="284" w:hanging="284"/>
        <w:rPr>
          <w:noProof/>
          <w:sz w:val="24"/>
        </w:rPr>
      </w:pPr>
      <w:r>
        <w:rPr>
          <w:sz w:val="24"/>
        </w:rPr>
        <w:t>e) Parakstītāji norāda, ka tamdēļ, lai palielinātu starpniecības pakalpojumu pārredzamību un pārskatatbildību, tiesiskais regulējums ir pilnveidots ar Regulu (ES) 2022/2065 (Digitālo pakalpojumu akts, turpmāk tekstā arī “DPA”)</w:t>
      </w:r>
      <w:r w:rsidR="00A6394A">
        <w:rPr>
          <w:rStyle w:val="FootnoteReference"/>
          <w:noProof/>
          <w:sz w:val="24"/>
        </w:rPr>
        <w:footnoteReference w:id="2"/>
      </w:r>
      <w:r>
        <w:rPr>
          <w:sz w:val="24"/>
        </w:rPr>
        <w:t>, kuras izstrādē izmantoti arī 2016. gada Rīcības kodeksa svarīgie sasniegumi. Tie atzīst nepieciešamību vēl vairāk stiprināt Kodeksu, balstoties uz DPA, lai palielinātu tā efektivitāti nelikumīgas naida runas apkarošanā tiešsaistē.</w:t>
      </w:r>
    </w:p>
    <w:p w14:paraId="51803AF4" w14:textId="77777777" w:rsidR="003E6A75" w:rsidRDefault="003E6A75" w:rsidP="003E6A75">
      <w:pPr>
        <w:pStyle w:val="ListParagraph"/>
        <w:tabs>
          <w:tab w:val="left" w:pos="834"/>
          <w:tab w:val="left" w:pos="836"/>
        </w:tabs>
        <w:spacing w:before="0"/>
        <w:ind w:left="0" w:firstLine="0"/>
        <w:rPr>
          <w:noProof/>
          <w:sz w:val="24"/>
        </w:rPr>
      </w:pPr>
    </w:p>
    <w:p w14:paraId="321A65D8" w14:textId="18F936BA" w:rsidR="00A574AC" w:rsidRDefault="003E6A75" w:rsidP="003E6A75">
      <w:pPr>
        <w:pStyle w:val="ListParagraph"/>
        <w:tabs>
          <w:tab w:val="left" w:pos="834"/>
          <w:tab w:val="left" w:pos="836"/>
        </w:tabs>
        <w:spacing w:before="0"/>
        <w:ind w:left="284" w:hanging="284"/>
        <w:rPr>
          <w:noProof/>
          <w:sz w:val="24"/>
        </w:rPr>
      </w:pPr>
      <w:r>
        <w:rPr>
          <w:sz w:val="24"/>
        </w:rPr>
        <w:t xml:space="preserve">f) Šis kodekss ir izstrādāts tā, lai tas kļūtu par brīvprātīgu rīcības kodeksu saskaņā ar DPA 45. pantu. Šajā garā parakstītāji ir vienojušies par šo </w:t>
      </w:r>
      <w:r>
        <w:rPr>
          <w:b/>
          <w:bCs/>
          <w:sz w:val="24"/>
        </w:rPr>
        <w:t>Rīcības kodeksu+</w:t>
      </w:r>
      <w:r>
        <w:rPr>
          <w:sz w:val="24"/>
        </w:rPr>
        <w:t xml:space="preserve"> (turpmāk tekstā arī “Kodekss”), nosakot brīvprātīgas apņemšanās, kuru mērķis ir izveidot sistēmu, kas atvieglo DPA ievērošanu un efektīvu izpildi konkrētajā nelikumīga naida runas satura jomā, tostarp jaunus pasākumus, lai risinātu jaunākos izaicinājumus un draudus.</w:t>
      </w:r>
    </w:p>
    <w:p w14:paraId="0FEB8BAE" w14:textId="77777777" w:rsidR="003E6A75" w:rsidRPr="003E6A75" w:rsidRDefault="003E6A75" w:rsidP="003E6A75">
      <w:pPr>
        <w:pStyle w:val="ListParagraph"/>
        <w:tabs>
          <w:tab w:val="left" w:pos="834"/>
          <w:tab w:val="left" w:pos="836"/>
        </w:tabs>
        <w:spacing w:before="0"/>
        <w:ind w:left="284" w:hanging="284"/>
        <w:rPr>
          <w:noProof/>
          <w:sz w:val="24"/>
        </w:rPr>
      </w:pPr>
    </w:p>
    <w:p w14:paraId="39C1CAE3" w14:textId="672029C4" w:rsidR="00A574AC" w:rsidRPr="003E6A75" w:rsidRDefault="003E6A75" w:rsidP="003E6A75">
      <w:pPr>
        <w:pStyle w:val="ListParagraph"/>
        <w:tabs>
          <w:tab w:val="left" w:pos="426"/>
          <w:tab w:val="left" w:pos="1134"/>
        </w:tabs>
        <w:spacing w:before="0"/>
        <w:ind w:left="284" w:hanging="284"/>
        <w:rPr>
          <w:noProof/>
          <w:sz w:val="24"/>
        </w:rPr>
      </w:pPr>
      <w:r>
        <w:rPr>
          <w:sz w:val="24"/>
        </w:rPr>
        <w:t>g) Šis rīcības kodekss, ja atbilstīgi, neierobežo pienākumus, kas parakstītājiem ir saskaņā ar DPA. DPA vienmēr būs augstāks juridiskais spēks attiecībā uz tiem parakstītājiem, kas ietilpst tā piemērošanas jomā.</w:t>
      </w:r>
    </w:p>
    <w:p w14:paraId="0D126A25" w14:textId="77777777" w:rsidR="003E6A75" w:rsidRDefault="003E6A75" w:rsidP="003E6A75">
      <w:pPr>
        <w:pStyle w:val="ListParagraph"/>
        <w:tabs>
          <w:tab w:val="left" w:pos="426"/>
          <w:tab w:val="left" w:pos="1134"/>
        </w:tabs>
        <w:spacing w:before="0"/>
        <w:ind w:left="284" w:hanging="284"/>
        <w:rPr>
          <w:noProof/>
          <w:sz w:val="24"/>
        </w:rPr>
      </w:pPr>
    </w:p>
    <w:p w14:paraId="14597BDD" w14:textId="77777777" w:rsidR="00A6394A" w:rsidRDefault="003E6A75" w:rsidP="00681954">
      <w:pPr>
        <w:pStyle w:val="ListParagraph"/>
        <w:keepNext/>
        <w:keepLines/>
        <w:tabs>
          <w:tab w:val="left" w:pos="426"/>
          <w:tab w:val="left" w:pos="1134"/>
        </w:tabs>
        <w:spacing w:before="0"/>
        <w:ind w:left="284" w:hanging="284"/>
        <w:rPr>
          <w:noProof/>
          <w:sz w:val="24"/>
        </w:rPr>
      </w:pPr>
      <w:r>
        <w:rPr>
          <w:sz w:val="24"/>
        </w:rPr>
        <w:lastRenderedPageBreak/>
        <w:t>h) Ja apņemšanās pārklājas ar juridiskajiem pienākumiem, kas attiecas uz dažiem vai visiem parakstītājiem saskaņā ar DPA, šā kodeksa mērķis ir apkopot konkrētu un samērīgu informāciju par to, kā tiek īstenoti pienākumi saistībā ar nelikumīgu naida runu, jo īpaši izmantojot turpmāk 3. punktā ietvertos noteikumus par pārredzamību.</w:t>
      </w:r>
    </w:p>
    <w:p w14:paraId="0D7293E2" w14:textId="77777777" w:rsidR="00A6394A" w:rsidRDefault="00A6394A" w:rsidP="00A6394A">
      <w:pPr>
        <w:pStyle w:val="ListParagraph"/>
        <w:tabs>
          <w:tab w:val="left" w:pos="426"/>
          <w:tab w:val="left" w:pos="1134"/>
        </w:tabs>
        <w:spacing w:before="0"/>
        <w:ind w:left="284" w:hanging="284"/>
        <w:rPr>
          <w:noProof/>
          <w:sz w:val="24"/>
        </w:rPr>
      </w:pPr>
    </w:p>
    <w:p w14:paraId="315BE4A1" w14:textId="72DE6FB3" w:rsidR="00A574AC" w:rsidRPr="003E6A75" w:rsidRDefault="00981AC7" w:rsidP="00A6394A">
      <w:pPr>
        <w:pStyle w:val="ListParagraph"/>
        <w:tabs>
          <w:tab w:val="left" w:pos="426"/>
          <w:tab w:val="left" w:pos="1134"/>
        </w:tabs>
        <w:spacing w:before="0"/>
        <w:ind w:left="284" w:hanging="284"/>
        <w:rPr>
          <w:noProof/>
          <w:sz w:val="24"/>
        </w:rPr>
      </w:pPr>
      <w:r>
        <w:rPr>
          <w:sz w:val="24"/>
        </w:rPr>
        <w:t>i) Ļoti lielas tiešsaistes platformas vai ļoti lielas tiešsaistes meklētājprogrammas brīvprātīgo rīcības kodeksu ietvaros saskaņoto apņemšanos un pasākumu ievērošanu un izpildi pēc atbilstības var uzskatīt par atbilstošiem riska mazināšanas pasākumiem saskaņā ar DPA 35. panta 1. punkta h) apakšpunktu.</w:t>
      </w:r>
    </w:p>
    <w:p w14:paraId="1AD0BD61" w14:textId="77777777" w:rsidR="00A6394A" w:rsidRDefault="00A6394A" w:rsidP="00981AC7">
      <w:pPr>
        <w:pStyle w:val="ListParagraph"/>
        <w:tabs>
          <w:tab w:val="left" w:pos="359"/>
        </w:tabs>
        <w:spacing w:before="0"/>
        <w:ind w:left="284" w:hanging="284"/>
        <w:rPr>
          <w:noProof/>
          <w:sz w:val="24"/>
        </w:rPr>
      </w:pPr>
    </w:p>
    <w:p w14:paraId="2D5EAF89" w14:textId="0115AAC4" w:rsidR="00A574AC" w:rsidRPr="003E6A75" w:rsidRDefault="00981AC7" w:rsidP="00981AC7">
      <w:pPr>
        <w:pStyle w:val="ListParagraph"/>
        <w:tabs>
          <w:tab w:val="left" w:pos="359"/>
        </w:tabs>
        <w:spacing w:before="0"/>
        <w:ind w:left="284" w:hanging="284"/>
        <w:rPr>
          <w:noProof/>
          <w:sz w:val="24"/>
        </w:rPr>
      </w:pPr>
      <w:r>
        <w:rPr>
          <w:sz w:val="24"/>
        </w:rPr>
        <w:t>j) Lai veicinātu dalību Kodeksā, parakstītāji piekrīt īstenot attiecīgās apņemšanās, veicot pasākumus, kas ir pamatoti, samērīgi un efektīvi, ņemot vērā konstatētos riskus, savu abonēto pakalpojumu apmēru un veidu, nelikumīgas naida runas risku savās platformās, tiem pieejamos resursus un citus būtiskus faktorus.</w:t>
      </w:r>
    </w:p>
    <w:p w14:paraId="2E3F6E2D" w14:textId="77777777" w:rsidR="00A6394A" w:rsidRDefault="00A6394A" w:rsidP="00A6394A">
      <w:pPr>
        <w:pStyle w:val="ListParagraph"/>
        <w:tabs>
          <w:tab w:val="left" w:pos="359"/>
        </w:tabs>
        <w:spacing w:before="0"/>
        <w:ind w:left="0" w:firstLine="0"/>
        <w:rPr>
          <w:noProof/>
          <w:sz w:val="24"/>
        </w:rPr>
      </w:pPr>
    </w:p>
    <w:p w14:paraId="2480D358" w14:textId="0274CAD2" w:rsidR="00A574AC" w:rsidRDefault="00981AC7" w:rsidP="00981AC7">
      <w:pPr>
        <w:pStyle w:val="ListParagraph"/>
        <w:tabs>
          <w:tab w:val="left" w:pos="359"/>
        </w:tabs>
        <w:spacing w:before="0"/>
        <w:ind w:left="284" w:hanging="284"/>
        <w:rPr>
          <w:noProof/>
          <w:sz w:val="24"/>
        </w:rPr>
      </w:pPr>
      <w:r>
        <w:rPr>
          <w:sz w:val="24"/>
        </w:rPr>
        <w:t xml:space="preserve">k) Eiropas Komisija atzinīgi vērtē parakstītāju centienus un turpmākajos gados atbalstīs un uzraudzīs </w:t>
      </w:r>
      <w:r>
        <w:rPr>
          <w:b/>
          <w:bCs/>
          <w:sz w:val="24"/>
        </w:rPr>
        <w:t>Rīcības kodeksa+</w:t>
      </w:r>
      <w:r>
        <w:rPr>
          <w:sz w:val="24"/>
        </w:rPr>
        <w:t xml:space="preserve"> īstenošanu.</w:t>
      </w:r>
    </w:p>
    <w:p w14:paraId="38F4F1E0" w14:textId="77777777" w:rsidR="002D1E6B" w:rsidRDefault="002D1E6B" w:rsidP="00981AC7">
      <w:pPr>
        <w:pStyle w:val="ListParagraph"/>
        <w:tabs>
          <w:tab w:val="left" w:pos="359"/>
        </w:tabs>
        <w:spacing w:before="0"/>
        <w:ind w:left="284" w:hanging="284"/>
        <w:rPr>
          <w:noProof/>
          <w:sz w:val="24"/>
        </w:rPr>
      </w:pPr>
    </w:p>
    <w:p w14:paraId="3AEFD4B7" w14:textId="75071C54" w:rsidR="002D1E6B" w:rsidRPr="003E6A75" w:rsidRDefault="002D1E6B" w:rsidP="00981AC7">
      <w:pPr>
        <w:pStyle w:val="ListParagraph"/>
        <w:tabs>
          <w:tab w:val="left" w:pos="359"/>
        </w:tabs>
        <w:spacing w:before="0"/>
        <w:ind w:left="284" w:hanging="284"/>
        <w:rPr>
          <w:noProof/>
          <w:sz w:val="24"/>
        </w:rPr>
      </w:pPr>
      <w:r>
        <w:rPr>
          <w:sz w:val="24"/>
        </w:rPr>
        <w:t>***</w:t>
      </w:r>
    </w:p>
    <w:p w14:paraId="4557E5D5" w14:textId="465F2F0F" w:rsidR="002D1E6B" w:rsidRPr="003E6A75" w:rsidRDefault="008958F6" w:rsidP="003E6A75">
      <w:pPr>
        <w:jc w:val="both"/>
        <w:rPr>
          <w:noProof/>
          <w:sz w:val="24"/>
        </w:rPr>
      </w:pPr>
      <w:r>
        <w:rPr>
          <w:sz w:val="24"/>
        </w:rPr>
        <w:t xml:space="preserve"> </w:t>
      </w:r>
    </w:p>
    <w:p w14:paraId="7DF01FE6" w14:textId="44E9F267" w:rsidR="00A574AC" w:rsidRDefault="00A574AC" w:rsidP="003E6A75">
      <w:pPr>
        <w:pStyle w:val="BodyText"/>
        <w:jc w:val="left"/>
        <w:rPr>
          <w:noProof/>
          <w:sz w:val="24"/>
        </w:rPr>
      </w:pPr>
      <w:r>
        <w:rPr>
          <w:b/>
          <w:bCs/>
          <w:sz w:val="24"/>
        </w:rPr>
        <w:t>Rīcības kodeksa+</w:t>
      </w:r>
      <w:r w:rsidR="00605107">
        <w:rPr>
          <w:rStyle w:val="FootnoteReference"/>
          <w:b/>
          <w:noProof/>
          <w:sz w:val="24"/>
        </w:rPr>
        <w:footnoteReference w:id="3"/>
      </w:r>
      <w:r>
        <w:rPr>
          <w:sz w:val="24"/>
        </w:rPr>
        <w:t xml:space="preserve"> parakstītāji ir vienojušies par turpmāk izklāstīto publisko apņemšanos izpildi.</w:t>
      </w:r>
    </w:p>
    <w:p w14:paraId="51BBA7BB" w14:textId="77777777" w:rsidR="002D1E6B" w:rsidRPr="003E6A75" w:rsidRDefault="002D1E6B" w:rsidP="003E6A75">
      <w:pPr>
        <w:pStyle w:val="BodyText"/>
        <w:jc w:val="left"/>
        <w:rPr>
          <w:noProof/>
          <w:sz w:val="24"/>
        </w:rPr>
      </w:pPr>
    </w:p>
    <w:p w14:paraId="0004C8B3" w14:textId="180DC14E" w:rsidR="00A574AC" w:rsidRDefault="002D1E6B" w:rsidP="002D1E6B">
      <w:pPr>
        <w:pStyle w:val="Heading1"/>
        <w:tabs>
          <w:tab w:val="left" w:pos="475"/>
        </w:tabs>
        <w:spacing w:before="0"/>
        <w:ind w:left="0" w:firstLine="0"/>
        <w:jc w:val="both"/>
        <w:rPr>
          <w:noProof/>
          <w:sz w:val="24"/>
          <w:vertAlign w:val="superscript"/>
        </w:rPr>
      </w:pPr>
      <w:r>
        <w:rPr>
          <w:sz w:val="24"/>
        </w:rPr>
        <w:t>1. Nosacījumi un prasības nelikumīgas naida runas apkarošanai</w:t>
      </w:r>
      <w:r w:rsidR="00605107">
        <w:rPr>
          <w:rStyle w:val="FootnoteReference"/>
          <w:noProof/>
          <w:sz w:val="24"/>
        </w:rPr>
        <w:footnoteReference w:id="4"/>
      </w:r>
    </w:p>
    <w:p w14:paraId="4AABD0F4" w14:textId="77777777" w:rsidR="002D1E6B" w:rsidRPr="003E6A75" w:rsidRDefault="002D1E6B" w:rsidP="002D1E6B">
      <w:pPr>
        <w:pStyle w:val="Heading1"/>
        <w:tabs>
          <w:tab w:val="left" w:pos="475"/>
        </w:tabs>
        <w:spacing w:before="0"/>
        <w:ind w:left="0" w:firstLine="0"/>
        <w:jc w:val="both"/>
        <w:rPr>
          <w:noProof/>
          <w:sz w:val="24"/>
        </w:rPr>
      </w:pPr>
    </w:p>
    <w:p w14:paraId="52941E2B" w14:textId="4D23427A" w:rsidR="00A574AC" w:rsidRDefault="002D1E6B" w:rsidP="006B2FFE">
      <w:pPr>
        <w:pStyle w:val="ListParagraph"/>
        <w:tabs>
          <w:tab w:val="left" w:pos="476"/>
        </w:tabs>
        <w:spacing w:before="0"/>
        <w:ind w:left="426" w:hanging="426"/>
        <w:rPr>
          <w:noProof/>
          <w:sz w:val="24"/>
        </w:rPr>
      </w:pPr>
      <w:r>
        <w:rPr>
          <w:sz w:val="24"/>
        </w:rPr>
        <w:t>1.1. Parakstītājiem ir jāievieš nosacījumi un prasības, kas informē lietotājus par to, ka to pakalpojumos ir aizliegta nelikumīga naida runa. Parakstītājiem šajos nosacījumos un prasībās jāiekļauj skaidra informācija par politikas nostādnēm attiecībā uz nelikumīgu naida runu</w:t>
      </w:r>
      <w:r w:rsidR="00A0038E">
        <w:rPr>
          <w:rStyle w:val="FootnoteReference"/>
          <w:noProof/>
          <w:sz w:val="24"/>
        </w:rPr>
        <w:footnoteReference w:id="5"/>
      </w:r>
      <w:r>
        <w:rPr>
          <w:sz w:val="24"/>
        </w:rPr>
        <w:t xml:space="preserve"> savos pakalpojumos un pasākumiem, kas tiek veikti šo politikas nostādņu pārkāpumu gadījumos.</w:t>
      </w:r>
    </w:p>
    <w:p w14:paraId="07D09A0D" w14:textId="77777777" w:rsidR="002D1E6B" w:rsidRPr="003E6A75" w:rsidRDefault="002D1E6B" w:rsidP="006B2FFE">
      <w:pPr>
        <w:pStyle w:val="ListParagraph"/>
        <w:tabs>
          <w:tab w:val="left" w:pos="476"/>
        </w:tabs>
        <w:spacing w:before="0"/>
        <w:ind w:left="426" w:hanging="426"/>
        <w:rPr>
          <w:noProof/>
          <w:sz w:val="24"/>
        </w:rPr>
      </w:pPr>
    </w:p>
    <w:p w14:paraId="175638BB" w14:textId="5CBA10C5" w:rsidR="00A574AC" w:rsidRDefault="002D1E6B" w:rsidP="006B2FFE">
      <w:pPr>
        <w:pStyle w:val="ListParagraph"/>
        <w:tabs>
          <w:tab w:val="left" w:pos="476"/>
        </w:tabs>
        <w:spacing w:before="0"/>
        <w:ind w:left="426" w:hanging="426"/>
        <w:rPr>
          <w:noProof/>
          <w:sz w:val="24"/>
        </w:rPr>
      </w:pPr>
      <w:r>
        <w:rPr>
          <w:sz w:val="24"/>
        </w:rPr>
        <w:t>1.2. Parakstītāji informē savus lietotājus par būtiskām izmaiņām to nosacījumos un prasībās, kas attiecas uz to, kā tie cīnās pret nelikumīgu naida runu, saskaņā ar DPA 14. panta 2. punktu.</w:t>
      </w:r>
    </w:p>
    <w:p w14:paraId="24FEBFCA" w14:textId="77777777" w:rsidR="002D1E6B" w:rsidRPr="003E6A75" w:rsidRDefault="002D1E6B" w:rsidP="002D1E6B">
      <w:pPr>
        <w:pStyle w:val="ListParagraph"/>
        <w:tabs>
          <w:tab w:val="left" w:pos="476"/>
        </w:tabs>
        <w:spacing w:before="0"/>
        <w:ind w:left="0" w:firstLine="0"/>
        <w:rPr>
          <w:noProof/>
          <w:sz w:val="24"/>
        </w:rPr>
      </w:pPr>
    </w:p>
    <w:p w14:paraId="61CB2EDB" w14:textId="2B2A7A62" w:rsidR="00A574AC" w:rsidRDefault="002D1E6B" w:rsidP="002D1E6B">
      <w:pPr>
        <w:pStyle w:val="Heading1"/>
        <w:tabs>
          <w:tab w:val="left" w:pos="476"/>
        </w:tabs>
        <w:spacing w:before="0"/>
        <w:ind w:left="0" w:firstLine="0"/>
        <w:jc w:val="both"/>
        <w:rPr>
          <w:noProof/>
          <w:sz w:val="24"/>
        </w:rPr>
      </w:pPr>
      <w:r>
        <w:rPr>
          <w:sz w:val="24"/>
        </w:rPr>
        <w:t>2. Tāda satura pārskatīšana un iespējama izņemšana vai piekļuves atspējošana tam, kas ietver nelikumīgu naida runu</w:t>
      </w:r>
    </w:p>
    <w:p w14:paraId="7E107104" w14:textId="77777777" w:rsidR="002D1E6B" w:rsidRPr="003E6A75" w:rsidRDefault="002D1E6B" w:rsidP="002D1E6B">
      <w:pPr>
        <w:pStyle w:val="Heading1"/>
        <w:tabs>
          <w:tab w:val="left" w:pos="476"/>
        </w:tabs>
        <w:spacing w:before="0"/>
        <w:ind w:left="0" w:firstLine="0"/>
        <w:jc w:val="both"/>
        <w:rPr>
          <w:noProof/>
          <w:sz w:val="24"/>
        </w:rPr>
      </w:pPr>
    </w:p>
    <w:p w14:paraId="4AD167FE" w14:textId="69223639" w:rsidR="00A574AC" w:rsidRDefault="002D1E6B" w:rsidP="000448A9">
      <w:pPr>
        <w:pStyle w:val="ListParagraph"/>
        <w:widowControl/>
        <w:tabs>
          <w:tab w:val="left" w:pos="476"/>
        </w:tabs>
        <w:spacing w:before="0"/>
        <w:ind w:left="425" w:hanging="425"/>
        <w:rPr>
          <w:noProof/>
          <w:sz w:val="24"/>
        </w:rPr>
      </w:pPr>
      <w:r>
        <w:rPr>
          <w:sz w:val="24"/>
        </w:rPr>
        <w:t xml:space="preserve">2.1. Saskaņā ar DPA 16. pantu un 22. panta 1. punktu parakstītāji ir ieviesuši paziņošanas un rīcības mehānismus, lai jebkurš lietotājs ES, tostarp uzticami signalizētāji, varētu tiem </w:t>
      </w:r>
      <w:r>
        <w:rPr>
          <w:sz w:val="24"/>
        </w:rPr>
        <w:lastRenderedPageBreak/>
        <w:t>paziņot par tāda konkrēta satura klātbūtni to pakalpojumā, kuru lietotājs uzskata par nelikumīgu naida runu.</w:t>
      </w:r>
    </w:p>
    <w:p w14:paraId="61CEC504" w14:textId="77777777" w:rsidR="002D1E6B" w:rsidRPr="003E6A75" w:rsidRDefault="002D1E6B" w:rsidP="002D1E6B">
      <w:pPr>
        <w:pStyle w:val="ListParagraph"/>
        <w:tabs>
          <w:tab w:val="left" w:pos="476"/>
        </w:tabs>
        <w:spacing w:before="0"/>
        <w:ind w:left="284" w:hanging="284"/>
        <w:rPr>
          <w:noProof/>
          <w:sz w:val="24"/>
        </w:rPr>
      </w:pPr>
    </w:p>
    <w:p w14:paraId="5E8F4C58" w14:textId="60870EAF" w:rsidR="00A574AC" w:rsidRDefault="002D1E6B" w:rsidP="006B2FFE">
      <w:pPr>
        <w:pStyle w:val="ListParagraph"/>
        <w:tabs>
          <w:tab w:val="left" w:pos="476"/>
        </w:tabs>
        <w:spacing w:before="0"/>
        <w:ind w:left="426" w:hanging="426"/>
        <w:rPr>
          <w:noProof/>
          <w:sz w:val="24"/>
        </w:rPr>
      </w:pPr>
      <w:r>
        <w:rPr>
          <w:sz w:val="24"/>
        </w:rPr>
        <w:t>2.2. Pēc derīga paziņojuma saņemšanas parakstītāji to pārskata savlaicīgi, rūpīgi, nepatvaļīgi un objektīvi un nekavējoties rīkojas, lai izņemtu saturu, par kuru saņemts paziņojums, vai lai atspējotu piekļuvi tam, ja tas ir pretrunā parakstītāju politikas nostādnēm un/vai pamatojoties uz piemērojamajiem tiesību aktiem saskaņā ar attiecīgo jurisdikciju un saskaņā ar DPA 16. pantu.</w:t>
      </w:r>
    </w:p>
    <w:p w14:paraId="6000F2F0" w14:textId="77777777" w:rsidR="002D1E6B" w:rsidRPr="003E6A75" w:rsidRDefault="002D1E6B" w:rsidP="006B2FFE">
      <w:pPr>
        <w:pStyle w:val="ListParagraph"/>
        <w:tabs>
          <w:tab w:val="left" w:pos="476"/>
        </w:tabs>
        <w:spacing w:before="0"/>
        <w:ind w:left="426" w:hanging="426"/>
        <w:rPr>
          <w:noProof/>
          <w:sz w:val="24"/>
        </w:rPr>
      </w:pPr>
    </w:p>
    <w:p w14:paraId="11A96470" w14:textId="384B3195" w:rsidR="00A574AC" w:rsidRDefault="002D1E6B" w:rsidP="006B2FFE">
      <w:pPr>
        <w:pStyle w:val="ListParagraph"/>
        <w:tabs>
          <w:tab w:val="left" w:pos="476"/>
        </w:tabs>
        <w:spacing w:before="0"/>
        <w:ind w:left="426" w:hanging="426"/>
        <w:rPr>
          <w:noProof/>
          <w:sz w:val="24"/>
        </w:rPr>
      </w:pPr>
      <w:r>
        <w:rPr>
          <w:sz w:val="24"/>
        </w:rPr>
        <w:t>2.3. Parakstītāji apņemas 24 stundu laikā pārskatīt lielāko daļu (vismaz 50 %) paziņojumu, kas saņemti no uzraudzības ziņotājiem saskaņā ar DPA 16. un 22. pantu. Parakstītāji dara visu iespējamo, lai pārsniegtu šo mērķi, un cenšas pārskatīt divas trešdaļas (vismaz 67 %) no tiem paziņojumiem, kas atbilst 1. pielikumam. Parakstītāji var brīvi izveidot procesus, kurus tie uzskata par piemērotiem šā mērķa sasniegšanai, piemēram, noteiktus paziņošanas procesus. Tādējādi tiek atzīts, ka laiks, kas nepieciešams reaģēšanai uz paziņojumu, var būt atkarīgs no konkrētajiem apstākļiem, piemēram, atzīmētā satura apjoma, nopietnības pakāpes, vīrusveidīguma un sarežģītības.</w:t>
      </w:r>
    </w:p>
    <w:p w14:paraId="5CFE244A" w14:textId="77777777" w:rsidR="002D1E6B" w:rsidRPr="003E6A75" w:rsidRDefault="002D1E6B" w:rsidP="002D1E6B">
      <w:pPr>
        <w:pStyle w:val="ListParagraph"/>
        <w:tabs>
          <w:tab w:val="left" w:pos="476"/>
        </w:tabs>
        <w:spacing w:before="0"/>
        <w:ind w:left="0" w:firstLine="0"/>
        <w:rPr>
          <w:noProof/>
          <w:sz w:val="24"/>
        </w:rPr>
      </w:pPr>
    </w:p>
    <w:p w14:paraId="73689791" w14:textId="206FD36D" w:rsidR="00A574AC" w:rsidRPr="00A0038E" w:rsidRDefault="002D1E6B" w:rsidP="00A0038E">
      <w:pPr>
        <w:pStyle w:val="Heading1"/>
        <w:tabs>
          <w:tab w:val="left" w:pos="476"/>
        </w:tabs>
        <w:spacing w:before="0"/>
        <w:ind w:left="0" w:firstLine="0"/>
        <w:jc w:val="both"/>
        <w:rPr>
          <w:b w:val="0"/>
          <w:noProof/>
          <w:sz w:val="24"/>
        </w:rPr>
      </w:pPr>
      <w:r>
        <w:rPr>
          <w:sz w:val="24"/>
        </w:rPr>
        <w:t>3. Pārredzamība, pārskatatbildība un uzraudzība</w:t>
      </w:r>
    </w:p>
    <w:p w14:paraId="212343BA" w14:textId="77777777" w:rsidR="00F40A2A" w:rsidRPr="003E6A75" w:rsidRDefault="00F40A2A" w:rsidP="003E6A75">
      <w:pPr>
        <w:jc w:val="both"/>
        <w:rPr>
          <w:noProof/>
          <w:sz w:val="24"/>
        </w:rPr>
      </w:pPr>
    </w:p>
    <w:p w14:paraId="1A555DD5" w14:textId="37B9EB15" w:rsidR="00A574AC" w:rsidRPr="003E6A75" w:rsidRDefault="00A0038E" w:rsidP="008958F6">
      <w:pPr>
        <w:pStyle w:val="ListParagraph"/>
        <w:tabs>
          <w:tab w:val="left" w:pos="476"/>
        </w:tabs>
        <w:spacing w:before="0"/>
        <w:ind w:left="426" w:hanging="426"/>
        <w:rPr>
          <w:noProof/>
          <w:sz w:val="24"/>
        </w:rPr>
      </w:pPr>
      <w:r>
        <w:rPr>
          <w:sz w:val="24"/>
        </w:rPr>
        <w:t>3.1. Parakstītāji vienojas novērtēt konkrēto apņemšanos izpildi attiecībā uz paziņojumu pārskatīšanu saskaņā ar 2.3. punktu un laika gaitā uzraudzīt tendences, izmantojot metodoloģiju, par kuru ir vienojušies parakstītāji un Eiropas Komisija (skat. 1. pielikumu).</w:t>
      </w:r>
    </w:p>
    <w:p w14:paraId="2505AE5B" w14:textId="77777777" w:rsidR="00A0038E" w:rsidRDefault="00A0038E" w:rsidP="008958F6">
      <w:pPr>
        <w:pStyle w:val="ListParagraph"/>
        <w:tabs>
          <w:tab w:val="left" w:pos="476"/>
        </w:tabs>
        <w:spacing w:before="0"/>
        <w:ind w:left="426" w:hanging="426"/>
        <w:rPr>
          <w:noProof/>
          <w:sz w:val="24"/>
        </w:rPr>
      </w:pPr>
    </w:p>
    <w:p w14:paraId="57FD7591" w14:textId="727C692E" w:rsidR="00A574AC" w:rsidRPr="003E6A75" w:rsidRDefault="00A0038E" w:rsidP="008958F6">
      <w:pPr>
        <w:pStyle w:val="ListParagraph"/>
        <w:tabs>
          <w:tab w:val="left" w:pos="476"/>
        </w:tabs>
        <w:spacing w:before="0"/>
        <w:ind w:left="426" w:hanging="426"/>
        <w:rPr>
          <w:noProof/>
          <w:sz w:val="24"/>
        </w:rPr>
      </w:pPr>
      <w:r>
        <w:rPr>
          <w:sz w:val="24"/>
        </w:rPr>
        <w:t>3.2. Papildus 2.3. punktā minētās paziņojumu pārskatīšanas uzraudzībai parakstītāji apņemas sniegt papildu informāciju kopā ar katra uzraudzības pasākuma rezultātiem, kā minēts 2. pielikumā.</w:t>
      </w:r>
    </w:p>
    <w:p w14:paraId="3642C958" w14:textId="77777777" w:rsidR="00A0038E" w:rsidRDefault="00A0038E" w:rsidP="00A0038E">
      <w:pPr>
        <w:pStyle w:val="Heading1"/>
        <w:tabs>
          <w:tab w:val="left" w:pos="476"/>
        </w:tabs>
        <w:spacing w:before="0"/>
        <w:ind w:left="0" w:firstLine="0"/>
        <w:rPr>
          <w:noProof/>
          <w:sz w:val="24"/>
        </w:rPr>
      </w:pPr>
    </w:p>
    <w:p w14:paraId="31941691" w14:textId="29DC00C6" w:rsidR="00A574AC" w:rsidRPr="003E6A75" w:rsidRDefault="00A0038E" w:rsidP="00A0038E">
      <w:pPr>
        <w:pStyle w:val="Heading1"/>
        <w:tabs>
          <w:tab w:val="left" w:pos="476"/>
        </w:tabs>
        <w:spacing w:before="0"/>
        <w:ind w:left="0" w:firstLine="0"/>
        <w:rPr>
          <w:noProof/>
          <w:sz w:val="24"/>
        </w:rPr>
      </w:pPr>
      <w:r>
        <w:rPr>
          <w:sz w:val="24"/>
        </w:rPr>
        <w:t>4. Nozares iekšējā un daudzu ieinteresēto pušu sadarbība, lai novērstu un nepieļautu nelikumīgas naida runas izplatīšanas riskus</w:t>
      </w:r>
    </w:p>
    <w:p w14:paraId="7654C00C" w14:textId="77777777" w:rsidR="00A0038E" w:rsidRDefault="00A0038E" w:rsidP="00A0038E">
      <w:pPr>
        <w:pStyle w:val="ListParagraph"/>
        <w:tabs>
          <w:tab w:val="left" w:pos="476"/>
        </w:tabs>
        <w:spacing w:before="0"/>
        <w:ind w:left="0" w:firstLine="0"/>
        <w:jc w:val="left"/>
        <w:rPr>
          <w:noProof/>
          <w:sz w:val="24"/>
        </w:rPr>
      </w:pPr>
    </w:p>
    <w:p w14:paraId="193278D1" w14:textId="78167787" w:rsidR="00A574AC" w:rsidRPr="003E6A75" w:rsidRDefault="00A0038E" w:rsidP="008958F6">
      <w:pPr>
        <w:pStyle w:val="ListParagraph"/>
        <w:tabs>
          <w:tab w:val="left" w:pos="476"/>
        </w:tabs>
        <w:spacing w:before="0"/>
        <w:ind w:left="426" w:hanging="426"/>
        <w:rPr>
          <w:noProof/>
          <w:sz w:val="24"/>
        </w:rPr>
      </w:pPr>
      <w:r>
        <w:rPr>
          <w:sz w:val="24"/>
        </w:rPr>
        <w:t>4.1. Parakstītāji turpina īstenot un, ja atbilstīgi, stiprināt savas partnerības ar uzraudzības ziņotājiem, kā noteikts 1. pielikumā.</w:t>
      </w:r>
    </w:p>
    <w:p w14:paraId="1F2007FB" w14:textId="77777777" w:rsidR="00A0038E" w:rsidRDefault="00A0038E" w:rsidP="006B2FFE">
      <w:pPr>
        <w:pStyle w:val="ListParagraph"/>
        <w:tabs>
          <w:tab w:val="left" w:pos="476"/>
        </w:tabs>
        <w:spacing w:before="0"/>
        <w:ind w:left="426" w:hanging="426"/>
        <w:rPr>
          <w:noProof/>
          <w:sz w:val="24"/>
        </w:rPr>
      </w:pPr>
    </w:p>
    <w:p w14:paraId="4051AFFC" w14:textId="10F480D0" w:rsidR="00A574AC" w:rsidRPr="003E6A75" w:rsidRDefault="00A0038E" w:rsidP="006B2FFE">
      <w:pPr>
        <w:pStyle w:val="ListParagraph"/>
        <w:tabs>
          <w:tab w:val="left" w:pos="476"/>
        </w:tabs>
        <w:spacing w:before="0"/>
        <w:ind w:left="426" w:hanging="426"/>
        <w:rPr>
          <w:noProof/>
          <w:sz w:val="24"/>
        </w:rPr>
      </w:pPr>
      <w:r>
        <w:rPr>
          <w:sz w:val="24"/>
        </w:rPr>
        <w:t>4.2. Parakstītāji piedalās regulāros apmaiņas forumos, kuru mērķis ir veicināt tādas labākās prakses, zināšanu un rīku efektīvu plūsmu, kas attiecas uz pasākumiem, kuru nolūks ir cīņa pret tāda satura izplatīšanu, izmantojot parakstītāju pakalpojumus, kas satur nelikumīgu naida runu. Šie forumi ietver:</w:t>
      </w:r>
    </w:p>
    <w:p w14:paraId="6B374959" w14:textId="77777777" w:rsidR="00A0038E" w:rsidRDefault="00A0038E" w:rsidP="00A0038E">
      <w:pPr>
        <w:pStyle w:val="ListParagraph"/>
        <w:tabs>
          <w:tab w:val="left" w:pos="836"/>
        </w:tabs>
        <w:spacing w:before="0"/>
        <w:ind w:left="0" w:firstLine="0"/>
        <w:rPr>
          <w:noProof/>
          <w:sz w:val="24"/>
        </w:rPr>
      </w:pPr>
    </w:p>
    <w:p w14:paraId="18D92A05" w14:textId="0EFE6E54" w:rsidR="00A574AC" w:rsidRPr="003E6A75" w:rsidRDefault="00A0038E" w:rsidP="008958F6">
      <w:pPr>
        <w:pStyle w:val="ListParagraph"/>
        <w:tabs>
          <w:tab w:val="left" w:pos="284"/>
        </w:tabs>
        <w:spacing w:before="0"/>
        <w:ind w:left="993" w:hanging="567"/>
        <w:rPr>
          <w:noProof/>
          <w:sz w:val="24"/>
        </w:rPr>
      </w:pPr>
      <w:r>
        <w:rPr>
          <w:sz w:val="24"/>
        </w:rPr>
        <w:t>4.2.1. Eiropas Komisijas organizētu ikgadējo parakstītāju un uzraudzības ziņotāju sanāksmi, kurā piedalās arī parakstītāji;</w:t>
      </w:r>
    </w:p>
    <w:p w14:paraId="78306920" w14:textId="77777777" w:rsidR="00A0038E" w:rsidRDefault="00A0038E" w:rsidP="008958F6">
      <w:pPr>
        <w:pStyle w:val="ListParagraph"/>
        <w:tabs>
          <w:tab w:val="left" w:pos="284"/>
        </w:tabs>
        <w:spacing w:before="0"/>
        <w:ind w:left="993" w:hanging="567"/>
        <w:rPr>
          <w:noProof/>
          <w:sz w:val="24"/>
        </w:rPr>
      </w:pPr>
    </w:p>
    <w:p w14:paraId="5E2DC2A1" w14:textId="51DB39EC" w:rsidR="00A574AC" w:rsidRPr="003E6A75" w:rsidRDefault="00A0038E" w:rsidP="008958F6">
      <w:pPr>
        <w:pStyle w:val="ListParagraph"/>
        <w:tabs>
          <w:tab w:val="left" w:pos="284"/>
        </w:tabs>
        <w:spacing w:before="0"/>
        <w:ind w:left="993" w:hanging="567"/>
        <w:rPr>
          <w:noProof/>
          <w:sz w:val="24"/>
        </w:rPr>
      </w:pPr>
      <w:r>
        <w:rPr>
          <w:sz w:val="24"/>
        </w:rPr>
        <w:t>4.2.2. parakstītāju labākās prakses apmaiņu, kas tiek īstenota atsevišķā sesijā 4.2.1. punktā minētās ikgadējās sanāksmes laikā;</w:t>
      </w:r>
    </w:p>
    <w:p w14:paraId="619BAF85" w14:textId="77777777" w:rsidR="00A0038E" w:rsidRDefault="00A0038E" w:rsidP="008958F6">
      <w:pPr>
        <w:pStyle w:val="ListParagraph"/>
        <w:tabs>
          <w:tab w:val="left" w:pos="284"/>
        </w:tabs>
        <w:spacing w:before="0"/>
        <w:ind w:left="993" w:hanging="567"/>
        <w:rPr>
          <w:noProof/>
          <w:sz w:val="24"/>
        </w:rPr>
      </w:pPr>
    </w:p>
    <w:p w14:paraId="1C9078E7" w14:textId="6249EF6B" w:rsidR="00A574AC" w:rsidRPr="003E6A75" w:rsidRDefault="00A0038E" w:rsidP="008958F6">
      <w:pPr>
        <w:pStyle w:val="ListParagraph"/>
        <w:tabs>
          <w:tab w:val="left" w:pos="284"/>
        </w:tabs>
        <w:spacing w:before="0"/>
        <w:ind w:left="993" w:hanging="567"/>
        <w:rPr>
          <w:noProof/>
          <w:sz w:val="24"/>
        </w:rPr>
      </w:pPr>
      <w:r>
        <w:rPr>
          <w:sz w:val="24"/>
        </w:rPr>
        <w:t>4.2.3. strukturētu dialogu starp parakstītājiem un uzraudzības ziņotājiem, lai apmainītos ar informāciju par tendencēm un norisēm saistībā ar nelikumīgu naida runu tiešsaistē. Tajā var noderēt standarta jautājumu kopums, uz kuriem jāatbild, informējot parakstītājus par kādu tendenci;</w:t>
      </w:r>
    </w:p>
    <w:p w14:paraId="1884D151" w14:textId="77777777" w:rsidR="00A0038E" w:rsidRDefault="00A0038E" w:rsidP="006B2FFE">
      <w:pPr>
        <w:pStyle w:val="ListParagraph"/>
        <w:tabs>
          <w:tab w:val="left" w:pos="284"/>
        </w:tabs>
        <w:spacing w:before="0"/>
        <w:ind w:left="567" w:hanging="567"/>
        <w:rPr>
          <w:noProof/>
          <w:sz w:val="24"/>
        </w:rPr>
      </w:pPr>
    </w:p>
    <w:p w14:paraId="6D7AE44C" w14:textId="4972D029" w:rsidR="00A574AC" w:rsidRPr="003E6A75" w:rsidRDefault="00A0038E" w:rsidP="000448A9">
      <w:pPr>
        <w:pStyle w:val="ListParagraph"/>
        <w:keepNext/>
        <w:keepLines/>
        <w:tabs>
          <w:tab w:val="left" w:pos="284"/>
        </w:tabs>
        <w:spacing w:before="0"/>
        <w:ind w:left="992" w:hanging="567"/>
        <w:rPr>
          <w:noProof/>
          <w:sz w:val="24"/>
        </w:rPr>
      </w:pPr>
      <w:r>
        <w:rPr>
          <w:sz w:val="24"/>
        </w:rPr>
        <w:lastRenderedPageBreak/>
        <w:t>4.2.4. kopīgu Eiropas Komisijas atbalstītu tiešsaistes zināšanu centru, kurā ir nodrošināti atbilstoši informācijas aizsardzības pasākumi, apkopojot jurisprudenci un juridiskos resursus, kas noder, lai novērtētu iespējamas nelikumīgas naida runas likumību un/vai iepriekšējos paziņojumus saskaņā ar Kodeksu. Parakstītāji vai uzraudzības ziņotāji var sniegt savu ieguldījumu, izmantojot labākās prakses resursus, tostarp attiecīgu informāciju par izaicinājumiem un iespējām, ko rada jaunās tehnoloģijas gan nelikumīgas naida runas radīšanā, gan atklāšanā.</w:t>
      </w:r>
    </w:p>
    <w:p w14:paraId="593B9814" w14:textId="77777777" w:rsidR="00A0038E" w:rsidRDefault="00A0038E" w:rsidP="00A0038E">
      <w:pPr>
        <w:pStyle w:val="ListParagraph"/>
        <w:tabs>
          <w:tab w:val="left" w:pos="476"/>
        </w:tabs>
        <w:spacing w:before="0"/>
        <w:ind w:left="0" w:firstLine="0"/>
        <w:jc w:val="left"/>
        <w:rPr>
          <w:noProof/>
          <w:sz w:val="24"/>
        </w:rPr>
      </w:pPr>
    </w:p>
    <w:p w14:paraId="5A4C3DC2" w14:textId="05C51B5A" w:rsidR="00A574AC" w:rsidRDefault="00A0038E" w:rsidP="006B2FFE">
      <w:pPr>
        <w:pStyle w:val="ListParagraph"/>
        <w:tabs>
          <w:tab w:val="left" w:pos="476"/>
        </w:tabs>
        <w:spacing w:before="0"/>
        <w:ind w:left="426" w:hanging="426"/>
        <w:rPr>
          <w:noProof/>
          <w:sz w:val="24"/>
        </w:rPr>
      </w:pPr>
      <w:r>
        <w:rPr>
          <w:sz w:val="24"/>
        </w:rPr>
        <w:t>4.3. Izņēmuma gadījumā, ja pastāv būtisks risks, ka parakstītāju platformās Savienībā ievērojami palielināsies nelikumīgas naida runas izplatīšana, parakstītāji un Eiropas Komisija varētu vienoties par sanāksmes (vai vairāku, ja tas ir nepieciešams un ir samērīgi) rīkošanu apmaiņas forumu ietvaros, lai apspriestu tendences, apmainītos ar informāciju un izpētītu sadarbības iespējas. Šādu sanāksmi Komisija un attiecīgie parakstītāji var ierosināt tikai kopīgi.</w:t>
      </w:r>
    </w:p>
    <w:p w14:paraId="655903FC" w14:textId="77777777" w:rsidR="00544F1A" w:rsidRPr="003E6A75" w:rsidRDefault="00544F1A" w:rsidP="003E6A75">
      <w:pPr>
        <w:pStyle w:val="BodyText"/>
        <w:rPr>
          <w:noProof/>
          <w:sz w:val="24"/>
        </w:rPr>
      </w:pPr>
    </w:p>
    <w:p w14:paraId="39EA2487" w14:textId="60EE9A2D" w:rsidR="00A574AC" w:rsidRPr="003E6A75" w:rsidRDefault="00544F1A" w:rsidP="008958F6">
      <w:pPr>
        <w:pStyle w:val="ListParagraph"/>
        <w:tabs>
          <w:tab w:val="left" w:pos="284"/>
        </w:tabs>
        <w:spacing w:before="0"/>
        <w:ind w:left="993" w:hanging="567"/>
        <w:rPr>
          <w:noProof/>
          <w:sz w:val="24"/>
        </w:rPr>
      </w:pPr>
      <w:r>
        <w:rPr>
          <w:sz w:val="24"/>
        </w:rPr>
        <w:t>4.3.1. Parakstītāju apņemšanās piedalīties ir atkarīga no tā, cik ļoti tie ir pakļauti nenovēršamam un būtiskam riskam, ka to platformā ievērojami palielināsies nelikumīgas naida runas izplatīšana. Parakstītāji un Eiropas Komisija var kopīgi izlemt, vai šajās diskusijās jāiesaista uzraudzības ziņotāji.</w:t>
      </w:r>
    </w:p>
    <w:p w14:paraId="28B2820E" w14:textId="77777777" w:rsidR="00544F1A" w:rsidRDefault="00544F1A" w:rsidP="008958F6">
      <w:pPr>
        <w:pStyle w:val="ListParagraph"/>
        <w:tabs>
          <w:tab w:val="left" w:pos="284"/>
        </w:tabs>
        <w:spacing w:before="0"/>
        <w:ind w:left="993" w:hanging="567"/>
        <w:rPr>
          <w:noProof/>
          <w:sz w:val="24"/>
        </w:rPr>
      </w:pPr>
    </w:p>
    <w:p w14:paraId="66881BD8" w14:textId="3C9D8FBB" w:rsidR="00A574AC" w:rsidRPr="003E6A75" w:rsidRDefault="00544F1A" w:rsidP="008958F6">
      <w:pPr>
        <w:pStyle w:val="ListParagraph"/>
        <w:tabs>
          <w:tab w:val="left" w:pos="284"/>
        </w:tabs>
        <w:spacing w:before="0"/>
        <w:ind w:left="993" w:hanging="567"/>
        <w:rPr>
          <w:noProof/>
          <w:sz w:val="24"/>
        </w:rPr>
      </w:pPr>
      <w:r>
        <w:rPr>
          <w:sz w:val="24"/>
        </w:rPr>
        <w:t>4.3.2. 4.3. punktā aprakstītās sanāksmes neuzsāk, ja parakstītāji jau piedalās sanāksmēs ar Komisiju par to pašu jautājumu saskaņā ar DPA 36. pantu.</w:t>
      </w:r>
    </w:p>
    <w:p w14:paraId="43CE296E" w14:textId="77777777" w:rsidR="00544F1A" w:rsidRDefault="00544F1A" w:rsidP="00ED29C1">
      <w:pPr>
        <w:pStyle w:val="ListParagraph"/>
        <w:tabs>
          <w:tab w:val="left" w:pos="476"/>
        </w:tabs>
        <w:spacing w:before="0"/>
        <w:ind w:left="0" w:firstLine="0"/>
        <w:rPr>
          <w:noProof/>
          <w:sz w:val="24"/>
        </w:rPr>
      </w:pPr>
    </w:p>
    <w:p w14:paraId="0EA10E48" w14:textId="039FDB8B" w:rsidR="00A574AC" w:rsidRPr="003E6A75" w:rsidRDefault="00544F1A" w:rsidP="006B2FFE">
      <w:pPr>
        <w:pStyle w:val="ListParagraph"/>
        <w:tabs>
          <w:tab w:val="left" w:pos="476"/>
        </w:tabs>
        <w:spacing w:before="0"/>
        <w:ind w:left="426" w:hanging="426"/>
        <w:rPr>
          <w:noProof/>
          <w:sz w:val="24"/>
        </w:rPr>
      </w:pPr>
      <w:r>
        <w:rPr>
          <w:sz w:val="24"/>
        </w:rPr>
        <w:t>4.4. Parakstītāji apņemas, tostarp izmantojot esošās iniciatīvas, nodrošināt, lai to attiecīgās darba grupas, ja atbilstīgi, apmainītos ar informāciju par starpplatformu darbībām un būtiskām tendencēm, kas rodas to attiecīgajos pakalpojumos, ar mērķi novērst nelikumīgas naida runas izplatīšanu citos pakalpojumos, pilnībā ievērojot privātuma aizsardzības tiesību aktus un pienācīgi ņemot vērā drošības un pamattiesību apdraudējumus.</w:t>
      </w:r>
    </w:p>
    <w:p w14:paraId="5231EAE3" w14:textId="77777777" w:rsidR="00544F1A" w:rsidRDefault="00544F1A" w:rsidP="00544F1A">
      <w:pPr>
        <w:pStyle w:val="Heading1"/>
        <w:tabs>
          <w:tab w:val="left" w:pos="476"/>
        </w:tabs>
        <w:spacing w:before="0"/>
        <w:ind w:left="0" w:firstLine="0"/>
        <w:rPr>
          <w:noProof/>
          <w:sz w:val="24"/>
        </w:rPr>
      </w:pPr>
    </w:p>
    <w:p w14:paraId="53AD8758" w14:textId="26B61879" w:rsidR="00A574AC" w:rsidRPr="003E6A75" w:rsidRDefault="00544F1A" w:rsidP="00544F1A">
      <w:pPr>
        <w:pStyle w:val="Heading1"/>
        <w:tabs>
          <w:tab w:val="left" w:pos="476"/>
        </w:tabs>
        <w:spacing w:before="0"/>
        <w:ind w:left="0" w:firstLine="0"/>
        <w:rPr>
          <w:noProof/>
          <w:sz w:val="24"/>
        </w:rPr>
      </w:pPr>
      <w:r>
        <w:rPr>
          <w:sz w:val="24"/>
        </w:rPr>
        <w:t>5. Izpratnes veicināšana, pieklājība tiešsaistē un pretēja naratīva iniciatīvas</w:t>
      </w:r>
    </w:p>
    <w:p w14:paraId="2770070D" w14:textId="77777777" w:rsidR="00F40A2A" w:rsidRPr="003E6A75" w:rsidRDefault="00F40A2A" w:rsidP="003E6A75">
      <w:pPr>
        <w:rPr>
          <w:noProof/>
          <w:sz w:val="24"/>
        </w:rPr>
      </w:pPr>
    </w:p>
    <w:p w14:paraId="59DE3B00" w14:textId="32D59D8B" w:rsidR="00A574AC" w:rsidRPr="003E6A75" w:rsidRDefault="00ED29C1" w:rsidP="006B2FFE">
      <w:pPr>
        <w:pStyle w:val="ListParagraph"/>
        <w:tabs>
          <w:tab w:val="left" w:pos="476"/>
        </w:tabs>
        <w:spacing w:before="0"/>
        <w:ind w:left="426" w:hanging="426"/>
        <w:rPr>
          <w:noProof/>
          <w:sz w:val="24"/>
        </w:rPr>
      </w:pPr>
      <w:r>
        <w:rPr>
          <w:sz w:val="24"/>
        </w:rPr>
        <w:t>5.1. Atzīstot izpratnes veicināšanas vērtību cīņā pret naidīgu retoriku un aizspriedumiem, kā arī nolūkā veicināt drošību un pieklājību tiešsaistē, parakstītāji turpina atbalstīt rīkus un pieejas pretēju un alternatīvu naratīvu jomā, jaunas idejas un iniciatīvas, kā arī izglītības programmas, kas veicina pieklājību tiešsaistē un kritisko domāšanu. Tas viss papildina Eiropas Komisijas finansētās un veicinātās iniciatīvas, piemēram, saistībā ar pašreizējo programmu “Pilsoņi, vienlīdzība, tiesības un vērtības”</w:t>
      </w:r>
      <w:r w:rsidR="001728BC">
        <w:rPr>
          <w:rStyle w:val="FootnoteReference"/>
          <w:noProof/>
          <w:sz w:val="24"/>
        </w:rPr>
        <w:footnoteReference w:id="6"/>
      </w:r>
      <w:r>
        <w:rPr>
          <w:sz w:val="24"/>
        </w:rPr>
        <w:t xml:space="preserve"> un Augsta līmeņa grupu naida runas un naida noziegumu apkarošanas jautājumos.</w:t>
      </w:r>
    </w:p>
    <w:p w14:paraId="41070892" w14:textId="77777777" w:rsidR="00ED29C1" w:rsidRDefault="00ED29C1" w:rsidP="006B2FFE">
      <w:pPr>
        <w:pStyle w:val="ListParagraph"/>
        <w:tabs>
          <w:tab w:val="left" w:pos="476"/>
        </w:tabs>
        <w:spacing w:before="0"/>
        <w:ind w:left="426" w:hanging="426"/>
        <w:rPr>
          <w:noProof/>
          <w:sz w:val="24"/>
        </w:rPr>
      </w:pPr>
    </w:p>
    <w:p w14:paraId="3D8A4C83" w14:textId="4809B131" w:rsidR="00A574AC" w:rsidRPr="003E6A75" w:rsidRDefault="00ED29C1" w:rsidP="006B2FFE">
      <w:pPr>
        <w:pStyle w:val="ListParagraph"/>
        <w:tabs>
          <w:tab w:val="left" w:pos="476"/>
        </w:tabs>
        <w:spacing w:before="0"/>
        <w:ind w:left="426" w:hanging="426"/>
        <w:rPr>
          <w:noProof/>
          <w:sz w:val="24"/>
        </w:rPr>
      </w:pPr>
      <w:r>
        <w:rPr>
          <w:sz w:val="24"/>
        </w:rPr>
        <w:t>5.2. Parakstītāji dara visu iespējamo, lai sniegtu informāciju par mācībām, resursiem un atbalstu, kas pieejams uzraudzības ziņotājiem un visām attiecīgajām pilsoniskās sabiedrības organizācijām attiecībā uz labāko praksi un to, kā izmantot tiešsaistes platformas izglītojošu un izpratnes veicināšanas kampaņu īstenošanai.</w:t>
      </w:r>
    </w:p>
    <w:p w14:paraId="7AD3A144" w14:textId="68761B46" w:rsidR="006B2FFE" w:rsidRDefault="006B2FFE">
      <w:pPr>
        <w:rPr>
          <w:b/>
          <w:noProof/>
          <w:sz w:val="24"/>
        </w:rPr>
      </w:pPr>
      <w:r>
        <w:br w:type="page"/>
      </w:r>
    </w:p>
    <w:p w14:paraId="65FAAAAE" w14:textId="138D2E06" w:rsidR="00A574AC" w:rsidRDefault="00A574AC" w:rsidP="001728BC">
      <w:pPr>
        <w:tabs>
          <w:tab w:val="left" w:pos="5848"/>
        </w:tabs>
        <w:rPr>
          <w:b/>
          <w:noProof/>
          <w:sz w:val="24"/>
          <w:u w:val="single"/>
        </w:rPr>
      </w:pPr>
      <w:r>
        <w:rPr>
          <w:b/>
          <w:sz w:val="24"/>
          <w:u w:val="single"/>
        </w:rPr>
        <w:lastRenderedPageBreak/>
        <w:t>1. pielikums. Uzraudzības pasākumu metodoloģija</w:t>
      </w:r>
      <w:r>
        <w:rPr>
          <w:b/>
          <w:sz w:val="24"/>
        </w:rPr>
        <w:tab/>
      </w:r>
    </w:p>
    <w:p w14:paraId="59EF3976" w14:textId="77777777" w:rsidR="001728BC" w:rsidRPr="003E6A75" w:rsidRDefault="001728BC" w:rsidP="001728BC">
      <w:pPr>
        <w:tabs>
          <w:tab w:val="left" w:pos="5848"/>
        </w:tabs>
        <w:rPr>
          <w:b/>
          <w:noProof/>
          <w:sz w:val="24"/>
          <w:u w:val="single"/>
        </w:rPr>
      </w:pPr>
    </w:p>
    <w:p w14:paraId="5C72CA9F" w14:textId="77777777" w:rsidR="00A574AC" w:rsidRDefault="00A574AC" w:rsidP="003E6A75">
      <w:pPr>
        <w:pStyle w:val="Heading1"/>
        <w:spacing w:before="0"/>
        <w:ind w:left="0" w:firstLine="0"/>
        <w:rPr>
          <w:noProof/>
          <w:sz w:val="24"/>
        </w:rPr>
      </w:pPr>
      <w:r>
        <w:rPr>
          <w:sz w:val="24"/>
        </w:rPr>
        <w:t>Ievads</w:t>
      </w:r>
    </w:p>
    <w:p w14:paraId="40D63DB7" w14:textId="77777777" w:rsidR="001728BC" w:rsidRPr="003E6A75" w:rsidRDefault="001728BC" w:rsidP="003E6A75">
      <w:pPr>
        <w:pStyle w:val="Heading1"/>
        <w:spacing w:before="0"/>
        <w:ind w:left="0" w:firstLine="0"/>
        <w:rPr>
          <w:noProof/>
          <w:sz w:val="24"/>
        </w:rPr>
      </w:pPr>
    </w:p>
    <w:p w14:paraId="3AD427CE" w14:textId="64314688" w:rsidR="00A574AC" w:rsidRPr="003E6A75" w:rsidRDefault="001728BC" w:rsidP="001728BC">
      <w:pPr>
        <w:pStyle w:val="ListParagraph"/>
        <w:tabs>
          <w:tab w:val="left" w:pos="836"/>
        </w:tabs>
        <w:spacing w:before="0"/>
        <w:ind w:left="284" w:hanging="284"/>
        <w:jc w:val="left"/>
        <w:rPr>
          <w:noProof/>
          <w:sz w:val="24"/>
        </w:rPr>
      </w:pPr>
      <w:r>
        <w:rPr>
          <w:sz w:val="24"/>
        </w:rPr>
        <w:t>a) Šajā dokumentā ir kodificēta uzraudzības procedūra, un tas nodrošina procesa saprotamību, atbilstību DPA un labāku pārredzamību.</w:t>
      </w:r>
    </w:p>
    <w:p w14:paraId="2EAC94FE" w14:textId="77777777" w:rsidR="001728BC" w:rsidRDefault="001728BC" w:rsidP="001728BC">
      <w:pPr>
        <w:pStyle w:val="ListParagraph"/>
        <w:tabs>
          <w:tab w:val="left" w:pos="836"/>
        </w:tabs>
        <w:spacing w:before="0"/>
        <w:ind w:left="284" w:hanging="284"/>
        <w:jc w:val="left"/>
        <w:rPr>
          <w:noProof/>
          <w:sz w:val="24"/>
        </w:rPr>
      </w:pPr>
    </w:p>
    <w:p w14:paraId="7807CED8" w14:textId="395AC569" w:rsidR="00A574AC" w:rsidRDefault="001728BC" w:rsidP="001728BC">
      <w:pPr>
        <w:pStyle w:val="ListParagraph"/>
        <w:tabs>
          <w:tab w:val="left" w:pos="836"/>
        </w:tabs>
        <w:spacing w:before="0"/>
        <w:ind w:left="284" w:hanging="284"/>
        <w:jc w:val="left"/>
        <w:rPr>
          <w:noProof/>
          <w:sz w:val="24"/>
        </w:rPr>
      </w:pPr>
      <w:r>
        <w:rPr>
          <w:sz w:val="24"/>
        </w:rPr>
        <w:t>b) Katra parakstītāja uzraudzības rezultāti ir jāskata kopā ar papildu informāciju par pasākumiem, kas veikti, lai novērstu nelikumīgas naida runas problēmu, pamatojoties uz konkrētā parakstītāja satura moderācijas politikas nostādnēm, proaktīvajiem pasākumiem un izpildes darbībām, ja atbilstīgi, saskaņā ar 2. pielikumā izklāstītajiem norādījumiem.</w:t>
      </w:r>
    </w:p>
    <w:p w14:paraId="37463BCB" w14:textId="77777777" w:rsidR="001728BC" w:rsidRPr="003E6A75" w:rsidRDefault="001728BC" w:rsidP="001728BC">
      <w:pPr>
        <w:pStyle w:val="ListParagraph"/>
        <w:tabs>
          <w:tab w:val="left" w:pos="836"/>
        </w:tabs>
        <w:spacing w:before="0"/>
        <w:ind w:left="0" w:firstLine="0"/>
        <w:jc w:val="left"/>
        <w:rPr>
          <w:noProof/>
          <w:sz w:val="24"/>
        </w:rPr>
      </w:pPr>
    </w:p>
    <w:p w14:paraId="5E971978" w14:textId="77777777" w:rsidR="00A574AC" w:rsidRDefault="00A574AC" w:rsidP="003E6A75">
      <w:pPr>
        <w:pStyle w:val="Heading1"/>
        <w:spacing w:before="0"/>
        <w:ind w:left="0" w:firstLine="0"/>
        <w:rPr>
          <w:noProof/>
          <w:sz w:val="24"/>
        </w:rPr>
      </w:pPr>
      <w:r>
        <w:rPr>
          <w:sz w:val="24"/>
        </w:rPr>
        <w:t>Definīcijas</w:t>
      </w:r>
    </w:p>
    <w:p w14:paraId="27575800" w14:textId="77777777" w:rsidR="001728BC" w:rsidRPr="003E6A75" w:rsidRDefault="001728BC" w:rsidP="003E6A75">
      <w:pPr>
        <w:pStyle w:val="Heading1"/>
        <w:spacing w:before="0"/>
        <w:ind w:left="0" w:firstLine="0"/>
        <w:rPr>
          <w:noProof/>
          <w:sz w:val="24"/>
        </w:rPr>
      </w:pPr>
    </w:p>
    <w:p w14:paraId="65B90B19" w14:textId="77777777" w:rsidR="00A574AC" w:rsidRDefault="00A574AC" w:rsidP="00C02375">
      <w:pPr>
        <w:pStyle w:val="ListParagraph"/>
        <w:numPr>
          <w:ilvl w:val="0"/>
          <w:numId w:val="7"/>
        </w:numPr>
        <w:tabs>
          <w:tab w:val="left" w:pos="836"/>
        </w:tabs>
        <w:spacing w:before="0"/>
        <w:ind w:left="284" w:hanging="284"/>
        <w:rPr>
          <w:noProof/>
          <w:sz w:val="24"/>
        </w:rPr>
      </w:pPr>
      <w:r>
        <w:rPr>
          <w:b/>
          <w:sz w:val="24"/>
        </w:rPr>
        <w:t>Uzraudzības pasākums</w:t>
      </w:r>
      <w:r>
        <w:rPr>
          <w:sz w:val="24"/>
        </w:rPr>
        <w:t xml:space="preserve"> – uzraudzības pasākuma mērķis ir novērtēt parakstītāju darbības rezultātus saistībā ar Kodeksa 2.3. punktā noteikto apņemšanos izpildi. Tas sākas ar uzraudzības posma sākumu un beidzas ar pārskata publicēšanu.</w:t>
      </w:r>
    </w:p>
    <w:p w14:paraId="6AFB31D5" w14:textId="77777777" w:rsidR="001728BC" w:rsidRPr="003E6A75" w:rsidRDefault="001728BC" w:rsidP="00C02375">
      <w:pPr>
        <w:pStyle w:val="ListParagraph"/>
        <w:tabs>
          <w:tab w:val="left" w:pos="836"/>
        </w:tabs>
        <w:spacing w:before="0"/>
        <w:ind w:left="284" w:hanging="284"/>
        <w:rPr>
          <w:noProof/>
          <w:sz w:val="24"/>
        </w:rPr>
      </w:pPr>
    </w:p>
    <w:p w14:paraId="06EBBD9D" w14:textId="77777777" w:rsidR="00A574AC" w:rsidRDefault="00A574AC" w:rsidP="00C02375">
      <w:pPr>
        <w:pStyle w:val="ListParagraph"/>
        <w:numPr>
          <w:ilvl w:val="0"/>
          <w:numId w:val="7"/>
        </w:numPr>
        <w:tabs>
          <w:tab w:val="left" w:pos="836"/>
        </w:tabs>
        <w:spacing w:before="0"/>
        <w:ind w:left="284" w:hanging="284"/>
        <w:rPr>
          <w:noProof/>
          <w:sz w:val="24"/>
        </w:rPr>
      </w:pPr>
      <w:r>
        <w:rPr>
          <w:b/>
          <w:sz w:val="24"/>
        </w:rPr>
        <w:t>Uzraudzības posms</w:t>
      </w:r>
      <w:r>
        <w:rPr>
          <w:sz w:val="24"/>
        </w:rPr>
        <w:t xml:space="preserve"> – ikgadējs laika posms, kura ilgums nepārsniedz sešas nedēļas (30 darbdienas) un kura laikā uzraudzības pasākuma ietvaros uzraudzības ziņotāji ziņo parakstītājiem par saturu, kas šķietami ietver nelikumīgu naida runu.</w:t>
      </w:r>
    </w:p>
    <w:p w14:paraId="2641635D" w14:textId="77777777" w:rsidR="001728BC" w:rsidRPr="003E6A75" w:rsidRDefault="001728BC" w:rsidP="00C02375">
      <w:pPr>
        <w:pStyle w:val="ListParagraph"/>
        <w:tabs>
          <w:tab w:val="left" w:pos="836"/>
        </w:tabs>
        <w:spacing w:before="0"/>
        <w:ind w:left="284" w:hanging="284"/>
        <w:rPr>
          <w:noProof/>
          <w:sz w:val="24"/>
        </w:rPr>
      </w:pPr>
    </w:p>
    <w:p w14:paraId="1CD5E95C" w14:textId="77777777" w:rsidR="00A574AC" w:rsidRDefault="00A574AC" w:rsidP="00C02375">
      <w:pPr>
        <w:pStyle w:val="ListParagraph"/>
        <w:numPr>
          <w:ilvl w:val="0"/>
          <w:numId w:val="7"/>
        </w:numPr>
        <w:tabs>
          <w:tab w:val="left" w:pos="836"/>
        </w:tabs>
        <w:spacing w:before="0"/>
        <w:ind w:left="284" w:hanging="284"/>
        <w:rPr>
          <w:noProof/>
          <w:sz w:val="24"/>
        </w:rPr>
      </w:pPr>
      <w:r>
        <w:rPr>
          <w:b/>
          <w:sz w:val="24"/>
        </w:rPr>
        <w:t>Uzticamie signalizētāji</w:t>
      </w:r>
      <w:r>
        <w:rPr>
          <w:sz w:val="24"/>
        </w:rPr>
        <w:t xml:space="preserve"> – personas, kurām ir piešķirts uzticama signalizētāja statuss saskaņā ar DPA 22. panta 2. punktā izklāstītajiem noteikumiem, pamatojoties uz viņu pieredzi un kompetenci ziņošanā par nelegālu saturu, un kuru sniegtā informācija ir publicēta publiski pieejamā datubāzē, kas minēta DPA 22. panta 5. punktā.</w:t>
      </w:r>
    </w:p>
    <w:p w14:paraId="5CC3A278" w14:textId="77777777" w:rsidR="001728BC" w:rsidRPr="003E6A75" w:rsidRDefault="001728BC" w:rsidP="00C02375">
      <w:pPr>
        <w:pStyle w:val="ListParagraph"/>
        <w:tabs>
          <w:tab w:val="left" w:pos="836"/>
        </w:tabs>
        <w:spacing w:before="0"/>
        <w:ind w:left="284" w:hanging="284"/>
        <w:rPr>
          <w:noProof/>
          <w:sz w:val="24"/>
        </w:rPr>
      </w:pPr>
    </w:p>
    <w:p w14:paraId="5566202C" w14:textId="77777777" w:rsidR="00A574AC" w:rsidRDefault="00A574AC" w:rsidP="00C02375">
      <w:pPr>
        <w:pStyle w:val="ListParagraph"/>
        <w:numPr>
          <w:ilvl w:val="0"/>
          <w:numId w:val="7"/>
        </w:numPr>
        <w:tabs>
          <w:tab w:val="left" w:pos="836"/>
        </w:tabs>
        <w:spacing w:before="0"/>
        <w:ind w:left="284" w:hanging="284"/>
        <w:rPr>
          <w:noProof/>
          <w:sz w:val="24"/>
        </w:rPr>
      </w:pPr>
      <w:r>
        <w:rPr>
          <w:b/>
          <w:sz w:val="24"/>
        </w:rPr>
        <w:t>Uzraudzības ziņotāji</w:t>
      </w:r>
      <w:r>
        <w:rPr>
          <w:sz w:val="24"/>
        </w:rPr>
        <w:t xml:space="preserve"> – bezpeļņas vai publiskas personas, kurām ir pieredze attiecībā uz nelikumīgu naida runu vismaz vienā ES dalībvalstī un kuras Komisija un parakstītāji ir apstiprinājuši dalībai uzraudzības pasākumā. Pēc atbilstības uzraudzības ziņotāji var būt arī uzticamie signalizētāji, kā noteikts 22. pantā. Viņi var piedalīties arī jebkurā attiecīgā brīvprātīgā parakstītāju programmā, ko pēc saviem ieskatiem vada minētie parakstītāji.</w:t>
      </w:r>
    </w:p>
    <w:p w14:paraId="7F3E4634" w14:textId="77777777" w:rsidR="001728BC" w:rsidRPr="003E6A75" w:rsidRDefault="001728BC" w:rsidP="00C02375">
      <w:pPr>
        <w:pStyle w:val="ListParagraph"/>
        <w:tabs>
          <w:tab w:val="left" w:pos="836"/>
        </w:tabs>
        <w:spacing w:before="0"/>
        <w:ind w:left="284" w:hanging="284"/>
        <w:rPr>
          <w:noProof/>
          <w:sz w:val="24"/>
        </w:rPr>
      </w:pPr>
    </w:p>
    <w:p w14:paraId="49ED2933" w14:textId="0D64F933" w:rsidR="00A574AC" w:rsidRDefault="00A574AC" w:rsidP="00C02375">
      <w:pPr>
        <w:pStyle w:val="ListParagraph"/>
        <w:numPr>
          <w:ilvl w:val="0"/>
          <w:numId w:val="7"/>
        </w:numPr>
        <w:tabs>
          <w:tab w:val="left" w:pos="836"/>
        </w:tabs>
        <w:spacing w:before="0"/>
        <w:ind w:left="284" w:hanging="284"/>
        <w:rPr>
          <w:noProof/>
          <w:sz w:val="24"/>
        </w:rPr>
      </w:pPr>
      <w:r>
        <w:rPr>
          <w:b/>
          <w:sz w:val="24"/>
        </w:rPr>
        <w:t>Uzraudzības ziņotāju saraksts</w:t>
      </w:r>
      <w:r>
        <w:rPr>
          <w:sz w:val="24"/>
        </w:rPr>
        <w:t xml:space="preserve"> – apstiprinātās personas pievieno uzraudzības ziņotāju sarakstam saskaņā ar šādu konfidenciālu procedūru</w:t>
      </w:r>
      <w:r w:rsidR="00C02375">
        <w:rPr>
          <w:rStyle w:val="FootnoteReference"/>
          <w:noProof/>
          <w:sz w:val="24"/>
        </w:rPr>
        <w:footnoteReference w:id="7"/>
      </w:r>
      <w:r>
        <w:rPr>
          <w:sz w:val="24"/>
        </w:rPr>
        <w:t>: Komisija vismaz 10 nedēļas pirms katra uzraudzības posma sākuma parakstītājiem nosūta ieteikto uzraudzības ziņotāju sarakstu. Pēc tam parakstītājiem divu nedēļu laikā mutiski vai rakstiski jāizdara piezīmes. Ja divu nedēļu laikā no parakstītājiem nav saņemtas piezīmes vai iebildumi pret sarakstu, to uzskata par saraksta apstiprināšanu. Domstarpību gadījumā starp parakstītājiem un Komisiju pusēm ir jāpanāk kompromiss vienas nedēļas laikā. Ja kompromisu nevar panākt, parakstītājiem ir pēdējais vārds attiecībā uz uzraudzības ziņotāju sarakstu, bet tiem ir jānorāda iemesli jebkurai izslēgšanai</w:t>
      </w:r>
      <w:r w:rsidR="00C02375">
        <w:rPr>
          <w:rStyle w:val="FootnoteReference"/>
          <w:noProof/>
          <w:sz w:val="24"/>
        </w:rPr>
        <w:footnoteReference w:id="8"/>
      </w:r>
      <w:r>
        <w:rPr>
          <w:sz w:val="24"/>
        </w:rPr>
        <w:t>.</w:t>
      </w:r>
    </w:p>
    <w:p w14:paraId="438D269F" w14:textId="77777777" w:rsidR="001728BC" w:rsidRPr="003E6A75" w:rsidRDefault="001728BC" w:rsidP="00C02375">
      <w:pPr>
        <w:pStyle w:val="ListParagraph"/>
        <w:tabs>
          <w:tab w:val="left" w:pos="836"/>
        </w:tabs>
        <w:spacing w:before="0"/>
        <w:ind w:left="284" w:hanging="284"/>
        <w:rPr>
          <w:noProof/>
          <w:sz w:val="24"/>
        </w:rPr>
      </w:pPr>
    </w:p>
    <w:p w14:paraId="427D80B9" w14:textId="56A34313" w:rsidR="00A574AC" w:rsidRDefault="00A574AC" w:rsidP="000448A9">
      <w:pPr>
        <w:pStyle w:val="ListParagraph"/>
        <w:keepNext/>
        <w:keepLines/>
        <w:numPr>
          <w:ilvl w:val="0"/>
          <w:numId w:val="7"/>
        </w:numPr>
        <w:tabs>
          <w:tab w:val="left" w:pos="836"/>
        </w:tabs>
        <w:spacing w:before="0"/>
        <w:ind w:left="284" w:hanging="284"/>
        <w:rPr>
          <w:noProof/>
          <w:sz w:val="24"/>
        </w:rPr>
      </w:pPr>
      <w:r>
        <w:rPr>
          <w:b/>
          <w:sz w:val="24"/>
        </w:rPr>
        <w:lastRenderedPageBreak/>
        <w:t>Trešās puses koordinators</w:t>
      </w:r>
      <w:r>
        <w:rPr>
          <w:sz w:val="24"/>
        </w:rPr>
        <w:t xml:space="preserve"> – Komisijas izvēlēta trešās puses struktūra, kas var uzņemties administratīvās funkcijas, palīdzot Komisijai apzināt potenciālos jaunos uzraudzības ziņotājus un sniedzot Komisijai kancelejas atbalstu uzraudzības pasākuma laikā. Jebkurš trešās puses koordinators ir jāapstiprina parakstītājiem rakstiski pēc tam, kad Komisija ir par to paziņojusi. Ja parakstītāji divu nedēļu laikā pēc Komisijas paziņojuma saņemšanas nereaģē, to uzskata par ierosinātā trešās puses koordinatora apstiprināšanu. Visas radušās izmaksas sedz Komisija. Ja šāds koordinators tiek pieņemts darbā, parakstītāji un Komisija vienojas par viņa darba uzdevumiem.</w:t>
      </w:r>
    </w:p>
    <w:p w14:paraId="51EC58CE" w14:textId="77777777" w:rsidR="00C02375" w:rsidRPr="00C02375" w:rsidRDefault="00C02375" w:rsidP="00C02375">
      <w:pPr>
        <w:pStyle w:val="ListParagraph"/>
        <w:tabs>
          <w:tab w:val="left" w:pos="836"/>
        </w:tabs>
        <w:spacing w:before="0"/>
        <w:ind w:left="284" w:hanging="284"/>
        <w:rPr>
          <w:noProof/>
          <w:sz w:val="24"/>
        </w:rPr>
      </w:pPr>
    </w:p>
    <w:p w14:paraId="05980670" w14:textId="70A8F9F1" w:rsidR="00C02375" w:rsidRDefault="00A574AC" w:rsidP="00C02375">
      <w:pPr>
        <w:pStyle w:val="ListParagraph"/>
        <w:numPr>
          <w:ilvl w:val="0"/>
          <w:numId w:val="7"/>
        </w:numPr>
        <w:tabs>
          <w:tab w:val="left" w:pos="836"/>
        </w:tabs>
        <w:spacing w:before="0"/>
        <w:ind w:left="284" w:hanging="284"/>
        <w:rPr>
          <w:noProof/>
          <w:sz w:val="24"/>
        </w:rPr>
      </w:pPr>
      <w:r>
        <w:rPr>
          <w:b/>
          <w:sz w:val="24"/>
        </w:rPr>
        <w:t>Apstrīdētie gadījumi</w:t>
      </w:r>
      <w:r>
        <w:rPr>
          <w:sz w:val="24"/>
        </w:rPr>
        <w:t xml:space="preserve"> – apstrīdētie gadījumi var rasties tad, ja pastāv domstarpības starp parakstītāju un uzraudzības ziņotāju par paziņotā gadījuma šķietamo pretlikumību vai domstarpības starp parakstītāju un uzraudzības ziņotāju par to, vai uzraudzības posmā saturs no pakalpojuma tika izņemts vai tika liegta piekļuve tam.</w:t>
      </w:r>
    </w:p>
    <w:p w14:paraId="3D99D848" w14:textId="77777777" w:rsidR="00C02375" w:rsidRPr="00C02375" w:rsidRDefault="00C02375" w:rsidP="00C02375">
      <w:pPr>
        <w:pStyle w:val="ListParagraph"/>
        <w:tabs>
          <w:tab w:val="left" w:pos="836"/>
        </w:tabs>
        <w:spacing w:before="0"/>
        <w:ind w:left="284" w:hanging="284"/>
        <w:rPr>
          <w:noProof/>
          <w:sz w:val="24"/>
        </w:rPr>
      </w:pPr>
    </w:p>
    <w:p w14:paraId="5AA78508" w14:textId="77777777" w:rsidR="00A574AC" w:rsidRDefault="00A574AC" w:rsidP="00C02375">
      <w:pPr>
        <w:pStyle w:val="ListParagraph"/>
        <w:numPr>
          <w:ilvl w:val="0"/>
          <w:numId w:val="7"/>
        </w:numPr>
        <w:tabs>
          <w:tab w:val="left" w:pos="836"/>
        </w:tabs>
        <w:spacing w:before="0"/>
        <w:ind w:left="284" w:hanging="284"/>
        <w:rPr>
          <w:noProof/>
          <w:sz w:val="24"/>
        </w:rPr>
      </w:pPr>
      <w:r>
        <w:rPr>
          <w:b/>
          <w:sz w:val="24"/>
        </w:rPr>
        <w:t>Kļūdu gadījumi</w:t>
      </w:r>
      <w:r>
        <w:rPr>
          <w:sz w:val="24"/>
        </w:rPr>
        <w:t xml:space="preserve"> – kļūdu gadījumi attiecīgi rodas, a) ja par vienu un to pašu satura elementu paziņo vairākas reizes (dublikāti); b) ja tiek atzīmēts nepareizs konts/lapa; c) ja ir kļūda norādītajā URL vai saistītajā ekrānuzņēmumā; d) ja nav pierādījumu, ka parakstītājs ir saņēmis paziņojumu; e) ja paziņojums nav derīgs saskaņā ar DPA 16. vai 22. pantu.</w:t>
      </w:r>
    </w:p>
    <w:p w14:paraId="50DAAD18" w14:textId="77777777" w:rsidR="00C02375" w:rsidRPr="003E6A75" w:rsidRDefault="00C02375" w:rsidP="00C02375">
      <w:pPr>
        <w:pStyle w:val="ListParagraph"/>
        <w:tabs>
          <w:tab w:val="left" w:pos="836"/>
        </w:tabs>
        <w:spacing w:before="0"/>
        <w:ind w:left="0" w:firstLine="0"/>
        <w:rPr>
          <w:noProof/>
          <w:sz w:val="24"/>
        </w:rPr>
      </w:pPr>
    </w:p>
    <w:p w14:paraId="67A75D4B" w14:textId="77777777" w:rsidR="00A574AC" w:rsidRDefault="00A574AC" w:rsidP="003E6A75">
      <w:pPr>
        <w:pStyle w:val="Heading1"/>
        <w:spacing w:before="0"/>
        <w:ind w:left="0" w:firstLine="0"/>
        <w:rPr>
          <w:noProof/>
          <w:sz w:val="24"/>
        </w:rPr>
      </w:pPr>
      <w:r>
        <w:rPr>
          <w:sz w:val="24"/>
        </w:rPr>
        <w:t>Uzraudzības pasākuma metodoloģija</w:t>
      </w:r>
    </w:p>
    <w:p w14:paraId="549EE350" w14:textId="77777777" w:rsidR="00C02375" w:rsidRPr="003E6A75" w:rsidRDefault="00C02375" w:rsidP="003E6A75">
      <w:pPr>
        <w:pStyle w:val="Heading1"/>
        <w:spacing w:before="0"/>
        <w:ind w:left="0" w:firstLine="0"/>
        <w:rPr>
          <w:noProof/>
          <w:sz w:val="24"/>
        </w:rPr>
      </w:pPr>
    </w:p>
    <w:p w14:paraId="1AB2FAD6" w14:textId="184B0D5C" w:rsidR="00A574AC" w:rsidRDefault="006B2FFE" w:rsidP="006B2FFE">
      <w:pPr>
        <w:pStyle w:val="ListParagraph"/>
        <w:tabs>
          <w:tab w:val="left" w:pos="836"/>
        </w:tabs>
        <w:spacing w:before="0"/>
        <w:ind w:left="0" w:firstLine="0"/>
        <w:rPr>
          <w:b/>
          <w:noProof/>
          <w:sz w:val="24"/>
        </w:rPr>
      </w:pPr>
      <w:r>
        <w:rPr>
          <w:b/>
          <w:sz w:val="24"/>
        </w:rPr>
        <w:t>1. Uzraudzības pasākumu biežums un parakstītāju līdzdalība tajos</w:t>
      </w:r>
    </w:p>
    <w:p w14:paraId="573AAF59" w14:textId="77777777" w:rsidR="006B2FFE" w:rsidRPr="003E6A75" w:rsidRDefault="006B2FFE" w:rsidP="006B2FFE">
      <w:pPr>
        <w:pStyle w:val="ListParagraph"/>
        <w:tabs>
          <w:tab w:val="left" w:pos="836"/>
        </w:tabs>
        <w:spacing w:before="0"/>
        <w:ind w:left="0" w:firstLine="0"/>
        <w:rPr>
          <w:b/>
          <w:noProof/>
          <w:sz w:val="24"/>
        </w:rPr>
      </w:pPr>
    </w:p>
    <w:p w14:paraId="5F4DAF7E" w14:textId="16245BC5" w:rsidR="00A574AC" w:rsidRDefault="006B2FFE" w:rsidP="006B2FFE">
      <w:pPr>
        <w:pStyle w:val="ListParagraph"/>
        <w:tabs>
          <w:tab w:val="left" w:pos="836"/>
        </w:tabs>
        <w:spacing w:before="0"/>
        <w:ind w:left="426" w:hanging="426"/>
        <w:rPr>
          <w:noProof/>
          <w:sz w:val="24"/>
        </w:rPr>
      </w:pPr>
      <w:r>
        <w:rPr>
          <w:sz w:val="24"/>
        </w:rPr>
        <w:t>1.1. Uzraudzības pasākumam jānotiek katru gadu, ievērojot standartizētu un ciklisku pieeju. Šo regularitāti pamato nepieciešamība paredzēt pietiekami daudz laika, lai parakstītāji varētu apsvērt un, iespējams, stiprināt savu pieeju nelikumīgas naida runas riska mazināšanai savās platformās un lai šim nolūkam varētu ņemt vērā uzraudzības pasākuma rezultātus.</w:t>
      </w:r>
    </w:p>
    <w:p w14:paraId="3878DB19" w14:textId="77777777" w:rsidR="006B2FFE" w:rsidRPr="003E6A75" w:rsidRDefault="006B2FFE" w:rsidP="006B2FFE">
      <w:pPr>
        <w:pStyle w:val="ListParagraph"/>
        <w:tabs>
          <w:tab w:val="left" w:pos="836"/>
        </w:tabs>
        <w:spacing w:before="0"/>
        <w:ind w:left="426" w:hanging="426"/>
        <w:rPr>
          <w:noProof/>
          <w:sz w:val="24"/>
        </w:rPr>
      </w:pPr>
    </w:p>
    <w:p w14:paraId="4252671D" w14:textId="3D5740A4" w:rsidR="00A574AC" w:rsidRDefault="006B2FFE" w:rsidP="006B2FFE">
      <w:pPr>
        <w:pStyle w:val="ListParagraph"/>
        <w:tabs>
          <w:tab w:val="left" w:pos="836"/>
        </w:tabs>
        <w:spacing w:before="0"/>
        <w:ind w:left="426" w:hanging="426"/>
        <w:rPr>
          <w:noProof/>
          <w:sz w:val="24"/>
        </w:rPr>
      </w:pPr>
      <w:r>
        <w:rPr>
          <w:sz w:val="24"/>
        </w:rPr>
        <w:t>1.2. Visi parakstītāji piekrīt uzraudzības pasākumiem, un atbrīvojumi nav pieļaujami. Ikvienam jaunam Kodeksa parakstītājam tiek atļauts viens “izmēģinājuma uzraudzības pasākums” (parasti tas, kas notiek pēc pievienošanās datuma), kura laikā īstenotā procedūra un rezultāti ir tikai kā izmēģinājums. Jaunais parakstītājs pēc saviem ieskatiem lemj par izmēģinājuma uzraudzības rezultātu publiskošanu.</w:t>
      </w:r>
    </w:p>
    <w:p w14:paraId="58B9EFA4" w14:textId="77777777" w:rsidR="006B2FFE" w:rsidRPr="003E6A75" w:rsidRDefault="006B2FFE" w:rsidP="006B2FFE">
      <w:pPr>
        <w:pStyle w:val="ListParagraph"/>
        <w:tabs>
          <w:tab w:val="left" w:pos="836"/>
        </w:tabs>
        <w:spacing w:before="0"/>
        <w:ind w:left="0" w:firstLine="0"/>
        <w:rPr>
          <w:noProof/>
          <w:sz w:val="24"/>
        </w:rPr>
      </w:pPr>
    </w:p>
    <w:p w14:paraId="6E4AA46A" w14:textId="5A9AD24F" w:rsidR="00A574AC" w:rsidRPr="003E6A75" w:rsidRDefault="006B2FFE" w:rsidP="006B2FFE">
      <w:pPr>
        <w:pStyle w:val="Heading1"/>
        <w:tabs>
          <w:tab w:val="left" w:pos="836"/>
        </w:tabs>
        <w:spacing w:before="0"/>
        <w:ind w:left="0" w:firstLine="0"/>
        <w:jc w:val="both"/>
        <w:rPr>
          <w:noProof/>
          <w:sz w:val="24"/>
        </w:rPr>
      </w:pPr>
      <w:r>
        <w:rPr>
          <w:sz w:val="24"/>
        </w:rPr>
        <w:t>2. Uzraudzības ziņotāju funkcijas un pienākumi</w:t>
      </w:r>
    </w:p>
    <w:p w14:paraId="3B39F8A9" w14:textId="77777777" w:rsidR="006B2FFE" w:rsidRDefault="006B2FFE" w:rsidP="006B2FFE">
      <w:pPr>
        <w:pStyle w:val="ListParagraph"/>
        <w:tabs>
          <w:tab w:val="left" w:pos="836"/>
        </w:tabs>
        <w:spacing w:before="0"/>
        <w:ind w:left="0" w:firstLine="0"/>
        <w:rPr>
          <w:noProof/>
          <w:sz w:val="24"/>
        </w:rPr>
      </w:pPr>
    </w:p>
    <w:p w14:paraId="40927164" w14:textId="4332A66E" w:rsidR="00A574AC" w:rsidRPr="003E6A75" w:rsidRDefault="006B2FFE" w:rsidP="006B2FFE">
      <w:pPr>
        <w:pStyle w:val="ListParagraph"/>
        <w:tabs>
          <w:tab w:val="left" w:pos="836"/>
        </w:tabs>
        <w:spacing w:before="0"/>
        <w:ind w:left="426" w:hanging="426"/>
        <w:rPr>
          <w:noProof/>
          <w:sz w:val="24"/>
        </w:rPr>
      </w:pPr>
      <w:r>
        <w:rPr>
          <w:sz w:val="24"/>
        </w:rPr>
        <w:t>2.1. Uzraudzības ziņotāji ir atbildīgi par rezultātu reģistrēšanu, un, to darot, katram satura vienumam, par kuru viņi ziņo uzraudzības posmā, viņi nosūta unikālu URL un ekrānuzņēmumu, kā arī norāda, kuru satura daļu viņi uzskata par nelikumīgu naida runu (piemēram, video, ieraksts, tēmturis u. c.). Kļūdu gadījumi pašreizējās un turpmāk publiski paziņotajās kategorijās nav jāuzskata par nelikumīgu naida runu, tādēļ tos neiekļauj galīgajos rezultātos. Ja uzraudzības ziņotājs ir ziņojis par ievērojamu skaitu kļūdu gadījumu (vairāk nekā 33 % no jebkuram parakstītājam iesniegtajiem paziņojumiem vienā uzraudzības posmā), Komisija pēc šā uzraudzības ziņotāja uzklausīšanas un apspriešanās ar attiecīgo(-ajiem) parakstītāju(-iem) aptur šā uzraudzības ziņotāja dalību turpmākajos pasākumos līdz turpmākam paziņojumam, ja vien netiek sniegti pamatoti paskaidrojumi par šiem kļūdu gadījumiem un veiktas konkrētas apņemšanās tos novērst.</w:t>
      </w:r>
    </w:p>
    <w:p w14:paraId="50F77ED1" w14:textId="77777777" w:rsidR="006B2FFE" w:rsidRDefault="006B2FFE" w:rsidP="006B2FFE">
      <w:pPr>
        <w:pStyle w:val="Heading1"/>
        <w:tabs>
          <w:tab w:val="left" w:pos="836"/>
        </w:tabs>
        <w:spacing w:before="0"/>
        <w:ind w:left="0" w:firstLine="0"/>
        <w:jc w:val="both"/>
        <w:rPr>
          <w:noProof/>
          <w:sz w:val="24"/>
        </w:rPr>
      </w:pPr>
    </w:p>
    <w:p w14:paraId="4D14DEF8" w14:textId="1C07A8B5" w:rsidR="00A574AC" w:rsidRPr="003E6A75" w:rsidRDefault="006B2FFE" w:rsidP="000448A9">
      <w:pPr>
        <w:pStyle w:val="Heading1"/>
        <w:keepNext/>
        <w:keepLines/>
        <w:tabs>
          <w:tab w:val="left" w:pos="836"/>
        </w:tabs>
        <w:spacing w:before="0"/>
        <w:ind w:left="0" w:firstLine="0"/>
        <w:jc w:val="both"/>
        <w:rPr>
          <w:noProof/>
          <w:sz w:val="24"/>
        </w:rPr>
      </w:pPr>
      <w:r>
        <w:rPr>
          <w:sz w:val="24"/>
        </w:rPr>
        <w:lastRenderedPageBreak/>
        <w:t>3. Ziņošana par nelikumīgu naida runu, izmantojot noteiktus paziņošanas procesus</w:t>
      </w:r>
    </w:p>
    <w:p w14:paraId="62BF1A0B" w14:textId="77777777" w:rsidR="006B2FFE" w:rsidRDefault="006B2FFE" w:rsidP="000448A9">
      <w:pPr>
        <w:pStyle w:val="ListParagraph"/>
        <w:keepNext/>
        <w:keepLines/>
        <w:tabs>
          <w:tab w:val="left" w:pos="836"/>
        </w:tabs>
        <w:spacing w:before="0"/>
        <w:ind w:left="0" w:firstLine="0"/>
        <w:rPr>
          <w:noProof/>
          <w:sz w:val="24"/>
        </w:rPr>
      </w:pPr>
    </w:p>
    <w:p w14:paraId="34BAC189" w14:textId="69DFF60F" w:rsidR="00A574AC" w:rsidRPr="003E6A75" w:rsidRDefault="006B2FFE" w:rsidP="000448A9">
      <w:pPr>
        <w:pStyle w:val="ListParagraph"/>
        <w:keepNext/>
        <w:keepLines/>
        <w:tabs>
          <w:tab w:val="left" w:pos="836"/>
        </w:tabs>
        <w:spacing w:before="0"/>
        <w:ind w:left="426" w:hanging="426"/>
        <w:rPr>
          <w:noProof/>
          <w:sz w:val="24"/>
        </w:rPr>
      </w:pPr>
      <w:r>
        <w:rPr>
          <w:sz w:val="24"/>
        </w:rPr>
        <w:t>3.1. Ja un kad atbilstīgi, uzraudzības posmā uzraudzības ziņotājiem, izmantojot noteiktos ziņošanas procesus, ir jāziņo par saturu, kas, ciktāl viņiem tas ir zināms, ir nelikumīga naida runa un ir atrodams parakstītāju pakalpojumos. Neierobežojot 22. panta 1. punktu, mērķis ir nodrošināt, lai DPA paziņošanas procesi patiešām tiktu pārbaudīti un tiktu nodrošināta paziņoto rezultātu integritāte. Kodekss neuzliek parakstītājiem pienākumu uzraudzības ziņotājiem nodrošināt īpašu paziņošanas procesu (un, ja šāds īpašs paziņošanas process netiek nodrošināts, uzraudzības ziņotājam jāizmanto process, kas pieejams parastajiem lietotājiem). Parakstītāji paziņo par īpašajiem procesiem Komisijai, kas savukārt par šiem procesiem informē uzraudzības ziņotājus.</w:t>
      </w:r>
    </w:p>
    <w:p w14:paraId="31F3B5B8" w14:textId="77777777" w:rsidR="006B2FFE" w:rsidRDefault="006B2FFE" w:rsidP="006B2FFE">
      <w:pPr>
        <w:pStyle w:val="Heading1"/>
        <w:tabs>
          <w:tab w:val="left" w:pos="836"/>
        </w:tabs>
        <w:spacing w:before="0"/>
        <w:ind w:left="0" w:firstLine="0"/>
        <w:jc w:val="both"/>
        <w:rPr>
          <w:noProof/>
          <w:sz w:val="24"/>
        </w:rPr>
      </w:pPr>
    </w:p>
    <w:p w14:paraId="7B9F7EC1" w14:textId="7F4D7CAA" w:rsidR="00A574AC" w:rsidRPr="003E6A75" w:rsidRDefault="006B2FFE" w:rsidP="006B2FFE">
      <w:pPr>
        <w:pStyle w:val="Heading1"/>
        <w:tabs>
          <w:tab w:val="left" w:pos="836"/>
        </w:tabs>
        <w:spacing w:before="0"/>
        <w:ind w:left="0" w:firstLine="0"/>
        <w:jc w:val="both"/>
        <w:rPr>
          <w:noProof/>
          <w:sz w:val="24"/>
        </w:rPr>
      </w:pPr>
      <w:r>
        <w:rPr>
          <w:sz w:val="24"/>
        </w:rPr>
        <w:t>4. Parasto lietotāju paziņojumi</w:t>
      </w:r>
    </w:p>
    <w:p w14:paraId="24D2DCF3" w14:textId="77777777" w:rsidR="00F40A2A" w:rsidRPr="003E6A75" w:rsidRDefault="00F40A2A" w:rsidP="006B2FFE">
      <w:pPr>
        <w:jc w:val="both"/>
        <w:rPr>
          <w:noProof/>
          <w:sz w:val="24"/>
        </w:rPr>
      </w:pPr>
    </w:p>
    <w:p w14:paraId="0578F525" w14:textId="426ADDFD" w:rsidR="00A574AC" w:rsidRPr="003E6A75" w:rsidRDefault="006B2FFE" w:rsidP="006B2FFE">
      <w:pPr>
        <w:pStyle w:val="ListParagraph"/>
        <w:tabs>
          <w:tab w:val="left" w:pos="836"/>
        </w:tabs>
        <w:spacing w:before="0"/>
        <w:ind w:left="426" w:hanging="426"/>
        <w:rPr>
          <w:noProof/>
          <w:sz w:val="24"/>
        </w:rPr>
      </w:pPr>
      <w:r>
        <w:rPr>
          <w:sz w:val="24"/>
        </w:rPr>
        <w:t>4.1. Papildus īpašajiem paziņošanas procesiem vai tad, ja šādi procesi nav pieejami, uzraudzības ziņotāji var izvēlēties izmantot paziņošanas procesus, kas pieejami parastajiem lietotājiem (t. i., nelikumīga satura paziņošanas procesus saskaņā ar DPA 16. pantu vai apvienotus procesus paziņošanai par nelikumīgu un politiku pārkāpjošu saturu, ja šādus apvienotos procesus ir nodrošinājis attiecīgais parakstītājs), lai paziņotu par saturu, kas, cik viņiem ir zināms, ir nelikumīga naida runa viņu attiecīgajās valstīs. Šos gadījumus uzraudzības pasākuma pārskatā norāda atsevišķā kategorijā. Uzraudzības ziņotājiem tiek stingri ieteikts izmantot īpašos paziņošanas procesus, ja tādi ir pieejami. Uzraudzības ziņotāji saņem informāciju par parakstītāju paziņošanas procesiem mācībās, kas minētas 6. punktā turpmāk.</w:t>
      </w:r>
    </w:p>
    <w:p w14:paraId="7568DEBA" w14:textId="77777777" w:rsidR="006B2FFE" w:rsidRDefault="006B2FFE" w:rsidP="006B2FFE">
      <w:pPr>
        <w:pStyle w:val="Heading1"/>
        <w:tabs>
          <w:tab w:val="left" w:pos="836"/>
        </w:tabs>
        <w:spacing w:before="0"/>
        <w:ind w:left="0" w:firstLine="0"/>
        <w:jc w:val="both"/>
        <w:rPr>
          <w:noProof/>
          <w:sz w:val="24"/>
        </w:rPr>
      </w:pPr>
    </w:p>
    <w:p w14:paraId="0C61350E" w14:textId="6B4C725B" w:rsidR="00A574AC" w:rsidRPr="003E6A75" w:rsidRDefault="006B2FFE" w:rsidP="006B2FFE">
      <w:pPr>
        <w:pStyle w:val="Heading1"/>
        <w:tabs>
          <w:tab w:val="left" w:pos="836"/>
        </w:tabs>
        <w:spacing w:before="0"/>
        <w:ind w:left="0" w:firstLine="0"/>
        <w:jc w:val="both"/>
        <w:rPr>
          <w:noProof/>
          <w:sz w:val="24"/>
        </w:rPr>
      </w:pPr>
      <w:r>
        <w:rPr>
          <w:sz w:val="24"/>
        </w:rPr>
        <w:t>5. Apstrīdētie gadījumi</w:t>
      </w:r>
    </w:p>
    <w:p w14:paraId="22CFAFFD" w14:textId="77777777" w:rsidR="006B2FFE" w:rsidRDefault="006B2FFE" w:rsidP="006B2FFE">
      <w:pPr>
        <w:pStyle w:val="ListParagraph"/>
        <w:tabs>
          <w:tab w:val="left" w:pos="836"/>
        </w:tabs>
        <w:spacing w:before="0"/>
        <w:ind w:left="0" w:firstLine="0"/>
        <w:rPr>
          <w:noProof/>
          <w:sz w:val="24"/>
        </w:rPr>
      </w:pPr>
    </w:p>
    <w:p w14:paraId="083D1ECD" w14:textId="2633B551" w:rsidR="00A574AC" w:rsidRPr="003E6A75" w:rsidRDefault="006B2FFE" w:rsidP="006B2FFE">
      <w:pPr>
        <w:pStyle w:val="ListParagraph"/>
        <w:tabs>
          <w:tab w:val="left" w:pos="836"/>
        </w:tabs>
        <w:spacing w:before="0"/>
        <w:ind w:left="426" w:hanging="426"/>
        <w:rPr>
          <w:noProof/>
          <w:sz w:val="24"/>
        </w:rPr>
      </w:pPr>
      <w:r>
        <w:rPr>
          <w:sz w:val="24"/>
        </w:rPr>
        <w:t>5.1. Neierobežojot DPA 20. un 21. pantu, ja saistībā ar uzraudzības pasākumu rodas strīdi starp uzraudzības ziņotājiem un parakstītājiem, parakstītāji lemj par labāko veidu, kā veicināt šo strīdu izšķiršanu. Tas varētu ietvert papildu juridisko(-ās) pārskatīšanu(-as), lai noteiktu konkrētās satura daļas nelikumību, un/vai individuālu saziņu ar uzraudzības ziņotājiem par konkrēto(-ajām) lietu(-ām), cerot, ka uzraudzības ziņotāji aktīvi sadarbosies šajā procesā un reaģēs pēc iespējas drīz, un neizslēdzot iespēju lūgt Komisijai veicināt šo strīdu izšķiršanu. Nekādos apstākļos Komisijai (vai jebkuram trešās puses koordinatoram) nevar lūgt piedalīties apstrīdētā satura iespējamās nelikumības klasificēšanā. Saskaņā ar šā kodeksa raksturojumiem uzraudzības pasākumu darbības jomā neietilpst saturs, kas nav uzskatāms par nelikumīgu.</w:t>
      </w:r>
    </w:p>
    <w:p w14:paraId="5997E610" w14:textId="77777777" w:rsidR="006B2FFE" w:rsidRDefault="006B2FFE" w:rsidP="006B2FFE">
      <w:pPr>
        <w:pStyle w:val="ListParagraph"/>
        <w:tabs>
          <w:tab w:val="left" w:pos="836"/>
        </w:tabs>
        <w:spacing w:before="0"/>
        <w:ind w:left="426" w:hanging="426"/>
        <w:rPr>
          <w:noProof/>
          <w:sz w:val="24"/>
        </w:rPr>
      </w:pPr>
    </w:p>
    <w:p w14:paraId="2BD3413E" w14:textId="2A19B215" w:rsidR="00A574AC" w:rsidRPr="003E6A75" w:rsidRDefault="006B2FFE" w:rsidP="006B2FFE">
      <w:pPr>
        <w:pStyle w:val="ListParagraph"/>
        <w:tabs>
          <w:tab w:val="left" w:pos="836"/>
        </w:tabs>
        <w:spacing w:before="0"/>
        <w:ind w:left="426" w:hanging="426"/>
        <w:rPr>
          <w:noProof/>
          <w:sz w:val="24"/>
        </w:rPr>
      </w:pPr>
      <w:r>
        <w:rPr>
          <w:sz w:val="24"/>
        </w:rPr>
        <w:t>5.2. Ja domstarpības saglabājas, apstrīdētos gadījumus pārskatā norāda atsevišķā kategorijā. To dara, lai nodrošinātu, ka ziņojums precīzi atspoguļo uzraudzības rezultātus un apstrīdētie gadījumi netiek sajaukti ar iespējamu nelikumīgu naida runu.</w:t>
      </w:r>
    </w:p>
    <w:p w14:paraId="41FD0984" w14:textId="77777777" w:rsidR="006B2FFE" w:rsidRDefault="006B2FFE" w:rsidP="006B2FFE">
      <w:pPr>
        <w:pStyle w:val="ListParagraph"/>
        <w:tabs>
          <w:tab w:val="left" w:pos="836"/>
        </w:tabs>
        <w:spacing w:before="0"/>
        <w:ind w:left="426" w:hanging="426"/>
        <w:rPr>
          <w:noProof/>
          <w:sz w:val="24"/>
        </w:rPr>
      </w:pPr>
    </w:p>
    <w:p w14:paraId="627AA5C9" w14:textId="24C0EDDF" w:rsidR="00A574AC" w:rsidRDefault="006B2FFE" w:rsidP="006B2FFE">
      <w:pPr>
        <w:pStyle w:val="ListParagraph"/>
        <w:tabs>
          <w:tab w:val="left" w:pos="836"/>
        </w:tabs>
        <w:spacing w:before="0"/>
        <w:ind w:left="426" w:hanging="426"/>
        <w:rPr>
          <w:noProof/>
          <w:sz w:val="24"/>
        </w:rPr>
      </w:pPr>
      <w:r>
        <w:rPr>
          <w:sz w:val="24"/>
        </w:rPr>
        <w:t>5.3. Apstrīdētos gadījumus varētu sīkāk apspriest Kodeksā paredzētajā ikgadējā sanāksmē (skat. Kodeksa 4. punktu). Ja uzraudzības ziņotājs divu uzraudzības posmu laikā ir iesniedzis ievērojamu skaitu ziņojumu par apstrīdētiem gadījumiem, kas nav atrisināti (vairāk nekā 70 %), Komisija pēc uzraudzības ziņotāja uzklausīšanas un apspriešanās ar attiecīgajiem parakstītājiem var nolemt līdz turpmākam paziņojumam apturēt šā uzraudzības ziņotāja dalību turpmākajos pasākumos.</w:t>
      </w:r>
    </w:p>
    <w:p w14:paraId="7B84CF81" w14:textId="77777777" w:rsidR="006B2FFE" w:rsidRPr="003E6A75" w:rsidRDefault="006B2FFE" w:rsidP="006B2FFE">
      <w:pPr>
        <w:pStyle w:val="ListParagraph"/>
        <w:tabs>
          <w:tab w:val="left" w:pos="836"/>
        </w:tabs>
        <w:spacing w:before="0"/>
        <w:ind w:left="0" w:firstLine="0"/>
        <w:jc w:val="left"/>
        <w:rPr>
          <w:noProof/>
          <w:sz w:val="24"/>
        </w:rPr>
      </w:pPr>
    </w:p>
    <w:p w14:paraId="16370E0D" w14:textId="477A4BD3" w:rsidR="00A574AC" w:rsidRPr="003E6A75" w:rsidRDefault="006B2FFE" w:rsidP="000448A9">
      <w:pPr>
        <w:pStyle w:val="Heading1"/>
        <w:keepNext/>
        <w:keepLines/>
        <w:tabs>
          <w:tab w:val="left" w:pos="836"/>
        </w:tabs>
        <w:spacing w:before="0"/>
        <w:ind w:left="0" w:firstLine="0"/>
        <w:rPr>
          <w:noProof/>
          <w:sz w:val="24"/>
        </w:rPr>
      </w:pPr>
      <w:r>
        <w:rPr>
          <w:sz w:val="24"/>
        </w:rPr>
        <w:lastRenderedPageBreak/>
        <w:t>6. Datu konsolidēšana</w:t>
      </w:r>
    </w:p>
    <w:p w14:paraId="6FA98365" w14:textId="77777777" w:rsidR="006B2FFE" w:rsidRDefault="006B2FFE" w:rsidP="000448A9">
      <w:pPr>
        <w:pStyle w:val="ListParagraph"/>
        <w:keepNext/>
        <w:keepLines/>
        <w:tabs>
          <w:tab w:val="left" w:pos="836"/>
        </w:tabs>
        <w:spacing w:before="0"/>
        <w:ind w:left="0" w:firstLine="0"/>
        <w:jc w:val="left"/>
        <w:rPr>
          <w:noProof/>
          <w:sz w:val="24"/>
        </w:rPr>
      </w:pPr>
    </w:p>
    <w:p w14:paraId="5922D021" w14:textId="30DF0ABB" w:rsidR="00A574AC" w:rsidRPr="003E6A75" w:rsidRDefault="006B2FFE" w:rsidP="000448A9">
      <w:pPr>
        <w:pStyle w:val="ListParagraph"/>
        <w:keepNext/>
        <w:keepLines/>
        <w:tabs>
          <w:tab w:val="left" w:pos="836"/>
        </w:tabs>
        <w:spacing w:before="0"/>
        <w:ind w:left="426" w:hanging="426"/>
        <w:rPr>
          <w:noProof/>
          <w:sz w:val="24"/>
        </w:rPr>
      </w:pPr>
      <w:r>
        <w:rPr>
          <w:sz w:val="24"/>
        </w:rPr>
        <w:t>6.1. Pirms uzraudzības pasākuma Komisija (ar iespējamu trešās puses koordinatora administratīvo atbalstu) veic uzraudzības ziņotāju mācības par kvalitatīviem paziņojumiem un datu vākšanu, ņemot vērā parakstītāju sniegto informāciju.</w:t>
      </w:r>
    </w:p>
    <w:p w14:paraId="0A565254" w14:textId="77777777" w:rsidR="006B2FFE" w:rsidRDefault="006B2FFE" w:rsidP="000448A9">
      <w:pPr>
        <w:pStyle w:val="ListParagraph"/>
        <w:keepNext/>
        <w:keepLines/>
        <w:tabs>
          <w:tab w:val="left" w:pos="836"/>
        </w:tabs>
        <w:spacing w:before="0"/>
        <w:ind w:left="426" w:hanging="426"/>
        <w:rPr>
          <w:noProof/>
          <w:sz w:val="24"/>
        </w:rPr>
      </w:pPr>
    </w:p>
    <w:p w14:paraId="27975FCD" w14:textId="3B534D35" w:rsidR="00A574AC" w:rsidRPr="003E6A75" w:rsidRDefault="006B2FFE" w:rsidP="000448A9">
      <w:pPr>
        <w:pStyle w:val="ListParagraph"/>
        <w:keepNext/>
        <w:keepLines/>
        <w:tabs>
          <w:tab w:val="left" w:pos="836"/>
        </w:tabs>
        <w:spacing w:before="0"/>
        <w:ind w:left="426" w:hanging="426"/>
        <w:rPr>
          <w:noProof/>
          <w:sz w:val="24"/>
        </w:rPr>
      </w:pPr>
      <w:r>
        <w:rPr>
          <w:sz w:val="24"/>
        </w:rPr>
        <w:t>6.2. Parakstītājus informē par uzraudzības posma beigām, kam sekos datu konsolidēšanas posms (kas jānosaka katru gadu), kuru koordinē Komisija (ar iespējamu trešās puses koordinatora administratīvo atbalstu), lai parakstītāji varētu izanalizēt un apstiprināt iesniegtos provizoriskos rezultātus (tostarp apzināt kļūdas vai apstrīdētos gadījumus), sazināties ar uzraudzības ziņotājiem par neatbilstībām un atvēlēt pietiekami daudz laika apstrīdēto gadījumu apspriešanai.</w:t>
      </w:r>
    </w:p>
    <w:p w14:paraId="0B9F6552" w14:textId="77777777" w:rsidR="006B2FFE" w:rsidRDefault="006B2FFE" w:rsidP="006B2FFE">
      <w:pPr>
        <w:pStyle w:val="ListParagraph"/>
        <w:tabs>
          <w:tab w:val="left" w:pos="836"/>
        </w:tabs>
        <w:spacing w:before="0"/>
        <w:ind w:left="426" w:hanging="426"/>
        <w:rPr>
          <w:noProof/>
          <w:sz w:val="24"/>
        </w:rPr>
      </w:pPr>
    </w:p>
    <w:p w14:paraId="7542FED5" w14:textId="22CF2A24" w:rsidR="00A574AC" w:rsidRDefault="006B2FFE" w:rsidP="006B2FFE">
      <w:pPr>
        <w:pStyle w:val="ListParagraph"/>
        <w:tabs>
          <w:tab w:val="left" w:pos="836"/>
        </w:tabs>
        <w:spacing w:before="0"/>
        <w:ind w:left="426" w:hanging="426"/>
        <w:rPr>
          <w:noProof/>
          <w:sz w:val="24"/>
        </w:rPr>
      </w:pPr>
      <w:r>
        <w:rPr>
          <w:sz w:val="24"/>
        </w:rPr>
        <w:t>6.3. Ja noteikta uzraudzības posma laikā viena parakstītāja kopējais kļūdu gadījumu un apstrīdēto gadījumu skaits pārsniedz 75 % no kopējā nosūtīto paziņojumu skaita, Komisija par to pienācīgi informē, publicējot rezultātus. Tas var liegt parakstītāja rezultātu publicēšanu, kā minēts 7. punktā, ņemot vērā faktu, ka šos rezultātus var uzskatīt par neuzticamiem.</w:t>
      </w:r>
    </w:p>
    <w:p w14:paraId="3F2AD186" w14:textId="77777777" w:rsidR="006B2FFE" w:rsidRPr="003E6A75" w:rsidRDefault="006B2FFE" w:rsidP="006B2FFE">
      <w:pPr>
        <w:pStyle w:val="ListParagraph"/>
        <w:tabs>
          <w:tab w:val="left" w:pos="836"/>
        </w:tabs>
        <w:spacing w:before="0"/>
        <w:ind w:left="0" w:firstLine="0"/>
        <w:jc w:val="left"/>
        <w:rPr>
          <w:noProof/>
          <w:sz w:val="24"/>
        </w:rPr>
      </w:pPr>
    </w:p>
    <w:p w14:paraId="04BA86E0" w14:textId="77777777" w:rsidR="006B2FFE" w:rsidRDefault="006B2FFE" w:rsidP="006B2FFE">
      <w:pPr>
        <w:pStyle w:val="Heading1"/>
        <w:tabs>
          <w:tab w:val="left" w:pos="836"/>
        </w:tabs>
        <w:spacing w:before="0"/>
        <w:ind w:left="0" w:firstLine="0"/>
        <w:rPr>
          <w:noProof/>
          <w:sz w:val="24"/>
        </w:rPr>
      </w:pPr>
      <w:r>
        <w:rPr>
          <w:sz w:val="24"/>
        </w:rPr>
        <w:t>7. Pārskata publicēšana</w:t>
      </w:r>
    </w:p>
    <w:p w14:paraId="3D05776C" w14:textId="77777777" w:rsidR="006B2FFE" w:rsidRDefault="006B2FFE" w:rsidP="006B2FFE">
      <w:pPr>
        <w:pStyle w:val="Heading1"/>
        <w:tabs>
          <w:tab w:val="left" w:pos="836"/>
        </w:tabs>
        <w:spacing w:before="0"/>
        <w:ind w:left="0" w:firstLine="0"/>
        <w:rPr>
          <w:noProof/>
          <w:sz w:val="24"/>
        </w:rPr>
      </w:pPr>
    </w:p>
    <w:p w14:paraId="43BC5618" w14:textId="455BB9C1" w:rsidR="00A574AC" w:rsidRPr="006B2FFE" w:rsidRDefault="006B2FFE" w:rsidP="006B2FFE">
      <w:pPr>
        <w:pStyle w:val="Heading1"/>
        <w:tabs>
          <w:tab w:val="left" w:pos="836"/>
        </w:tabs>
        <w:spacing w:before="0"/>
        <w:ind w:left="0" w:firstLine="0"/>
        <w:jc w:val="both"/>
        <w:rPr>
          <w:b w:val="0"/>
          <w:bCs w:val="0"/>
          <w:noProof/>
          <w:sz w:val="24"/>
        </w:rPr>
      </w:pPr>
      <w:r>
        <w:rPr>
          <w:b w:val="0"/>
          <w:sz w:val="24"/>
        </w:rPr>
        <w:t>7.1. Pēc datu konsolidēšanas Komisija trīs mēnešu laikā pēc uzraudzības posma beigām publicē uzraudzības gala rezultātus. Komisija vismaz divas nedēļas pirms pārskata publicēšanas nosūta parakstītājiem gala rezultātu provizorisko redakciju. Gala rezultātus aprēķina Eiropas Komisija, un tie ietver turpmāk minētos datus.</w:t>
      </w:r>
    </w:p>
    <w:p w14:paraId="56876AD8" w14:textId="77777777" w:rsidR="006B2FFE" w:rsidRPr="006B2FFE" w:rsidRDefault="006B2FFE" w:rsidP="00D2042A">
      <w:pPr>
        <w:pStyle w:val="ListParagraph"/>
        <w:tabs>
          <w:tab w:val="left" w:pos="836"/>
        </w:tabs>
        <w:spacing w:before="0"/>
        <w:ind w:left="0" w:firstLine="0"/>
        <w:rPr>
          <w:noProof/>
          <w:sz w:val="24"/>
        </w:rPr>
      </w:pPr>
    </w:p>
    <w:p w14:paraId="2B3FA89E" w14:textId="620E7787" w:rsidR="00A574AC" w:rsidRDefault="00D2042A" w:rsidP="00AA2D64">
      <w:pPr>
        <w:pStyle w:val="Heading1"/>
        <w:tabs>
          <w:tab w:val="left" w:pos="2276"/>
        </w:tabs>
        <w:spacing w:before="0"/>
        <w:ind w:left="567" w:firstLine="0"/>
        <w:jc w:val="both"/>
        <w:rPr>
          <w:noProof/>
          <w:sz w:val="24"/>
        </w:rPr>
      </w:pPr>
      <w:r>
        <w:rPr>
          <w:sz w:val="24"/>
        </w:rPr>
        <w:t>7.1.1. Kopējie dati:</w:t>
      </w:r>
    </w:p>
    <w:p w14:paraId="537861BD" w14:textId="77777777" w:rsidR="00D2042A" w:rsidRPr="003E6A75" w:rsidRDefault="00D2042A" w:rsidP="00AA2D64">
      <w:pPr>
        <w:pStyle w:val="Heading1"/>
        <w:tabs>
          <w:tab w:val="left" w:pos="2276"/>
        </w:tabs>
        <w:spacing w:before="0"/>
        <w:ind w:left="0" w:firstLine="0"/>
        <w:jc w:val="both"/>
        <w:rPr>
          <w:noProof/>
          <w:sz w:val="24"/>
        </w:rPr>
      </w:pPr>
    </w:p>
    <w:p w14:paraId="44347D54" w14:textId="58E813D1" w:rsidR="00A574AC" w:rsidRPr="003E6A75" w:rsidRDefault="00D2042A" w:rsidP="00AA2D64">
      <w:pPr>
        <w:pStyle w:val="ListParagraph"/>
        <w:tabs>
          <w:tab w:val="left" w:pos="2996"/>
        </w:tabs>
        <w:spacing w:before="0"/>
        <w:ind w:left="1418" w:hanging="851"/>
        <w:rPr>
          <w:noProof/>
          <w:sz w:val="24"/>
        </w:rPr>
      </w:pPr>
      <w:r>
        <w:rPr>
          <w:sz w:val="24"/>
        </w:rPr>
        <w:t>7.1.1.1. no uzraudzības ziņotājiem saņemto paziņojumu skaits;</w:t>
      </w:r>
    </w:p>
    <w:p w14:paraId="591243AB" w14:textId="77777777" w:rsidR="00D2042A" w:rsidRDefault="00D2042A" w:rsidP="00AA2D64">
      <w:pPr>
        <w:pStyle w:val="ListParagraph"/>
        <w:tabs>
          <w:tab w:val="left" w:pos="2997"/>
        </w:tabs>
        <w:spacing w:before="0"/>
        <w:ind w:left="1418" w:hanging="851"/>
        <w:rPr>
          <w:noProof/>
          <w:sz w:val="24"/>
        </w:rPr>
      </w:pPr>
    </w:p>
    <w:p w14:paraId="2CB8E7BE" w14:textId="65CC64CF" w:rsidR="00A574AC" w:rsidRDefault="00D2042A" w:rsidP="00AA2D64">
      <w:pPr>
        <w:pStyle w:val="ListParagraph"/>
        <w:tabs>
          <w:tab w:val="left" w:pos="2997"/>
        </w:tabs>
        <w:spacing w:before="0"/>
        <w:ind w:left="1418" w:hanging="851"/>
        <w:rPr>
          <w:noProof/>
          <w:sz w:val="24"/>
        </w:rPr>
      </w:pPr>
      <w:r>
        <w:rPr>
          <w:sz w:val="24"/>
        </w:rPr>
        <w:t>7.1.1.2. no tiem uzraudzības ziņotājiem saņemto paziņojumu skaits, kas nav uzticami signalizētāji;</w:t>
      </w:r>
    </w:p>
    <w:p w14:paraId="0CCFE05A" w14:textId="77777777" w:rsidR="00D2042A" w:rsidRPr="003E6A75" w:rsidRDefault="00D2042A" w:rsidP="00AA2D64">
      <w:pPr>
        <w:pStyle w:val="ListParagraph"/>
        <w:tabs>
          <w:tab w:val="left" w:pos="2997"/>
        </w:tabs>
        <w:spacing w:before="0"/>
        <w:ind w:left="1418" w:hanging="851"/>
        <w:rPr>
          <w:noProof/>
          <w:sz w:val="24"/>
        </w:rPr>
      </w:pPr>
    </w:p>
    <w:p w14:paraId="4C9F30E6" w14:textId="6CDCEE62" w:rsidR="00A574AC" w:rsidRDefault="00D2042A" w:rsidP="00AA2D64">
      <w:pPr>
        <w:pStyle w:val="ListParagraph"/>
        <w:tabs>
          <w:tab w:val="left" w:pos="2997"/>
        </w:tabs>
        <w:spacing w:before="0"/>
        <w:ind w:left="1418" w:hanging="851"/>
        <w:rPr>
          <w:noProof/>
          <w:sz w:val="24"/>
        </w:rPr>
      </w:pPr>
      <w:r>
        <w:rPr>
          <w:sz w:val="24"/>
        </w:rPr>
        <w:t>7.1.1.3. to uzraudzības ziņotāju skaits, kas ir piedalījušies uzraudzībā, tostarp informācija par valodām un aptvertajām dalībvalstīm;</w:t>
      </w:r>
    </w:p>
    <w:p w14:paraId="5D077753" w14:textId="77777777" w:rsidR="00D2042A" w:rsidRPr="003E6A75" w:rsidRDefault="00D2042A" w:rsidP="00AA2D64">
      <w:pPr>
        <w:pStyle w:val="ListParagraph"/>
        <w:tabs>
          <w:tab w:val="left" w:pos="2997"/>
        </w:tabs>
        <w:spacing w:before="0"/>
        <w:ind w:left="1418" w:hanging="851"/>
        <w:rPr>
          <w:noProof/>
          <w:sz w:val="24"/>
        </w:rPr>
      </w:pPr>
    </w:p>
    <w:p w14:paraId="1223CF55" w14:textId="05AB8EAB" w:rsidR="00A574AC" w:rsidRDefault="00D2042A" w:rsidP="00AA2D64">
      <w:pPr>
        <w:pStyle w:val="ListParagraph"/>
        <w:tabs>
          <w:tab w:val="left" w:pos="2997"/>
        </w:tabs>
        <w:spacing w:before="0"/>
        <w:ind w:left="1418" w:hanging="851"/>
        <w:rPr>
          <w:noProof/>
          <w:sz w:val="24"/>
        </w:rPr>
      </w:pPr>
      <w:r>
        <w:rPr>
          <w:sz w:val="24"/>
        </w:rPr>
        <w:t>7.1.1.4. to paziņojumu vidējais īpatsvars, kas izņemti no visām uzraudzības procesā iesaistītajām dažādu parakstītāju platformām;</w:t>
      </w:r>
    </w:p>
    <w:p w14:paraId="3918C313" w14:textId="77777777" w:rsidR="00D2042A" w:rsidRPr="003E6A75" w:rsidRDefault="00D2042A" w:rsidP="00AA2D64">
      <w:pPr>
        <w:pStyle w:val="ListParagraph"/>
        <w:tabs>
          <w:tab w:val="left" w:pos="2997"/>
        </w:tabs>
        <w:spacing w:before="0"/>
        <w:ind w:left="1418" w:hanging="851"/>
        <w:rPr>
          <w:noProof/>
          <w:sz w:val="24"/>
        </w:rPr>
      </w:pPr>
    </w:p>
    <w:p w14:paraId="02D5B950" w14:textId="4B89606C" w:rsidR="00A574AC" w:rsidRDefault="00D2042A" w:rsidP="00AA2D64">
      <w:pPr>
        <w:pStyle w:val="ListParagraph"/>
        <w:tabs>
          <w:tab w:val="left" w:pos="2997"/>
        </w:tabs>
        <w:spacing w:before="0"/>
        <w:ind w:left="1418" w:hanging="851"/>
        <w:rPr>
          <w:noProof/>
          <w:sz w:val="24"/>
        </w:rPr>
      </w:pPr>
      <w:r>
        <w:rPr>
          <w:sz w:val="24"/>
        </w:rPr>
        <w:t>7.1.1.5. 24 stundu un 48 stundu laikā parakstītāju vidū izskatīto paziņojumu vidējais īpatsvars;</w:t>
      </w:r>
    </w:p>
    <w:p w14:paraId="18B7AE72" w14:textId="77777777" w:rsidR="00D2042A" w:rsidRPr="003E6A75" w:rsidRDefault="00D2042A" w:rsidP="00AA2D64">
      <w:pPr>
        <w:pStyle w:val="ListParagraph"/>
        <w:tabs>
          <w:tab w:val="left" w:pos="2997"/>
        </w:tabs>
        <w:spacing w:before="0"/>
        <w:ind w:left="1418" w:hanging="851"/>
        <w:rPr>
          <w:noProof/>
          <w:sz w:val="24"/>
        </w:rPr>
      </w:pPr>
    </w:p>
    <w:p w14:paraId="5C32E5D6" w14:textId="4063373D" w:rsidR="00A574AC" w:rsidRDefault="00D2042A" w:rsidP="00AA2D64">
      <w:pPr>
        <w:pStyle w:val="ListParagraph"/>
        <w:tabs>
          <w:tab w:val="left" w:pos="2997"/>
        </w:tabs>
        <w:spacing w:before="0"/>
        <w:ind w:left="1418" w:hanging="851"/>
        <w:rPr>
          <w:noProof/>
          <w:sz w:val="24"/>
        </w:rPr>
      </w:pPr>
      <w:r>
        <w:rPr>
          <w:sz w:val="24"/>
        </w:rPr>
        <w:t>7.1.1.6. nelikumīgas naida runas iemeslu vidējais sadalījums, pamatojoties uz uzraudzības ziņotāju sniegtajiem datiem.</w:t>
      </w:r>
    </w:p>
    <w:p w14:paraId="0ACC775C" w14:textId="77777777" w:rsidR="00D2042A" w:rsidRPr="003E6A75" w:rsidRDefault="00D2042A" w:rsidP="00AA2D64">
      <w:pPr>
        <w:pStyle w:val="ListParagraph"/>
        <w:tabs>
          <w:tab w:val="left" w:pos="2997"/>
        </w:tabs>
        <w:spacing w:before="0"/>
        <w:ind w:left="0" w:firstLine="0"/>
        <w:rPr>
          <w:noProof/>
          <w:sz w:val="24"/>
        </w:rPr>
      </w:pPr>
    </w:p>
    <w:p w14:paraId="27A8304B" w14:textId="326D58F7" w:rsidR="00A574AC" w:rsidRPr="003E6A75" w:rsidRDefault="00AA2D64" w:rsidP="00AA2D64">
      <w:pPr>
        <w:pStyle w:val="Heading1"/>
        <w:tabs>
          <w:tab w:val="left" w:pos="2276"/>
        </w:tabs>
        <w:spacing w:before="0"/>
        <w:ind w:left="567" w:firstLine="0"/>
        <w:jc w:val="both"/>
        <w:rPr>
          <w:noProof/>
          <w:sz w:val="24"/>
        </w:rPr>
      </w:pPr>
      <w:r>
        <w:rPr>
          <w:sz w:val="24"/>
        </w:rPr>
        <w:t>7.1.2. Katra parakstītāja dati:</w:t>
      </w:r>
    </w:p>
    <w:p w14:paraId="56695C18" w14:textId="77777777" w:rsidR="00AA2D64" w:rsidRDefault="00AA2D64" w:rsidP="00AA2D64">
      <w:pPr>
        <w:pStyle w:val="ListParagraph"/>
        <w:tabs>
          <w:tab w:val="left" w:pos="2997"/>
        </w:tabs>
        <w:spacing w:before="0"/>
        <w:ind w:left="1418" w:hanging="851"/>
        <w:rPr>
          <w:noProof/>
          <w:sz w:val="24"/>
        </w:rPr>
      </w:pPr>
    </w:p>
    <w:p w14:paraId="7A5166CA" w14:textId="223D15A2" w:rsidR="00A574AC" w:rsidRPr="003E6A75" w:rsidRDefault="00AA2D64" w:rsidP="00AA2D64">
      <w:pPr>
        <w:pStyle w:val="ListParagraph"/>
        <w:tabs>
          <w:tab w:val="left" w:pos="2997"/>
        </w:tabs>
        <w:spacing w:before="0"/>
        <w:ind w:left="1418" w:hanging="851"/>
        <w:rPr>
          <w:noProof/>
          <w:sz w:val="24"/>
        </w:rPr>
      </w:pPr>
      <w:r>
        <w:rPr>
          <w:sz w:val="24"/>
        </w:rPr>
        <w:t>7.1.2.1. no uzraudzības ziņotājiem saņemto paziņojumu skaits (ja atbilstīgi, norādot sadalījumu starp īpašo un parasto paziņošanas procesu);</w:t>
      </w:r>
    </w:p>
    <w:p w14:paraId="1DDDABDE" w14:textId="77777777" w:rsidR="00AA2D64" w:rsidRDefault="00AA2D64" w:rsidP="00AA2D64">
      <w:pPr>
        <w:pStyle w:val="ListParagraph"/>
        <w:tabs>
          <w:tab w:val="left" w:pos="2997"/>
        </w:tabs>
        <w:spacing w:before="0"/>
        <w:ind w:left="1418" w:hanging="851"/>
        <w:rPr>
          <w:noProof/>
          <w:sz w:val="24"/>
        </w:rPr>
      </w:pPr>
    </w:p>
    <w:p w14:paraId="1FE14068" w14:textId="37CF9564" w:rsidR="00A574AC" w:rsidRPr="003E6A75" w:rsidRDefault="00AA2D64" w:rsidP="000448A9">
      <w:pPr>
        <w:pStyle w:val="ListParagraph"/>
        <w:keepNext/>
        <w:keepLines/>
        <w:tabs>
          <w:tab w:val="left" w:pos="2997"/>
        </w:tabs>
        <w:spacing w:before="0"/>
        <w:ind w:left="1418" w:hanging="851"/>
        <w:rPr>
          <w:noProof/>
          <w:sz w:val="24"/>
        </w:rPr>
      </w:pPr>
      <w:r>
        <w:rPr>
          <w:sz w:val="24"/>
        </w:rPr>
        <w:lastRenderedPageBreak/>
        <w:t>7.1.2.2. ja atbilstīgi, paziņojumu skaits attiecībā uz katru no satura veidiem (video, attēls, teksts vai cits).</w:t>
      </w:r>
    </w:p>
    <w:p w14:paraId="1F709459" w14:textId="77777777" w:rsidR="00A574AC" w:rsidRDefault="00A574AC" w:rsidP="000448A9">
      <w:pPr>
        <w:keepNext/>
        <w:keepLines/>
        <w:ind w:left="1418"/>
        <w:rPr>
          <w:i/>
          <w:noProof/>
          <w:sz w:val="24"/>
        </w:rPr>
      </w:pPr>
      <w:r>
        <w:rPr>
          <w:i/>
          <w:sz w:val="24"/>
        </w:rPr>
        <w:t>Pārskatīšanas ilgums:</w:t>
      </w:r>
    </w:p>
    <w:p w14:paraId="294F4FF2" w14:textId="77777777" w:rsidR="00AA2D64" w:rsidRPr="003E6A75" w:rsidRDefault="00AA2D64" w:rsidP="00AA2D64">
      <w:pPr>
        <w:ind w:left="1418"/>
        <w:rPr>
          <w:i/>
          <w:noProof/>
          <w:sz w:val="24"/>
        </w:rPr>
      </w:pPr>
    </w:p>
    <w:p w14:paraId="3CF7E782" w14:textId="6557B4FE" w:rsidR="00A574AC" w:rsidRPr="003E6A75" w:rsidRDefault="008A768B" w:rsidP="00AA2D64">
      <w:pPr>
        <w:pStyle w:val="ListParagraph"/>
        <w:tabs>
          <w:tab w:val="left" w:pos="2997"/>
        </w:tabs>
        <w:spacing w:before="0"/>
        <w:ind w:left="1418" w:hanging="851"/>
        <w:rPr>
          <w:noProof/>
          <w:sz w:val="24"/>
        </w:rPr>
      </w:pPr>
      <w:r>
        <w:rPr>
          <w:sz w:val="24"/>
        </w:rPr>
        <w:t>7.1.2.3. to paziņojumu īpatsvars (neņemot vērā kļūdu gadījumus un apstrīdētos gadījumus), kurus iesnieguši uzraudzības ziņotāji, izmantojot īpašos paziņošanas procesus, un kuri pārskatīti 24 stundu un 48 stundu laikā;</w:t>
      </w:r>
    </w:p>
    <w:p w14:paraId="2E1CE5E2" w14:textId="77777777" w:rsidR="008A768B" w:rsidRDefault="008A768B" w:rsidP="00AA2D64">
      <w:pPr>
        <w:pStyle w:val="ListParagraph"/>
        <w:tabs>
          <w:tab w:val="left" w:pos="2997"/>
        </w:tabs>
        <w:spacing w:before="0"/>
        <w:ind w:left="1418" w:hanging="851"/>
        <w:rPr>
          <w:noProof/>
          <w:sz w:val="24"/>
        </w:rPr>
      </w:pPr>
    </w:p>
    <w:p w14:paraId="0D794384" w14:textId="11928F4D" w:rsidR="00A574AC" w:rsidRPr="003E6A75" w:rsidRDefault="008A768B" w:rsidP="00AA2D64">
      <w:pPr>
        <w:pStyle w:val="ListParagraph"/>
        <w:tabs>
          <w:tab w:val="left" w:pos="2997"/>
        </w:tabs>
        <w:spacing w:before="0"/>
        <w:ind w:left="1418" w:hanging="851"/>
        <w:rPr>
          <w:noProof/>
          <w:sz w:val="24"/>
        </w:rPr>
      </w:pPr>
      <w:r>
        <w:rPr>
          <w:sz w:val="24"/>
        </w:rPr>
        <w:t>7.1.2.4. to paziņojumu īpatsvars (neņemot vērā kļūdu gadījumus un apstrīdētos gadījumus), kurus iesnieguši uzraudzības ziņotāji, izmantojot parasto lietotāju paziņošanas procesus, un kuri pārskatīti 24 stundu un 48 stundu laikā;</w:t>
      </w:r>
    </w:p>
    <w:p w14:paraId="3F6E1D1E" w14:textId="77777777" w:rsidR="008A768B" w:rsidRDefault="008A768B" w:rsidP="00AA2D64">
      <w:pPr>
        <w:pStyle w:val="ListParagraph"/>
        <w:tabs>
          <w:tab w:val="left" w:pos="2997"/>
        </w:tabs>
        <w:spacing w:before="0"/>
        <w:ind w:left="1418" w:hanging="851"/>
        <w:rPr>
          <w:noProof/>
          <w:sz w:val="24"/>
        </w:rPr>
      </w:pPr>
    </w:p>
    <w:p w14:paraId="001FD7E7" w14:textId="03700820" w:rsidR="00A574AC" w:rsidRDefault="008A768B" w:rsidP="00AA2D64">
      <w:pPr>
        <w:pStyle w:val="ListParagraph"/>
        <w:tabs>
          <w:tab w:val="left" w:pos="2997"/>
        </w:tabs>
        <w:spacing w:before="0"/>
        <w:ind w:left="1418" w:hanging="851"/>
        <w:rPr>
          <w:noProof/>
          <w:sz w:val="24"/>
        </w:rPr>
      </w:pPr>
      <w:r>
        <w:rPr>
          <w:sz w:val="24"/>
        </w:rPr>
        <w:t>7.1.2.5. to apstrīdēto gadījumu īpatsvars, par kuriem paziņots, izmantojot gan īpašos paziņošanas procesus, gan parasto lietotāju paziņošanas procesus, un kuri pārskatīti 24 stundu un 48 stundu laikā, norādot katram paziņošanas kanālam atbilstošo skaitli.</w:t>
      </w:r>
    </w:p>
    <w:p w14:paraId="68F92F91" w14:textId="77777777" w:rsidR="008A768B" w:rsidRPr="003E6A75" w:rsidRDefault="008A768B" w:rsidP="00AA2D64">
      <w:pPr>
        <w:pStyle w:val="ListParagraph"/>
        <w:tabs>
          <w:tab w:val="left" w:pos="2997"/>
        </w:tabs>
        <w:spacing w:before="0"/>
        <w:ind w:left="1418" w:hanging="851"/>
        <w:rPr>
          <w:noProof/>
          <w:sz w:val="24"/>
        </w:rPr>
      </w:pPr>
    </w:p>
    <w:p w14:paraId="60AA6E31" w14:textId="77777777" w:rsidR="00A574AC" w:rsidRDefault="00A574AC" w:rsidP="00463840">
      <w:pPr>
        <w:ind w:left="1418"/>
        <w:rPr>
          <w:i/>
          <w:noProof/>
          <w:sz w:val="24"/>
        </w:rPr>
      </w:pPr>
      <w:r>
        <w:rPr>
          <w:i/>
          <w:sz w:val="24"/>
        </w:rPr>
        <w:t>Izņemšana (vai līdzvērtīga īstenota izpildes darbība – ja iespējams, precizējiet):</w:t>
      </w:r>
    </w:p>
    <w:p w14:paraId="0DF2B9C4" w14:textId="77777777" w:rsidR="008A768B" w:rsidRPr="003E6A75" w:rsidRDefault="008A768B" w:rsidP="003E6A75">
      <w:pPr>
        <w:rPr>
          <w:i/>
          <w:noProof/>
          <w:sz w:val="24"/>
        </w:rPr>
      </w:pPr>
    </w:p>
    <w:p w14:paraId="05522D44" w14:textId="37617715" w:rsidR="00A574AC" w:rsidRPr="003E6A75" w:rsidRDefault="008A768B" w:rsidP="008A768B">
      <w:pPr>
        <w:pStyle w:val="ListParagraph"/>
        <w:tabs>
          <w:tab w:val="left" w:pos="2997"/>
        </w:tabs>
        <w:spacing w:before="0"/>
        <w:ind w:left="1418" w:hanging="851"/>
        <w:rPr>
          <w:noProof/>
          <w:sz w:val="24"/>
        </w:rPr>
      </w:pPr>
      <w:r>
        <w:rPr>
          <w:sz w:val="24"/>
        </w:rPr>
        <w:t>7.1.2.6. to izņemto paziņojumu (izņemot kļūdu gadījumus un apstrīdētos gadījumus) īpatsvars, kurus uzraudzības ziņotāji ir iesnieguši, izmantojot īpašos paziņošanas procesus;</w:t>
      </w:r>
    </w:p>
    <w:p w14:paraId="09A85994" w14:textId="77777777" w:rsidR="008A768B" w:rsidRDefault="008A768B" w:rsidP="008A768B">
      <w:pPr>
        <w:pStyle w:val="ListParagraph"/>
        <w:tabs>
          <w:tab w:val="left" w:pos="2997"/>
        </w:tabs>
        <w:spacing w:before="0"/>
        <w:ind w:left="1418" w:hanging="851"/>
        <w:rPr>
          <w:noProof/>
          <w:sz w:val="24"/>
        </w:rPr>
      </w:pPr>
    </w:p>
    <w:p w14:paraId="3C9F34F0" w14:textId="413616E8" w:rsidR="00A574AC" w:rsidRDefault="008A768B" w:rsidP="008A768B">
      <w:pPr>
        <w:pStyle w:val="ListParagraph"/>
        <w:tabs>
          <w:tab w:val="left" w:pos="2997"/>
        </w:tabs>
        <w:spacing w:before="0"/>
        <w:ind w:left="1418" w:hanging="851"/>
        <w:rPr>
          <w:noProof/>
          <w:sz w:val="24"/>
        </w:rPr>
      </w:pPr>
      <w:r>
        <w:rPr>
          <w:sz w:val="24"/>
        </w:rPr>
        <w:t>7.1.2.7. to izņemto paziņojumu (izņemot kļūdu gadījumus un apstrīdētos gadījumus) īpatsvars, kurus uzraudzības ziņotāji ir iesnieguši, izmantojot parasto lietotāju paziņošanas procesus;</w:t>
      </w:r>
    </w:p>
    <w:p w14:paraId="723A4257" w14:textId="77777777" w:rsidR="008A768B" w:rsidRPr="003E6A75" w:rsidRDefault="008A768B" w:rsidP="008A768B">
      <w:pPr>
        <w:pStyle w:val="ListParagraph"/>
        <w:tabs>
          <w:tab w:val="left" w:pos="2997"/>
        </w:tabs>
        <w:spacing w:before="0"/>
        <w:ind w:left="1418" w:hanging="851"/>
        <w:rPr>
          <w:noProof/>
          <w:sz w:val="24"/>
        </w:rPr>
      </w:pPr>
    </w:p>
    <w:p w14:paraId="42BEAD9C" w14:textId="152A45C0" w:rsidR="00A574AC" w:rsidRPr="003E6A75" w:rsidRDefault="008A768B" w:rsidP="008A768B">
      <w:pPr>
        <w:pStyle w:val="ListParagraph"/>
        <w:tabs>
          <w:tab w:val="left" w:pos="2997"/>
        </w:tabs>
        <w:spacing w:before="0"/>
        <w:ind w:left="1418" w:hanging="851"/>
        <w:rPr>
          <w:noProof/>
          <w:sz w:val="24"/>
        </w:rPr>
      </w:pPr>
      <w:r>
        <w:rPr>
          <w:sz w:val="24"/>
        </w:rPr>
        <w:t>7.1.2.8. to paziņojumu īpatsvars, kurus uzraudzības ziņotāji ir nosūtījuši, izmantojot gan īpašos paziņošanas procesus (ja tādi ir pieejami), gan parasto lietotāju paziņošanas procesus, un kuri ir apstrīdēti gadījumi, norādot katram paziņošanas kanālam atbilstošo skaitli;</w:t>
      </w:r>
    </w:p>
    <w:p w14:paraId="3156FC14" w14:textId="77777777" w:rsidR="00F40A2A" w:rsidRPr="003E6A75" w:rsidRDefault="00F40A2A" w:rsidP="008A768B">
      <w:pPr>
        <w:pStyle w:val="ListParagraph"/>
        <w:tabs>
          <w:tab w:val="left" w:pos="2997"/>
        </w:tabs>
        <w:spacing w:before="0"/>
        <w:ind w:left="1418" w:hanging="851"/>
        <w:rPr>
          <w:noProof/>
          <w:sz w:val="24"/>
        </w:rPr>
      </w:pPr>
    </w:p>
    <w:p w14:paraId="1734E732" w14:textId="1BEE2F9E" w:rsidR="00A574AC" w:rsidRPr="003E6A75" w:rsidRDefault="008A768B" w:rsidP="008A768B">
      <w:pPr>
        <w:pStyle w:val="ListParagraph"/>
        <w:tabs>
          <w:tab w:val="left" w:pos="2997"/>
        </w:tabs>
        <w:spacing w:before="0"/>
        <w:ind w:left="1418" w:hanging="851"/>
        <w:rPr>
          <w:noProof/>
          <w:sz w:val="24"/>
        </w:rPr>
      </w:pPr>
      <w:r>
        <w:rPr>
          <w:sz w:val="24"/>
        </w:rPr>
        <w:t>7.1.2.9. to gadījumu īpatsvars, kuri sākotnēji bija klasificēti kā apstrīdēti paziņojumi un kuros uzraudzības ziņotāju un parakstītāju dialogā tika izšķirts strīds par nelikumību/likumību.</w:t>
      </w:r>
    </w:p>
    <w:p w14:paraId="639638A9" w14:textId="77777777" w:rsidR="00A574AC" w:rsidRPr="003E6A75" w:rsidRDefault="00A574AC" w:rsidP="003E6A75">
      <w:pPr>
        <w:pStyle w:val="BodyText"/>
        <w:jc w:val="left"/>
        <w:rPr>
          <w:noProof/>
          <w:sz w:val="24"/>
        </w:rPr>
      </w:pPr>
    </w:p>
    <w:p w14:paraId="34C8BE66" w14:textId="62CF7AE7" w:rsidR="00A574AC" w:rsidRDefault="00A574AC" w:rsidP="00463840">
      <w:pPr>
        <w:ind w:left="1418"/>
        <w:rPr>
          <w:i/>
          <w:noProof/>
          <w:sz w:val="24"/>
        </w:rPr>
      </w:pPr>
      <w:r>
        <w:rPr>
          <w:i/>
          <w:sz w:val="24"/>
        </w:rPr>
        <w:t>Atgriezeniskā saite:</w:t>
      </w:r>
    </w:p>
    <w:p w14:paraId="5886A562" w14:textId="77777777" w:rsidR="00463840" w:rsidRPr="003E6A75" w:rsidRDefault="00463840" w:rsidP="003E6A75">
      <w:pPr>
        <w:rPr>
          <w:i/>
          <w:noProof/>
          <w:sz w:val="24"/>
        </w:rPr>
      </w:pPr>
    </w:p>
    <w:p w14:paraId="143D2FB7" w14:textId="6FF3A2D3" w:rsidR="00A574AC" w:rsidRPr="003E6A75" w:rsidRDefault="00463840" w:rsidP="00463840">
      <w:pPr>
        <w:pStyle w:val="ListParagraph"/>
        <w:tabs>
          <w:tab w:val="left" w:pos="2997"/>
        </w:tabs>
        <w:spacing w:before="0"/>
        <w:ind w:left="1418" w:hanging="851"/>
        <w:rPr>
          <w:noProof/>
          <w:sz w:val="24"/>
        </w:rPr>
      </w:pPr>
      <w:r>
        <w:rPr>
          <w:sz w:val="24"/>
        </w:rPr>
        <w:t>7.1.2.10. to uzraudzības ziņotāju iesniegto paziņojumu (izņemot kļūdu gadījumus un apstrīdētos gadījumus) īpatsvars, uz kuriem tika saņemta atbilde no attiecīgā parakstītāja, tostarp sadalījums atbilstoši paziņojumiem, kas bija saņemti, izmantojot parasto lietotāju paziņošanas procesus, un paziņojumiem, kas bija saņemti, izmantojot īpašos paziņošanas procesus, ja tādi ir pieejami.</w:t>
      </w:r>
    </w:p>
    <w:p w14:paraId="6D346077" w14:textId="77777777" w:rsidR="00463840" w:rsidRDefault="00463840" w:rsidP="003E6A75">
      <w:pPr>
        <w:jc w:val="both"/>
        <w:rPr>
          <w:noProof/>
          <w:sz w:val="24"/>
        </w:rPr>
      </w:pPr>
    </w:p>
    <w:p w14:paraId="19102BC8" w14:textId="741BE530" w:rsidR="00F40A2A" w:rsidRPr="00463840" w:rsidRDefault="00463840" w:rsidP="003E6A75">
      <w:pPr>
        <w:jc w:val="both"/>
        <w:rPr>
          <w:b/>
          <w:bCs/>
          <w:noProof/>
          <w:sz w:val="24"/>
        </w:rPr>
      </w:pPr>
      <w:r>
        <w:rPr>
          <w:b/>
          <w:sz w:val="24"/>
        </w:rPr>
        <w:t>8. Mērķis</w:t>
      </w:r>
    </w:p>
    <w:p w14:paraId="0F30D4A1" w14:textId="77777777" w:rsidR="00463840" w:rsidRPr="003E6A75" w:rsidRDefault="00463840" w:rsidP="003E6A75">
      <w:pPr>
        <w:jc w:val="both"/>
        <w:rPr>
          <w:noProof/>
          <w:sz w:val="24"/>
        </w:rPr>
      </w:pPr>
    </w:p>
    <w:p w14:paraId="0FED5DBA" w14:textId="4D760D61" w:rsidR="00A574AC" w:rsidRPr="003E6A75" w:rsidRDefault="00463840" w:rsidP="00463840">
      <w:pPr>
        <w:pStyle w:val="ListParagraph"/>
        <w:tabs>
          <w:tab w:val="left" w:pos="836"/>
        </w:tabs>
        <w:spacing w:before="0"/>
        <w:ind w:left="426" w:hanging="426"/>
        <w:rPr>
          <w:noProof/>
          <w:sz w:val="24"/>
        </w:rPr>
      </w:pPr>
      <w:r>
        <w:rPr>
          <w:sz w:val="24"/>
        </w:rPr>
        <w:t>8.1. Mērķi ir minēti Kodeksa 2.3. punktā. Parakstītāji var brīvi izveidot procesus, kurus tie uzskata par piemērotiem šā mērķa sasniegšanai, piemēram, noteiktus paziņošanas procesus. Tādējādi tiek atzīts, ka laiks, kas nepieciešams reaģēšanai uz paziņojumu, var būt atkarīgs no konkrētajiem apstākļiem, piemēram, atzīmētā satura apjoma, nopietnības pakāpes, vīrusveidīguma un sarežģītības.</w:t>
      </w:r>
    </w:p>
    <w:p w14:paraId="317C7740" w14:textId="77777777" w:rsidR="00463840" w:rsidRDefault="00463840" w:rsidP="00463840">
      <w:pPr>
        <w:pStyle w:val="ListParagraph"/>
        <w:tabs>
          <w:tab w:val="left" w:pos="836"/>
        </w:tabs>
        <w:spacing w:before="0"/>
        <w:ind w:left="426" w:hanging="426"/>
        <w:rPr>
          <w:noProof/>
          <w:sz w:val="24"/>
        </w:rPr>
      </w:pPr>
    </w:p>
    <w:p w14:paraId="20317287" w14:textId="6BA70D24" w:rsidR="00A574AC" w:rsidRDefault="00463840" w:rsidP="00463840">
      <w:pPr>
        <w:pStyle w:val="ListParagraph"/>
        <w:tabs>
          <w:tab w:val="left" w:pos="836"/>
        </w:tabs>
        <w:spacing w:before="0"/>
        <w:ind w:left="426" w:hanging="426"/>
        <w:rPr>
          <w:noProof/>
          <w:sz w:val="24"/>
        </w:rPr>
      </w:pPr>
      <w:r>
        <w:rPr>
          <w:sz w:val="24"/>
        </w:rPr>
        <w:t>8.2. Parakstītāji un Komisija, apsverot Kodeksā paredzēto apņemšanos izpildi, ir vienojušies ņemt vērā uzraudzības pasākuma rezultātus, lai iegūtu plašāku priekšstatu saistībā ar iepriekšējiem rezultātiem, saņemto paziņojumu izlases lielumu, informāciju, ja atbilstīgi, par konkrētajiem apstākļiem, kas sniegta atbildēs uz 2. pielikumā iekļautajiem jautājumiem, kā arī parakstītāju un uzraudzības ziņotāju iesaisti un sadarbību.</w:t>
      </w:r>
    </w:p>
    <w:p w14:paraId="39B1A00A" w14:textId="77777777" w:rsidR="00463840" w:rsidRPr="003E6A75" w:rsidRDefault="00463840" w:rsidP="00463840">
      <w:pPr>
        <w:pStyle w:val="ListParagraph"/>
        <w:tabs>
          <w:tab w:val="left" w:pos="836"/>
        </w:tabs>
        <w:spacing w:before="0"/>
        <w:ind w:left="0" w:firstLine="0"/>
        <w:jc w:val="left"/>
        <w:rPr>
          <w:noProof/>
          <w:sz w:val="24"/>
        </w:rPr>
      </w:pPr>
    </w:p>
    <w:p w14:paraId="2403633C" w14:textId="006D32F4" w:rsidR="00A574AC" w:rsidRDefault="00463840" w:rsidP="00463840">
      <w:pPr>
        <w:pStyle w:val="Heading1"/>
        <w:tabs>
          <w:tab w:val="left" w:pos="836"/>
        </w:tabs>
        <w:spacing w:before="0"/>
        <w:ind w:left="0" w:firstLine="0"/>
        <w:rPr>
          <w:noProof/>
          <w:sz w:val="24"/>
        </w:rPr>
      </w:pPr>
      <w:r>
        <w:rPr>
          <w:sz w:val="24"/>
        </w:rPr>
        <w:t>9. Pārskatīšana</w:t>
      </w:r>
    </w:p>
    <w:p w14:paraId="0BDAFBEA" w14:textId="77777777" w:rsidR="00463840" w:rsidRPr="003E6A75" w:rsidRDefault="00463840" w:rsidP="00463840">
      <w:pPr>
        <w:pStyle w:val="Heading1"/>
        <w:tabs>
          <w:tab w:val="left" w:pos="836"/>
        </w:tabs>
        <w:spacing w:before="0"/>
        <w:ind w:left="0" w:firstLine="0"/>
        <w:rPr>
          <w:noProof/>
          <w:sz w:val="24"/>
        </w:rPr>
      </w:pPr>
    </w:p>
    <w:p w14:paraId="3102C57F" w14:textId="40B6F90D" w:rsidR="00A574AC" w:rsidRPr="003E6A75" w:rsidRDefault="00655E9D" w:rsidP="00655E9D">
      <w:pPr>
        <w:pStyle w:val="ListParagraph"/>
        <w:tabs>
          <w:tab w:val="left" w:pos="836"/>
        </w:tabs>
        <w:spacing w:before="0"/>
        <w:ind w:left="426" w:hanging="426"/>
        <w:rPr>
          <w:noProof/>
          <w:sz w:val="24"/>
        </w:rPr>
      </w:pPr>
      <w:r>
        <w:rPr>
          <w:sz w:val="24"/>
        </w:rPr>
        <w:t>9.1. Parakstītāji ar balsu vairākumu vai nu pēc savas iniciatīvas, vai pēc Komisijas aicinājuma var pārskatīt šajā 1. pielikumā raksturoto metodoloģiju, ja, attīstoties parakstītāju praksei un pieejām, kā arī ņemot vērā tehnoloģiskās, sabiedrības, tirgus un likumdošanas norises, būtu lietderīgi tajā veikt izmaiņas. Neierobežojot DPA 45. pantu, šo pārskatīšanu kopīgi īsteno parakstītāji un Komisija, izmantojot, ja atbilstīgi, uzraudzības ziņotāju ieteikumus, un, ciktāl tas ir iespējams, saskaņā ar šo pārskatīto Kodeksa redakciju tas jādara ne agrāk kā 12 mēnešus pēc pirmā uzraudzības pasākuma rezultātu saņemšanas.</w:t>
      </w:r>
    </w:p>
    <w:p w14:paraId="6FB575F4" w14:textId="59ACB119" w:rsidR="00655E9D" w:rsidRDefault="00655E9D">
      <w:pPr>
        <w:rPr>
          <w:noProof/>
          <w:sz w:val="24"/>
        </w:rPr>
      </w:pPr>
      <w:r>
        <w:br w:type="page"/>
      </w:r>
    </w:p>
    <w:p w14:paraId="5112ECAA" w14:textId="77777777" w:rsidR="00F40A2A" w:rsidRPr="003E6A75" w:rsidRDefault="00F40A2A" w:rsidP="003E6A75">
      <w:pPr>
        <w:jc w:val="both"/>
        <w:rPr>
          <w:noProof/>
          <w:sz w:val="24"/>
        </w:rPr>
      </w:pPr>
    </w:p>
    <w:p w14:paraId="30A5AB32" w14:textId="77777777" w:rsidR="00A574AC" w:rsidRDefault="00A574AC" w:rsidP="003E6A75">
      <w:pPr>
        <w:rPr>
          <w:b/>
          <w:noProof/>
          <w:sz w:val="24"/>
          <w:u w:val="single"/>
        </w:rPr>
      </w:pPr>
      <w:r>
        <w:rPr>
          <w:b/>
          <w:sz w:val="24"/>
          <w:u w:val="single"/>
        </w:rPr>
        <w:t>2. pielikums. Galvenie izpildes rādītāji un papildu kvalitatīva un kvantitatīva informācija par tāda satura moderēšanu, kas ietver naida runu</w:t>
      </w:r>
    </w:p>
    <w:p w14:paraId="5D3F8954" w14:textId="77777777" w:rsidR="00655E9D" w:rsidRPr="003E6A75" w:rsidRDefault="00655E9D" w:rsidP="003E6A75">
      <w:pPr>
        <w:rPr>
          <w:b/>
          <w:noProof/>
          <w:sz w:val="24"/>
          <w:u w:val="single"/>
        </w:rPr>
      </w:pPr>
    </w:p>
    <w:p w14:paraId="5EA5640B" w14:textId="730FA611" w:rsidR="00A574AC" w:rsidRPr="003E6A75" w:rsidRDefault="00655E9D" w:rsidP="00655E9D">
      <w:pPr>
        <w:pStyle w:val="ListParagraph"/>
        <w:tabs>
          <w:tab w:val="left" w:pos="426"/>
          <w:tab w:val="left" w:pos="1134"/>
        </w:tabs>
        <w:spacing w:before="0"/>
        <w:ind w:left="284" w:hanging="284"/>
        <w:rPr>
          <w:noProof/>
          <w:sz w:val="24"/>
        </w:rPr>
      </w:pPr>
      <w:r>
        <w:rPr>
          <w:sz w:val="24"/>
        </w:rPr>
        <w:t>a) Ja atbilstīgi un ja tas ir atbilstoši un juridiski iespējams, parakstītāji apņemas sniegt papildu jēgpilnu un saprotamu informāciju par pasākumiem, kas veikti to satura moderācijas politikas nostādņu ietvaros, lai novērstu nelikumīgas naida runas problēmu. Tostarp tie var būt pasākumi, kas veikti, lai nodrošinātu mācības un palīdzību personām, kuras atbild par satura moderēšanu, pasākumi, kas veikti, lai ietekmētu informācijas pieejamību un pamanāmību un piekļuvi tai, kā arī konstatētās tendences.</w:t>
      </w:r>
    </w:p>
    <w:p w14:paraId="7AF3A8EB" w14:textId="77777777" w:rsidR="00655E9D" w:rsidRDefault="00655E9D" w:rsidP="00655E9D">
      <w:pPr>
        <w:pStyle w:val="ListParagraph"/>
        <w:tabs>
          <w:tab w:val="left" w:pos="426"/>
          <w:tab w:val="left" w:pos="1134"/>
        </w:tabs>
        <w:spacing w:before="0"/>
        <w:ind w:left="284" w:hanging="284"/>
        <w:rPr>
          <w:noProof/>
          <w:sz w:val="24"/>
        </w:rPr>
      </w:pPr>
    </w:p>
    <w:p w14:paraId="09FBF3C2" w14:textId="1121F735" w:rsidR="00A574AC" w:rsidRPr="003E6A75" w:rsidRDefault="00655E9D" w:rsidP="00655E9D">
      <w:pPr>
        <w:pStyle w:val="ListParagraph"/>
        <w:tabs>
          <w:tab w:val="left" w:pos="426"/>
          <w:tab w:val="left" w:pos="1134"/>
        </w:tabs>
        <w:spacing w:before="0"/>
        <w:ind w:left="284" w:hanging="284"/>
        <w:rPr>
          <w:noProof/>
          <w:sz w:val="24"/>
        </w:rPr>
      </w:pPr>
      <w:r>
        <w:rPr>
          <w:sz w:val="24"/>
        </w:rPr>
        <w:t>b) Šī informācija jāsniedz īsa kopsavilkuma veidā, ko sagatavo un iesniedz parakstītājs, pievienojot katra uzraudzības pasākuma rezultātus (turpmāk tekstā – “kopsavilkuma dokuments”), un tā pamatā būs šajā pielikumā izklāstīto strukturēto atsauces punktu kopums. Ja tas ir būtiski un atbilstoši parakstītāju platformām, tie apņemas sniegt informāciju par šiem punktiem, balstoties uz vislabākajām pieejamajām zināšanām un informāciju.</w:t>
      </w:r>
    </w:p>
    <w:p w14:paraId="5511578F" w14:textId="3B6FB05D" w:rsidR="00655E9D" w:rsidRDefault="00655E9D" w:rsidP="00655E9D">
      <w:pPr>
        <w:pStyle w:val="ListParagraph"/>
        <w:tabs>
          <w:tab w:val="left" w:pos="426"/>
          <w:tab w:val="left" w:pos="1134"/>
        </w:tabs>
        <w:spacing w:before="0"/>
        <w:ind w:left="284" w:hanging="284"/>
        <w:rPr>
          <w:noProof/>
          <w:sz w:val="24"/>
        </w:rPr>
      </w:pPr>
    </w:p>
    <w:p w14:paraId="21C31353" w14:textId="5DCFBB5D" w:rsidR="00A574AC" w:rsidRPr="003E6A75" w:rsidRDefault="00655E9D" w:rsidP="00655E9D">
      <w:pPr>
        <w:pStyle w:val="ListParagraph"/>
        <w:tabs>
          <w:tab w:val="left" w:pos="426"/>
          <w:tab w:val="left" w:pos="1134"/>
        </w:tabs>
        <w:spacing w:before="0"/>
        <w:ind w:left="284" w:hanging="284"/>
        <w:rPr>
          <w:noProof/>
          <w:sz w:val="24"/>
        </w:rPr>
      </w:pPr>
      <w:r>
        <w:rPr>
          <w:sz w:val="24"/>
        </w:rPr>
        <w:t>c) Turpmāk minētie punkti attiecas uz “naida runu”. Parakstītāji var sniegt šo informāciju saistībā ar nelikumīgu naida runu un/vai saturu, kas pārkāpj to attiecīgās politikas nostādnes (tostarp pamatojoties uz saņemtajiem paziņojumiem), ar nosacījumu, ka tie skaidri norāda sniegtās informācijas jomu.</w:t>
      </w:r>
    </w:p>
    <w:p w14:paraId="7A9C043D" w14:textId="77777777" w:rsidR="00655E9D" w:rsidRDefault="00655E9D" w:rsidP="00655E9D">
      <w:pPr>
        <w:pStyle w:val="ListParagraph"/>
        <w:tabs>
          <w:tab w:val="left" w:pos="426"/>
          <w:tab w:val="left" w:pos="1134"/>
        </w:tabs>
        <w:spacing w:before="0"/>
        <w:ind w:left="284" w:hanging="284"/>
        <w:rPr>
          <w:noProof/>
          <w:sz w:val="24"/>
        </w:rPr>
      </w:pPr>
    </w:p>
    <w:p w14:paraId="53C91352" w14:textId="489E0116" w:rsidR="00A574AC" w:rsidRDefault="00655E9D" w:rsidP="00655E9D">
      <w:pPr>
        <w:pStyle w:val="ListParagraph"/>
        <w:tabs>
          <w:tab w:val="left" w:pos="426"/>
          <w:tab w:val="left" w:pos="1134"/>
        </w:tabs>
        <w:spacing w:before="0"/>
        <w:ind w:left="284" w:hanging="284"/>
        <w:rPr>
          <w:noProof/>
          <w:sz w:val="24"/>
        </w:rPr>
      </w:pPr>
      <w:r>
        <w:rPr>
          <w:sz w:val="24"/>
        </w:rPr>
        <w:t>d) Pienācīgi ņemot vērā atšķirības starp katru parakstītāja platformu, parakstītājiem, ir jāsniedz informācija tikai par tiem šajā pielikumā iekļautajiem punktiem, kas attiecas uz to platformu(-ām), rakstiskā paziņojumā, kura garums nepārsniedz četras lappuses un kuru pievieno to uzraudzības pasākumu rezultātiem. Parakstītājiem tiek ieteikts noteikt tādu attiecīgo ziņošanas posmu attiecībā uz šajā pielikumā minētajiem punktiem, kas atbilstu iepriekšējam kalendārajam gadam vai iepriekšējam sešu mēnešu posmam un pēc atbilstības būtu saskaņots ar jaunākajiem ziņošanas posmiem, kuri izmantoti saistībā ar DPA 15., 24. un 42. pantu, apstiprinot, ka katrs parakstītājs var atsaukties uz šajā saistībā sniegto informāciju.</w:t>
      </w:r>
    </w:p>
    <w:p w14:paraId="402B8D5A" w14:textId="77777777" w:rsidR="00655E9D" w:rsidRPr="003E6A75" w:rsidRDefault="00655E9D" w:rsidP="00655E9D">
      <w:pPr>
        <w:pStyle w:val="ListParagraph"/>
        <w:tabs>
          <w:tab w:val="left" w:pos="836"/>
        </w:tabs>
        <w:spacing w:before="0"/>
        <w:ind w:left="0" w:firstLine="0"/>
        <w:jc w:val="left"/>
        <w:rPr>
          <w:noProof/>
          <w:sz w:val="24"/>
        </w:rPr>
      </w:pPr>
    </w:p>
    <w:p w14:paraId="63F70528" w14:textId="0F341ECA" w:rsidR="00A574AC" w:rsidRDefault="00655E9D" w:rsidP="008958F6">
      <w:pPr>
        <w:pStyle w:val="Heading1"/>
        <w:tabs>
          <w:tab w:val="left" w:pos="336"/>
        </w:tabs>
        <w:spacing w:before="0"/>
        <w:ind w:left="0" w:firstLine="0"/>
        <w:jc w:val="both"/>
        <w:rPr>
          <w:noProof/>
          <w:sz w:val="24"/>
        </w:rPr>
      </w:pPr>
      <w:r>
        <w:rPr>
          <w:sz w:val="24"/>
        </w:rPr>
        <w:t>1. Nosacījumi un prasības nelikumīgas naida runas apkarošanai</w:t>
      </w:r>
    </w:p>
    <w:p w14:paraId="185F90D7" w14:textId="77777777" w:rsidR="00655E9D" w:rsidRPr="003E6A75" w:rsidRDefault="00655E9D" w:rsidP="008958F6">
      <w:pPr>
        <w:pStyle w:val="Heading1"/>
        <w:tabs>
          <w:tab w:val="left" w:pos="336"/>
        </w:tabs>
        <w:spacing w:before="0"/>
        <w:ind w:left="0" w:firstLine="0"/>
        <w:jc w:val="both"/>
        <w:rPr>
          <w:noProof/>
          <w:sz w:val="24"/>
        </w:rPr>
      </w:pPr>
    </w:p>
    <w:p w14:paraId="168DBD9B" w14:textId="120B2924" w:rsidR="00A574AC" w:rsidRPr="003E6A75" w:rsidRDefault="00655E9D" w:rsidP="008958F6">
      <w:pPr>
        <w:pStyle w:val="ListParagraph"/>
        <w:tabs>
          <w:tab w:val="left" w:pos="835"/>
        </w:tabs>
        <w:spacing w:before="0"/>
        <w:ind w:left="426" w:hanging="426"/>
        <w:rPr>
          <w:noProof/>
          <w:sz w:val="24"/>
        </w:rPr>
      </w:pPr>
      <w:r>
        <w:rPr>
          <w:sz w:val="24"/>
        </w:rPr>
        <w:t>1. [Kods 1.1.] Saite(-es) uz parakstītāja nosacījumiem un prasībām, kas attiecas uz nelikumīgu naida runu.</w:t>
      </w:r>
    </w:p>
    <w:p w14:paraId="6D436CDD" w14:textId="77777777" w:rsidR="00655E9D" w:rsidRDefault="00655E9D" w:rsidP="008958F6">
      <w:pPr>
        <w:pStyle w:val="ListParagraph"/>
        <w:tabs>
          <w:tab w:val="left" w:pos="836"/>
        </w:tabs>
        <w:spacing w:before="0"/>
        <w:ind w:left="426" w:hanging="426"/>
        <w:rPr>
          <w:noProof/>
          <w:sz w:val="24"/>
        </w:rPr>
      </w:pPr>
    </w:p>
    <w:p w14:paraId="56AF9044" w14:textId="660BD17D" w:rsidR="00A574AC" w:rsidRDefault="00655E9D" w:rsidP="008958F6">
      <w:pPr>
        <w:pStyle w:val="ListParagraph"/>
        <w:tabs>
          <w:tab w:val="left" w:pos="836"/>
        </w:tabs>
        <w:spacing w:before="0"/>
        <w:ind w:left="426" w:hanging="426"/>
        <w:rPr>
          <w:noProof/>
          <w:sz w:val="24"/>
        </w:rPr>
      </w:pPr>
      <w:r>
        <w:rPr>
          <w:sz w:val="24"/>
        </w:rPr>
        <w:t>2. [Kods 1.2.] Informācija par jebkādām būtiskām izmaiņām parakstītāju nosacījumos un prasībās, kas attiecas uz to, kā tie ir definējuši un apkarojuši nelikumīgu naida runu kopš pēdējā uzraudzības pasākuma, tostarp par to, kā šīs izmaiņas tika paziņotas lietotājiem.</w:t>
      </w:r>
    </w:p>
    <w:p w14:paraId="7859BF31" w14:textId="77777777" w:rsidR="00655E9D" w:rsidRPr="003E6A75" w:rsidRDefault="00655E9D" w:rsidP="00655E9D">
      <w:pPr>
        <w:pStyle w:val="ListParagraph"/>
        <w:tabs>
          <w:tab w:val="left" w:pos="836"/>
        </w:tabs>
        <w:spacing w:before="0"/>
        <w:ind w:left="426" w:hanging="426"/>
        <w:rPr>
          <w:noProof/>
          <w:sz w:val="24"/>
        </w:rPr>
      </w:pPr>
    </w:p>
    <w:p w14:paraId="283E59F2" w14:textId="24C3CF7F" w:rsidR="00A574AC" w:rsidRDefault="00655E9D" w:rsidP="008958F6">
      <w:pPr>
        <w:pStyle w:val="Heading1"/>
        <w:tabs>
          <w:tab w:val="left" w:pos="336"/>
        </w:tabs>
        <w:spacing w:before="0"/>
        <w:ind w:left="0" w:firstLine="0"/>
        <w:jc w:val="both"/>
        <w:rPr>
          <w:noProof/>
          <w:sz w:val="24"/>
        </w:rPr>
      </w:pPr>
      <w:r>
        <w:rPr>
          <w:sz w:val="24"/>
        </w:rPr>
        <w:t>2. Tāda satura pārskatīšana un iespējama izņemšana vai piekļuves atspējošana tam, kas ietver nelikumīgu naida runu</w:t>
      </w:r>
    </w:p>
    <w:p w14:paraId="38A19F9C" w14:textId="77777777" w:rsidR="00655E9D" w:rsidRPr="003E6A75" w:rsidRDefault="00655E9D" w:rsidP="008958F6">
      <w:pPr>
        <w:pStyle w:val="Heading1"/>
        <w:tabs>
          <w:tab w:val="left" w:pos="336"/>
        </w:tabs>
        <w:spacing w:before="0"/>
        <w:ind w:left="0" w:firstLine="0"/>
        <w:jc w:val="both"/>
        <w:rPr>
          <w:noProof/>
          <w:sz w:val="24"/>
        </w:rPr>
      </w:pPr>
    </w:p>
    <w:p w14:paraId="7B0D5933" w14:textId="12EFEA50" w:rsidR="00A574AC" w:rsidRPr="003E6A75" w:rsidRDefault="00655E9D" w:rsidP="008958F6">
      <w:pPr>
        <w:pStyle w:val="ListParagraph"/>
        <w:tabs>
          <w:tab w:val="left" w:pos="836"/>
        </w:tabs>
        <w:spacing w:before="0"/>
        <w:ind w:left="426" w:hanging="426"/>
        <w:rPr>
          <w:noProof/>
          <w:sz w:val="24"/>
        </w:rPr>
      </w:pPr>
      <w:r>
        <w:rPr>
          <w:sz w:val="24"/>
        </w:rPr>
        <w:t>3. [Kods 2.1.] Informācija par to, vai un kā parakstītājs nodrošina paziņošanu par saturu, kas ietver naida runu, un norāde, kurās valodās un kurās dalībvalstīs tas tiek nodrošināts.</w:t>
      </w:r>
    </w:p>
    <w:p w14:paraId="1BAD5D32" w14:textId="77777777" w:rsidR="00C537FC" w:rsidRDefault="00C537FC" w:rsidP="008958F6">
      <w:pPr>
        <w:pStyle w:val="ListParagraph"/>
        <w:tabs>
          <w:tab w:val="left" w:pos="836"/>
        </w:tabs>
        <w:spacing w:before="0"/>
        <w:ind w:left="426" w:hanging="426"/>
        <w:rPr>
          <w:noProof/>
          <w:sz w:val="24"/>
        </w:rPr>
      </w:pPr>
    </w:p>
    <w:p w14:paraId="4A23F3E3" w14:textId="0F5AB608" w:rsidR="00A574AC" w:rsidRPr="003E6A75" w:rsidRDefault="00C537FC" w:rsidP="008958F6">
      <w:pPr>
        <w:pStyle w:val="ListParagraph"/>
        <w:tabs>
          <w:tab w:val="left" w:pos="836"/>
        </w:tabs>
        <w:spacing w:before="0"/>
        <w:ind w:left="426" w:hanging="426"/>
        <w:rPr>
          <w:noProof/>
          <w:sz w:val="24"/>
        </w:rPr>
      </w:pPr>
      <w:r>
        <w:rPr>
          <w:sz w:val="24"/>
        </w:rPr>
        <w:t>4. [Kods 2.1.] Informācija par lietotāju ceļu paziņojuma iesniegšanai par naida runu, norādot piekļuves punktu (mobilā lietotne / datora lietotne / pārlūkprogramma), kā arī paziņojuma pamatojumu (tiesību akts (DPA 16. pants vai nosacījumi un prasības), ja atšķiras.</w:t>
      </w:r>
    </w:p>
    <w:p w14:paraId="50365186" w14:textId="77777777" w:rsidR="00C537FC" w:rsidRDefault="00C537FC" w:rsidP="008958F6">
      <w:pPr>
        <w:pStyle w:val="ListParagraph"/>
        <w:tabs>
          <w:tab w:val="left" w:pos="836"/>
        </w:tabs>
        <w:spacing w:before="0"/>
        <w:ind w:left="426" w:hanging="426"/>
        <w:rPr>
          <w:noProof/>
          <w:sz w:val="24"/>
        </w:rPr>
      </w:pPr>
    </w:p>
    <w:p w14:paraId="605016C4" w14:textId="4479B668" w:rsidR="00A574AC" w:rsidRPr="003E6A75" w:rsidRDefault="00C537FC" w:rsidP="008958F6">
      <w:pPr>
        <w:pStyle w:val="ListParagraph"/>
        <w:tabs>
          <w:tab w:val="left" w:pos="836"/>
        </w:tabs>
        <w:spacing w:before="0"/>
        <w:ind w:left="426" w:hanging="426"/>
        <w:rPr>
          <w:noProof/>
          <w:sz w:val="24"/>
        </w:rPr>
      </w:pPr>
      <w:r>
        <w:rPr>
          <w:sz w:val="24"/>
        </w:rPr>
        <w:lastRenderedPageBreak/>
        <w:t>5. [Kods 2.2.] Informācija par naida runas paziņojumu moderācijas procesu, kas sadalīts atbilstoši paziņojuma pamatam (DPA (16. pants) / nosacījumi un prasības).</w:t>
      </w:r>
    </w:p>
    <w:p w14:paraId="7B864C18" w14:textId="2D44D251" w:rsidR="00A574AC" w:rsidRDefault="00C537FC" w:rsidP="00C537FC">
      <w:pPr>
        <w:pStyle w:val="ListParagraph"/>
        <w:tabs>
          <w:tab w:val="left" w:pos="836"/>
        </w:tabs>
        <w:spacing w:before="0"/>
        <w:ind w:left="426" w:hanging="426"/>
        <w:rPr>
          <w:noProof/>
          <w:sz w:val="24"/>
        </w:rPr>
      </w:pPr>
      <w:r>
        <w:rPr>
          <w:sz w:val="24"/>
        </w:rPr>
        <w:t>6. [Kods 2.1., 2.2. un 2.3.] Papildinformācija par dažādajiem pasākumiem, tostarp proaktīviem pasākumiem, ko parakstītājs ir veicis, lai atklātu un pārskatītu naida runu savā(-ās) platformā(-ās). Ciktāl šāda informācija ir pieejama, tā var ietvert informāciju par satura konstatēšanu un tvērumu, pārskatīšanas plūsmām un pārsūdzībām, piemēram:</w:t>
      </w:r>
    </w:p>
    <w:p w14:paraId="2DA411B8" w14:textId="77777777" w:rsidR="00C537FC" w:rsidRPr="003E6A75" w:rsidRDefault="00C537FC" w:rsidP="00C537FC">
      <w:pPr>
        <w:pStyle w:val="ListParagraph"/>
        <w:tabs>
          <w:tab w:val="left" w:pos="836"/>
        </w:tabs>
        <w:spacing w:before="0"/>
        <w:ind w:left="0" w:firstLine="0"/>
        <w:rPr>
          <w:noProof/>
          <w:sz w:val="24"/>
        </w:rPr>
      </w:pPr>
    </w:p>
    <w:p w14:paraId="6A222E53" w14:textId="05AAD9B4" w:rsidR="00A574AC" w:rsidRPr="003E6A75" w:rsidRDefault="006F32E1" w:rsidP="006F32E1">
      <w:pPr>
        <w:pStyle w:val="ListParagraph"/>
        <w:tabs>
          <w:tab w:val="left" w:pos="1556"/>
        </w:tabs>
        <w:spacing w:before="0"/>
        <w:ind w:left="851" w:hanging="284"/>
        <w:rPr>
          <w:noProof/>
          <w:sz w:val="24"/>
        </w:rPr>
      </w:pPr>
      <w:r>
        <w:rPr>
          <w:sz w:val="24"/>
        </w:rPr>
        <w:t>a) tā naida runas satura īpatsvars, ko atklājuši automātiskie konstatēšanas rīki, salīdzinājumā ar aplēsto kopējo naida runas saturu, kas konstatēts to platformā ES – iepriekšējā kalendārajā gadā vai iepriekšējo sešu mēnešu laikā;</w:t>
      </w:r>
    </w:p>
    <w:p w14:paraId="17BFA94A" w14:textId="77777777" w:rsidR="00F40A2A" w:rsidRPr="003E6A75" w:rsidRDefault="00F40A2A" w:rsidP="006F32E1">
      <w:pPr>
        <w:ind w:left="851" w:hanging="284"/>
        <w:jc w:val="both"/>
        <w:rPr>
          <w:noProof/>
          <w:sz w:val="24"/>
        </w:rPr>
      </w:pPr>
    </w:p>
    <w:p w14:paraId="1BA4CFAA" w14:textId="3AF534A6" w:rsidR="00A574AC" w:rsidRPr="003E6A75" w:rsidRDefault="006F32E1" w:rsidP="006F32E1">
      <w:pPr>
        <w:pStyle w:val="ListParagraph"/>
        <w:tabs>
          <w:tab w:val="left" w:pos="1556"/>
        </w:tabs>
        <w:spacing w:before="0"/>
        <w:ind w:left="851" w:hanging="284"/>
        <w:rPr>
          <w:noProof/>
          <w:sz w:val="24"/>
        </w:rPr>
      </w:pPr>
      <w:r>
        <w:rPr>
          <w:sz w:val="24"/>
        </w:rPr>
        <w:t>b) papildu informācija par mijiedarbību starp automatizāciju un cilvēku veiktu pārskatīšanu satura moderēšanā, piemēram, informācija par to naida runas saturu, ko pārskatījuši cilvēki, un to naida runas saturu, kas Eiropas Savienībā iepriekšējā kalendārajā gadā vai iepriekšējo sešu mēnešu laikā pārskatīts, izmantojot tikai automatizētus līdzekļus;</w:t>
      </w:r>
    </w:p>
    <w:p w14:paraId="2E586E1B" w14:textId="77777777" w:rsidR="006F32E1" w:rsidRDefault="006F32E1" w:rsidP="006F32E1">
      <w:pPr>
        <w:pStyle w:val="ListParagraph"/>
        <w:tabs>
          <w:tab w:val="left" w:pos="1556"/>
        </w:tabs>
        <w:spacing w:before="0"/>
        <w:ind w:left="851" w:hanging="284"/>
        <w:rPr>
          <w:noProof/>
          <w:sz w:val="24"/>
        </w:rPr>
      </w:pPr>
    </w:p>
    <w:p w14:paraId="1CBF7C42" w14:textId="0136356F" w:rsidR="00A574AC" w:rsidRPr="003E6A75" w:rsidRDefault="006F32E1" w:rsidP="006F32E1">
      <w:pPr>
        <w:pStyle w:val="ListParagraph"/>
        <w:tabs>
          <w:tab w:val="left" w:pos="1556"/>
        </w:tabs>
        <w:spacing w:before="0"/>
        <w:ind w:left="851" w:hanging="284"/>
        <w:rPr>
          <w:noProof/>
          <w:sz w:val="24"/>
        </w:rPr>
      </w:pPr>
      <w:r>
        <w:rPr>
          <w:sz w:val="24"/>
        </w:rPr>
        <w:t>c) Eiropas Savienībā iepriekšējā kalendārajā gadā vai iepriekšējo sešu mēnešu laikā lietotāju iesniegto pārsūdzību par naida runas saturu īpatsvars un apmērs, kādā tika atjaunots saturs, uz kuru attiecās šīs pārsūdzības;</w:t>
      </w:r>
    </w:p>
    <w:p w14:paraId="54DF9419" w14:textId="77777777" w:rsidR="006F32E1" w:rsidRDefault="006F32E1" w:rsidP="006F32E1">
      <w:pPr>
        <w:pStyle w:val="ListParagraph"/>
        <w:tabs>
          <w:tab w:val="left" w:pos="1556"/>
        </w:tabs>
        <w:spacing w:before="0"/>
        <w:ind w:left="851" w:hanging="284"/>
        <w:rPr>
          <w:noProof/>
          <w:sz w:val="24"/>
        </w:rPr>
      </w:pPr>
    </w:p>
    <w:p w14:paraId="790EBF19" w14:textId="7FA15B89" w:rsidR="00A574AC" w:rsidRPr="003E6A75" w:rsidRDefault="006F32E1" w:rsidP="006F32E1">
      <w:pPr>
        <w:pStyle w:val="ListParagraph"/>
        <w:tabs>
          <w:tab w:val="left" w:pos="1556"/>
        </w:tabs>
        <w:spacing w:before="0"/>
        <w:ind w:left="851" w:hanging="284"/>
        <w:rPr>
          <w:noProof/>
          <w:sz w:val="24"/>
        </w:rPr>
      </w:pPr>
      <w:r>
        <w:rPr>
          <w:sz w:val="24"/>
        </w:rPr>
        <w:t>d) jebkura papildu informācija par paziņojumu pārskatīšanas laiku Eiropas Savienībā (piemēram, 24 stundu, 48 stundu, 72 stundu utt. laikā pārskatīto paziņojumu īpatsvars) – iepriekšējā kalendārajā gadā vai iepriekšējo sešu mēnešu laikā;</w:t>
      </w:r>
    </w:p>
    <w:p w14:paraId="2810A53F" w14:textId="77777777" w:rsidR="006F32E1" w:rsidRDefault="006F32E1" w:rsidP="006F32E1">
      <w:pPr>
        <w:pStyle w:val="ListParagraph"/>
        <w:tabs>
          <w:tab w:val="left" w:pos="1556"/>
        </w:tabs>
        <w:spacing w:before="0"/>
        <w:ind w:left="851" w:hanging="284"/>
        <w:rPr>
          <w:noProof/>
          <w:sz w:val="24"/>
        </w:rPr>
      </w:pPr>
    </w:p>
    <w:p w14:paraId="45C61B17" w14:textId="1933B5F9" w:rsidR="00A574AC" w:rsidRDefault="006F32E1" w:rsidP="006F32E1">
      <w:pPr>
        <w:pStyle w:val="ListParagraph"/>
        <w:tabs>
          <w:tab w:val="left" w:pos="1556"/>
        </w:tabs>
        <w:spacing w:before="0"/>
        <w:ind w:left="851" w:hanging="284"/>
        <w:rPr>
          <w:noProof/>
          <w:sz w:val="24"/>
        </w:rPr>
      </w:pPr>
      <w:r>
        <w:rPr>
          <w:sz w:val="24"/>
        </w:rPr>
        <w:t>e) jebkura papildu informācija par būtisku informāciju vai rādītājiem, kas saistīti ar naida runu parakstītāju platformās, piemēram, ja šāda informācija ir pieejama, par ieteikumu sistēmu lomu un tās nelikumīgas naida runas īpatsvaru, kas izņemta pirms skatījumu uzkrāšanas.</w:t>
      </w:r>
    </w:p>
    <w:p w14:paraId="6E9F8199" w14:textId="77777777" w:rsidR="006F32E1" w:rsidRPr="003E6A75" w:rsidRDefault="006F32E1" w:rsidP="006F32E1">
      <w:pPr>
        <w:pStyle w:val="ListParagraph"/>
        <w:tabs>
          <w:tab w:val="left" w:pos="1556"/>
        </w:tabs>
        <w:spacing w:before="0"/>
        <w:ind w:left="0" w:firstLine="0"/>
        <w:jc w:val="left"/>
        <w:rPr>
          <w:noProof/>
          <w:sz w:val="24"/>
        </w:rPr>
      </w:pPr>
    </w:p>
    <w:p w14:paraId="5C0A28AE" w14:textId="4AFE02DD" w:rsidR="00A574AC" w:rsidRPr="003E6A75" w:rsidRDefault="0030227C" w:rsidP="0030227C">
      <w:pPr>
        <w:pStyle w:val="ListParagraph"/>
        <w:tabs>
          <w:tab w:val="left" w:pos="836"/>
        </w:tabs>
        <w:spacing w:before="0"/>
        <w:ind w:left="426" w:hanging="426"/>
        <w:rPr>
          <w:noProof/>
          <w:sz w:val="24"/>
        </w:rPr>
      </w:pPr>
      <w:r>
        <w:rPr>
          <w:sz w:val="24"/>
        </w:rPr>
        <w:t xml:space="preserve">7. [Kods 2.2. un 3.2.] Jebkura papildu informācija par to, kā parakstītājs moderē savu(-ās) platformu(-as), lai atklātu saturu, kurā ir pārkāptas tā politikas nostādnes attiecībā uz nelikumīgu naida runu. Papildinformācijā varētu būt iekļauta arī sīkāka informācija par satura moderatoriem sniegtajām mācībām, izmantotajām tehnoloģijām </w:t>
      </w:r>
      <w:r>
        <w:rPr>
          <w:b/>
          <w:bCs/>
          <w:sz w:val="24"/>
        </w:rPr>
        <w:t>vai</w:t>
      </w:r>
      <w:r>
        <w:rPr>
          <w:sz w:val="24"/>
        </w:rPr>
        <w:t xml:space="preserve"> aptvertajām valodām, piemēram:</w:t>
      </w:r>
    </w:p>
    <w:p w14:paraId="7BCC069D" w14:textId="77777777" w:rsidR="0030227C" w:rsidRDefault="0030227C" w:rsidP="0030227C">
      <w:pPr>
        <w:pStyle w:val="ListParagraph"/>
        <w:tabs>
          <w:tab w:val="left" w:pos="1556"/>
        </w:tabs>
        <w:spacing w:before="0"/>
        <w:ind w:left="851" w:hanging="284"/>
        <w:rPr>
          <w:noProof/>
          <w:sz w:val="24"/>
        </w:rPr>
      </w:pPr>
    </w:p>
    <w:p w14:paraId="0CC78790" w14:textId="39C69AF9" w:rsidR="00A574AC" w:rsidRPr="003E6A75" w:rsidRDefault="0030227C" w:rsidP="0030227C">
      <w:pPr>
        <w:pStyle w:val="ListParagraph"/>
        <w:tabs>
          <w:tab w:val="left" w:pos="1556"/>
        </w:tabs>
        <w:spacing w:before="0"/>
        <w:ind w:left="851" w:hanging="284"/>
        <w:rPr>
          <w:noProof/>
          <w:sz w:val="24"/>
        </w:rPr>
      </w:pPr>
      <w:r>
        <w:rPr>
          <w:sz w:val="24"/>
        </w:rPr>
        <w:t>a) papildu informācija par attiecīgo darba grupu struktūru un darba metodēm (piemēram, uzticēšanās un drošība), tostarp, piemēram, darba grupas struktūra, aptvertās valodas un attiecīgās mācības;</w:t>
      </w:r>
    </w:p>
    <w:p w14:paraId="52B82F90" w14:textId="77777777" w:rsidR="0030227C" w:rsidRDefault="0030227C" w:rsidP="0030227C">
      <w:pPr>
        <w:pStyle w:val="ListParagraph"/>
        <w:tabs>
          <w:tab w:val="left" w:pos="1556"/>
        </w:tabs>
        <w:spacing w:before="0"/>
        <w:ind w:left="851" w:hanging="284"/>
        <w:rPr>
          <w:noProof/>
          <w:sz w:val="24"/>
        </w:rPr>
      </w:pPr>
    </w:p>
    <w:p w14:paraId="5DA84573" w14:textId="20D53E60" w:rsidR="00A574AC" w:rsidRDefault="0030227C" w:rsidP="0030227C">
      <w:pPr>
        <w:pStyle w:val="ListParagraph"/>
        <w:tabs>
          <w:tab w:val="left" w:pos="1556"/>
        </w:tabs>
        <w:spacing w:before="0"/>
        <w:ind w:left="851" w:hanging="284"/>
        <w:rPr>
          <w:noProof/>
          <w:sz w:val="24"/>
        </w:rPr>
      </w:pPr>
      <w:r>
        <w:rPr>
          <w:sz w:val="24"/>
        </w:rPr>
        <w:t>b) papildu informācija par jaunajām tehnoloģijām, kas ieviestas pārskata posmā, lai tad, kad atbilstīgi, moderētu saturu, kas pārkāpj parakstītāja nosacījumus un prasības par nelikumīgu naida runu.</w:t>
      </w:r>
    </w:p>
    <w:p w14:paraId="10E86B6B" w14:textId="77777777" w:rsidR="0028568D" w:rsidRPr="003E6A75" w:rsidRDefault="0028568D" w:rsidP="0030227C">
      <w:pPr>
        <w:pStyle w:val="ListParagraph"/>
        <w:tabs>
          <w:tab w:val="left" w:pos="1556"/>
        </w:tabs>
        <w:spacing w:before="0"/>
        <w:ind w:left="851" w:hanging="284"/>
        <w:rPr>
          <w:noProof/>
          <w:sz w:val="24"/>
        </w:rPr>
      </w:pPr>
    </w:p>
    <w:p w14:paraId="1B7D3814" w14:textId="77777777" w:rsidR="00A574AC" w:rsidRDefault="00A574AC" w:rsidP="003E6A75">
      <w:pPr>
        <w:pStyle w:val="Heading1"/>
        <w:numPr>
          <w:ilvl w:val="0"/>
          <w:numId w:val="1"/>
        </w:numPr>
        <w:tabs>
          <w:tab w:val="left" w:pos="336"/>
        </w:tabs>
        <w:spacing w:before="0"/>
        <w:ind w:left="0" w:firstLine="0"/>
        <w:rPr>
          <w:noProof/>
          <w:sz w:val="24"/>
        </w:rPr>
      </w:pPr>
      <w:r>
        <w:rPr>
          <w:sz w:val="24"/>
        </w:rPr>
        <w:t>Pārredzamība, pārskatatbildība un uzraudzība</w:t>
      </w:r>
    </w:p>
    <w:p w14:paraId="679F205B" w14:textId="77777777" w:rsidR="008156DB" w:rsidRPr="003E6A75" w:rsidRDefault="008156DB" w:rsidP="008156DB">
      <w:pPr>
        <w:pStyle w:val="Heading1"/>
        <w:tabs>
          <w:tab w:val="left" w:pos="336"/>
        </w:tabs>
        <w:spacing w:before="0"/>
        <w:ind w:left="0" w:firstLine="0"/>
        <w:rPr>
          <w:noProof/>
          <w:sz w:val="24"/>
        </w:rPr>
      </w:pPr>
    </w:p>
    <w:p w14:paraId="2DDD0EF0" w14:textId="77777777" w:rsidR="00A574AC" w:rsidRDefault="00A574AC" w:rsidP="003E6A75">
      <w:pPr>
        <w:pStyle w:val="BodyText"/>
        <w:jc w:val="left"/>
        <w:rPr>
          <w:noProof/>
          <w:sz w:val="24"/>
        </w:rPr>
      </w:pPr>
      <w:r>
        <w:rPr>
          <w:sz w:val="24"/>
        </w:rPr>
        <w:t>[Kods 3.1. un 3.2.] Skat. uzraudzības pasākuma rezultātus un atbildes uz šo 2. pielikumu.</w:t>
      </w:r>
    </w:p>
    <w:p w14:paraId="1D3BA1E3" w14:textId="77777777" w:rsidR="008156DB" w:rsidRPr="003E6A75" w:rsidRDefault="008156DB" w:rsidP="003E6A75">
      <w:pPr>
        <w:pStyle w:val="BodyText"/>
        <w:jc w:val="left"/>
        <w:rPr>
          <w:noProof/>
          <w:sz w:val="24"/>
        </w:rPr>
      </w:pPr>
    </w:p>
    <w:p w14:paraId="1492E575" w14:textId="77777777" w:rsidR="00A574AC" w:rsidRDefault="00A574AC" w:rsidP="0020654A">
      <w:pPr>
        <w:pStyle w:val="Heading1"/>
        <w:keepNext/>
        <w:keepLines/>
        <w:numPr>
          <w:ilvl w:val="0"/>
          <w:numId w:val="1"/>
        </w:numPr>
        <w:tabs>
          <w:tab w:val="left" w:pos="333"/>
        </w:tabs>
        <w:spacing w:before="0"/>
        <w:ind w:left="0" w:firstLine="0"/>
        <w:rPr>
          <w:noProof/>
          <w:sz w:val="24"/>
        </w:rPr>
      </w:pPr>
      <w:r>
        <w:rPr>
          <w:sz w:val="24"/>
        </w:rPr>
        <w:lastRenderedPageBreak/>
        <w:t>Nozares iekšējā un daudzu ieinteresēto pušu sadarbība, lai novērstu un nepieļautu nelikumīgas naida runas izplatīšanas riskus</w:t>
      </w:r>
    </w:p>
    <w:p w14:paraId="04F8DC98" w14:textId="77777777" w:rsidR="008156DB" w:rsidRPr="003E6A75" w:rsidRDefault="008156DB" w:rsidP="0020654A">
      <w:pPr>
        <w:pStyle w:val="Heading1"/>
        <w:keepNext/>
        <w:keepLines/>
        <w:tabs>
          <w:tab w:val="left" w:pos="333"/>
        </w:tabs>
        <w:spacing w:before="0"/>
        <w:ind w:left="0" w:firstLine="0"/>
        <w:rPr>
          <w:noProof/>
          <w:sz w:val="24"/>
        </w:rPr>
      </w:pPr>
    </w:p>
    <w:p w14:paraId="62796BEE" w14:textId="7DD15FC5" w:rsidR="00A574AC" w:rsidRDefault="00AE0AE5" w:rsidP="0020654A">
      <w:pPr>
        <w:pStyle w:val="ListParagraph"/>
        <w:keepNext/>
        <w:keepLines/>
        <w:tabs>
          <w:tab w:val="left" w:pos="836"/>
        </w:tabs>
        <w:spacing w:before="0"/>
        <w:ind w:left="426" w:hanging="426"/>
        <w:rPr>
          <w:noProof/>
          <w:sz w:val="24"/>
        </w:rPr>
      </w:pPr>
      <w:r>
        <w:rPr>
          <w:sz w:val="24"/>
        </w:rPr>
        <w:t>8. [Kods 4.1. un 5.2.] Informācija par parakstītāja sadarbību ar jebkādiem partneriem, lai iegūtu informāciju tā politikas nostādnēm un praksei saistībā ar nelikumīgu naida runu (tā var ietvert aprakstus un informāciju par partnerībām, darbībām, kas veiktas šo partnerību rezultātā, skaitu / darbības valsti un, ja atbilstīgi, esošo partnerību iespējamo attīstību laika gaitā).</w:t>
      </w:r>
      <w:r w:rsidR="008156DB">
        <w:rPr>
          <w:rStyle w:val="FootnoteReference"/>
          <w:noProof/>
          <w:sz w:val="24"/>
        </w:rPr>
        <w:footnoteReference w:id="9"/>
      </w:r>
    </w:p>
    <w:p w14:paraId="6B3A8D34" w14:textId="77777777" w:rsidR="008156DB" w:rsidRPr="003E6A75" w:rsidRDefault="008156DB" w:rsidP="008156DB">
      <w:pPr>
        <w:pStyle w:val="ListParagraph"/>
        <w:tabs>
          <w:tab w:val="left" w:pos="836"/>
        </w:tabs>
        <w:spacing w:before="0"/>
        <w:ind w:left="426" w:hanging="426"/>
        <w:rPr>
          <w:noProof/>
          <w:sz w:val="24"/>
        </w:rPr>
      </w:pPr>
    </w:p>
    <w:p w14:paraId="672E6CAA" w14:textId="123CC821" w:rsidR="00A574AC" w:rsidRPr="003E6A75" w:rsidRDefault="00AE0AE5" w:rsidP="008156DB">
      <w:pPr>
        <w:pStyle w:val="ListParagraph"/>
        <w:tabs>
          <w:tab w:val="left" w:pos="836"/>
        </w:tabs>
        <w:spacing w:before="0"/>
        <w:ind w:left="426" w:hanging="426"/>
        <w:rPr>
          <w:noProof/>
          <w:sz w:val="24"/>
        </w:rPr>
      </w:pPr>
      <w:r>
        <w:rPr>
          <w:sz w:val="24"/>
        </w:rPr>
        <w:t>9. [Kods 4.2. un 4.4.] Informācija par parakstītāja līdzdalību un ieguldījumu regulārajos informācijas apmaiņas forumos, tostarp ikgadējās sanāksmēs, nozares labākās prakses iekšējā apmaiņā, strukturētajā kanālā un tiešsaistes zināšanu centrā.</w:t>
      </w:r>
    </w:p>
    <w:p w14:paraId="798BD2B5" w14:textId="77777777" w:rsidR="00AE0AE5" w:rsidRDefault="00AE0AE5" w:rsidP="008156DB">
      <w:pPr>
        <w:pStyle w:val="ListParagraph"/>
        <w:tabs>
          <w:tab w:val="left" w:pos="836"/>
        </w:tabs>
        <w:spacing w:before="0"/>
        <w:ind w:left="426" w:hanging="426"/>
        <w:rPr>
          <w:noProof/>
          <w:sz w:val="24"/>
        </w:rPr>
      </w:pPr>
    </w:p>
    <w:p w14:paraId="7B0BA27A" w14:textId="698C2285" w:rsidR="00A574AC" w:rsidRDefault="00AE0AE5" w:rsidP="008156DB">
      <w:pPr>
        <w:pStyle w:val="ListParagraph"/>
        <w:tabs>
          <w:tab w:val="left" w:pos="836"/>
        </w:tabs>
        <w:spacing w:before="0"/>
        <w:ind w:left="426" w:hanging="426"/>
        <w:rPr>
          <w:noProof/>
          <w:sz w:val="24"/>
        </w:rPr>
      </w:pPr>
      <w:r>
        <w:rPr>
          <w:sz w:val="24"/>
        </w:rPr>
        <w:t>10. [Kods 4.3.] (Ja atbilstīgi) parakstītājs apstiprina savu līdzdalību apspriedēs par krīzi, kā noteikts DPA 36. pantā.</w:t>
      </w:r>
    </w:p>
    <w:p w14:paraId="06CEDE91" w14:textId="77777777" w:rsidR="00AE0AE5" w:rsidRPr="003E6A75" w:rsidRDefault="00AE0AE5" w:rsidP="008156DB">
      <w:pPr>
        <w:pStyle w:val="ListParagraph"/>
        <w:tabs>
          <w:tab w:val="left" w:pos="836"/>
        </w:tabs>
        <w:spacing w:before="0"/>
        <w:ind w:left="426" w:hanging="426"/>
        <w:rPr>
          <w:noProof/>
          <w:sz w:val="24"/>
        </w:rPr>
      </w:pPr>
    </w:p>
    <w:p w14:paraId="086511AB" w14:textId="77777777" w:rsidR="00A574AC" w:rsidRPr="003E6A75" w:rsidRDefault="00A574AC" w:rsidP="003E6A75">
      <w:pPr>
        <w:pStyle w:val="Heading1"/>
        <w:numPr>
          <w:ilvl w:val="0"/>
          <w:numId w:val="1"/>
        </w:numPr>
        <w:tabs>
          <w:tab w:val="left" w:pos="336"/>
        </w:tabs>
        <w:spacing w:before="0"/>
        <w:ind w:left="0" w:firstLine="0"/>
        <w:rPr>
          <w:noProof/>
          <w:sz w:val="24"/>
        </w:rPr>
      </w:pPr>
      <w:r>
        <w:rPr>
          <w:sz w:val="24"/>
        </w:rPr>
        <w:t>Izpratnes veicināšana, pieklājība tiešsaistē un pretēja naratīva iniciatīvas</w:t>
      </w:r>
    </w:p>
    <w:p w14:paraId="491258A1" w14:textId="77777777" w:rsidR="00AE0AE5" w:rsidRDefault="00AE0AE5" w:rsidP="00AE0AE5">
      <w:pPr>
        <w:pStyle w:val="ListParagraph"/>
        <w:tabs>
          <w:tab w:val="left" w:pos="836"/>
        </w:tabs>
        <w:spacing w:before="0"/>
        <w:ind w:left="0" w:firstLine="0"/>
        <w:rPr>
          <w:noProof/>
          <w:sz w:val="24"/>
        </w:rPr>
      </w:pPr>
    </w:p>
    <w:p w14:paraId="44EDEA65" w14:textId="761E3AC4" w:rsidR="00A574AC" w:rsidRPr="003E6A75" w:rsidRDefault="00AE0AE5" w:rsidP="00AE0AE5">
      <w:pPr>
        <w:pStyle w:val="ListParagraph"/>
        <w:tabs>
          <w:tab w:val="left" w:pos="836"/>
        </w:tabs>
        <w:spacing w:before="0"/>
        <w:ind w:left="426" w:hanging="426"/>
        <w:rPr>
          <w:noProof/>
          <w:sz w:val="24"/>
        </w:rPr>
      </w:pPr>
      <w:r>
        <w:rPr>
          <w:sz w:val="24"/>
        </w:rPr>
        <w:t>11. [Kods 5.1.] Informācija par jebkādiem papildu pasākumiem, piemēram, par pasākumiem, lai uzlabotu medijpratību un kritisko domāšanu, izpratnes vairošanas kampaņām, kas veicina pieklājību un drošību tiešsaistē, vai pasākumiem, kas veikti, lai atturētu no tāda satura radīšanas parakstītāju platformās, kas ietver gan nelikumīgu, gan nelegālu naida runu (piemēram, komentāru kontrole, aicinājumi būt laipniem u. c.).</w:t>
      </w:r>
    </w:p>
    <w:p w14:paraId="173CBF23" w14:textId="77777777" w:rsidR="00AE0AE5" w:rsidRDefault="00AE0AE5" w:rsidP="00AE0AE5">
      <w:pPr>
        <w:pStyle w:val="ListParagraph"/>
        <w:tabs>
          <w:tab w:val="left" w:pos="836"/>
        </w:tabs>
        <w:spacing w:before="0"/>
        <w:ind w:left="0" w:firstLine="0"/>
        <w:jc w:val="right"/>
        <w:rPr>
          <w:noProof/>
          <w:sz w:val="24"/>
        </w:rPr>
      </w:pPr>
    </w:p>
    <w:p w14:paraId="7645F802" w14:textId="1182398C" w:rsidR="00A574AC" w:rsidRDefault="00AE0AE5" w:rsidP="00AE0AE5">
      <w:pPr>
        <w:pStyle w:val="ListParagraph"/>
        <w:tabs>
          <w:tab w:val="left" w:pos="836"/>
        </w:tabs>
        <w:spacing w:before="0"/>
        <w:ind w:left="426" w:hanging="426"/>
        <w:rPr>
          <w:noProof/>
          <w:sz w:val="24"/>
        </w:rPr>
      </w:pPr>
      <w:r>
        <w:rPr>
          <w:sz w:val="24"/>
        </w:rPr>
        <w:t>12. [Kods 5.2.] Informācija par mācībām, resursiem un atbalstu, kas pieejams uzraudzības ziņotājiem un attiecīgajām pilsoniskās sabiedrības organizācijām. Šī informācija var ietvert dalībnieku skaitu, dalībnieku mācību apsekojumus / novērtējumu rezultātus vai jebkādus turpmākos pasākumus pēc mācību kursiem.</w:t>
      </w:r>
    </w:p>
    <w:p w14:paraId="4A7E5764" w14:textId="77777777" w:rsidR="00AE0AE5" w:rsidRPr="003E6A75" w:rsidRDefault="00AE0AE5" w:rsidP="00AE0AE5">
      <w:pPr>
        <w:pStyle w:val="ListParagraph"/>
        <w:tabs>
          <w:tab w:val="left" w:pos="836"/>
        </w:tabs>
        <w:spacing w:before="0"/>
        <w:ind w:left="426" w:hanging="426"/>
        <w:rPr>
          <w:noProof/>
          <w:sz w:val="24"/>
        </w:rPr>
      </w:pPr>
    </w:p>
    <w:p w14:paraId="75486454" w14:textId="77777777" w:rsidR="00A574AC" w:rsidRDefault="00A574AC" w:rsidP="003E6A75">
      <w:pPr>
        <w:pStyle w:val="Heading1"/>
        <w:spacing w:before="0"/>
        <w:ind w:left="0" w:firstLine="0"/>
        <w:rPr>
          <w:noProof/>
          <w:sz w:val="24"/>
        </w:rPr>
      </w:pPr>
      <w:r>
        <w:rPr>
          <w:sz w:val="24"/>
        </w:rPr>
        <w:t>Ar skatu nākotnē</w:t>
      </w:r>
    </w:p>
    <w:p w14:paraId="44A5F62B" w14:textId="77777777" w:rsidR="00AE0AE5" w:rsidRPr="003E6A75" w:rsidRDefault="00AE0AE5" w:rsidP="003E6A75">
      <w:pPr>
        <w:pStyle w:val="Heading1"/>
        <w:spacing w:before="0"/>
        <w:ind w:left="0" w:firstLine="0"/>
        <w:rPr>
          <w:noProof/>
          <w:sz w:val="24"/>
        </w:rPr>
      </w:pPr>
    </w:p>
    <w:p w14:paraId="753DD13D" w14:textId="7B15A560" w:rsidR="00A574AC" w:rsidRPr="003E6A75" w:rsidRDefault="00AC501A" w:rsidP="00AC501A">
      <w:pPr>
        <w:pStyle w:val="ListParagraph"/>
        <w:tabs>
          <w:tab w:val="left" w:pos="836"/>
        </w:tabs>
        <w:spacing w:before="0"/>
        <w:ind w:left="426" w:hanging="426"/>
        <w:rPr>
          <w:noProof/>
          <w:sz w:val="24"/>
        </w:rPr>
      </w:pPr>
      <w:r>
        <w:rPr>
          <w:sz w:val="24"/>
        </w:rPr>
        <w:t>13. Jebkāda informācija par būtiskām tendencēm (piemēram, mākslīgā intelekta radīts saturs), ko parakstītājs vēlētos izcelt pēdējā kalendārā gada laikā saistībā ar nelikumīgas naida runas izplatīšanu tā platformā(-ās), un jebkāda informācija, ko parakstītājs vēlētos izcelt par to, kā tā rezultātā tas ir pielāgojis savas politikas nostādnes un procedūras.</w:t>
      </w:r>
    </w:p>
    <w:p w14:paraId="77DC0714" w14:textId="77777777" w:rsidR="00AC501A" w:rsidRDefault="00AC501A" w:rsidP="00AC501A">
      <w:pPr>
        <w:pStyle w:val="ListParagraph"/>
        <w:tabs>
          <w:tab w:val="left" w:pos="836"/>
        </w:tabs>
        <w:spacing w:before="0"/>
        <w:ind w:left="0" w:firstLine="0"/>
        <w:jc w:val="right"/>
        <w:rPr>
          <w:noProof/>
          <w:sz w:val="24"/>
        </w:rPr>
      </w:pPr>
    </w:p>
    <w:p w14:paraId="5F91128F" w14:textId="730FFE38" w:rsidR="00A574AC" w:rsidRDefault="00AC501A" w:rsidP="00AC501A">
      <w:pPr>
        <w:pStyle w:val="ListParagraph"/>
        <w:tabs>
          <w:tab w:val="left" w:pos="836"/>
        </w:tabs>
        <w:spacing w:before="0"/>
        <w:ind w:left="426" w:hanging="426"/>
        <w:rPr>
          <w:noProof/>
          <w:sz w:val="24"/>
        </w:rPr>
      </w:pPr>
      <w:r>
        <w:rPr>
          <w:sz w:val="24"/>
        </w:rPr>
        <w:t>14. Papildu atziņas, kas gūtas, piedaloties šajā Kodeksā, un ko parakstītājs vēlas izcelt.</w:t>
      </w:r>
    </w:p>
    <w:p w14:paraId="4BC41532" w14:textId="77777777" w:rsidR="00AC501A" w:rsidRPr="003E6A75" w:rsidRDefault="00AC501A" w:rsidP="00AC501A">
      <w:pPr>
        <w:pStyle w:val="ListParagraph"/>
        <w:tabs>
          <w:tab w:val="left" w:pos="836"/>
        </w:tabs>
        <w:spacing w:before="0"/>
        <w:ind w:left="426" w:hanging="426"/>
        <w:rPr>
          <w:noProof/>
          <w:sz w:val="24"/>
        </w:rPr>
      </w:pPr>
    </w:p>
    <w:p w14:paraId="5B81EC76" w14:textId="77777777" w:rsidR="00A574AC" w:rsidRPr="003E6A75" w:rsidRDefault="00A574AC" w:rsidP="003E6A75">
      <w:pPr>
        <w:pStyle w:val="BodyText"/>
        <w:jc w:val="left"/>
        <w:rPr>
          <w:noProof/>
          <w:sz w:val="24"/>
          <w:u w:val="single"/>
        </w:rPr>
      </w:pPr>
      <w:r>
        <w:rPr>
          <w:sz w:val="24"/>
          <w:u w:val="single"/>
        </w:rPr>
        <w:t>ZIŅOŠANAS PASKAIDROJUMU TABULA</w:t>
      </w:r>
    </w:p>
    <w:p w14:paraId="22595604" w14:textId="77777777" w:rsidR="00A574AC" w:rsidRPr="003E6A75" w:rsidRDefault="00A574AC" w:rsidP="003E6A75">
      <w:pPr>
        <w:pStyle w:val="BodyText"/>
        <w:jc w:val="left"/>
        <w:rPr>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2544"/>
        <w:gridCol w:w="6587"/>
      </w:tblGrid>
      <w:tr w:rsidR="00A574AC" w:rsidRPr="003E6A75" w14:paraId="56A459F9" w14:textId="77777777" w:rsidTr="00AC501A">
        <w:trPr>
          <w:trHeight w:val="452"/>
        </w:trPr>
        <w:tc>
          <w:tcPr>
            <w:tcW w:w="1393" w:type="pct"/>
          </w:tcPr>
          <w:p w14:paraId="5845A78D" w14:textId="77777777" w:rsidR="00A574AC" w:rsidRPr="003E6A75" w:rsidRDefault="00A574AC" w:rsidP="00AC501A">
            <w:pPr>
              <w:pStyle w:val="TableParagraph"/>
              <w:spacing w:before="0"/>
              <w:ind w:left="57" w:right="57"/>
              <w:rPr>
                <w:b/>
                <w:noProof/>
                <w:sz w:val="24"/>
              </w:rPr>
            </w:pPr>
            <w:r>
              <w:rPr>
                <w:b/>
                <w:sz w:val="24"/>
              </w:rPr>
              <w:t>Punkta kods</w:t>
            </w:r>
          </w:p>
        </w:tc>
        <w:tc>
          <w:tcPr>
            <w:tcW w:w="3607" w:type="pct"/>
          </w:tcPr>
          <w:p w14:paraId="0339ACBC" w14:textId="77777777" w:rsidR="00A574AC" w:rsidRPr="003E6A75" w:rsidRDefault="00A574AC" w:rsidP="00AC501A">
            <w:pPr>
              <w:pStyle w:val="TableParagraph"/>
              <w:spacing w:before="0"/>
              <w:ind w:left="57" w:right="57"/>
              <w:rPr>
                <w:b/>
                <w:noProof/>
                <w:sz w:val="24"/>
              </w:rPr>
            </w:pPr>
            <w:r>
              <w:rPr>
                <w:b/>
                <w:sz w:val="24"/>
              </w:rPr>
              <w:t>Paziņojumi</w:t>
            </w:r>
          </w:p>
        </w:tc>
      </w:tr>
      <w:tr w:rsidR="00A574AC" w:rsidRPr="003E6A75" w14:paraId="0F92A9E7" w14:textId="77777777" w:rsidTr="00AC501A">
        <w:trPr>
          <w:trHeight w:val="452"/>
        </w:trPr>
        <w:tc>
          <w:tcPr>
            <w:tcW w:w="1393" w:type="pct"/>
          </w:tcPr>
          <w:p w14:paraId="7A1C8FB4" w14:textId="77777777" w:rsidR="00A574AC" w:rsidRPr="003E6A75" w:rsidRDefault="00A574AC" w:rsidP="00AC501A">
            <w:pPr>
              <w:pStyle w:val="TableParagraph"/>
              <w:spacing w:before="0"/>
              <w:ind w:left="57" w:right="57"/>
              <w:rPr>
                <w:noProof/>
                <w:sz w:val="24"/>
              </w:rPr>
            </w:pPr>
            <w:r>
              <w:rPr>
                <w:sz w:val="24"/>
              </w:rPr>
              <w:t>1.1.</w:t>
            </w:r>
          </w:p>
        </w:tc>
        <w:tc>
          <w:tcPr>
            <w:tcW w:w="3607" w:type="pct"/>
          </w:tcPr>
          <w:p w14:paraId="34C1F2F6" w14:textId="77777777" w:rsidR="00A574AC" w:rsidRPr="003E6A75" w:rsidRDefault="00A574AC" w:rsidP="00AC501A">
            <w:pPr>
              <w:pStyle w:val="TableParagraph"/>
              <w:spacing w:before="0"/>
              <w:ind w:left="57" w:right="57"/>
              <w:rPr>
                <w:noProof/>
                <w:sz w:val="24"/>
              </w:rPr>
            </w:pPr>
            <w:r>
              <w:rPr>
                <w:sz w:val="24"/>
              </w:rPr>
              <w:t>1. jautājums</w:t>
            </w:r>
          </w:p>
        </w:tc>
      </w:tr>
      <w:tr w:rsidR="00A574AC" w:rsidRPr="003E6A75" w14:paraId="0B3F2129" w14:textId="77777777" w:rsidTr="00AC501A">
        <w:trPr>
          <w:trHeight w:val="452"/>
        </w:trPr>
        <w:tc>
          <w:tcPr>
            <w:tcW w:w="1393" w:type="pct"/>
          </w:tcPr>
          <w:p w14:paraId="088CB0ED" w14:textId="77777777" w:rsidR="00A574AC" w:rsidRPr="003E6A75" w:rsidRDefault="00A574AC" w:rsidP="00AC501A">
            <w:pPr>
              <w:pStyle w:val="TableParagraph"/>
              <w:spacing w:before="0"/>
              <w:ind w:left="57" w:right="57"/>
              <w:rPr>
                <w:noProof/>
                <w:sz w:val="24"/>
              </w:rPr>
            </w:pPr>
            <w:r>
              <w:rPr>
                <w:sz w:val="24"/>
              </w:rPr>
              <w:t>1.2.</w:t>
            </w:r>
          </w:p>
        </w:tc>
        <w:tc>
          <w:tcPr>
            <w:tcW w:w="3607" w:type="pct"/>
          </w:tcPr>
          <w:p w14:paraId="186C3BCF" w14:textId="77777777" w:rsidR="00A574AC" w:rsidRPr="003E6A75" w:rsidRDefault="00A574AC" w:rsidP="00AC501A">
            <w:pPr>
              <w:pStyle w:val="TableParagraph"/>
              <w:spacing w:before="0"/>
              <w:ind w:left="57" w:right="57"/>
              <w:rPr>
                <w:noProof/>
                <w:sz w:val="24"/>
              </w:rPr>
            </w:pPr>
            <w:r>
              <w:rPr>
                <w:sz w:val="24"/>
              </w:rPr>
              <w:t>2. jautājums</w:t>
            </w:r>
          </w:p>
        </w:tc>
      </w:tr>
      <w:tr w:rsidR="00A574AC" w:rsidRPr="003E6A75" w14:paraId="160FE857" w14:textId="77777777" w:rsidTr="00AC501A">
        <w:trPr>
          <w:trHeight w:val="452"/>
        </w:trPr>
        <w:tc>
          <w:tcPr>
            <w:tcW w:w="1393" w:type="pct"/>
          </w:tcPr>
          <w:p w14:paraId="0FE7D4C6" w14:textId="77777777" w:rsidR="00A574AC" w:rsidRPr="003E6A75" w:rsidRDefault="00A574AC" w:rsidP="00AC501A">
            <w:pPr>
              <w:pStyle w:val="TableParagraph"/>
              <w:spacing w:before="0"/>
              <w:ind w:left="57" w:right="57"/>
              <w:rPr>
                <w:noProof/>
                <w:sz w:val="24"/>
              </w:rPr>
            </w:pPr>
            <w:r>
              <w:rPr>
                <w:sz w:val="24"/>
              </w:rPr>
              <w:t>2.1.</w:t>
            </w:r>
          </w:p>
        </w:tc>
        <w:tc>
          <w:tcPr>
            <w:tcW w:w="3607" w:type="pct"/>
          </w:tcPr>
          <w:p w14:paraId="4BDA7038" w14:textId="77777777" w:rsidR="00A574AC" w:rsidRPr="003E6A75" w:rsidRDefault="00A574AC" w:rsidP="00AC501A">
            <w:pPr>
              <w:pStyle w:val="TableParagraph"/>
              <w:spacing w:before="0"/>
              <w:ind w:left="57" w:right="57"/>
              <w:rPr>
                <w:noProof/>
                <w:sz w:val="24"/>
              </w:rPr>
            </w:pPr>
            <w:r>
              <w:rPr>
                <w:sz w:val="24"/>
              </w:rPr>
              <w:t>3., 4., 5. un 6 jautājums + uzraudzības uzdevums</w:t>
            </w:r>
          </w:p>
        </w:tc>
      </w:tr>
      <w:tr w:rsidR="00A574AC" w:rsidRPr="003E6A75" w14:paraId="3A0E2AC7" w14:textId="77777777" w:rsidTr="00AC501A">
        <w:trPr>
          <w:trHeight w:val="452"/>
        </w:trPr>
        <w:tc>
          <w:tcPr>
            <w:tcW w:w="1393" w:type="pct"/>
          </w:tcPr>
          <w:p w14:paraId="7B511CD5" w14:textId="77777777" w:rsidR="00A574AC" w:rsidRPr="003E6A75" w:rsidRDefault="00A574AC" w:rsidP="00AC501A">
            <w:pPr>
              <w:pStyle w:val="TableParagraph"/>
              <w:spacing w:before="0"/>
              <w:ind w:left="57" w:right="57"/>
              <w:rPr>
                <w:noProof/>
                <w:sz w:val="24"/>
              </w:rPr>
            </w:pPr>
            <w:r>
              <w:rPr>
                <w:sz w:val="24"/>
              </w:rPr>
              <w:lastRenderedPageBreak/>
              <w:t>2.2.</w:t>
            </w:r>
          </w:p>
        </w:tc>
        <w:tc>
          <w:tcPr>
            <w:tcW w:w="3607" w:type="pct"/>
          </w:tcPr>
          <w:p w14:paraId="71CBFF4D" w14:textId="77777777" w:rsidR="00A574AC" w:rsidRPr="003E6A75" w:rsidRDefault="00A574AC" w:rsidP="00AC501A">
            <w:pPr>
              <w:pStyle w:val="TableParagraph"/>
              <w:spacing w:before="0"/>
              <w:ind w:left="57" w:right="57"/>
              <w:rPr>
                <w:noProof/>
                <w:sz w:val="24"/>
              </w:rPr>
            </w:pPr>
            <w:r>
              <w:rPr>
                <w:sz w:val="24"/>
              </w:rPr>
              <w:t>6. un 7 jautājums + uzraudzības uzdevums</w:t>
            </w:r>
          </w:p>
        </w:tc>
      </w:tr>
      <w:tr w:rsidR="00A574AC" w:rsidRPr="003E6A75" w14:paraId="6892A8E1" w14:textId="77777777" w:rsidTr="00AC501A">
        <w:trPr>
          <w:trHeight w:val="455"/>
        </w:trPr>
        <w:tc>
          <w:tcPr>
            <w:tcW w:w="1393" w:type="pct"/>
          </w:tcPr>
          <w:p w14:paraId="4C8BED3B" w14:textId="77777777" w:rsidR="00A574AC" w:rsidRPr="003E6A75" w:rsidRDefault="00A574AC" w:rsidP="00AC501A">
            <w:pPr>
              <w:pStyle w:val="TableParagraph"/>
              <w:spacing w:before="0"/>
              <w:ind w:left="57" w:right="57"/>
              <w:rPr>
                <w:noProof/>
                <w:sz w:val="24"/>
              </w:rPr>
            </w:pPr>
            <w:r>
              <w:rPr>
                <w:sz w:val="24"/>
              </w:rPr>
              <w:t>2.3.</w:t>
            </w:r>
          </w:p>
        </w:tc>
        <w:tc>
          <w:tcPr>
            <w:tcW w:w="3607" w:type="pct"/>
          </w:tcPr>
          <w:p w14:paraId="2F18E194" w14:textId="77777777" w:rsidR="00A574AC" w:rsidRPr="003E6A75" w:rsidRDefault="00A574AC" w:rsidP="00AC501A">
            <w:pPr>
              <w:pStyle w:val="TableParagraph"/>
              <w:spacing w:before="0"/>
              <w:ind w:left="57" w:right="57"/>
              <w:rPr>
                <w:noProof/>
                <w:sz w:val="24"/>
              </w:rPr>
            </w:pPr>
            <w:r>
              <w:rPr>
                <w:sz w:val="24"/>
              </w:rPr>
              <w:t>6 jautājums + uzraudzības uzdevums</w:t>
            </w:r>
          </w:p>
        </w:tc>
      </w:tr>
      <w:tr w:rsidR="00A574AC" w:rsidRPr="003E6A75" w14:paraId="16193F9B" w14:textId="77777777" w:rsidTr="00AC501A">
        <w:trPr>
          <w:trHeight w:val="452"/>
        </w:trPr>
        <w:tc>
          <w:tcPr>
            <w:tcW w:w="1393" w:type="pct"/>
          </w:tcPr>
          <w:p w14:paraId="5D65AFD4" w14:textId="77777777" w:rsidR="00A574AC" w:rsidRPr="003E6A75" w:rsidRDefault="00A574AC" w:rsidP="00AC501A">
            <w:pPr>
              <w:pStyle w:val="TableParagraph"/>
              <w:spacing w:before="0"/>
              <w:ind w:left="57" w:right="57"/>
              <w:rPr>
                <w:noProof/>
                <w:sz w:val="24"/>
              </w:rPr>
            </w:pPr>
            <w:r>
              <w:rPr>
                <w:sz w:val="24"/>
              </w:rPr>
              <w:t>3.1.</w:t>
            </w:r>
          </w:p>
        </w:tc>
        <w:tc>
          <w:tcPr>
            <w:tcW w:w="3607" w:type="pct"/>
          </w:tcPr>
          <w:p w14:paraId="21174E08" w14:textId="77777777" w:rsidR="00A574AC" w:rsidRPr="003E6A75" w:rsidRDefault="00A574AC" w:rsidP="00AC501A">
            <w:pPr>
              <w:pStyle w:val="TableParagraph"/>
              <w:spacing w:before="0"/>
              <w:ind w:left="57" w:right="57"/>
              <w:rPr>
                <w:noProof/>
                <w:sz w:val="24"/>
              </w:rPr>
            </w:pPr>
            <w:r>
              <w:rPr>
                <w:sz w:val="24"/>
              </w:rPr>
              <w:t>Uzraudzības pasākums</w:t>
            </w:r>
          </w:p>
        </w:tc>
      </w:tr>
      <w:tr w:rsidR="00A574AC" w:rsidRPr="003E6A75" w14:paraId="666F723B" w14:textId="77777777" w:rsidTr="00AC501A">
        <w:trPr>
          <w:trHeight w:val="452"/>
        </w:trPr>
        <w:tc>
          <w:tcPr>
            <w:tcW w:w="1393" w:type="pct"/>
          </w:tcPr>
          <w:p w14:paraId="61A9E7B6" w14:textId="77777777" w:rsidR="00A574AC" w:rsidRPr="003E6A75" w:rsidRDefault="00A574AC" w:rsidP="00AC501A">
            <w:pPr>
              <w:pStyle w:val="TableParagraph"/>
              <w:spacing w:before="0"/>
              <w:ind w:left="57" w:right="57"/>
              <w:rPr>
                <w:noProof/>
                <w:sz w:val="24"/>
              </w:rPr>
            </w:pPr>
            <w:r>
              <w:rPr>
                <w:sz w:val="24"/>
              </w:rPr>
              <w:t>3.2.</w:t>
            </w:r>
          </w:p>
        </w:tc>
        <w:tc>
          <w:tcPr>
            <w:tcW w:w="3607" w:type="pct"/>
          </w:tcPr>
          <w:p w14:paraId="4E2B191E" w14:textId="77777777" w:rsidR="00A574AC" w:rsidRPr="003E6A75" w:rsidRDefault="00A574AC" w:rsidP="00AC501A">
            <w:pPr>
              <w:pStyle w:val="TableParagraph"/>
              <w:spacing w:before="0"/>
              <w:ind w:left="57" w:right="57"/>
              <w:rPr>
                <w:noProof/>
                <w:sz w:val="24"/>
              </w:rPr>
            </w:pPr>
            <w:r>
              <w:rPr>
                <w:sz w:val="24"/>
              </w:rPr>
              <w:t>Atbildes uz šo 2. pielikumu</w:t>
            </w:r>
          </w:p>
        </w:tc>
      </w:tr>
      <w:tr w:rsidR="00A574AC" w:rsidRPr="003E6A75" w14:paraId="78BFD474" w14:textId="77777777" w:rsidTr="00AC501A">
        <w:trPr>
          <w:trHeight w:val="452"/>
        </w:trPr>
        <w:tc>
          <w:tcPr>
            <w:tcW w:w="1393" w:type="pct"/>
          </w:tcPr>
          <w:p w14:paraId="5C7E3592" w14:textId="77777777" w:rsidR="00A574AC" w:rsidRPr="003E6A75" w:rsidRDefault="00A574AC" w:rsidP="00AC501A">
            <w:pPr>
              <w:pStyle w:val="TableParagraph"/>
              <w:spacing w:before="0"/>
              <w:ind w:left="57" w:right="57"/>
              <w:rPr>
                <w:noProof/>
                <w:sz w:val="24"/>
              </w:rPr>
            </w:pPr>
            <w:r>
              <w:rPr>
                <w:sz w:val="24"/>
              </w:rPr>
              <w:t>4.1.</w:t>
            </w:r>
          </w:p>
        </w:tc>
        <w:tc>
          <w:tcPr>
            <w:tcW w:w="3607" w:type="pct"/>
          </w:tcPr>
          <w:p w14:paraId="70DA10B5" w14:textId="77777777" w:rsidR="00A574AC" w:rsidRPr="003E6A75" w:rsidRDefault="00A574AC" w:rsidP="00AC501A">
            <w:pPr>
              <w:pStyle w:val="TableParagraph"/>
              <w:spacing w:before="0"/>
              <w:ind w:left="57" w:right="57"/>
              <w:rPr>
                <w:noProof/>
                <w:sz w:val="24"/>
              </w:rPr>
            </w:pPr>
            <w:r>
              <w:rPr>
                <w:sz w:val="24"/>
              </w:rPr>
              <w:t>8. jautājums</w:t>
            </w:r>
          </w:p>
        </w:tc>
      </w:tr>
      <w:tr w:rsidR="00A574AC" w:rsidRPr="003E6A75" w14:paraId="2DEF38EB" w14:textId="77777777" w:rsidTr="00AC501A">
        <w:trPr>
          <w:trHeight w:val="452"/>
        </w:trPr>
        <w:tc>
          <w:tcPr>
            <w:tcW w:w="1393" w:type="pct"/>
          </w:tcPr>
          <w:p w14:paraId="72466B23" w14:textId="77777777" w:rsidR="00A574AC" w:rsidRPr="003E6A75" w:rsidRDefault="00A574AC" w:rsidP="00AC501A">
            <w:pPr>
              <w:pStyle w:val="TableParagraph"/>
              <w:spacing w:before="0"/>
              <w:ind w:left="57" w:right="57"/>
              <w:rPr>
                <w:noProof/>
                <w:sz w:val="24"/>
              </w:rPr>
            </w:pPr>
            <w:r>
              <w:rPr>
                <w:sz w:val="24"/>
              </w:rPr>
              <w:t>4.2.</w:t>
            </w:r>
          </w:p>
        </w:tc>
        <w:tc>
          <w:tcPr>
            <w:tcW w:w="3607" w:type="pct"/>
          </w:tcPr>
          <w:p w14:paraId="12890771" w14:textId="77777777" w:rsidR="00A574AC" w:rsidRPr="003E6A75" w:rsidRDefault="00A574AC" w:rsidP="00AC501A">
            <w:pPr>
              <w:pStyle w:val="TableParagraph"/>
              <w:spacing w:before="0"/>
              <w:ind w:left="57" w:right="57"/>
              <w:rPr>
                <w:noProof/>
                <w:sz w:val="24"/>
              </w:rPr>
            </w:pPr>
            <w:r>
              <w:rPr>
                <w:sz w:val="24"/>
              </w:rPr>
              <w:t>9. jautājums</w:t>
            </w:r>
          </w:p>
        </w:tc>
      </w:tr>
      <w:tr w:rsidR="00A574AC" w:rsidRPr="003E6A75" w14:paraId="66FF360E" w14:textId="77777777" w:rsidTr="00AC501A">
        <w:trPr>
          <w:trHeight w:val="452"/>
        </w:trPr>
        <w:tc>
          <w:tcPr>
            <w:tcW w:w="1393" w:type="pct"/>
          </w:tcPr>
          <w:p w14:paraId="4D67520F" w14:textId="77777777" w:rsidR="00A574AC" w:rsidRPr="003E6A75" w:rsidRDefault="00A574AC" w:rsidP="00AC501A">
            <w:pPr>
              <w:pStyle w:val="TableParagraph"/>
              <w:spacing w:before="0"/>
              <w:ind w:left="57" w:right="57"/>
              <w:rPr>
                <w:noProof/>
                <w:sz w:val="24"/>
              </w:rPr>
            </w:pPr>
            <w:r>
              <w:rPr>
                <w:sz w:val="24"/>
              </w:rPr>
              <w:t>4.3.</w:t>
            </w:r>
          </w:p>
        </w:tc>
        <w:tc>
          <w:tcPr>
            <w:tcW w:w="3607" w:type="pct"/>
          </w:tcPr>
          <w:p w14:paraId="0FC3D641" w14:textId="77777777" w:rsidR="00A574AC" w:rsidRPr="003E6A75" w:rsidRDefault="00A574AC" w:rsidP="00AC501A">
            <w:pPr>
              <w:pStyle w:val="TableParagraph"/>
              <w:spacing w:before="0"/>
              <w:ind w:left="57" w:right="57"/>
              <w:rPr>
                <w:noProof/>
                <w:sz w:val="24"/>
              </w:rPr>
            </w:pPr>
            <w:r>
              <w:rPr>
                <w:sz w:val="24"/>
              </w:rPr>
              <w:t>10. jautājums</w:t>
            </w:r>
          </w:p>
        </w:tc>
      </w:tr>
      <w:tr w:rsidR="00A574AC" w:rsidRPr="003E6A75" w14:paraId="4CA141E8" w14:textId="77777777" w:rsidTr="00AC501A">
        <w:trPr>
          <w:trHeight w:val="452"/>
        </w:trPr>
        <w:tc>
          <w:tcPr>
            <w:tcW w:w="1393" w:type="pct"/>
          </w:tcPr>
          <w:p w14:paraId="67C9AAFF" w14:textId="77777777" w:rsidR="00A574AC" w:rsidRPr="003E6A75" w:rsidRDefault="00A574AC" w:rsidP="00AC501A">
            <w:pPr>
              <w:pStyle w:val="TableParagraph"/>
              <w:spacing w:before="0"/>
              <w:ind w:left="57" w:right="57"/>
              <w:rPr>
                <w:noProof/>
                <w:sz w:val="24"/>
              </w:rPr>
            </w:pPr>
            <w:r>
              <w:rPr>
                <w:sz w:val="24"/>
              </w:rPr>
              <w:t>4.4.</w:t>
            </w:r>
          </w:p>
        </w:tc>
        <w:tc>
          <w:tcPr>
            <w:tcW w:w="3607" w:type="pct"/>
          </w:tcPr>
          <w:p w14:paraId="3EB1F8C4" w14:textId="77777777" w:rsidR="00A574AC" w:rsidRPr="003E6A75" w:rsidRDefault="00A574AC" w:rsidP="00AC501A">
            <w:pPr>
              <w:pStyle w:val="TableParagraph"/>
              <w:spacing w:before="0"/>
              <w:ind w:left="57" w:right="57"/>
              <w:rPr>
                <w:noProof/>
                <w:sz w:val="24"/>
              </w:rPr>
            </w:pPr>
            <w:r>
              <w:rPr>
                <w:sz w:val="24"/>
              </w:rPr>
              <w:t>8. jautājums</w:t>
            </w:r>
          </w:p>
        </w:tc>
      </w:tr>
      <w:tr w:rsidR="00A574AC" w:rsidRPr="003E6A75" w14:paraId="127E1FDC" w14:textId="77777777" w:rsidTr="00AC501A">
        <w:trPr>
          <w:trHeight w:val="452"/>
        </w:trPr>
        <w:tc>
          <w:tcPr>
            <w:tcW w:w="1393" w:type="pct"/>
          </w:tcPr>
          <w:p w14:paraId="616A3ECA" w14:textId="77777777" w:rsidR="00A574AC" w:rsidRPr="003E6A75" w:rsidRDefault="00A574AC" w:rsidP="00AC501A">
            <w:pPr>
              <w:pStyle w:val="TableParagraph"/>
              <w:spacing w:before="0"/>
              <w:ind w:left="57" w:right="57"/>
              <w:rPr>
                <w:noProof/>
                <w:sz w:val="24"/>
              </w:rPr>
            </w:pPr>
            <w:r>
              <w:rPr>
                <w:sz w:val="24"/>
              </w:rPr>
              <w:t>5.1.</w:t>
            </w:r>
          </w:p>
        </w:tc>
        <w:tc>
          <w:tcPr>
            <w:tcW w:w="3607" w:type="pct"/>
          </w:tcPr>
          <w:p w14:paraId="43F7BF99" w14:textId="77777777" w:rsidR="00A574AC" w:rsidRPr="003E6A75" w:rsidRDefault="00A574AC" w:rsidP="00AC501A">
            <w:pPr>
              <w:pStyle w:val="TableParagraph"/>
              <w:spacing w:before="0"/>
              <w:ind w:left="57" w:right="57"/>
              <w:rPr>
                <w:noProof/>
                <w:sz w:val="24"/>
              </w:rPr>
            </w:pPr>
            <w:r>
              <w:rPr>
                <w:sz w:val="24"/>
              </w:rPr>
              <w:t>8. un 11. jautājums</w:t>
            </w:r>
          </w:p>
        </w:tc>
      </w:tr>
      <w:tr w:rsidR="00A574AC" w:rsidRPr="003E6A75" w14:paraId="79C4431E" w14:textId="77777777" w:rsidTr="00AC501A">
        <w:trPr>
          <w:trHeight w:val="453"/>
        </w:trPr>
        <w:tc>
          <w:tcPr>
            <w:tcW w:w="1393" w:type="pct"/>
          </w:tcPr>
          <w:p w14:paraId="0B98F525" w14:textId="77777777" w:rsidR="00A574AC" w:rsidRPr="003E6A75" w:rsidRDefault="00A574AC" w:rsidP="00AC501A">
            <w:pPr>
              <w:pStyle w:val="TableParagraph"/>
              <w:spacing w:before="0"/>
              <w:ind w:left="57" w:right="57"/>
              <w:rPr>
                <w:noProof/>
                <w:sz w:val="24"/>
              </w:rPr>
            </w:pPr>
            <w:r>
              <w:rPr>
                <w:sz w:val="24"/>
              </w:rPr>
              <w:t>5.2.</w:t>
            </w:r>
          </w:p>
        </w:tc>
        <w:tc>
          <w:tcPr>
            <w:tcW w:w="3607" w:type="pct"/>
          </w:tcPr>
          <w:p w14:paraId="06014517" w14:textId="77777777" w:rsidR="00A574AC" w:rsidRPr="003E6A75" w:rsidRDefault="00A574AC" w:rsidP="00AC501A">
            <w:pPr>
              <w:pStyle w:val="TableParagraph"/>
              <w:spacing w:before="0"/>
              <w:ind w:left="57" w:right="57"/>
              <w:rPr>
                <w:noProof/>
                <w:sz w:val="24"/>
              </w:rPr>
            </w:pPr>
            <w:r>
              <w:rPr>
                <w:sz w:val="24"/>
              </w:rPr>
              <w:t>8. un 12. jautājums</w:t>
            </w:r>
          </w:p>
        </w:tc>
      </w:tr>
      <w:tr w:rsidR="00A574AC" w:rsidRPr="003E6A75" w14:paraId="4C50D6D4" w14:textId="77777777" w:rsidTr="00AC501A">
        <w:trPr>
          <w:trHeight w:val="455"/>
        </w:trPr>
        <w:tc>
          <w:tcPr>
            <w:tcW w:w="1393" w:type="pct"/>
          </w:tcPr>
          <w:p w14:paraId="794FC5D7" w14:textId="77777777" w:rsidR="00A574AC" w:rsidRPr="003E6A75" w:rsidRDefault="00A574AC" w:rsidP="00AC501A">
            <w:pPr>
              <w:pStyle w:val="TableParagraph"/>
              <w:spacing w:before="0"/>
              <w:ind w:left="57" w:right="57"/>
              <w:rPr>
                <w:noProof/>
                <w:sz w:val="24"/>
              </w:rPr>
            </w:pPr>
            <w:r>
              <w:rPr>
                <w:sz w:val="24"/>
              </w:rPr>
              <w:t>Ja atbilstīgi</w:t>
            </w:r>
          </w:p>
        </w:tc>
        <w:tc>
          <w:tcPr>
            <w:tcW w:w="3607" w:type="pct"/>
          </w:tcPr>
          <w:p w14:paraId="0465B156" w14:textId="77777777" w:rsidR="00A574AC" w:rsidRPr="003E6A75" w:rsidRDefault="00A574AC" w:rsidP="00AC501A">
            <w:pPr>
              <w:pStyle w:val="TableParagraph"/>
              <w:spacing w:before="0"/>
              <w:ind w:left="57" w:right="57"/>
              <w:rPr>
                <w:noProof/>
                <w:sz w:val="24"/>
              </w:rPr>
            </w:pPr>
            <w:r>
              <w:rPr>
                <w:sz w:val="24"/>
              </w:rPr>
              <w:t>12. un 13. jautājums</w:t>
            </w:r>
          </w:p>
        </w:tc>
      </w:tr>
    </w:tbl>
    <w:p w14:paraId="544E71C2" w14:textId="77777777" w:rsidR="00A574AC" w:rsidRPr="003E6A75" w:rsidRDefault="00A574AC" w:rsidP="003E6A75">
      <w:pPr>
        <w:rPr>
          <w:noProof/>
          <w:sz w:val="24"/>
        </w:rPr>
      </w:pPr>
    </w:p>
    <w:sectPr w:rsidR="00A574AC" w:rsidRPr="003E6A75" w:rsidSect="003E6A75">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0D03" w14:textId="77777777" w:rsidR="00082DBD" w:rsidRPr="00A574AC" w:rsidRDefault="00082DBD" w:rsidP="00DE3C08">
      <w:pPr>
        <w:rPr>
          <w:noProof/>
        </w:rPr>
      </w:pPr>
      <w:r w:rsidRPr="00A574AC">
        <w:rPr>
          <w:noProof/>
        </w:rPr>
        <w:separator/>
      </w:r>
    </w:p>
  </w:endnote>
  <w:endnote w:type="continuationSeparator" w:id="0">
    <w:p w14:paraId="1F4CCFC7" w14:textId="77777777" w:rsidR="00082DBD" w:rsidRPr="00A574AC" w:rsidRDefault="00082DBD" w:rsidP="00DE3C08">
      <w:pPr>
        <w:rPr>
          <w:noProof/>
        </w:rPr>
      </w:pPr>
      <w:r w:rsidRPr="00A574AC">
        <w:rPr>
          <w:noProof/>
        </w:rPr>
        <w:continuationSeparator/>
      </w:r>
    </w:p>
  </w:endnote>
  <w:endnote w:type="continuationNotice" w:id="1">
    <w:p w14:paraId="05F46748" w14:textId="77777777" w:rsidR="00082DBD" w:rsidRDefault="00082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661A" w14:textId="77777777" w:rsidR="00681954" w:rsidRPr="00681954" w:rsidRDefault="00681954" w:rsidP="00681954">
    <w:pPr>
      <w:tabs>
        <w:tab w:val="right" w:leader="underscore" w:pos="9072"/>
      </w:tabs>
      <w:autoSpaceDE/>
      <w:autoSpaceDN/>
      <w:rPr>
        <w:rFonts w:eastAsiaTheme="minorHAnsi"/>
        <w:sz w:val="20"/>
        <w:szCs w:val="18"/>
      </w:rPr>
    </w:pPr>
    <w:r w:rsidRPr="00681954">
      <w:rPr>
        <w:rFonts w:eastAsiaTheme="minorHAnsi"/>
        <w:sz w:val="20"/>
        <w:szCs w:val="18"/>
      </w:rPr>
      <w:tab/>
    </w:r>
  </w:p>
  <w:p w14:paraId="147FCE69" w14:textId="77777777" w:rsidR="00681954" w:rsidRPr="00681954" w:rsidRDefault="00681954" w:rsidP="00681954">
    <w:pPr>
      <w:tabs>
        <w:tab w:val="center" w:pos="4513"/>
        <w:tab w:val="right" w:pos="9026"/>
        <w:tab w:val="right" w:pos="9072"/>
      </w:tabs>
      <w:autoSpaceDE/>
      <w:autoSpaceDN/>
      <w:rPr>
        <w:rFonts w:eastAsiaTheme="minorHAnsi"/>
        <w:sz w:val="20"/>
        <w:szCs w:val="18"/>
      </w:rPr>
    </w:pPr>
  </w:p>
  <w:p w14:paraId="6E1D7783" w14:textId="12462CA0" w:rsidR="00DE3C08" w:rsidRPr="00681954" w:rsidRDefault="00681954" w:rsidP="00681954">
    <w:pPr>
      <w:tabs>
        <w:tab w:val="right" w:pos="9072"/>
      </w:tabs>
      <w:autoSpaceDE/>
      <w:autoSpaceDN/>
      <w:rPr>
        <w:rFonts w:eastAsiaTheme="minorHAnsi"/>
        <w:sz w:val="20"/>
        <w:szCs w:val="18"/>
      </w:rPr>
    </w:pPr>
    <w:r w:rsidRPr="00681954">
      <w:rPr>
        <w:rFonts w:eastAsiaTheme="minorHAnsi"/>
        <w:noProof/>
        <w:sz w:val="20"/>
        <w:szCs w:val="18"/>
      </w:rPr>
      <w:t xml:space="preserve">Tulkojums </w:t>
    </w:r>
    <w:r w:rsidRPr="00681954">
      <w:rPr>
        <w:rFonts w:eastAsiaTheme="minorHAnsi"/>
        <w:noProof/>
        <w:sz w:val="20"/>
        <w:szCs w:val="18"/>
      </w:rPr>
      <w:fldChar w:fldCharType="begin"/>
    </w:r>
    <w:r w:rsidRPr="00681954">
      <w:rPr>
        <w:rFonts w:eastAsiaTheme="minorHAnsi"/>
        <w:noProof/>
        <w:sz w:val="20"/>
        <w:szCs w:val="18"/>
      </w:rPr>
      <w:instrText>symbol 211 \f "Symbol" \s 9</w:instrText>
    </w:r>
    <w:r w:rsidRPr="00681954">
      <w:rPr>
        <w:rFonts w:eastAsiaTheme="minorHAnsi"/>
        <w:noProof/>
        <w:sz w:val="20"/>
        <w:szCs w:val="18"/>
      </w:rPr>
      <w:fldChar w:fldCharType="separate"/>
    </w:r>
    <w:r w:rsidRPr="00681954">
      <w:rPr>
        <w:rFonts w:eastAsiaTheme="minorHAnsi"/>
        <w:noProof/>
        <w:sz w:val="20"/>
        <w:szCs w:val="18"/>
      </w:rPr>
      <w:t>Ó</w:t>
    </w:r>
    <w:r w:rsidRPr="00681954">
      <w:rPr>
        <w:rFonts w:eastAsiaTheme="minorHAnsi"/>
        <w:noProof/>
        <w:sz w:val="20"/>
        <w:szCs w:val="18"/>
      </w:rPr>
      <w:fldChar w:fldCharType="end"/>
    </w:r>
    <w:r w:rsidRPr="00681954">
      <w:rPr>
        <w:rFonts w:eastAsiaTheme="minorHAnsi"/>
        <w:noProof/>
        <w:sz w:val="20"/>
        <w:szCs w:val="18"/>
      </w:rPr>
      <w:t xml:space="preserve"> Valsts valodas centrs, 202</w:t>
    </w:r>
    <w:r>
      <w:rPr>
        <w:rFonts w:eastAsiaTheme="minorHAnsi"/>
        <w:noProof/>
        <w:sz w:val="20"/>
        <w:szCs w:val="18"/>
      </w:rPr>
      <w:t>5</w:t>
    </w:r>
    <w:r w:rsidRPr="00681954">
      <w:rPr>
        <w:rFonts w:eastAsiaTheme="minorHAnsi"/>
        <w:sz w:val="20"/>
        <w:szCs w:val="18"/>
      </w:rPr>
      <w:tab/>
    </w:r>
    <w:r w:rsidRPr="00681954">
      <w:rPr>
        <w:rFonts w:eastAsiaTheme="minorHAnsi"/>
        <w:sz w:val="20"/>
        <w:szCs w:val="18"/>
      </w:rPr>
      <w:fldChar w:fldCharType="begin"/>
    </w:r>
    <w:r w:rsidRPr="00681954">
      <w:rPr>
        <w:rFonts w:eastAsiaTheme="minorHAnsi"/>
        <w:sz w:val="20"/>
        <w:szCs w:val="18"/>
      </w:rPr>
      <w:instrText xml:space="preserve">page </w:instrText>
    </w:r>
    <w:r w:rsidRPr="00681954">
      <w:rPr>
        <w:rFonts w:eastAsiaTheme="minorHAnsi"/>
        <w:sz w:val="20"/>
        <w:szCs w:val="18"/>
      </w:rPr>
      <w:fldChar w:fldCharType="separate"/>
    </w:r>
    <w:r w:rsidRPr="00681954">
      <w:rPr>
        <w:rFonts w:eastAsiaTheme="minorHAnsi"/>
        <w:sz w:val="20"/>
        <w:szCs w:val="18"/>
      </w:rPr>
      <w:t>2</w:t>
    </w:r>
    <w:r w:rsidRPr="00681954">
      <w:rPr>
        <w:rFonts w:eastAsiaTheme="minorHAnsi"/>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164B" w14:textId="77777777" w:rsidR="003926C9" w:rsidRPr="003926C9" w:rsidRDefault="003926C9" w:rsidP="003926C9">
    <w:pPr>
      <w:tabs>
        <w:tab w:val="left" w:leader="underscore" w:pos="9072"/>
      </w:tabs>
      <w:autoSpaceDE/>
      <w:autoSpaceDN/>
      <w:rPr>
        <w:rFonts w:eastAsiaTheme="minorHAnsi"/>
        <w:sz w:val="20"/>
        <w:szCs w:val="18"/>
      </w:rPr>
    </w:pPr>
    <w:r w:rsidRPr="003926C9">
      <w:rPr>
        <w:rFonts w:eastAsiaTheme="minorHAnsi"/>
        <w:sz w:val="20"/>
        <w:szCs w:val="18"/>
      </w:rPr>
      <w:tab/>
    </w:r>
  </w:p>
  <w:p w14:paraId="0A0F14B7" w14:textId="77777777" w:rsidR="003926C9" w:rsidRPr="003926C9" w:rsidRDefault="003926C9" w:rsidP="003926C9">
    <w:pPr>
      <w:tabs>
        <w:tab w:val="center" w:pos="4513"/>
        <w:tab w:val="right" w:pos="9026"/>
        <w:tab w:val="left" w:pos="9072"/>
      </w:tabs>
      <w:autoSpaceDE/>
      <w:autoSpaceDN/>
      <w:rPr>
        <w:rFonts w:eastAsiaTheme="minorHAnsi"/>
        <w:sz w:val="20"/>
        <w:szCs w:val="18"/>
      </w:rPr>
    </w:pPr>
  </w:p>
  <w:p w14:paraId="4F143332" w14:textId="79941C9E" w:rsidR="00DE3C08" w:rsidRPr="003926C9" w:rsidRDefault="003926C9" w:rsidP="003926C9">
    <w:pPr>
      <w:tabs>
        <w:tab w:val="center" w:pos="4513"/>
        <w:tab w:val="right" w:pos="9026"/>
      </w:tabs>
      <w:autoSpaceDE/>
      <w:autoSpaceDN/>
      <w:rPr>
        <w:rFonts w:eastAsiaTheme="minorHAnsi"/>
        <w:sz w:val="20"/>
        <w:szCs w:val="18"/>
      </w:rPr>
    </w:pPr>
    <w:r w:rsidRPr="003926C9">
      <w:rPr>
        <w:rFonts w:eastAsiaTheme="minorHAnsi"/>
        <w:noProof/>
        <w:sz w:val="20"/>
        <w:szCs w:val="18"/>
      </w:rPr>
      <w:t xml:space="preserve">Tulkojums </w:t>
    </w:r>
    <w:r w:rsidRPr="003926C9">
      <w:rPr>
        <w:rFonts w:eastAsiaTheme="minorHAnsi"/>
        <w:noProof/>
        <w:sz w:val="20"/>
        <w:szCs w:val="18"/>
      </w:rPr>
      <w:fldChar w:fldCharType="begin"/>
    </w:r>
    <w:r w:rsidRPr="003926C9">
      <w:rPr>
        <w:rFonts w:eastAsiaTheme="minorHAnsi"/>
        <w:noProof/>
        <w:sz w:val="20"/>
        <w:szCs w:val="18"/>
      </w:rPr>
      <w:instrText>symbol 211 \f "Symbol" \s 9</w:instrText>
    </w:r>
    <w:r w:rsidRPr="003926C9">
      <w:rPr>
        <w:rFonts w:eastAsiaTheme="minorHAnsi"/>
        <w:noProof/>
        <w:sz w:val="20"/>
        <w:szCs w:val="18"/>
      </w:rPr>
      <w:fldChar w:fldCharType="separate"/>
    </w:r>
    <w:r w:rsidRPr="003926C9">
      <w:rPr>
        <w:rFonts w:eastAsiaTheme="minorHAnsi"/>
        <w:noProof/>
        <w:sz w:val="20"/>
        <w:szCs w:val="18"/>
      </w:rPr>
      <w:t>Ó</w:t>
    </w:r>
    <w:r w:rsidRPr="003926C9">
      <w:rPr>
        <w:rFonts w:eastAsiaTheme="minorHAnsi"/>
        <w:noProof/>
        <w:sz w:val="20"/>
        <w:szCs w:val="18"/>
      </w:rPr>
      <w:fldChar w:fldCharType="end"/>
    </w:r>
    <w:r w:rsidRPr="003926C9">
      <w:rPr>
        <w:rFonts w:eastAsiaTheme="minorHAnsi"/>
        <w:noProof/>
        <w:sz w:val="20"/>
        <w:szCs w:val="18"/>
      </w:rPr>
      <w:t xml:space="preserve"> Valsts valodas centrs, 202</w:t>
    </w:r>
    <w:r>
      <w:rPr>
        <w:rFonts w:eastAsiaTheme="minorHAnsi"/>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78F7" w14:textId="77777777" w:rsidR="00082DBD" w:rsidRPr="00A574AC" w:rsidRDefault="00082DBD" w:rsidP="00DE3C08">
      <w:pPr>
        <w:rPr>
          <w:noProof/>
        </w:rPr>
      </w:pPr>
      <w:r w:rsidRPr="00A574AC">
        <w:rPr>
          <w:noProof/>
        </w:rPr>
        <w:separator/>
      </w:r>
    </w:p>
  </w:footnote>
  <w:footnote w:type="continuationSeparator" w:id="0">
    <w:p w14:paraId="412768A5" w14:textId="77777777" w:rsidR="00082DBD" w:rsidRPr="00A574AC" w:rsidRDefault="00082DBD" w:rsidP="00DE3C08">
      <w:pPr>
        <w:rPr>
          <w:noProof/>
        </w:rPr>
      </w:pPr>
      <w:r w:rsidRPr="00A574AC">
        <w:rPr>
          <w:noProof/>
        </w:rPr>
        <w:continuationSeparator/>
      </w:r>
    </w:p>
  </w:footnote>
  <w:footnote w:type="continuationNotice" w:id="1">
    <w:p w14:paraId="649AEAF9" w14:textId="77777777" w:rsidR="00082DBD" w:rsidRDefault="00082DBD"/>
  </w:footnote>
  <w:footnote w:id="2">
    <w:p w14:paraId="7DC820FE" w14:textId="27ACB56F" w:rsidR="00A6394A" w:rsidRPr="00A6394A" w:rsidRDefault="00A6394A">
      <w:pPr>
        <w:pStyle w:val="FootnoteText"/>
      </w:pPr>
      <w:r>
        <w:rPr>
          <w:rStyle w:val="FootnoteReference"/>
        </w:rPr>
        <w:footnoteRef/>
      </w:r>
      <w:r>
        <w:t> Eiropas Parlamenta un Padomes 2022. gada 19. oktobra Regula (ES) 2022/2065 par digitālo pakalpojumu vienoto tirgu.</w:t>
      </w:r>
    </w:p>
  </w:footnote>
  <w:footnote w:id="3">
    <w:p w14:paraId="5E052A44" w14:textId="7AF92252" w:rsidR="00605107" w:rsidRPr="00605107" w:rsidRDefault="00605107" w:rsidP="00A0038E">
      <w:pPr>
        <w:pStyle w:val="FootnoteText"/>
        <w:jc w:val="both"/>
      </w:pPr>
      <w:r>
        <w:rPr>
          <w:rStyle w:val="FootnoteReference"/>
        </w:rPr>
        <w:footnoteRef/>
      </w:r>
      <w:r>
        <w:t> </w:t>
      </w:r>
      <w:r>
        <w:rPr>
          <w:b/>
          <w:bCs/>
        </w:rPr>
        <w:t>Rīcības kodeksa+</w:t>
      </w:r>
      <w:r>
        <w:t xml:space="preserve"> parakstītāji ir: attiecīgie </w:t>
      </w:r>
      <w:r>
        <w:rPr>
          <w:i/>
          <w:iCs/>
        </w:rPr>
        <w:t>Facebook</w:t>
      </w:r>
      <w:r>
        <w:t xml:space="preserve">, </w:t>
      </w:r>
      <w:r>
        <w:rPr>
          <w:i/>
          <w:iCs/>
        </w:rPr>
        <w:t>Instagram</w:t>
      </w:r>
      <w:r>
        <w:t xml:space="preserve">, </w:t>
      </w:r>
      <w:r>
        <w:rPr>
          <w:i/>
          <w:iCs/>
        </w:rPr>
        <w:t>YouTube</w:t>
      </w:r>
      <w:r>
        <w:t xml:space="preserve">, </w:t>
      </w:r>
      <w:r>
        <w:rPr>
          <w:i/>
          <w:iCs/>
        </w:rPr>
        <w:t>X</w:t>
      </w:r>
      <w:r>
        <w:t xml:space="preserve"> (agrāk – </w:t>
      </w:r>
      <w:r>
        <w:rPr>
          <w:i/>
          <w:iCs/>
        </w:rPr>
        <w:t>Twitter</w:t>
      </w:r>
      <w:r>
        <w:t xml:space="preserve">), </w:t>
      </w:r>
      <w:r>
        <w:rPr>
          <w:i/>
          <w:iCs/>
        </w:rPr>
        <w:t>TikTok</w:t>
      </w:r>
      <w:r>
        <w:t xml:space="preserve">, </w:t>
      </w:r>
      <w:r>
        <w:rPr>
          <w:i/>
          <w:iCs/>
        </w:rPr>
        <w:t>LinkedIn</w:t>
      </w:r>
      <w:r>
        <w:t xml:space="preserve">, </w:t>
      </w:r>
      <w:r>
        <w:rPr>
          <w:i/>
          <w:iCs/>
        </w:rPr>
        <w:t>Twitch</w:t>
      </w:r>
      <w:r>
        <w:t xml:space="preserve">, </w:t>
      </w:r>
      <w:r>
        <w:rPr>
          <w:i/>
          <w:iCs/>
        </w:rPr>
        <w:t>Viber</w:t>
      </w:r>
      <w:r>
        <w:t xml:space="preserve">, </w:t>
      </w:r>
      <w:r>
        <w:rPr>
          <w:i/>
          <w:iCs/>
        </w:rPr>
        <w:t>Dailymotion</w:t>
      </w:r>
      <w:r>
        <w:t xml:space="preserve">, jeuxvideo.com, </w:t>
      </w:r>
      <w:r>
        <w:rPr>
          <w:i/>
          <w:iCs/>
        </w:rPr>
        <w:t>Snap Inc.</w:t>
      </w:r>
      <w:r>
        <w:t xml:space="preserve"> un </w:t>
      </w:r>
      <w:r>
        <w:rPr>
          <w:i/>
          <w:iCs/>
        </w:rPr>
        <w:t>Microsoft</w:t>
      </w:r>
      <w:r>
        <w:t xml:space="preserve"> mitinātie patērētāju pakalpojumi.</w:t>
      </w:r>
    </w:p>
  </w:footnote>
  <w:footnote w:id="4">
    <w:p w14:paraId="62BD8455" w14:textId="1B2B356A" w:rsidR="00605107" w:rsidRPr="00605107" w:rsidRDefault="00605107" w:rsidP="00A0038E">
      <w:pPr>
        <w:pStyle w:val="FootnoteText"/>
        <w:jc w:val="both"/>
      </w:pPr>
      <w:r>
        <w:rPr>
          <w:rStyle w:val="FootnoteReference"/>
        </w:rPr>
        <w:footnoteRef/>
      </w:r>
      <w:r>
        <w:t> Turpmāk tekstā ar “nosacījumiem un prasībām” tiek apzīmēti pakalpojumu sniegšanas noteikumi, kā arī visas piemērojamās politikas nostādnes (piemēram, Kopienas standarti, pamatnostādnes u. c.). Parakstītāji atzīst, ka nosacījumu un prasību izstrādei pastāv dažādas derīgas pieejas, piemēram, atšķirības tajā, kā tās apkaro nelikumīgu saturu salīdzinājumā ar saturu, kas ir likumīgs, bet ir pretrunā pakalpojumu politikas nostādnēm, attiecīgi parakstītājiem ir rīcības brīvība attiecībā uz to, kā tie izpilda 1.1. apņemšanos.</w:t>
      </w:r>
    </w:p>
  </w:footnote>
  <w:footnote w:id="5">
    <w:p w14:paraId="286F8729" w14:textId="10CD14B8" w:rsidR="00A0038E" w:rsidRPr="00A0038E" w:rsidRDefault="00A0038E" w:rsidP="00A0038E">
      <w:pPr>
        <w:pStyle w:val="FootnoteText"/>
        <w:jc w:val="both"/>
      </w:pPr>
      <w:r>
        <w:rPr>
          <w:rStyle w:val="FootnoteReference"/>
        </w:rPr>
        <w:footnoteRef/>
      </w:r>
      <w:r>
        <w:t> Nelikumīga naida runa ir definēta piemērojamajos tiesību aktos, tostarp 2008. gada 28. novembra Pamatlēmumā 2008/913/TI par krimināltiesību izmantošanu cīņā pret noteiktiem rasisma un ksenofobijas veidiem un izpausmēm, kas transponēts valstu jurisdikcijās, kā arī, ja atbilstīgi, iespējamos turpmākajos šā pamatlēmuma atjauninājumos.</w:t>
      </w:r>
    </w:p>
  </w:footnote>
  <w:footnote w:id="6">
    <w:p w14:paraId="1465D484" w14:textId="13BC0E87" w:rsidR="001728BC" w:rsidRPr="001728BC" w:rsidRDefault="001728BC">
      <w:pPr>
        <w:pStyle w:val="FootnoteText"/>
      </w:pPr>
      <w:r>
        <w:rPr>
          <w:rStyle w:val="FootnoteReference"/>
        </w:rPr>
        <w:footnoteRef/>
      </w:r>
      <w:r>
        <w:t> Un attiecīgās turpmākās ES finansētās programmas.</w:t>
      </w:r>
    </w:p>
  </w:footnote>
  <w:footnote w:id="7">
    <w:p w14:paraId="3C739343" w14:textId="1799D8BB" w:rsidR="00C02375" w:rsidRPr="00C02375" w:rsidRDefault="00C02375" w:rsidP="00C02375">
      <w:pPr>
        <w:pStyle w:val="FootnoteText"/>
        <w:jc w:val="both"/>
      </w:pPr>
      <w:r>
        <w:rPr>
          <w:rStyle w:val="FootnoteReference"/>
        </w:rPr>
        <w:footnoteRef/>
      </w:r>
      <w:r>
        <w:t> Uzraudzības ziņotāju saraksta apstiprināšanas procedūra paliek konfidenciāla starp Komisiju un parakstītājiem, lai saglabātu procesa integritāti un objektivitāti un lai nodrošinātu, ka parakstītāji var Komisijai nosūtīt sensitīvu informāciju. Visa saziņa šīs procedūras laikā starp parakstītājiem un Komisiju paliek konfidenciāla, un uz to attiecas DPA 84. pantā izklāstītie konfidencialitātes noteikumi.</w:t>
      </w:r>
    </w:p>
  </w:footnote>
  <w:footnote w:id="8">
    <w:p w14:paraId="75B8DFF5" w14:textId="198B622A" w:rsidR="00C02375" w:rsidRPr="00C02375" w:rsidRDefault="00C02375" w:rsidP="00C02375">
      <w:pPr>
        <w:pStyle w:val="FootnoteText"/>
        <w:jc w:val="both"/>
      </w:pPr>
      <w:r>
        <w:rPr>
          <w:rStyle w:val="FootnoteReference"/>
        </w:rPr>
        <w:footnoteRef/>
      </w:r>
      <w:r>
        <w:t> Personas, kurām saskaņā ar DPA 22. pantu ir piešķirts uzticama signalizētāja statuss, neizslēdz no uzraudzības ziņotāju saraksta.</w:t>
      </w:r>
    </w:p>
  </w:footnote>
  <w:footnote w:id="9">
    <w:p w14:paraId="4CE44912" w14:textId="28C094A9" w:rsidR="008156DB" w:rsidRPr="008156DB" w:rsidRDefault="008156DB" w:rsidP="008156DB">
      <w:pPr>
        <w:pStyle w:val="FootnoteText"/>
        <w:jc w:val="both"/>
      </w:pPr>
      <w:r>
        <w:rPr>
          <w:rStyle w:val="FootnoteReference"/>
        </w:rPr>
        <w:footnoteRef/>
      </w:r>
      <w:r>
        <w:t> Ņemiet vērā, ka šis noteikums (tāpat kā visi šā kodeksa noteikumi) nav jāinterpretē kā prasība atklāt informāciju, uz kuru attiecas konfidencialitātes ierobežojumi vai kura ir citādi aizliegta ar likumu.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3B88" w14:textId="77777777" w:rsidR="00796542" w:rsidRPr="00796542" w:rsidRDefault="00796542" w:rsidP="00796542">
    <w:pPr>
      <w:tabs>
        <w:tab w:val="right" w:leader="underscore" w:pos="9072"/>
      </w:tabs>
      <w:autoSpaceDE/>
      <w:autoSpaceDN/>
      <w:rPr>
        <w:rFonts w:eastAsiaTheme="minorHAnsi"/>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796542">
      <w:rPr>
        <w:rFonts w:eastAsiaTheme="minorHAnsi"/>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43996DC8" w14:textId="77777777" w:rsidR="00DE3C08" w:rsidRPr="00A574AC" w:rsidRDefault="00DE3C08">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13BC" w14:textId="77777777" w:rsidR="00C5196C" w:rsidRPr="00C5196C" w:rsidRDefault="00C5196C" w:rsidP="00C5196C">
    <w:pPr>
      <w:pBdr>
        <w:bottom w:val="single" w:sz="12" w:space="5" w:color="auto"/>
      </w:pBdr>
      <w:autoSpaceDE/>
      <w:autoSpaceDN/>
      <w:rPr>
        <w:rFonts w:eastAsiaTheme="minorHAnsi"/>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B201DFB" w14:textId="77777777" w:rsidR="00DE3C08" w:rsidRPr="00A574AC" w:rsidRDefault="00DE3C08">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2C5"/>
    <w:multiLevelType w:val="hybridMultilevel"/>
    <w:tmpl w:val="8AD21360"/>
    <w:lvl w:ilvl="0" w:tplc="8B8ABCE6">
      <w:start w:val="1"/>
      <w:numFmt w:val="lowerLetter"/>
      <w:lvlText w:val="%1."/>
      <w:lvlJc w:val="left"/>
      <w:pPr>
        <w:ind w:left="155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960115E">
      <w:numFmt w:val="bullet"/>
      <w:lvlText w:val="•"/>
      <w:lvlJc w:val="left"/>
      <w:pPr>
        <w:ind w:left="2334" w:hanging="360"/>
      </w:pPr>
      <w:rPr>
        <w:rFonts w:hint="default"/>
        <w:lang w:val="en-US" w:eastAsia="en-US" w:bidi="ar-SA"/>
      </w:rPr>
    </w:lvl>
    <w:lvl w:ilvl="2" w:tplc="B664C1DC">
      <w:numFmt w:val="bullet"/>
      <w:lvlText w:val="•"/>
      <w:lvlJc w:val="left"/>
      <w:pPr>
        <w:ind w:left="3109" w:hanging="360"/>
      </w:pPr>
      <w:rPr>
        <w:rFonts w:hint="default"/>
        <w:lang w:val="en-US" w:eastAsia="en-US" w:bidi="ar-SA"/>
      </w:rPr>
    </w:lvl>
    <w:lvl w:ilvl="3" w:tplc="9B545B50">
      <w:numFmt w:val="bullet"/>
      <w:lvlText w:val="•"/>
      <w:lvlJc w:val="left"/>
      <w:pPr>
        <w:ind w:left="3883" w:hanging="360"/>
      </w:pPr>
      <w:rPr>
        <w:rFonts w:hint="default"/>
        <w:lang w:val="en-US" w:eastAsia="en-US" w:bidi="ar-SA"/>
      </w:rPr>
    </w:lvl>
    <w:lvl w:ilvl="4" w:tplc="92A4348A">
      <w:numFmt w:val="bullet"/>
      <w:lvlText w:val="•"/>
      <w:lvlJc w:val="left"/>
      <w:pPr>
        <w:ind w:left="4658" w:hanging="360"/>
      </w:pPr>
      <w:rPr>
        <w:rFonts w:hint="default"/>
        <w:lang w:val="en-US" w:eastAsia="en-US" w:bidi="ar-SA"/>
      </w:rPr>
    </w:lvl>
    <w:lvl w:ilvl="5" w:tplc="1B2EF204">
      <w:numFmt w:val="bullet"/>
      <w:lvlText w:val="•"/>
      <w:lvlJc w:val="left"/>
      <w:pPr>
        <w:ind w:left="5433" w:hanging="360"/>
      </w:pPr>
      <w:rPr>
        <w:rFonts w:hint="default"/>
        <w:lang w:val="en-US" w:eastAsia="en-US" w:bidi="ar-SA"/>
      </w:rPr>
    </w:lvl>
    <w:lvl w:ilvl="6" w:tplc="25CC7CEE">
      <w:numFmt w:val="bullet"/>
      <w:lvlText w:val="•"/>
      <w:lvlJc w:val="left"/>
      <w:pPr>
        <w:ind w:left="6207" w:hanging="360"/>
      </w:pPr>
      <w:rPr>
        <w:rFonts w:hint="default"/>
        <w:lang w:val="en-US" w:eastAsia="en-US" w:bidi="ar-SA"/>
      </w:rPr>
    </w:lvl>
    <w:lvl w:ilvl="7" w:tplc="3D1CADEC">
      <w:numFmt w:val="bullet"/>
      <w:lvlText w:val="•"/>
      <w:lvlJc w:val="left"/>
      <w:pPr>
        <w:ind w:left="6982" w:hanging="360"/>
      </w:pPr>
      <w:rPr>
        <w:rFonts w:hint="default"/>
        <w:lang w:val="en-US" w:eastAsia="en-US" w:bidi="ar-SA"/>
      </w:rPr>
    </w:lvl>
    <w:lvl w:ilvl="8" w:tplc="BFD0FFD6">
      <w:numFmt w:val="bullet"/>
      <w:lvlText w:val="•"/>
      <w:lvlJc w:val="left"/>
      <w:pPr>
        <w:ind w:left="7757" w:hanging="360"/>
      </w:pPr>
      <w:rPr>
        <w:rFonts w:hint="default"/>
        <w:lang w:val="en-US" w:eastAsia="en-US" w:bidi="ar-SA"/>
      </w:rPr>
    </w:lvl>
  </w:abstractNum>
  <w:abstractNum w:abstractNumId="1" w15:restartNumberingAfterBreak="0">
    <w:nsid w:val="0381221A"/>
    <w:multiLevelType w:val="hybridMultilevel"/>
    <w:tmpl w:val="0AF0EC36"/>
    <w:lvl w:ilvl="0" w:tplc="59544CC0">
      <w:start w:val="1"/>
      <w:numFmt w:val="lowerLetter"/>
      <w:lvlText w:val="%1)"/>
      <w:lvlJc w:val="left"/>
      <w:pPr>
        <w:ind w:left="83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7C8487A">
      <w:numFmt w:val="bullet"/>
      <w:lvlText w:val="•"/>
      <w:lvlJc w:val="left"/>
      <w:pPr>
        <w:ind w:left="1686" w:hanging="360"/>
      </w:pPr>
      <w:rPr>
        <w:rFonts w:hint="default"/>
        <w:lang w:val="en-US" w:eastAsia="en-US" w:bidi="ar-SA"/>
      </w:rPr>
    </w:lvl>
    <w:lvl w:ilvl="2" w:tplc="D542E20C">
      <w:numFmt w:val="bullet"/>
      <w:lvlText w:val="•"/>
      <w:lvlJc w:val="left"/>
      <w:pPr>
        <w:ind w:left="2533" w:hanging="360"/>
      </w:pPr>
      <w:rPr>
        <w:rFonts w:hint="default"/>
        <w:lang w:val="en-US" w:eastAsia="en-US" w:bidi="ar-SA"/>
      </w:rPr>
    </w:lvl>
    <w:lvl w:ilvl="3" w:tplc="78DE4F6A">
      <w:numFmt w:val="bullet"/>
      <w:lvlText w:val="•"/>
      <w:lvlJc w:val="left"/>
      <w:pPr>
        <w:ind w:left="3379" w:hanging="360"/>
      </w:pPr>
      <w:rPr>
        <w:rFonts w:hint="default"/>
        <w:lang w:val="en-US" w:eastAsia="en-US" w:bidi="ar-SA"/>
      </w:rPr>
    </w:lvl>
    <w:lvl w:ilvl="4" w:tplc="25D00AAC">
      <w:numFmt w:val="bullet"/>
      <w:lvlText w:val="•"/>
      <w:lvlJc w:val="left"/>
      <w:pPr>
        <w:ind w:left="4226" w:hanging="360"/>
      </w:pPr>
      <w:rPr>
        <w:rFonts w:hint="default"/>
        <w:lang w:val="en-US" w:eastAsia="en-US" w:bidi="ar-SA"/>
      </w:rPr>
    </w:lvl>
    <w:lvl w:ilvl="5" w:tplc="A9047ECC">
      <w:numFmt w:val="bullet"/>
      <w:lvlText w:val="•"/>
      <w:lvlJc w:val="left"/>
      <w:pPr>
        <w:ind w:left="5073" w:hanging="360"/>
      </w:pPr>
      <w:rPr>
        <w:rFonts w:hint="default"/>
        <w:lang w:val="en-US" w:eastAsia="en-US" w:bidi="ar-SA"/>
      </w:rPr>
    </w:lvl>
    <w:lvl w:ilvl="6" w:tplc="BD4EFC5C">
      <w:numFmt w:val="bullet"/>
      <w:lvlText w:val="•"/>
      <w:lvlJc w:val="left"/>
      <w:pPr>
        <w:ind w:left="5919" w:hanging="360"/>
      </w:pPr>
      <w:rPr>
        <w:rFonts w:hint="default"/>
        <w:lang w:val="en-US" w:eastAsia="en-US" w:bidi="ar-SA"/>
      </w:rPr>
    </w:lvl>
    <w:lvl w:ilvl="7" w:tplc="FDA69670">
      <w:numFmt w:val="bullet"/>
      <w:lvlText w:val="•"/>
      <w:lvlJc w:val="left"/>
      <w:pPr>
        <w:ind w:left="6766" w:hanging="360"/>
      </w:pPr>
      <w:rPr>
        <w:rFonts w:hint="default"/>
        <w:lang w:val="en-US" w:eastAsia="en-US" w:bidi="ar-SA"/>
      </w:rPr>
    </w:lvl>
    <w:lvl w:ilvl="8" w:tplc="DCBC9C22">
      <w:numFmt w:val="bullet"/>
      <w:lvlText w:val="•"/>
      <w:lvlJc w:val="left"/>
      <w:pPr>
        <w:ind w:left="7613" w:hanging="360"/>
      </w:pPr>
      <w:rPr>
        <w:rFonts w:hint="default"/>
        <w:lang w:val="en-US" w:eastAsia="en-US" w:bidi="ar-SA"/>
      </w:rPr>
    </w:lvl>
  </w:abstractNum>
  <w:abstractNum w:abstractNumId="2" w15:restartNumberingAfterBreak="0">
    <w:nsid w:val="219B5C84"/>
    <w:multiLevelType w:val="multilevel"/>
    <w:tmpl w:val="FDF8D85C"/>
    <w:lvl w:ilvl="0">
      <w:start w:val="1"/>
      <w:numFmt w:val="decimal"/>
      <w:lvlText w:val="%1."/>
      <w:lvlJc w:val="left"/>
      <w:pPr>
        <w:ind w:left="836" w:hanging="526"/>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36" w:hanging="5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276" w:hanging="855"/>
        <w:jc w:val="left"/>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decimal"/>
      <w:lvlText w:val="%1.%2.%3.%4."/>
      <w:lvlJc w:val="left"/>
      <w:pPr>
        <w:ind w:left="2997" w:hanging="10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576" w:hanging="1021"/>
      </w:pPr>
      <w:rPr>
        <w:rFonts w:hint="default"/>
        <w:lang w:val="en-US" w:eastAsia="en-US" w:bidi="ar-SA"/>
      </w:rPr>
    </w:lvl>
    <w:lvl w:ilvl="5">
      <w:numFmt w:val="bullet"/>
      <w:lvlText w:val="•"/>
      <w:lvlJc w:val="left"/>
      <w:pPr>
        <w:ind w:left="5364" w:hanging="1021"/>
      </w:pPr>
      <w:rPr>
        <w:rFonts w:hint="default"/>
        <w:lang w:val="en-US" w:eastAsia="en-US" w:bidi="ar-SA"/>
      </w:rPr>
    </w:lvl>
    <w:lvl w:ilvl="6">
      <w:numFmt w:val="bullet"/>
      <w:lvlText w:val="•"/>
      <w:lvlJc w:val="left"/>
      <w:pPr>
        <w:ind w:left="6153" w:hanging="1021"/>
      </w:pPr>
      <w:rPr>
        <w:rFonts w:hint="default"/>
        <w:lang w:val="en-US" w:eastAsia="en-US" w:bidi="ar-SA"/>
      </w:rPr>
    </w:lvl>
    <w:lvl w:ilvl="7">
      <w:numFmt w:val="bullet"/>
      <w:lvlText w:val="•"/>
      <w:lvlJc w:val="left"/>
      <w:pPr>
        <w:ind w:left="6941" w:hanging="1021"/>
      </w:pPr>
      <w:rPr>
        <w:rFonts w:hint="default"/>
        <w:lang w:val="en-US" w:eastAsia="en-US" w:bidi="ar-SA"/>
      </w:rPr>
    </w:lvl>
    <w:lvl w:ilvl="8">
      <w:numFmt w:val="bullet"/>
      <w:lvlText w:val="•"/>
      <w:lvlJc w:val="left"/>
      <w:pPr>
        <w:ind w:left="7729" w:hanging="1021"/>
      </w:pPr>
      <w:rPr>
        <w:rFonts w:hint="default"/>
        <w:lang w:val="en-US" w:eastAsia="en-US" w:bidi="ar-SA"/>
      </w:rPr>
    </w:lvl>
  </w:abstractNum>
  <w:abstractNum w:abstractNumId="3" w15:restartNumberingAfterBreak="0">
    <w:nsid w:val="38A43507"/>
    <w:multiLevelType w:val="hybridMultilevel"/>
    <w:tmpl w:val="1E6EBEA2"/>
    <w:lvl w:ilvl="0" w:tplc="F286B09A">
      <w:start w:val="1"/>
      <w:numFmt w:val="decimal"/>
      <w:lvlText w:val="%1."/>
      <w:lvlJc w:val="left"/>
      <w:pPr>
        <w:ind w:left="337" w:hanging="221"/>
        <w:jc w:val="right"/>
      </w:pPr>
      <w:rPr>
        <w:rFonts w:hint="default"/>
        <w:spacing w:val="0"/>
        <w:w w:val="100"/>
        <w:lang w:val="en-US" w:eastAsia="en-US" w:bidi="ar-SA"/>
      </w:rPr>
    </w:lvl>
    <w:lvl w:ilvl="1" w:tplc="9AF6360C">
      <w:start w:val="1"/>
      <w:numFmt w:val="decimal"/>
      <w:lvlText w:val="%2."/>
      <w:lvlJc w:val="left"/>
      <w:pPr>
        <w:ind w:left="83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A82641C">
      <w:numFmt w:val="bullet"/>
      <w:lvlText w:val="•"/>
      <w:lvlJc w:val="left"/>
      <w:pPr>
        <w:ind w:left="1780" w:hanging="360"/>
      </w:pPr>
      <w:rPr>
        <w:rFonts w:hint="default"/>
        <w:lang w:val="en-US" w:eastAsia="en-US" w:bidi="ar-SA"/>
      </w:rPr>
    </w:lvl>
    <w:lvl w:ilvl="3" w:tplc="1B4E06A4">
      <w:numFmt w:val="bullet"/>
      <w:lvlText w:val="•"/>
      <w:lvlJc w:val="left"/>
      <w:pPr>
        <w:ind w:left="2721" w:hanging="360"/>
      </w:pPr>
      <w:rPr>
        <w:rFonts w:hint="default"/>
        <w:lang w:val="en-US" w:eastAsia="en-US" w:bidi="ar-SA"/>
      </w:rPr>
    </w:lvl>
    <w:lvl w:ilvl="4" w:tplc="0D189BD2">
      <w:numFmt w:val="bullet"/>
      <w:lvlText w:val="•"/>
      <w:lvlJc w:val="left"/>
      <w:pPr>
        <w:ind w:left="3662" w:hanging="360"/>
      </w:pPr>
      <w:rPr>
        <w:rFonts w:hint="default"/>
        <w:lang w:val="en-US" w:eastAsia="en-US" w:bidi="ar-SA"/>
      </w:rPr>
    </w:lvl>
    <w:lvl w:ilvl="5" w:tplc="6D605924">
      <w:numFmt w:val="bullet"/>
      <w:lvlText w:val="•"/>
      <w:lvlJc w:val="left"/>
      <w:pPr>
        <w:ind w:left="4602" w:hanging="360"/>
      </w:pPr>
      <w:rPr>
        <w:rFonts w:hint="default"/>
        <w:lang w:val="en-US" w:eastAsia="en-US" w:bidi="ar-SA"/>
      </w:rPr>
    </w:lvl>
    <w:lvl w:ilvl="6" w:tplc="1CB6CA78">
      <w:numFmt w:val="bullet"/>
      <w:lvlText w:val="•"/>
      <w:lvlJc w:val="left"/>
      <w:pPr>
        <w:ind w:left="5543" w:hanging="360"/>
      </w:pPr>
      <w:rPr>
        <w:rFonts w:hint="default"/>
        <w:lang w:val="en-US" w:eastAsia="en-US" w:bidi="ar-SA"/>
      </w:rPr>
    </w:lvl>
    <w:lvl w:ilvl="7" w:tplc="0A269812">
      <w:numFmt w:val="bullet"/>
      <w:lvlText w:val="•"/>
      <w:lvlJc w:val="left"/>
      <w:pPr>
        <w:ind w:left="6484" w:hanging="360"/>
      </w:pPr>
      <w:rPr>
        <w:rFonts w:hint="default"/>
        <w:lang w:val="en-US" w:eastAsia="en-US" w:bidi="ar-SA"/>
      </w:rPr>
    </w:lvl>
    <w:lvl w:ilvl="8" w:tplc="8A5EA82A">
      <w:numFmt w:val="bullet"/>
      <w:lvlText w:val="•"/>
      <w:lvlJc w:val="left"/>
      <w:pPr>
        <w:ind w:left="7424" w:hanging="360"/>
      </w:pPr>
      <w:rPr>
        <w:rFonts w:hint="default"/>
        <w:lang w:val="en-US" w:eastAsia="en-US" w:bidi="ar-SA"/>
      </w:rPr>
    </w:lvl>
  </w:abstractNum>
  <w:abstractNum w:abstractNumId="4" w15:restartNumberingAfterBreak="0">
    <w:nsid w:val="3EC6679B"/>
    <w:multiLevelType w:val="multilevel"/>
    <w:tmpl w:val="05A83CD2"/>
    <w:lvl w:ilvl="0">
      <w:start w:val="2"/>
      <w:numFmt w:val="decimal"/>
      <w:lvlText w:val="%1"/>
      <w:lvlJc w:val="left"/>
      <w:pPr>
        <w:ind w:left="476"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47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836"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21" w:hanging="720"/>
      </w:pPr>
      <w:rPr>
        <w:rFonts w:hint="default"/>
        <w:lang w:val="en-US" w:eastAsia="en-US" w:bidi="ar-SA"/>
      </w:rPr>
    </w:lvl>
    <w:lvl w:ilvl="4">
      <w:numFmt w:val="bullet"/>
      <w:lvlText w:val="•"/>
      <w:lvlJc w:val="left"/>
      <w:pPr>
        <w:ind w:left="3662" w:hanging="720"/>
      </w:pPr>
      <w:rPr>
        <w:rFonts w:hint="default"/>
        <w:lang w:val="en-US" w:eastAsia="en-US" w:bidi="ar-SA"/>
      </w:rPr>
    </w:lvl>
    <w:lvl w:ilvl="5">
      <w:numFmt w:val="bullet"/>
      <w:lvlText w:val="•"/>
      <w:lvlJc w:val="left"/>
      <w:pPr>
        <w:ind w:left="4602" w:hanging="720"/>
      </w:pPr>
      <w:rPr>
        <w:rFonts w:hint="default"/>
        <w:lang w:val="en-US" w:eastAsia="en-US" w:bidi="ar-SA"/>
      </w:rPr>
    </w:lvl>
    <w:lvl w:ilvl="6">
      <w:numFmt w:val="bullet"/>
      <w:lvlText w:val="•"/>
      <w:lvlJc w:val="left"/>
      <w:pPr>
        <w:ind w:left="5543" w:hanging="720"/>
      </w:pPr>
      <w:rPr>
        <w:rFonts w:hint="default"/>
        <w:lang w:val="en-US" w:eastAsia="en-US" w:bidi="ar-SA"/>
      </w:rPr>
    </w:lvl>
    <w:lvl w:ilvl="7">
      <w:numFmt w:val="bullet"/>
      <w:lvlText w:val="•"/>
      <w:lvlJc w:val="left"/>
      <w:pPr>
        <w:ind w:left="6484" w:hanging="720"/>
      </w:pPr>
      <w:rPr>
        <w:rFonts w:hint="default"/>
        <w:lang w:val="en-US" w:eastAsia="en-US" w:bidi="ar-SA"/>
      </w:rPr>
    </w:lvl>
    <w:lvl w:ilvl="8">
      <w:numFmt w:val="bullet"/>
      <w:lvlText w:val="•"/>
      <w:lvlJc w:val="left"/>
      <w:pPr>
        <w:ind w:left="7424" w:hanging="720"/>
      </w:pPr>
      <w:rPr>
        <w:rFonts w:hint="default"/>
        <w:lang w:val="en-US" w:eastAsia="en-US" w:bidi="ar-SA"/>
      </w:rPr>
    </w:lvl>
  </w:abstractNum>
  <w:abstractNum w:abstractNumId="5" w15:restartNumberingAfterBreak="0">
    <w:nsid w:val="4038673D"/>
    <w:multiLevelType w:val="multilevel"/>
    <w:tmpl w:val="C6009984"/>
    <w:lvl w:ilvl="0">
      <w:start w:val="1"/>
      <w:numFmt w:val="lowerLetter"/>
      <w:lvlText w:val="%1)"/>
      <w:lvlJc w:val="left"/>
      <w:pPr>
        <w:ind w:left="836"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2."/>
      <w:lvlJc w:val="left"/>
      <w:pPr>
        <w:ind w:left="476"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2.%3"/>
      <w:lvlJc w:val="left"/>
      <w:pPr>
        <w:ind w:left="47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21" w:hanging="360"/>
      </w:pPr>
      <w:rPr>
        <w:rFonts w:hint="default"/>
        <w:lang w:val="en-US" w:eastAsia="en-US" w:bidi="ar-SA"/>
      </w:rPr>
    </w:lvl>
    <w:lvl w:ilvl="4">
      <w:numFmt w:val="bullet"/>
      <w:lvlText w:val="•"/>
      <w:lvlJc w:val="left"/>
      <w:pPr>
        <w:ind w:left="3662" w:hanging="360"/>
      </w:pPr>
      <w:rPr>
        <w:rFonts w:hint="default"/>
        <w:lang w:val="en-US" w:eastAsia="en-US" w:bidi="ar-SA"/>
      </w:rPr>
    </w:lvl>
    <w:lvl w:ilvl="5">
      <w:numFmt w:val="bullet"/>
      <w:lvlText w:val="•"/>
      <w:lvlJc w:val="left"/>
      <w:pPr>
        <w:ind w:left="4602" w:hanging="360"/>
      </w:pPr>
      <w:rPr>
        <w:rFonts w:hint="default"/>
        <w:lang w:val="en-US" w:eastAsia="en-US" w:bidi="ar-SA"/>
      </w:rPr>
    </w:lvl>
    <w:lvl w:ilvl="6">
      <w:numFmt w:val="bullet"/>
      <w:lvlText w:val="•"/>
      <w:lvlJc w:val="left"/>
      <w:pPr>
        <w:ind w:left="5543" w:hanging="360"/>
      </w:pPr>
      <w:rPr>
        <w:rFonts w:hint="default"/>
        <w:lang w:val="en-US" w:eastAsia="en-US" w:bidi="ar-SA"/>
      </w:rPr>
    </w:lvl>
    <w:lvl w:ilvl="7">
      <w:numFmt w:val="bullet"/>
      <w:lvlText w:val="•"/>
      <w:lvlJc w:val="left"/>
      <w:pPr>
        <w:ind w:left="6484" w:hanging="360"/>
      </w:pPr>
      <w:rPr>
        <w:rFonts w:hint="default"/>
        <w:lang w:val="en-US" w:eastAsia="en-US" w:bidi="ar-SA"/>
      </w:rPr>
    </w:lvl>
    <w:lvl w:ilvl="8">
      <w:numFmt w:val="bullet"/>
      <w:lvlText w:val="•"/>
      <w:lvlJc w:val="left"/>
      <w:pPr>
        <w:ind w:left="7424" w:hanging="360"/>
      </w:pPr>
      <w:rPr>
        <w:rFonts w:hint="default"/>
        <w:lang w:val="en-US" w:eastAsia="en-US" w:bidi="ar-SA"/>
      </w:rPr>
    </w:lvl>
  </w:abstractNum>
  <w:abstractNum w:abstractNumId="6" w15:restartNumberingAfterBreak="0">
    <w:nsid w:val="43374F27"/>
    <w:multiLevelType w:val="hybridMultilevel"/>
    <w:tmpl w:val="81F635D4"/>
    <w:lvl w:ilvl="0" w:tplc="598CC46E">
      <w:start w:val="3"/>
      <w:numFmt w:val="decimal"/>
      <w:lvlText w:val="%1."/>
      <w:lvlJc w:val="left"/>
      <w:pPr>
        <w:ind w:left="337"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46963BF8">
      <w:numFmt w:val="bullet"/>
      <w:lvlText w:val="•"/>
      <w:lvlJc w:val="left"/>
      <w:pPr>
        <w:ind w:left="1236" w:hanging="221"/>
      </w:pPr>
      <w:rPr>
        <w:rFonts w:hint="default"/>
        <w:lang w:val="en-US" w:eastAsia="en-US" w:bidi="ar-SA"/>
      </w:rPr>
    </w:lvl>
    <w:lvl w:ilvl="2" w:tplc="149C2C02">
      <w:numFmt w:val="bullet"/>
      <w:lvlText w:val="•"/>
      <w:lvlJc w:val="left"/>
      <w:pPr>
        <w:ind w:left="2133" w:hanging="221"/>
      </w:pPr>
      <w:rPr>
        <w:rFonts w:hint="default"/>
        <w:lang w:val="en-US" w:eastAsia="en-US" w:bidi="ar-SA"/>
      </w:rPr>
    </w:lvl>
    <w:lvl w:ilvl="3" w:tplc="B3EA9C4E">
      <w:numFmt w:val="bullet"/>
      <w:lvlText w:val="•"/>
      <w:lvlJc w:val="left"/>
      <w:pPr>
        <w:ind w:left="3029" w:hanging="221"/>
      </w:pPr>
      <w:rPr>
        <w:rFonts w:hint="default"/>
        <w:lang w:val="en-US" w:eastAsia="en-US" w:bidi="ar-SA"/>
      </w:rPr>
    </w:lvl>
    <w:lvl w:ilvl="4" w:tplc="D2EC24CE">
      <w:numFmt w:val="bullet"/>
      <w:lvlText w:val="•"/>
      <w:lvlJc w:val="left"/>
      <w:pPr>
        <w:ind w:left="3926" w:hanging="221"/>
      </w:pPr>
      <w:rPr>
        <w:rFonts w:hint="default"/>
        <w:lang w:val="en-US" w:eastAsia="en-US" w:bidi="ar-SA"/>
      </w:rPr>
    </w:lvl>
    <w:lvl w:ilvl="5" w:tplc="514AF490">
      <w:numFmt w:val="bullet"/>
      <w:lvlText w:val="•"/>
      <w:lvlJc w:val="left"/>
      <w:pPr>
        <w:ind w:left="4823" w:hanging="221"/>
      </w:pPr>
      <w:rPr>
        <w:rFonts w:hint="default"/>
        <w:lang w:val="en-US" w:eastAsia="en-US" w:bidi="ar-SA"/>
      </w:rPr>
    </w:lvl>
    <w:lvl w:ilvl="6" w:tplc="C6F6434A">
      <w:numFmt w:val="bullet"/>
      <w:lvlText w:val="•"/>
      <w:lvlJc w:val="left"/>
      <w:pPr>
        <w:ind w:left="5719" w:hanging="221"/>
      </w:pPr>
      <w:rPr>
        <w:rFonts w:hint="default"/>
        <w:lang w:val="en-US" w:eastAsia="en-US" w:bidi="ar-SA"/>
      </w:rPr>
    </w:lvl>
    <w:lvl w:ilvl="7" w:tplc="F68AC81C">
      <w:numFmt w:val="bullet"/>
      <w:lvlText w:val="•"/>
      <w:lvlJc w:val="left"/>
      <w:pPr>
        <w:ind w:left="6616" w:hanging="221"/>
      </w:pPr>
      <w:rPr>
        <w:rFonts w:hint="default"/>
        <w:lang w:val="en-US" w:eastAsia="en-US" w:bidi="ar-SA"/>
      </w:rPr>
    </w:lvl>
    <w:lvl w:ilvl="8" w:tplc="673E4B98">
      <w:numFmt w:val="bullet"/>
      <w:lvlText w:val="•"/>
      <w:lvlJc w:val="left"/>
      <w:pPr>
        <w:ind w:left="7513" w:hanging="221"/>
      </w:pPr>
      <w:rPr>
        <w:rFonts w:hint="default"/>
        <w:lang w:val="en-US" w:eastAsia="en-US" w:bidi="ar-SA"/>
      </w:rPr>
    </w:lvl>
  </w:abstractNum>
  <w:abstractNum w:abstractNumId="7" w15:restartNumberingAfterBreak="0">
    <w:nsid w:val="5BE231B8"/>
    <w:multiLevelType w:val="hybridMultilevel"/>
    <w:tmpl w:val="45AC3D82"/>
    <w:lvl w:ilvl="0" w:tplc="FF5AC12A">
      <w:numFmt w:val="bullet"/>
      <w:lvlText w:val="●"/>
      <w:lvlJc w:val="left"/>
      <w:pPr>
        <w:ind w:left="83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13692EC">
      <w:numFmt w:val="bullet"/>
      <w:lvlText w:val="•"/>
      <w:lvlJc w:val="left"/>
      <w:pPr>
        <w:ind w:left="1686" w:hanging="360"/>
      </w:pPr>
      <w:rPr>
        <w:rFonts w:hint="default"/>
        <w:lang w:val="en-US" w:eastAsia="en-US" w:bidi="ar-SA"/>
      </w:rPr>
    </w:lvl>
    <w:lvl w:ilvl="2" w:tplc="DAAA65DC">
      <w:numFmt w:val="bullet"/>
      <w:lvlText w:val="•"/>
      <w:lvlJc w:val="left"/>
      <w:pPr>
        <w:ind w:left="2533" w:hanging="360"/>
      </w:pPr>
      <w:rPr>
        <w:rFonts w:hint="default"/>
        <w:lang w:val="en-US" w:eastAsia="en-US" w:bidi="ar-SA"/>
      </w:rPr>
    </w:lvl>
    <w:lvl w:ilvl="3" w:tplc="42483A8E">
      <w:numFmt w:val="bullet"/>
      <w:lvlText w:val="•"/>
      <w:lvlJc w:val="left"/>
      <w:pPr>
        <w:ind w:left="3379" w:hanging="360"/>
      </w:pPr>
      <w:rPr>
        <w:rFonts w:hint="default"/>
        <w:lang w:val="en-US" w:eastAsia="en-US" w:bidi="ar-SA"/>
      </w:rPr>
    </w:lvl>
    <w:lvl w:ilvl="4" w:tplc="AE0E00F2">
      <w:numFmt w:val="bullet"/>
      <w:lvlText w:val="•"/>
      <w:lvlJc w:val="left"/>
      <w:pPr>
        <w:ind w:left="4226" w:hanging="360"/>
      </w:pPr>
      <w:rPr>
        <w:rFonts w:hint="default"/>
        <w:lang w:val="en-US" w:eastAsia="en-US" w:bidi="ar-SA"/>
      </w:rPr>
    </w:lvl>
    <w:lvl w:ilvl="5" w:tplc="AABA4316">
      <w:numFmt w:val="bullet"/>
      <w:lvlText w:val="•"/>
      <w:lvlJc w:val="left"/>
      <w:pPr>
        <w:ind w:left="5073" w:hanging="360"/>
      </w:pPr>
      <w:rPr>
        <w:rFonts w:hint="default"/>
        <w:lang w:val="en-US" w:eastAsia="en-US" w:bidi="ar-SA"/>
      </w:rPr>
    </w:lvl>
    <w:lvl w:ilvl="6" w:tplc="2EAE575C">
      <w:numFmt w:val="bullet"/>
      <w:lvlText w:val="•"/>
      <w:lvlJc w:val="left"/>
      <w:pPr>
        <w:ind w:left="5919" w:hanging="360"/>
      </w:pPr>
      <w:rPr>
        <w:rFonts w:hint="default"/>
        <w:lang w:val="en-US" w:eastAsia="en-US" w:bidi="ar-SA"/>
      </w:rPr>
    </w:lvl>
    <w:lvl w:ilvl="7" w:tplc="BF3A9C40">
      <w:numFmt w:val="bullet"/>
      <w:lvlText w:val="•"/>
      <w:lvlJc w:val="left"/>
      <w:pPr>
        <w:ind w:left="6766" w:hanging="360"/>
      </w:pPr>
      <w:rPr>
        <w:rFonts w:hint="default"/>
        <w:lang w:val="en-US" w:eastAsia="en-US" w:bidi="ar-SA"/>
      </w:rPr>
    </w:lvl>
    <w:lvl w:ilvl="8" w:tplc="BF92FE94">
      <w:numFmt w:val="bullet"/>
      <w:lvlText w:val="•"/>
      <w:lvlJc w:val="left"/>
      <w:pPr>
        <w:ind w:left="7613" w:hanging="360"/>
      </w:pPr>
      <w:rPr>
        <w:rFonts w:hint="default"/>
        <w:lang w:val="en-US" w:eastAsia="en-US" w:bidi="ar-SA"/>
      </w:rPr>
    </w:lvl>
  </w:abstractNum>
  <w:abstractNum w:abstractNumId="8" w15:restartNumberingAfterBreak="0">
    <w:nsid w:val="5E3B399C"/>
    <w:multiLevelType w:val="hybridMultilevel"/>
    <w:tmpl w:val="AAE830FC"/>
    <w:lvl w:ilvl="0" w:tplc="BC906478">
      <w:start w:val="1"/>
      <w:numFmt w:val="lowerLetter"/>
      <w:lvlText w:val="%1)"/>
      <w:lvlJc w:val="left"/>
      <w:pPr>
        <w:ind w:left="83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518768A">
      <w:numFmt w:val="bullet"/>
      <w:lvlText w:val="•"/>
      <w:lvlJc w:val="left"/>
      <w:pPr>
        <w:ind w:left="1686" w:hanging="360"/>
      </w:pPr>
      <w:rPr>
        <w:rFonts w:hint="default"/>
        <w:lang w:val="en-US" w:eastAsia="en-US" w:bidi="ar-SA"/>
      </w:rPr>
    </w:lvl>
    <w:lvl w:ilvl="2" w:tplc="0A388A9C">
      <w:numFmt w:val="bullet"/>
      <w:lvlText w:val="•"/>
      <w:lvlJc w:val="left"/>
      <w:pPr>
        <w:ind w:left="2533" w:hanging="360"/>
      </w:pPr>
      <w:rPr>
        <w:rFonts w:hint="default"/>
        <w:lang w:val="en-US" w:eastAsia="en-US" w:bidi="ar-SA"/>
      </w:rPr>
    </w:lvl>
    <w:lvl w:ilvl="3" w:tplc="1B40AAE0">
      <w:numFmt w:val="bullet"/>
      <w:lvlText w:val="•"/>
      <w:lvlJc w:val="left"/>
      <w:pPr>
        <w:ind w:left="3379" w:hanging="360"/>
      </w:pPr>
      <w:rPr>
        <w:rFonts w:hint="default"/>
        <w:lang w:val="en-US" w:eastAsia="en-US" w:bidi="ar-SA"/>
      </w:rPr>
    </w:lvl>
    <w:lvl w:ilvl="4" w:tplc="0562CFA6">
      <w:numFmt w:val="bullet"/>
      <w:lvlText w:val="•"/>
      <w:lvlJc w:val="left"/>
      <w:pPr>
        <w:ind w:left="4226" w:hanging="360"/>
      </w:pPr>
      <w:rPr>
        <w:rFonts w:hint="default"/>
        <w:lang w:val="en-US" w:eastAsia="en-US" w:bidi="ar-SA"/>
      </w:rPr>
    </w:lvl>
    <w:lvl w:ilvl="5" w:tplc="97587184">
      <w:numFmt w:val="bullet"/>
      <w:lvlText w:val="•"/>
      <w:lvlJc w:val="left"/>
      <w:pPr>
        <w:ind w:left="5073" w:hanging="360"/>
      </w:pPr>
      <w:rPr>
        <w:rFonts w:hint="default"/>
        <w:lang w:val="en-US" w:eastAsia="en-US" w:bidi="ar-SA"/>
      </w:rPr>
    </w:lvl>
    <w:lvl w:ilvl="6" w:tplc="5E2E94E2">
      <w:numFmt w:val="bullet"/>
      <w:lvlText w:val="•"/>
      <w:lvlJc w:val="left"/>
      <w:pPr>
        <w:ind w:left="5919" w:hanging="360"/>
      </w:pPr>
      <w:rPr>
        <w:rFonts w:hint="default"/>
        <w:lang w:val="en-US" w:eastAsia="en-US" w:bidi="ar-SA"/>
      </w:rPr>
    </w:lvl>
    <w:lvl w:ilvl="7" w:tplc="256AAB62">
      <w:numFmt w:val="bullet"/>
      <w:lvlText w:val="•"/>
      <w:lvlJc w:val="left"/>
      <w:pPr>
        <w:ind w:left="6766" w:hanging="360"/>
      </w:pPr>
      <w:rPr>
        <w:rFonts w:hint="default"/>
        <w:lang w:val="en-US" w:eastAsia="en-US" w:bidi="ar-SA"/>
      </w:rPr>
    </w:lvl>
    <w:lvl w:ilvl="8" w:tplc="75305076">
      <w:numFmt w:val="bullet"/>
      <w:lvlText w:val="•"/>
      <w:lvlJc w:val="left"/>
      <w:pPr>
        <w:ind w:left="7613" w:hanging="360"/>
      </w:pPr>
      <w:rPr>
        <w:rFonts w:hint="default"/>
        <w:lang w:val="en-US" w:eastAsia="en-US" w:bidi="ar-SA"/>
      </w:rPr>
    </w:lvl>
  </w:abstractNum>
  <w:abstractNum w:abstractNumId="9" w15:restartNumberingAfterBreak="0">
    <w:nsid w:val="66C97204"/>
    <w:multiLevelType w:val="hybridMultilevel"/>
    <w:tmpl w:val="8A4C2612"/>
    <w:lvl w:ilvl="0" w:tplc="F5D0D514">
      <w:start w:val="1"/>
      <w:numFmt w:val="lowerLetter"/>
      <w:lvlText w:val="%1."/>
      <w:lvlJc w:val="left"/>
      <w:pPr>
        <w:ind w:left="155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77A8462">
      <w:numFmt w:val="bullet"/>
      <w:lvlText w:val="•"/>
      <w:lvlJc w:val="left"/>
      <w:pPr>
        <w:ind w:left="2334" w:hanging="360"/>
      </w:pPr>
      <w:rPr>
        <w:rFonts w:hint="default"/>
        <w:lang w:val="en-US" w:eastAsia="en-US" w:bidi="ar-SA"/>
      </w:rPr>
    </w:lvl>
    <w:lvl w:ilvl="2" w:tplc="2A9E5E76">
      <w:numFmt w:val="bullet"/>
      <w:lvlText w:val="•"/>
      <w:lvlJc w:val="left"/>
      <w:pPr>
        <w:ind w:left="3109" w:hanging="360"/>
      </w:pPr>
      <w:rPr>
        <w:rFonts w:hint="default"/>
        <w:lang w:val="en-US" w:eastAsia="en-US" w:bidi="ar-SA"/>
      </w:rPr>
    </w:lvl>
    <w:lvl w:ilvl="3" w:tplc="66DED0C2">
      <w:numFmt w:val="bullet"/>
      <w:lvlText w:val="•"/>
      <w:lvlJc w:val="left"/>
      <w:pPr>
        <w:ind w:left="3883" w:hanging="360"/>
      </w:pPr>
      <w:rPr>
        <w:rFonts w:hint="default"/>
        <w:lang w:val="en-US" w:eastAsia="en-US" w:bidi="ar-SA"/>
      </w:rPr>
    </w:lvl>
    <w:lvl w:ilvl="4" w:tplc="1A8E3CC6">
      <w:numFmt w:val="bullet"/>
      <w:lvlText w:val="•"/>
      <w:lvlJc w:val="left"/>
      <w:pPr>
        <w:ind w:left="4658" w:hanging="360"/>
      </w:pPr>
      <w:rPr>
        <w:rFonts w:hint="default"/>
        <w:lang w:val="en-US" w:eastAsia="en-US" w:bidi="ar-SA"/>
      </w:rPr>
    </w:lvl>
    <w:lvl w:ilvl="5" w:tplc="C8BEDCB0">
      <w:numFmt w:val="bullet"/>
      <w:lvlText w:val="•"/>
      <w:lvlJc w:val="left"/>
      <w:pPr>
        <w:ind w:left="5433" w:hanging="360"/>
      </w:pPr>
      <w:rPr>
        <w:rFonts w:hint="default"/>
        <w:lang w:val="en-US" w:eastAsia="en-US" w:bidi="ar-SA"/>
      </w:rPr>
    </w:lvl>
    <w:lvl w:ilvl="6" w:tplc="02F031E0">
      <w:numFmt w:val="bullet"/>
      <w:lvlText w:val="•"/>
      <w:lvlJc w:val="left"/>
      <w:pPr>
        <w:ind w:left="6207" w:hanging="360"/>
      </w:pPr>
      <w:rPr>
        <w:rFonts w:hint="default"/>
        <w:lang w:val="en-US" w:eastAsia="en-US" w:bidi="ar-SA"/>
      </w:rPr>
    </w:lvl>
    <w:lvl w:ilvl="7" w:tplc="CD2001D6">
      <w:numFmt w:val="bullet"/>
      <w:lvlText w:val="•"/>
      <w:lvlJc w:val="left"/>
      <w:pPr>
        <w:ind w:left="6982" w:hanging="360"/>
      </w:pPr>
      <w:rPr>
        <w:rFonts w:hint="default"/>
        <w:lang w:val="en-US" w:eastAsia="en-US" w:bidi="ar-SA"/>
      </w:rPr>
    </w:lvl>
    <w:lvl w:ilvl="8" w:tplc="CF24103A">
      <w:numFmt w:val="bullet"/>
      <w:lvlText w:val="•"/>
      <w:lvlJc w:val="left"/>
      <w:pPr>
        <w:ind w:left="7757" w:hanging="360"/>
      </w:pPr>
      <w:rPr>
        <w:rFonts w:hint="default"/>
        <w:lang w:val="en-US" w:eastAsia="en-US" w:bidi="ar-SA"/>
      </w:rPr>
    </w:lvl>
  </w:abstractNum>
  <w:num w:numId="1" w16cid:durableId="1606421519">
    <w:abstractNumId w:val="6"/>
  </w:num>
  <w:num w:numId="2" w16cid:durableId="962224458">
    <w:abstractNumId w:val="0"/>
  </w:num>
  <w:num w:numId="3" w16cid:durableId="2130926937">
    <w:abstractNumId w:val="9"/>
  </w:num>
  <w:num w:numId="4" w16cid:durableId="2111505896">
    <w:abstractNumId w:val="3"/>
  </w:num>
  <w:num w:numId="5" w16cid:durableId="1942570416">
    <w:abstractNumId w:val="8"/>
  </w:num>
  <w:num w:numId="6" w16cid:durableId="619267211">
    <w:abstractNumId w:val="2"/>
  </w:num>
  <w:num w:numId="7" w16cid:durableId="651101116">
    <w:abstractNumId w:val="7"/>
  </w:num>
  <w:num w:numId="8" w16cid:durableId="1641614878">
    <w:abstractNumId w:val="1"/>
  </w:num>
  <w:num w:numId="9" w16cid:durableId="926573815">
    <w:abstractNumId w:val="4"/>
  </w:num>
  <w:num w:numId="10" w16cid:durableId="140151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613B1A"/>
    <w:rsid w:val="000448A9"/>
    <w:rsid w:val="00062AB9"/>
    <w:rsid w:val="00082DBD"/>
    <w:rsid w:val="001728BC"/>
    <w:rsid w:val="0020654A"/>
    <w:rsid w:val="00264455"/>
    <w:rsid w:val="0028568D"/>
    <w:rsid w:val="002D1E6B"/>
    <w:rsid w:val="0030227C"/>
    <w:rsid w:val="003926C9"/>
    <w:rsid w:val="003E6A75"/>
    <w:rsid w:val="00463840"/>
    <w:rsid w:val="00544F1A"/>
    <w:rsid w:val="00605107"/>
    <w:rsid w:val="00613B1A"/>
    <w:rsid w:val="00655E9D"/>
    <w:rsid w:val="00681954"/>
    <w:rsid w:val="006B2FFE"/>
    <w:rsid w:val="006F32E1"/>
    <w:rsid w:val="00757521"/>
    <w:rsid w:val="00796542"/>
    <w:rsid w:val="007F17CF"/>
    <w:rsid w:val="008156DB"/>
    <w:rsid w:val="008958F6"/>
    <w:rsid w:val="008A768B"/>
    <w:rsid w:val="00960065"/>
    <w:rsid w:val="00981AC7"/>
    <w:rsid w:val="00A0038E"/>
    <w:rsid w:val="00A43D59"/>
    <w:rsid w:val="00A574AC"/>
    <w:rsid w:val="00A6394A"/>
    <w:rsid w:val="00A66796"/>
    <w:rsid w:val="00A73FC7"/>
    <w:rsid w:val="00AA2D64"/>
    <w:rsid w:val="00AC0379"/>
    <w:rsid w:val="00AC501A"/>
    <w:rsid w:val="00AE0AE5"/>
    <w:rsid w:val="00C02375"/>
    <w:rsid w:val="00C12AD2"/>
    <w:rsid w:val="00C5196C"/>
    <w:rsid w:val="00C537FC"/>
    <w:rsid w:val="00D2042A"/>
    <w:rsid w:val="00DA1069"/>
    <w:rsid w:val="00DB75BD"/>
    <w:rsid w:val="00DE3C08"/>
    <w:rsid w:val="00EA699D"/>
    <w:rsid w:val="00ED29C1"/>
    <w:rsid w:val="00F40A2A"/>
    <w:rsid w:val="00FB3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1"/>
      <w:ind w:left="836" w:hanging="5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spacing w:before="200"/>
      <w:ind w:left="836" w:hanging="360"/>
      <w:jc w:val="both"/>
    </w:pPr>
  </w:style>
  <w:style w:type="paragraph" w:customStyle="1" w:styleId="TableParagraph">
    <w:name w:val="Table Paragraph"/>
    <w:basedOn w:val="Normal"/>
    <w:uiPriority w:val="1"/>
    <w:qFormat/>
    <w:pPr>
      <w:spacing w:before="99"/>
      <w:ind w:left="99"/>
    </w:pPr>
  </w:style>
  <w:style w:type="paragraph" w:styleId="Header">
    <w:name w:val="header"/>
    <w:basedOn w:val="Normal"/>
    <w:link w:val="HeaderChar"/>
    <w:uiPriority w:val="99"/>
    <w:unhideWhenUsed/>
    <w:rsid w:val="00DE3C08"/>
    <w:pPr>
      <w:tabs>
        <w:tab w:val="center" w:pos="4513"/>
        <w:tab w:val="right" w:pos="9026"/>
      </w:tabs>
    </w:pPr>
  </w:style>
  <w:style w:type="character" w:customStyle="1" w:styleId="HeaderChar">
    <w:name w:val="Header Char"/>
    <w:basedOn w:val="DefaultParagraphFont"/>
    <w:link w:val="Header"/>
    <w:uiPriority w:val="99"/>
    <w:rsid w:val="00DE3C08"/>
    <w:rPr>
      <w:rFonts w:ascii="Times New Roman" w:eastAsia="Times New Roman" w:hAnsi="Times New Roman" w:cs="Times New Roman"/>
    </w:rPr>
  </w:style>
  <w:style w:type="paragraph" w:styleId="Footer">
    <w:name w:val="footer"/>
    <w:basedOn w:val="Normal"/>
    <w:link w:val="FooterChar"/>
    <w:uiPriority w:val="99"/>
    <w:unhideWhenUsed/>
    <w:rsid w:val="00DE3C08"/>
    <w:pPr>
      <w:tabs>
        <w:tab w:val="center" w:pos="4513"/>
        <w:tab w:val="right" w:pos="9026"/>
      </w:tabs>
    </w:pPr>
  </w:style>
  <w:style w:type="character" w:customStyle="1" w:styleId="FooterChar">
    <w:name w:val="Footer Char"/>
    <w:basedOn w:val="DefaultParagraphFont"/>
    <w:link w:val="Footer"/>
    <w:uiPriority w:val="99"/>
    <w:rsid w:val="00DE3C08"/>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6394A"/>
    <w:rPr>
      <w:sz w:val="20"/>
      <w:szCs w:val="20"/>
    </w:rPr>
  </w:style>
  <w:style w:type="character" w:customStyle="1" w:styleId="FootnoteTextChar">
    <w:name w:val="Footnote Text Char"/>
    <w:basedOn w:val="DefaultParagraphFont"/>
    <w:link w:val="FootnoteText"/>
    <w:uiPriority w:val="99"/>
    <w:semiHidden/>
    <w:rsid w:val="00A639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3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77EAF-F87D-4711-A8F2-100DA4A385C2}">
  <ds:schemaRefs>
    <ds:schemaRef ds:uri="http://schemas.openxmlformats.org/officeDocument/2006/bibliography"/>
  </ds:schemaRefs>
</ds:datastoreItem>
</file>

<file path=customXml/itemProps2.xml><?xml version="1.0" encoding="utf-8"?>
<ds:datastoreItem xmlns:ds="http://schemas.openxmlformats.org/officeDocument/2006/customXml" ds:itemID="{E664D0FA-FE85-474A-B1D1-DCCEC47CB51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13ABA2F2-0108-41D5-BD93-40735C62F610}">
  <ds:schemaRefs>
    <ds:schemaRef ds:uri="http://schemas.microsoft.com/sharepoint/v3/contenttype/forms"/>
  </ds:schemaRefs>
</ds:datastoreItem>
</file>

<file path=customXml/itemProps4.xml><?xml version="1.0" encoding="utf-8"?>
<ds:datastoreItem xmlns:ds="http://schemas.openxmlformats.org/officeDocument/2006/customXml" ds:itemID="{D7675198-48C0-45BC-8058-1B94DEBEA0B5}"/>
</file>

<file path=docProps/app.xml><?xml version="1.0" encoding="utf-8"?>
<Properties xmlns="http://schemas.openxmlformats.org/officeDocument/2006/extended-properties" xmlns:vt="http://schemas.openxmlformats.org/officeDocument/2006/docPropsVTypes">
  <Template>Normal</Template>
  <TotalTime>0</TotalTime>
  <Pages>14</Pages>
  <Words>5127</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2025-07-22T11:51:00Z</dcterms:created>
  <dcterms:modified xsi:type="dcterms:W3CDTF">2025-10-10T11:37:00Z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