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451D" w14:textId="7F8041F1" w:rsidR="00511BA1" w:rsidRDefault="00511BA1" w:rsidP="00511BA1">
      <w:pPr>
        <w:pStyle w:val="BodyText"/>
        <w:rPr>
          <w:noProof/>
          <w:sz w:val="52"/>
        </w:rPr>
      </w:pPr>
      <w:r>
        <w:rPr>
          <w:noProof/>
          <w:sz w:val="52"/>
        </w:rPr>
        <w:drawing>
          <wp:anchor distT="0" distB="0" distL="114300" distR="114300" simplePos="0" relativeHeight="251658242" behindDoc="1" locked="0" layoutInCell="1" allowOverlap="1" wp14:anchorId="2885586D" wp14:editId="453F0298">
            <wp:simplePos x="0" y="0"/>
            <wp:positionH relativeFrom="column">
              <wp:posOffset>690</wp:posOffset>
            </wp:positionH>
            <wp:positionV relativeFrom="paragraph">
              <wp:posOffset>-114687</wp:posOffset>
            </wp:positionV>
            <wp:extent cx="6480000" cy="8985600"/>
            <wp:effectExtent l="0" t="0" r="0" b="6350"/>
            <wp:wrapNone/>
            <wp:docPr id="1600223133" name="Picture 1" descr="A blue and yellow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23133" name="Picture 1" descr="A blue and yellow de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80000" cy="8985600"/>
                    </a:xfrm>
                    <a:prstGeom prst="rect">
                      <a:avLst/>
                    </a:prstGeom>
                  </pic:spPr>
                </pic:pic>
              </a:graphicData>
            </a:graphic>
            <wp14:sizeRelH relativeFrom="margin">
              <wp14:pctWidth>0</wp14:pctWidth>
            </wp14:sizeRelH>
            <wp14:sizeRelV relativeFrom="margin">
              <wp14:pctHeight>0</wp14:pctHeight>
            </wp14:sizeRelV>
          </wp:anchor>
        </w:drawing>
      </w:r>
      <w:r w:rsidRPr="002E4FAA">
        <w:rPr>
          <w:noProof/>
          <w:sz w:val="52"/>
        </w:rPr>
        <w:drawing>
          <wp:inline distT="0" distB="0" distL="0" distR="0" wp14:anchorId="5022F9B6" wp14:editId="68D2958E">
            <wp:extent cx="1828958" cy="365792"/>
            <wp:effectExtent l="0" t="0" r="0" b="0"/>
            <wp:docPr id="60465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51490" name=""/>
                    <pic:cNvPicPr/>
                  </pic:nvPicPr>
                  <pic:blipFill>
                    <a:blip r:embed="rId12"/>
                    <a:stretch>
                      <a:fillRect/>
                    </a:stretch>
                  </pic:blipFill>
                  <pic:spPr>
                    <a:xfrm>
                      <a:off x="0" y="0"/>
                      <a:ext cx="1828958" cy="365792"/>
                    </a:xfrm>
                    <a:prstGeom prst="rect">
                      <a:avLst/>
                    </a:prstGeom>
                  </pic:spPr>
                </pic:pic>
              </a:graphicData>
            </a:graphic>
          </wp:inline>
        </w:drawing>
      </w:r>
    </w:p>
    <w:p w14:paraId="20CE4207" w14:textId="567224D9" w:rsidR="00511BA1" w:rsidRPr="00C85C26" w:rsidRDefault="00511BA1" w:rsidP="00511BA1">
      <w:pPr>
        <w:pStyle w:val="BodyText"/>
        <w:rPr>
          <w:noProof/>
          <w:sz w:val="52"/>
        </w:rPr>
      </w:pPr>
    </w:p>
    <w:p w14:paraId="4EA52FBF" w14:textId="77777777" w:rsidR="009C3E58" w:rsidRDefault="009C3E58" w:rsidP="00511BA1">
      <w:pPr>
        <w:pStyle w:val="Heading1"/>
        <w:ind w:left="0" w:right="3405"/>
        <w:jc w:val="left"/>
        <w:rPr>
          <w:rFonts w:ascii="Times New Roman" w:hAnsi="Times New Roman"/>
          <w:b/>
          <w:color w:val="004774"/>
        </w:rPr>
      </w:pPr>
    </w:p>
    <w:p w14:paraId="23C7CDE0" w14:textId="0952F59D" w:rsidR="00511BA1" w:rsidRPr="00A80861" w:rsidRDefault="00511BA1" w:rsidP="00511BA1">
      <w:pPr>
        <w:pStyle w:val="Heading1"/>
        <w:ind w:left="0" w:right="3405"/>
        <w:jc w:val="left"/>
        <w:rPr>
          <w:rFonts w:ascii="Times New Roman" w:hAnsi="Times New Roman"/>
          <w:b/>
          <w:bCs/>
          <w:noProof/>
          <w:color w:val="004774"/>
        </w:rPr>
      </w:pPr>
      <w:bookmarkStart w:id="0" w:name="_Toc211859089"/>
      <w:bookmarkStart w:id="1" w:name="_Toc211859558"/>
      <w:r>
        <w:rPr>
          <w:rFonts w:ascii="Times New Roman" w:hAnsi="Times New Roman"/>
          <w:b/>
          <w:color w:val="004774"/>
        </w:rPr>
        <w:t>LABAS PRAKSES PIEMĒRU SINTĒZE FISKĀLĀ FEDERĀLISMA JOMĀ</w:t>
      </w:r>
      <w:bookmarkEnd w:id="0"/>
      <w:bookmarkEnd w:id="1"/>
    </w:p>
    <w:p w14:paraId="4331E138" w14:textId="7864A2C6" w:rsidR="00511BA1" w:rsidRPr="002E4FAA" w:rsidRDefault="00511BA1" w:rsidP="00511BA1">
      <w:pPr>
        <w:rPr>
          <w:noProof/>
          <w:color w:val="6D6E71"/>
          <w:sz w:val="36"/>
          <w:szCs w:val="36"/>
        </w:rPr>
      </w:pPr>
      <w:r w:rsidRPr="002E4FAA">
        <w:rPr>
          <w:noProof/>
          <w:color w:val="6D6E71"/>
          <w:sz w:val="36"/>
          <w:szCs w:val="36"/>
        </w:rPr>
        <w:t>_________________________</w:t>
      </w:r>
      <w:r>
        <w:rPr>
          <w:noProof/>
          <w:color w:val="6D6E71"/>
          <w:sz w:val="36"/>
          <w:szCs w:val="36"/>
        </w:rPr>
        <w:t>_________</w:t>
      </w:r>
    </w:p>
    <w:p w14:paraId="6B99E8D3" w14:textId="047A2797" w:rsidR="00511BA1" w:rsidRPr="002E4FAA" w:rsidRDefault="00511BA1" w:rsidP="00511BA1">
      <w:pPr>
        <w:rPr>
          <w:noProof/>
          <w:color w:val="6D6E71"/>
          <w:sz w:val="36"/>
          <w:szCs w:val="36"/>
        </w:rPr>
      </w:pPr>
    </w:p>
    <w:p w14:paraId="0A85CB6F" w14:textId="435A6069" w:rsidR="00511BA1" w:rsidRPr="00A80861" w:rsidRDefault="00511BA1" w:rsidP="00511BA1">
      <w:pPr>
        <w:ind w:right="3830"/>
        <w:rPr>
          <w:b/>
          <w:bCs/>
          <w:noProof/>
          <w:color w:val="6D6E71"/>
          <w:sz w:val="48"/>
        </w:rPr>
      </w:pPr>
      <w:r>
        <w:rPr>
          <w:b/>
          <w:i/>
          <w:iCs/>
          <w:color w:val="6D6E71"/>
          <w:sz w:val="48"/>
        </w:rPr>
        <w:t>OECD</w:t>
      </w:r>
      <w:r>
        <w:rPr>
          <w:b/>
          <w:color w:val="6D6E71"/>
          <w:sz w:val="48"/>
        </w:rPr>
        <w:t xml:space="preserve"> EKONOMIKAS POLITIKAS DOKUMENTS</w:t>
      </w:r>
    </w:p>
    <w:p w14:paraId="49DA20A3" w14:textId="6FBCEE34" w:rsidR="00511BA1" w:rsidRPr="00C85C26" w:rsidRDefault="00511BA1" w:rsidP="00511BA1">
      <w:pPr>
        <w:pStyle w:val="Heading6"/>
        <w:spacing w:before="60"/>
        <w:ind w:left="0"/>
        <w:jc w:val="left"/>
        <w:rPr>
          <w:noProof/>
          <w:color w:val="6D6E71"/>
        </w:rPr>
      </w:pPr>
      <w:r>
        <w:rPr>
          <w:color w:val="6D6E71"/>
        </w:rPr>
        <w:t>2020. gada aprīlis, Nr. 28</w:t>
      </w:r>
    </w:p>
    <w:p w14:paraId="10EF6774" w14:textId="766EBD99" w:rsidR="00391469" w:rsidRDefault="00020FFC">
      <w:pPr>
        <w:rPr>
          <w:noProof/>
          <w:sz w:val="52"/>
        </w:rPr>
      </w:pPr>
      <w:r w:rsidRPr="00805442">
        <w:rPr>
          <w:noProof/>
          <w:color w:val="05629B"/>
        </w:rPr>
        <w:drawing>
          <wp:anchor distT="0" distB="0" distL="114300" distR="114300" simplePos="0" relativeHeight="251658243" behindDoc="0" locked="0" layoutInCell="1" allowOverlap="1" wp14:anchorId="79B0CB07" wp14:editId="25C0B354">
            <wp:simplePos x="0" y="0"/>
            <wp:positionH relativeFrom="column">
              <wp:posOffset>4492625</wp:posOffset>
            </wp:positionH>
            <wp:positionV relativeFrom="paragraph">
              <wp:posOffset>3826924</wp:posOffset>
            </wp:positionV>
            <wp:extent cx="1737511" cy="594412"/>
            <wp:effectExtent l="0" t="0" r="0" b="0"/>
            <wp:wrapSquare wrapText="bothSides"/>
            <wp:docPr id="2838779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77951" name="Picture 1" descr="A logo for a compan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737511" cy="594412"/>
                    </a:xfrm>
                    <a:prstGeom prst="rect">
                      <a:avLst/>
                    </a:prstGeom>
                  </pic:spPr>
                </pic:pic>
              </a:graphicData>
            </a:graphic>
            <wp14:sizeRelH relativeFrom="page">
              <wp14:pctWidth>0</wp14:pctWidth>
            </wp14:sizeRelH>
            <wp14:sizeRelV relativeFrom="page">
              <wp14:pctHeight>0</wp14:pctHeight>
            </wp14:sizeRelV>
          </wp:anchor>
        </w:drawing>
      </w:r>
      <w:r w:rsidR="00391469">
        <w:rPr>
          <w:noProof/>
          <w:sz w:val="52"/>
        </w:rPr>
        <w:br w:type="page"/>
      </w:r>
    </w:p>
    <w:p w14:paraId="47939109" w14:textId="2B2F90C6" w:rsidR="0021709F" w:rsidRDefault="0021709F">
      <w:pPr>
        <w:rPr>
          <w:noProof/>
          <w:sz w:val="32"/>
        </w:rPr>
      </w:pPr>
    </w:p>
    <w:p w14:paraId="780454EF" w14:textId="7644C702" w:rsidR="00C37DE1" w:rsidRPr="00C85C26" w:rsidRDefault="00C37DE1" w:rsidP="00C85C26">
      <w:pPr>
        <w:jc w:val="center"/>
        <w:rPr>
          <w:noProof/>
          <w:sz w:val="32"/>
        </w:rPr>
      </w:pPr>
      <w:r>
        <w:rPr>
          <w:sz w:val="32"/>
        </w:rPr>
        <w:t>Ekonomikas politikas dokuments Nr. 28</w:t>
      </w:r>
    </w:p>
    <w:p w14:paraId="593B588C" w14:textId="77777777" w:rsidR="00C37DE1" w:rsidRPr="00C85C26" w:rsidRDefault="00C37DE1" w:rsidP="00C85C26">
      <w:pPr>
        <w:pStyle w:val="BodyText"/>
        <w:rPr>
          <w:noProof/>
          <w:sz w:val="32"/>
        </w:rPr>
      </w:pPr>
    </w:p>
    <w:p w14:paraId="54C0D949" w14:textId="77777777" w:rsidR="00C37DE1" w:rsidRPr="00C85C26" w:rsidRDefault="00C37DE1" w:rsidP="00C85C26">
      <w:pPr>
        <w:pStyle w:val="BodyText"/>
        <w:rPr>
          <w:noProof/>
          <w:sz w:val="32"/>
        </w:rPr>
      </w:pPr>
    </w:p>
    <w:p w14:paraId="055CAAFA" w14:textId="77777777" w:rsidR="00C37DE1" w:rsidRPr="00C85C26" w:rsidRDefault="00C37DE1" w:rsidP="00C85C26">
      <w:pPr>
        <w:pStyle w:val="BodyText"/>
        <w:rPr>
          <w:noProof/>
          <w:sz w:val="32"/>
        </w:rPr>
      </w:pPr>
    </w:p>
    <w:p w14:paraId="4F17EA0C" w14:textId="77777777" w:rsidR="00C37DE1" w:rsidRPr="00C85C26" w:rsidRDefault="00C37DE1" w:rsidP="00C85C26">
      <w:pPr>
        <w:pStyle w:val="BodyText"/>
        <w:rPr>
          <w:noProof/>
          <w:sz w:val="32"/>
        </w:rPr>
      </w:pPr>
    </w:p>
    <w:p w14:paraId="637AB529" w14:textId="77777777" w:rsidR="00C37DE1" w:rsidRPr="00C85C26" w:rsidRDefault="00C37DE1" w:rsidP="00C85C26">
      <w:pPr>
        <w:pStyle w:val="Title"/>
        <w:ind w:left="0" w:right="0"/>
        <w:rPr>
          <w:noProof/>
          <w:color w:val="4F81BC"/>
        </w:rPr>
      </w:pPr>
      <w:r>
        <w:rPr>
          <w:color w:val="4F81BC"/>
        </w:rPr>
        <w:t>Labas prakses piemēru sintēze fiskālā federālisma jomā</w:t>
      </w:r>
    </w:p>
    <w:p w14:paraId="7584C7D3" w14:textId="77777777" w:rsidR="00C37DE1" w:rsidRPr="00C85C26" w:rsidRDefault="00C37DE1" w:rsidP="00C85C26">
      <w:pPr>
        <w:pStyle w:val="BodyText"/>
        <w:rPr>
          <w:b/>
          <w:noProof/>
          <w:sz w:val="52"/>
        </w:rPr>
      </w:pPr>
    </w:p>
    <w:p w14:paraId="01F2D301" w14:textId="77777777" w:rsidR="00C37DE1" w:rsidRPr="00C85C26" w:rsidRDefault="00C37DE1" w:rsidP="00C85C26">
      <w:pPr>
        <w:pStyle w:val="BodyText"/>
        <w:rPr>
          <w:b/>
          <w:noProof/>
          <w:sz w:val="52"/>
        </w:rPr>
      </w:pPr>
    </w:p>
    <w:p w14:paraId="5F285EAB" w14:textId="77777777" w:rsidR="0021709F" w:rsidRDefault="00C37DE1" w:rsidP="00C85C26">
      <w:pPr>
        <w:jc w:val="center"/>
        <w:rPr>
          <w:noProof/>
          <w:sz w:val="40"/>
        </w:rPr>
      </w:pPr>
      <w:r>
        <w:rPr>
          <w:sz w:val="40"/>
        </w:rPr>
        <w:t xml:space="preserve">Galvenie ieteikumi, kas izriet no 15 gadus veiktajiem valstu apsekojumiem </w:t>
      </w:r>
    </w:p>
    <w:p w14:paraId="58331B42" w14:textId="77777777" w:rsidR="0021709F" w:rsidRDefault="0021709F" w:rsidP="00C85C26">
      <w:pPr>
        <w:jc w:val="center"/>
        <w:rPr>
          <w:noProof/>
          <w:sz w:val="40"/>
        </w:rPr>
      </w:pPr>
    </w:p>
    <w:p w14:paraId="5B958FD3" w14:textId="3BA9A89D" w:rsidR="00C37DE1" w:rsidRDefault="00C37DE1" w:rsidP="00C85C26">
      <w:pPr>
        <w:jc w:val="center"/>
        <w:rPr>
          <w:noProof/>
          <w:sz w:val="40"/>
        </w:rPr>
      </w:pPr>
      <w:r>
        <w:rPr>
          <w:sz w:val="40"/>
        </w:rPr>
        <w:t>Šo dokumentu sagatavojuši:</w:t>
      </w:r>
    </w:p>
    <w:p w14:paraId="4FE4DF68" w14:textId="77777777" w:rsidR="0021709F" w:rsidRPr="00C85C26" w:rsidRDefault="0021709F" w:rsidP="00C85C26">
      <w:pPr>
        <w:jc w:val="center"/>
        <w:rPr>
          <w:noProof/>
          <w:sz w:val="40"/>
        </w:rPr>
      </w:pPr>
    </w:p>
    <w:p w14:paraId="4FFDC4C8" w14:textId="77777777" w:rsidR="0021709F" w:rsidRDefault="00C37DE1" w:rsidP="00C85C26">
      <w:pPr>
        <w:ind w:hanging="3"/>
        <w:jc w:val="center"/>
        <w:rPr>
          <w:noProof/>
          <w:sz w:val="40"/>
        </w:rPr>
      </w:pPr>
      <w:r>
        <w:rPr>
          <w:sz w:val="40"/>
        </w:rPr>
        <w:t>Kass Formens [</w:t>
      </w:r>
      <w:r>
        <w:rPr>
          <w:i/>
          <w:iCs/>
          <w:sz w:val="40"/>
        </w:rPr>
        <w:t>Kass Forman</w:t>
      </w:r>
      <w:r>
        <w:rPr>
          <w:sz w:val="40"/>
        </w:rPr>
        <w:t>]</w:t>
      </w:r>
    </w:p>
    <w:p w14:paraId="13BB6FEB" w14:textId="43207A39" w:rsidR="00C37DE1" w:rsidRPr="00C85C26" w:rsidRDefault="00C37DE1" w:rsidP="00C85C26">
      <w:pPr>
        <w:ind w:hanging="3"/>
        <w:jc w:val="center"/>
        <w:rPr>
          <w:noProof/>
          <w:sz w:val="40"/>
        </w:rPr>
      </w:pPr>
      <w:r>
        <w:rPr>
          <w:sz w:val="40"/>
        </w:rPr>
        <w:t>Šons Dohertijs [</w:t>
      </w:r>
      <w:r>
        <w:rPr>
          <w:i/>
          <w:iCs/>
          <w:sz w:val="40"/>
        </w:rPr>
        <w:t>Sean Dougherty</w:t>
      </w:r>
      <w:r>
        <w:rPr>
          <w:sz w:val="40"/>
        </w:rPr>
        <w:t>]</w:t>
      </w:r>
    </w:p>
    <w:p w14:paraId="18C141D2" w14:textId="77777777" w:rsidR="00C37DE1" w:rsidRPr="00C85C26" w:rsidRDefault="00C37DE1" w:rsidP="00C85C26">
      <w:pPr>
        <w:jc w:val="center"/>
        <w:rPr>
          <w:noProof/>
          <w:sz w:val="40"/>
        </w:rPr>
      </w:pPr>
      <w:r>
        <w:rPr>
          <w:sz w:val="40"/>
        </w:rPr>
        <w:t>Hansjērgs Blēhligers [</w:t>
      </w:r>
      <w:r>
        <w:rPr>
          <w:i/>
          <w:iCs/>
          <w:sz w:val="40"/>
        </w:rPr>
        <w:t>Hansjörg Blöchliger</w:t>
      </w:r>
      <w:r>
        <w:rPr>
          <w:sz w:val="40"/>
        </w:rPr>
        <w:t>]</w:t>
      </w:r>
    </w:p>
    <w:p w14:paraId="4906D8A6" w14:textId="77777777" w:rsidR="00C37DE1" w:rsidRPr="00C85C26" w:rsidRDefault="00C37DE1" w:rsidP="00C85C26">
      <w:pPr>
        <w:pStyle w:val="BodyText"/>
        <w:rPr>
          <w:noProof/>
          <w:sz w:val="40"/>
        </w:rPr>
      </w:pPr>
    </w:p>
    <w:p w14:paraId="26B23D76" w14:textId="77777777" w:rsidR="00C37DE1" w:rsidRPr="00C85C26" w:rsidRDefault="00C37DE1" w:rsidP="00C85C26">
      <w:pPr>
        <w:pStyle w:val="BodyText"/>
        <w:rPr>
          <w:noProof/>
          <w:sz w:val="40"/>
        </w:rPr>
      </w:pPr>
    </w:p>
    <w:p w14:paraId="1EEC9396" w14:textId="77777777" w:rsidR="00C37DE1" w:rsidRPr="00C85C26" w:rsidRDefault="00C37DE1" w:rsidP="00C85C26">
      <w:pPr>
        <w:pStyle w:val="BodyText"/>
        <w:rPr>
          <w:noProof/>
          <w:sz w:val="40"/>
        </w:rPr>
      </w:pPr>
    </w:p>
    <w:p w14:paraId="0E6B8207" w14:textId="77777777" w:rsidR="0021709F" w:rsidRDefault="00C37DE1" w:rsidP="0021709F">
      <w:pPr>
        <w:jc w:val="center"/>
        <w:rPr>
          <w:noProof/>
          <w:sz w:val="32"/>
        </w:rPr>
      </w:pPr>
      <w:r>
        <w:rPr>
          <w:sz w:val="32"/>
        </w:rPr>
        <w:t>Publicēšanu atļāvis Luiss de Mello [</w:t>
      </w:r>
      <w:r>
        <w:rPr>
          <w:i/>
          <w:iCs/>
          <w:sz w:val="32"/>
        </w:rPr>
        <w:t>Luiz de Mello</w:t>
      </w:r>
      <w:r>
        <w:rPr>
          <w:sz w:val="32"/>
        </w:rPr>
        <w:t>]</w:t>
      </w:r>
    </w:p>
    <w:p w14:paraId="74E6B269" w14:textId="6ACB2586" w:rsidR="00C37DE1" w:rsidRPr="00C85C26" w:rsidRDefault="00C37DE1" w:rsidP="0021709F">
      <w:pPr>
        <w:jc w:val="center"/>
        <w:rPr>
          <w:noProof/>
          <w:sz w:val="32"/>
        </w:rPr>
      </w:pPr>
      <w:r>
        <w:rPr>
          <w:sz w:val="32"/>
        </w:rPr>
        <w:t>Ekonomikas departamenta Politikas studiju nodaļas direktors</w:t>
      </w:r>
    </w:p>
    <w:p w14:paraId="51576CF1" w14:textId="77777777" w:rsidR="00C37DE1" w:rsidRPr="00C85C26" w:rsidRDefault="00C37DE1" w:rsidP="00C85C26">
      <w:pPr>
        <w:pStyle w:val="BodyText"/>
        <w:rPr>
          <w:noProof/>
          <w:sz w:val="20"/>
        </w:rPr>
      </w:pPr>
    </w:p>
    <w:p w14:paraId="21FB2AB3" w14:textId="77777777" w:rsidR="00C37DE1" w:rsidRPr="00C85C26" w:rsidRDefault="00C37DE1" w:rsidP="00C85C26">
      <w:pPr>
        <w:pStyle w:val="BodyText"/>
        <w:rPr>
          <w:noProof/>
          <w:sz w:val="20"/>
        </w:rPr>
      </w:pPr>
    </w:p>
    <w:p w14:paraId="3BA1E401" w14:textId="77777777" w:rsidR="00C37DE1" w:rsidRPr="00C85C26" w:rsidRDefault="00C37DE1" w:rsidP="00C85C26">
      <w:pPr>
        <w:pStyle w:val="BodyText"/>
        <w:rPr>
          <w:noProof/>
          <w:sz w:val="20"/>
        </w:rPr>
      </w:pPr>
    </w:p>
    <w:p w14:paraId="4CB4BF12" w14:textId="77777777" w:rsidR="00C37DE1" w:rsidRPr="00C85C26" w:rsidRDefault="00C37DE1" w:rsidP="00C85C26">
      <w:pPr>
        <w:pStyle w:val="BodyText"/>
        <w:rPr>
          <w:noProof/>
          <w:sz w:val="20"/>
        </w:rPr>
      </w:pPr>
    </w:p>
    <w:p w14:paraId="4D130508" w14:textId="77777777" w:rsidR="00C37DE1" w:rsidRPr="00C85C26" w:rsidRDefault="00C37DE1" w:rsidP="00C85C26">
      <w:pPr>
        <w:pStyle w:val="BodyText"/>
        <w:rPr>
          <w:noProof/>
          <w:sz w:val="20"/>
        </w:rPr>
      </w:pPr>
    </w:p>
    <w:p w14:paraId="6DB4E888" w14:textId="77777777" w:rsidR="00C37DE1" w:rsidRPr="00C85C26" w:rsidRDefault="00C37DE1" w:rsidP="00C85C26">
      <w:pPr>
        <w:pStyle w:val="BodyText"/>
        <w:rPr>
          <w:noProof/>
          <w:sz w:val="20"/>
        </w:rPr>
      </w:pPr>
    </w:p>
    <w:p w14:paraId="5049A76F" w14:textId="77777777" w:rsidR="00C37DE1" w:rsidRPr="00C85C26" w:rsidRDefault="00C37DE1" w:rsidP="00C85C26">
      <w:pPr>
        <w:pStyle w:val="BodyText"/>
        <w:rPr>
          <w:noProof/>
          <w:sz w:val="20"/>
        </w:rPr>
      </w:pPr>
    </w:p>
    <w:p w14:paraId="34A93B3F" w14:textId="77777777" w:rsidR="00C37DE1" w:rsidRPr="00C85C26" w:rsidRDefault="00C37DE1" w:rsidP="00C85C26">
      <w:pPr>
        <w:pStyle w:val="BodyText"/>
        <w:rPr>
          <w:noProof/>
          <w:sz w:val="20"/>
        </w:rPr>
      </w:pPr>
    </w:p>
    <w:p w14:paraId="5B52A545" w14:textId="44D6DFC4" w:rsidR="00C37DE1" w:rsidRPr="00C85C26" w:rsidRDefault="00C37DE1" w:rsidP="00C85C26">
      <w:pPr>
        <w:pStyle w:val="BodyText"/>
        <w:rPr>
          <w:noProof/>
          <w:sz w:val="20"/>
        </w:rPr>
      </w:pPr>
    </w:p>
    <w:p w14:paraId="72855ECD" w14:textId="63CFA01A" w:rsidR="0021709F" w:rsidRDefault="0021709F">
      <w:pPr>
        <w:rPr>
          <w:noProof/>
        </w:rPr>
      </w:pPr>
      <w:r>
        <w:br w:type="page"/>
      </w:r>
    </w:p>
    <w:p w14:paraId="3795C5C3" w14:textId="5D6E7B84" w:rsidR="00C37DE1" w:rsidRDefault="00C37DE1" w:rsidP="0021709F">
      <w:pPr>
        <w:pStyle w:val="BodyText"/>
        <w:jc w:val="both"/>
        <w:rPr>
          <w:noProof/>
          <w:sz w:val="24"/>
          <w:szCs w:val="24"/>
        </w:rPr>
      </w:pPr>
      <w:r>
        <w:rPr>
          <w:sz w:val="24"/>
        </w:rPr>
        <w:lastRenderedPageBreak/>
        <w:t xml:space="preserve">Par </w:t>
      </w:r>
      <w:r>
        <w:rPr>
          <w:i/>
          <w:iCs/>
          <w:sz w:val="24"/>
        </w:rPr>
        <w:t>OECD</w:t>
      </w:r>
      <w:r>
        <w:rPr>
          <w:sz w:val="24"/>
        </w:rPr>
        <w:t xml:space="preserve"> </w:t>
      </w:r>
      <w:r>
        <w:rPr>
          <w:i/>
          <w:iCs/>
          <w:sz w:val="24"/>
        </w:rPr>
        <w:t>Ekonomikas politikas dokumentu sērijas</w:t>
      </w:r>
      <w:r>
        <w:rPr>
          <w:sz w:val="24"/>
        </w:rPr>
        <w:t xml:space="preserve"> publicēšanu atbildīgs ir </w:t>
      </w:r>
      <w:r>
        <w:rPr>
          <w:i/>
          <w:iCs/>
          <w:sz w:val="24"/>
        </w:rPr>
        <w:t>OECD</w:t>
      </w:r>
      <w:r>
        <w:rPr>
          <w:sz w:val="24"/>
        </w:rPr>
        <w:t xml:space="preserve"> ģenerālsekretārs. Šeit paustie atzinumi un izmantotie argumenti ne vienmēr ataino Organizācijas vai tās dalībvalstu valdību oficiālo viedokli.</w:t>
      </w:r>
    </w:p>
    <w:p w14:paraId="378942DB" w14:textId="77777777" w:rsidR="0021709F" w:rsidRPr="0021709F" w:rsidRDefault="0021709F" w:rsidP="0021709F">
      <w:pPr>
        <w:pStyle w:val="BodyText"/>
        <w:jc w:val="both"/>
        <w:rPr>
          <w:noProof/>
          <w:sz w:val="24"/>
          <w:szCs w:val="24"/>
        </w:rPr>
      </w:pPr>
    </w:p>
    <w:p w14:paraId="07D0A4E2" w14:textId="77777777" w:rsidR="00C37DE1" w:rsidRDefault="00C37DE1" w:rsidP="0021709F">
      <w:pPr>
        <w:jc w:val="both"/>
        <w:rPr>
          <w:i/>
          <w:noProof/>
          <w:sz w:val="24"/>
          <w:szCs w:val="24"/>
        </w:rPr>
      </w:pPr>
      <w:r>
        <w:rPr>
          <w:sz w:val="24"/>
        </w:rPr>
        <w:t xml:space="preserve">Sērija: </w:t>
      </w:r>
      <w:r>
        <w:rPr>
          <w:i/>
          <w:sz w:val="24"/>
        </w:rPr>
        <w:t>OECD Ekonomikas politikas dokumenti</w:t>
      </w:r>
    </w:p>
    <w:p w14:paraId="71FE3B6E" w14:textId="77777777" w:rsidR="0021709F" w:rsidRPr="0021709F" w:rsidRDefault="0021709F" w:rsidP="0021709F">
      <w:pPr>
        <w:jc w:val="both"/>
        <w:rPr>
          <w:i/>
          <w:noProof/>
          <w:sz w:val="24"/>
          <w:szCs w:val="24"/>
        </w:rPr>
      </w:pPr>
    </w:p>
    <w:p w14:paraId="6A5219D0" w14:textId="77777777" w:rsidR="00C37DE1" w:rsidRPr="0021709F" w:rsidRDefault="00C37DE1" w:rsidP="0021709F">
      <w:pPr>
        <w:pStyle w:val="BodyText"/>
        <w:jc w:val="both"/>
        <w:rPr>
          <w:noProof/>
          <w:sz w:val="24"/>
          <w:szCs w:val="24"/>
        </w:rPr>
      </w:pPr>
      <w:r>
        <w:rPr>
          <w:sz w:val="24"/>
        </w:rPr>
        <w:t>SSN 2226583X</w:t>
      </w:r>
    </w:p>
    <w:p w14:paraId="6AB524BD" w14:textId="77777777" w:rsidR="00C37DE1" w:rsidRPr="00C85C26" w:rsidRDefault="00C37DE1" w:rsidP="00C85C26">
      <w:pPr>
        <w:pStyle w:val="BodyText"/>
        <w:rPr>
          <w:noProof/>
        </w:rPr>
      </w:pPr>
    </w:p>
    <w:p w14:paraId="424F613E" w14:textId="77777777" w:rsidR="00C37DE1" w:rsidRPr="00C85C26" w:rsidRDefault="00C37DE1" w:rsidP="00C85C26">
      <w:pPr>
        <w:pStyle w:val="BodyText"/>
        <w:rPr>
          <w:noProof/>
        </w:rPr>
      </w:pPr>
    </w:p>
    <w:p w14:paraId="7A5267A7" w14:textId="77777777" w:rsidR="00C37DE1" w:rsidRPr="00C85C26" w:rsidRDefault="00C37DE1" w:rsidP="00C85C26">
      <w:pPr>
        <w:pStyle w:val="BodyText"/>
        <w:rPr>
          <w:noProof/>
        </w:rPr>
      </w:pPr>
    </w:p>
    <w:p w14:paraId="465F7398" w14:textId="77777777" w:rsidR="00C37DE1" w:rsidRPr="00C85C26" w:rsidRDefault="00C37DE1" w:rsidP="00C85C26">
      <w:pPr>
        <w:pStyle w:val="BodyText"/>
        <w:rPr>
          <w:noProof/>
        </w:rPr>
      </w:pPr>
    </w:p>
    <w:p w14:paraId="3E35B567" w14:textId="77777777" w:rsidR="00C37DE1" w:rsidRPr="00C85C26" w:rsidRDefault="00C37DE1" w:rsidP="00C85C26">
      <w:pPr>
        <w:pStyle w:val="BodyText"/>
        <w:rPr>
          <w:noProof/>
        </w:rPr>
      </w:pPr>
    </w:p>
    <w:p w14:paraId="2D7CF8A6" w14:textId="77777777" w:rsidR="00C37DE1" w:rsidRPr="00C85C26" w:rsidRDefault="00C37DE1" w:rsidP="00C85C26">
      <w:pPr>
        <w:pStyle w:val="BodyText"/>
        <w:rPr>
          <w:noProof/>
        </w:rPr>
      </w:pPr>
    </w:p>
    <w:p w14:paraId="2E5BD60B" w14:textId="77777777" w:rsidR="00C37DE1" w:rsidRPr="00C85C26" w:rsidRDefault="00C37DE1" w:rsidP="00C85C26">
      <w:pPr>
        <w:pStyle w:val="BodyText"/>
        <w:rPr>
          <w:noProof/>
        </w:rPr>
      </w:pPr>
    </w:p>
    <w:p w14:paraId="142F2064" w14:textId="77777777" w:rsidR="00C37DE1" w:rsidRPr="00C85C26" w:rsidRDefault="00C37DE1" w:rsidP="00C85C26">
      <w:pPr>
        <w:pStyle w:val="BodyText"/>
        <w:rPr>
          <w:noProof/>
        </w:rPr>
      </w:pPr>
    </w:p>
    <w:p w14:paraId="6EFA5F3D" w14:textId="77777777" w:rsidR="00C37DE1" w:rsidRDefault="00C37DE1" w:rsidP="00C85C26">
      <w:pPr>
        <w:pStyle w:val="BodyText"/>
        <w:jc w:val="both"/>
        <w:rPr>
          <w:noProof/>
          <w:sz w:val="24"/>
          <w:szCs w:val="24"/>
        </w:rPr>
      </w:pPr>
      <w:r>
        <w:rPr>
          <w:sz w:val="24"/>
        </w:rPr>
        <w:t xml:space="preserve">Statistikas datus par Izraēlu ir sniegušas attiecīgās Izraēlas iestādes, un tās uzņemas atbildību par šiem statistikas datiem. Tas, ka </w:t>
      </w:r>
      <w:r>
        <w:rPr>
          <w:i/>
          <w:iCs/>
          <w:sz w:val="24"/>
        </w:rPr>
        <w:t>OECD</w:t>
      </w:r>
      <w:r>
        <w:rPr>
          <w:sz w:val="24"/>
        </w:rPr>
        <w:t xml:space="preserve"> izmanto šādus datus, neskar starptautiskajās tiesībās noteikto Golānas augstieņu, Jeruzalemes austrumu daļas un izraēliešu Rietumkrasta apmetņu statusu.</w:t>
      </w:r>
    </w:p>
    <w:p w14:paraId="413F005C" w14:textId="77777777" w:rsidR="0021709F" w:rsidRPr="0021709F" w:rsidRDefault="0021709F" w:rsidP="00C85C26">
      <w:pPr>
        <w:pStyle w:val="BodyText"/>
        <w:jc w:val="both"/>
        <w:rPr>
          <w:noProof/>
          <w:sz w:val="24"/>
          <w:szCs w:val="24"/>
        </w:rPr>
      </w:pPr>
    </w:p>
    <w:p w14:paraId="162488DF" w14:textId="77777777" w:rsidR="00C37DE1" w:rsidRDefault="00C37DE1" w:rsidP="00C85C26">
      <w:pPr>
        <w:pStyle w:val="BodyText"/>
        <w:jc w:val="both"/>
        <w:rPr>
          <w:noProof/>
          <w:sz w:val="24"/>
          <w:szCs w:val="24"/>
        </w:rPr>
      </w:pPr>
      <w:r>
        <w:rPr>
          <w:i/>
          <w:iCs/>
          <w:sz w:val="24"/>
        </w:rPr>
        <w:t>OECD</w:t>
      </w:r>
      <w:r>
        <w:rPr>
          <w:sz w:val="24"/>
        </w:rPr>
        <w:t xml:space="preserve"> Padome 2018. gada 3. maijā uzaicināja Lietuvu kļūt par tās dalībnieci. Sagatavošanas laikā dokuments par Lietuvas pievienošanos </w:t>
      </w:r>
      <w:r>
        <w:rPr>
          <w:i/>
          <w:iCs/>
          <w:sz w:val="24"/>
        </w:rPr>
        <w:t>OECD</w:t>
      </w:r>
      <w:r>
        <w:rPr>
          <w:sz w:val="24"/>
        </w:rPr>
        <w:t xml:space="preserve"> Konvencijai vēl nebija deponēts, tāpēc Lietuva neparādās </w:t>
      </w:r>
      <w:r>
        <w:rPr>
          <w:i/>
          <w:iCs/>
          <w:sz w:val="24"/>
        </w:rPr>
        <w:t>OECD</w:t>
      </w:r>
      <w:r>
        <w:rPr>
          <w:sz w:val="24"/>
        </w:rPr>
        <w:t xml:space="preserve"> dalībnieku sarakstā un nav iekļauta </w:t>
      </w:r>
      <w:r>
        <w:rPr>
          <w:i/>
          <w:iCs/>
          <w:sz w:val="24"/>
        </w:rPr>
        <w:t>OECD</w:t>
      </w:r>
      <w:r>
        <w:rPr>
          <w:sz w:val="24"/>
        </w:rPr>
        <w:t xml:space="preserve"> zonas kopsavilkuma rādītājos.</w:t>
      </w:r>
    </w:p>
    <w:p w14:paraId="26F4016D" w14:textId="77777777" w:rsidR="0021709F" w:rsidRPr="0021709F" w:rsidRDefault="0021709F" w:rsidP="00C85C26">
      <w:pPr>
        <w:pStyle w:val="BodyText"/>
        <w:jc w:val="both"/>
        <w:rPr>
          <w:noProof/>
          <w:sz w:val="24"/>
          <w:szCs w:val="24"/>
        </w:rPr>
      </w:pPr>
    </w:p>
    <w:p w14:paraId="12A38119" w14:textId="77777777" w:rsidR="00C37DE1" w:rsidRDefault="00C37DE1" w:rsidP="00C85C26">
      <w:pPr>
        <w:pStyle w:val="BodyText"/>
        <w:jc w:val="both"/>
        <w:rPr>
          <w:noProof/>
          <w:sz w:val="24"/>
          <w:szCs w:val="24"/>
        </w:rPr>
      </w:pPr>
      <w:r>
        <w:rPr>
          <w:i/>
          <w:iCs/>
          <w:sz w:val="24"/>
        </w:rPr>
        <w:t>OECD</w:t>
      </w:r>
      <w:r>
        <w:rPr>
          <w:sz w:val="24"/>
        </w:rPr>
        <w:t xml:space="preserve"> Padome 2018. gada 25. maijā uzaicināja Kolumbiju kļūt par tās dalībnieci. Sagatavošanas laikā dokuments par Kolumbijas pievienošanos </w:t>
      </w:r>
      <w:r>
        <w:rPr>
          <w:i/>
          <w:iCs/>
          <w:sz w:val="24"/>
        </w:rPr>
        <w:t>OECD</w:t>
      </w:r>
      <w:r>
        <w:rPr>
          <w:sz w:val="24"/>
        </w:rPr>
        <w:t xml:space="preserve"> Konvencijai vēl nebija deponēts, tāpēc Kolumbija neparādās </w:t>
      </w:r>
      <w:r>
        <w:rPr>
          <w:i/>
          <w:iCs/>
          <w:sz w:val="24"/>
        </w:rPr>
        <w:t>OECD</w:t>
      </w:r>
      <w:r>
        <w:rPr>
          <w:sz w:val="24"/>
        </w:rPr>
        <w:t xml:space="preserve"> dalībnieku sarakstā un nav iekļauta </w:t>
      </w:r>
      <w:r>
        <w:rPr>
          <w:i/>
          <w:iCs/>
          <w:sz w:val="24"/>
        </w:rPr>
        <w:t>OECD</w:t>
      </w:r>
      <w:r>
        <w:rPr>
          <w:sz w:val="24"/>
        </w:rPr>
        <w:t xml:space="preserve"> zonas kopsavilkuma rādītājos.</w:t>
      </w:r>
    </w:p>
    <w:p w14:paraId="38F9DC30" w14:textId="77777777" w:rsidR="0021709F" w:rsidRPr="0021709F" w:rsidRDefault="0021709F" w:rsidP="00C85C26">
      <w:pPr>
        <w:pStyle w:val="BodyText"/>
        <w:jc w:val="both"/>
        <w:rPr>
          <w:noProof/>
          <w:sz w:val="24"/>
          <w:szCs w:val="24"/>
        </w:rPr>
      </w:pPr>
    </w:p>
    <w:p w14:paraId="259C4465" w14:textId="77777777" w:rsidR="00C37DE1" w:rsidRPr="0021709F" w:rsidRDefault="00C37DE1" w:rsidP="00C85C26">
      <w:pPr>
        <w:pStyle w:val="BodyText"/>
        <w:jc w:val="both"/>
        <w:rPr>
          <w:noProof/>
          <w:sz w:val="24"/>
          <w:szCs w:val="24"/>
        </w:rPr>
      </w:pPr>
      <w:r>
        <w:rPr>
          <w:sz w:val="24"/>
        </w:rPr>
        <w:t>Ne šis dokuments, ne tajā iekļautās kartes nemaina nevienas teritorijas statusu vai suverenitāti pār šādu teritoriju, starptautiskās robežas un nevienas teritorijas, pilsētas vai apgabala nosaukumu.</w:t>
      </w:r>
    </w:p>
    <w:p w14:paraId="76F8A5E3" w14:textId="77777777" w:rsidR="00C37DE1" w:rsidRPr="0021709F" w:rsidRDefault="00C37DE1" w:rsidP="00C85C26">
      <w:pPr>
        <w:pStyle w:val="BodyText"/>
        <w:jc w:val="both"/>
        <w:rPr>
          <w:noProof/>
          <w:sz w:val="24"/>
          <w:szCs w:val="24"/>
        </w:rPr>
      </w:pPr>
      <w:r>
        <w:rPr>
          <w:sz w:val="24"/>
        </w:rPr>
        <w:t>© OECD 2020</w:t>
      </w:r>
    </w:p>
    <w:p w14:paraId="3C00F571" w14:textId="77777777" w:rsidR="00C37DE1" w:rsidRPr="00C85C26" w:rsidRDefault="00C37DE1" w:rsidP="00C85C26">
      <w:pPr>
        <w:pStyle w:val="BodyText"/>
        <w:rPr>
          <w:noProof/>
          <w:sz w:val="18"/>
        </w:rPr>
      </w:pPr>
      <w:r>
        <w:rPr>
          <w:noProof/>
          <w:sz w:val="18"/>
        </w:rPr>
        <mc:AlternateContent>
          <mc:Choice Requires="wps">
            <w:drawing>
              <wp:anchor distT="0" distB="0" distL="0" distR="0" simplePos="0" relativeHeight="251658240" behindDoc="1" locked="0" layoutInCell="1" allowOverlap="1" wp14:anchorId="7A3AB926" wp14:editId="39DDD16E">
                <wp:simplePos x="0" y="0"/>
                <wp:positionH relativeFrom="page">
                  <wp:posOffset>1007504</wp:posOffset>
                </wp:positionH>
                <wp:positionV relativeFrom="paragraph">
                  <wp:posOffset>153647</wp:posOffset>
                </wp:positionV>
                <wp:extent cx="56705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0" cy="1270"/>
                        </a:xfrm>
                        <a:custGeom>
                          <a:avLst/>
                          <a:gdLst/>
                          <a:ahLst/>
                          <a:cxnLst/>
                          <a:rect l="l" t="t" r="r" b="b"/>
                          <a:pathLst>
                            <a:path w="5670550">
                              <a:moveTo>
                                <a:pt x="0" y="0"/>
                              </a:moveTo>
                              <a:lnTo>
                                <a:pt x="56702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3F218" id="Graphic 24" o:spid="_x0000_s1026" style="position:absolute;margin-left:79.35pt;margin-top:12.1pt;width:44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7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" path="m,l5670292,e" filled="f" strokeweight=".24725mm">
                <v:path arrowok="t"/>
                <w10:wrap type="topAndBottom" anchorx="page"/>
              </v:shape>
            </w:pict>
          </mc:Fallback>
        </mc:AlternateContent>
      </w:r>
    </w:p>
    <w:p w14:paraId="0BD4D32F" w14:textId="77777777" w:rsidR="00C37DE1" w:rsidRPr="00C85C26" w:rsidRDefault="00C37DE1" w:rsidP="00C85C26">
      <w:pPr>
        <w:pStyle w:val="BodyText"/>
        <w:rPr>
          <w:noProof/>
        </w:rPr>
      </w:pPr>
    </w:p>
    <w:p w14:paraId="7EB67176" w14:textId="77777777" w:rsidR="00C37DE1" w:rsidRPr="0021709F" w:rsidRDefault="00C37DE1" w:rsidP="00C85C26">
      <w:pPr>
        <w:pStyle w:val="BodyText"/>
        <w:jc w:val="both"/>
        <w:rPr>
          <w:i/>
          <w:noProof/>
          <w:sz w:val="24"/>
          <w:szCs w:val="24"/>
        </w:rPr>
      </w:pPr>
      <w:r>
        <w:rPr>
          <w:sz w:val="24"/>
        </w:rPr>
        <w:t xml:space="preserve">Šīs </w:t>
      </w:r>
      <w:r>
        <w:rPr>
          <w:i/>
          <w:iCs/>
          <w:sz w:val="24"/>
        </w:rPr>
        <w:t>OECD</w:t>
      </w:r>
      <w:r>
        <w:rPr>
          <w:sz w:val="24"/>
        </w:rPr>
        <w:t xml:space="preserve"> publikācijas saturu var kopēt, lejupielādēt un drukāt savām vajadzībām, un izvilkumus no </w:t>
      </w:r>
      <w:r>
        <w:rPr>
          <w:i/>
          <w:iCs/>
          <w:sz w:val="24"/>
        </w:rPr>
        <w:t>OECD</w:t>
      </w:r>
      <w:r>
        <w:rPr>
          <w:sz w:val="24"/>
        </w:rPr>
        <w:t xml:space="preserve"> publikācijām, datubāzēm un multivides produktiem var iekļaut savos dokumentos, prezentācijās, emuāros, tīmekļa vietnēs un mācību materiālos, pievienojot atbilstošu norādi par </w:t>
      </w:r>
      <w:r>
        <w:rPr>
          <w:i/>
          <w:iCs/>
          <w:sz w:val="24"/>
        </w:rPr>
        <w:t>OECD</w:t>
      </w:r>
      <w:r>
        <w:rPr>
          <w:sz w:val="24"/>
        </w:rPr>
        <w:t xml:space="preserve"> kā informācijas avotu un autortiesību īpašnieku. Publiskas vai komerciālas izmantošanas un tulkošanas tiesību pieprasījumi jāiesniedz, sūtot uz epasta adresi </w:t>
      </w:r>
      <w:hyperlink r:id="rId14">
        <w:r>
          <w:rPr>
            <w:i/>
            <w:sz w:val="24"/>
          </w:rPr>
          <w:t>rights@oecd.org</w:t>
        </w:r>
      </w:hyperlink>
      <w:r>
        <w:t>.</w:t>
      </w:r>
      <w:r>
        <w:rPr>
          <w:sz w:val="24"/>
        </w:rPr>
        <w:t xml:space="preserve"> Šā materiāla fotokopēšanas atļaujas pieprasījums publiskai vai komerciālai izmantošanai jāsūta tieši Autortiesību atļauju centram [</w:t>
      </w:r>
      <w:r>
        <w:rPr>
          <w:i/>
          <w:iCs/>
          <w:sz w:val="24"/>
        </w:rPr>
        <w:t>Copyright Clearance Center</w:t>
      </w:r>
      <w:r>
        <w:rPr>
          <w:sz w:val="24"/>
        </w:rPr>
        <w:t xml:space="preserve"> (</w:t>
      </w:r>
      <w:r>
        <w:rPr>
          <w:i/>
          <w:iCs/>
          <w:sz w:val="24"/>
        </w:rPr>
        <w:t>CCC</w:t>
      </w:r>
      <w:r>
        <w:rPr>
          <w:sz w:val="24"/>
        </w:rPr>
        <w:t>)] uz e-pasta adresi</w:t>
      </w:r>
      <w:r>
        <w:rPr>
          <w:i/>
          <w:iCs/>
          <w:sz w:val="24"/>
        </w:rPr>
        <w:t xml:space="preserve"> </w:t>
      </w:r>
      <w:hyperlink r:id="rId15">
        <w:r>
          <w:rPr>
            <w:i/>
            <w:sz w:val="24"/>
          </w:rPr>
          <w:t>info@copyright</w:t>
        </w:r>
        <w:r>
          <w:rPr>
            <w:sz w:val="24"/>
          </w:rPr>
          <w:t>.com</w:t>
        </w:r>
      </w:hyperlink>
      <w:r>
        <w:rPr>
          <w:sz w:val="24"/>
        </w:rPr>
        <w:t xml:space="preserve"> vai </w:t>
      </w:r>
      <w:r>
        <w:rPr>
          <w:i/>
          <w:iCs/>
          <w:sz w:val="24"/>
        </w:rPr>
        <w:t>Centre francais dexploitation du droit de copie</w:t>
      </w:r>
      <w:r>
        <w:rPr>
          <w:sz w:val="24"/>
        </w:rPr>
        <w:t xml:space="preserve"> (</w:t>
      </w:r>
      <w:r>
        <w:rPr>
          <w:i/>
          <w:iCs/>
          <w:sz w:val="24"/>
        </w:rPr>
        <w:t>CFC</w:t>
      </w:r>
      <w:r>
        <w:rPr>
          <w:sz w:val="24"/>
        </w:rPr>
        <w:t xml:space="preserve">) uz e-pasta adresi </w:t>
      </w:r>
      <w:hyperlink r:id="rId16"/>
      <w:r>
        <w:rPr>
          <w:i/>
          <w:iCs/>
          <w:sz w:val="24"/>
        </w:rPr>
        <w:t>contact@cfcopies.com</w:t>
      </w:r>
      <w:r>
        <w:rPr>
          <w:sz w:val="24"/>
        </w:rPr>
        <w:t>.</w:t>
      </w:r>
    </w:p>
    <w:p w14:paraId="382BAF55" w14:textId="77777777" w:rsidR="00C37DE1" w:rsidRPr="00C85C26" w:rsidRDefault="00C37DE1" w:rsidP="00C85C26">
      <w:pPr>
        <w:pStyle w:val="BodyText"/>
        <w:rPr>
          <w:i/>
          <w:noProof/>
          <w:sz w:val="19"/>
        </w:rPr>
      </w:pPr>
      <w:r>
        <w:rPr>
          <w:i/>
          <w:noProof/>
          <w:sz w:val="19"/>
        </w:rPr>
        <mc:AlternateContent>
          <mc:Choice Requires="wps">
            <w:drawing>
              <wp:anchor distT="0" distB="0" distL="0" distR="0" simplePos="0" relativeHeight="251658241" behindDoc="1" locked="0" layoutInCell="1" allowOverlap="1" wp14:anchorId="0DB82EB9" wp14:editId="6DE526CD">
                <wp:simplePos x="0" y="0"/>
                <wp:positionH relativeFrom="page">
                  <wp:posOffset>1007363</wp:posOffset>
                </wp:positionH>
                <wp:positionV relativeFrom="paragraph">
                  <wp:posOffset>156515</wp:posOffset>
                </wp:positionV>
                <wp:extent cx="56705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0" cy="1270"/>
                        </a:xfrm>
                        <a:custGeom>
                          <a:avLst/>
                          <a:gdLst/>
                          <a:ahLst/>
                          <a:cxnLst/>
                          <a:rect l="l" t="t" r="r" b="b"/>
                          <a:pathLst>
                            <a:path w="5670550">
                              <a:moveTo>
                                <a:pt x="0" y="0"/>
                              </a:moveTo>
                              <a:lnTo>
                                <a:pt x="56702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FFD8F" id="Graphic 25" o:spid="_x0000_s1026" style="position:absolute;margin-left:79.3pt;margin-top:12.3pt;width:446.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67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" path="m,l5670292,e" filled="f" strokeweight=".24725mm">
                <v:path arrowok="t"/>
                <w10:wrap type="topAndBottom" anchorx="page"/>
              </v:shape>
            </w:pict>
          </mc:Fallback>
        </mc:AlternateContent>
      </w:r>
    </w:p>
    <w:p w14:paraId="55805014" w14:textId="77777777" w:rsidR="00C85C26" w:rsidRPr="00C85C26" w:rsidRDefault="00C85C26" w:rsidP="00C85C26">
      <w:pPr>
        <w:pStyle w:val="BodyText"/>
        <w:rPr>
          <w:i/>
          <w:noProof/>
          <w:sz w:val="19"/>
        </w:rPr>
      </w:pPr>
    </w:p>
    <w:p w14:paraId="150E0C4C" w14:textId="2E3ADF99" w:rsidR="003F278C" w:rsidRDefault="003F278C">
      <w:pPr>
        <w:rPr>
          <w:i/>
          <w:noProof/>
          <w:sz w:val="13"/>
        </w:rPr>
      </w:pPr>
      <w:r>
        <w:br w:type="page"/>
      </w:r>
    </w:p>
    <w:p w14:paraId="23A0BFB5" w14:textId="77777777" w:rsidR="0021709F" w:rsidRDefault="0021709F" w:rsidP="00C85C26">
      <w:pPr>
        <w:pStyle w:val="BodyText"/>
        <w:rPr>
          <w:i/>
          <w:noProof/>
          <w:sz w:val="13"/>
        </w:rPr>
      </w:pPr>
    </w:p>
    <w:tbl>
      <w:tblPr>
        <w:tblStyle w:val="TableGrid"/>
        <w:tblW w:w="5000" w:type="pct"/>
        <w:shd w:val="clear" w:color="auto" w:fill="F2F2F2" w:themeFill="background1" w:themeFillShade="F2"/>
        <w:tblCellMar>
          <w:top w:w="28" w:type="dxa"/>
          <w:left w:w="28" w:type="dxa"/>
          <w:bottom w:w="28" w:type="dxa"/>
          <w:right w:w="28" w:type="dxa"/>
        </w:tblCellMar>
        <w:tblLook w:val="04A0" w:firstRow="1" w:lastRow="0" w:firstColumn="1" w:lastColumn="0" w:noHBand="0" w:noVBand="1"/>
      </w:tblPr>
      <w:tblGrid>
        <w:gridCol w:w="9131"/>
      </w:tblGrid>
      <w:tr w:rsidR="0021709F" w:rsidRPr="002C5178" w14:paraId="624621C3" w14:textId="77777777" w:rsidTr="00F677A5">
        <w:tc>
          <w:tcPr>
            <w:tcW w:w="5000" w:type="pct"/>
            <w:shd w:val="clear" w:color="auto" w:fill="F2F2F2" w:themeFill="background1" w:themeFillShade="F2"/>
          </w:tcPr>
          <w:p w14:paraId="59ECC2C3" w14:textId="77777777" w:rsidR="003F278C" w:rsidRPr="002C5178" w:rsidRDefault="003F278C" w:rsidP="003F278C">
            <w:pPr>
              <w:pStyle w:val="BodyText"/>
              <w:ind w:left="57" w:right="57"/>
              <w:jc w:val="both"/>
              <w:rPr>
                <w:noProof/>
                <w:color w:val="000000"/>
                <w:szCs w:val="20"/>
              </w:rPr>
            </w:pPr>
          </w:p>
          <w:p w14:paraId="671C89CF" w14:textId="3650EEFA" w:rsidR="0021709F" w:rsidRPr="002C5178" w:rsidRDefault="0021709F" w:rsidP="003F278C">
            <w:pPr>
              <w:pStyle w:val="BodyText"/>
              <w:ind w:left="57" w:right="57"/>
              <w:jc w:val="both"/>
              <w:rPr>
                <w:noProof/>
                <w:color w:val="000000"/>
                <w:szCs w:val="20"/>
              </w:rPr>
            </w:pPr>
            <w:r w:rsidRPr="002C5178">
              <w:rPr>
                <w:color w:val="000000"/>
                <w:szCs w:val="20"/>
              </w:rPr>
              <w:t xml:space="preserve">Šajā </w:t>
            </w:r>
            <w:r w:rsidRPr="002C5178">
              <w:rPr>
                <w:i/>
                <w:iCs/>
                <w:color w:val="000000"/>
                <w:szCs w:val="20"/>
              </w:rPr>
              <w:t>OECD</w:t>
            </w:r>
            <w:r w:rsidRPr="002C5178">
              <w:rPr>
                <w:color w:val="000000"/>
                <w:szCs w:val="20"/>
              </w:rPr>
              <w:t xml:space="preserve"> ekonomikas politikas dokumentā ir sniegts ieskats no </w:t>
            </w:r>
            <w:r w:rsidRPr="002C5178">
              <w:rPr>
                <w:i/>
                <w:iCs/>
                <w:color w:val="000000"/>
                <w:szCs w:val="20"/>
              </w:rPr>
              <w:t>OECD</w:t>
            </w:r>
            <w:r w:rsidRPr="002C5178">
              <w:rPr>
                <w:color w:val="000000"/>
                <w:szCs w:val="20"/>
              </w:rPr>
              <w:t xml:space="preserve"> Pārvaldes līmeņu fiskālo attiecību tīkla paveiktā pētniecības darba pa valstīm apvienojumā ar valstu pieredzi, kas izriet no </w:t>
            </w:r>
            <w:r w:rsidRPr="002C5178">
              <w:rPr>
                <w:i/>
                <w:iCs/>
                <w:color w:val="000000"/>
                <w:szCs w:val="20"/>
              </w:rPr>
              <w:t>OECD</w:t>
            </w:r>
            <w:r w:rsidRPr="002C5178">
              <w:rPr>
                <w:color w:val="000000"/>
                <w:szCs w:val="20"/>
              </w:rPr>
              <w:t xml:space="preserve"> ekonomikas apsekojumiem. Tajā iekļautas nodaļas par fiskālo federālismu un politikas ieteikumi no Amerikas Savienoto Valstu, Austrālijas, Austrijas, Beļģijas, Brazīlijas, Čehijas Republikas, Dānijas, Francijas, Indijas, Indonēzijas, Itālijas, Japānas, Kanādas, Korejas, Meksikas, Nīderlandes, Norvēģijas, Somijas, Spānijas, Vācijas un Zviedrijas ekonomikas apsekojumiem. Empīriskie pētniecības dokumenti pa valstīm par fiskālo federālismu ir:</w:t>
            </w:r>
          </w:p>
          <w:p w14:paraId="09444BC7" w14:textId="77777777" w:rsidR="003F278C" w:rsidRPr="002C5178" w:rsidRDefault="003F278C" w:rsidP="003F278C">
            <w:pPr>
              <w:pStyle w:val="BodyText"/>
              <w:ind w:left="57" w:right="57"/>
              <w:jc w:val="both"/>
              <w:rPr>
                <w:noProof/>
                <w:color w:val="000000"/>
                <w:szCs w:val="20"/>
              </w:rPr>
            </w:pPr>
          </w:p>
          <w:p w14:paraId="4CDFC036" w14:textId="30D8620C" w:rsidR="0021709F" w:rsidRPr="002C5178" w:rsidRDefault="0021709F" w:rsidP="003F278C">
            <w:pPr>
              <w:ind w:left="57" w:right="57"/>
              <w:rPr>
                <w:noProof/>
                <w:color w:val="0000FF"/>
                <w:szCs w:val="20"/>
                <w:u w:val="single" w:color="0000FF"/>
              </w:rPr>
            </w:pPr>
            <w:r w:rsidRPr="002C5178">
              <w:rPr>
                <w:i/>
                <w:color w:val="000000"/>
                <w:szCs w:val="20"/>
              </w:rPr>
              <w:t>Fiscal Federalism Studies</w:t>
            </w:r>
            <w:r w:rsidRPr="002C5178">
              <w:rPr>
                <w:color w:val="000000"/>
                <w:szCs w:val="20"/>
              </w:rPr>
              <w:t xml:space="preserve"> un </w:t>
            </w:r>
            <w:r w:rsidRPr="002C5178">
              <w:rPr>
                <w:i/>
                <w:color w:val="000000"/>
                <w:szCs w:val="20"/>
              </w:rPr>
              <w:t>Working Papers on Fiscal Federalism</w:t>
            </w:r>
            <w:r w:rsidRPr="002C5178">
              <w:rPr>
                <w:color w:val="000000"/>
                <w:szCs w:val="20"/>
              </w:rPr>
              <w:t xml:space="preserve">, </w:t>
            </w:r>
            <w:r w:rsidRPr="002C5178">
              <w:rPr>
                <w:szCs w:val="20"/>
              </w:rPr>
              <w:t>http://oe.cd/fiscalnetwork.</w:t>
            </w:r>
          </w:p>
          <w:p w14:paraId="6EDA3C70" w14:textId="77777777" w:rsidR="003F278C" w:rsidRPr="002C5178" w:rsidRDefault="003F278C" w:rsidP="003F278C">
            <w:pPr>
              <w:ind w:left="57" w:right="57"/>
              <w:rPr>
                <w:noProof/>
                <w:color w:val="000000"/>
                <w:szCs w:val="20"/>
              </w:rPr>
            </w:pPr>
          </w:p>
          <w:p w14:paraId="3EDDB4AE" w14:textId="77777777" w:rsidR="0021709F" w:rsidRPr="002C5178" w:rsidRDefault="0021709F" w:rsidP="003F278C">
            <w:pPr>
              <w:pStyle w:val="BodyText"/>
              <w:ind w:left="57" w:right="57"/>
              <w:jc w:val="both"/>
              <w:rPr>
                <w:noProof/>
                <w:color w:val="000000"/>
                <w:szCs w:val="20"/>
              </w:rPr>
            </w:pPr>
            <w:r w:rsidRPr="002C5178">
              <w:rPr>
                <w:color w:val="000000"/>
                <w:szCs w:val="20"/>
              </w:rPr>
              <w:t>Šo darbu veica Šons Dohertijs un Kass Formens, pamatojoties uz Hansjērga Blēhligera iepriekš veikto ieguldījumu. Dokumenta sagatavošanā izmantotas Fiskālo attiecību tīkla pārstāvju sniegtās piezīmes un ieteikumi. Autori it īpaši vēlas pateikties Luisam de Mello, Pīteram Helleram [</w:t>
            </w:r>
            <w:r w:rsidRPr="002C5178">
              <w:rPr>
                <w:i/>
                <w:iCs/>
                <w:color w:val="000000"/>
                <w:szCs w:val="20"/>
              </w:rPr>
              <w:t>Peter Hoeller</w:t>
            </w:r>
            <w:r w:rsidRPr="002C5178">
              <w:rPr>
                <w:color w:val="000000"/>
                <w:szCs w:val="20"/>
              </w:rPr>
              <w:t>], Dorotejai Alēnai-Diprē [</w:t>
            </w:r>
            <w:r w:rsidRPr="002C5178">
              <w:rPr>
                <w:i/>
                <w:iCs/>
                <w:color w:val="000000"/>
                <w:szCs w:val="20"/>
              </w:rPr>
              <w:t>Dorothée Allain-Dupré</w:t>
            </w:r>
            <w:r w:rsidRPr="002C5178">
              <w:rPr>
                <w:color w:val="000000"/>
                <w:szCs w:val="20"/>
              </w:rPr>
              <w:t>], kā arī Beļģijas un Norvēģijas pārstāvjiem, kas darbojas šajā tīklā. Tie izsaka pateicību arī Sīlijai Rutkoskai [</w:t>
            </w:r>
            <w:r w:rsidRPr="002C5178">
              <w:rPr>
                <w:i/>
                <w:iCs/>
                <w:color w:val="000000"/>
                <w:szCs w:val="20"/>
              </w:rPr>
              <w:t>Celia Rutkoski</w:t>
            </w:r>
            <w:r w:rsidRPr="002C5178">
              <w:rPr>
                <w:color w:val="000000"/>
                <w:szCs w:val="20"/>
              </w:rPr>
              <w:t>] par palīdzību redaktora darbā un Kristoferam Lomaksam [</w:t>
            </w:r>
            <w:r w:rsidRPr="002C5178">
              <w:rPr>
                <w:i/>
                <w:iCs/>
                <w:color w:val="000000"/>
                <w:szCs w:val="20"/>
              </w:rPr>
              <w:t>Christopher Lomax</w:t>
            </w:r>
            <w:r w:rsidRPr="002C5178">
              <w:rPr>
                <w:color w:val="000000"/>
                <w:szCs w:val="20"/>
              </w:rPr>
              <w:t>] par tehnisko atbalstu.</w:t>
            </w:r>
          </w:p>
          <w:p w14:paraId="7FD3252D" w14:textId="77777777" w:rsidR="0021709F" w:rsidRPr="002C5178" w:rsidRDefault="0021709F" w:rsidP="003F278C">
            <w:pPr>
              <w:pStyle w:val="BodyText"/>
              <w:ind w:left="57" w:right="57"/>
              <w:rPr>
                <w:i/>
                <w:noProof/>
                <w:szCs w:val="20"/>
              </w:rPr>
            </w:pPr>
          </w:p>
        </w:tc>
      </w:tr>
    </w:tbl>
    <w:p w14:paraId="6109C591" w14:textId="77777777" w:rsidR="0021709F" w:rsidRDefault="0021709F" w:rsidP="00C85C26">
      <w:pPr>
        <w:pStyle w:val="BodyText"/>
        <w:rPr>
          <w:i/>
          <w:noProof/>
          <w:sz w:val="13"/>
        </w:rPr>
      </w:pPr>
    </w:p>
    <w:p w14:paraId="7F06799B" w14:textId="77777777" w:rsidR="0021709F" w:rsidRDefault="0021709F" w:rsidP="00C85C26">
      <w:pPr>
        <w:pStyle w:val="BodyText"/>
        <w:rPr>
          <w:i/>
          <w:noProof/>
          <w:sz w:val="13"/>
        </w:rPr>
      </w:pPr>
    </w:p>
    <w:p w14:paraId="01BFCB14" w14:textId="77777777" w:rsidR="003F278C" w:rsidRDefault="003F278C">
      <w:pPr>
        <w:rPr>
          <w:i/>
          <w:iCs/>
          <w:noProof/>
          <w:color w:val="4E81BC"/>
          <w:sz w:val="32"/>
          <w:szCs w:val="32"/>
        </w:rPr>
      </w:pPr>
      <w:r>
        <w:br w:type="page"/>
      </w:r>
    </w:p>
    <w:p w14:paraId="54EAB2F1" w14:textId="72AA13A0" w:rsidR="00C37DE1" w:rsidRDefault="00C37DE1" w:rsidP="00C85C26">
      <w:pPr>
        <w:pStyle w:val="Heading2"/>
        <w:spacing w:before="0"/>
        <w:ind w:left="0"/>
        <w:rPr>
          <w:color w:val="4E81BC"/>
        </w:rPr>
      </w:pPr>
      <w:bookmarkStart w:id="2" w:name="_Toc211859090"/>
      <w:bookmarkStart w:id="3" w:name="_Toc211859559"/>
      <w:r>
        <w:rPr>
          <w:color w:val="4E81BC"/>
        </w:rPr>
        <w:lastRenderedPageBreak/>
        <w:t>Saturs</w:t>
      </w:r>
      <w:bookmarkEnd w:id="2"/>
      <w:bookmarkEnd w:id="3"/>
    </w:p>
    <w:p w14:paraId="2DDEEE63" w14:textId="77777777" w:rsidR="006120C5" w:rsidRPr="00C85C26" w:rsidRDefault="006120C5" w:rsidP="00C85C26">
      <w:pPr>
        <w:pStyle w:val="Heading2"/>
        <w:spacing w:before="0"/>
        <w:ind w:left="0"/>
        <w:rPr>
          <w:noProof/>
          <w:color w:val="4E81BC"/>
        </w:rPr>
      </w:pPr>
    </w:p>
    <w:p w14:paraId="475301E3" w14:textId="388668F4" w:rsidR="00870DA2" w:rsidRPr="00524935" w:rsidRDefault="003E0F48" w:rsidP="00FA36E3">
      <w:pPr>
        <w:pStyle w:val="TOC1"/>
        <w:tabs>
          <w:tab w:val="right" w:leader="dot" w:pos="9065"/>
        </w:tabs>
        <w:spacing w:before="60"/>
        <w:rPr>
          <w:rFonts w:asciiTheme="minorHAnsi" w:eastAsiaTheme="minorEastAsia" w:hAnsiTheme="minorHAnsi" w:cstheme="minorBidi"/>
          <w:b w:val="0"/>
          <w:bCs w:val="0"/>
          <w:noProof/>
          <w:kern w:val="2"/>
          <w:lang w:val="en-GB" w:eastAsia="en-GB"/>
          <w14:ligatures w14:val="standardContextual"/>
        </w:rPr>
      </w:pPr>
      <w:r w:rsidRPr="00524935">
        <w:rPr>
          <w:iCs/>
          <w:noProof/>
        </w:rPr>
        <w:t>Labas prakses piemēru</w:t>
      </w:r>
      <w:r w:rsidRPr="00524935">
        <w:rPr>
          <w:i/>
          <w:noProof/>
        </w:rPr>
        <w:t xml:space="preserve"> </w:t>
      </w:r>
      <w:r w:rsidRPr="00524935">
        <w:rPr>
          <w:iCs/>
          <w:noProof/>
        </w:rPr>
        <w:t>sintēze fiskālā federālisma jomā</w:t>
      </w:r>
      <w:r w:rsidR="00870DA2" w:rsidRPr="00524935">
        <w:rPr>
          <w:i/>
          <w:noProof/>
        </w:rPr>
        <w:fldChar w:fldCharType="begin"/>
      </w:r>
      <w:r w:rsidR="00870DA2" w:rsidRPr="00524935">
        <w:rPr>
          <w:i/>
          <w:noProof/>
        </w:rPr>
        <w:instrText xml:space="preserve"> TOC \o "1-5" \p " " \h \z \u </w:instrText>
      </w:r>
      <w:r w:rsidR="00870DA2" w:rsidRPr="00524935">
        <w:rPr>
          <w:i/>
          <w:noProof/>
        </w:rPr>
        <w:fldChar w:fldCharType="separate"/>
      </w:r>
      <w:hyperlink w:anchor="_Toc211859089" w:history="1">
        <w:r w:rsidR="00870DA2" w:rsidRPr="00524935">
          <w:rPr>
            <w:noProof/>
            <w:webHidden/>
          </w:rPr>
          <w:tab/>
        </w:r>
        <w:r w:rsidR="006120C5">
          <w:rPr>
            <w:noProof/>
            <w:webHidden/>
          </w:rPr>
          <w:t>8</w:t>
        </w:r>
      </w:hyperlink>
    </w:p>
    <w:p w14:paraId="4E268CF3" w14:textId="6DBC9983" w:rsidR="00870DA2" w:rsidRPr="00524935" w:rsidRDefault="00870DA2" w:rsidP="00FA36E3">
      <w:pPr>
        <w:pStyle w:val="TOC4"/>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096" w:history="1">
        <w:r w:rsidRPr="00524935">
          <w:rPr>
            <w:rStyle w:val="Hyperlink"/>
            <w:noProof/>
            <w:sz w:val="24"/>
            <w:szCs w:val="24"/>
          </w:rPr>
          <w:t>1. Ievads</w:t>
        </w:r>
        <w:r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_Toc211859096 \h </w:instrText>
        </w:r>
        <w:r w:rsidRPr="00524935">
          <w:rPr>
            <w:noProof/>
            <w:webHidden/>
            <w:sz w:val="24"/>
            <w:szCs w:val="24"/>
          </w:rPr>
        </w:r>
        <w:r w:rsidRPr="00524935">
          <w:rPr>
            <w:noProof/>
            <w:webHidden/>
            <w:sz w:val="24"/>
            <w:szCs w:val="24"/>
          </w:rPr>
          <w:fldChar w:fldCharType="separate"/>
        </w:r>
        <w:r w:rsidR="00207711">
          <w:rPr>
            <w:noProof/>
            <w:webHidden/>
            <w:sz w:val="24"/>
            <w:szCs w:val="24"/>
          </w:rPr>
          <w:t>8</w:t>
        </w:r>
        <w:r w:rsidRPr="00524935">
          <w:rPr>
            <w:noProof/>
            <w:webHidden/>
            <w:sz w:val="24"/>
            <w:szCs w:val="24"/>
          </w:rPr>
          <w:fldChar w:fldCharType="end"/>
        </w:r>
      </w:hyperlink>
    </w:p>
    <w:p w14:paraId="37FA2F41" w14:textId="58CFD41E"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097" w:history="1">
        <w:r w:rsidRPr="00524935">
          <w:rPr>
            <w:rStyle w:val="Hyperlink"/>
            <w:noProof/>
            <w:sz w:val="24"/>
            <w:szCs w:val="24"/>
          </w:rPr>
          <w:t>1.1.Fiskālās decentralizācijas politika. OECD valstu apsekojumu meta analīze</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_Toc211859097 \h </w:instrText>
        </w:r>
        <w:r w:rsidRPr="00524935">
          <w:rPr>
            <w:noProof/>
            <w:webHidden/>
            <w:sz w:val="24"/>
            <w:szCs w:val="24"/>
          </w:rPr>
        </w:r>
        <w:r w:rsidRPr="00524935">
          <w:rPr>
            <w:noProof/>
            <w:webHidden/>
            <w:sz w:val="24"/>
            <w:szCs w:val="24"/>
          </w:rPr>
          <w:fldChar w:fldCharType="separate"/>
        </w:r>
        <w:r w:rsidR="00207711">
          <w:rPr>
            <w:noProof/>
            <w:webHidden/>
            <w:sz w:val="24"/>
            <w:szCs w:val="24"/>
          </w:rPr>
          <w:t>8</w:t>
        </w:r>
        <w:r w:rsidRPr="00524935">
          <w:rPr>
            <w:noProof/>
            <w:webHidden/>
            <w:sz w:val="24"/>
            <w:szCs w:val="24"/>
          </w:rPr>
          <w:fldChar w:fldCharType="end"/>
        </w:r>
      </w:hyperlink>
    </w:p>
    <w:p w14:paraId="13F39673" w14:textId="5D22EEB5" w:rsidR="00870DA2" w:rsidRPr="00524935" w:rsidRDefault="00870DA2" w:rsidP="00FA36E3">
      <w:pPr>
        <w:pStyle w:val="TOC4"/>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098" w:history="1">
        <w:r w:rsidRPr="00524935">
          <w:rPr>
            <w:rStyle w:val="Hyperlink"/>
            <w:noProof/>
            <w:sz w:val="24"/>
            <w:szCs w:val="24"/>
          </w:rPr>
          <w:t xml:space="preserve">2. Aktuāla informācija par fiskālo decentralizāciju </w:t>
        </w:r>
        <w:r w:rsidRPr="00524935">
          <w:rPr>
            <w:rStyle w:val="Hyperlink"/>
            <w:i/>
            <w:iCs/>
            <w:noProof/>
            <w:sz w:val="24"/>
            <w:szCs w:val="24"/>
          </w:rPr>
          <w:t>OECD</w:t>
        </w:r>
        <w:r w:rsidRPr="00524935">
          <w:rPr>
            <w:rStyle w:val="Hyperlink"/>
            <w:noProof/>
            <w:sz w:val="24"/>
            <w:szCs w:val="24"/>
          </w:rPr>
          <w:t xml:space="preserve"> valstīs</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_Toc211859098 \h </w:instrText>
        </w:r>
        <w:r w:rsidRPr="00524935">
          <w:rPr>
            <w:noProof/>
            <w:webHidden/>
            <w:sz w:val="24"/>
            <w:szCs w:val="24"/>
          </w:rPr>
        </w:r>
        <w:r w:rsidRPr="00524935">
          <w:rPr>
            <w:noProof/>
            <w:webHidden/>
            <w:sz w:val="24"/>
            <w:szCs w:val="24"/>
          </w:rPr>
          <w:fldChar w:fldCharType="separate"/>
        </w:r>
        <w:r w:rsidR="00207711">
          <w:rPr>
            <w:noProof/>
            <w:webHidden/>
            <w:sz w:val="24"/>
            <w:szCs w:val="24"/>
          </w:rPr>
          <w:t>10</w:t>
        </w:r>
        <w:r w:rsidRPr="00524935">
          <w:rPr>
            <w:noProof/>
            <w:webHidden/>
            <w:sz w:val="24"/>
            <w:szCs w:val="24"/>
          </w:rPr>
          <w:fldChar w:fldCharType="end"/>
        </w:r>
      </w:hyperlink>
    </w:p>
    <w:p w14:paraId="02DF7859" w14:textId="64182802"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099" w:history="1">
        <w:r w:rsidRPr="00524935">
          <w:rPr>
            <w:rStyle w:val="Hyperlink"/>
            <w:noProof/>
            <w:sz w:val="24"/>
            <w:szCs w:val="24"/>
          </w:rPr>
          <w:t>2.1. Kas ir fiskālā decentralizācija?</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_Toc211859099 \h </w:instrText>
        </w:r>
        <w:r w:rsidRPr="00524935">
          <w:rPr>
            <w:noProof/>
            <w:webHidden/>
            <w:sz w:val="24"/>
            <w:szCs w:val="24"/>
          </w:rPr>
        </w:r>
        <w:r w:rsidRPr="00524935">
          <w:rPr>
            <w:noProof/>
            <w:webHidden/>
            <w:sz w:val="24"/>
            <w:szCs w:val="24"/>
          </w:rPr>
          <w:fldChar w:fldCharType="separate"/>
        </w:r>
        <w:r w:rsidR="00207711">
          <w:rPr>
            <w:noProof/>
            <w:webHidden/>
            <w:sz w:val="24"/>
            <w:szCs w:val="24"/>
          </w:rPr>
          <w:t>10</w:t>
        </w:r>
        <w:r w:rsidRPr="00524935">
          <w:rPr>
            <w:noProof/>
            <w:webHidden/>
            <w:sz w:val="24"/>
            <w:szCs w:val="24"/>
          </w:rPr>
          <w:fldChar w:fldCharType="end"/>
        </w:r>
      </w:hyperlink>
    </w:p>
    <w:p w14:paraId="52189525" w14:textId="2B738FA7"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0" w:history="1">
        <w:r w:rsidRPr="00524935">
          <w:rPr>
            <w:rStyle w:val="Hyperlink"/>
            <w:noProof/>
            <w:sz w:val="24"/>
            <w:szCs w:val="24"/>
          </w:rPr>
          <w:t>2.2. Fiskālā decentralizācija. No 1990. gadiem līdz šodienai</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_Toc211859100 \h </w:instrText>
        </w:r>
        <w:r w:rsidRPr="00524935">
          <w:rPr>
            <w:noProof/>
            <w:webHidden/>
            <w:sz w:val="24"/>
            <w:szCs w:val="24"/>
          </w:rPr>
        </w:r>
        <w:r w:rsidRPr="00524935">
          <w:rPr>
            <w:noProof/>
            <w:webHidden/>
            <w:sz w:val="24"/>
            <w:szCs w:val="24"/>
          </w:rPr>
          <w:fldChar w:fldCharType="separate"/>
        </w:r>
        <w:r w:rsidR="00207711">
          <w:rPr>
            <w:noProof/>
            <w:webHidden/>
            <w:sz w:val="24"/>
            <w:szCs w:val="24"/>
          </w:rPr>
          <w:t>11</w:t>
        </w:r>
        <w:r w:rsidRPr="00524935">
          <w:rPr>
            <w:noProof/>
            <w:webHidden/>
            <w:sz w:val="24"/>
            <w:szCs w:val="24"/>
          </w:rPr>
          <w:fldChar w:fldCharType="end"/>
        </w:r>
      </w:hyperlink>
    </w:p>
    <w:p w14:paraId="141E89BC" w14:textId="35BEBBEB"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1" w:history="1">
        <w:r w:rsidRPr="00524935">
          <w:rPr>
            <w:rStyle w:val="Hyperlink"/>
            <w:noProof/>
            <w:sz w:val="24"/>
            <w:szCs w:val="24"/>
          </w:rPr>
          <w:t>2.3. Fiskālās decentralizācijas kompromisi</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_Toc211859101 \h </w:instrText>
        </w:r>
        <w:r w:rsidRPr="00524935">
          <w:rPr>
            <w:noProof/>
            <w:webHidden/>
            <w:sz w:val="24"/>
            <w:szCs w:val="24"/>
          </w:rPr>
        </w:r>
        <w:r w:rsidRPr="00524935">
          <w:rPr>
            <w:noProof/>
            <w:webHidden/>
            <w:sz w:val="24"/>
            <w:szCs w:val="24"/>
          </w:rPr>
          <w:fldChar w:fldCharType="separate"/>
        </w:r>
        <w:r w:rsidR="00207711">
          <w:rPr>
            <w:noProof/>
            <w:webHidden/>
            <w:sz w:val="24"/>
            <w:szCs w:val="24"/>
          </w:rPr>
          <w:t>12</w:t>
        </w:r>
        <w:r w:rsidRPr="00524935">
          <w:rPr>
            <w:noProof/>
            <w:webHidden/>
            <w:sz w:val="24"/>
            <w:szCs w:val="24"/>
          </w:rPr>
          <w:fldChar w:fldCharType="end"/>
        </w:r>
      </w:hyperlink>
    </w:p>
    <w:p w14:paraId="72969AE1" w14:textId="23DB8092"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2" w:history="1">
        <w:r w:rsidRPr="00524935">
          <w:rPr>
            <w:rStyle w:val="Hyperlink"/>
            <w:noProof/>
            <w:sz w:val="24"/>
            <w:szCs w:val="24"/>
          </w:rPr>
          <w:t>2.4. Empīriski novērojumi par fiskālo decentralizāciju</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_Toc211859102 \h </w:instrText>
        </w:r>
        <w:r w:rsidRPr="00524935">
          <w:rPr>
            <w:noProof/>
            <w:webHidden/>
            <w:sz w:val="24"/>
            <w:szCs w:val="24"/>
          </w:rPr>
        </w:r>
        <w:r w:rsidRPr="00524935">
          <w:rPr>
            <w:noProof/>
            <w:webHidden/>
            <w:sz w:val="24"/>
            <w:szCs w:val="24"/>
          </w:rPr>
          <w:fldChar w:fldCharType="separate"/>
        </w:r>
        <w:r w:rsidR="00207711">
          <w:rPr>
            <w:noProof/>
            <w:webHidden/>
            <w:sz w:val="24"/>
            <w:szCs w:val="24"/>
          </w:rPr>
          <w:t>13</w:t>
        </w:r>
        <w:r w:rsidRPr="00524935">
          <w:rPr>
            <w:noProof/>
            <w:webHidden/>
            <w:sz w:val="24"/>
            <w:szCs w:val="24"/>
          </w:rPr>
          <w:fldChar w:fldCharType="end"/>
        </w:r>
      </w:hyperlink>
    </w:p>
    <w:p w14:paraId="16C0A2AD" w14:textId="4F62C7E6"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3" w:history="1">
        <w:r w:rsidRPr="00524935">
          <w:rPr>
            <w:rStyle w:val="Hyperlink"/>
            <w:noProof/>
            <w:sz w:val="24"/>
            <w:szCs w:val="24"/>
          </w:rPr>
          <w:t>2.4.1. Decentralizācija un izaugsme</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_Toc211859103 \h </w:instrText>
        </w:r>
        <w:r w:rsidRPr="00524935">
          <w:rPr>
            <w:noProof/>
            <w:webHidden/>
            <w:sz w:val="24"/>
            <w:szCs w:val="24"/>
          </w:rPr>
        </w:r>
        <w:r w:rsidRPr="00524935">
          <w:rPr>
            <w:noProof/>
            <w:webHidden/>
            <w:sz w:val="24"/>
            <w:szCs w:val="24"/>
          </w:rPr>
          <w:fldChar w:fldCharType="separate"/>
        </w:r>
        <w:r w:rsidR="00207711">
          <w:rPr>
            <w:noProof/>
            <w:webHidden/>
            <w:sz w:val="24"/>
            <w:szCs w:val="24"/>
          </w:rPr>
          <w:t>13</w:t>
        </w:r>
        <w:r w:rsidRPr="00524935">
          <w:rPr>
            <w:noProof/>
            <w:webHidden/>
            <w:sz w:val="24"/>
            <w:szCs w:val="24"/>
          </w:rPr>
          <w:fldChar w:fldCharType="end"/>
        </w:r>
      </w:hyperlink>
    </w:p>
    <w:p w14:paraId="772D80EA" w14:textId="3B75643E"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4" w:history="1">
        <w:r w:rsidRPr="00524935">
          <w:rPr>
            <w:rStyle w:val="Hyperlink"/>
            <w:noProof/>
            <w:sz w:val="24"/>
            <w:szCs w:val="24"/>
          </w:rPr>
          <w:t>2.4.2. Decentralizācija un nevienlīdzība</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_Toc211859104 \h </w:instrText>
        </w:r>
        <w:r w:rsidRPr="00524935">
          <w:rPr>
            <w:noProof/>
            <w:webHidden/>
            <w:sz w:val="24"/>
            <w:szCs w:val="24"/>
          </w:rPr>
        </w:r>
        <w:r w:rsidRPr="00524935">
          <w:rPr>
            <w:noProof/>
            <w:webHidden/>
            <w:sz w:val="24"/>
            <w:szCs w:val="24"/>
          </w:rPr>
          <w:fldChar w:fldCharType="separate"/>
        </w:r>
        <w:r w:rsidR="00207711">
          <w:rPr>
            <w:noProof/>
            <w:webHidden/>
            <w:sz w:val="24"/>
            <w:szCs w:val="24"/>
          </w:rPr>
          <w:t>13</w:t>
        </w:r>
        <w:r w:rsidRPr="00524935">
          <w:rPr>
            <w:noProof/>
            <w:webHidden/>
            <w:sz w:val="24"/>
            <w:szCs w:val="24"/>
          </w:rPr>
          <w:fldChar w:fldCharType="end"/>
        </w:r>
      </w:hyperlink>
    </w:p>
    <w:p w14:paraId="27B78872" w14:textId="32B3CB7E"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5" w:history="1">
        <w:r w:rsidRPr="00524935">
          <w:rPr>
            <w:rStyle w:val="Hyperlink"/>
            <w:noProof/>
            <w:sz w:val="24"/>
            <w:szCs w:val="24"/>
          </w:rPr>
          <w:t>2.4.3. Decentralizācija, sabiedriskie pakalpojumi un sociālais kapitāls</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_Toc211859105 \h </w:instrText>
        </w:r>
        <w:r w:rsidRPr="00524935">
          <w:rPr>
            <w:noProof/>
            <w:webHidden/>
            <w:sz w:val="24"/>
            <w:szCs w:val="24"/>
          </w:rPr>
        </w:r>
        <w:r w:rsidRPr="00524935">
          <w:rPr>
            <w:noProof/>
            <w:webHidden/>
            <w:sz w:val="24"/>
            <w:szCs w:val="24"/>
          </w:rPr>
          <w:fldChar w:fldCharType="separate"/>
        </w:r>
        <w:r w:rsidR="00207711">
          <w:rPr>
            <w:noProof/>
            <w:webHidden/>
            <w:sz w:val="24"/>
            <w:szCs w:val="24"/>
          </w:rPr>
          <w:t>14</w:t>
        </w:r>
        <w:r w:rsidRPr="00524935">
          <w:rPr>
            <w:noProof/>
            <w:webHidden/>
            <w:sz w:val="24"/>
            <w:szCs w:val="24"/>
          </w:rPr>
          <w:fldChar w:fldCharType="end"/>
        </w:r>
      </w:hyperlink>
    </w:p>
    <w:p w14:paraId="46FA4592" w14:textId="28F01351" w:rsidR="00870DA2" w:rsidRPr="00524935" w:rsidRDefault="00870DA2" w:rsidP="00FA36E3">
      <w:pPr>
        <w:pStyle w:val="TOC4"/>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6" w:history="1">
        <w:r w:rsidRPr="00524935">
          <w:rPr>
            <w:rStyle w:val="Hyperlink"/>
            <w:noProof/>
            <w:sz w:val="24"/>
            <w:szCs w:val="24"/>
          </w:rPr>
          <w:t>3. Pašvaldību fiskālās autonomijas uzlabošana</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_Toc211859106 \h </w:instrText>
        </w:r>
        <w:r w:rsidRPr="00524935">
          <w:rPr>
            <w:noProof/>
            <w:webHidden/>
            <w:sz w:val="24"/>
            <w:szCs w:val="24"/>
          </w:rPr>
        </w:r>
        <w:r w:rsidRPr="00524935">
          <w:rPr>
            <w:noProof/>
            <w:webHidden/>
            <w:sz w:val="24"/>
            <w:szCs w:val="24"/>
          </w:rPr>
          <w:fldChar w:fldCharType="separate"/>
        </w:r>
        <w:r w:rsidR="00207711">
          <w:rPr>
            <w:noProof/>
            <w:webHidden/>
            <w:sz w:val="24"/>
            <w:szCs w:val="24"/>
          </w:rPr>
          <w:t>15</w:t>
        </w:r>
        <w:r w:rsidRPr="00524935">
          <w:rPr>
            <w:noProof/>
            <w:webHidden/>
            <w:sz w:val="24"/>
            <w:szCs w:val="24"/>
          </w:rPr>
          <w:fldChar w:fldCharType="end"/>
        </w:r>
      </w:hyperlink>
    </w:p>
    <w:p w14:paraId="0A4BC8CF" w14:textId="36A0E900" w:rsidR="00870DA2" w:rsidRPr="00524935" w:rsidRDefault="00870DA2" w:rsidP="00FA36E3">
      <w:pPr>
        <w:pStyle w:val="TOC5"/>
        <w:tabs>
          <w:tab w:val="right" w:leader="dot" w:pos="9065"/>
        </w:tabs>
        <w:spacing w:before="60"/>
        <w:ind w:left="1157" w:hanging="221"/>
        <w:rPr>
          <w:rFonts w:asciiTheme="minorHAnsi" w:eastAsiaTheme="minorEastAsia" w:hAnsiTheme="minorHAnsi" w:cstheme="minorBidi"/>
          <w:noProof/>
          <w:kern w:val="2"/>
          <w:sz w:val="24"/>
          <w:szCs w:val="24"/>
          <w:lang w:val="en-GB" w:eastAsia="en-GB"/>
          <w14:ligatures w14:val="standardContextual"/>
        </w:rPr>
      </w:pPr>
      <w:hyperlink w:anchor="_Toc211859107" w:history="1">
        <w:r w:rsidRPr="00524935">
          <w:rPr>
            <w:rStyle w:val="Hyperlink"/>
            <w:noProof/>
            <w:sz w:val="24"/>
            <w:szCs w:val="24"/>
          </w:rPr>
          <w:t>3.1. Pašvaldību fiskālā autonomija. Pielāgošanās vietējām preferencēm, vienlaikus stimulējot konkurenci, konverģenci un investīcijas</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_Toc211859107 \h </w:instrText>
        </w:r>
        <w:r w:rsidRPr="00524935">
          <w:rPr>
            <w:noProof/>
            <w:webHidden/>
            <w:sz w:val="24"/>
            <w:szCs w:val="24"/>
          </w:rPr>
        </w:r>
        <w:r w:rsidRPr="00524935">
          <w:rPr>
            <w:noProof/>
            <w:webHidden/>
            <w:sz w:val="24"/>
            <w:szCs w:val="24"/>
          </w:rPr>
          <w:fldChar w:fldCharType="separate"/>
        </w:r>
        <w:r w:rsidR="00207711">
          <w:rPr>
            <w:noProof/>
            <w:webHidden/>
            <w:sz w:val="24"/>
            <w:szCs w:val="24"/>
          </w:rPr>
          <w:t>17</w:t>
        </w:r>
        <w:r w:rsidRPr="00524935">
          <w:rPr>
            <w:noProof/>
            <w:webHidden/>
            <w:sz w:val="24"/>
            <w:szCs w:val="24"/>
          </w:rPr>
          <w:fldChar w:fldCharType="end"/>
        </w:r>
      </w:hyperlink>
    </w:p>
    <w:p w14:paraId="18636DB7" w14:textId="5B4AB3BB"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8" w:history="1">
        <w:r w:rsidRPr="00524935">
          <w:rPr>
            <w:rStyle w:val="Hyperlink"/>
            <w:noProof/>
            <w:sz w:val="24"/>
            <w:szCs w:val="24"/>
          </w:rPr>
          <w:t>3.2. Mērķfinansējumu un pārskaitījumu nozīme</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_Toc211859108 \h </w:instrText>
        </w:r>
        <w:r w:rsidRPr="00524935">
          <w:rPr>
            <w:noProof/>
            <w:webHidden/>
            <w:sz w:val="24"/>
            <w:szCs w:val="24"/>
          </w:rPr>
        </w:r>
        <w:r w:rsidRPr="00524935">
          <w:rPr>
            <w:noProof/>
            <w:webHidden/>
            <w:sz w:val="24"/>
            <w:szCs w:val="24"/>
          </w:rPr>
          <w:fldChar w:fldCharType="separate"/>
        </w:r>
        <w:r w:rsidR="00207711">
          <w:rPr>
            <w:noProof/>
            <w:webHidden/>
            <w:sz w:val="24"/>
            <w:szCs w:val="24"/>
          </w:rPr>
          <w:t>18</w:t>
        </w:r>
        <w:r w:rsidRPr="00524935">
          <w:rPr>
            <w:noProof/>
            <w:webHidden/>
            <w:sz w:val="24"/>
            <w:szCs w:val="24"/>
          </w:rPr>
          <w:fldChar w:fldCharType="end"/>
        </w:r>
      </w:hyperlink>
    </w:p>
    <w:p w14:paraId="3974C804" w14:textId="6A10956E"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09" w:history="1">
        <w:r w:rsidRPr="00524935">
          <w:rPr>
            <w:rStyle w:val="Hyperlink"/>
            <w:noProof/>
            <w:sz w:val="24"/>
            <w:szCs w:val="24"/>
          </w:rPr>
          <w:t>3.3. Vadlīnijas, kas izriet no valstu apsekojumiem</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_Toc211859109 \h </w:instrText>
        </w:r>
        <w:r w:rsidRPr="00524935">
          <w:rPr>
            <w:noProof/>
            <w:webHidden/>
            <w:sz w:val="24"/>
            <w:szCs w:val="24"/>
          </w:rPr>
        </w:r>
        <w:r w:rsidRPr="00524935">
          <w:rPr>
            <w:noProof/>
            <w:webHidden/>
            <w:sz w:val="24"/>
            <w:szCs w:val="24"/>
          </w:rPr>
          <w:fldChar w:fldCharType="separate"/>
        </w:r>
        <w:r w:rsidR="00207711">
          <w:rPr>
            <w:noProof/>
            <w:webHidden/>
            <w:sz w:val="24"/>
            <w:szCs w:val="24"/>
          </w:rPr>
          <w:t>20</w:t>
        </w:r>
        <w:r w:rsidRPr="00524935">
          <w:rPr>
            <w:noProof/>
            <w:webHidden/>
            <w:sz w:val="24"/>
            <w:szCs w:val="24"/>
          </w:rPr>
          <w:fldChar w:fldCharType="end"/>
        </w:r>
      </w:hyperlink>
    </w:p>
    <w:p w14:paraId="502A26AE" w14:textId="00579E10"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0" w:history="1">
        <w:r w:rsidRPr="00524935">
          <w:rPr>
            <w:rStyle w:val="Hyperlink"/>
            <w:noProof/>
            <w:sz w:val="24"/>
            <w:szCs w:val="24"/>
          </w:rPr>
          <w:t>3.3.1. Ieņēmumu no pašu avotiem stiprināšana</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_Toc211859110 \h </w:instrText>
        </w:r>
        <w:r w:rsidRPr="00524935">
          <w:rPr>
            <w:noProof/>
            <w:webHidden/>
            <w:sz w:val="24"/>
            <w:szCs w:val="24"/>
          </w:rPr>
        </w:r>
        <w:r w:rsidRPr="00524935">
          <w:rPr>
            <w:noProof/>
            <w:webHidden/>
            <w:sz w:val="24"/>
            <w:szCs w:val="24"/>
          </w:rPr>
          <w:fldChar w:fldCharType="separate"/>
        </w:r>
        <w:r w:rsidR="00207711">
          <w:rPr>
            <w:noProof/>
            <w:webHidden/>
            <w:sz w:val="24"/>
            <w:szCs w:val="24"/>
          </w:rPr>
          <w:t>20</w:t>
        </w:r>
        <w:r w:rsidRPr="00524935">
          <w:rPr>
            <w:noProof/>
            <w:webHidden/>
            <w:sz w:val="24"/>
            <w:szCs w:val="24"/>
          </w:rPr>
          <w:fldChar w:fldCharType="end"/>
        </w:r>
      </w:hyperlink>
    </w:p>
    <w:p w14:paraId="7C1ACA42" w14:textId="017C256D"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1" w:history="1">
        <w:r w:rsidRPr="00524935">
          <w:rPr>
            <w:rStyle w:val="Hyperlink"/>
            <w:noProof/>
            <w:sz w:val="24"/>
            <w:szCs w:val="24"/>
          </w:rPr>
          <w:t>3.3.2. Nekustamā īpašuma nodokļi</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_Toc211859111 \h </w:instrText>
        </w:r>
        <w:r w:rsidRPr="00524935">
          <w:rPr>
            <w:noProof/>
            <w:webHidden/>
            <w:sz w:val="24"/>
            <w:szCs w:val="24"/>
          </w:rPr>
        </w:r>
        <w:r w:rsidRPr="00524935">
          <w:rPr>
            <w:noProof/>
            <w:webHidden/>
            <w:sz w:val="24"/>
            <w:szCs w:val="24"/>
          </w:rPr>
          <w:fldChar w:fldCharType="separate"/>
        </w:r>
        <w:r w:rsidR="00207711">
          <w:rPr>
            <w:noProof/>
            <w:webHidden/>
            <w:sz w:val="24"/>
            <w:szCs w:val="24"/>
          </w:rPr>
          <w:t>21</w:t>
        </w:r>
        <w:r w:rsidRPr="00524935">
          <w:rPr>
            <w:noProof/>
            <w:webHidden/>
            <w:sz w:val="24"/>
            <w:szCs w:val="24"/>
          </w:rPr>
          <w:fldChar w:fldCharType="end"/>
        </w:r>
      </w:hyperlink>
    </w:p>
    <w:p w14:paraId="2ACE3925" w14:textId="2FDBC6AA" w:rsidR="00870DA2" w:rsidRPr="00524935" w:rsidRDefault="00870DA2" w:rsidP="00FA36E3">
      <w:pPr>
        <w:pStyle w:val="TOC4"/>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2" w:history="1">
        <w:r w:rsidRPr="00524935">
          <w:rPr>
            <w:rStyle w:val="Hyperlink"/>
            <w:noProof/>
            <w:sz w:val="24"/>
            <w:szCs w:val="24"/>
          </w:rPr>
          <w:t>4. Robežu noteikšana, sadrumstalotība un piešķiršana</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_Toc211859112 \h </w:instrText>
        </w:r>
        <w:r w:rsidRPr="00524935">
          <w:rPr>
            <w:noProof/>
            <w:webHidden/>
            <w:sz w:val="24"/>
            <w:szCs w:val="24"/>
          </w:rPr>
        </w:r>
        <w:r w:rsidRPr="00524935">
          <w:rPr>
            <w:noProof/>
            <w:webHidden/>
            <w:sz w:val="24"/>
            <w:szCs w:val="24"/>
          </w:rPr>
          <w:fldChar w:fldCharType="separate"/>
        </w:r>
        <w:r w:rsidR="00207711">
          <w:rPr>
            <w:noProof/>
            <w:webHidden/>
            <w:sz w:val="24"/>
            <w:szCs w:val="24"/>
          </w:rPr>
          <w:t>25</w:t>
        </w:r>
        <w:r w:rsidRPr="00524935">
          <w:rPr>
            <w:noProof/>
            <w:webHidden/>
            <w:sz w:val="24"/>
            <w:szCs w:val="24"/>
          </w:rPr>
          <w:fldChar w:fldCharType="end"/>
        </w:r>
      </w:hyperlink>
    </w:p>
    <w:p w14:paraId="4472FAF6" w14:textId="3534424E"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3" w:history="1">
        <w:r w:rsidRPr="00524935">
          <w:rPr>
            <w:rStyle w:val="Hyperlink"/>
            <w:noProof/>
            <w:sz w:val="24"/>
            <w:szCs w:val="24"/>
          </w:rPr>
          <w:t>4.1. Zīmes, kas liecina par robežu noteikšanas problēmām</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_Toc211859113 \h </w:instrText>
        </w:r>
        <w:r w:rsidRPr="00524935">
          <w:rPr>
            <w:noProof/>
            <w:webHidden/>
            <w:sz w:val="24"/>
            <w:szCs w:val="24"/>
          </w:rPr>
        </w:r>
        <w:r w:rsidRPr="00524935">
          <w:rPr>
            <w:noProof/>
            <w:webHidden/>
            <w:sz w:val="24"/>
            <w:szCs w:val="24"/>
          </w:rPr>
          <w:fldChar w:fldCharType="separate"/>
        </w:r>
        <w:r w:rsidR="00207711">
          <w:rPr>
            <w:noProof/>
            <w:webHidden/>
            <w:sz w:val="24"/>
            <w:szCs w:val="24"/>
          </w:rPr>
          <w:t>26</w:t>
        </w:r>
        <w:r w:rsidRPr="00524935">
          <w:rPr>
            <w:noProof/>
            <w:webHidden/>
            <w:sz w:val="24"/>
            <w:szCs w:val="24"/>
          </w:rPr>
          <w:fldChar w:fldCharType="end"/>
        </w:r>
      </w:hyperlink>
    </w:p>
    <w:p w14:paraId="0A1283E4" w14:textId="2F1AA105"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4" w:history="1">
        <w:r w:rsidRPr="00524935">
          <w:rPr>
            <w:rStyle w:val="Hyperlink"/>
            <w:noProof/>
            <w:sz w:val="24"/>
            <w:szCs w:val="24"/>
          </w:rPr>
          <w:t>4.2. Vadlīnijas, kas izriet no valstu apsekojumiem</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_Toc211859114 \h </w:instrText>
        </w:r>
        <w:r w:rsidRPr="00524935">
          <w:rPr>
            <w:noProof/>
            <w:webHidden/>
            <w:sz w:val="24"/>
            <w:szCs w:val="24"/>
          </w:rPr>
        </w:r>
        <w:r w:rsidRPr="00524935">
          <w:rPr>
            <w:noProof/>
            <w:webHidden/>
            <w:sz w:val="24"/>
            <w:szCs w:val="24"/>
          </w:rPr>
          <w:fldChar w:fldCharType="separate"/>
        </w:r>
        <w:r w:rsidR="00207711">
          <w:rPr>
            <w:noProof/>
            <w:webHidden/>
            <w:sz w:val="24"/>
            <w:szCs w:val="24"/>
          </w:rPr>
          <w:t>27</w:t>
        </w:r>
        <w:r w:rsidRPr="00524935">
          <w:rPr>
            <w:noProof/>
            <w:webHidden/>
            <w:sz w:val="24"/>
            <w:szCs w:val="24"/>
          </w:rPr>
          <w:fldChar w:fldCharType="end"/>
        </w:r>
      </w:hyperlink>
    </w:p>
    <w:p w14:paraId="035A711D" w14:textId="33747C1A" w:rsidR="00870DA2" w:rsidRPr="00524935" w:rsidRDefault="00870DA2" w:rsidP="00FA36E3">
      <w:pPr>
        <w:pStyle w:val="TOC5"/>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5" w:history="1">
        <w:r w:rsidRPr="00524935">
          <w:rPr>
            <w:rStyle w:val="Hyperlink"/>
            <w:noProof/>
            <w:sz w:val="24"/>
            <w:szCs w:val="24"/>
          </w:rPr>
          <w:t>2. tabula. Apsekojumos tika aicināts gan federālajām valstīm, gan unitārajām valstīm samazināt vertikālo un horizontālo sadrumstalotību</w:t>
        </w:r>
        <w:r w:rsidR="001D16C7" w:rsidRPr="00524935">
          <w:rPr>
            <w:rStyle w:val="Hyperlink"/>
            <w:noProof/>
            <w:sz w:val="24"/>
            <w:szCs w:val="24"/>
          </w:rPr>
          <w:tab/>
        </w:r>
        <w:r w:rsidRPr="00524935">
          <w:rPr>
            <w:noProof/>
            <w:webHidden/>
            <w:sz w:val="24"/>
            <w:szCs w:val="24"/>
          </w:rPr>
          <w:fldChar w:fldCharType="begin"/>
        </w:r>
        <w:r w:rsidRPr="00524935">
          <w:rPr>
            <w:noProof/>
            <w:webHidden/>
            <w:sz w:val="24"/>
            <w:szCs w:val="24"/>
          </w:rPr>
          <w:instrText xml:space="preserve"> PAGEREF _Toc211859115 \h </w:instrText>
        </w:r>
        <w:r w:rsidRPr="00524935">
          <w:rPr>
            <w:noProof/>
            <w:webHidden/>
            <w:sz w:val="24"/>
            <w:szCs w:val="24"/>
          </w:rPr>
        </w:r>
        <w:r w:rsidRPr="00524935">
          <w:rPr>
            <w:noProof/>
            <w:webHidden/>
            <w:sz w:val="24"/>
            <w:szCs w:val="24"/>
          </w:rPr>
          <w:fldChar w:fldCharType="separate"/>
        </w:r>
        <w:r w:rsidR="00207711">
          <w:rPr>
            <w:noProof/>
            <w:webHidden/>
            <w:sz w:val="24"/>
            <w:szCs w:val="24"/>
          </w:rPr>
          <w:t>27</w:t>
        </w:r>
        <w:r w:rsidRPr="00524935">
          <w:rPr>
            <w:noProof/>
            <w:webHidden/>
            <w:sz w:val="24"/>
            <w:szCs w:val="24"/>
          </w:rPr>
          <w:fldChar w:fldCharType="end"/>
        </w:r>
      </w:hyperlink>
    </w:p>
    <w:p w14:paraId="3FB20A40" w14:textId="55B81A91" w:rsidR="00870DA2" w:rsidRPr="00524935" w:rsidRDefault="00870DA2" w:rsidP="00FA36E3">
      <w:pPr>
        <w:pStyle w:val="TOC4"/>
        <w:tabs>
          <w:tab w:val="right" w:leader="dot" w:pos="9065"/>
        </w:tabs>
        <w:spacing w:before="60"/>
        <w:rPr>
          <w:rFonts w:asciiTheme="minorHAnsi" w:eastAsiaTheme="minorEastAsia" w:hAnsiTheme="minorHAnsi" w:cstheme="minorBidi"/>
          <w:noProof/>
          <w:kern w:val="2"/>
          <w:sz w:val="24"/>
          <w:szCs w:val="24"/>
          <w:lang w:val="en-GB" w:eastAsia="en-GB"/>
          <w14:ligatures w14:val="standardContextual"/>
        </w:rPr>
      </w:pPr>
      <w:hyperlink w:anchor="_Toc211859116" w:history="1">
        <w:r w:rsidRPr="00524935">
          <w:rPr>
            <w:rStyle w:val="Hyperlink"/>
            <w:noProof/>
            <w:sz w:val="24"/>
            <w:szCs w:val="24"/>
          </w:rPr>
          <w:t>5. Iekšējais tirgus un koordinēšanas šķēršļi</w:t>
        </w:r>
        <w:r w:rsidR="001D16C7"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_Toc211859116 \h </w:instrText>
        </w:r>
        <w:r w:rsidRPr="00524935">
          <w:rPr>
            <w:noProof/>
            <w:webHidden/>
            <w:sz w:val="24"/>
            <w:szCs w:val="24"/>
          </w:rPr>
        </w:r>
        <w:r w:rsidRPr="00524935">
          <w:rPr>
            <w:noProof/>
            <w:webHidden/>
            <w:sz w:val="24"/>
            <w:szCs w:val="24"/>
          </w:rPr>
          <w:fldChar w:fldCharType="separate"/>
        </w:r>
        <w:r w:rsidR="00207711">
          <w:rPr>
            <w:noProof/>
            <w:webHidden/>
            <w:sz w:val="24"/>
            <w:szCs w:val="24"/>
          </w:rPr>
          <w:t>30</w:t>
        </w:r>
        <w:r w:rsidRPr="00524935">
          <w:rPr>
            <w:noProof/>
            <w:webHidden/>
            <w:sz w:val="24"/>
            <w:szCs w:val="24"/>
          </w:rPr>
          <w:fldChar w:fldCharType="end"/>
        </w:r>
      </w:hyperlink>
    </w:p>
    <w:p w14:paraId="2C40133E" w14:textId="38FD855D" w:rsidR="00870DA2" w:rsidRPr="00524935" w:rsidRDefault="00870DA2" w:rsidP="00FA36E3">
      <w:pPr>
        <w:pStyle w:val="TOC2"/>
        <w:tabs>
          <w:tab w:val="right" w:leader="dot" w:pos="9065"/>
        </w:tabs>
        <w:spacing w:before="60"/>
        <w:rPr>
          <w:rFonts w:asciiTheme="minorHAnsi" w:eastAsiaTheme="minorEastAsia" w:hAnsiTheme="minorHAnsi" w:cstheme="minorBidi"/>
          <w:b w:val="0"/>
          <w:bCs w:val="0"/>
          <w:noProof/>
          <w:kern w:val="2"/>
          <w:sz w:val="24"/>
          <w:szCs w:val="24"/>
          <w:lang w:val="en-GB" w:eastAsia="en-GB"/>
          <w14:ligatures w14:val="standardContextual"/>
        </w:rPr>
      </w:pPr>
      <w:hyperlink w:anchor="_Toc211859117" w:history="1">
        <w:r w:rsidRPr="00524935">
          <w:rPr>
            <w:rStyle w:val="Hyperlink"/>
            <w:noProof/>
            <w:sz w:val="24"/>
            <w:szCs w:val="24"/>
          </w:rPr>
          <w:t>Atsauces</w:t>
        </w:r>
        <w:r w:rsidR="003E0F48" w:rsidRPr="00524935">
          <w:rPr>
            <w:noProof/>
            <w:webHidden/>
            <w:sz w:val="24"/>
            <w:szCs w:val="24"/>
          </w:rPr>
          <w:tab/>
        </w:r>
        <w:r w:rsidRPr="00524935">
          <w:rPr>
            <w:noProof/>
            <w:webHidden/>
            <w:sz w:val="24"/>
            <w:szCs w:val="24"/>
          </w:rPr>
          <w:fldChar w:fldCharType="begin"/>
        </w:r>
        <w:r w:rsidRPr="00524935">
          <w:rPr>
            <w:noProof/>
            <w:webHidden/>
            <w:sz w:val="24"/>
            <w:szCs w:val="24"/>
          </w:rPr>
          <w:instrText xml:space="preserve"> PAGEREF _Toc211859117 \h </w:instrText>
        </w:r>
        <w:r w:rsidRPr="00524935">
          <w:rPr>
            <w:noProof/>
            <w:webHidden/>
            <w:sz w:val="24"/>
            <w:szCs w:val="24"/>
          </w:rPr>
        </w:r>
        <w:r w:rsidRPr="00524935">
          <w:rPr>
            <w:noProof/>
            <w:webHidden/>
            <w:sz w:val="24"/>
            <w:szCs w:val="24"/>
          </w:rPr>
          <w:fldChar w:fldCharType="separate"/>
        </w:r>
        <w:r w:rsidR="00207711">
          <w:rPr>
            <w:noProof/>
            <w:webHidden/>
            <w:sz w:val="24"/>
            <w:szCs w:val="24"/>
          </w:rPr>
          <w:t>38</w:t>
        </w:r>
        <w:r w:rsidRPr="00524935">
          <w:rPr>
            <w:noProof/>
            <w:webHidden/>
            <w:sz w:val="24"/>
            <w:szCs w:val="24"/>
          </w:rPr>
          <w:fldChar w:fldCharType="end"/>
        </w:r>
      </w:hyperlink>
    </w:p>
    <w:p w14:paraId="038983E5" w14:textId="77777777" w:rsidR="00BA7E14" w:rsidRDefault="00870DA2" w:rsidP="00FA36E3">
      <w:pPr>
        <w:pStyle w:val="BodyText"/>
        <w:spacing w:before="60"/>
        <w:jc w:val="both"/>
        <w:rPr>
          <w:i/>
          <w:noProof/>
          <w:sz w:val="24"/>
          <w:szCs w:val="24"/>
        </w:rPr>
      </w:pPr>
      <w:r w:rsidRPr="00524935">
        <w:rPr>
          <w:i/>
          <w:noProof/>
          <w:sz w:val="24"/>
          <w:szCs w:val="24"/>
        </w:rPr>
        <w:fldChar w:fldCharType="end"/>
      </w:r>
    </w:p>
    <w:p w14:paraId="4ADFAEBA" w14:textId="50526214" w:rsidR="00C37DE1" w:rsidRPr="00BA7E14" w:rsidRDefault="006D03B1" w:rsidP="00BA7E14">
      <w:pPr>
        <w:pStyle w:val="BodyText"/>
        <w:spacing w:before="120"/>
        <w:jc w:val="center"/>
        <w:rPr>
          <w:b/>
          <w:bCs/>
          <w:iCs/>
          <w:noProof/>
          <w:sz w:val="24"/>
          <w:szCs w:val="24"/>
        </w:rPr>
      </w:pPr>
      <w:r w:rsidRPr="00BA7E14">
        <w:rPr>
          <w:b/>
          <w:bCs/>
          <w:iCs/>
          <w:noProof/>
          <w:sz w:val="24"/>
          <w:szCs w:val="24"/>
        </w:rPr>
        <w:t>T</w:t>
      </w:r>
      <w:r w:rsidR="00BA7E14" w:rsidRPr="00BA7E14">
        <w:rPr>
          <w:b/>
          <w:bCs/>
          <w:iCs/>
          <w:noProof/>
          <w:sz w:val="24"/>
          <w:szCs w:val="24"/>
        </w:rPr>
        <w:t>abulas</w:t>
      </w:r>
    </w:p>
    <w:p w14:paraId="7169E1C8"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1" w:history="1">
        <w:r w:rsidRPr="00BA7E14">
          <w:rPr>
            <w:rStyle w:val="Hyperlink"/>
            <w:b w:val="0"/>
            <w:bCs w:val="0"/>
            <w:i w:val="0"/>
            <w:noProof/>
            <w:color w:val="auto"/>
            <w:sz w:val="24"/>
            <w:szCs w:val="24"/>
            <w:u w:val="none"/>
          </w:rPr>
          <w:t>1. tabula. Parastie ieteikumi, kā uzlabot fiskālo spēju</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_Toc211859571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20</w:t>
        </w:r>
        <w:r w:rsidRPr="00BA7E14">
          <w:rPr>
            <w:b w:val="0"/>
            <w:bCs w:val="0"/>
            <w:i w:val="0"/>
            <w:noProof/>
            <w:webHidden/>
            <w:sz w:val="24"/>
            <w:szCs w:val="24"/>
          </w:rPr>
          <w:fldChar w:fldCharType="end"/>
        </w:r>
      </w:hyperlink>
    </w:p>
    <w:p w14:paraId="2AED5837"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3" w:history="1">
        <w:r w:rsidRPr="00BA7E14">
          <w:rPr>
            <w:rStyle w:val="Hyperlink"/>
            <w:b w:val="0"/>
            <w:bCs w:val="0"/>
            <w:i w:val="0"/>
            <w:noProof/>
            <w:color w:val="auto"/>
            <w:sz w:val="24"/>
            <w:szCs w:val="24"/>
            <w:u w:val="none"/>
          </w:rPr>
          <w:t>2. tabula. Apsekojumos tika aicināts gan federālajām valstīm, gan unitārajām valstīm samazināt vertikālo un horizontālo sadrumstalotību</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_Toc211859573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27</w:t>
        </w:r>
        <w:r w:rsidRPr="00BA7E14">
          <w:rPr>
            <w:b w:val="0"/>
            <w:bCs w:val="0"/>
            <w:i w:val="0"/>
            <w:noProof/>
            <w:webHidden/>
            <w:sz w:val="24"/>
            <w:szCs w:val="24"/>
          </w:rPr>
          <w:fldChar w:fldCharType="end"/>
        </w:r>
      </w:hyperlink>
    </w:p>
    <w:p w14:paraId="6E5E0002"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4" w:history="1">
        <w:r w:rsidRPr="00BA7E14">
          <w:rPr>
            <w:rStyle w:val="Hyperlink"/>
            <w:b w:val="0"/>
            <w:bCs w:val="0"/>
            <w:i w:val="0"/>
            <w:noProof/>
            <w:color w:val="auto"/>
            <w:sz w:val="24"/>
            <w:szCs w:val="24"/>
            <w:u w:val="none"/>
          </w:rPr>
          <w:t>3. tabula. Ir septiņi pamatieteikumi attiecībā uz iekšējo šķēršļu samazināšanu un koordinēšanas uzlabošanu</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_Toc211859574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31</w:t>
        </w:r>
        <w:r w:rsidRPr="00BA7E14">
          <w:rPr>
            <w:b w:val="0"/>
            <w:bCs w:val="0"/>
            <w:i w:val="0"/>
            <w:noProof/>
            <w:webHidden/>
            <w:sz w:val="24"/>
            <w:szCs w:val="24"/>
          </w:rPr>
          <w:fldChar w:fldCharType="end"/>
        </w:r>
      </w:hyperlink>
    </w:p>
    <w:p w14:paraId="7C7C8394" w14:textId="77777777" w:rsidR="00BA7E14" w:rsidRDefault="00BA7E14" w:rsidP="00FA36E3">
      <w:pPr>
        <w:pStyle w:val="BodyText"/>
        <w:spacing w:before="60"/>
        <w:jc w:val="both"/>
        <w:rPr>
          <w:iCs/>
          <w:noProof/>
          <w:sz w:val="24"/>
          <w:szCs w:val="24"/>
        </w:rPr>
      </w:pPr>
    </w:p>
    <w:p w14:paraId="0BA91A7D" w14:textId="4D958783" w:rsidR="00BA7E14" w:rsidRPr="00BA7E14" w:rsidRDefault="00BA7E14" w:rsidP="00FA36E3">
      <w:pPr>
        <w:pStyle w:val="BodyText"/>
        <w:spacing w:before="60"/>
        <w:jc w:val="center"/>
        <w:rPr>
          <w:b/>
          <w:bCs/>
          <w:iCs/>
          <w:noProof/>
          <w:sz w:val="24"/>
          <w:szCs w:val="24"/>
        </w:rPr>
      </w:pPr>
      <w:r w:rsidRPr="00BA7E14">
        <w:rPr>
          <w:b/>
          <w:bCs/>
          <w:iCs/>
          <w:noProof/>
          <w:sz w:val="24"/>
          <w:szCs w:val="24"/>
        </w:rPr>
        <w:t>Attēli</w:t>
      </w:r>
    </w:p>
    <w:p w14:paraId="01AA73D3"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3" w:history="1">
        <w:r w:rsidRPr="00BA7E14">
          <w:rPr>
            <w:rStyle w:val="Hyperlink"/>
            <w:b w:val="0"/>
            <w:bCs w:val="0"/>
            <w:i w:val="0"/>
            <w:noProof/>
            <w:color w:val="auto"/>
            <w:sz w:val="24"/>
            <w:szCs w:val="24"/>
            <w:u w:val="none"/>
          </w:rPr>
          <w:t>1. attēls. Diagnosticējošo apsvērumu sasaiste ar ieteikumiem</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_Toc211859563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9</w:t>
        </w:r>
        <w:r w:rsidRPr="00BA7E14">
          <w:rPr>
            <w:b w:val="0"/>
            <w:bCs w:val="0"/>
            <w:i w:val="0"/>
            <w:noProof/>
            <w:webHidden/>
            <w:sz w:val="24"/>
            <w:szCs w:val="24"/>
          </w:rPr>
          <w:fldChar w:fldCharType="end"/>
        </w:r>
      </w:hyperlink>
    </w:p>
    <w:p w14:paraId="032A18AF"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4" w:history="1">
        <w:r w:rsidRPr="00BA7E14">
          <w:rPr>
            <w:rStyle w:val="Hyperlink"/>
            <w:b w:val="0"/>
            <w:bCs w:val="0"/>
            <w:i w:val="0"/>
            <w:noProof/>
            <w:color w:val="auto"/>
            <w:sz w:val="24"/>
            <w:szCs w:val="24"/>
            <w:u w:val="none"/>
          </w:rPr>
          <w:t>2. attēls. Ieņēmumu un izdevumu piešķīruma atšķirības pa valstīm</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_Toc211859564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11</w:t>
        </w:r>
        <w:r w:rsidRPr="00BA7E14">
          <w:rPr>
            <w:b w:val="0"/>
            <w:bCs w:val="0"/>
            <w:i w:val="0"/>
            <w:noProof/>
            <w:webHidden/>
            <w:sz w:val="24"/>
            <w:szCs w:val="24"/>
          </w:rPr>
          <w:fldChar w:fldCharType="end"/>
        </w:r>
      </w:hyperlink>
    </w:p>
    <w:p w14:paraId="01019971"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5" w:history="1">
        <w:r w:rsidRPr="00BA7E14">
          <w:rPr>
            <w:rStyle w:val="Hyperlink"/>
            <w:b w:val="0"/>
            <w:bCs w:val="0"/>
            <w:i w:val="0"/>
            <w:noProof/>
            <w:color w:val="auto"/>
            <w:sz w:val="24"/>
            <w:szCs w:val="24"/>
            <w:u w:val="none"/>
          </w:rPr>
          <w:t>3. attēls. Decentralizācijas ieguvumi vidēju ienākumu guvējiem</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_Toc211859565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14</w:t>
        </w:r>
        <w:r w:rsidRPr="00BA7E14">
          <w:rPr>
            <w:b w:val="0"/>
            <w:bCs w:val="0"/>
            <w:i w:val="0"/>
            <w:noProof/>
            <w:webHidden/>
            <w:sz w:val="24"/>
            <w:szCs w:val="24"/>
          </w:rPr>
          <w:fldChar w:fldCharType="end"/>
        </w:r>
      </w:hyperlink>
    </w:p>
    <w:p w14:paraId="35684070"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6" w:history="1">
        <w:r w:rsidRPr="00BA7E14">
          <w:rPr>
            <w:rStyle w:val="Hyperlink"/>
            <w:b w:val="0"/>
            <w:bCs w:val="0"/>
            <w:i w:val="0"/>
            <w:noProof/>
            <w:color w:val="auto"/>
            <w:sz w:val="24"/>
            <w:szCs w:val="24"/>
            <w:u w:val="none"/>
          </w:rPr>
          <w:t>4. attēls. Decentralizācijas pozitīvā saikne ar darbības rezultātiem izglītības jomā</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_Toc211859566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15</w:t>
        </w:r>
        <w:r w:rsidRPr="00BA7E14">
          <w:rPr>
            <w:b w:val="0"/>
            <w:bCs w:val="0"/>
            <w:i w:val="0"/>
            <w:noProof/>
            <w:webHidden/>
            <w:sz w:val="24"/>
            <w:szCs w:val="24"/>
          </w:rPr>
          <w:fldChar w:fldCharType="end"/>
        </w:r>
      </w:hyperlink>
    </w:p>
    <w:p w14:paraId="63D8B05A"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8" w:history="1">
        <w:r w:rsidRPr="00BA7E14">
          <w:rPr>
            <w:rStyle w:val="Hyperlink"/>
            <w:b w:val="0"/>
            <w:bCs w:val="0"/>
            <w:i w:val="0"/>
            <w:noProof/>
            <w:color w:val="auto"/>
            <w:sz w:val="24"/>
            <w:szCs w:val="24"/>
            <w:u w:val="none"/>
          </w:rPr>
          <w:t>5. attēls. Pašvaldību nodokļu sastāva pārbīde no īpašuma nodokļiem uz ienākuma nodokļiem līdz ar decentralizācijas palielināšanos</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_Toc211859568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16</w:t>
        </w:r>
        <w:r w:rsidRPr="00BA7E14">
          <w:rPr>
            <w:b w:val="0"/>
            <w:bCs w:val="0"/>
            <w:i w:val="0"/>
            <w:noProof/>
            <w:webHidden/>
            <w:sz w:val="24"/>
            <w:szCs w:val="24"/>
          </w:rPr>
          <w:fldChar w:fldCharType="end"/>
        </w:r>
      </w:hyperlink>
    </w:p>
    <w:p w14:paraId="0AF2640F"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9" w:history="1">
        <w:r w:rsidRPr="00BA7E14">
          <w:rPr>
            <w:rStyle w:val="Hyperlink"/>
            <w:b w:val="0"/>
            <w:bCs w:val="0"/>
            <w:i w:val="0"/>
            <w:noProof/>
            <w:color w:val="auto"/>
            <w:sz w:val="24"/>
            <w:szCs w:val="24"/>
            <w:u w:val="none"/>
          </w:rPr>
          <w:t>6. attēls. Nodokļu autonomija OECD valstīs</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_Toc211859569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17</w:t>
        </w:r>
        <w:r w:rsidRPr="00BA7E14">
          <w:rPr>
            <w:b w:val="0"/>
            <w:bCs w:val="0"/>
            <w:i w:val="0"/>
            <w:noProof/>
            <w:webHidden/>
            <w:sz w:val="24"/>
            <w:szCs w:val="24"/>
          </w:rPr>
          <w:fldChar w:fldCharType="end"/>
        </w:r>
      </w:hyperlink>
    </w:p>
    <w:p w14:paraId="2BAC7AEE" w14:textId="77777777" w:rsidR="00BA7E14" w:rsidRPr="00BA7E14" w:rsidRDefault="00BA7E14"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6" w:history="1">
        <w:r w:rsidRPr="00BA7E14">
          <w:rPr>
            <w:rStyle w:val="Hyperlink"/>
            <w:b w:val="0"/>
            <w:bCs w:val="0"/>
            <w:i w:val="0"/>
            <w:noProof/>
            <w:color w:val="auto"/>
            <w:sz w:val="24"/>
            <w:szCs w:val="24"/>
            <w:u w:val="none"/>
          </w:rPr>
          <w:t>7. attēls. Neapgūtie ES struktūrfondi un kohēzijas fondi un plānoto ieguldījumu izlietojums</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_Toc211859576 \h </w:instrText>
        </w:r>
        <w:r w:rsidRPr="00BA7E14">
          <w:rPr>
            <w:b w:val="0"/>
            <w:bCs w:val="0"/>
            <w:i w:val="0"/>
            <w:noProof/>
            <w:webHidden/>
            <w:sz w:val="24"/>
            <w:szCs w:val="24"/>
          </w:rPr>
        </w:r>
        <w:r w:rsidRPr="00BA7E14">
          <w:rPr>
            <w:b w:val="0"/>
            <w:bCs w:val="0"/>
            <w:i w:val="0"/>
            <w:noProof/>
            <w:webHidden/>
            <w:sz w:val="24"/>
            <w:szCs w:val="24"/>
          </w:rPr>
          <w:fldChar w:fldCharType="separate"/>
        </w:r>
        <w:r w:rsidRPr="00BA7E14">
          <w:rPr>
            <w:b w:val="0"/>
            <w:bCs w:val="0"/>
            <w:i w:val="0"/>
            <w:noProof/>
            <w:webHidden/>
            <w:sz w:val="24"/>
            <w:szCs w:val="24"/>
          </w:rPr>
          <w:t>33</w:t>
        </w:r>
        <w:r w:rsidRPr="00BA7E14">
          <w:rPr>
            <w:b w:val="0"/>
            <w:bCs w:val="0"/>
            <w:i w:val="0"/>
            <w:noProof/>
            <w:webHidden/>
            <w:sz w:val="24"/>
            <w:szCs w:val="24"/>
          </w:rPr>
          <w:fldChar w:fldCharType="end"/>
        </w:r>
      </w:hyperlink>
    </w:p>
    <w:p w14:paraId="2C2027C8" w14:textId="77777777" w:rsidR="00BA7E14" w:rsidRDefault="00BA7E14" w:rsidP="00FA36E3">
      <w:pPr>
        <w:pStyle w:val="BodyText"/>
        <w:spacing w:before="60"/>
        <w:jc w:val="both"/>
        <w:rPr>
          <w:iCs/>
          <w:noProof/>
          <w:sz w:val="24"/>
          <w:szCs w:val="24"/>
        </w:rPr>
      </w:pPr>
    </w:p>
    <w:p w14:paraId="41D29533" w14:textId="77777777" w:rsidR="00BA7E14" w:rsidRPr="00BA7E14" w:rsidRDefault="00BA7E14" w:rsidP="00FA36E3">
      <w:pPr>
        <w:pStyle w:val="BodyText"/>
        <w:spacing w:before="60"/>
        <w:jc w:val="both"/>
        <w:rPr>
          <w:iCs/>
          <w:noProof/>
          <w:sz w:val="24"/>
          <w:szCs w:val="24"/>
        </w:rPr>
      </w:pPr>
    </w:p>
    <w:p w14:paraId="4453723D" w14:textId="77777777" w:rsidR="00BA7E14" w:rsidRPr="00BA7E14" w:rsidRDefault="00BA7E14" w:rsidP="00FA36E3">
      <w:pPr>
        <w:pStyle w:val="BodyText"/>
        <w:spacing w:before="60"/>
        <w:jc w:val="center"/>
        <w:rPr>
          <w:b/>
          <w:bCs/>
          <w:iCs/>
          <w:noProof/>
          <w:sz w:val="24"/>
          <w:szCs w:val="24"/>
        </w:rPr>
      </w:pPr>
      <w:r w:rsidRPr="00BA7E14">
        <w:rPr>
          <w:b/>
          <w:bCs/>
          <w:iCs/>
          <w:noProof/>
          <w:sz w:val="24"/>
          <w:szCs w:val="24"/>
        </w:rPr>
        <w:t>Ierāmējumi</w:t>
      </w:r>
    </w:p>
    <w:sdt>
      <w:sdtPr>
        <w:rPr>
          <w:rFonts w:ascii="Times New Roman" w:hAnsi="Times New Roman" w:cs="Times New Roman"/>
          <w:iCs/>
          <w:color w:val="auto"/>
          <w:sz w:val="24"/>
          <w:szCs w:val="24"/>
        </w:rPr>
        <w:id w:val="1213933025"/>
        <w:docPartObj>
          <w:docPartGallery w:val="Table of Contents"/>
          <w:docPartUnique/>
        </w:docPartObj>
      </w:sdtPr>
      <w:sdtEndPr>
        <w:rPr>
          <w:rFonts w:eastAsia="Times New Roman"/>
          <w:noProof/>
          <w:lang w:val="lv-LV"/>
        </w:rPr>
      </w:sdtEndPr>
      <w:sdtContent>
        <w:p w14:paraId="20C2D1EE" w14:textId="14B023A0" w:rsidR="00756F88" w:rsidRPr="00BA7E14" w:rsidRDefault="00756F88" w:rsidP="00FA36E3">
          <w:pPr>
            <w:pStyle w:val="TOCHeading"/>
            <w:spacing w:before="60"/>
            <w:jc w:val="both"/>
            <w:rPr>
              <w:iCs/>
              <w:noProof/>
              <w:sz w:val="24"/>
              <w:szCs w:val="24"/>
            </w:rPr>
          </w:pPr>
          <w:r w:rsidRPr="00BA7E14">
            <w:rPr>
              <w:rFonts w:ascii="Times New Roman" w:hAnsi="Times New Roman" w:cs="Times New Roman"/>
              <w:iCs/>
              <w:color w:val="auto"/>
              <w:sz w:val="24"/>
              <w:szCs w:val="24"/>
            </w:rPr>
            <w:fldChar w:fldCharType="begin"/>
          </w:r>
          <w:r w:rsidRPr="00BA7E14">
            <w:rPr>
              <w:rFonts w:ascii="Times New Roman" w:hAnsi="Times New Roman" w:cs="Times New Roman"/>
              <w:iCs/>
              <w:color w:val="auto"/>
              <w:sz w:val="24"/>
              <w:szCs w:val="24"/>
            </w:rPr>
            <w:instrText xml:space="preserve"> TOC \o "1-3" \h \z \u </w:instrText>
          </w:r>
          <w:r w:rsidRPr="00BA7E14">
            <w:rPr>
              <w:rFonts w:ascii="Times New Roman" w:hAnsi="Times New Roman" w:cs="Times New Roman"/>
              <w:iCs/>
              <w:color w:val="auto"/>
              <w:sz w:val="24"/>
              <w:szCs w:val="24"/>
            </w:rPr>
            <w:fldChar w:fldCharType="separate"/>
          </w:r>
        </w:p>
        <w:p w14:paraId="6CFC5726" w14:textId="124205D1" w:rsidR="00756F88" w:rsidRPr="00BA7E14" w:rsidRDefault="00756F88"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2" w:history="1">
            <w:r w:rsidRPr="00BA7E14">
              <w:rPr>
                <w:rStyle w:val="Hyperlink"/>
                <w:b w:val="0"/>
                <w:bCs w:val="0"/>
                <w:i w:val="0"/>
                <w:noProof/>
                <w:color w:val="auto"/>
                <w:sz w:val="24"/>
                <w:szCs w:val="24"/>
                <w:u w:val="none"/>
              </w:rPr>
              <w:t>1. ierāmējums. Fiskālā federālisma sintēzes satvars</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_Toc211859562 \h </w:instrText>
            </w:r>
            <w:r w:rsidRPr="00BA7E14">
              <w:rPr>
                <w:b w:val="0"/>
                <w:bCs w:val="0"/>
                <w:i w:val="0"/>
                <w:noProof/>
                <w:webHidden/>
                <w:sz w:val="24"/>
                <w:szCs w:val="24"/>
              </w:rPr>
            </w:r>
            <w:r w:rsidRPr="00BA7E14">
              <w:rPr>
                <w:b w:val="0"/>
                <w:bCs w:val="0"/>
                <w:i w:val="0"/>
                <w:noProof/>
                <w:webHidden/>
                <w:sz w:val="24"/>
                <w:szCs w:val="24"/>
              </w:rPr>
              <w:fldChar w:fldCharType="separate"/>
            </w:r>
            <w:r w:rsidR="00207711" w:rsidRPr="00BA7E14">
              <w:rPr>
                <w:b w:val="0"/>
                <w:bCs w:val="0"/>
                <w:i w:val="0"/>
                <w:noProof/>
                <w:webHidden/>
                <w:sz w:val="24"/>
                <w:szCs w:val="24"/>
              </w:rPr>
              <w:t>9</w:t>
            </w:r>
            <w:r w:rsidRPr="00BA7E14">
              <w:rPr>
                <w:b w:val="0"/>
                <w:bCs w:val="0"/>
                <w:i w:val="0"/>
                <w:noProof/>
                <w:webHidden/>
                <w:sz w:val="24"/>
                <w:szCs w:val="24"/>
              </w:rPr>
              <w:fldChar w:fldCharType="end"/>
            </w:r>
          </w:hyperlink>
        </w:p>
        <w:p w14:paraId="057E7F26" w14:textId="74FDBAF3" w:rsidR="00756F88" w:rsidRPr="00BA7E14" w:rsidRDefault="00756F88"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67" w:history="1">
            <w:r w:rsidRPr="00BA7E14">
              <w:rPr>
                <w:rStyle w:val="Hyperlink"/>
                <w:b w:val="0"/>
                <w:bCs w:val="0"/>
                <w:i w:val="0"/>
                <w:noProof/>
                <w:color w:val="auto"/>
                <w:sz w:val="24"/>
                <w:szCs w:val="24"/>
                <w:u w:val="none"/>
              </w:rPr>
              <w:t>2. ierāmējums. Pašvaldību ieņēmumi no pašu avotiem, nodokļu autonomija un decentralizācija</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_Toc211859567 \h </w:instrText>
            </w:r>
            <w:r w:rsidRPr="00BA7E14">
              <w:rPr>
                <w:b w:val="0"/>
                <w:bCs w:val="0"/>
                <w:i w:val="0"/>
                <w:noProof/>
                <w:webHidden/>
                <w:sz w:val="24"/>
                <w:szCs w:val="24"/>
              </w:rPr>
            </w:r>
            <w:r w:rsidRPr="00BA7E14">
              <w:rPr>
                <w:b w:val="0"/>
                <w:bCs w:val="0"/>
                <w:i w:val="0"/>
                <w:noProof/>
                <w:webHidden/>
                <w:sz w:val="24"/>
                <w:szCs w:val="24"/>
              </w:rPr>
              <w:fldChar w:fldCharType="separate"/>
            </w:r>
            <w:r w:rsidR="00207711" w:rsidRPr="00BA7E14">
              <w:rPr>
                <w:b w:val="0"/>
                <w:bCs w:val="0"/>
                <w:i w:val="0"/>
                <w:noProof/>
                <w:webHidden/>
                <w:sz w:val="24"/>
                <w:szCs w:val="24"/>
              </w:rPr>
              <w:t>16</w:t>
            </w:r>
            <w:r w:rsidRPr="00BA7E14">
              <w:rPr>
                <w:b w:val="0"/>
                <w:bCs w:val="0"/>
                <w:i w:val="0"/>
                <w:noProof/>
                <w:webHidden/>
                <w:sz w:val="24"/>
                <w:szCs w:val="24"/>
              </w:rPr>
              <w:fldChar w:fldCharType="end"/>
            </w:r>
          </w:hyperlink>
        </w:p>
        <w:p w14:paraId="739B768F" w14:textId="7C529306" w:rsidR="00756F88" w:rsidRPr="00BA7E14" w:rsidRDefault="00756F88"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0" w:history="1">
            <w:r w:rsidRPr="00BA7E14">
              <w:rPr>
                <w:rStyle w:val="Hyperlink"/>
                <w:b w:val="0"/>
                <w:bCs w:val="0"/>
                <w:i w:val="0"/>
                <w:noProof/>
                <w:color w:val="auto"/>
                <w:sz w:val="24"/>
                <w:szCs w:val="24"/>
                <w:u w:val="none"/>
              </w:rPr>
              <w:t>3. ierāmējums. Skaitliski pierādījumi par fiskālās autonomijas ietekmi uz reģionālo konverģenci</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_Toc211859570 \h </w:instrText>
            </w:r>
            <w:r w:rsidRPr="00BA7E14">
              <w:rPr>
                <w:b w:val="0"/>
                <w:bCs w:val="0"/>
                <w:i w:val="0"/>
                <w:noProof/>
                <w:webHidden/>
                <w:sz w:val="24"/>
                <w:szCs w:val="24"/>
              </w:rPr>
            </w:r>
            <w:r w:rsidRPr="00BA7E14">
              <w:rPr>
                <w:b w:val="0"/>
                <w:bCs w:val="0"/>
                <w:i w:val="0"/>
                <w:noProof/>
                <w:webHidden/>
                <w:sz w:val="24"/>
                <w:szCs w:val="24"/>
              </w:rPr>
              <w:fldChar w:fldCharType="separate"/>
            </w:r>
            <w:r w:rsidR="00207711" w:rsidRPr="00BA7E14">
              <w:rPr>
                <w:b w:val="0"/>
                <w:bCs w:val="0"/>
                <w:i w:val="0"/>
                <w:noProof/>
                <w:webHidden/>
                <w:sz w:val="24"/>
                <w:szCs w:val="24"/>
              </w:rPr>
              <w:t>18</w:t>
            </w:r>
            <w:r w:rsidRPr="00BA7E14">
              <w:rPr>
                <w:b w:val="0"/>
                <w:bCs w:val="0"/>
                <w:i w:val="0"/>
                <w:noProof/>
                <w:webHidden/>
                <w:sz w:val="24"/>
                <w:szCs w:val="24"/>
              </w:rPr>
              <w:fldChar w:fldCharType="end"/>
            </w:r>
          </w:hyperlink>
        </w:p>
        <w:p w14:paraId="27CE693A" w14:textId="5955576B" w:rsidR="00756F88" w:rsidRPr="00BA7E14" w:rsidRDefault="00756F88"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2" w:history="1">
            <w:r w:rsidRPr="00BA7E14">
              <w:rPr>
                <w:rStyle w:val="Hyperlink"/>
                <w:b w:val="0"/>
                <w:bCs w:val="0"/>
                <w:i w:val="0"/>
                <w:noProof/>
                <w:color w:val="auto"/>
                <w:sz w:val="24"/>
                <w:szCs w:val="24"/>
                <w:u w:val="none"/>
              </w:rPr>
              <w:t>4. ierāmējums. Desmit vadlīnijas pienākumu efektīvai piešķiršanai, lai veiktu decentralizācijas darbu</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_Toc211859572 \h </w:instrText>
            </w:r>
            <w:r w:rsidRPr="00BA7E14">
              <w:rPr>
                <w:b w:val="0"/>
                <w:bCs w:val="0"/>
                <w:i w:val="0"/>
                <w:noProof/>
                <w:webHidden/>
                <w:sz w:val="24"/>
                <w:szCs w:val="24"/>
              </w:rPr>
            </w:r>
            <w:r w:rsidRPr="00BA7E14">
              <w:rPr>
                <w:b w:val="0"/>
                <w:bCs w:val="0"/>
                <w:i w:val="0"/>
                <w:noProof/>
                <w:webHidden/>
                <w:sz w:val="24"/>
                <w:szCs w:val="24"/>
              </w:rPr>
              <w:fldChar w:fldCharType="separate"/>
            </w:r>
            <w:r w:rsidR="00207711" w:rsidRPr="00BA7E14">
              <w:rPr>
                <w:b w:val="0"/>
                <w:bCs w:val="0"/>
                <w:i w:val="0"/>
                <w:noProof/>
                <w:webHidden/>
                <w:sz w:val="24"/>
                <w:szCs w:val="24"/>
              </w:rPr>
              <w:t>25</w:t>
            </w:r>
            <w:r w:rsidRPr="00BA7E14">
              <w:rPr>
                <w:b w:val="0"/>
                <w:bCs w:val="0"/>
                <w:i w:val="0"/>
                <w:noProof/>
                <w:webHidden/>
                <w:sz w:val="24"/>
                <w:szCs w:val="24"/>
              </w:rPr>
              <w:fldChar w:fldCharType="end"/>
            </w:r>
          </w:hyperlink>
        </w:p>
        <w:p w14:paraId="6899C3B7" w14:textId="66C258E3" w:rsidR="00756F88" w:rsidRPr="00BA7E14" w:rsidRDefault="00756F88" w:rsidP="00FA36E3">
          <w:pPr>
            <w:pStyle w:val="TOC3"/>
            <w:tabs>
              <w:tab w:val="right" w:leader="dot" w:pos="9065"/>
            </w:tabs>
            <w:spacing w:before="60"/>
            <w:jc w:val="both"/>
            <w:rPr>
              <w:rFonts w:eastAsiaTheme="minorEastAsia"/>
              <w:b w:val="0"/>
              <w:bCs w:val="0"/>
              <w:i w:val="0"/>
              <w:noProof/>
              <w:kern w:val="2"/>
              <w:sz w:val="24"/>
              <w:szCs w:val="24"/>
              <w:lang w:val="en-GB" w:eastAsia="en-GB"/>
              <w14:ligatures w14:val="standardContextual"/>
            </w:rPr>
          </w:pPr>
          <w:hyperlink w:anchor="_Toc211859575" w:history="1">
            <w:r w:rsidRPr="00BA7E14">
              <w:rPr>
                <w:rStyle w:val="Hyperlink"/>
                <w:b w:val="0"/>
                <w:bCs w:val="0"/>
                <w:i w:val="0"/>
                <w:noProof/>
                <w:color w:val="auto"/>
                <w:sz w:val="24"/>
                <w:szCs w:val="24"/>
                <w:u w:val="none"/>
              </w:rPr>
              <w:t>5. ierāmējums. Neapgūti ES līdzekļi – rādītājs, kas liecina par koordinēšanas kļūmēm un nespēju</w:t>
            </w:r>
            <w:r w:rsidRPr="00BA7E14">
              <w:rPr>
                <w:b w:val="0"/>
                <w:bCs w:val="0"/>
                <w:i w:val="0"/>
                <w:noProof/>
                <w:webHidden/>
                <w:sz w:val="24"/>
                <w:szCs w:val="24"/>
              </w:rPr>
              <w:tab/>
            </w:r>
            <w:r w:rsidRPr="00BA7E14">
              <w:rPr>
                <w:b w:val="0"/>
                <w:bCs w:val="0"/>
                <w:i w:val="0"/>
                <w:noProof/>
                <w:webHidden/>
                <w:sz w:val="24"/>
                <w:szCs w:val="24"/>
              </w:rPr>
              <w:fldChar w:fldCharType="begin"/>
            </w:r>
            <w:r w:rsidRPr="00BA7E14">
              <w:rPr>
                <w:b w:val="0"/>
                <w:bCs w:val="0"/>
                <w:i w:val="0"/>
                <w:noProof/>
                <w:webHidden/>
                <w:sz w:val="24"/>
                <w:szCs w:val="24"/>
              </w:rPr>
              <w:instrText xml:space="preserve"> PAGEREF _Toc211859575 \h </w:instrText>
            </w:r>
            <w:r w:rsidRPr="00BA7E14">
              <w:rPr>
                <w:b w:val="0"/>
                <w:bCs w:val="0"/>
                <w:i w:val="0"/>
                <w:noProof/>
                <w:webHidden/>
                <w:sz w:val="24"/>
                <w:szCs w:val="24"/>
              </w:rPr>
            </w:r>
            <w:r w:rsidRPr="00BA7E14">
              <w:rPr>
                <w:b w:val="0"/>
                <w:bCs w:val="0"/>
                <w:i w:val="0"/>
                <w:noProof/>
                <w:webHidden/>
                <w:sz w:val="24"/>
                <w:szCs w:val="24"/>
              </w:rPr>
              <w:fldChar w:fldCharType="separate"/>
            </w:r>
            <w:r w:rsidR="00207711" w:rsidRPr="00BA7E14">
              <w:rPr>
                <w:b w:val="0"/>
                <w:bCs w:val="0"/>
                <w:i w:val="0"/>
                <w:noProof/>
                <w:webHidden/>
                <w:sz w:val="24"/>
                <w:szCs w:val="24"/>
              </w:rPr>
              <w:t>32</w:t>
            </w:r>
            <w:r w:rsidRPr="00BA7E14">
              <w:rPr>
                <w:b w:val="0"/>
                <w:bCs w:val="0"/>
                <w:i w:val="0"/>
                <w:noProof/>
                <w:webHidden/>
                <w:sz w:val="24"/>
                <w:szCs w:val="24"/>
              </w:rPr>
              <w:fldChar w:fldCharType="end"/>
            </w:r>
          </w:hyperlink>
        </w:p>
        <w:p w14:paraId="09CF2959" w14:textId="5D7A87A5" w:rsidR="00756F88" w:rsidRDefault="00756F88" w:rsidP="00FA36E3">
          <w:pPr>
            <w:spacing w:before="60"/>
            <w:jc w:val="both"/>
          </w:pPr>
          <w:r w:rsidRPr="00BA7E14">
            <w:rPr>
              <w:iCs/>
              <w:noProof/>
              <w:sz w:val="24"/>
              <w:szCs w:val="24"/>
            </w:rPr>
            <w:fldChar w:fldCharType="end"/>
          </w:r>
        </w:p>
      </w:sdtContent>
    </w:sdt>
    <w:p w14:paraId="023EF3FC" w14:textId="77777777" w:rsidR="00C37DE1" w:rsidRPr="00C85C26" w:rsidRDefault="00C37DE1" w:rsidP="00C85C26">
      <w:pPr>
        <w:pStyle w:val="BodyText"/>
        <w:rPr>
          <w:i/>
          <w:noProof/>
          <w:sz w:val="32"/>
        </w:rPr>
      </w:pPr>
    </w:p>
    <w:p w14:paraId="4422B8ED" w14:textId="77777777" w:rsidR="00C37DE1" w:rsidRPr="00C85C26" w:rsidRDefault="00C37DE1" w:rsidP="00C85C26">
      <w:pPr>
        <w:pStyle w:val="BodyText"/>
        <w:rPr>
          <w:i/>
          <w:noProof/>
          <w:sz w:val="32"/>
        </w:rPr>
      </w:pPr>
    </w:p>
    <w:p w14:paraId="45A76260" w14:textId="77777777" w:rsidR="000C19B4" w:rsidRDefault="000C19B4">
      <w:pPr>
        <w:rPr>
          <w:b/>
          <w:bCs/>
          <w:i/>
          <w:iCs/>
          <w:noProof/>
          <w:sz w:val="28"/>
          <w:szCs w:val="28"/>
        </w:rPr>
      </w:pPr>
      <w:r>
        <w:br w:type="page"/>
      </w:r>
    </w:p>
    <w:p w14:paraId="48542E90" w14:textId="45EA395C" w:rsidR="00C37DE1" w:rsidRPr="00975F0A" w:rsidRDefault="00C37DE1" w:rsidP="00C85C26">
      <w:pPr>
        <w:pStyle w:val="Heading3"/>
        <w:spacing w:before="0"/>
        <w:ind w:left="0"/>
        <w:jc w:val="center"/>
        <w:rPr>
          <w:noProof/>
          <w:sz w:val="28"/>
          <w:szCs w:val="28"/>
        </w:rPr>
      </w:pPr>
      <w:bookmarkStart w:id="4" w:name="_Toc211859091"/>
      <w:bookmarkStart w:id="5" w:name="_Toc211859560"/>
      <w:r>
        <w:rPr>
          <w:sz w:val="28"/>
        </w:rPr>
        <w:lastRenderedPageBreak/>
        <w:t>Kopsavilkums</w:t>
      </w:r>
      <w:bookmarkEnd w:id="4"/>
      <w:bookmarkEnd w:id="5"/>
    </w:p>
    <w:p w14:paraId="5D9146F1" w14:textId="77777777" w:rsidR="00074D4C" w:rsidRPr="00074D4C" w:rsidRDefault="00074D4C" w:rsidP="00074D4C">
      <w:pPr>
        <w:pStyle w:val="Heading3"/>
        <w:spacing w:before="0"/>
        <w:ind w:left="0"/>
        <w:jc w:val="center"/>
        <w:rPr>
          <w:noProof/>
          <w:sz w:val="28"/>
          <w:szCs w:val="28"/>
        </w:rPr>
      </w:pPr>
    </w:p>
    <w:p w14:paraId="29E9C052" w14:textId="77777777" w:rsidR="00074D4C" w:rsidRDefault="00C37DE1" w:rsidP="00074D4C">
      <w:pPr>
        <w:pStyle w:val="Heading4"/>
        <w:spacing w:before="0"/>
        <w:ind w:left="0" w:firstLine="420"/>
        <w:jc w:val="center"/>
        <w:rPr>
          <w:noProof/>
          <w:color w:val="4E81BC"/>
          <w:sz w:val="28"/>
          <w:szCs w:val="28"/>
        </w:rPr>
      </w:pPr>
      <w:bookmarkStart w:id="6" w:name="_Toc211859092"/>
      <w:r>
        <w:rPr>
          <w:color w:val="4E81BC"/>
          <w:sz w:val="28"/>
        </w:rPr>
        <w:t>Labas prakses piemēru sintēze fiskālā federālisma jomā.</w:t>
      </w:r>
      <w:bookmarkEnd w:id="6"/>
    </w:p>
    <w:p w14:paraId="608B1A42" w14:textId="1D6795C7" w:rsidR="00C37DE1" w:rsidRPr="00074D4C" w:rsidRDefault="00C37DE1" w:rsidP="00074D4C">
      <w:pPr>
        <w:pStyle w:val="Heading4"/>
        <w:spacing w:before="0"/>
        <w:ind w:left="0" w:firstLine="420"/>
        <w:jc w:val="center"/>
        <w:rPr>
          <w:noProof/>
          <w:color w:val="4E81BC"/>
          <w:sz w:val="28"/>
          <w:szCs w:val="28"/>
        </w:rPr>
      </w:pPr>
      <w:bookmarkStart w:id="7" w:name="_Toc211859093"/>
      <w:r>
        <w:rPr>
          <w:color w:val="4E81BC"/>
          <w:sz w:val="28"/>
        </w:rPr>
        <w:t>Galvenie ieteikumi, kas izriet no 15 gadus veiktajiem valstu apsekojumiem</w:t>
      </w:r>
      <w:bookmarkEnd w:id="7"/>
    </w:p>
    <w:p w14:paraId="3244DF64" w14:textId="77777777" w:rsidR="00074D4C" w:rsidRPr="00C85C26" w:rsidRDefault="00074D4C" w:rsidP="00C85C26">
      <w:pPr>
        <w:pStyle w:val="Heading4"/>
        <w:spacing w:before="0"/>
        <w:ind w:left="0" w:firstLine="420"/>
        <w:rPr>
          <w:noProof/>
          <w:color w:val="4E81BC"/>
        </w:rPr>
      </w:pPr>
    </w:p>
    <w:p w14:paraId="537B4EE9" w14:textId="77777777" w:rsidR="00C37DE1" w:rsidRDefault="00C37DE1" w:rsidP="00C85C26">
      <w:pPr>
        <w:pStyle w:val="BodyText"/>
        <w:jc w:val="both"/>
        <w:rPr>
          <w:noProof/>
          <w:sz w:val="24"/>
          <w:szCs w:val="24"/>
        </w:rPr>
      </w:pPr>
      <w:r>
        <w:rPr>
          <w:sz w:val="24"/>
        </w:rPr>
        <w:t xml:space="preserve">Starpvaldību fiskālo attiecību plānojums var palīdzēt nodrošināt, ka nodokļu iekasēšanas un izdevumu pilnvaras tiek piešķirtas tā, lai veicinātu ilgtspējīgu un iekļaujošu ekonomisko izaugsmi. Decentralizācija var ļaut pašvaldībām sniegt labākus sabiedriskos pakalpojumus mājsaimniecībām un uzņēmumiem, bet tā var padarīt starpvaldību sistēmu arī sarežģītāku un netaisnīgāku. Fiskālais federālisms rada izaicinājumus daudzos aspektos un ietver grūtus kompromisus. Šajā sintēzes dokumentā ir apkopots daudz no pēdējos 15 gados veiktā </w:t>
      </w:r>
      <w:r>
        <w:rPr>
          <w:i/>
          <w:iCs/>
          <w:sz w:val="24"/>
        </w:rPr>
        <w:t>OECD</w:t>
      </w:r>
      <w:r>
        <w:rPr>
          <w:sz w:val="24"/>
        </w:rPr>
        <w:t xml:space="preserve"> darba fiskālā federālisma jomā, īpašu uzmanību pievēršot </w:t>
      </w:r>
      <w:r>
        <w:rPr>
          <w:i/>
          <w:iCs/>
          <w:sz w:val="24"/>
        </w:rPr>
        <w:t>OECD</w:t>
      </w:r>
      <w:r>
        <w:rPr>
          <w:sz w:val="24"/>
        </w:rPr>
        <w:t xml:space="preserve"> ekonomikas apsekojumiem. Dokumentā ir izklāstīti labas prakses piemēri par valsts politikas un institūciju koncepciju saistībā ar fiskālās spējas stiprināšanu, pienākumu dalījumu valdības līmeņos un starpvaldību koordinēšanas uzlabošanu.</w:t>
      </w:r>
    </w:p>
    <w:p w14:paraId="14DD41ED" w14:textId="77777777" w:rsidR="00074D4C" w:rsidRPr="00074D4C" w:rsidRDefault="00074D4C" w:rsidP="00C85C26">
      <w:pPr>
        <w:pStyle w:val="BodyText"/>
        <w:jc w:val="both"/>
        <w:rPr>
          <w:noProof/>
          <w:sz w:val="24"/>
          <w:szCs w:val="24"/>
        </w:rPr>
      </w:pPr>
    </w:p>
    <w:p w14:paraId="3C8F20EE" w14:textId="77777777" w:rsidR="00C37DE1" w:rsidRDefault="00C37DE1" w:rsidP="00C85C26">
      <w:pPr>
        <w:pStyle w:val="BodyText"/>
        <w:jc w:val="both"/>
        <w:rPr>
          <w:noProof/>
          <w:sz w:val="24"/>
          <w:szCs w:val="24"/>
        </w:rPr>
      </w:pPr>
      <w:r>
        <w:rPr>
          <w:sz w:val="24"/>
        </w:rPr>
        <w:t>Atslēgvārdi: fiskālā decentralizācija, nodokļu politika, naudas izlietojums, sabiedrisko pakalpojumu sniegšana, starpvaldību koordinēšana</w:t>
      </w:r>
    </w:p>
    <w:p w14:paraId="5F20EA94" w14:textId="77777777" w:rsidR="00074D4C" w:rsidRPr="00074D4C" w:rsidRDefault="00074D4C" w:rsidP="00C85C26">
      <w:pPr>
        <w:pStyle w:val="BodyText"/>
        <w:jc w:val="both"/>
        <w:rPr>
          <w:noProof/>
          <w:sz w:val="24"/>
          <w:szCs w:val="24"/>
        </w:rPr>
      </w:pPr>
    </w:p>
    <w:p w14:paraId="59EF0D98" w14:textId="77777777" w:rsidR="00C37DE1" w:rsidRPr="00074D4C" w:rsidRDefault="00C37DE1" w:rsidP="00C85C26">
      <w:pPr>
        <w:pStyle w:val="BodyText"/>
        <w:jc w:val="both"/>
        <w:rPr>
          <w:noProof/>
          <w:sz w:val="24"/>
          <w:szCs w:val="24"/>
        </w:rPr>
      </w:pPr>
      <w:r>
        <w:rPr>
          <w:sz w:val="24"/>
        </w:rPr>
        <w:t>JEL klasifikācija: H71, H73, H75</w:t>
      </w:r>
    </w:p>
    <w:p w14:paraId="42E976D5" w14:textId="77777777" w:rsidR="00C37DE1" w:rsidRPr="00074D4C" w:rsidRDefault="00C37DE1" w:rsidP="00C85C26">
      <w:pPr>
        <w:pStyle w:val="BodyText"/>
        <w:rPr>
          <w:noProof/>
          <w:sz w:val="24"/>
          <w:szCs w:val="24"/>
        </w:rPr>
      </w:pPr>
    </w:p>
    <w:p w14:paraId="11809177" w14:textId="77777777" w:rsidR="00C37DE1" w:rsidRPr="00074D4C" w:rsidRDefault="00C37DE1" w:rsidP="00074D4C">
      <w:pPr>
        <w:pStyle w:val="BodyText"/>
        <w:jc w:val="center"/>
        <w:rPr>
          <w:noProof/>
          <w:sz w:val="28"/>
          <w:szCs w:val="28"/>
        </w:rPr>
      </w:pPr>
    </w:p>
    <w:p w14:paraId="374B749D" w14:textId="77777777" w:rsidR="00074D4C" w:rsidRPr="00074D4C" w:rsidRDefault="00074D4C" w:rsidP="00074D4C">
      <w:pPr>
        <w:jc w:val="center"/>
        <w:rPr>
          <w:sz w:val="24"/>
          <w:szCs w:val="24"/>
        </w:rPr>
      </w:pPr>
      <w:r>
        <w:rPr>
          <w:sz w:val="28"/>
        </w:rPr>
        <w:t>*****</w:t>
      </w:r>
    </w:p>
    <w:p w14:paraId="1F4D7257" w14:textId="167F9388" w:rsidR="00074D4C" w:rsidRPr="00074D4C" w:rsidRDefault="00074D4C" w:rsidP="00074D4C">
      <w:pPr>
        <w:jc w:val="center"/>
        <w:rPr>
          <w:noProof/>
          <w:sz w:val="28"/>
          <w:szCs w:val="28"/>
        </w:rPr>
      </w:pPr>
    </w:p>
    <w:p w14:paraId="53ED03C1" w14:textId="77777777" w:rsidR="00C37DE1" w:rsidRPr="00074D4C" w:rsidRDefault="00C37DE1" w:rsidP="00074D4C">
      <w:pPr>
        <w:pStyle w:val="Heading3"/>
        <w:spacing w:before="0"/>
        <w:ind w:left="0"/>
        <w:jc w:val="center"/>
        <w:rPr>
          <w:noProof/>
          <w:sz w:val="28"/>
          <w:szCs w:val="28"/>
        </w:rPr>
      </w:pPr>
      <w:bookmarkStart w:id="8" w:name="_Toc211859094"/>
      <w:bookmarkStart w:id="9" w:name="_Toc211859561"/>
      <w:r>
        <w:rPr>
          <w:sz w:val="28"/>
        </w:rPr>
        <w:t>Résumé</w:t>
      </w:r>
      <w:bookmarkEnd w:id="8"/>
      <w:bookmarkEnd w:id="9"/>
    </w:p>
    <w:p w14:paraId="0F4414B8" w14:textId="77777777" w:rsidR="00074D4C" w:rsidRPr="00074D4C" w:rsidRDefault="00074D4C" w:rsidP="00074D4C">
      <w:pPr>
        <w:pStyle w:val="Heading3"/>
        <w:spacing w:before="0"/>
        <w:ind w:left="0"/>
        <w:jc w:val="center"/>
        <w:rPr>
          <w:noProof/>
          <w:sz w:val="28"/>
          <w:szCs w:val="28"/>
        </w:rPr>
      </w:pPr>
    </w:p>
    <w:p w14:paraId="46B5EBA3" w14:textId="64C58B51" w:rsidR="00C37DE1" w:rsidRPr="00074D4C" w:rsidRDefault="00C37DE1" w:rsidP="00074D4C">
      <w:pPr>
        <w:pStyle w:val="Heading4"/>
        <w:spacing w:before="0"/>
        <w:ind w:left="0" w:firstLine="177"/>
        <w:jc w:val="center"/>
        <w:rPr>
          <w:noProof/>
          <w:color w:val="4E81BC"/>
          <w:sz w:val="28"/>
          <w:szCs w:val="28"/>
        </w:rPr>
      </w:pPr>
      <w:bookmarkStart w:id="10" w:name="Fédéralisme_budgétaire_-_Établir_une_syn"/>
      <w:bookmarkStart w:id="11" w:name="_Toc211859095"/>
      <w:bookmarkEnd w:id="10"/>
      <w:r>
        <w:rPr>
          <w:color w:val="4E81BC"/>
          <w:sz w:val="28"/>
        </w:rPr>
        <w:t>Fédéralisme budgétaire - Établir une synthèse des bonnes pratiques: Principales recommandations issues de quinze années d’Études par pays</w:t>
      </w:r>
      <w:bookmarkEnd w:id="11"/>
    </w:p>
    <w:p w14:paraId="411C0778" w14:textId="77777777" w:rsidR="00074D4C" w:rsidRPr="00074D4C" w:rsidRDefault="00074D4C" w:rsidP="00C85C26">
      <w:pPr>
        <w:pStyle w:val="Heading4"/>
        <w:spacing w:before="0"/>
        <w:ind w:left="0" w:firstLine="177"/>
        <w:jc w:val="both"/>
        <w:rPr>
          <w:noProof/>
          <w:color w:val="4E81BC"/>
        </w:rPr>
      </w:pPr>
    </w:p>
    <w:p w14:paraId="4C1DB4F7" w14:textId="77777777" w:rsidR="00C37DE1" w:rsidRDefault="00C37DE1" w:rsidP="00C85C26">
      <w:pPr>
        <w:pStyle w:val="BodyText"/>
        <w:jc w:val="both"/>
        <w:rPr>
          <w:noProof/>
          <w:sz w:val="24"/>
          <w:szCs w:val="24"/>
        </w:rPr>
      </w:pPr>
      <w:r>
        <w:rPr>
          <w:sz w:val="24"/>
        </w:rPr>
        <w:t>La manière dont sont articulées les relations budgétaires entre les différentes composantes de l’administration peut contribuer à garantir que les compétences fiscales et les prérogatives en matière de dépenses sont réparties de façon à favoriser une croissance économique durable et inclusive. La décentralisation peut aider les administrations infranationales à offrir des services publics de meilleure qualité aux ménages et aux entreprises, mais peut aussi rendre plus complexes les cadres inter-administrations, avec des conséquences négatives en termes d’équité. Les enjeux du fédéralisme budgétaire sont multiples, et impliquent des arbitrages délicats. Le présent document de synthèse reprend une grande partie des travaux menés par l’OCDE sur le fédéralisme budgétaire au cours des quinze dernières années, en particulier dans les Études économiques de l’OCDE. On y recense un certain nombre de bonnes pratiques concernant la définition des politiques publiques et la conception des institutions d'un pays, considéré du point de vue du renforcement des capacités budgétaires, de la répartition des responsabilités entre les différents niveaux de l’administration et d’une meilleure coordination au sein de l’administration.</w:t>
      </w:r>
    </w:p>
    <w:p w14:paraId="76DAED1E" w14:textId="77777777" w:rsidR="00975F0A" w:rsidRPr="00074D4C" w:rsidRDefault="00975F0A" w:rsidP="00C85C26">
      <w:pPr>
        <w:pStyle w:val="BodyText"/>
        <w:jc w:val="both"/>
        <w:rPr>
          <w:noProof/>
          <w:sz w:val="24"/>
          <w:szCs w:val="24"/>
        </w:rPr>
      </w:pPr>
    </w:p>
    <w:p w14:paraId="2AB43F06" w14:textId="77777777" w:rsidR="00C37DE1" w:rsidRDefault="00C37DE1" w:rsidP="00C85C26">
      <w:pPr>
        <w:pStyle w:val="BodyText"/>
        <w:jc w:val="both"/>
        <w:rPr>
          <w:noProof/>
          <w:sz w:val="24"/>
          <w:szCs w:val="24"/>
        </w:rPr>
      </w:pPr>
      <w:r>
        <w:rPr>
          <w:sz w:val="24"/>
        </w:rPr>
        <w:t>Mots-clés : Décentralisation budgétaire, fiscalité, dépenses, fourniture de services publics, coordination inter-administrations.</w:t>
      </w:r>
    </w:p>
    <w:p w14:paraId="4F342E6A" w14:textId="77777777" w:rsidR="00975F0A" w:rsidRPr="00074D4C" w:rsidRDefault="00975F0A" w:rsidP="00C85C26">
      <w:pPr>
        <w:pStyle w:val="BodyText"/>
        <w:jc w:val="both"/>
        <w:rPr>
          <w:noProof/>
          <w:sz w:val="24"/>
          <w:szCs w:val="24"/>
        </w:rPr>
      </w:pPr>
    </w:p>
    <w:p w14:paraId="5FE2941B" w14:textId="77777777" w:rsidR="00C37DE1" w:rsidRPr="00074D4C" w:rsidRDefault="00C37DE1" w:rsidP="00C85C26">
      <w:pPr>
        <w:pStyle w:val="BodyText"/>
        <w:jc w:val="both"/>
        <w:rPr>
          <w:noProof/>
          <w:sz w:val="24"/>
          <w:szCs w:val="24"/>
        </w:rPr>
      </w:pPr>
      <w:r>
        <w:rPr>
          <w:sz w:val="24"/>
        </w:rPr>
        <w:t>Classification JEL : H71, H73, H75</w:t>
      </w:r>
    </w:p>
    <w:p w14:paraId="2975B31F" w14:textId="77777777" w:rsidR="00C85C26" w:rsidRPr="00074D4C" w:rsidRDefault="00C85C26" w:rsidP="00C85C26">
      <w:pPr>
        <w:pStyle w:val="BodyText"/>
        <w:jc w:val="both"/>
        <w:rPr>
          <w:noProof/>
          <w:sz w:val="24"/>
          <w:szCs w:val="24"/>
        </w:rPr>
      </w:pPr>
    </w:p>
    <w:p w14:paraId="721FEC8E" w14:textId="77777777" w:rsidR="00C37DE1" w:rsidRPr="00074D4C" w:rsidRDefault="00C37DE1" w:rsidP="00C85C26">
      <w:pPr>
        <w:pStyle w:val="BodyText"/>
        <w:rPr>
          <w:noProof/>
          <w:sz w:val="24"/>
          <w:szCs w:val="24"/>
        </w:rPr>
      </w:pPr>
    </w:p>
    <w:p w14:paraId="4DC2FA59" w14:textId="0B1DBBBF" w:rsidR="00C37DE1" w:rsidRPr="00074D4C" w:rsidRDefault="00C37DE1" w:rsidP="00C85C26">
      <w:pPr>
        <w:jc w:val="center"/>
        <w:rPr>
          <w:b/>
          <w:i/>
          <w:noProof/>
          <w:color w:val="4E81BC"/>
          <w:sz w:val="24"/>
          <w:szCs w:val="24"/>
        </w:rPr>
      </w:pPr>
      <w:bookmarkStart w:id="12" w:name="_bookmark0"/>
      <w:bookmarkEnd w:id="12"/>
      <w:r>
        <w:rPr>
          <w:b/>
          <w:i/>
          <w:color w:val="4E81BC"/>
          <w:sz w:val="28"/>
        </w:rPr>
        <w:t>Labas prakses piemēru sintēze fiskālā federālisma jomā</w:t>
      </w:r>
      <w:bookmarkStart w:id="13" w:name="Synthesising_good_practices_in_fiscal_fe"/>
      <w:bookmarkEnd w:id="13"/>
    </w:p>
    <w:p w14:paraId="4C0AFE6D" w14:textId="77777777" w:rsidR="00C37DE1" w:rsidRPr="00074D4C" w:rsidRDefault="00C37DE1" w:rsidP="00C85C26">
      <w:pPr>
        <w:pStyle w:val="BodyText"/>
        <w:rPr>
          <w:b/>
          <w:i/>
          <w:noProof/>
          <w:sz w:val="24"/>
          <w:szCs w:val="24"/>
        </w:rPr>
      </w:pPr>
    </w:p>
    <w:p w14:paraId="5CCF6A1F" w14:textId="77777777" w:rsidR="00C37DE1" w:rsidRPr="00074D4C" w:rsidRDefault="00C37DE1" w:rsidP="00C85C26">
      <w:pPr>
        <w:pStyle w:val="BodyText"/>
        <w:rPr>
          <w:b/>
          <w:i/>
          <w:noProof/>
          <w:sz w:val="24"/>
          <w:szCs w:val="24"/>
        </w:rPr>
      </w:pPr>
    </w:p>
    <w:p w14:paraId="1C270EE4" w14:textId="77777777" w:rsidR="00C37DE1" w:rsidRPr="00074D4C" w:rsidRDefault="00C37DE1" w:rsidP="00C85C26">
      <w:pPr>
        <w:pStyle w:val="BodyText"/>
        <w:rPr>
          <w:b/>
          <w:i/>
          <w:noProof/>
          <w:sz w:val="24"/>
          <w:szCs w:val="24"/>
        </w:rPr>
      </w:pPr>
    </w:p>
    <w:p w14:paraId="2172FC53" w14:textId="350128A8" w:rsidR="00C37DE1" w:rsidRDefault="00D6221E" w:rsidP="00D6221E">
      <w:pPr>
        <w:pStyle w:val="Heading4"/>
        <w:tabs>
          <w:tab w:val="left" w:pos="1044"/>
        </w:tabs>
        <w:spacing w:before="0"/>
        <w:ind w:left="0" w:firstLine="0"/>
        <w:rPr>
          <w:noProof/>
          <w:color w:val="4E81BC"/>
          <w:sz w:val="28"/>
          <w:szCs w:val="28"/>
        </w:rPr>
      </w:pPr>
      <w:bookmarkStart w:id="14" w:name="1.__Introduction"/>
      <w:bookmarkStart w:id="15" w:name="_bookmark1"/>
      <w:bookmarkStart w:id="16" w:name="_Toc211859096"/>
      <w:bookmarkEnd w:id="14"/>
      <w:bookmarkEnd w:id="15"/>
      <w:r>
        <w:rPr>
          <w:color w:val="4E81BC"/>
          <w:sz w:val="28"/>
        </w:rPr>
        <w:t>1. Ievads</w:t>
      </w:r>
      <w:bookmarkEnd w:id="16"/>
    </w:p>
    <w:p w14:paraId="6C41BEF8" w14:textId="77777777" w:rsidR="00D6221E" w:rsidRPr="00D6221E" w:rsidRDefault="00D6221E" w:rsidP="00D6221E">
      <w:pPr>
        <w:pStyle w:val="Heading4"/>
        <w:tabs>
          <w:tab w:val="left" w:pos="1044"/>
        </w:tabs>
        <w:spacing w:before="0"/>
        <w:ind w:left="0" w:firstLine="0"/>
        <w:rPr>
          <w:noProof/>
          <w:color w:val="4E81BC"/>
          <w:sz w:val="28"/>
          <w:szCs w:val="28"/>
        </w:rPr>
      </w:pPr>
    </w:p>
    <w:p w14:paraId="5346B82B" w14:textId="704B7F71" w:rsidR="00C37DE1" w:rsidRDefault="00D6221E" w:rsidP="00D6221E">
      <w:pPr>
        <w:pStyle w:val="ListParagraph"/>
        <w:tabs>
          <w:tab w:val="left" w:pos="2024"/>
        </w:tabs>
        <w:ind w:left="0"/>
        <w:rPr>
          <w:noProof/>
          <w:sz w:val="24"/>
          <w:szCs w:val="24"/>
        </w:rPr>
      </w:pPr>
      <w:r>
        <w:rPr>
          <w:sz w:val="24"/>
        </w:rPr>
        <w:t>1. Fiskālais federālisms ir nodokļu autonomijas un izdevumu autonomijas sadalījums pa valdības līmeņiem. Ar decentralizāciju valdības var panākt to, ka sabiedriskie pakalpojumi nonāk tuvāk mājsaimniecībām un uzņēmumiem, ļaujot labāk pielāgoties vietējām preferencēm. Tomēr decentralizācija var padarīt starpvaldību fiskālo sistēmu sarežģītāku un palielināt reģionu nevienlīdzības risku, ja vien šī sistēma netiek pienācīgi veidota. Attiecīgi, piešķirot nodokļu autonomiju un izdevumu autonomiju, jārod vairāki svarīgi kompromisi. Turklāt saimnieciskās darbības globalizācija un ģeogrāfiskā koncentrācija maina fiskālās sistēmas aprises, un pašvaldību loma aizvien ir vitāli svarīga (Boadway un Dougherty, 2019</w:t>
      </w:r>
      <w:r>
        <w:rPr>
          <w:sz w:val="24"/>
          <w:vertAlign w:val="superscript"/>
        </w:rPr>
        <w:t>[1]</w:t>
      </w:r>
      <w:r>
        <w:rPr>
          <w:sz w:val="24"/>
        </w:rPr>
        <w:t>).</w:t>
      </w:r>
    </w:p>
    <w:p w14:paraId="0C4F7DD5" w14:textId="77777777" w:rsidR="00D6221E" w:rsidRPr="00074D4C" w:rsidRDefault="00D6221E" w:rsidP="00D6221E">
      <w:pPr>
        <w:pStyle w:val="ListParagraph"/>
        <w:tabs>
          <w:tab w:val="left" w:pos="2024"/>
        </w:tabs>
        <w:ind w:left="0"/>
        <w:rPr>
          <w:noProof/>
          <w:sz w:val="24"/>
          <w:szCs w:val="24"/>
        </w:rPr>
      </w:pPr>
    </w:p>
    <w:p w14:paraId="5B14366A" w14:textId="628127B8" w:rsidR="00C37DE1" w:rsidRPr="00074D4C" w:rsidRDefault="00D6221E" w:rsidP="00D6221E">
      <w:pPr>
        <w:pStyle w:val="ListParagraph"/>
        <w:tabs>
          <w:tab w:val="left" w:pos="2024"/>
        </w:tabs>
        <w:ind w:left="0"/>
        <w:rPr>
          <w:noProof/>
          <w:sz w:val="24"/>
          <w:szCs w:val="24"/>
        </w:rPr>
      </w:pPr>
      <w:r>
        <w:rPr>
          <w:sz w:val="24"/>
        </w:rPr>
        <w:t xml:space="preserve">2. Šajā sintēzes dokumentā ir sniegts pārskats par pētniecību par fiskālo federālismu pa valstīm un atsevišķu valstu pieredzi, lai konsolidētu </w:t>
      </w:r>
      <w:r>
        <w:rPr>
          <w:i/>
          <w:iCs/>
          <w:sz w:val="24"/>
        </w:rPr>
        <w:t>OECD</w:t>
      </w:r>
      <w:r>
        <w:rPr>
          <w:sz w:val="24"/>
        </w:rPr>
        <w:t xml:space="preserve"> ieteikumus ar mērķi uzlabot fiskālās attiecības visos valdības līmeņos. Tālab tajā ir iekļauti atzinumi un ieteikumi, kas sniegti valsts līmeņa </w:t>
      </w:r>
      <w:r>
        <w:rPr>
          <w:i/>
          <w:iCs/>
          <w:sz w:val="24"/>
        </w:rPr>
        <w:t>ekonomikas apsekojumos</w:t>
      </w:r>
      <w:r>
        <w:rPr>
          <w:sz w:val="24"/>
        </w:rPr>
        <w:t xml:space="preserve"> pēdējos piecpadsmit gados kopš Pārvaldes līmeņu fiskālo attiecību tīkla izveides. Šie ieteikumi nepieņem kā priekšnoteikumu unikālus nosacījumus, ar kuriem saskaras katra jurisdikcija, ne arī iesaka vienu “recepti” labākam iznākumam. Drīzāk tie sniedz norādes politikas veidotājiem par to, kādas alternatīvas politikas iespējas izvērtēt un kādi ir saistītie kompromisi.</w:t>
      </w:r>
    </w:p>
    <w:p w14:paraId="72D637F1" w14:textId="77777777" w:rsidR="00D6221E" w:rsidRDefault="00D6221E" w:rsidP="00D6221E">
      <w:pPr>
        <w:pStyle w:val="Heading5"/>
        <w:tabs>
          <w:tab w:val="left" w:pos="1903"/>
        </w:tabs>
        <w:ind w:left="0" w:firstLine="0"/>
        <w:jc w:val="left"/>
        <w:rPr>
          <w:noProof/>
        </w:rPr>
      </w:pPr>
      <w:bookmarkStart w:id="17" w:name="1.1.__Policies_for_fiscal_decentralisati"/>
      <w:bookmarkStart w:id="18" w:name="_bookmark2"/>
      <w:bookmarkEnd w:id="17"/>
      <w:bookmarkEnd w:id="18"/>
    </w:p>
    <w:p w14:paraId="4327E536" w14:textId="77777777" w:rsidR="000C19B4" w:rsidRDefault="000C19B4" w:rsidP="00D6221E">
      <w:pPr>
        <w:pStyle w:val="Heading5"/>
        <w:tabs>
          <w:tab w:val="left" w:pos="1903"/>
        </w:tabs>
        <w:ind w:left="0" w:firstLine="0"/>
        <w:jc w:val="left"/>
        <w:rPr>
          <w:noProof/>
        </w:rPr>
      </w:pPr>
    </w:p>
    <w:p w14:paraId="317876D2" w14:textId="19ECCF7D" w:rsidR="00C37DE1" w:rsidRPr="00D6221E" w:rsidRDefault="00D6221E" w:rsidP="00D6221E">
      <w:pPr>
        <w:pStyle w:val="Heading5"/>
        <w:tabs>
          <w:tab w:val="left" w:pos="1903"/>
        </w:tabs>
        <w:ind w:left="0" w:firstLine="0"/>
        <w:jc w:val="left"/>
        <w:rPr>
          <w:noProof/>
          <w:sz w:val="28"/>
          <w:szCs w:val="28"/>
        </w:rPr>
      </w:pPr>
      <w:bookmarkStart w:id="19" w:name="_Toc211859097"/>
      <w:r>
        <w:rPr>
          <w:sz w:val="28"/>
        </w:rPr>
        <w:t>1.1. Fiskālās decentralizācijas politika. OECD valstu apsekojumu meta analīze</w:t>
      </w:r>
      <w:bookmarkEnd w:id="19"/>
    </w:p>
    <w:p w14:paraId="40C6521A" w14:textId="77777777" w:rsidR="00D6221E" w:rsidRDefault="00D6221E" w:rsidP="00D6221E">
      <w:pPr>
        <w:pStyle w:val="ListParagraph"/>
        <w:tabs>
          <w:tab w:val="left" w:pos="2024"/>
        </w:tabs>
        <w:ind w:left="0"/>
        <w:jc w:val="left"/>
        <w:rPr>
          <w:noProof/>
          <w:sz w:val="24"/>
          <w:szCs w:val="24"/>
        </w:rPr>
      </w:pPr>
    </w:p>
    <w:p w14:paraId="757328DB" w14:textId="2D2A3B23" w:rsidR="005C6EA2" w:rsidRDefault="00D6221E" w:rsidP="00D6221E">
      <w:pPr>
        <w:pStyle w:val="ListParagraph"/>
        <w:tabs>
          <w:tab w:val="left" w:pos="2024"/>
        </w:tabs>
        <w:ind w:left="0"/>
        <w:rPr>
          <w:sz w:val="24"/>
        </w:rPr>
      </w:pPr>
      <w:r>
        <w:rPr>
          <w:sz w:val="24"/>
        </w:rPr>
        <w:t xml:space="preserve">3. Šajā dokumentā ir analizēta bagātīga </w:t>
      </w:r>
      <w:r>
        <w:rPr>
          <w:i/>
          <w:iCs/>
          <w:sz w:val="24"/>
        </w:rPr>
        <w:t>OECD</w:t>
      </w:r>
      <w:r>
        <w:rPr>
          <w:sz w:val="24"/>
        </w:rPr>
        <w:t xml:space="preserve"> datubāze, kurā ietverti valsts līmeņa ieteikumi un empīriskais darbs, lai palīdzētu noteikt efektīvu fiskālo attiecību pamatu visos valdības līmeņos. Šeit ir apkopoti triju veidu pamatieteikumi un saistītie pakārtotie ieteikumi, kas ir vispārēji apsvērumi par labas prakses piemēriem fiskālajā federālismā (1. ierāmējums). Dokumenta 1. attēlā izlases veidā sniegti galvenie diagnosticējošie apsvērumi, kas ievada šos trīs primāros ieteikumus.</w:t>
      </w:r>
    </w:p>
    <w:p w14:paraId="482B696F" w14:textId="77777777" w:rsidR="005C6EA2" w:rsidRDefault="005C6EA2">
      <w:pPr>
        <w:rPr>
          <w:sz w:val="24"/>
        </w:rPr>
      </w:pPr>
      <w:r>
        <w:rPr>
          <w:sz w:val="24"/>
        </w:rPr>
        <w:br w:type="page"/>
      </w:r>
    </w:p>
    <w:p w14:paraId="1BE7F838" w14:textId="77777777" w:rsidR="00C37DE1" w:rsidRDefault="00C37DE1" w:rsidP="00D6221E">
      <w:pPr>
        <w:pStyle w:val="ListParagraph"/>
        <w:tabs>
          <w:tab w:val="left" w:pos="2024"/>
        </w:tabs>
        <w:ind w:left="0"/>
        <w:rPr>
          <w:noProof/>
          <w:sz w:val="24"/>
          <w:szCs w:val="24"/>
        </w:rPr>
      </w:pPr>
    </w:p>
    <w:p w14:paraId="5D04B0ED" w14:textId="77777777" w:rsidR="000C19B4" w:rsidRPr="00074D4C" w:rsidRDefault="000C19B4" w:rsidP="00D6221E">
      <w:pPr>
        <w:pStyle w:val="ListParagraph"/>
        <w:tabs>
          <w:tab w:val="left" w:pos="2024"/>
        </w:tabs>
        <w:ind w:left="0"/>
        <w:rPr>
          <w:noProof/>
          <w:sz w:val="24"/>
          <w:szCs w:val="24"/>
        </w:rPr>
      </w:pPr>
    </w:p>
    <w:tbl>
      <w:tblPr>
        <w:tblStyle w:val="TableGrid"/>
        <w:tblW w:w="5000" w:type="pct"/>
        <w:shd w:val="clear" w:color="auto" w:fill="F2F2F2" w:themeFill="background1" w:themeFillShade="F2"/>
        <w:tblCellMar>
          <w:top w:w="28" w:type="dxa"/>
          <w:left w:w="28" w:type="dxa"/>
          <w:bottom w:w="28" w:type="dxa"/>
          <w:right w:w="28" w:type="dxa"/>
        </w:tblCellMar>
        <w:tblLook w:val="04A0" w:firstRow="1" w:lastRow="0" w:firstColumn="1" w:lastColumn="0" w:noHBand="0" w:noVBand="1"/>
      </w:tblPr>
      <w:tblGrid>
        <w:gridCol w:w="9131"/>
      </w:tblGrid>
      <w:tr w:rsidR="00D6221E" w14:paraId="3282EB5F" w14:textId="77777777" w:rsidTr="00D6221E">
        <w:tc>
          <w:tcPr>
            <w:tcW w:w="5000" w:type="pct"/>
            <w:shd w:val="clear" w:color="auto" w:fill="F2F2F2" w:themeFill="background1" w:themeFillShade="F2"/>
          </w:tcPr>
          <w:p w14:paraId="7596DC1A" w14:textId="187D5DA0" w:rsidR="00D6221E" w:rsidRPr="004361BB" w:rsidRDefault="00D6221E" w:rsidP="004361BB">
            <w:pPr>
              <w:pStyle w:val="Heading3"/>
              <w:jc w:val="center"/>
              <w:rPr>
                <w:i w:val="0"/>
                <w:iCs w:val="0"/>
                <w:sz w:val="24"/>
                <w:szCs w:val="24"/>
              </w:rPr>
            </w:pPr>
            <w:r>
              <w:br w:type="page"/>
            </w:r>
            <w:bookmarkStart w:id="20" w:name="_Toc211859562"/>
            <w:r w:rsidRPr="001970BD">
              <w:rPr>
                <w:i w:val="0"/>
                <w:iCs w:val="0"/>
                <w:sz w:val="24"/>
                <w:szCs w:val="24"/>
              </w:rPr>
              <w:t>1. ierāmējums. Fiskālā federālisma sintēzes satvars</w:t>
            </w:r>
            <w:bookmarkEnd w:id="20"/>
          </w:p>
          <w:p w14:paraId="3786D459" w14:textId="77777777" w:rsidR="00D6221E" w:rsidRPr="00C37DE1" w:rsidRDefault="00D6221E" w:rsidP="00D6221E">
            <w:pPr>
              <w:pStyle w:val="BodyText"/>
              <w:spacing w:before="5"/>
              <w:ind w:left="170" w:right="170"/>
              <w:rPr>
                <w:b/>
                <w:noProof/>
                <w:color w:val="000000"/>
                <w:sz w:val="20"/>
              </w:rPr>
            </w:pPr>
          </w:p>
          <w:p w14:paraId="4A8D1A65" w14:textId="77777777" w:rsidR="00D6221E" w:rsidRPr="00D6221E" w:rsidRDefault="00D6221E" w:rsidP="00D6221E">
            <w:pPr>
              <w:numPr>
                <w:ilvl w:val="0"/>
                <w:numId w:val="9"/>
              </w:numPr>
              <w:tabs>
                <w:tab w:val="left" w:pos="851"/>
              </w:tabs>
              <w:ind w:left="567" w:right="170"/>
              <w:jc w:val="both"/>
              <w:rPr>
                <w:noProof/>
                <w:color w:val="000000"/>
                <w:sz w:val="24"/>
                <w:szCs w:val="24"/>
              </w:rPr>
            </w:pPr>
            <w:r>
              <w:rPr>
                <w:b/>
                <w:bCs/>
                <w:color w:val="000000"/>
                <w:sz w:val="24"/>
              </w:rPr>
              <w:t>I veids. “Fiskālās spējas” ieteikumi</w:t>
            </w:r>
            <w:r>
              <w:rPr>
                <w:color w:val="000000"/>
                <w:sz w:val="24"/>
              </w:rPr>
              <w:t> – stiprināt pašvaldību pilnvaras nodokļu autonomijas un izdevumu autonomijas jomā, lai valdības varētu labāk reaģēt uz vietējām vajadzībām un reģionālām atšķirībām.</w:t>
            </w:r>
          </w:p>
          <w:p w14:paraId="223A7A25" w14:textId="637943AE" w:rsidR="00D6221E" w:rsidRPr="00D6221E" w:rsidRDefault="00D6221E" w:rsidP="00D6221E">
            <w:pPr>
              <w:pStyle w:val="BodyText"/>
              <w:tabs>
                <w:tab w:val="left" w:pos="1071"/>
              </w:tabs>
              <w:spacing w:before="119"/>
              <w:ind w:left="567" w:right="170"/>
              <w:rPr>
                <w:noProof/>
                <w:color w:val="000000"/>
                <w:sz w:val="24"/>
                <w:szCs w:val="24"/>
              </w:rPr>
            </w:pPr>
            <w:r>
              <w:rPr>
                <w:color w:val="000000"/>
                <w:sz w:val="24"/>
              </w:rPr>
              <w:t>1. Labāk salāgot ieņēmumus no pašu avotiem ar izdevumiem pašvaldību līmenī</w:t>
            </w:r>
          </w:p>
          <w:p w14:paraId="386CB509" w14:textId="07DA66A4" w:rsidR="00D6221E" w:rsidRPr="00D6221E" w:rsidRDefault="00D6221E" w:rsidP="00D6221E">
            <w:pPr>
              <w:pStyle w:val="BodyText"/>
              <w:tabs>
                <w:tab w:val="left" w:pos="1071"/>
              </w:tabs>
              <w:spacing w:before="119"/>
              <w:ind w:left="567" w:right="170"/>
              <w:rPr>
                <w:noProof/>
                <w:color w:val="000000"/>
                <w:sz w:val="24"/>
                <w:szCs w:val="24"/>
              </w:rPr>
            </w:pPr>
            <w:r>
              <w:rPr>
                <w:color w:val="000000"/>
                <w:sz w:val="24"/>
              </w:rPr>
              <w:t>2. Celt nodokļu autonomiju pašvaldību līmenī, lai nodrošinātu pietiekamu spēju</w:t>
            </w:r>
          </w:p>
          <w:p w14:paraId="3D69DAB5" w14:textId="2B74F7FF" w:rsidR="00D6221E" w:rsidRPr="00D6221E" w:rsidRDefault="00D6221E" w:rsidP="00D6221E">
            <w:pPr>
              <w:pStyle w:val="BodyText"/>
              <w:tabs>
                <w:tab w:val="left" w:pos="1071"/>
              </w:tabs>
              <w:spacing w:before="121"/>
              <w:ind w:left="567" w:right="170"/>
              <w:rPr>
                <w:noProof/>
                <w:color w:val="000000"/>
                <w:sz w:val="24"/>
                <w:szCs w:val="24"/>
              </w:rPr>
            </w:pPr>
            <w:r>
              <w:rPr>
                <w:color w:val="000000"/>
                <w:sz w:val="24"/>
              </w:rPr>
              <w:t>3. Stiprināt fiskālās izlīdzināšanas sistēmas</w:t>
            </w:r>
          </w:p>
          <w:p w14:paraId="20F833B0" w14:textId="77777777" w:rsidR="00D6221E" w:rsidRPr="00D6221E" w:rsidRDefault="00D6221E" w:rsidP="00D6221E">
            <w:pPr>
              <w:numPr>
                <w:ilvl w:val="0"/>
                <w:numId w:val="9"/>
              </w:numPr>
              <w:tabs>
                <w:tab w:val="left" w:pos="851"/>
              </w:tabs>
              <w:spacing w:before="120"/>
              <w:ind w:left="567" w:right="170"/>
              <w:rPr>
                <w:noProof/>
                <w:color w:val="000000"/>
                <w:sz w:val="24"/>
                <w:szCs w:val="24"/>
              </w:rPr>
            </w:pPr>
            <w:r>
              <w:rPr>
                <w:b/>
                <w:color w:val="000000"/>
                <w:sz w:val="24"/>
              </w:rPr>
              <w:t xml:space="preserve">II veids. </w:t>
            </w:r>
            <w:r>
              <w:rPr>
                <w:b/>
                <w:bCs/>
                <w:color w:val="000000"/>
                <w:sz w:val="24"/>
              </w:rPr>
              <w:t>“Robežu noteikšanas” ieteikumi</w:t>
            </w:r>
            <w:r>
              <w:rPr>
                <w:color w:val="000000"/>
                <w:sz w:val="24"/>
              </w:rPr>
              <w:t> – skaidri nošķirt pienākumus vertikāli un horizontāli, lai uzlabotu efektivitāti un taisnīgumu.</w:t>
            </w:r>
          </w:p>
          <w:p w14:paraId="6CE3A9EC" w14:textId="77777777" w:rsidR="00D6221E" w:rsidRPr="00D6221E" w:rsidRDefault="00D6221E" w:rsidP="00D6221E">
            <w:pPr>
              <w:pStyle w:val="BodyText"/>
              <w:spacing w:before="120"/>
              <w:ind w:left="567" w:right="170"/>
              <w:rPr>
                <w:noProof/>
                <w:color w:val="000000"/>
                <w:sz w:val="24"/>
                <w:szCs w:val="24"/>
              </w:rPr>
            </w:pPr>
            <w:r>
              <w:rPr>
                <w:color w:val="000000"/>
                <w:sz w:val="24"/>
              </w:rPr>
              <w:t>4. Skaidri nošķirt funkcijas un pienākumus visos valdības līmeņos</w:t>
            </w:r>
          </w:p>
          <w:p w14:paraId="74FAAB68" w14:textId="77777777" w:rsidR="00D6221E" w:rsidRPr="00D6221E" w:rsidRDefault="00D6221E" w:rsidP="00D6221E">
            <w:pPr>
              <w:numPr>
                <w:ilvl w:val="0"/>
                <w:numId w:val="8"/>
              </w:numPr>
              <w:tabs>
                <w:tab w:val="left" w:pos="851"/>
              </w:tabs>
              <w:spacing w:before="120"/>
              <w:ind w:left="567" w:right="170"/>
              <w:rPr>
                <w:noProof/>
                <w:color w:val="000000"/>
                <w:sz w:val="24"/>
                <w:szCs w:val="24"/>
              </w:rPr>
            </w:pPr>
            <w:r>
              <w:rPr>
                <w:b/>
                <w:color w:val="000000"/>
                <w:sz w:val="24"/>
              </w:rPr>
              <w:t xml:space="preserve">III veids. </w:t>
            </w:r>
            <w:r>
              <w:rPr>
                <w:b/>
                <w:bCs/>
                <w:color w:val="000000"/>
                <w:sz w:val="24"/>
              </w:rPr>
              <w:t>“Koordinēšanas” ieteikumi</w:t>
            </w:r>
            <w:r>
              <w:rPr>
                <w:color w:val="000000"/>
                <w:sz w:val="24"/>
              </w:rPr>
              <w:t> – mazināt šķēršļus iekšējai tirdzniecībai un veicināt starpvaldību koordinēšanu.</w:t>
            </w:r>
          </w:p>
          <w:p w14:paraId="4F8EAB8B" w14:textId="77777777" w:rsidR="00D6221E" w:rsidRPr="00D6221E" w:rsidRDefault="00D6221E" w:rsidP="00D6221E">
            <w:pPr>
              <w:pStyle w:val="BodyText"/>
              <w:spacing w:before="117"/>
              <w:ind w:left="567" w:right="170"/>
              <w:rPr>
                <w:noProof/>
                <w:color w:val="000000"/>
                <w:sz w:val="24"/>
                <w:szCs w:val="24"/>
              </w:rPr>
            </w:pPr>
            <w:r>
              <w:rPr>
                <w:color w:val="000000"/>
                <w:sz w:val="24"/>
              </w:rPr>
              <w:t>5. Uzlabot pārskatāmību, datu vākšanu un darbības rezultātu uzraudzību, lai veicinātu koordinēšanu</w:t>
            </w:r>
          </w:p>
          <w:p w14:paraId="19CB9795" w14:textId="77777777" w:rsidR="00D6221E" w:rsidRDefault="00D6221E" w:rsidP="00D6221E">
            <w:pPr>
              <w:pStyle w:val="BodyText"/>
              <w:ind w:left="170" w:right="170"/>
              <w:rPr>
                <w:noProof/>
                <w:sz w:val="24"/>
                <w:szCs w:val="24"/>
              </w:rPr>
            </w:pPr>
          </w:p>
        </w:tc>
      </w:tr>
    </w:tbl>
    <w:p w14:paraId="5CBE9477" w14:textId="77777777" w:rsidR="00C37DE1" w:rsidRPr="00074D4C" w:rsidRDefault="00C37DE1" w:rsidP="00C85C26">
      <w:pPr>
        <w:pStyle w:val="BodyText"/>
        <w:rPr>
          <w:noProof/>
          <w:sz w:val="24"/>
          <w:szCs w:val="24"/>
        </w:rPr>
      </w:pPr>
    </w:p>
    <w:p w14:paraId="5C52B5D5" w14:textId="77777777" w:rsidR="00C37DE1" w:rsidRPr="00074D4C" w:rsidRDefault="00C37DE1" w:rsidP="00C85C26">
      <w:pPr>
        <w:pStyle w:val="BodyText"/>
        <w:rPr>
          <w:noProof/>
          <w:sz w:val="24"/>
          <w:szCs w:val="24"/>
        </w:rPr>
      </w:pPr>
    </w:p>
    <w:p w14:paraId="6C169401" w14:textId="77777777" w:rsidR="00C37DE1" w:rsidRPr="00074D4C" w:rsidRDefault="00C37DE1" w:rsidP="001970BD">
      <w:pPr>
        <w:pStyle w:val="Heading3"/>
        <w:jc w:val="center"/>
        <w:rPr>
          <w:b w:val="0"/>
          <w:noProof/>
          <w:sz w:val="24"/>
          <w:szCs w:val="24"/>
        </w:rPr>
      </w:pPr>
      <w:bookmarkStart w:id="21" w:name="_bookmark4"/>
      <w:bookmarkStart w:id="22" w:name="_Toc211859563"/>
      <w:bookmarkEnd w:id="21"/>
      <w:r w:rsidRPr="001970BD">
        <w:rPr>
          <w:i w:val="0"/>
          <w:iCs w:val="0"/>
          <w:sz w:val="24"/>
          <w:szCs w:val="24"/>
        </w:rPr>
        <w:t>1. attēls. Diagnosticējošo apsvērumu sasaiste ar ieteikumiem</w:t>
      </w:r>
      <w:bookmarkEnd w:id="22"/>
    </w:p>
    <w:p w14:paraId="3938CC38" w14:textId="77777777" w:rsidR="00C37DE1" w:rsidRPr="00074D4C" w:rsidRDefault="00C37DE1" w:rsidP="00C85C26">
      <w:pPr>
        <w:pStyle w:val="BodyText"/>
        <w:rPr>
          <w:b/>
          <w:noProof/>
          <w:sz w:val="24"/>
          <w:szCs w:val="24"/>
        </w:rPr>
      </w:pPr>
    </w:p>
    <w:p w14:paraId="28BA6E5F" w14:textId="5C76ED59" w:rsidR="00C85C26" w:rsidRDefault="00F6076F" w:rsidP="00975F0A">
      <w:pPr>
        <w:pStyle w:val="BodyText"/>
        <w:jc w:val="center"/>
        <w:rPr>
          <w:b/>
          <w:noProof/>
          <w:sz w:val="24"/>
          <w:szCs w:val="24"/>
        </w:rPr>
      </w:pPr>
      <w:r>
        <w:rPr>
          <w:b/>
          <w:noProof/>
          <w:sz w:val="24"/>
          <w:szCs w:val="24"/>
        </w:rPr>
        <w:drawing>
          <wp:inline distT="0" distB="0" distL="0" distR="0" wp14:anchorId="597C47AC" wp14:editId="3B12C89C">
            <wp:extent cx="5303520" cy="4084320"/>
            <wp:effectExtent l="0" t="0" r="0" b="0"/>
            <wp:docPr id="1826040882" name="Picture 2" descr="A diagram of several different langu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40882" name="Picture 2" descr="A diagram of several different language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303520" cy="4084320"/>
                    </a:xfrm>
                    <a:prstGeom prst="rect">
                      <a:avLst/>
                    </a:prstGeom>
                  </pic:spPr>
                </pic:pic>
              </a:graphicData>
            </a:graphic>
          </wp:inline>
        </w:drawing>
      </w:r>
    </w:p>
    <w:p w14:paraId="7FA47FFE" w14:textId="77777777" w:rsidR="0099501E" w:rsidRDefault="0099501E" w:rsidP="00C85C26">
      <w:pPr>
        <w:pStyle w:val="BodyText"/>
        <w:rPr>
          <w:b/>
          <w:noProof/>
          <w:sz w:val="24"/>
          <w:szCs w:val="24"/>
        </w:rPr>
      </w:pPr>
    </w:p>
    <w:p w14:paraId="7ADCEDBD" w14:textId="77777777" w:rsidR="0099501E" w:rsidRPr="00074D4C" w:rsidRDefault="0099501E" w:rsidP="00C85C26">
      <w:pPr>
        <w:pStyle w:val="BodyText"/>
        <w:rPr>
          <w:b/>
          <w:noProof/>
          <w:sz w:val="24"/>
          <w:szCs w:val="24"/>
        </w:rPr>
      </w:pPr>
    </w:p>
    <w:p w14:paraId="12D7C425" w14:textId="667B612A" w:rsidR="00C37DE1" w:rsidRPr="00570CB8" w:rsidRDefault="00570CB8" w:rsidP="00570CB8">
      <w:pPr>
        <w:pStyle w:val="Heading4"/>
        <w:tabs>
          <w:tab w:val="left" w:pos="1044"/>
        </w:tabs>
        <w:spacing w:before="0"/>
        <w:ind w:left="0" w:firstLine="0"/>
        <w:rPr>
          <w:noProof/>
          <w:color w:val="4E81BC"/>
          <w:sz w:val="28"/>
          <w:szCs w:val="28"/>
        </w:rPr>
      </w:pPr>
      <w:bookmarkStart w:id="23" w:name="2.__A_snapshot_of_fiscal_decentralisatio"/>
      <w:bookmarkStart w:id="24" w:name="_bookmark5"/>
      <w:bookmarkStart w:id="25" w:name="_Toc211859098"/>
      <w:bookmarkEnd w:id="23"/>
      <w:bookmarkEnd w:id="24"/>
      <w:r>
        <w:rPr>
          <w:color w:val="4E81BC"/>
          <w:sz w:val="28"/>
        </w:rPr>
        <w:lastRenderedPageBreak/>
        <w:t xml:space="preserve">2. Aktuāla informācija par fiskālo decentralizāciju </w:t>
      </w:r>
      <w:r>
        <w:rPr>
          <w:i/>
          <w:iCs/>
          <w:color w:val="4E81BC"/>
          <w:sz w:val="28"/>
        </w:rPr>
        <w:t>OECD</w:t>
      </w:r>
      <w:r>
        <w:rPr>
          <w:color w:val="4E81BC"/>
          <w:sz w:val="28"/>
        </w:rPr>
        <w:t xml:space="preserve"> valstīs</w:t>
      </w:r>
      <w:bookmarkEnd w:id="25"/>
    </w:p>
    <w:p w14:paraId="3A9C6A17" w14:textId="77777777" w:rsidR="00570CB8" w:rsidRDefault="00570CB8" w:rsidP="00570CB8">
      <w:pPr>
        <w:pStyle w:val="ListParagraph"/>
        <w:tabs>
          <w:tab w:val="left" w:pos="1044"/>
          <w:tab w:val="left" w:pos="2927"/>
          <w:tab w:val="left" w:pos="3114"/>
        </w:tabs>
        <w:ind w:left="0"/>
        <w:rPr>
          <w:noProof/>
          <w:color w:val="4E81BC"/>
          <w:sz w:val="24"/>
          <w:szCs w:val="24"/>
        </w:rPr>
      </w:pPr>
    </w:p>
    <w:p w14:paraId="7BE3572E" w14:textId="77777777" w:rsidR="000C19B4" w:rsidRPr="00570CB8" w:rsidRDefault="000C19B4" w:rsidP="00570CB8">
      <w:pPr>
        <w:pStyle w:val="ListParagraph"/>
        <w:tabs>
          <w:tab w:val="left" w:pos="1044"/>
          <w:tab w:val="left" w:pos="2927"/>
          <w:tab w:val="left" w:pos="3114"/>
        </w:tabs>
        <w:ind w:left="0"/>
        <w:rPr>
          <w:noProof/>
          <w:color w:val="4E81BC"/>
          <w:sz w:val="24"/>
          <w:szCs w:val="24"/>
        </w:rPr>
      </w:pPr>
    </w:p>
    <w:p w14:paraId="7A8C7CBB" w14:textId="3BDDAA15" w:rsidR="00C37DE1" w:rsidRDefault="00570CB8" w:rsidP="00570CB8">
      <w:pPr>
        <w:pStyle w:val="Heading5"/>
        <w:tabs>
          <w:tab w:val="left" w:pos="1903"/>
        </w:tabs>
        <w:ind w:left="0" w:firstLine="0"/>
        <w:jc w:val="left"/>
        <w:rPr>
          <w:noProof/>
          <w:sz w:val="28"/>
          <w:szCs w:val="28"/>
        </w:rPr>
      </w:pPr>
      <w:bookmarkStart w:id="26" w:name="2.1.__What_is_fiscal_decentralisation?"/>
      <w:bookmarkStart w:id="27" w:name="_bookmark6"/>
      <w:bookmarkStart w:id="28" w:name="_Toc211859099"/>
      <w:bookmarkEnd w:id="26"/>
      <w:bookmarkEnd w:id="27"/>
      <w:r>
        <w:rPr>
          <w:sz w:val="28"/>
        </w:rPr>
        <w:t>2.1. Kas ir fiskālā decentralizācija?</w:t>
      </w:r>
      <w:bookmarkEnd w:id="28"/>
    </w:p>
    <w:p w14:paraId="3DFC60A9" w14:textId="77777777" w:rsidR="00570CB8" w:rsidRPr="00570CB8" w:rsidRDefault="00570CB8" w:rsidP="00570CB8">
      <w:pPr>
        <w:pStyle w:val="Heading5"/>
        <w:tabs>
          <w:tab w:val="left" w:pos="1903"/>
        </w:tabs>
        <w:ind w:left="0" w:firstLine="0"/>
        <w:jc w:val="left"/>
        <w:rPr>
          <w:noProof/>
          <w:sz w:val="28"/>
          <w:szCs w:val="28"/>
        </w:rPr>
      </w:pPr>
    </w:p>
    <w:p w14:paraId="7A9A0219" w14:textId="3B68C9D6" w:rsidR="00C37DE1" w:rsidRPr="00074D4C" w:rsidRDefault="00570CB8" w:rsidP="00570CB8">
      <w:pPr>
        <w:pStyle w:val="ListParagraph"/>
        <w:tabs>
          <w:tab w:val="left" w:pos="2024"/>
        </w:tabs>
        <w:ind w:left="0"/>
        <w:rPr>
          <w:noProof/>
          <w:sz w:val="24"/>
          <w:szCs w:val="24"/>
        </w:rPr>
      </w:pPr>
      <w:r>
        <w:rPr>
          <w:sz w:val="24"/>
        </w:rPr>
        <w:t>4. Fiskālā decentralizācija ir nodokļu autonomijas un izdevumu autonomijas nodošana pašvaldībām. Fiskālās decentralizācijas pakāpi var vērtēt ar diviem komponentiem – nodokļu autonomiju un izdevumu autonomiju. Nodokļu autonomija raksturo to, kāda nosacīta rīcības brīvība ir pašvaldībām attiecībā uz nodokļu politiku, piemēram, tiesības ieviest vai atcelt nodokli, piemērot nodokļa likmi, noteikt nodokļa bāzi vai piešķirt nodokļu atlaides/atvieglojumus mājsaimniecībām un uzņēmumiem. Izdevumu autonomija raksturo to, kāds ir pašvaldību lēmumu pieņēmēju kontroles vai pilnvaru līmenis attiecībā uz valsts izdevumiem, tostarp lemjot, kā tiek organizēti pakalpojumi, kā tiek sadalīti līdzekļi, kāds ir vēlamais ielaides un izlaides līmenis un kvalitāte un kā tiek vērtēta un uzraudzīta pakalpojumu sniegšana. Saliekot kopā nodokļu autonomiju un izdevumu autonomiju, fiskālā decentralizācija veido priekšstatu par pašvaldību kontrolē nodotās nodokļu iekasēšanas un budžetu saskaņotību (OECD/KIPF, 2016</w:t>
      </w:r>
      <w:r>
        <w:rPr>
          <w:sz w:val="24"/>
          <w:vertAlign w:val="superscript"/>
        </w:rPr>
        <w:t>[2]</w:t>
      </w:r>
      <w:r>
        <w:rPr>
          <w:sz w:val="24"/>
        </w:rPr>
        <w:t>).</w:t>
      </w:r>
    </w:p>
    <w:p w14:paraId="1C076C91" w14:textId="77777777" w:rsidR="00570CB8" w:rsidRDefault="00570CB8" w:rsidP="00570CB8">
      <w:pPr>
        <w:pStyle w:val="ListParagraph"/>
        <w:tabs>
          <w:tab w:val="left" w:pos="2024"/>
        </w:tabs>
        <w:ind w:left="0"/>
        <w:rPr>
          <w:noProof/>
          <w:sz w:val="24"/>
          <w:szCs w:val="24"/>
        </w:rPr>
      </w:pPr>
    </w:p>
    <w:p w14:paraId="014F7624" w14:textId="1AF39A67" w:rsidR="00C37DE1" w:rsidRPr="00074D4C" w:rsidRDefault="00570CB8" w:rsidP="00570CB8">
      <w:pPr>
        <w:pStyle w:val="ListParagraph"/>
        <w:tabs>
          <w:tab w:val="left" w:pos="2024"/>
        </w:tabs>
        <w:ind w:left="0"/>
        <w:rPr>
          <w:noProof/>
          <w:sz w:val="24"/>
          <w:szCs w:val="24"/>
        </w:rPr>
      </w:pPr>
      <w:r>
        <w:rPr>
          <w:sz w:val="24"/>
        </w:rPr>
        <w:t xml:space="preserve">5. Ierasti nodokļu autonomiju un izdevumu autonomiju skaitliski nosaka, izmantojot attiecīgi pašvaldību nodokļu un izdevumu īpatsvaru, kas uzreiz ir pieejams konsolidētā veidā </w:t>
      </w:r>
      <w:r>
        <w:rPr>
          <w:i/>
          <w:iCs/>
          <w:sz w:val="24"/>
        </w:rPr>
        <w:t>OECD</w:t>
      </w:r>
      <w:r>
        <w:rPr>
          <w:sz w:val="24"/>
        </w:rPr>
        <w:t xml:space="preserve"> Fiskālās decentralizācijas ikgadējā datubāzē. Tomēr šai pieejai ir acīmredzami ierobežojumi. Lai arī pašvaldību nodokļu un izdevumu īpatsvars sniedz aptuvenu norādi par fiskālās decentralizācijas apmēru, tas neietver kārtību, kas ļauj pašvaldībām iekasēt nodokļus vai izlietot naudas līdzekļus, lai arī tās nekontrolē, piemēram, nodokļu likmi vai līdzekļu sadali. Tādēļ </w:t>
      </w:r>
      <w:r>
        <w:rPr>
          <w:i/>
          <w:iCs/>
          <w:sz w:val="24"/>
        </w:rPr>
        <w:t>OECD</w:t>
      </w:r>
      <w:r>
        <w:rPr>
          <w:sz w:val="24"/>
        </w:rPr>
        <w:t xml:space="preserve"> Fiskālo attiecību tīkls ir izstrādājis nodokļu autonomijas un izdevumu autonomijas rādītājus, kuri ļauj precīzāk atainot, kādā apmērā pašvaldības kontrolē nodokļu politiku un izdevumus.</w:t>
      </w:r>
    </w:p>
    <w:p w14:paraId="0A637B9E" w14:textId="77777777" w:rsidR="00570CB8" w:rsidRDefault="00570CB8" w:rsidP="00570CB8">
      <w:pPr>
        <w:pStyle w:val="ListParagraph"/>
        <w:tabs>
          <w:tab w:val="left" w:pos="2025"/>
        </w:tabs>
        <w:ind w:left="0"/>
        <w:rPr>
          <w:noProof/>
          <w:sz w:val="24"/>
          <w:szCs w:val="24"/>
        </w:rPr>
      </w:pPr>
    </w:p>
    <w:p w14:paraId="5CB22CA7" w14:textId="46BF38DB" w:rsidR="00C37DE1" w:rsidRPr="00074D4C" w:rsidRDefault="00570CB8" w:rsidP="00570CB8">
      <w:pPr>
        <w:pStyle w:val="ListParagraph"/>
        <w:tabs>
          <w:tab w:val="left" w:pos="2025"/>
        </w:tabs>
        <w:ind w:left="0"/>
        <w:rPr>
          <w:noProof/>
          <w:sz w:val="24"/>
          <w:szCs w:val="24"/>
        </w:rPr>
      </w:pPr>
      <w:r>
        <w:rPr>
          <w:sz w:val="24"/>
        </w:rPr>
        <w:t xml:space="preserve">6. </w:t>
      </w:r>
      <w:r>
        <w:rPr>
          <w:i/>
          <w:iCs/>
          <w:sz w:val="24"/>
        </w:rPr>
        <w:t>OECD</w:t>
      </w:r>
      <w:r>
        <w:rPr>
          <w:sz w:val="24"/>
        </w:rPr>
        <w:t xml:space="preserve"> nodokļu autonomijas rādītājs izmanto vienpadsmit kodu sistēmu, lai klasificētu nodokļu instrumentus atbilstoši tam, kādā pakāpē pašvaldība kontrolē attiecīgo instrumentu. Kodi ir no a1, kas norāda, ka saņēmēja pašvaldība pati nosaka nodokļa likmi un visus nodokļu atvieglojumus un tai nav jākonsultējas ar augstāka līmeņa valdību, līdz, piemēram, d4, kas norāda uz nodokļu sadales kārtību, kurā ieņēmumu sadali katru gadu nosaka augstāka līmeņa valdība. Šādā veidā nodokļu autonomijas rādītāji aptver visu spektru, kā pašvaldības kontrolē nodokļu politiku. Kopš Fiskālo attiecību tīkla izveides 2002. gadā </w:t>
      </w:r>
      <w:r>
        <w:rPr>
          <w:i/>
          <w:iCs/>
          <w:sz w:val="24"/>
        </w:rPr>
        <w:t>OECD</w:t>
      </w:r>
      <w:r>
        <w:rPr>
          <w:sz w:val="24"/>
        </w:rPr>
        <w:t xml:space="preserve"> veic nodokļu autonomijas pētījumu reizi trijos gados, un jaunākā analīze tika veikta 2017. gadā, pamatojoties uz 2014. gada datiem, kas bija jaunākie tobrīd pieejamie galīgie dati. Šis darbs parādīja, ka pašvaldībām </w:t>
      </w:r>
      <w:r>
        <w:rPr>
          <w:i/>
          <w:iCs/>
          <w:sz w:val="24"/>
        </w:rPr>
        <w:t>OECD</w:t>
      </w:r>
      <w:r>
        <w:rPr>
          <w:sz w:val="24"/>
        </w:rPr>
        <w:t xml:space="preserve"> ir būtiski mazāka nodokļu autonomija, nekā par to liecināja vienkārši uz īpatsvara pamata veikti decentralizācijas vērtējumi (OECD, 2013</w:t>
      </w:r>
      <w:r>
        <w:rPr>
          <w:sz w:val="24"/>
          <w:vertAlign w:val="superscript"/>
        </w:rPr>
        <w:t>[3]</w:t>
      </w:r>
      <w:r>
        <w:rPr>
          <w:sz w:val="24"/>
        </w:rPr>
        <w:t>).</w:t>
      </w:r>
    </w:p>
    <w:p w14:paraId="43762761" w14:textId="77777777" w:rsidR="00570CB8" w:rsidRDefault="00570CB8" w:rsidP="00570CB8">
      <w:pPr>
        <w:pStyle w:val="ListParagraph"/>
        <w:tabs>
          <w:tab w:val="left" w:pos="2025"/>
        </w:tabs>
        <w:ind w:left="0"/>
        <w:rPr>
          <w:noProof/>
          <w:sz w:val="24"/>
          <w:szCs w:val="24"/>
        </w:rPr>
      </w:pPr>
    </w:p>
    <w:p w14:paraId="3A67EEDD" w14:textId="6EBD6C7D" w:rsidR="00C37DE1" w:rsidRPr="00074D4C" w:rsidRDefault="00570CB8" w:rsidP="00570CB8">
      <w:pPr>
        <w:pStyle w:val="ListParagraph"/>
        <w:tabs>
          <w:tab w:val="left" w:pos="2025"/>
        </w:tabs>
        <w:ind w:left="0"/>
        <w:rPr>
          <w:noProof/>
          <w:sz w:val="24"/>
          <w:szCs w:val="24"/>
        </w:rPr>
      </w:pPr>
      <w:r>
        <w:rPr>
          <w:sz w:val="24"/>
        </w:rPr>
        <w:t xml:space="preserve">7. Līdzīgi nodokļu autonomijas rādītājam </w:t>
      </w:r>
      <w:r>
        <w:rPr>
          <w:i/>
          <w:iCs/>
          <w:sz w:val="24"/>
        </w:rPr>
        <w:t>OECD</w:t>
      </w:r>
      <w:r>
        <w:rPr>
          <w:sz w:val="24"/>
        </w:rPr>
        <w:t xml:space="preserve"> izstrādāja arī izdevumu autonomijas rādītāju, lai aptvertu aspektus saistībā ar izdevumu kontroli pašvaldību līmenī, ko neatklāj atsevišķi ņemts izdevumu īpatsvars. Izdevumu autonomijas rādītāja noteikšanai izmanto apsekojuma datus, lai atzīmētu pašvaldības autonomiju dažādās nozarēs skalā no 0 (maza autonomija pašvaldībai) līdz 10 (liela autonomija pašvaldībai). Katrā nozarē ar apsekojuma jautājumiem novērtē pašvaldību pilnvaras vairākos līmeņos – politikas autonomija (piemēram, politikas mērķu noteikšana), budžeta autonomija (piemēram, pilnvaras sadalīt līdzekļus), ieguldījuma autonomija (piemēram, to ierēdņu vadība, kuri izstrādā vai sniedz sabiedriskos pakalpojumus), rezultātu autonomija (piemēram, pakalpojuma standarti) un novērtēšanas/uzraudzības autonomija. Tad izmanto izejas datus, lai aprēķinātu punktu skaitu katrai nozarei pa valstīm. Jaunie rādītāji ir publicēti Dohertija [</w:t>
      </w:r>
      <w:r>
        <w:rPr>
          <w:i/>
          <w:iCs/>
          <w:sz w:val="24"/>
        </w:rPr>
        <w:t>Dougherty</w:t>
      </w:r>
      <w:r>
        <w:rPr>
          <w:sz w:val="24"/>
        </w:rPr>
        <w:t xml:space="preserve">] un Filipsas </w:t>
      </w:r>
      <w:r>
        <w:rPr>
          <w:sz w:val="24"/>
        </w:rPr>
        <w:lastRenderedPageBreak/>
        <w:t>[</w:t>
      </w:r>
      <w:r>
        <w:rPr>
          <w:i/>
          <w:iCs/>
          <w:sz w:val="24"/>
        </w:rPr>
        <w:t>Phillips</w:t>
      </w:r>
      <w:r>
        <w:rPr>
          <w:sz w:val="24"/>
        </w:rPr>
        <w:t>] darbā (2020</w:t>
      </w:r>
      <w:r>
        <w:rPr>
          <w:sz w:val="24"/>
          <w:vertAlign w:val="superscript"/>
        </w:rPr>
        <w:t>[4]</w:t>
      </w:r>
      <w:r>
        <w:rPr>
          <w:sz w:val="24"/>
        </w:rPr>
        <w:t>), kurā pēc punktu sistēmas norādīta izdevumu autonomija izglītības, ilgstošas aprūpes, transporta, mājokļu un veselības aprūpes nozarēs.</w:t>
      </w:r>
    </w:p>
    <w:p w14:paraId="02547697" w14:textId="77777777" w:rsidR="00C85C26" w:rsidRDefault="00C85C26" w:rsidP="00C85C26">
      <w:pPr>
        <w:pStyle w:val="ListParagraph"/>
        <w:ind w:left="0"/>
        <w:rPr>
          <w:noProof/>
          <w:sz w:val="24"/>
          <w:szCs w:val="24"/>
        </w:rPr>
      </w:pPr>
    </w:p>
    <w:p w14:paraId="6855A446" w14:textId="77777777" w:rsidR="000C19B4" w:rsidRPr="00074D4C" w:rsidRDefault="000C19B4" w:rsidP="00C85C26">
      <w:pPr>
        <w:pStyle w:val="ListParagraph"/>
        <w:ind w:left="0"/>
        <w:rPr>
          <w:noProof/>
          <w:sz w:val="24"/>
          <w:szCs w:val="24"/>
        </w:rPr>
      </w:pPr>
    </w:p>
    <w:p w14:paraId="778E0027" w14:textId="01DED1AB" w:rsidR="00C37DE1" w:rsidRPr="00570CB8" w:rsidRDefault="00570CB8" w:rsidP="00570CB8">
      <w:pPr>
        <w:pStyle w:val="Heading5"/>
        <w:tabs>
          <w:tab w:val="left" w:pos="1903"/>
        </w:tabs>
        <w:ind w:left="0" w:firstLine="0"/>
        <w:jc w:val="left"/>
        <w:rPr>
          <w:noProof/>
          <w:sz w:val="28"/>
          <w:szCs w:val="28"/>
        </w:rPr>
      </w:pPr>
      <w:bookmarkStart w:id="29" w:name="2.2.__Fiscal_decentralisation:_1990s_to_"/>
      <w:bookmarkStart w:id="30" w:name="_bookmark7"/>
      <w:bookmarkStart w:id="31" w:name="_Toc211859100"/>
      <w:bookmarkEnd w:id="29"/>
      <w:bookmarkEnd w:id="30"/>
      <w:r>
        <w:rPr>
          <w:sz w:val="28"/>
        </w:rPr>
        <w:t>2.2. Fiskālā decentralizācija. No 1990. gadiem līdz šodienai</w:t>
      </w:r>
      <w:bookmarkEnd w:id="31"/>
    </w:p>
    <w:p w14:paraId="0DB86C3E" w14:textId="77777777" w:rsidR="00570CB8" w:rsidRDefault="00570CB8" w:rsidP="00570CB8">
      <w:pPr>
        <w:pStyle w:val="ListParagraph"/>
        <w:tabs>
          <w:tab w:val="left" w:pos="2025"/>
        </w:tabs>
        <w:ind w:left="0"/>
        <w:jc w:val="left"/>
        <w:rPr>
          <w:noProof/>
          <w:sz w:val="24"/>
          <w:szCs w:val="24"/>
        </w:rPr>
      </w:pPr>
    </w:p>
    <w:p w14:paraId="1DA8DBD2" w14:textId="4977CB56" w:rsidR="00C37DE1" w:rsidRPr="00074D4C" w:rsidRDefault="00570CB8" w:rsidP="00570CB8">
      <w:pPr>
        <w:pStyle w:val="ListParagraph"/>
        <w:tabs>
          <w:tab w:val="left" w:pos="2025"/>
        </w:tabs>
        <w:ind w:left="0"/>
        <w:rPr>
          <w:noProof/>
          <w:sz w:val="24"/>
          <w:szCs w:val="24"/>
        </w:rPr>
      </w:pPr>
      <w:r>
        <w:rPr>
          <w:sz w:val="24"/>
        </w:rPr>
        <w:t>8. Daudzas valstis 1990. gados un 2000. gadu sākumā turpināja izdevumu decentralizēšanu, jo īpaši izglītības, infrastruktūras, vides un vietējo pakalpojumu jomā. Līdz ar to pieaugošo vertikālo fiskālo nesabalansētību, proti, izdevumu un pašu ieņēmumu starpību, kompensēja ar lielākiem mērķfinansējumiem un pārskaitījumiem. Pēc 2008.–2009. gada ekonomiskās un finanšu krīzes izdevumu īpatsvars pašvaldību līmenī sāka atkal mazināties. Pretstatā tam pēdējās divās desmitgadēs pašvaldību ieņēmumu īpatsvars nav īpaši mainījies.</w:t>
      </w:r>
    </w:p>
    <w:p w14:paraId="5A1D2688" w14:textId="77777777" w:rsidR="00570CB8" w:rsidRDefault="00570CB8" w:rsidP="00570CB8">
      <w:pPr>
        <w:pStyle w:val="ListParagraph"/>
        <w:tabs>
          <w:tab w:val="left" w:pos="2024"/>
        </w:tabs>
        <w:ind w:left="0"/>
        <w:rPr>
          <w:noProof/>
          <w:sz w:val="24"/>
          <w:szCs w:val="24"/>
        </w:rPr>
      </w:pPr>
    </w:p>
    <w:p w14:paraId="7205C04F" w14:textId="11D1069F" w:rsidR="00C37DE1" w:rsidRPr="00074D4C" w:rsidRDefault="00570CB8" w:rsidP="00570CB8">
      <w:pPr>
        <w:pStyle w:val="ListParagraph"/>
        <w:tabs>
          <w:tab w:val="left" w:pos="2024"/>
        </w:tabs>
        <w:ind w:left="0"/>
        <w:rPr>
          <w:noProof/>
          <w:sz w:val="24"/>
          <w:szCs w:val="24"/>
        </w:rPr>
      </w:pPr>
      <w:r>
        <w:rPr>
          <w:sz w:val="24"/>
        </w:rPr>
        <w:t xml:space="preserve">9. Šodien valstīs ir ļoti atšķirīga starpvaldību fiskālā sistēma, tomēr ir dažas būtiskas līdzības. Piemēram, visās </w:t>
      </w:r>
      <w:r>
        <w:rPr>
          <w:i/>
          <w:iCs/>
          <w:sz w:val="24"/>
        </w:rPr>
        <w:t>OECD</w:t>
      </w:r>
      <w:r>
        <w:rPr>
          <w:sz w:val="24"/>
        </w:rPr>
        <w:t xml:space="preserve"> valstīs izdevumi ir decentralizētāki nekā ieņēmumi (2. attēls, a) grafiks). </w:t>
      </w:r>
      <w:r>
        <w:rPr>
          <w:i/>
          <w:iCs/>
          <w:sz w:val="24"/>
        </w:rPr>
        <w:t>OECD</w:t>
      </w:r>
      <w:r>
        <w:rPr>
          <w:sz w:val="24"/>
        </w:rPr>
        <w:t xml:space="preserve"> valstīs 2015. gadā pašvaldību izdevumi vidēji bija viena trešdaļa no valdības kopējiem izdevumiem un ieņēmumi bija viena piektdaļa no kopējiem ieņēmumiem. 2014. gadā no kopējiem ieņēmumiem pašvaldību ieņēmumu īpatsvars bija robežās no 50 % Kanādas gadījumā līdz pat mazāk par 10 % Īrijas un Grieķijas gadījumā. Nodokļu autonomijas ziņā pavalsts/reģiona valdībām vidēji ir pilna rīcības brīvība attiecībā uz vismaz 70 % no nodokļu ieņēmumiem (nodokļu autonomijas rādītājs ir a1). Vēl 15 % ieņēmumu tiek gūti no dalītiem nodokļiem, kuriem ir nepieciešama pavalstu valdību piekrišana dalītai attiecībai. Savukārt pašvaldībām pilna vai gandrīz pilna autonomija vidēji ir tikai attiecībā uz 13 % no to ieņēmumiem. Tomēr pašvaldības saglabā rīcības brīvību, ievērojot dažus ierobežojumus, vidēji attiecībā uz vēl 62 % no nodokļu ieņēmumiem (Dougherty, Harding and Reschovsky, 2019</w:t>
      </w:r>
      <w:r>
        <w:rPr>
          <w:sz w:val="24"/>
          <w:vertAlign w:val="superscript"/>
        </w:rPr>
        <w:t>[5]</w:t>
      </w:r>
      <w:r>
        <w:rPr>
          <w:sz w:val="24"/>
        </w:rPr>
        <w:t>).</w:t>
      </w:r>
    </w:p>
    <w:p w14:paraId="2C527270" w14:textId="77777777" w:rsidR="00570CB8" w:rsidRDefault="00570CB8" w:rsidP="00570CB8">
      <w:pPr>
        <w:pStyle w:val="ListParagraph"/>
        <w:tabs>
          <w:tab w:val="left" w:pos="2026"/>
        </w:tabs>
        <w:ind w:left="0"/>
        <w:rPr>
          <w:noProof/>
          <w:sz w:val="24"/>
          <w:szCs w:val="24"/>
        </w:rPr>
      </w:pPr>
    </w:p>
    <w:p w14:paraId="61AF794E" w14:textId="07D82D0B" w:rsidR="00C37DE1" w:rsidRDefault="00570CB8" w:rsidP="00570CB8">
      <w:pPr>
        <w:pStyle w:val="ListParagraph"/>
        <w:tabs>
          <w:tab w:val="left" w:pos="2026"/>
        </w:tabs>
        <w:ind w:left="0"/>
        <w:rPr>
          <w:noProof/>
          <w:sz w:val="24"/>
          <w:szCs w:val="24"/>
        </w:rPr>
      </w:pPr>
      <w:r>
        <w:rPr>
          <w:sz w:val="24"/>
        </w:rPr>
        <w:t xml:space="preserve">10. Izdevumu autonomijas rādītāji attiecībā uz </w:t>
      </w:r>
      <w:r>
        <w:rPr>
          <w:i/>
          <w:iCs/>
          <w:sz w:val="24"/>
        </w:rPr>
        <w:t>OECD</w:t>
      </w:r>
      <w:r>
        <w:rPr>
          <w:sz w:val="24"/>
        </w:rPr>
        <w:t xml:space="preserve"> valstīm rāda, ka pašvaldību izdevumu īpatsvars var pārspīlēti liecināt par pašvaldību izdevumu patieso autonomiju. Daudzos gadījumos būtiskas lēmumu pieņemšanas pilnvaras konkrētā nozarē ir augstāka līmeņa valdībai, pat ja daļa finansējuma nāk no pašvaldību līmeņa. Pašvaldībām izdevumu autonomija ir augstāka federālās valstīs nekā unitārās valstīs un augstāka tā ir mājokļu, transporta un izglītības nozarēs salīdzinājumā ar veselības un ilgstošas aprūpes nozarēm (Dougherty and Phillips, 2019</w:t>
      </w:r>
      <w:r>
        <w:rPr>
          <w:sz w:val="24"/>
          <w:vertAlign w:val="superscript"/>
        </w:rPr>
        <w:t>[6]</w:t>
      </w:r>
      <w:r>
        <w:rPr>
          <w:sz w:val="24"/>
        </w:rPr>
        <w:t>).</w:t>
      </w:r>
    </w:p>
    <w:p w14:paraId="635D7633" w14:textId="77777777" w:rsidR="00570CB8" w:rsidRPr="00074D4C" w:rsidRDefault="00570CB8" w:rsidP="00570CB8">
      <w:pPr>
        <w:pStyle w:val="ListParagraph"/>
        <w:tabs>
          <w:tab w:val="left" w:pos="2026"/>
        </w:tabs>
        <w:ind w:left="0"/>
        <w:jc w:val="left"/>
        <w:rPr>
          <w:noProof/>
          <w:sz w:val="24"/>
          <w:szCs w:val="24"/>
        </w:rPr>
      </w:pPr>
    </w:p>
    <w:p w14:paraId="23CD80AD" w14:textId="77777777" w:rsidR="00C37DE1" w:rsidRPr="00074D4C" w:rsidRDefault="00C37DE1" w:rsidP="001970BD">
      <w:pPr>
        <w:pStyle w:val="Heading3"/>
        <w:jc w:val="center"/>
        <w:rPr>
          <w:b w:val="0"/>
          <w:noProof/>
          <w:sz w:val="24"/>
          <w:szCs w:val="24"/>
        </w:rPr>
      </w:pPr>
      <w:bookmarkStart w:id="32" w:name="_bookmark8"/>
      <w:bookmarkStart w:id="33" w:name="_Toc211859564"/>
      <w:bookmarkEnd w:id="32"/>
      <w:r w:rsidRPr="001970BD">
        <w:rPr>
          <w:i w:val="0"/>
          <w:iCs w:val="0"/>
          <w:sz w:val="24"/>
          <w:szCs w:val="24"/>
        </w:rPr>
        <w:t>2. attēls. Ieņēmumu un izdevumu piešķīruma atšķirības pa valstīm</w:t>
      </w:r>
      <w:bookmarkEnd w:id="33"/>
    </w:p>
    <w:p w14:paraId="0A24E606" w14:textId="68989059" w:rsidR="00570CB8" w:rsidRPr="00074D4C" w:rsidRDefault="00990B0A" w:rsidP="00990B0A">
      <w:pPr>
        <w:tabs>
          <w:tab w:val="left" w:pos="6082"/>
        </w:tabs>
        <w:jc w:val="center"/>
        <w:rPr>
          <w:noProof/>
          <w:sz w:val="24"/>
          <w:szCs w:val="24"/>
        </w:rPr>
      </w:pPr>
      <w:r>
        <w:rPr>
          <w:noProof/>
          <w:sz w:val="24"/>
          <w:szCs w:val="24"/>
        </w:rPr>
        <w:drawing>
          <wp:inline distT="0" distB="0" distL="0" distR="0" wp14:anchorId="3FE692FA" wp14:editId="0133880F">
            <wp:extent cx="5454595" cy="2277406"/>
            <wp:effectExtent l="0" t="0" r="0" b="8890"/>
            <wp:docPr id="1999671646" name="Picture 3" descr="A graph of a person's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71646" name="Picture 3" descr="A graph of a person's poin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60076" cy="2279694"/>
                    </a:xfrm>
                    <a:prstGeom prst="rect">
                      <a:avLst/>
                    </a:prstGeom>
                  </pic:spPr>
                </pic:pic>
              </a:graphicData>
            </a:graphic>
          </wp:inline>
        </w:drawing>
      </w:r>
    </w:p>
    <w:p w14:paraId="3CD5B103" w14:textId="3E75C624" w:rsidR="00C37DE1" w:rsidRPr="000C19B4" w:rsidRDefault="00C37DE1" w:rsidP="00C85C26">
      <w:pPr>
        <w:ind w:firstLine="4022"/>
        <w:rPr>
          <w:noProof/>
        </w:rPr>
      </w:pPr>
      <w:r>
        <w:rPr>
          <w:i/>
        </w:rPr>
        <w:t xml:space="preserve">StatLink </w:t>
      </w:r>
      <w:hyperlink r:id="rId19">
        <w:r>
          <w:t>http://dx.doi.org/10.1787/888934116034</w:t>
        </w:r>
      </w:hyperlink>
    </w:p>
    <w:p w14:paraId="5FE149D0" w14:textId="77777777" w:rsidR="00C063CD" w:rsidRDefault="00C063CD" w:rsidP="00C85C26">
      <w:pPr>
        <w:ind w:firstLine="4022"/>
        <w:rPr>
          <w:noProof/>
          <w:sz w:val="24"/>
          <w:szCs w:val="24"/>
        </w:rPr>
      </w:pPr>
    </w:p>
    <w:p w14:paraId="57DACA60" w14:textId="77777777" w:rsidR="00D64643" w:rsidRDefault="00C37DE1" w:rsidP="00C85C26">
      <w:pPr>
        <w:jc w:val="both"/>
        <w:rPr>
          <w:sz w:val="24"/>
        </w:rPr>
      </w:pPr>
      <w:r>
        <w:rPr>
          <w:i/>
          <w:sz w:val="24"/>
        </w:rPr>
        <w:lastRenderedPageBreak/>
        <w:t xml:space="preserve">Piezīme. </w:t>
      </w:r>
      <w:r>
        <w:rPr>
          <w:sz w:val="24"/>
        </w:rPr>
        <w:t>Līnija 45 grādu leņķī A grafikā ir situācija, kad ieņēmumu decentralizācija ir vienāda ar izdevumu decentralizāciju. Jo tālāk valsts atrodas no šīs līnijas, jo lielāka ir tās vertikālā fiskālā nelīdzsvarotība. B grafikā Islandes stāvoklis rāda izmaiņas no 1998. gada (agrākais gads, par kuru ir pieejami dati) līdz 2017. gadam.</w:t>
      </w:r>
    </w:p>
    <w:p w14:paraId="6CF48998" w14:textId="785B0BA6" w:rsidR="00C37DE1" w:rsidRPr="00074D4C" w:rsidRDefault="00C37DE1" w:rsidP="00C85C26">
      <w:pPr>
        <w:jc w:val="both"/>
        <w:rPr>
          <w:noProof/>
          <w:sz w:val="24"/>
          <w:szCs w:val="24"/>
        </w:rPr>
      </w:pPr>
      <w:r>
        <w:rPr>
          <w:i/>
          <w:iCs/>
          <w:sz w:val="24"/>
        </w:rPr>
        <w:t>Avots</w:t>
      </w:r>
      <w:r>
        <w:rPr>
          <w:sz w:val="24"/>
        </w:rPr>
        <w:t xml:space="preserve">: </w:t>
      </w:r>
      <w:r>
        <w:rPr>
          <w:i/>
          <w:iCs/>
          <w:sz w:val="24"/>
        </w:rPr>
        <w:t>OECD</w:t>
      </w:r>
      <w:r>
        <w:rPr>
          <w:sz w:val="24"/>
        </w:rPr>
        <w:t xml:space="preserve"> Fiskālās decentralizācijas datubāze.</w:t>
      </w:r>
    </w:p>
    <w:p w14:paraId="0D42B6C0" w14:textId="77777777" w:rsidR="00C85C26" w:rsidRDefault="00C85C26" w:rsidP="00C85C26">
      <w:pPr>
        <w:jc w:val="both"/>
        <w:rPr>
          <w:noProof/>
          <w:sz w:val="24"/>
          <w:szCs w:val="24"/>
        </w:rPr>
      </w:pPr>
    </w:p>
    <w:p w14:paraId="5CF0AED0" w14:textId="77777777" w:rsidR="000C19B4" w:rsidRPr="00074D4C" w:rsidRDefault="000C19B4" w:rsidP="00C85C26">
      <w:pPr>
        <w:jc w:val="both"/>
        <w:rPr>
          <w:noProof/>
          <w:sz w:val="24"/>
          <w:szCs w:val="24"/>
        </w:rPr>
      </w:pPr>
    </w:p>
    <w:p w14:paraId="0E21F294" w14:textId="2E260CD3" w:rsidR="00C37DE1" w:rsidRDefault="00C91FD9" w:rsidP="00C91FD9">
      <w:pPr>
        <w:pStyle w:val="Heading5"/>
        <w:tabs>
          <w:tab w:val="left" w:pos="1903"/>
        </w:tabs>
        <w:ind w:left="0" w:firstLine="0"/>
        <w:jc w:val="left"/>
        <w:rPr>
          <w:noProof/>
          <w:sz w:val="28"/>
          <w:szCs w:val="28"/>
        </w:rPr>
      </w:pPr>
      <w:bookmarkStart w:id="34" w:name="2.3.__The_trade-offs_of_fiscal_decentral"/>
      <w:bookmarkStart w:id="35" w:name="_bookmark9"/>
      <w:bookmarkStart w:id="36" w:name="_Toc211859101"/>
      <w:bookmarkEnd w:id="34"/>
      <w:bookmarkEnd w:id="35"/>
      <w:r>
        <w:rPr>
          <w:sz w:val="28"/>
        </w:rPr>
        <w:t>2.3. Fiskālās decentralizācijas kompromisi</w:t>
      </w:r>
      <w:bookmarkEnd w:id="36"/>
    </w:p>
    <w:p w14:paraId="5AD2B772" w14:textId="77777777" w:rsidR="00C91FD9" w:rsidRPr="00C91FD9" w:rsidRDefault="00C91FD9" w:rsidP="00C91FD9">
      <w:pPr>
        <w:pStyle w:val="Heading5"/>
        <w:tabs>
          <w:tab w:val="left" w:pos="1903"/>
        </w:tabs>
        <w:ind w:left="0" w:firstLine="0"/>
        <w:jc w:val="left"/>
        <w:rPr>
          <w:noProof/>
          <w:sz w:val="28"/>
          <w:szCs w:val="28"/>
        </w:rPr>
      </w:pPr>
    </w:p>
    <w:p w14:paraId="4763E11F" w14:textId="391F35A7" w:rsidR="00C37DE1" w:rsidRPr="00074D4C" w:rsidRDefault="00C91FD9" w:rsidP="00C91FD9">
      <w:pPr>
        <w:pStyle w:val="ListParagraph"/>
        <w:tabs>
          <w:tab w:val="left" w:pos="2025"/>
        </w:tabs>
        <w:ind w:left="0"/>
        <w:rPr>
          <w:noProof/>
          <w:sz w:val="24"/>
          <w:szCs w:val="24"/>
        </w:rPr>
      </w:pPr>
      <w:r>
        <w:rPr>
          <w:sz w:val="24"/>
        </w:rPr>
        <w:t>11. Mūsdienu teorētiskos decentralizācijas pamatus ir izstrādājis Outss [</w:t>
      </w:r>
      <w:r>
        <w:rPr>
          <w:i/>
          <w:iCs/>
          <w:sz w:val="24"/>
        </w:rPr>
        <w:t>Oates</w:t>
      </w:r>
      <w:r>
        <w:rPr>
          <w:sz w:val="24"/>
        </w:rPr>
        <w:t>] (1972</w:t>
      </w:r>
      <w:r>
        <w:rPr>
          <w:sz w:val="24"/>
          <w:vertAlign w:val="superscript"/>
        </w:rPr>
        <w:t>[7]</w:t>
      </w:r>
      <w:r>
        <w:rPr>
          <w:sz w:val="24"/>
        </w:rPr>
        <w:t>). Decentralizācijas teorēma postulē – pieņemot, ka centralizācija nedod izmaksu ietaupījumu, jurisdikciju kopas kopējā labklājība būs augstāka, ja katrai jurisdikcijai ir ļauts atlasīt savu publiskā patēriņa komplektu, pretstatā situācijai, kad visās jurisdikcijās tiek nodrošināts viendabīgs patēriņš. Acīmredzami šis vienkāršais teorēmas apgalvojums neņem vērā apjomradītu ietaupījumu zudumu vai neskaitāmi daudz citu faktoru, kas var radīt ietekmi līdz ar fiskālās decentralizācijas pieaugumu.</w:t>
      </w:r>
    </w:p>
    <w:p w14:paraId="06D27DBF" w14:textId="77777777" w:rsidR="00C91FD9" w:rsidRDefault="00C91FD9" w:rsidP="00C91FD9">
      <w:pPr>
        <w:pStyle w:val="ListParagraph"/>
        <w:tabs>
          <w:tab w:val="left" w:pos="2025"/>
        </w:tabs>
        <w:ind w:left="0"/>
        <w:rPr>
          <w:noProof/>
          <w:sz w:val="24"/>
          <w:szCs w:val="24"/>
        </w:rPr>
      </w:pPr>
    </w:p>
    <w:p w14:paraId="5DC0356E" w14:textId="7851038F" w:rsidR="00C37DE1" w:rsidRPr="00074D4C" w:rsidRDefault="00C91FD9" w:rsidP="00C91FD9">
      <w:pPr>
        <w:pStyle w:val="ListParagraph"/>
        <w:tabs>
          <w:tab w:val="left" w:pos="2025"/>
        </w:tabs>
        <w:ind w:left="0"/>
        <w:rPr>
          <w:noProof/>
          <w:sz w:val="24"/>
          <w:szCs w:val="24"/>
        </w:rPr>
      </w:pPr>
      <w:r>
        <w:rPr>
          <w:sz w:val="24"/>
        </w:rPr>
        <w:t>12. Praksē politikas veidotāji saskaras ar plašiem kompromisiem, kas jāpieņem, izstrādājot starpvaldību sistēmu fiskālās decentralizācijas vajadzībām. Iepriekšējā darbā, ko veicis Tīkls, tika apspriests, kā decentralizētas fiskālās sistēmas ļauj apmierināt vietējās preferences un vajadzības, savukārt centralizētākas sistēmas palīdz gūt apjomradītas priekšrocības (OECD, 2013</w:t>
      </w:r>
      <w:r>
        <w:rPr>
          <w:sz w:val="24"/>
          <w:vertAlign w:val="superscript"/>
        </w:rPr>
        <w:t>[3]</w:t>
      </w:r>
      <w:r>
        <w:rPr>
          <w:sz w:val="24"/>
        </w:rPr>
        <w:t>). Vēl viens būtisks kompromiss izriet no tā, kā decentralizācija ietekmē dažādiem valdības līmeņiem sniedzamās informācijas izmaksas. Lielāka decentralizācija nozīmē, ka pašvaldības var piekļūt plašākai informācijai par savu iedzīvotāju vajadzībām par zemāku cenu, tomēr tā vienlaikus arī palielina informatīvo attālumu starp centrālo valdību un pašvaldību. Tas savukārt padara informāciju izmaksu ziņā dārgāku no centrālā valdības skatpunkta, kas kavē tai veikt koordinēšanas un uzraudzības funkcijas (de Mello, 2019</w:t>
      </w:r>
      <w:r>
        <w:rPr>
          <w:sz w:val="24"/>
          <w:vertAlign w:val="superscript"/>
        </w:rPr>
        <w:t>[8]</w:t>
      </w:r>
      <w:r>
        <w:rPr>
          <w:sz w:val="24"/>
        </w:rPr>
        <w:t>; de Mello, 2000</w:t>
      </w:r>
      <w:r>
        <w:rPr>
          <w:sz w:val="24"/>
          <w:vertAlign w:val="superscript"/>
        </w:rPr>
        <w:t>[9]</w:t>
      </w:r>
      <w:r>
        <w:rPr>
          <w:sz w:val="24"/>
        </w:rPr>
        <w:t>).</w:t>
      </w:r>
    </w:p>
    <w:p w14:paraId="156D89EB" w14:textId="77777777" w:rsidR="00C91FD9" w:rsidRDefault="00C91FD9" w:rsidP="00C91FD9">
      <w:pPr>
        <w:pStyle w:val="ListParagraph"/>
        <w:tabs>
          <w:tab w:val="left" w:pos="2025"/>
        </w:tabs>
        <w:ind w:left="0"/>
        <w:rPr>
          <w:noProof/>
          <w:sz w:val="24"/>
          <w:szCs w:val="24"/>
        </w:rPr>
      </w:pPr>
    </w:p>
    <w:p w14:paraId="31CEAEA1" w14:textId="64466455" w:rsidR="00C37DE1" w:rsidRPr="00074D4C" w:rsidRDefault="00C91FD9" w:rsidP="00C91FD9">
      <w:pPr>
        <w:pStyle w:val="ListParagraph"/>
        <w:tabs>
          <w:tab w:val="left" w:pos="2025"/>
        </w:tabs>
        <w:ind w:left="0"/>
        <w:rPr>
          <w:noProof/>
          <w:sz w:val="24"/>
          <w:szCs w:val="24"/>
        </w:rPr>
      </w:pPr>
      <w:r>
        <w:rPr>
          <w:sz w:val="24"/>
        </w:rPr>
        <w:t>13. Decentralizācija var izraisīt arī stimulu nesaskaņotību, kas var dārgi izmaksāt. Piemēram, var rasties “kopējā fonda” problēma, kad decentralizācija sašaurina pašvaldību ieņēmumu bāzi un izraisa vertikālu fiskālo nesabalansētību (de Mello, 2000</w:t>
      </w:r>
      <w:r>
        <w:rPr>
          <w:sz w:val="24"/>
          <w:vertAlign w:val="superscript"/>
        </w:rPr>
        <w:t>[9]</w:t>
      </w:r>
      <w:r>
        <w:rPr>
          <w:sz w:val="24"/>
        </w:rPr>
        <w:t>). Šajā gadījumā tas, ka obligāti jāpaļaujas uz centrālo valdību saistībā ar ieņēmumu sadali, lai nodrošinātu pašvaldību fiskālo spēju, arī var kropļot pašvaldību izmaksu/ieguvumu analīzi, jo īpaši situācijās, kad pašvaldības veic atmaksas, neuzņemoties visas saistītās izmaksas. Neelastīgi pasākumi, kuros ir dziļi iesakņojusies fiskālā atkarība no centrālās valdības, var likt pašvaldībām manipulēt ar nodokļu dalīšanas nolīgumiem, lai palielinātu savu daļu, vienlaikus tām mazinās motivācija veidot vietējo nodokļa bāzi. Tāpēc iespējamie ieguvumi, ko sniedz decentralizācija, proti, lielāka efektivitāte un taisnīgums, ir cieši saistīti ar slikti plānotas ieņēmumu sadales trūkumu novēršanu (Kim, 2018</w:t>
      </w:r>
      <w:r>
        <w:rPr>
          <w:sz w:val="24"/>
          <w:vertAlign w:val="superscript"/>
        </w:rPr>
        <w:t>[10]</w:t>
      </w:r>
      <w:r>
        <w:rPr>
          <w:sz w:val="24"/>
        </w:rPr>
        <w:t>).</w:t>
      </w:r>
    </w:p>
    <w:p w14:paraId="0EB687AF" w14:textId="77777777" w:rsidR="00C91FD9" w:rsidRDefault="00C91FD9" w:rsidP="00C91FD9">
      <w:pPr>
        <w:pStyle w:val="ListParagraph"/>
        <w:tabs>
          <w:tab w:val="left" w:pos="1306"/>
          <w:tab w:val="left" w:pos="2025"/>
        </w:tabs>
        <w:ind w:left="0"/>
        <w:rPr>
          <w:noProof/>
          <w:sz w:val="24"/>
          <w:szCs w:val="24"/>
        </w:rPr>
      </w:pPr>
    </w:p>
    <w:p w14:paraId="610E1F04" w14:textId="4F9F5764" w:rsidR="00C37DE1" w:rsidRDefault="00C91FD9" w:rsidP="00C91FD9">
      <w:pPr>
        <w:pStyle w:val="ListParagraph"/>
        <w:tabs>
          <w:tab w:val="left" w:pos="1306"/>
          <w:tab w:val="left" w:pos="2025"/>
        </w:tabs>
        <w:ind w:left="0"/>
        <w:rPr>
          <w:noProof/>
          <w:sz w:val="24"/>
          <w:szCs w:val="24"/>
        </w:rPr>
      </w:pPr>
      <w:r>
        <w:rPr>
          <w:sz w:val="24"/>
        </w:rPr>
        <w:t>14. Ņemot vērā šos kompromisus, nesen sākts empīriski izvērtēt fiskālās decentralizācijas nelineārās sekas. Tas ietver pierādījumu par lūzuma punktu attiecībā uz decentralizāciju veselības aprūpes nozarē (Dougherty et al., 2019</w:t>
      </w:r>
      <w:r>
        <w:rPr>
          <w:sz w:val="24"/>
          <w:vertAlign w:val="superscript"/>
        </w:rPr>
        <w:t>[11]</w:t>
      </w:r>
      <w:r>
        <w:rPr>
          <w:sz w:val="24"/>
        </w:rPr>
        <w:t>) un datus, kas liecina, ka decentralizācija decentralizācija var netieši mazināt ekonomikas rezultātus, kā aplūkots turpmāk.</w:t>
      </w:r>
    </w:p>
    <w:p w14:paraId="2A0A651A" w14:textId="77777777" w:rsidR="00C91FD9" w:rsidRDefault="00C91FD9" w:rsidP="00C91FD9">
      <w:pPr>
        <w:pStyle w:val="ListParagraph"/>
        <w:tabs>
          <w:tab w:val="left" w:pos="1306"/>
          <w:tab w:val="left" w:pos="2025"/>
        </w:tabs>
        <w:ind w:left="0"/>
        <w:jc w:val="left"/>
        <w:rPr>
          <w:noProof/>
          <w:sz w:val="24"/>
          <w:szCs w:val="24"/>
        </w:rPr>
      </w:pPr>
    </w:p>
    <w:p w14:paraId="01E44673" w14:textId="77777777" w:rsidR="000C19B4" w:rsidRPr="00074D4C" w:rsidRDefault="000C19B4" w:rsidP="00C91FD9">
      <w:pPr>
        <w:pStyle w:val="ListParagraph"/>
        <w:tabs>
          <w:tab w:val="left" w:pos="1306"/>
          <w:tab w:val="left" w:pos="2025"/>
        </w:tabs>
        <w:ind w:left="0"/>
        <w:jc w:val="left"/>
        <w:rPr>
          <w:noProof/>
          <w:sz w:val="24"/>
          <w:szCs w:val="24"/>
        </w:rPr>
      </w:pPr>
    </w:p>
    <w:p w14:paraId="75C8D60F" w14:textId="2FD42162" w:rsidR="00C37DE1" w:rsidRPr="00C91FD9" w:rsidRDefault="00C91FD9" w:rsidP="00D64643">
      <w:pPr>
        <w:pStyle w:val="Heading5"/>
        <w:keepNext/>
        <w:keepLines/>
        <w:tabs>
          <w:tab w:val="left" w:pos="1903"/>
        </w:tabs>
        <w:ind w:left="0" w:firstLine="0"/>
        <w:jc w:val="left"/>
        <w:rPr>
          <w:noProof/>
          <w:sz w:val="28"/>
          <w:szCs w:val="28"/>
        </w:rPr>
      </w:pPr>
      <w:bookmarkStart w:id="37" w:name="2.4.__Empirical_observations_on_fiscal_d"/>
      <w:bookmarkStart w:id="38" w:name="_bookmark10"/>
      <w:bookmarkStart w:id="39" w:name="_Toc211859102"/>
      <w:bookmarkEnd w:id="37"/>
      <w:bookmarkEnd w:id="38"/>
      <w:r>
        <w:rPr>
          <w:sz w:val="28"/>
        </w:rPr>
        <w:lastRenderedPageBreak/>
        <w:t>2.4. Empīriski novērojumi par fiskālo decentralizāciju</w:t>
      </w:r>
      <w:bookmarkEnd w:id="39"/>
    </w:p>
    <w:p w14:paraId="4FA519A8" w14:textId="77777777" w:rsidR="00C91FD9" w:rsidRDefault="00C91FD9" w:rsidP="00D64643">
      <w:pPr>
        <w:pStyle w:val="Heading7"/>
        <w:keepNext/>
        <w:keepLines/>
        <w:tabs>
          <w:tab w:val="left" w:pos="2083"/>
        </w:tabs>
        <w:ind w:left="0" w:firstLine="0"/>
        <w:jc w:val="left"/>
        <w:rPr>
          <w:noProof/>
        </w:rPr>
      </w:pPr>
      <w:bookmarkStart w:id="40" w:name="2.4.1.__Decentralisation_and_growth"/>
      <w:bookmarkEnd w:id="40"/>
    </w:p>
    <w:p w14:paraId="34C8F616" w14:textId="2B7D8790" w:rsidR="00C37DE1" w:rsidRPr="00C91FD9" w:rsidRDefault="00C91FD9" w:rsidP="00D64643">
      <w:pPr>
        <w:pStyle w:val="Heading5"/>
        <w:keepNext/>
        <w:keepLines/>
        <w:tabs>
          <w:tab w:val="left" w:pos="1903"/>
        </w:tabs>
        <w:ind w:left="0" w:firstLine="0"/>
        <w:jc w:val="left"/>
        <w:rPr>
          <w:b w:val="0"/>
          <w:bCs w:val="0"/>
          <w:noProof/>
          <w:sz w:val="28"/>
          <w:szCs w:val="28"/>
        </w:rPr>
      </w:pPr>
      <w:bookmarkStart w:id="41" w:name="_Toc211859103"/>
      <w:r>
        <w:rPr>
          <w:b w:val="0"/>
          <w:sz w:val="28"/>
        </w:rPr>
        <w:t>2.4.1. Decentralizācija un izaugsme</w:t>
      </w:r>
      <w:bookmarkEnd w:id="41"/>
    </w:p>
    <w:p w14:paraId="1D1FEA7B" w14:textId="77777777" w:rsidR="00C91FD9" w:rsidRPr="00C91FD9" w:rsidRDefault="00C91FD9" w:rsidP="00D64643">
      <w:pPr>
        <w:pStyle w:val="Heading5"/>
        <w:keepNext/>
        <w:keepLines/>
        <w:tabs>
          <w:tab w:val="left" w:pos="1903"/>
        </w:tabs>
        <w:ind w:left="0" w:firstLine="0"/>
        <w:jc w:val="left"/>
        <w:rPr>
          <w:noProof/>
          <w:sz w:val="28"/>
          <w:szCs w:val="28"/>
        </w:rPr>
      </w:pPr>
    </w:p>
    <w:p w14:paraId="1C956E8E" w14:textId="76A6FC45" w:rsidR="00C37DE1" w:rsidRPr="00074D4C" w:rsidRDefault="00C91FD9" w:rsidP="00D64643">
      <w:pPr>
        <w:pStyle w:val="ListParagraph"/>
        <w:keepNext/>
        <w:keepLines/>
        <w:tabs>
          <w:tab w:val="left" w:pos="2025"/>
        </w:tabs>
        <w:ind w:left="0"/>
        <w:rPr>
          <w:noProof/>
          <w:sz w:val="24"/>
          <w:szCs w:val="24"/>
        </w:rPr>
      </w:pPr>
      <w:r>
        <w:rPr>
          <w:sz w:val="24"/>
        </w:rPr>
        <w:t>15. Literatūrā plaši tiek minēta decentralizācijas dažādā ietekme uz izaugsmi. Martiness-Vaskess [</w:t>
      </w:r>
      <w:r>
        <w:rPr>
          <w:i/>
          <w:iCs/>
          <w:sz w:val="24"/>
        </w:rPr>
        <w:t>Martinez-Vazques</w:t>
      </w:r>
      <w:r>
        <w:rPr>
          <w:sz w:val="24"/>
        </w:rPr>
        <w:t>] u. c. (2017</w:t>
      </w:r>
      <w:r>
        <w:rPr>
          <w:sz w:val="24"/>
          <w:vertAlign w:val="superscript"/>
        </w:rPr>
        <w:t>[12]</w:t>
      </w:r>
      <w:r>
        <w:rPr>
          <w:sz w:val="24"/>
        </w:rPr>
        <w:t>) sniedz apsekojumu, kurā izklāstīts līdz tam paveiktais darbs un uzsvērti neskaidrie rezultāti. Valsts līmenī veiktie pētījumi ir jo īpaši nepārliecinoši (OECD, 2019</w:t>
      </w:r>
      <w:r>
        <w:rPr>
          <w:sz w:val="24"/>
          <w:vertAlign w:val="superscript"/>
        </w:rPr>
        <w:t>[13]</w:t>
      </w:r>
      <w:r>
        <w:rPr>
          <w:sz w:val="24"/>
        </w:rPr>
        <w:t>). Piemēram, pētījumos par decentralizāciju ASV pavalstīs ir konstatēta gan pozitīva ietekme, piemēram, Akajs [</w:t>
      </w:r>
      <w:r>
        <w:rPr>
          <w:i/>
          <w:iCs/>
          <w:sz w:val="24"/>
        </w:rPr>
        <w:t>Akai</w:t>
      </w:r>
      <w:r>
        <w:rPr>
          <w:sz w:val="24"/>
        </w:rPr>
        <w:t>] un Sakata (2002</w:t>
      </w:r>
      <w:r>
        <w:rPr>
          <w:sz w:val="24"/>
          <w:vertAlign w:val="superscript"/>
        </w:rPr>
        <w:t>[14]</w:t>
      </w:r>
      <w:r>
        <w:rPr>
          <w:sz w:val="24"/>
        </w:rPr>
        <w:t>), gan negatīva ietekme, piemēram, Sje [</w:t>
      </w:r>
      <w:r>
        <w:rPr>
          <w:i/>
          <w:iCs/>
          <w:sz w:val="24"/>
        </w:rPr>
        <w:t>Xie</w:t>
      </w:r>
      <w:r>
        <w:rPr>
          <w:sz w:val="24"/>
        </w:rPr>
        <w:t>] u. c. (1999</w:t>
      </w:r>
      <w:r>
        <w:rPr>
          <w:sz w:val="24"/>
          <w:vertAlign w:val="superscript"/>
        </w:rPr>
        <w:t>[15]</w:t>
      </w:r>
      <w:r>
        <w:rPr>
          <w:sz w:val="24"/>
        </w:rPr>
        <w:t>) uz izaugsmi. Arī pētījumos par decentralizāciju un izaugsmi Ķīnā ir ziņots gan par pozitīvu ietekmi, piemēram, Cjao [</w:t>
      </w:r>
      <w:r>
        <w:rPr>
          <w:i/>
          <w:iCs/>
          <w:sz w:val="24"/>
        </w:rPr>
        <w:t>Qiao</w:t>
      </w:r>
      <w:r>
        <w:rPr>
          <w:sz w:val="24"/>
        </w:rPr>
        <w:t>] u. c. (2008</w:t>
      </w:r>
      <w:r>
        <w:rPr>
          <w:sz w:val="24"/>
          <w:vertAlign w:val="superscript"/>
        </w:rPr>
        <w:t>[16]</w:t>
      </w:r>
      <w:r>
        <w:rPr>
          <w:sz w:val="24"/>
        </w:rPr>
        <w:t>), gan par negatīvu ietekmi, piemēram, Džans [</w:t>
      </w:r>
      <w:r>
        <w:rPr>
          <w:i/>
          <w:iCs/>
          <w:sz w:val="24"/>
        </w:rPr>
        <w:t>Zhang</w:t>
      </w:r>
      <w:r>
        <w:rPr>
          <w:sz w:val="24"/>
        </w:rPr>
        <w:t>] un Zou (1998</w:t>
      </w:r>
      <w:r>
        <w:rPr>
          <w:sz w:val="24"/>
          <w:vertAlign w:val="superscript"/>
        </w:rPr>
        <w:t>[17]</w:t>
      </w:r>
      <w:r>
        <w:rPr>
          <w:sz w:val="24"/>
        </w:rPr>
        <w:t>).</w:t>
      </w:r>
    </w:p>
    <w:p w14:paraId="1116E958" w14:textId="77777777" w:rsidR="00C85C26" w:rsidRPr="00074D4C" w:rsidRDefault="00C85C26" w:rsidP="00C91FD9">
      <w:pPr>
        <w:pStyle w:val="ListParagraph"/>
        <w:ind w:left="0"/>
        <w:rPr>
          <w:noProof/>
          <w:sz w:val="24"/>
          <w:szCs w:val="24"/>
        </w:rPr>
      </w:pPr>
    </w:p>
    <w:p w14:paraId="585AD72A" w14:textId="40DE240D" w:rsidR="00C37DE1" w:rsidRPr="00074D4C" w:rsidRDefault="00C91FD9" w:rsidP="00C91FD9">
      <w:pPr>
        <w:pStyle w:val="ListParagraph"/>
        <w:tabs>
          <w:tab w:val="left" w:pos="2025"/>
        </w:tabs>
        <w:ind w:left="0"/>
        <w:rPr>
          <w:noProof/>
          <w:sz w:val="24"/>
          <w:szCs w:val="24"/>
        </w:rPr>
      </w:pPr>
      <w:r>
        <w:rPr>
          <w:sz w:val="24"/>
        </w:rPr>
        <w:t>16. Šo nenoteiktību var kontekstualizēt ar ekonomikas teoriju. Blēhligers un Akguns [</w:t>
      </w:r>
      <w:r>
        <w:rPr>
          <w:i/>
          <w:iCs/>
          <w:sz w:val="24"/>
        </w:rPr>
        <w:t>Akgun</w:t>
      </w:r>
      <w:r>
        <w:rPr>
          <w:sz w:val="24"/>
        </w:rPr>
        <w:t>] (2018</w:t>
      </w:r>
      <w:r>
        <w:rPr>
          <w:sz w:val="24"/>
          <w:vertAlign w:val="superscript"/>
        </w:rPr>
        <w:t>[18]</w:t>
      </w:r>
      <w:r>
        <w:rPr>
          <w:sz w:val="24"/>
        </w:rPr>
        <w:t>) ieskicē vairākus kanālus, kas saista decentralizāciju ar izaugsmi gan pozitīvi, gan negatīvi. Pirmkārt, saskaņā ar Tibū [</w:t>
      </w:r>
      <w:r>
        <w:rPr>
          <w:i/>
          <w:iCs/>
          <w:sz w:val="24"/>
        </w:rPr>
        <w:t>Tiebout</w:t>
      </w:r>
      <w:r>
        <w:rPr>
          <w:sz w:val="24"/>
        </w:rPr>
        <w:t>] (1956</w:t>
      </w:r>
      <w:r>
        <w:rPr>
          <w:sz w:val="24"/>
          <w:vertAlign w:val="superscript"/>
        </w:rPr>
        <w:t>[19]</w:t>
      </w:r>
      <w:r>
        <w:rPr>
          <w:sz w:val="24"/>
        </w:rPr>
        <w:t>) decentralizācija var ļaut mobilam iedzīvotājam (jeb vispārīgāk – mobilajam ražošanas faktoram) ierosināt starpreģionālu konkurenci, “balsojot ar kājām”. Šis spiediens stimulē publiskā sektora produktivitāti un plašāk – ekonomisko izaugsmi. Otrkārt, decentralizācija var ierobežot īpašo interešu spēku, vienlaikus veicinot inovācijas un tādējādi stimulējot produktivitāti. Līdztekus citi ekonomikas teorijas aspekti liecina par negatīvām decentralizācijas un izaugsmes attiecībām. Piemēram, decentralizācija var mazināt apjomradītus ietaupījumus. Līdzīgi, decentralizācijas rezultātā pašvaldības var skart ārējas ietekmes, ko izraisījušas blakus esošo jurisdikciju politikas izvēles. Šādos gadījumos pastāv sabiedrisko labumu nepietiekamas piegādes vai neatbilstīgas nodokļu politikas risks.</w:t>
      </w:r>
    </w:p>
    <w:p w14:paraId="6A1CA4C3" w14:textId="77777777" w:rsidR="00C91FD9" w:rsidRDefault="00C91FD9" w:rsidP="00C91FD9">
      <w:pPr>
        <w:pStyle w:val="ListParagraph"/>
        <w:tabs>
          <w:tab w:val="left" w:pos="2025"/>
        </w:tabs>
        <w:ind w:left="0"/>
        <w:rPr>
          <w:noProof/>
          <w:sz w:val="24"/>
          <w:szCs w:val="24"/>
        </w:rPr>
      </w:pPr>
    </w:p>
    <w:p w14:paraId="2FFD3D2D" w14:textId="1A086696" w:rsidR="00C37DE1" w:rsidRPr="00074D4C" w:rsidRDefault="00C91FD9" w:rsidP="00C91FD9">
      <w:pPr>
        <w:pStyle w:val="ListParagraph"/>
        <w:tabs>
          <w:tab w:val="left" w:pos="2025"/>
        </w:tabs>
        <w:ind w:left="0"/>
        <w:rPr>
          <w:noProof/>
          <w:sz w:val="24"/>
          <w:szCs w:val="24"/>
        </w:rPr>
      </w:pPr>
      <w:r>
        <w:rPr>
          <w:sz w:val="24"/>
        </w:rPr>
        <w:t xml:space="preserve">17. </w:t>
      </w:r>
      <w:r>
        <w:rPr>
          <w:i/>
          <w:iCs/>
          <w:sz w:val="24"/>
        </w:rPr>
        <w:t>OECD</w:t>
      </w:r>
      <w:r>
        <w:rPr>
          <w:sz w:val="24"/>
        </w:rPr>
        <w:t xml:space="preserve"> pētījumā ir konstatēta kopumā pozitīva ieņēmumu decentralizācijas un izaugsmes attiecība, savukārt izdevumu decentralizācija rāda vājāku ietekmi, piemēram, Blēhligers, Ēgerts [</w:t>
      </w:r>
      <w:r>
        <w:rPr>
          <w:i/>
          <w:iCs/>
          <w:sz w:val="24"/>
        </w:rPr>
        <w:t>Égert</w:t>
      </w:r>
      <w:r>
        <w:rPr>
          <w:sz w:val="24"/>
        </w:rPr>
        <w:t>] un Fredriksena [</w:t>
      </w:r>
      <w:r>
        <w:rPr>
          <w:i/>
          <w:iCs/>
          <w:sz w:val="24"/>
        </w:rPr>
        <w:t>Fredriksen</w:t>
      </w:r>
      <w:r>
        <w:rPr>
          <w:sz w:val="24"/>
        </w:rPr>
        <w:t>] (2013</w:t>
      </w:r>
      <w:r>
        <w:rPr>
          <w:sz w:val="24"/>
          <w:vertAlign w:val="superscript"/>
        </w:rPr>
        <w:t>[20]</w:t>
      </w:r>
      <w:r>
        <w:rPr>
          <w:sz w:val="24"/>
        </w:rPr>
        <w:t>), Blēhligers un Akguns (2018</w:t>
      </w:r>
      <w:r>
        <w:rPr>
          <w:sz w:val="24"/>
          <w:vertAlign w:val="superscript"/>
        </w:rPr>
        <w:t>[18]</w:t>
      </w:r>
      <w:r>
        <w:rPr>
          <w:sz w:val="24"/>
        </w:rPr>
        <w:t>) konstatē, ka “nodokļu decentralizācija vairāk sekmē izaugsmi nekā izdevumu decentralizācija”, kur nodokļu decentralizācijas palielinājums 10 procentpunktu apmērā ir saistīts ar 0,1 procentpunkta lielāku ekonomisko izaugsmi. Tas saskan ar citiem neseniem pētījumiem, tostarp Gemmels [</w:t>
      </w:r>
      <w:r>
        <w:rPr>
          <w:i/>
          <w:iCs/>
          <w:sz w:val="24"/>
        </w:rPr>
        <w:t>Gemmell</w:t>
      </w:r>
      <w:r>
        <w:rPr>
          <w:sz w:val="24"/>
        </w:rPr>
        <w:t>] u. c. (2013</w:t>
      </w:r>
      <w:r>
        <w:rPr>
          <w:sz w:val="24"/>
          <w:vertAlign w:val="superscript"/>
        </w:rPr>
        <w:t>[21]</w:t>
      </w:r>
      <w:r>
        <w:rPr>
          <w:sz w:val="24"/>
        </w:rPr>
        <w:t>) un Filipeti [</w:t>
      </w:r>
      <w:r>
        <w:rPr>
          <w:i/>
          <w:iCs/>
          <w:sz w:val="24"/>
        </w:rPr>
        <w:t>Filippetti</w:t>
      </w:r>
      <w:r>
        <w:rPr>
          <w:sz w:val="24"/>
        </w:rPr>
        <w:t>] un Saki [</w:t>
      </w:r>
      <w:r>
        <w:rPr>
          <w:i/>
          <w:iCs/>
          <w:sz w:val="24"/>
        </w:rPr>
        <w:t>Sacchi</w:t>
      </w:r>
      <w:r>
        <w:rPr>
          <w:sz w:val="24"/>
        </w:rPr>
        <w:t>] (2016</w:t>
      </w:r>
      <w:r>
        <w:rPr>
          <w:sz w:val="24"/>
          <w:vertAlign w:val="superscript"/>
        </w:rPr>
        <w:t>[22]</w:t>
      </w:r>
      <w:r>
        <w:rPr>
          <w:sz w:val="24"/>
        </w:rPr>
        <w:t>).</w:t>
      </w:r>
    </w:p>
    <w:p w14:paraId="70C94584" w14:textId="77777777" w:rsidR="00C91FD9" w:rsidRDefault="00C91FD9" w:rsidP="00C91FD9">
      <w:pPr>
        <w:pStyle w:val="ListParagraph"/>
        <w:tabs>
          <w:tab w:val="left" w:pos="2025"/>
        </w:tabs>
        <w:ind w:left="0"/>
        <w:rPr>
          <w:noProof/>
          <w:sz w:val="24"/>
          <w:szCs w:val="24"/>
        </w:rPr>
      </w:pPr>
    </w:p>
    <w:p w14:paraId="2120B5CD" w14:textId="4646287D" w:rsidR="00C37DE1" w:rsidRDefault="00C91FD9" w:rsidP="00C91FD9">
      <w:pPr>
        <w:pStyle w:val="ListParagraph"/>
        <w:tabs>
          <w:tab w:val="left" w:pos="2025"/>
        </w:tabs>
        <w:ind w:left="0"/>
        <w:rPr>
          <w:noProof/>
          <w:sz w:val="24"/>
          <w:szCs w:val="24"/>
        </w:rPr>
      </w:pPr>
      <w:r>
        <w:rPr>
          <w:sz w:val="24"/>
        </w:rPr>
        <w:t xml:space="preserve">18. Tomēr valstij raksturīgo apstākļu loma ir svarīga atšķirība valstu atzinumos, jo rezultātus var izmantot kā ievaddatus decentralizācijas procesā. </w:t>
      </w:r>
      <w:r>
        <w:rPr>
          <w:i/>
          <w:iCs/>
          <w:sz w:val="24"/>
        </w:rPr>
        <w:t>OECD</w:t>
      </w:r>
      <w:r>
        <w:rPr>
          <w:sz w:val="24"/>
        </w:rPr>
        <w:t xml:space="preserve"> veiktajā empīriskajā pētījumā, kurā ņemti vērā iespējamie endoģenēzes jautājumi, Dohertijs un Akguns (2018</w:t>
      </w:r>
      <w:r>
        <w:rPr>
          <w:sz w:val="24"/>
          <w:vertAlign w:val="superscript"/>
        </w:rPr>
        <w:t>[23]</w:t>
      </w:r>
      <w:r>
        <w:rPr>
          <w:sz w:val="24"/>
        </w:rPr>
        <w:t>), konstatēts, ka katrā valstī lielā mērā ir atšķirīga turpmākās decentralizācijas galējā ietekme, kas ataino esošo ieņēmumu gūšanas un izdevumu pienākumu faktisko centralizācijas vai decentralizācijas pakāpi.</w:t>
      </w:r>
    </w:p>
    <w:p w14:paraId="78339BEF" w14:textId="77777777" w:rsidR="00C91FD9" w:rsidRPr="00074D4C" w:rsidRDefault="00C91FD9" w:rsidP="00C91FD9">
      <w:pPr>
        <w:pStyle w:val="ListParagraph"/>
        <w:tabs>
          <w:tab w:val="left" w:pos="2025"/>
        </w:tabs>
        <w:ind w:left="0"/>
        <w:jc w:val="left"/>
        <w:rPr>
          <w:noProof/>
          <w:sz w:val="24"/>
          <w:szCs w:val="24"/>
        </w:rPr>
      </w:pPr>
    </w:p>
    <w:p w14:paraId="7EEB33C3" w14:textId="5D05D536" w:rsidR="00C37DE1" w:rsidRPr="00C91FD9" w:rsidRDefault="00C91FD9" w:rsidP="00C91FD9">
      <w:pPr>
        <w:pStyle w:val="Heading5"/>
        <w:tabs>
          <w:tab w:val="left" w:pos="1903"/>
        </w:tabs>
        <w:ind w:left="0" w:firstLine="0"/>
        <w:jc w:val="left"/>
        <w:rPr>
          <w:b w:val="0"/>
          <w:bCs w:val="0"/>
          <w:noProof/>
          <w:sz w:val="28"/>
          <w:szCs w:val="28"/>
        </w:rPr>
      </w:pPr>
      <w:bookmarkStart w:id="42" w:name="2.4.2.__Decentralisation_and_inequality"/>
      <w:bookmarkStart w:id="43" w:name="_Toc211859104"/>
      <w:bookmarkEnd w:id="42"/>
      <w:r>
        <w:rPr>
          <w:b w:val="0"/>
          <w:sz w:val="28"/>
        </w:rPr>
        <w:t>2.4.2. Decentralizācija un nevienlīdzība</w:t>
      </w:r>
      <w:bookmarkEnd w:id="43"/>
    </w:p>
    <w:p w14:paraId="505DC3C9" w14:textId="77777777" w:rsidR="00C91FD9" w:rsidRDefault="00C91FD9" w:rsidP="00C91FD9">
      <w:pPr>
        <w:pStyle w:val="ListParagraph"/>
        <w:tabs>
          <w:tab w:val="left" w:pos="2025"/>
        </w:tabs>
        <w:ind w:left="0"/>
        <w:jc w:val="left"/>
        <w:rPr>
          <w:noProof/>
          <w:sz w:val="24"/>
          <w:szCs w:val="24"/>
        </w:rPr>
      </w:pPr>
    </w:p>
    <w:p w14:paraId="202DCC2F" w14:textId="786C000A" w:rsidR="00C37DE1" w:rsidRPr="00074D4C" w:rsidRDefault="00C91FD9" w:rsidP="00C91FD9">
      <w:pPr>
        <w:pStyle w:val="ListParagraph"/>
        <w:tabs>
          <w:tab w:val="left" w:pos="2025"/>
        </w:tabs>
        <w:ind w:left="0"/>
        <w:rPr>
          <w:noProof/>
          <w:sz w:val="24"/>
          <w:szCs w:val="24"/>
        </w:rPr>
      </w:pPr>
      <w:r>
        <w:rPr>
          <w:sz w:val="24"/>
        </w:rPr>
        <w:t xml:space="preserve">19. </w:t>
      </w:r>
      <w:r>
        <w:rPr>
          <w:i/>
          <w:iCs/>
          <w:sz w:val="24"/>
        </w:rPr>
        <w:t>OECD</w:t>
      </w:r>
      <w:r>
        <w:rPr>
          <w:sz w:val="24"/>
        </w:rPr>
        <w:t xml:space="preserve"> pētījums par decentralizāciju un nevienlīdzību liecina gan to, ka nozīme ir valsts individuālajam raksturojumam, gan to, ka ietekme var atšķirties atkarībā no tā, kura ieņēmumu spektra daļa tiek izskatīta. Piemēram, Štosberga [</w:t>
      </w:r>
      <w:r>
        <w:rPr>
          <w:i/>
          <w:iCs/>
          <w:sz w:val="24"/>
        </w:rPr>
        <w:t>Stossberg</w:t>
      </w:r>
      <w:r>
        <w:rPr>
          <w:sz w:val="24"/>
        </w:rPr>
        <w:t>] un Blēhligers (2017</w:t>
      </w:r>
      <w:r>
        <w:rPr>
          <w:sz w:val="24"/>
          <w:vertAlign w:val="superscript"/>
        </w:rPr>
        <w:t>[24]</w:t>
      </w:r>
      <w:r>
        <w:rPr>
          <w:sz w:val="24"/>
        </w:rPr>
        <w:t xml:space="preserve">) konstatē, ka decentralizācijas palielināšana par 1 procentu mazina atšķirību starp otras bagātākās un mediālās mājsaimniecības ienākuma decili par 0,8 procentiem. Tādējādi decentralizācija, šķiet, mazina atšķirību starp augsta ienākuma un vidēja ienākuma mājsaimniecībām, bet var atstāt iepakaļ zemus ienākumus, jo īpaši tad, ja jurisdikcijās ir liela </w:t>
      </w:r>
      <w:r>
        <w:rPr>
          <w:sz w:val="24"/>
        </w:rPr>
        <w:lastRenderedPageBreak/>
        <w:t>nodokļu autonomija (3. attēls). Plašāk, Dohertijs un Akguns (2018</w:t>
      </w:r>
      <w:r>
        <w:rPr>
          <w:sz w:val="24"/>
          <w:vertAlign w:val="superscript"/>
        </w:rPr>
        <w:t>[23]</w:t>
      </w:r>
      <w:r>
        <w:rPr>
          <w:sz w:val="24"/>
        </w:rPr>
        <w:t>) atzīst, ka turpmāka decentralizācijas varētu vidēji palielināt 90/10 ienākuma deciles attiecību, lai arī katrā valstī ievērojami atšķiras galējā ietekme.</w:t>
      </w:r>
    </w:p>
    <w:p w14:paraId="374FF8F3" w14:textId="77777777" w:rsidR="00C85C26" w:rsidRPr="00074D4C" w:rsidRDefault="00C85C26" w:rsidP="00C85C26">
      <w:pPr>
        <w:pStyle w:val="ListParagraph"/>
        <w:ind w:left="0"/>
        <w:rPr>
          <w:noProof/>
          <w:sz w:val="24"/>
          <w:szCs w:val="24"/>
        </w:rPr>
      </w:pPr>
    </w:p>
    <w:p w14:paraId="284F56AC" w14:textId="77777777" w:rsidR="00C37DE1" w:rsidRPr="001970BD" w:rsidRDefault="00C37DE1" w:rsidP="001970BD">
      <w:pPr>
        <w:pStyle w:val="Heading3"/>
        <w:jc w:val="center"/>
        <w:rPr>
          <w:i w:val="0"/>
          <w:iCs w:val="0"/>
          <w:sz w:val="24"/>
          <w:szCs w:val="24"/>
        </w:rPr>
      </w:pPr>
      <w:bookmarkStart w:id="44" w:name="_bookmark11"/>
      <w:bookmarkStart w:id="45" w:name="_Toc211859565"/>
      <w:bookmarkEnd w:id="44"/>
      <w:r w:rsidRPr="001970BD">
        <w:rPr>
          <w:i w:val="0"/>
          <w:iCs w:val="0"/>
          <w:sz w:val="24"/>
          <w:szCs w:val="24"/>
        </w:rPr>
        <w:t>3. attēls. Decentralizācijas ieguvumi vidēju ienākumu guvējiem</w:t>
      </w:r>
      <w:bookmarkEnd w:id="45"/>
    </w:p>
    <w:p w14:paraId="31929540" w14:textId="7FF9A3E3" w:rsidR="00C37DE1" w:rsidRPr="00074D4C" w:rsidRDefault="00C37DE1" w:rsidP="00C85C26">
      <w:pPr>
        <w:pStyle w:val="BodyText"/>
        <w:rPr>
          <w:b/>
          <w:noProof/>
          <w:sz w:val="24"/>
          <w:szCs w:val="24"/>
        </w:rPr>
      </w:pPr>
    </w:p>
    <w:p w14:paraId="5F748101" w14:textId="7A7A18C9" w:rsidR="00C37DE1" w:rsidRPr="00074D4C" w:rsidRDefault="008320F3" w:rsidP="00C85C26">
      <w:pPr>
        <w:pStyle w:val="BodyText"/>
        <w:rPr>
          <w:b/>
          <w:noProof/>
          <w:sz w:val="24"/>
          <w:szCs w:val="24"/>
        </w:rPr>
      </w:pPr>
      <w:r>
        <w:rPr>
          <w:b/>
          <w:noProof/>
          <w:sz w:val="24"/>
          <w:szCs w:val="24"/>
        </w:rPr>
        <w:drawing>
          <wp:inline distT="0" distB="0" distL="0" distR="0" wp14:anchorId="3915C9F6" wp14:editId="13F85D01">
            <wp:extent cx="5762625" cy="2732405"/>
            <wp:effectExtent l="0" t="0" r="9525" b="0"/>
            <wp:docPr id="1442806826" name="Picture 6"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6826" name="Picture 6" descr="A graph with blue square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762625" cy="2732405"/>
                    </a:xfrm>
                    <a:prstGeom prst="rect">
                      <a:avLst/>
                    </a:prstGeom>
                  </pic:spPr>
                </pic:pic>
              </a:graphicData>
            </a:graphic>
          </wp:inline>
        </w:drawing>
      </w:r>
    </w:p>
    <w:p w14:paraId="481F6D5E" w14:textId="5D1B4B82" w:rsidR="00C37DE1" w:rsidRPr="00074D4C" w:rsidRDefault="00C37DE1" w:rsidP="003C0E92">
      <w:pPr>
        <w:spacing w:before="120"/>
        <w:jc w:val="right"/>
        <w:rPr>
          <w:noProof/>
          <w:sz w:val="24"/>
          <w:szCs w:val="24"/>
        </w:rPr>
      </w:pPr>
      <w:r>
        <w:rPr>
          <w:i/>
          <w:sz w:val="24"/>
        </w:rPr>
        <w:t xml:space="preserve">StatLink </w:t>
      </w:r>
      <w:hyperlink r:id="rId21">
        <w:r>
          <w:rPr>
            <w:color w:val="0000FF"/>
            <w:sz w:val="24"/>
            <w:u w:val="single" w:color="0000FF"/>
          </w:rPr>
          <w:t>http://dx.doi.org/10.1787/888934116053</w:t>
        </w:r>
      </w:hyperlink>
    </w:p>
    <w:p w14:paraId="287DD106" w14:textId="77777777" w:rsidR="00C85C26" w:rsidRDefault="00C85C26" w:rsidP="00C85C26">
      <w:pPr>
        <w:rPr>
          <w:noProof/>
          <w:sz w:val="24"/>
          <w:szCs w:val="24"/>
        </w:rPr>
      </w:pPr>
    </w:p>
    <w:p w14:paraId="1AC92184" w14:textId="77777777" w:rsidR="00C37DE1" w:rsidRPr="00074D4C" w:rsidRDefault="00C37DE1" w:rsidP="001F7358">
      <w:pPr>
        <w:jc w:val="both"/>
        <w:rPr>
          <w:noProof/>
          <w:sz w:val="24"/>
          <w:szCs w:val="24"/>
        </w:rPr>
      </w:pPr>
      <w:r>
        <w:rPr>
          <w:i/>
          <w:sz w:val="24"/>
        </w:rPr>
        <w:t>Piezīme</w:t>
      </w:r>
      <w:r>
        <w:rPr>
          <w:sz w:val="24"/>
        </w:rPr>
        <w:t>. Koeficienti parāda procentpunkta izmaiņas, t. i., 0,43 nozīmē to, ka viena procentpunkta palielinājums decentralizācijā (piemēram, izdevumu īpatsvars palielinās no 12 % uz 13 %) ir saistīts ar mediālā ienākuma un attiecīgās mājsaimniecības ienākuma deciles attiecības palielinājumu par 0,43 procentpunktiem. Negatīvs koeficients nozīmē to, ka, palielinot izdevumu decentralizāciju, mazinās atšķirība starp šo ienākuma decili un mediālo ienākumu. Pozitīvs koeficients nozīmē to, ka atšķirība līdz mediālajam ienākumam paplašinās. “10/50” ir nabadzīgākā ienākuma decile, “50/90” ir otra bagātākā. Zvaigznītes (***, ** un *) norāda nozīmīguma līmeni attiecīgi 1 %, 5 % un 10 % līmenī.</w:t>
      </w:r>
    </w:p>
    <w:p w14:paraId="311782EC" w14:textId="77777777" w:rsidR="00C37DE1" w:rsidRPr="00074D4C" w:rsidRDefault="00C37DE1" w:rsidP="001F7358">
      <w:pPr>
        <w:jc w:val="both"/>
        <w:rPr>
          <w:noProof/>
          <w:sz w:val="24"/>
          <w:szCs w:val="24"/>
        </w:rPr>
      </w:pPr>
      <w:r>
        <w:rPr>
          <w:i/>
          <w:iCs/>
          <w:sz w:val="24"/>
        </w:rPr>
        <w:t>Avots</w:t>
      </w:r>
      <w:r>
        <w:rPr>
          <w:sz w:val="24"/>
        </w:rPr>
        <w:t>: Štosberga un Blēhligers (2017</w:t>
      </w:r>
      <w:r>
        <w:rPr>
          <w:sz w:val="24"/>
          <w:vertAlign w:val="superscript"/>
        </w:rPr>
        <w:t>[24]</w:t>
      </w:r>
      <w:r>
        <w:rPr>
          <w:sz w:val="24"/>
        </w:rPr>
        <w:t>).</w:t>
      </w:r>
    </w:p>
    <w:p w14:paraId="6E065386" w14:textId="77777777" w:rsidR="00C37DE1" w:rsidRPr="00074D4C" w:rsidRDefault="00C37DE1" w:rsidP="00C85C26">
      <w:pPr>
        <w:pStyle w:val="BodyText"/>
        <w:rPr>
          <w:noProof/>
          <w:sz w:val="24"/>
          <w:szCs w:val="24"/>
        </w:rPr>
      </w:pPr>
    </w:p>
    <w:p w14:paraId="03BF39F0" w14:textId="5700E124" w:rsidR="00C37DE1" w:rsidRPr="001F7358" w:rsidRDefault="001F7358" w:rsidP="001F7358">
      <w:pPr>
        <w:pStyle w:val="Heading5"/>
        <w:tabs>
          <w:tab w:val="left" w:pos="1903"/>
        </w:tabs>
        <w:ind w:left="0" w:firstLine="0"/>
        <w:jc w:val="left"/>
        <w:rPr>
          <w:b w:val="0"/>
          <w:bCs w:val="0"/>
          <w:noProof/>
          <w:sz w:val="28"/>
          <w:szCs w:val="28"/>
        </w:rPr>
      </w:pPr>
      <w:bookmarkStart w:id="46" w:name="2.4.3.__Decentralisation,_public_service"/>
      <w:bookmarkStart w:id="47" w:name="_Toc211859105"/>
      <w:bookmarkEnd w:id="46"/>
      <w:r>
        <w:rPr>
          <w:b w:val="0"/>
          <w:sz w:val="28"/>
        </w:rPr>
        <w:t>2.4.3. Decentralizācija, sabiedriskie pakalpojumi un sociālais kapitāls</w:t>
      </w:r>
      <w:bookmarkEnd w:id="47"/>
    </w:p>
    <w:p w14:paraId="7D7E5943" w14:textId="77777777" w:rsidR="001F7358" w:rsidRDefault="001F7358" w:rsidP="001F7358">
      <w:pPr>
        <w:pStyle w:val="ListParagraph"/>
        <w:tabs>
          <w:tab w:val="left" w:pos="2025"/>
        </w:tabs>
        <w:ind w:left="0"/>
        <w:jc w:val="left"/>
        <w:rPr>
          <w:noProof/>
          <w:sz w:val="24"/>
          <w:szCs w:val="24"/>
        </w:rPr>
      </w:pPr>
    </w:p>
    <w:p w14:paraId="5A1E6236" w14:textId="4D3F47F4" w:rsidR="00C37DE1" w:rsidRPr="00074D4C" w:rsidRDefault="001F7358" w:rsidP="001F7358">
      <w:pPr>
        <w:pStyle w:val="ListParagraph"/>
        <w:tabs>
          <w:tab w:val="left" w:pos="2025"/>
        </w:tabs>
        <w:ind w:left="0"/>
        <w:rPr>
          <w:noProof/>
          <w:sz w:val="24"/>
          <w:szCs w:val="24"/>
        </w:rPr>
      </w:pPr>
      <w:r>
        <w:rPr>
          <w:sz w:val="24"/>
        </w:rPr>
        <w:t>20. Labāka pielāgošanās kopienas preferencēm joprojām ir viens no galvenajiem decentralizācijas pamatojumiem. Tāpēc nav pārsteigums, ka decentralizācija tika empīriski sasaistīta ar sabiedrisko pakalpojumu labāku efektivitāti pareizos institucionālos apstākļos (Sow and Razafimahefa, 2018</w:t>
      </w:r>
      <w:r>
        <w:rPr>
          <w:sz w:val="24"/>
          <w:vertAlign w:val="superscript"/>
        </w:rPr>
        <w:t>[25]</w:t>
      </w:r>
      <w:r>
        <w:rPr>
          <w:sz w:val="24"/>
        </w:rPr>
        <w:t>). Turklāt, atbalstot sadalījuma efektivitāti, pārskatāmību, kopienas līdzdalību un publiskā sektora paredzamo atsaucību, fiskālā decentralizācija var izraisīt lielāku sociālo kapitālu, kas izpaužas kā lielāka uzticība un sadarbība (de Mello, 2004</w:t>
      </w:r>
      <w:r>
        <w:rPr>
          <w:sz w:val="24"/>
          <w:vertAlign w:val="superscript"/>
        </w:rPr>
        <w:t>[26]</w:t>
      </w:r>
      <w:r>
        <w:rPr>
          <w:sz w:val="24"/>
        </w:rPr>
        <w:t>).</w:t>
      </w:r>
    </w:p>
    <w:p w14:paraId="297DFAA2" w14:textId="77777777" w:rsidR="001F7358" w:rsidRDefault="001F7358" w:rsidP="001F7358">
      <w:pPr>
        <w:pStyle w:val="ListParagraph"/>
        <w:tabs>
          <w:tab w:val="left" w:pos="2025"/>
        </w:tabs>
        <w:ind w:left="0"/>
        <w:rPr>
          <w:noProof/>
          <w:sz w:val="24"/>
          <w:szCs w:val="24"/>
        </w:rPr>
      </w:pPr>
    </w:p>
    <w:p w14:paraId="5AAA8A08" w14:textId="7B8B6302" w:rsidR="00C37DE1" w:rsidRPr="00074D4C" w:rsidRDefault="001F7358" w:rsidP="001F7358">
      <w:pPr>
        <w:pStyle w:val="ListParagraph"/>
        <w:tabs>
          <w:tab w:val="left" w:pos="2025"/>
        </w:tabs>
        <w:ind w:left="0"/>
        <w:rPr>
          <w:noProof/>
          <w:sz w:val="24"/>
          <w:szCs w:val="24"/>
        </w:rPr>
      </w:pPr>
      <w:r>
        <w:rPr>
          <w:sz w:val="24"/>
        </w:rPr>
        <w:t>21. Saskaņā ar literatūru par izaugsmi nesenais darbs par decentralizāciju pa nozarēm norāda uz ieguvumiem un ierobežojumiem, ko sniedz decentralizācija kā politika, ko izmanto izglītības un veselības aprūpes nozaru darbības rezultātu uzlabošanai. Veselības aprūpē pētījums norāda, ka mērena decentralizācija mazina izmaksas un palielina paredzamo mūža ilgumu, taču pretēja ietekme rodas, tiklīdz decentralizācija kļūst pārmērīga (Dougherty et al., 2019</w:t>
      </w:r>
      <w:r>
        <w:rPr>
          <w:sz w:val="24"/>
          <w:vertAlign w:val="superscript"/>
        </w:rPr>
        <w:t>[11]</w:t>
      </w:r>
      <w:r>
        <w:rPr>
          <w:sz w:val="24"/>
        </w:rPr>
        <w:t>). Attiecībā uz sasniegto izglītības līmeni Lastra-Anadons un Mukerdžī [</w:t>
      </w:r>
      <w:r>
        <w:rPr>
          <w:i/>
          <w:iCs/>
          <w:sz w:val="24"/>
        </w:rPr>
        <w:t>Mukherjee</w:t>
      </w:r>
      <w:r>
        <w:rPr>
          <w:sz w:val="24"/>
        </w:rPr>
        <w:t>] (2019</w:t>
      </w:r>
      <w:r>
        <w:rPr>
          <w:sz w:val="24"/>
          <w:vertAlign w:val="superscript"/>
        </w:rPr>
        <w:t>[27]</w:t>
      </w:r>
      <w:r>
        <w:rPr>
          <w:sz w:val="24"/>
        </w:rPr>
        <w:t xml:space="preserve">) konstatē, ka ieņēmumu īpatsvara pieaugums par 10 procentpunktiem pašvaldību </w:t>
      </w:r>
      <w:r>
        <w:rPr>
          <w:sz w:val="24"/>
        </w:rPr>
        <w:lastRenderedPageBreak/>
        <w:t>līmenī uzlabo SSNP vērtējumus par 6 procentpunktiem, kas atbilst uzlabojumam vidēji par apmēram sešām vietām SSNP valstu reitingā. Pašvaldību nodokļu ieņēmumu īpatsvara pozitīvu korelāciju ar vispārējiem SSNP vērtējumiem matemātikā, dabas zinātnēs un lasīšanā var redzēt 4. attēlā. Līdzīga, tomēr vājāka attiecība ir konstatēta saistībā ar citiem izglītības decentralizācijas pasākumiem, piemēram, skolu autonomiju vai pašvaldību izdevumiem izglītības jomā.</w:t>
      </w:r>
    </w:p>
    <w:p w14:paraId="162F0FF1" w14:textId="77777777" w:rsidR="00C85C26" w:rsidRPr="00074D4C" w:rsidRDefault="00C85C26" w:rsidP="00C85C26">
      <w:pPr>
        <w:pStyle w:val="ListParagraph"/>
        <w:ind w:left="0"/>
        <w:rPr>
          <w:noProof/>
          <w:sz w:val="24"/>
          <w:szCs w:val="24"/>
        </w:rPr>
      </w:pPr>
    </w:p>
    <w:p w14:paraId="14C290D1" w14:textId="77777777" w:rsidR="00C37DE1" w:rsidRPr="001970BD" w:rsidRDefault="00C37DE1" w:rsidP="001970BD">
      <w:pPr>
        <w:pStyle w:val="Heading3"/>
        <w:jc w:val="center"/>
        <w:rPr>
          <w:i w:val="0"/>
          <w:iCs w:val="0"/>
          <w:sz w:val="24"/>
          <w:szCs w:val="24"/>
        </w:rPr>
      </w:pPr>
      <w:bookmarkStart w:id="48" w:name="_bookmark12"/>
      <w:bookmarkStart w:id="49" w:name="_Toc211859566"/>
      <w:bookmarkEnd w:id="48"/>
      <w:r w:rsidRPr="001970BD">
        <w:rPr>
          <w:i w:val="0"/>
          <w:iCs w:val="0"/>
          <w:sz w:val="24"/>
          <w:szCs w:val="24"/>
        </w:rPr>
        <w:t>4. attēls. Decentralizācijas pozitīvā saikne ar darbības rezultātiem izglītības jomā</w:t>
      </w:r>
      <w:bookmarkEnd w:id="49"/>
    </w:p>
    <w:p w14:paraId="073A6909" w14:textId="77777777" w:rsidR="00C37DE1" w:rsidRDefault="00C37DE1" w:rsidP="00C85C26">
      <w:pPr>
        <w:pStyle w:val="BodyText"/>
        <w:rPr>
          <w:b/>
          <w:noProof/>
          <w:sz w:val="24"/>
          <w:szCs w:val="24"/>
        </w:rPr>
      </w:pPr>
    </w:p>
    <w:p w14:paraId="743E89B0" w14:textId="190AA7DD" w:rsidR="00095B45" w:rsidRDefault="00095B45" w:rsidP="00095B45">
      <w:pPr>
        <w:pStyle w:val="BodyText"/>
        <w:jc w:val="center"/>
        <w:rPr>
          <w:sz w:val="24"/>
        </w:rPr>
      </w:pPr>
      <w:r>
        <w:rPr>
          <w:sz w:val="24"/>
        </w:rPr>
        <w:t>Nodokļu ieņēmumu decentralizācija un vispārējie SSNP vērtējumi, 2015</w:t>
      </w:r>
    </w:p>
    <w:p w14:paraId="30670E34" w14:textId="77777777" w:rsidR="00C3414B" w:rsidRPr="00095B45" w:rsidRDefault="00C3414B" w:rsidP="00095B45">
      <w:pPr>
        <w:pStyle w:val="BodyText"/>
        <w:jc w:val="center"/>
        <w:rPr>
          <w:bCs/>
          <w:noProof/>
          <w:sz w:val="24"/>
          <w:szCs w:val="24"/>
        </w:rPr>
      </w:pPr>
    </w:p>
    <w:p w14:paraId="14BE4384" w14:textId="0C1557F1" w:rsidR="006F1EF0" w:rsidRDefault="00C3414B" w:rsidP="00C3414B">
      <w:pPr>
        <w:pStyle w:val="BodyText"/>
        <w:jc w:val="center"/>
        <w:rPr>
          <w:b/>
          <w:noProof/>
          <w:sz w:val="24"/>
          <w:szCs w:val="24"/>
        </w:rPr>
      </w:pPr>
      <w:r>
        <w:rPr>
          <w:b/>
          <w:noProof/>
          <w:sz w:val="24"/>
          <w:szCs w:val="24"/>
        </w:rPr>
        <w:drawing>
          <wp:inline distT="0" distB="0" distL="0" distR="0" wp14:anchorId="29DB6FED" wp14:editId="60F552FB">
            <wp:extent cx="5762625" cy="2244090"/>
            <wp:effectExtent l="0" t="0" r="9525" b="3810"/>
            <wp:docPr id="1575505576" name="Picture 7"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05576" name="Picture 7" descr="A graph with a lin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762625" cy="2244090"/>
                    </a:xfrm>
                    <a:prstGeom prst="rect">
                      <a:avLst/>
                    </a:prstGeom>
                  </pic:spPr>
                </pic:pic>
              </a:graphicData>
            </a:graphic>
          </wp:inline>
        </w:drawing>
      </w:r>
    </w:p>
    <w:p w14:paraId="08DED984" w14:textId="77777777" w:rsidR="00C3414B" w:rsidRDefault="00C3414B" w:rsidP="006F1EF0">
      <w:pPr>
        <w:jc w:val="right"/>
        <w:rPr>
          <w:i/>
        </w:rPr>
      </w:pPr>
    </w:p>
    <w:p w14:paraId="3D7FDE72" w14:textId="7C98B183" w:rsidR="006F1EF0" w:rsidRPr="00095B45" w:rsidRDefault="006F1EF0" w:rsidP="006F1EF0">
      <w:pPr>
        <w:jc w:val="right"/>
        <w:rPr>
          <w:noProof/>
        </w:rPr>
      </w:pPr>
      <w:r>
        <w:rPr>
          <w:i/>
        </w:rPr>
        <w:t xml:space="preserve">StatLink </w:t>
      </w:r>
      <w:hyperlink r:id="rId23">
        <w:r>
          <w:t>http://dx.doi.org/10.1787/888934116072</w:t>
        </w:r>
      </w:hyperlink>
    </w:p>
    <w:p w14:paraId="17A43058" w14:textId="77777777" w:rsidR="006F1EF0" w:rsidRDefault="006F1EF0" w:rsidP="00C85C26">
      <w:pPr>
        <w:pStyle w:val="BodyText"/>
        <w:rPr>
          <w:b/>
          <w:noProof/>
          <w:sz w:val="24"/>
          <w:szCs w:val="24"/>
        </w:rPr>
      </w:pPr>
    </w:p>
    <w:p w14:paraId="29BA5256" w14:textId="77777777" w:rsidR="00C37DE1" w:rsidRPr="00074D4C" w:rsidRDefault="00C37DE1" w:rsidP="00C85C26">
      <w:pPr>
        <w:rPr>
          <w:noProof/>
          <w:sz w:val="24"/>
          <w:szCs w:val="24"/>
        </w:rPr>
      </w:pPr>
      <w:bookmarkStart w:id="50" w:name="3.__Improving_sub-central_fiscal_autonom"/>
      <w:bookmarkStart w:id="51" w:name="_bookmark13"/>
      <w:bookmarkEnd w:id="50"/>
      <w:bookmarkEnd w:id="51"/>
      <w:r>
        <w:rPr>
          <w:i/>
          <w:iCs/>
          <w:sz w:val="24"/>
        </w:rPr>
        <w:t>Avots</w:t>
      </w:r>
      <w:r>
        <w:rPr>
          <w:sz w:val="24"/>
        </w:rPr>
        <w:t xml:space="preserve">: </w:t>
      </w:r>
      <w:r>
        <w:rPr>
          <w:i/>
          <w:iCs/>
          <w:sz w:val="24"/>
        </w:rPr>
        <w:t>Education at a Glance</w:t>
      </w:r>
      <w:r>
        <w:rPr>
          <w:sz w:val="24"/>
        </w:rPr>
        <w:t xml:space="preserve">, </w:t>
      </w:r>
      <w:r>
        <w:rPr>
          <w:i/>
          <w:iCs/>
          <w:sz w:val="24"/>
        </w:rPr>
        <w:t>OECD</w:t>
      </w:r>
      <w:r>
        <w:rPr>
          <w:sz w:val="24"/>
        </w:rPr>
        <w:t xml:space="preserve"> Fiskālās decentralizācijas datubāze.</w:t>
      </w:r>
    </w:p>
    <w:p w14:paraId="6BF57A44" w14:textId="77777777" w:rsidR="00C37DE1" w:rsidRDefault="00C37DE1" w:rsidP="00C85C26">
      <w:pPr>
        <w:pStyle w:val="BodyText"/>
        <w:rPr>
          <w:noProof/>
          <w:sz w:val="24"/>
          <w:szCs w:val="24"/>
        </w:rPr>
      </w:pPr>
    </w:p>
    <w:p w14:paraId="09BE7569" w14:textId="77777777" w:rsidR="00095B45" w:rsidRPr="00074D4C" w:rsidRDefault="00095B45" w:rsidP="00C85C26">
      <w:pPr>
        <w:pStyle w:val="BodyText"/>
        <w:rPr>
          <w:noProof/>
          <w:sz w:val="24"/>
          <w:szCs w:val="24"/>
        </w:rPr>
      </w:pPr>
    </w:p>
    <w:p w14:paraId="4360786A" w14:textId="43745C5A" w:rsidR="00C37DE1" w:rsidRPr="006F1EF0" w:rsidRDefault="009B38EC" w:rsidP="006F1EF0">
      <w:pPr>
        <w:pStyle w:val="Heading4"/>
        <w:tabs>
          <w:tab w:val="left" w:pos="1044"/>
        </w:tabs>
        <w:spacing w:before="0"/>
        <w:ind w:left="0" w:firstLine="0"/>
        <w:rPr>
          <w:noProof/>
          <w:color w:val="4E81BC"/>
          <w:sz w:val="28"/>
          <w:szCs w:val="28"/>
        </w:rPr>
      </w:pPr>
      <w:bookmarkStart w:id="52" w:name="_Toc211859106"/>
      <w:r>
        <w:rPr>
          <w:color w:val="4E81BC"/>
          <w:sz w:val="28"/>
        </w:rPr>
        <w:t>3. Pašvaldību fiskālās autonomijas uzlabošana</w:t>
      </w:r>
      <w:bookmarkEnd w:id="52"/>
    </w:p>
    <w:p w14:paraId="5F099014" w14:textId="77777777" w:rsidR="009B38EC" w:rsidRDefault="009B38EC" w:rsidP="009B38EC">
      <w:pPr>
        <w:pStyle w:val="ListParagraph"/>
        <w:tabs>
          <w:tab w:val="left" w:pos="2025"/>
        </w:tabs>
        <w:ind w:left="0"/>
        <w:jc w:val="left"/>
        <w:rPr>
          <w:noProof/>
          <w:sz w:val="24"/>
          <w:szCs w:val="24"/>
        </w:rPr>
      </w:pPr>
    </w:p>
    <w:p w14:paraId="66F86222" w14:textId="2DE87568" w:rsidR="00C37DE1" w:rsidRPr="00074D4C" w:rsidRDefault="009B38EC" w:rsidP="009B38EC">
      <w:pPr>
        <w:pStyle w:val="ListParagraph"/>
        <w:tabs>
          <w:tab w:val="left" w:pos="2025"/>
        </w:tabs>
        <w:ind w:left="0"/>
        <w:rPr>
          <w:noProof/>
          <w:sz w:val="24"/>
          <w:szCs w:val="24"/>
        </w:rPr>
      </w:pPr>
      <w:r>
        <w:rPr>
          <w:sz w:val="24"/>
        </w:rPr>
        <w:t>22. No apmēram 163 valsts līmeņa ieteikumiem, kas tika izskatīti šā dokumenta vajadzībām, apmēram 28 % bija aicinājums stiprināt pašvaldību fiskālo autonomiju. Fiskālā autonomija ir ietilpīgs jēdziens un ietver dažādus pasākumus, kas stiprina efektivitāti, taisnīgumu un kohēziju pašā pašvaldībā un pašvaldībās kopumā. Lai veicinātu fiskālo decentralizāciju, ir svarīgi, ka fiskālās autonomijas nodrošināšanai nepieciešams, lai pašvaldībām būtu pienācīga nodokļu autonomija, izdevumu autonomija un/vai fiskālā izlīdzināšana (vai līdzīgi pārskaitījumi). Būtībā fiskālajai autonomijai jāatbalsta mērķis nodrošināt, ka pašvaldībām ir pietiekama fiskālā spēja pildīt savus uzdevumus. Atkarībā no strukturālā konteksta fiskālā autonomija var mazināt nepieciešamību veikt vertikālos pārskaitījumus, vienlaikus ļaujot labāk pielāgoties vietējām preferencēm. Tas nozīmē, ka pašvaldības pielāgo savus ieņēmumus no pašu resursiem, lai saskaņotu savus izdevumu pienākumus. Ja iespējams, ar pārskaitījumiem jālabo pašvaldību strukturālas ienākumu un to attiecīgo nodokļu ienākumu potenciālu atšķirības, nevis jākompensē tas, ka nav pilnībā izmantota vietējā nodokļa bāze (2. ierāmējums).</w:t>
      </w:r>
    </w:p>
    <w:p w14:paraId="1EB2F9A6" w14:textId="66E7B07B" w:rsidR="00B6363B" w:rsidRDefault="00B6363B">
      <w:pPr>
        <w:rPr>
          <w:noProof/>
          <w:sz w:val="24"/>
          <w:szCs w:val="24"/>
        </w:rPr>
      </w:pPr>
      <w:r>
        <w:rPr>
          <w:noProof/>
          <w:sz w:val="24"/>
          <w:szCs w:val="24"/>
        </w:rPr>
        <w:br w:type="page"/>
      </w:r>
    </w:p>
    <w:p w14:paraId="616A4602" w14:textId="77777777" w:rsidR="009B38EC" w:rsidRDefault="009B38EC" w:rsidP="00C85C26">
      <w:pPr>
        <w:pStyle w:val="ListParagraph"/>
        <w:ind w:left="0"/>
        <w:rPr>
          <w:noProof/>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291"/>
      </w:tblGrid>
      <w:tr w:rsidR="009B38EC" w14:paraId="3BC873E6" w14:textId="77777777" w:rsidTr="00363983">
        <w:tc>
          <w:tcPr>
            <w:tcW w:w="9291" w:type="dxa"/>
            <w:shd w:val="clear" w:color="auto" w:fill="F2F2F2" w:themeFill="background1" w:themeFillShade="F2"/>
          </w:tcPr>
          <w:p w14:paraId="5DEACEAA" w14:textId="51326E3E" w:rsidR="009B38EC" w:rsidRPr="001970BD" w:rsidRDefault="009B38EC" w:rsidP="001970BD">
            <w:pPr>
              <w:pStyle w:val="Heading3"/>
              <w:jc w:val="center"/>
              <w:rPr>
                <w:i w:val="0"/>
                <w:iCs w:val="0"/>
                <w:sz w:val="24"/>
                <w:szCs w:val="24"/>
              </w:rPr>
            </w:pPr>
            <w:bookmarkStart w:id="53" w:name="_Toc211859567"/>
            <w:r w:rsidRPr="001970BD">
              <w:rPr>
                <w:i w:val="0"/>
                <w:iCs w:val="0"/>
                <w:sz w:val="24"/>
                <w:szCs w:val="24"/>
              </w:rPr>
              <w:t>2. ierāmējums. Pašvaldību ieņēmumi no pašu avotiem, nodokļu autonomija un decentralizācija</w:t>
            </w:r>
            <w:bookmarkEnd w:id="53"/>
          </w:p>
          <w:p w14:paraId="14072F12" w14:textId="77777777" w:rsidR="009B38EC" w:rsidRPr="00074D4C" w:rsidRDefault="009B38EC" w:rsidP="009B38EC">
            <w:pPr>
              <w:pStyle w:val="BodyText"/>
              <w:rPr>
                <w:b/>
                <w:noProof/>
                <w:sz w:val="24"/>
                <w:szCs w:val="24"/>
              </w:rPr>
            </w:pPr>
          </w:p>
          <w:p w14:paraId="72A57ACF" w14:textId="77777777" w:rsidR="009B38EC" w:rsidRDefault="009B38EC" w:rsidP="009B38EC">
            <w:pPr>
              <w:pStyle w:val="BodyText"/>
              <w:jc w:val="both"/>
              <w:rPr>
                <w:noProof/>
                <w:sz w:val="24"/>
                <w:szCs w:val="24"/>
              </w:rPr>
            </w:pPr>
            <w:r>
              <w:rPr>
                <w:sz w:val="24"/>
              </w:rPr>
              <w:t xml:space="preserve">Šodien pašvaldības gūst pašu ieņēmumus no dažādiem avotiem, un ienākuma, īpašuma un patēriņa nodokļi ir primārie instrumenti. Citiem nodokļiem ir salīdzinoši neliela loma. Pats nodokļu sastāvs, šķiet, ir stingri saistīts ar decentralizācijas apmēru, kā redzams 5. attēlā. Decentralizētākās valstīs pašvaldības lielā mērā balstās uz (nekustamā) īpašuma nodokļiem. Apakšējai pusei no </w:t>
            </w:r>
            <w:r>
              <w:rPr>
                <w:i/>
                <w:iCs/>
                <w:sz w:val="24"/>
              </w:rPr>
              <w:t>OECD</w:t>
            </w:r>
            <w:r>
              <w:rPr>
                <w:sz w:val="24"/>
              </w:rPr>
              <w:t xml:space="preserve"> valstīm, kas sarindotas, ņemot vērā pašvaldību ieņēmumus procentuāli kopējiem valdības ieņēmumiem, ienākuma nodokļi ir vidēji 48 % no pašvaldību nodokļu sastāva. Jo lielāka ir decentralizācija, jo lielāku lomu sāk ieņemt ienākuma nodokļi. Redzams, ka pašvaldībās, kas atrodas augšējā kvartilē, ņemot vērā pašvaldību ieņēmumus procentuāli kopējiem valdības ieņēmumiem, ienākuma nodokļi ir vidēji 62 % no to nodokļu sastāva. Pēdējos 20 gados pašvaldību līmenī nodokļu sastāvs ir mainījies samērā maz, ir samazinājies īpašuma nodokļu īpatsvars un pieaudzis patēriņa un ienākuma nodokļu īpatsvars, jo īpaši iedzīvotāju ienākuma nodokļa īpatsvars. Apmēram kopš 2010. gada īpašuma nodokļa īpatsvars atkal sāk pieaugt. Kopumā pašvaldību līmenī kopējo uzlikto nodokļu īpatsvars praktiski nav pieaudzis (skat. 1. attēla b) grafiku).</w:t>
            </w:r>
          </w:p>
          <w:p w14:paraId="4B3DBB9A" w14:textId="77777777" w:rsidR="009B38EC" w:rsidRPr="00074D4C" w:rsidRDefault="009B38EC" w:rsidP="009B38EC">
            <w:pPr>
              <w:pStyle w:val="BodyText"/>
              <w:jc w:val="both"/>
              <w:rPr>
                <w:noProof/>
                <w:sz w:val="24"/>
                <w:szCs w:val="24"/>
              </w:rPr>
            </w:pPr>
          </w:p>
          <w:p w14:paraId="51655D05" w14:textId="77777777" w:rsidR="009B38EC" w:rsidRPr="001970BD" w:rsidRDefault="009B38EC" w:rsidP="001970BD">
            <w:pPr>
              <w:pStyle w:val="Heading3"/>
              <w:jc w:val="center"/>
              <w:rPr>
                <w:i w:val="0"/>
                <w:iCs w:val="0"/>
                <w:sz w:val="24"/>
                <w:szCs w:val="24"/>
              </w:rPr>
            </w:pPr>
            <w:bookmarkStart w:id="54" w:name="_bookmark15"/>
            <w:bookmarkStart w:id="55" w:name="_Toc211859568"/>
            <w:bookmarkEnd w:id="54"/>
            <w:r w:rsidRPr="001970BD">
              <w:rPr>
                <w:i w:val="0"/>
                <w:iCs w:val="0"/>
                <w:sz w:val="24"/>
                <w:szCs w:val="24"/>
              </w:rPr>
              <w:t>5. attēls. Pašvaldību nodokļu sastāva pārbīde no īpašuma nodokļiem uz ienākuma nodokļiem līdz ar decentralizācijas palielināšanos</w:t>
            </w:r>
            <w:bookmarkEnd w:id="55"/>
          </w:p>
          <w:p w14:paraId="7696CC14" w14:textId="77777777" w:rsidR="009B38EC" w:rsidRPr="00074D4C" w:rsidRDefault="009B38EC" w:rsidP="009B38EC">
            <w:pPr>
              <w:jc w:val="center"/>
              <w:rPr>
                <w:b/>
                <w:noProof/>
                <w:sz w:val="24"/>
                <w:szCs w:val="24"/>
              </w:rPr>
            </w:pPr>
          </w:p>
          <w:p w14:paraId="38AE728A" w14:textId="77777777" w:rsidR="009B38EC" w:rsidRDefault="009B38EC" w:rsidP="00095B45">
            <w:pPr>
              <w:jc w:val="center"/>
            </w:pPr>
            <w:r>
              <w:t xml:space="preserve">Pašvaldību ieņēmumi procentuāli no valdības kopējiem ieņēmumiem </w:t>
            </w:r>
            <w:r>
              <w:rPr>
                <w:i/>
                <w:iCs/>
              </w:rPr>
              <w:t>OECD</w:t>
            </w:r>
            <w:r>
              <w:t xml:space="preserve"> valstīs un nodokļu sastāvs, 2017–2018</w:t>
            </w:r>
          </w:p>
          <w:p w14:paraId="4D42802C" w14:textId="77777777" w:rsidR="004E6A06" w:rsidRDefault="004E6A06" w:rsidP="00095B45">
            <w:pPr>
              <w:jc w:val="center"/>
              <w:rPr>
                <w:noProof/>
              </w:rPr>
            </w:pPr>
          </w:p>
          <w:p w14:paraId="33ECBB1C" w14:textId="16A0D237" w:rsidR="00F926C1" w:rsidRDefault="00F941C0" w:rsidP="009B38EC">
            <w:pPr>
              <w:rPr>
                <w:noProof/>
              </w:rPr>
            </w:pPr>
            <w:r>
              <w:rPr>
                <w:noProof/>
              </w:rPr>
              <w:drawing>
                <wp:inline distT="0" distB="0" distL="0" distR="0" wp14:anchorId="32AD3ED4" wp14:editId="20C36E6B">
                  <wp:extent cx="5762625" cy="2234565"/>
                  <wp:effectExtent l="0" t="0" r="9525" b="0"/>
                  <wp:docPr id="992270884" name="Picture 8" descr="A graph with blue and grey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70884" name="Picture 8" descr="A graph with blue and grey squares&#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762625" cy="2234565"/>
                          </a:xfrm>
                          <a:prstGeom prst="rect">
                            <a:avLst/>
                          </a:prstGeom>
                        </pic:spPr>
                      </pic:pic>
                    </a:graphicData>
                  </a:graphic>
                </wp:inline>
              </w:drawing>
            </w:r>
          </w:p>
          <w:p w14:paraId="06CF40F5" w14:textId="6130E2F6" w:rsidR="00F926C1" w:rsidRPr="009B38EC" w:rsidRDefault="00F926C1" w:rsidP="009B38EC">
            <w:pPr>
              <w:rPr>
                <w:noProof/>
              </w:rPr>
            </w:pPr>
          </w:p>
          <w:p w14:paraId="1A23449B" w14:textId="0EB90685" w:rsidR="008E3ED1" w:rsidRPr="00F1705F" w:rsidRDefault="008E3ED1" w:rsidP="008E3ED1">
            <w:pPr>
              <w:ind w:firstLine="3880"/>
            </w:pPr>
            <w:r>
              <w:rPr>
                <w:i/>
              </w:rPr>
              <w:t xml:space="preserve">StatLink </w:t>
            </w:r>
            <w:hyperlink r:id="rId25">
              <w:r>
                <w:t>http://dx.doi.org/10.1787/888934116091</w:t>
              </w:r>
            </w:hyperlink>
          </w:p>
          <w:p w14:paraId="3923295A" w14:textId="77777777" w:rsidR="00095B45" w:rsidRDefault="00095B45" w:rsidP="008E3ED1">
            <w:pPr>
              <w:ind w:firstLine="3880"/>
            </w:pPr>
          </w:p>
          <w:p w14:paraId="42A4E77B" w14:textId="77777777" w:rsidR="00095B45" w:rsidRPr="00363983" w:rsidRDefault="00095B45" w:rsidP="008E3ED1">
            <w:pPr>
              <w:ind w:firstLine="3880"/>
            </w:pPr>
          </w:p>
          <w:p w14:paraId="0E351E47" w14:textId="77777777" w:rsidR="008E3ED1" w:rsidRPr="00074D4C" w:rsidRDefault="008E3ED1" w:rsidP="008E3ED1">
            <w:pPr>
              <w:jc w:val="both"/>
              <w:rPr>
                <w:noProof/>
                <w:sz w:val="24"/>
                <w:szCs w:val="24"/>
              </w:rPr>
            </w:pPr>
            <w:r>
              <w:rPr>
                <w:i/>
                <w:sz w:val="24"/>
              </w:rPr>
              <w:t>Piezīme</w:t>
            </w:r>
            <w:r>
              <w:rPr>
                <w:sz w:val="24"/>
              </w:rPr>
              <w:t xml:space="preserve">. Katrā slejā ir </w:t>
            </w:r>
            <w:r>
              <w:rPr>
                <w:i/>
                <w:iCs/>
                <w:sz w:val="24"/>
              </w:rPr>
              <w:t>OECD</w:t>
            </w:r>
            <w:r>
              <w:rPr>
                <w:sz w:val="24"/>
              </w:rPr>
              <w:t xml:space="preserve"> valstu kvartile no saraksta, kur valstis sarindotas pēc tā, kā samazinās pašvaldību ieņēmumi procentuāli valdības kopējiem ieņēmumiem. Nav iekļauti ieņēmumi no nodokļu dalīšanas nolīgumiem, saskaņā ar kuriem pašvaldības nekontrolē likmi. Ja publicēšanas brīdī nav bijuši pieejami dati par 2018. gadu, tie tika aizstāti ar 2017. gada datiem.</w:t>
            </w:r>
          </w:p>
          <w:p w14:paraId="26D74237" w14:textId="77777777" w:rsidR="008E3ED1" w:rsidRPr="00074D4C" w:rsidRDefault="008E3ED1" w:rsidP="008E3ED1">
            <w:pPr>
              <w:jc w:val="both"/>
              <w:rPr>
                <w:noProof/>
                <w:sz w:val="24"/>
                <w:szCs w:val="24"/>
              </w:rPr>
            </w:pPr>
            <w:r>
              <w:rPr>
                <w:i/>
                <w:iCs/>
                <w:sz w:val="24"/>
              </w:rPr>
              <w:t>Avots</w:t>
            </w:r>
            <w:r>
              <w:rPr>
                <w:sz w:val="24"/>
              </w:rPr>
              <w:t xml:space="preserve">: </w:t>
            </w:r>
            <w:r>
              <w:rPr>
                <w:i/>
                <w:iCs/>
                <w:sz w:val="24"/>
              </w:rPr>
              <w:t>OECD</w:t>
            </w:r>
            <w:r>
              <w:rPr>
                <w:sz w:val="24"/>
              </w:rPr>
              <w:t xml:space="preserve"> Globālo ieņēmumu statistikas datubāze.</w:t>
            </w:r>
          </w:p>
          <w:p w14:paraId="2B140934" w14:textId="77777777" w:rsidR="008E3ED1" w:rsidRDefault="008E3ED1" w:rsidP="008E3ED1">
            <w:pPr>
              <w:pStyle w:val="BodyText"/>
              <w:rPr>
                <w:noProof/>
                <w:sz w:val="24"/>
                <w:szCs w:val="24"/>
              </w:rPr>
            </w:pPr>
          </w:p>
          <w:p w14:paraId="6201652D" w14:textId="77777777" w:rsidR="004E6A06" w:rsidRDefault="004E6A06" w:rsidP="008E3ED1">
            <w:pPr>
              <w:pStyle w:val="BodyText"/>
              <w:rPr>
                <w:noProof/>
                <w:sz w:val="24"/>
                <w:szCs w:val="24"/>
              </w:rPr>
            </w:pPr>
          </w:p>
          <w:p w14:paraId="6797CC65" w14:textId="77777777" w:rsidR="004361BB" w:rsidRPr="00074D4C" w:rsidRDefault="004361BB" w:rsidP="008E3ED1">
            <w:pPr>
              <w:pStyle w:val="BodyText"/>
              <w:rPr>
                <w:noProof/>
                <w:sz w:val="24"/>
                <w:szCs w:val="24"/>
              </w:rPr>
            </w:pPr>
          </w:p>
          <w:p w14:paraId="3AB1E5D6" w14:textId="77777777" w:rsidR="008E3ED1" w:rsidRDefault="008E3ED1" w:rsidP="004E6A06">
            <w:pPr>
              <w:pStyle w:val="BodyText"/>
              <w:keepNext/>
              <w:keepLines/>
              <w:jc w:val="both"/>
              <w:rPr>
                <w:noProof/>
                <w:sz w:val="24"/>
                <w:szCs w:val="24"/>
              </w:rPr>
            </w:pPr>
            <w:r>
              <w:rPr>
                <w:sz w:val="24"/>
              </w:rPr>
              <w:lastRenderedPageBreak/>
              <w:t xml:space="preserve">Līdzīgi kā pašvaldību nodokļu sastāvs arī nodokļu autonomija pašvaldību līmenī katrā valstī būtiski atšķiras. Proti, ir skaidri redzamas federālo valstu un unitāro valstu pašvaldību nodokļu autonomijas līmeņa atšķirības (6. attēls). No desmit </w:t>
            </w:r>
            <w:r>
              <w:rPr>
                <w:i/>
                <w:iCs/>
                <w:sz w:val="24"/>
              </w:rPr>
              <w:t>OECD</w:t>
            </w:r>
            <w:r>
              <w:rPr>
                <w:sz w:val="24"/>
              </w:rPr>
              <w:t xml:space="preserve"> valstīm, kurās ir federāla vai kvazifederāla struktūra (t. i., kurās ir pavalstu vai reģionu valdības), septiņās ir ļoti augsts nodokļu autonomijas līmenis. Trijām – Amerikas Savienoto Valstu, Austrālijas un Šveices – pavalsts līmeņa valdībām ir pilna autonomija attiecībā uz saviem nodokļu ieņēmumiem 100 % apmērā. Vēl trijās federālās/kvazifederālās valstīs – Beļģijā, Kanādā un Spānijā – virs 90 % no pavalsts līmeņa.</w:t>
            </w:r>
          </w:p>
          <w:p w14:paraId="6211B41D" w14:textId="77777777" w:rsidR="0080748B" w:rsidRPr="001970BD" w:rsidRDefault="0080748B" w:rsidP="001970BD">
            <w:pPr>
              <w:pStyle w:val="Heading3"/>
              <w:jc w:val="center"/>
              <w:rPr>
                <w:i w:val="0"/>
                <w:iCs w:val="0"/>
                <w:sz w:val="24"/>
                <w:szCs w:val="24"/>
              </w:rPr>
            </w:pPr>
            <w:bookmarkStart w:id="56" w:name="_Toc211859569"/>
            <w:r w:rsidRPr="001970BD">
              <w:rPr>
                <w:i w:val="0"/>
                <w:iCs w:val="0"/>
                <w:sz w:val="24"/>
                <w:szCs w:val="24"/>
              </w:rPr>
              <w:t>6. attēls. Nodokļu autonomija OECD valstīs</w:t>
            </w:r>
            <w:bookmarkEnd w:id="56"/>
          </w:p>
          <w:p w14:paraId="5C37B8FD" w14:textId="77777777" w:rsidR="0080748B" w:rsidRPr="00363983" w:rsidRDefault="0080748B" w:rsidP="0080748B">
            <w:pPr>
              <w:spacing w:before="115"/>
              <w:ind w:left="2" w:right="2"/>
              <w:jc w:val="center"/>
              <w:rPr>
                <w:noProof/>
                <w:sz w:val="24"/>
                <w:szCs w:val="24"/>
              </w:rPr>
            </w:pPr>
            <w:r>
              <w:rPr>
                <w:sz w:val="24"/>
              </w:rPr>
              <w:t>Nodokļu ieņēmumi pašvaldību līmenī procentuāli kopējiem valdības nodokļu ieņēmumiem, norādot nodokļu autonomiju, 2014</w:t>
            </w:r>
          </w:p>
          <w:p w14:paraId="60C0B6CC" w14:textId="77777777" w:rsidR="0080748B" w:rsidRPr="00363983" w:rsidRDefault="0080748B" w:rsidP="0080748B">
            <w:pPr>
              <w:spacing w:before="122"/>
              <w:ind w:left="3" w:right="2"/>
              <w:jc w:val="center"/>
              <w:rPr>
                <w:i/>
                <w:noProof/>
                <w:sz w:val="24"/>
                <w:szCs w:val="24"/>
              </w:rPr>
            </w:pPr>
            <w:r>
              <w:rPr>
                <w:i/>
                <w:sz w:val="24"/>
              </w:rPr>
              <w:t>Federālas un reģionālas valstis pa kreisi, unitāras valstis pa labi</w:t>
            </w:r>
          </w:p>
          <w:p w14:paraId="53B29F1B" w14:textId="77777777" w:rsidR="0080748B" w:rsidRDefault="0080748B" w:rsidP="008E3ED1">
            <w:pPr>
              <w:pStyle w:val="BodyText"/>
              <w:jc w:val="both"/>
              <w:rPr>
                <w:noProof/>
                <w:sz w:val="24"/>
                <w:szCs w:val="24"/>
              </w:rPr>
            </w:pPr>
          </w:p>
          <w:p w14:paraId="262DBD5F" w14:textId="3947EE43" w:rsidR="0080748B" w:rsidRPr="00074D4C" w:rsidRDefault="009B65A8" w:rsidP="008E3ED1">
            <w:pPr>
              <w:pStyle w:val="BodyText"/>
              <w:jc w:val="both"/>
              <w:rPr>
                <w:noProof/>
                <w:sz w:val="24"/>
                <w:szCs w:val="24"/>
              </w:rPr>
            </w:pPr>
            <w:r>
              <w:rPr>
                <w:noProof/>
                <w:sz w:val="24"/>
                <w:szCs w:val="24"/>
              </w:rPr>
              <w:drawing>
                <wp:inline distT="0" distB="0" distL="0" distR="0" wp14:anchorId="178C498C" wp14:editId="5B647E1F">
                  <wp:extent cx="5762625" cy="2818130"/>
                  <wp:effectExtent l="0" t="0" r="9525" b="1270"/>
                  <wp:docPr id="967324752" name="Picture 9"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24752" name="Picture 9" descr="A graph of a number of people&#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762625" cy="2818130"/>
                          </a:xfrm>
                          <a:prstGeom prst="rect">
                            <a:avLst/>
                          </a:prstGeom>
                        </pic:spPr>
                      </pic:pic>
                    </a:graphicData>
                  </a:graphic>
                </wp:inline>
              </w:drawing>
            </w:r>
          </w:p>
          <w:p w14:paraId="0EB77B6E" w14:textId="77777777" w:rsidR="0080748B" w:rsidRDefault="0080748B" w:rsidP="0080748B">
            <w:pPr>
              <w:ind w:left="782" w:firstLine="3880"/>
              <w:jc w:val="both"/>
              <w:rPr>
                <w:rFonts w:ascii="Georgia"/>
                <w:i/>
                <w:noProof/>
                <w:sz w:val="18"/>
              </w:rPr>
            </w:pPr>
          </w:p>
          <w:p w14:paraId="347B5E6D" w14:textId="57CDD6D5" w:rsidR="0080748B" w:rsidRPr="00363983" w:rsidRDefault="0080748B" w:rsidP="00363983">
            <w:pPr>
              <w:ind w:left="284" w:firstLine="3880"/>
              <w:jc w:val="right"/>
            </w:pPr>
            <w:r>
              <w:rPr>
                <w:rFonts w:ascii="Georgia"/>
                <w:i/>
              </w:rPr>
              <w:t xml:space="preserve">StatLink </w:t>
            </w:r>
            <w:hyperlink r:id="rId27">
              <w:r>
                <w:t>http://dx.doi.org/10.1787/888934116110</w:t>
              </w:r>
            </w:hyperlink>
          </w:p>
          <w:p w14:paraId="1866234C" w14:textId="77777777" w:rsidR="0080748B" w:rsidRDefault="0080748B" w:rsidP="0080748B">
            <w:pPr>
              <w:ind w:left="782" w:firstLine="3880"/>
              <w:jc w:val="both"/>
              <w:rPr>
                <w:noProof/>
                <w:sz w:val="18"/>
              </w:rPr>
            </w:pPr>
          </w:p>
          <w:p w14:paraId="5109869D" w14:textId="77777777" w:rsidR="00687139" w:rsidRPr="00C37DE1" w:rsidRDefault="00687139" w:rsidP="0080748B">
            <w:pPr>
              <w:ind w:left="782" w:firstLine="3880"/>
              <w:jc w:val="both"/>
              <w:rPr>
                <w:noProof/>
                <w:sz w:val="18"/>
              </w:rPr>
            </w:pPr>
          </w:p>
          <w:p w14:paraId="7BE25E20" w14:textId="77777777" w:rsidR="0080748B" w:rsidRPr="0080748B" w:rsidRDefault="0080748B" w:rsidP="0080748B">
            <w:pPr>
              <w:jc w:val="both"/>
              <w:rPr>
                <w:noProof/>
                <w:sz w:val="24"/>
                <w:szCs w:val="24"/>
              </w:rPr>
            </w:pPr>
            <w:r>
              <w:rPr>
                <w:i/>
                <w:sz w:val="24"/>
              </w:rPr>
              <w:t>Piezīme.</w:t>
            </w:r>
            <w:r>
              <w:rPr>
                <w:sz w:val="24"/>
              </w:rPr>
              <w:t xml:space="preserve"> Federālās valstīs pavalsts un vietējā līmeņa nodokļu autonomijas rādītāja vērtības tika apkopotas kā vidējās svērtās vērtības atbilstoši attiecīgajam nodokļu ieņēmumu īpatsvaram katrā pašvaldības līmenī. Norādītās federālās un unitārās vidējās vērtības ir izskaitļotas, pamatojoties uz vidējām nodokļu īpatsvara un nodokļu autonomijas rādītāja vērtībām attēlā norādītajām federālajām un unitārajām valstīm. Vietējo valdību nodokļu autonomija ASV tika apkopota klasifikācijā “Cits”, lai parādītu, ka šīm valdībām ir plašs nodokļu aplikšanas tiesību klāsts.</w:t>
            </w:r>
          </w:p>
          <w:p w14:paraId="50ED2398" w14:textId="2F420714" w:rsidR="0080748B" w:rsidRPr="00074D4C" w:rsidRDefault="0080748B" w:rsidP="007D2EB7">
            <w:pPr>
              <w:jc w:val="both"/>
              <w:rPr>
                <w:noProof/>
                <w:sz w:val="24"/>
                <w:szCs w:val="24"/>
              </w:rPr>
            </w:pPr>
            <w:r>
              <w:rPr>
                <w:i/>
                <w:sz w:val="24"/>
              </w:rPr>
              <w:t>Avots:</w:t>
            </w:r>
            <w:r>
              <w:rPr>
                <w:sz w:val="24"/>
              </w:rPr>
              <w:t xml:space="preserve"> </w:t>
            </w:r>
            <w:r>
              <w:rPr>
                <w:i/>
                <w:iCs/>
                <w:sz w:val="24"/>
              </w:rPr>
              <w:t>OECD</w:t>
            </w:r>
            <w:r>
              <w:rPr>
                <w:sz w:val="24"/>
              </w:rPr>
              <w:t xml:space="preserve"> Fiskālās decentralizācijas datubāze.</w:t>
            </w:r>
          </w:p>
          <w:p w14:paraId="113BBCD8" w14:textId="77777777" w:rsidR="009B38EC" w:rsidRDefault="009B38EC" w:rsidP="00C85C26">
            <w:pPr>
              <w:pStyle w:val="ListParagraph"/>
              <w:ind w:left="0"/>
              <w:rPr>
                <w:noProof/>
                <w:sz w:val="24"/>
                <w:szCs w:val="24"/>
              </w:rPr>
            </w:pPr>
          </w:p>
        </w:tc>
      </w:tr>
    </w:tbl>
    <w:p w14:paraId="065B03F6" w14:textId="77777777" w:rsidR="00C85C26" w:rsidRPr="00074D4C" w:rsidRDefault="00C85C26" w:rsidP="00C85C26">
      <w:pPr>
        <w:rPr>
          <w:b/>
          <w:noProof/>
          <w:sz w:val="24"/>
          <w:szCs w:val="24"/>
        </w:rPr>
      </w:pPr>
      <w:bookmarkStart w:id="57" w:name="_bookmark14"/>
      <w:bookmarkEnd w:id="57"/>
    </w:p>
    <w:p w14:paraId="6D504EC3" w14:textId="77777777" w:rsidR="00687139" w:rsidRDefault="00687139" w:rsidP="0080748B">
      <w:pPr>
        <w:pStyle w:val="Heading5"/>
        <w:tabs>
          <w:tab w:val="left" w:pos="1903"/>
        </w:tabs>
        <w:ind w:left="0" w:firstLine="0"/>
        <w:jc w:val="left"/>
        <w:rPr>
          <w:noProof/>
          <w:sz w:val="28"/>
          <w:szCs w:val="28"/>
        </w:rPr>
      </w:pPr>
      <w:bookmarkStart w:id="58" w:name="3.1.__SCG_fiscal_autonomy:_Adapting_to_l"/>
      <w:bookmarkStart w:id="59" w:name="_bookmark16"/>
      <w:bookmarkStart w:id="60" w:name="_bookmark17"/>
      <w:bookmarkEnd w:id="58"/>
      <w:bookmarkEnd w:id="59"/>
      <w:bookmarkEnd w:id="60"/>
    </w:p>
    <w:p w14:paraId="0129AEED" w14:textId="6088707D" w:rsidR="00C37DE1" w:rsidRDefault="00F7149E" w:rsidP="0080748B">
      <w:pPr>
        <w:pStyle w:val="Heading5"/>
        <w:tabs>
          <w:tab w:val="left" w:pos="1903"/>
        </w:tabs>
        <w:ind w:left="0" w:firstLine="0"/>
        <w:jc w:val="left"/>
        <w:rPr>
          <w:noProof/>
          <w:sz w:val="28"/>
          <w:szCs w:val="28"/>
        </w:rPr>
      </w:pPr>
      <w:bookmarkStart w:id="61" w:name="_Toc211859107"/>
      <w:r>
        <w:rPr>
          <w:sz w:val="28"/>
        </w:rPr>
        <w:t>3.1. Pašvaldību fiskālā autonomija. Pielāgošanās vietējām preferencēm, vienlaikus stimulējot konkurenci, konverģenci un investīcijas</w:t>
      </w:r>
      <w:bookmarkEnd w:id="61"/>
    </w:p>
    <w:p w14:paraId="3BD83ED7" w14:textId="77777777" w:rsidR="00F7149E" w:rsidRPr="00F7149E" w:rsidRDefault="00F7149E" w:rsidP="0080748B">
      <w:pPr>
        <w:pStyle w:val="Heading5"/>
        <w:tabs>
          <w:tab w:val="left" w:pos="1903"/>
        </w:tabs>
        <w:ind w:left="0" w:firstLine="0"/>
        <w:rPr>
          <w:noProof/>
          <w:sz w:val="28"/>
          <w:szCs w:val="28"/>
        </w:rPr>
      </w:pPr>
    </w:p>
    <w:p w14:paraId="3728699A" w14:textId="7CA8C604" w:rsidR="00C37DE1" w:rsidRPr="00074D4C" w:rsidRDefault="00F7149E" w:rsidP="005F7B48">
      <w:pPr>
        <w:pStyle w:val="ListParagraph"/>
        <w:tabs>
          <w:tab w:val="left" w:pos="2025"/>
        </w:tabs>
        <w:ind w:left="0"/>
        <w:rPr>
          <w:noProof/>
          <w:sz w:val="24"/>
          <w:szCs w:val="24"/>
        </w:rPr>
      </w:pPr>
      <w:r>
        <w:rPr>
          <w:sz w:val="24"/>
        </w:rPr>
        <w:t>23. Saskaņā ar Outsa (1972</w:t>
      </w:r>
      <w:r>
        <w:rPr>
          <w:sz w:val="24"/>
          <w:vertAlign w:val="superscript"/>
        </w:rPr>
        <w:t>[7]</w:t>
      </w:r>
      <w:r>
        <w:rPr>
          <w:sz w:val="24"/>
        </w:rPr>
        <w:t xml:space="preserve">) izstrādātajiem teorētiskajiem pamatiem, veicinot pašvaldību fiskālo autonomiju, vietējā līmenī var atlasīt patēriņam paredzēto sabiedrisko labumu kopu, tādējādi labāk salāgojot vietējās preferences. Turklāt pašvaldību fiskālā autonomija veicina </w:t>
      </w:r>
      <w:r>
        <w:rPr>
          <w:sz w:val="24"/>
        </w:rPr>
        <w:lastRenderedPageBreak/>
        <w:t xml:space="preserve">reģionu savstarpējo konkurenci ne tikai nodokļu likmes ziņā, bet arī sabiedrisko pakalpojumu ziņā, kas ir ne mazāk svarīgi. Protams, tas var izraisīt bailes par agresīvu nodokļu konkurenci vai nevienlīdzības pieaugumu. Tomēr </w:t>
      </w:r>
      <w:r>
        <w:rPr>
          <w:i/>
          <w:iCs/>
          <w:sz w:val="24"/>
        </w:rPr>
        <w:t>OECD</w:t>
      </w:r>
      <w:r>
        <w:rPr>
          <w:sz w:val="24"/>
        </w:rPr>
        <w:t xml:space="preserve"> pētījums liecina, ka fiskālā decentralizācija kopumā veicina konverģenci gan nodokļu likmes, gan ienākumu uz vienu iedzīvotāju ziņā (3. ierāmējums).</w:t>
      </w:r>
    </w:p>
    <w:p w14:paraId="52B0DC48" w14:textId="77777777" w:rsidR="005F7B48" w:rsidRDefault="005F7B48" w:rsidP="005F7B48">
      <w:pPr>
        <w:pStyle w:val="ListParagraph"/>
        <w:tabs>
          <w:tab w:val="left" w:pos="2026"/>
        </w:tabs>
        <w:ind w:left="0"/>
        <w:rPr>
          <w:noProof/>
          <w:sz w:val="24"/>
          <w:szCs w:val="24"/>
        </w:rPr>
      </w:pPr>
    </w:p>
    <w:p w14:paraId="06A668F1" w14:textId="0E6AD11C" w:rsidR="00C37DE1" w:rsidRDefault="005F7B48" w:rsidP="005F7B48">
      <w:pPr>
        <w:pStyle w:val="ListParagraph"/>
        <w:tabs>
          <w:tab w:val="left" w:pos="2026"/>
        </w:tabs>
        <w:ind w:left="0"/>
        <w:rPr>
          <w:noProof/>
          <w:sz w:val="24"/>
          <w:szCs w:val="24"/>
        </w:rPr>
      </w:pPr>
      <w:r>
        <w:rPr>
          <w:sz w:val="24"/>
        </w:rPr>
        <w:t>24. Decentralizācija ir saistīta arī ar lielākiem valsts ieguldījumiem, proti, palielinot decentralizāciju par 10 % (ko novērtē kā pašvaldību izdevumu un ieņēmumu īpatsvaru no valdības kopapjoma), “palielinās valsts ieguldījumu īpatsvars valdības kopējos izdevumos no apmēram 3 % līdz vidēji vairāk nekā 4 %” (Blöchliger, Égert and Fredriksen, 2013</w:t>
      </w:r>
      <w:r>
        <w:rPr>
          <w:sz w:val="24"/>
          <w:vertAlign w:val="superscript"/>
        </w:rPr>
        <w:t>[20]</w:t>
      </w:r>
      <w:r>
        <w:rPr>
          <w:sz w:val="24"/>
        </w:rPr>
        <w:t>). Ieguldījumi, kas tiek veikti decentralizācijas rezultātā, šķiet, pamatā iegulst nemateriālajā infrastruktūrā, kas ir cilvēkkapitāls, ko novērtē ar izglītību. Tāpat kā saistībā ar nodokļu likmēm un ienākumu šo saikni var skaidrot ar reģionu savstarpējās konkurences spiedienu, kas virza ienesīgus ieguldījumus, jo reģionu mērķis ir piesaistīt darba ņēmējus un uzņēmumus.</w:t>
      </w:r>
    </w:p>
    <w:p w14:paraId="12DBD4AA" w14:textId="77777777" w:rsidR="005F7B48" w:rsidRDefault="005F7B48" w:rsidP="005F7B48">
      <w:pPr>
        <w:pStyle w:val="ListParagraph"/>
        <w:tabs>
          <w:tab w:val="left" w:pos="2026"/>
        </w:tabs>
        <w:ind w:left="0"/>
        <w:rPr>
          <w:noProof/>
          <w:sz w:val="24"/>
          <w:szCs w:val="24"/>
        </w:rPr>
      </w:pPr>
    </w:p>
    <w:tbl>
      <w:tblPr>
        <w:tblStyle w:val="TableGrid"/>
        <w:tblW w:w="0" w:type="auto"/>
        <w:shd w:val="clear" w:color="auto" w:fill="F2F2F2" w:themeFill="background1" w:themeFillShade="F2"/>
        <w:tblCellMar>
          <w:top w:w="28" w:type="dxa"/>
          <w:left w:w="28" w:type="dxa"/>
          <w:bottom w:w="28" w:type="dxa"/>
          <w:right w:w="28" w:type="dxa"/>
        </w:tblCellMar>
        <w:tblLook w:val="04A0" w:firstRow="1" w:lastRow="0" w:firstColumn="1" w:lastColumn="0" w:noHBand="0" w:noVBand="1"/>
      </w:tblPr>
      <w:tblGrid>
        <w:gridCol w:w="9131"/>
      </w:tblGrid>
      <w:tr w:rsidR="005F7B48" w14:paraId="0D23B3FB" w14:textId="77777777" w:rsidTr="005F7B48">
        <w:tc>
          <w:tcPr>
            <w:tcW w:w="9291" w:type="dxa"/>
            <w:shd w:val="clear" w:color="auto" w:fill="F2F2F2" w:themeFill="background1" w:themeFillShade="F2"/>
          </w:tcPr>
          <w:p w14:paraId="1B3D7A4F" w14:textId="179CF7D6" w:rsidR="005F7B48" w:rsidRPr="001970BD" w:rsidRDefault="005F7B48" w:rsidP="001970BD">
            <w:pPr>
              <w:pStyle w:val="Heading3"/>
              <w:jc w:val="center"/>
              <w:rPr>
                <w:i w:val="0"/>
                <w:iCs w:val="0"/>
                <w:sz w:val="24"/>
                <w:szCs w:val="24"/>
              </w:rPr>
            </w:pPr>
            <w:bookmarkStart w:id="62" w:name="_Toc211859570"/>
            <w:r w:rsidRPr="001970BD">
              <w:rPr>
                <w:i w:val="0"/>
                <w:iCs w:val="0"/>
                <w:sz w:val="24"/>
                <w:szCs w:val="24"/>
              </w:rPr>
              <w:t>3. ierāmējums. Skaitliski pierādījumi par fiskālās autonomijas ietekmi uz reģionālo konverģenci</w:t>
            </w:r>
            <w:bookmarkEnd w:id="62"/>
          </w:p>
          <w:p w14:paraId="2089E0E6" w14:textId="77777777" w:rsidR="005F7B48" w:rsidRPr="000F469D" w:rsidRDefault="005F7B48" w:rsidP="005F7B48">
            <w:pPr>
              <w:pStyle w:val="BodyText"/>
              <w:ind w:left="170" w:right="170"/>
              <w:rPr>
                <w:b/>
                <w:noProof/>
                <w:color w:val="000000"/>
                <w:sz w:val="24"/>
                <w:szCs w:val="24"/>
              </w:rPr>
            </w:pPr>
          </w:p>
          <w:p w14:paraId="648593DF" w14:textId="77777777" w:rsidR="005F7B48" w:rsidRPr="000F469D" w:rsidRDefault="005F7B48" w:rsidP="005F7B48">
            <w:pPr>
              <w:pStyle w:val="BodyText"/>
              <w:ind w:left="170" w:right="170"/>
              <w:jc w:val="both"/>
              <w:rPr>
                <w:noProof/>
                <w:color w:val="000000"/>
                <w:sz w:val="24"/>
                <w:szCs w:val="24"/>
              </w:rPr>
            </w:pPr>
            <w:r>
              <w:rPr>
                <w:i/>
                <w:iCs/>
                <w:color w:val="000000"/>
                <w:sz w:val="24"/>
              </w:rPr>
              <w:t>OECD</w:t>
            </w:r>
            <w:r>
              <w:rPr>
                <w:color w:val="000000"/>
                <w:sz w:val="24"/>
              </w:rPr>
              <w:t xml:space="preserve"> pētījums liecina, ka pašvaldību nodokļu autonomijas palielināšanās neveicina pēc iespējas zemāku nodokļu likmju noteikšanu attiecībā uz nodokļu likmēm pašvaldību līmenī. Faktiski pēdējās pāris desmitgadēs pašvaldību nodokļu likmēm ir “tendence drīzāk augt nekā samazināties, un kopumā tās laika gaitā saplūst” (OECD, 2013</w:t>
            </w:r>
            <w:r>
              <w:rPr>
                <w:color w:val="000000"/>
                <w:sz w:val="24"/>
                <w:vertAlign w:val="superscript"/>
              </w:rPr>
              <w:t>[3]</w:t>
            </w:r>
            <w:r>
              <w:rPr>
                <w:color w:val="000000"/>
                <w:sz w:val="24"/>
              </w:rPr>
              <w:t xml:space="preserve">). Turklāt fiskālo autonomiju var saistīt arī ar reģionālā ienākuma konverģenci. </w:t>
            </w:r>
            <w:r>
              <w:rPr>
                <w:i/>
                <w:iCs/>
                <w:color w:val="000000"/>
                <w:sz w:val="24"/>
              </w:rPr>
              <w:t>OECD</w:t>
            </w:r>
            <w:r>
              <w:rPr>
                <w:color w:val="000000"/>
                <w:sz w:val="24"/>
              </w:rPr>
              <w:t xml:space="preserve"> valstīs veiktajā reģionu pētījumā Blēhligers u. c. (2016</w:t>
            </w:r>
            <w:r>
              <w:rPr>
                <w:color w:val="000000"/>
                <w:sz w:val="24"/>
                <w:vertAlign w:val="superscript"/>
              </w:rPr>
              <w:t>[28]</w:t>
            </w:r>
            <w:r>
              <w:rPr>
                <w:color w:val="000000"/>
                <w:sz w:val="24"/>
              </w:rPr>
              <w:t>) atklāj, ka, palielinoties pašvaldību pašu ieņēmumu īpatsvaram “par 10 procentpunktiem, samazinās reģionālā IKP variāciju koeficients robežās no 3,6 līdz 4,3 procentpunktiem” un “palielinoties [pašvaldību] nodokļu īpatsvaram par 10 procentpunktiem, samazinās atšķirības par 2,4 līdz 2,8 procentpunktiem” (Blöchliger, Bartolini and Stossberg, 2016</w:t>
            </w:r>
            <w:r>
              <w:rPr>
                <w:color w:val="000000"/>
                <w:sz w:val="24"/>
                <w:vertAlign w:val="superscript"/>
              </w:rPr>
              <w:t>[28]</w:t>
            </w:r>
            <w:r>
              <w:rPr>
                <w:color w:val="000000"/>
                <w:sz w:val="24"/>
              </w:rPr>
              <w:t>). Pētījums liecina, ka pamatā esošais mehānisms ir saistīts ar jurisdikciju savstarpējās konkurences spiedienu. Tas var uzlabot publiskā sektora darbības rezultātus, ja pašvaldībām ir pietiekama autonomija reaģēt uz preferencēm.</w:t>
            </w:r>
          </w:p>
          <w:p w14:paraId="7E61E88F" w14:textId="77777777" w:rsidR="005F7B48" w:rsidRDefault="005F7B48" w:rsidP="005F7B48">
            <w:pPr>
              <w:pStyle w:val="ListParagraph"/>
              <w:tabs>
                <w:tab w:val="left" w:pos="2026"/>
              </w:tabs>
              <w:ind w:left="0"/>
              <w:rPr>
                <w:noProof/>
                <w:sz w:val="24"/>
                <w:szCs w:val="24"/>
              </w:rPr>
            </w:pPr>
          </w:p>
        </w:tc>
      </w:tr>
    </w:tbl>
    <w:p w14:paraId="6AA8467B" w14:textId="77777777" w:rsidR="005F7B48" w:rsidRPr="00074D4C" w:rsidRDefault="005F7B48" w:rsidP="005F7B48">
      <w:pPr>
        <w:pStyle w:val="ListParagraph"/>
        <w:tabs>
          <w:tab w:val="left" w:pos="2026"/>
        </w:tabs>
        <w:ind w:left="0"/>
        <w:rPr>
          <w:noProof/>
          <w:sz w:val="24"/>
          <w:szCs w:val="24"/>
        </w:rPr>
      </w:pPr>
    </w:p>
    <w:p w14:paraId="669B6F13" w14:textId="77777777" w:rsidR="00C37DE1" w:rsidRPr="00074D4C" w:rsidRDefault="00C37DE1" w:rsidP="00C85C26">
      <w:pPr>
        <w:pStyle w:val="BodyText"/>
        <w:rPr>
          <w:noProof/>
          <w:sz w:val="24"/>
          <w:szCs w:val="24"/>
        </w:rPr>
      </w:pPr>
    </w:p>
    <w:p w14:paraId="74011ADE" w14:textId="7A56B0AF" w:rsidR="00C37DE1" w:rsidRPr="00074D4C" w:rsidRDefault="005F7B48" w:rsidP="005F7B48">
      <w:pPr>
        <w:pStyle w:val="Heading5"/>
        <w:tabs>
          <w:tab w:val="left" w:pos="1903"/>
        </w:tabs>
        <w:ind w:left="0" w:firstLine="0"/>
        <w:rPr>
          <w:noProof/>
        </w:rPr>
      </w:pPr>
      <w:bookmarkStart w:id="63" w:name="3.2.__The_role_of_grants_and_transfers"/>
      <w:bookmarkStart w:id="64" w:name="_bookmark19"/>
      <w:bookmarkStart w:id="65" w:name="_Toc211859108"/>
      <w:bookmarkEnd w:id="63"/>
      <w:bookmarkEnd w:id="64"/>
      <w:r>
        <w:rPr>
          <w:sz w:val="28"/>
        </w:rPr>
        <w:t>3.2. Mērķfinansējumu un pārskaitījumu nozīme</w:t>
      </w:r>
      <w:bookmarkEnd w:id="65"/>
    </w:p>
    <w:p w14:paraId="2645A70C" w14:textId="77777777" w:rsidR="005F7B48" w:rsidRDefault="005F7B48" w:rsidP="005F7B48">
      <w:pPr>
        <w:pStyle w:val="ListParagraph"/>
        <w:tabs>
          <w:tab w:val="left" w:pos="2025"/>
        </w:tabs>
        <w:ind w:left="0"/>
        <w:rPr>
          <w:noProof/>
          <w:sz w:val="24"/>
          <w:szCs w:val="24"/>
        </w:rPr>
      </w:pPr>
    </w:p>
    <w:p w14:paraId="6970B739" w14:textId="5A144B83" w:rsidR="00C37DE1" w:rsidRPr="00074D4C" w:rsidRDefault="005F7B48" w:rsidP="005F7B48">
      <w:pPr>
        <w:pStyle w:val="ListParagraph"/>
        <w:tabs>
          <w:tab w:val="left" w:pos="2025"/>
        </w:tabs>
        <w:ind w:left="0"/>
        <w:rPr>
          <w:noProof/>
          <w:sz w:val="24"/>
          <w:szCs w:val="24"/>
        </w:rPr>
      </w:pPr>
      <w:r>
        <w:rPr>
          <w:sz w:val="24"/>
        </w:rPr>
        <w:t xml:space="preserve">25. Dažādu apstākļu dēļ pašvaldības var nespēt pilnībā finansēt izdevumus, par kuriem ir atbildīgas, ar ieņēmumiem no pašu avotiem. Šī atšķirība var veidoties gan ar ģeogrāfiju un ienākumiem saistītas strukturālas nevienlīdzības dēļ, gan neatbilstošas fiskālās autonomijas dēļ. Lai novērstu šo atšķirību, dažkārt jāveic vertikāli pārskaitījumi vai mērķfinansējums no centrālās valdības (un dažkārt – horizontāli pārskaitījumi no citām pašvaldībām). Tomēr ir svarīgi nošķirt mērķfinansējumu, ar kuru koriģē strukturālu nevienlīdzību (piemēram, izlīdzināšanu), no mērķfinansējuma, ar kuru kompensē nepietiekamu fiskālo autonomiju un aizstāj ieņēmumus no pašu avotiem. Tas tā ir tāpēc, ka pārmērīga paļaušanās uz mērķfinansējumu, nevis uz ieņēmumiem no pašu avotiem, var radīt noteiktas problēmas, jo īpaši tad, ja nav izstrādāts pareizs pārskaitījumu plānojums. Papildus tam, ka mērķfinansējums ir pakļauts cikliskumu veicinošām tendencēm, to ietekmē arī politiskās ekonomikas juceklīgums – ar sarežģītām formulām var censties meklēt izdevīgumu, kas var izraisīt neefektīvu vai regresīvu valdības izdevumu sadalījumu. Visbeidzot, ar mērķfinansējumu saistīta atkarība no citiem valdības līmeņiem var pastiprināt noslieci uz </w:t>
      </w:r>
      <w:r>
        <w:rPr>
          <w:sz w:val="24"/>
        </w:rPr>
        <w:lastRenderedPageBreak/>
        <w:t>budžeta deficītu, kur pārskaitījumu sistēma atlīdzina pašvaldību līmeņa lielākas fiskālās nesabalansētības (OECD, 2016</w:t>
      </w:r>
      <w:r>
        <w:rPr>
          <w:sz w:val="24"/>
          <w:vertAlign w:val="superscript"/>
        </w:rPr>
        <w:t>[29]</w:t>
      </w:r>
      <w:r>
        <w:rPr>
          <w:sz w:val="24"/>
        </w:rPr>
        <w:t>).</w:t>
      </w:r>
    </w:p>
    <w:p w14:paraId="73C750A1" w14:textId="77777777" w:rsidR="005F7B48" w:rsidRDefault="005F7B48" w:rsidP="005F7B48">
      <w:pPr>
        <w:pStyle w:val="ListParagraph"/>
        <w:tabs>
          <w:tab w:val="left" w:pos="2025"/>
        </w:tabs>
        <w:ind w:left="0"/>
        <w:rPr>
          <w:noProof/>
          <w:sz w:val="24"/>
          <w:szCs w:val="24"/>
        </w:rPr>
      </w:pPr>
    </w:p>
    <w:p w14:paraId="7266AEDE" w14:textId="1E43CF29" w:rsidR="00C37DE1" w:rsidRPr="00074D4C" w:rsidRDefault="005F7B48" w:rsidP="005F7B48">
      <w:pPr>
        <w:pStyle w:val="ListParagraph"/>
        <w:tabs>
          <w:tab w:val="left" w:pos="2025"/>
        </w:tabs>
        <w:ind w:left="0"/>
        <w:rPr>
          <w:noProof/>
          <w:sz w:val="24"/>
          <w:szCs w:val="24"/>
        </w:rPr>
      </w:pPr>
      <w:r>
        <w:rPr>
          <w:sz w:val="24"/>
        </w:rPr>
        <w:t xml:space="preserve">26. Kādu lomu tad ieņem starpvaldību pārskaitījumi? Ziņojumā </w:t>
      </w:r>
      <w:r>
        <w:rPr>
          <w:i/>
          <w:sz w:val="24"/>
        </w:rPr>
        <w:t>Fiscal Federalism 2014</w:t>
      </w:r>
      <w:r>
        <w:rPr>
          <w:sz w:val="24"/>
        </w:rPr>
        <w:t xml:space="preserve"> (OECD, 2013</w:t>
      </w:r>
      <w:r>
        <w:rPr>
          <w:sz w:val="24"/>
          <w:vertAlign w:val="superscript"/>
        </w:rPr>
        <w:t>[3]</w:t>
      </w:r>
      <w:r>
        <w:rPr>
          <w:sz w:val="24"/>
        </w:rPr>
        <w:t>) fiskālā izlīdzināšana ir raksturota kā fiskālās autonomijas dabiska pavadone, ņemot vērā faktu, ka reģionu būtiskas atšķirības vienmēr izraisīs ieņēmumu uz vienu iedzīvotāju un izmaksu atšķirības. Lai mazinātu pakalpojumu kvalitātes atšķirības pa reģioniem, pārskaitījumiem, kas tiek veikti izlīdzināšanas maksājumu veidā, jālabo ekonomiskie nosacījumi, kurus nekontrolē vietējā valdība. Šādiem pārskaitījumiem jānodrošina pašvaldībām pietiekama fiskālā spēja, neatņemot tām vēlmi optimāli izmantot vietējo nodokļa bāzi. Līdztekus šīm vadlīnijām ziņojumā sniegtas dažas norādes par izlīdzinošo pārskaitījumu plānojumu. Pirmkārt, ieņēmumus izlīdzinošie pārskaitījumi jāaprēķina, pamatojoties uz iespējamajiem ieņēmumiem (t. i., nodokļu intensitāti), nevis faktiskajiem ieņēmumiem. Otrkārt, izmaksas izlīdzinošie pārskaitījumi jāaprēķina, pamatojoties uz dažiem galvenajiem rādītājiem vai standartizētajām izmaksām, nevis faktiskajiem izdevumiem. Treškārt, lai palīdzētu nodrošināt efektivitāti, jāizmanto institucionāli pasākumi, piemēram, nesaistītu pušu uzraudzības struktūras un budžeta noteikumi.</w:t>
      </w:r>
    </w:p>
    <w:p w14:paraId="05F954CD" w14:textId="77777777" w:rsidR="005F7B48" w:rsidRDefault="005F7B48" w:rsidP="005F7B48">
      <w:pPr>
        <w:pStyle w:val="ListParagraph"/>
        <w:tabs>
          <w:tab w:val="left" w:pos="2025"/>
        </w:tabs>
        <w:ind w:left="0"/>
        <w:rPr>
          <w:noProof/>
          <w:sz w:val="24"/>
          <w:szCs w:val="24"/>
        </w:rPr>
      </w:pPr>
    </w:p>
    <w:p w14:paraId="684F8184" w14:textId="5A3F3329" w:rsidR="00C37DE1" w:rsidRPr="00074D4C" w:rsidRDefault="005F7B48" w:rsidP="005F7B48">
      <w:pPr>
        <w:pStyle w:val="ListParagraph"/>
        <w:tabs>
          <w:tab w:val="left" w:pos="2025"/>
        </w:tabs>
        <w:ind w:left="0"/>
        <w:rPr>
          <w:noProof/>
          <w:sz w:val="24"/>
          <w:szCs w:val="24"/>
        </w:rPr>
      </w:pPr>
      <w:r>
        <w:rPr>
          <w:sz w:val="24"/>
        </w:rPr>
        <w:t xml:space="preserve">27. Starpvaldību pārskaitījumu pakārtotā nozīme ir nodrošināt vietējām iestādēm budžeta paredzamību. Vietējie ieņēmumi var svārstīties, tāpēc stabila pārskaitījumu sistēma var palīdzēt fiskālo plānošanu budžeta izstrādes procesā. Tas saskan ar </w:t>
      </w:r>
      <w:r>
        <w:rPr>
          <w:i/>
          <w:sz w:val="24"/>
        </w:rPr>
        <w:t>Making Decentralisation Work</w:t>
      </w:r>
      <w:r>
        <w:rPr>
          <w:sz w:val="24"/>
        </w:rPr>
        <w:t xml:space="preserve"> (OECD, 2019</w:t>
      </w:r>
      <w:r>
        <w:rPr>
          <w:sz w:val="24"/>
          <w:vertAlign w:val="superscript"/>
        </w:rPr>
        <w:t>[13]</w:t>
      </w:r>
      <w:r>
        <w:rPr>
          <w:sz w:val="24"/>
        </w:rPr>
        <w:t>), kurā atzīta pārskaitījumu loma jurisdikciju savstarpējā fiskālā taisnīguma stiprināšanā. Piemēram, Norvēģijā ar jurisdikciju savstarpējo pārskaitījumu stingru sistēmu, šķiet, nodrošina salīdzinoši zemas atšķirības starp pilsētu un lauku teritorijām visos labklājības rādītājos (piemēram, ienākums, piekļuve internetam, gaisa piesārņojums, paredzamais mūža ilgums, nodarbinātība un arodizglītība, kas iegūta pēc vispārējās vidējās izglītības iegūšanas) (OECD, 2016</w:t>
      </w:r>
      <w:r>
        <w:rPr>
          <w:sz w:val="24"/>
          <w:vertAlign w:val="superscript"/>
        </w:rPr>
        <w:t>[30]</w:t>
      </w:r>
      <w:r>
        <w:rPr>
          <w:sz w:val="24"/>
        </w:rPr>
        <w:t>). Lai arī fiskālā autonomija var palīdzēt sasniegt lielāku efektivitāti un taisnīgumu, svarīgi ir novērst ieņēmumu pārmērīgu nenoteiktību vietējā līmenī, kas varētu apdraudēt pakalpojumu sniegšanu.</w:t>
      </w:r>
    </w:p>
    <w:p w14:paraId="56C0EFAC" w14:textId="77777777" w:rsidR="005F7B48" w:rsidRDefault="005F7B48" w:rsidP="005F7B48">
      <w:pPr>
        <w:pStyle w:val="ListParagraph"/>
        <w:tabs>
          <w:tab w:val="left" w:pos="2025"/>
        </w:tabs>
        <w:ind w:left="0"/>
        <w:rPr>
          <w:noProof/>
          <w:sz w:val="24"/>
          <w:szCs w:val="24"/>
        </w:rPr>
      </w:pPr>
    </w:p>
    <w:p w14:paraId="4D28A35B" w14:textId="1AC84BD6" w:rsidR="00B65BF8" w:rsidRDefault="005F7B48" w:rsidP="005F7B48">
      <w:pPr>
        <w:pStyle w:val="ListParagraph"/>
        <w:tabs>
          <w:tab w:val="left" w:pos="2025"/>
        </w:tabs>
        <w:ind w:left="0"/>
        <w:rPr>
          <w:sz w:val="24"/>
        </w:rPr>
      </w:pPr>
      <w:r>
        <w:rPr>
          <w:sz w:val="24"/>
        </w:rPr>
        <w:t>28. Visbeidzot, nosakot pašvaldību ieņēmumu no pašu avotiem, mērķfinansējumu un pārskaitījumu optimālu salikumu, ir svarīgi izvērtēt valsts līmeņa un reģionālo kontekstu. Norvēģijas gadījums parāda to, kāda nozīme var būt reģionālajām preferencēm un lauku ekonomikas uzturēšanai, kad runa ir par fiskālo decentralizāciju. Citos gadījumos ekonomikas apsekojumos ir atzīmēts, ka augstāku līmeņu valdības finansiāls atbalsts varētu būt nepieciešams, lai finansētu kritisko sociālo infrastruktūru, piemēram, izglītības infrastruktūru Vācijā (OECD, 2018</w:t>
      </w:r>
      <w:r>
        <w:rPr>
          <w:sz w:val="24"/>
          <w:vertAlign w:val="superscript"/>
        </w:rPr>
        <w:t>[31]</w:t>
      </w:r>
      <w:r>
        <w:rPr>
          <w:sz w:val="24"/>
        </w:rPr>
        <w:t>; 2016</w:t>
      </w:r>
      <w:r>
        <w:rPr>
          <w:sz w:val="24"/>
          <w:vertAlign w:val="superscript"/>
        </w:rPr>
        <w:t>[32]</w:t>
      </w:r>
      <w:r>
        <w:rPr>
          <w:sz w:val="24"/>
        </w:rPr>
        <w:t>). Plašās variācijas, kas ir novērojamas valstīs attiecībā uz pašvaldību līmeņa nodokļu sastāvu un nodokļu autonomiju, uzsver faktu, ka decentralizācijas jautājumā nav vienas pieejas, kas būtu piemērota visiem, un ir būtiski uzraudzīt rezultātus (2. ierāmējums).</w:t>
      </w:r>
    </w:p>
    <w:p w14:paraId="111200D9" w14:textId="77777777" w:rsidR="00B65BF8" w:rsidRDefault="00B65BF8">
      <w:pPr>
        <w:rPr>
          <w:sz w:val="24"/>
        </w:rPr>
      </w:pPr>
      <w:r>
        <w:rPr>
          <w:sz w:val="24"/>
        </w:rPr>
        <w:br w:type="page"/>
      </w:r>
    </w:p>
    <w:p w14:paraId="16EAD3E8" w14:textId="2F0AC38F" w:rsidR="00C37DE1" w:rsidRDefault="005F7B48" w:rsidP="005F7B48">
      <w:pPr>
        <w:pStyle w:val="Heading5"/>
        <w:tabs>
          <w:tab w:val="left" w:pos="1903"/>
        </w:tabs>
        <w:ind w:left="0" w:firstLine="0"/>
        <w:jc w:val="left"/>
        <w:rPr>
          <w:noProof/>
          <w:sz w:val="28"/>
          <w:szCs w:val="28"/>
        </w:rPr>
      </w:pPr>
      <w:bookmarkStart w:id="66" w:name="3.3.__Guidance_from_country_surveys"/>
      <w:bookmarkStart w:id="67" w:name="_bookmark20"/>
      <w:bookmarkStart w:id="68" w:name="_Toc211859109"/>
      <w:bookmarkEnd w:id="66"/>
      <w:bookmarkEnd w:id="67"/>
      <w:r>
        <w:rPr>
          <w:sz w:val="28"/>
        </w:rPr>
        <w:lastRenderedPageBreak/>
        <w:t>3.3. Vadlīnijas, kas izriet no valstu apsekojumiem</w:t>
      </w:r>
      <w:bookmarkEnd w:id="68"/>
    </w:p>
    <w:p w14:paraId="6C42552A" w14:textId="77777777" w:rsidR="005F7B48" w:rsidRPr="005F7B48" w:rsidRDefault="005F7B48" w:rsidP="005F7B48">
      <w:pPr>
        <w:pStyle w:val="Heading5"/>
        <w:tabs>
          <w:tab w:val="left" w:pos="1903"/>
        </w:tabs>
        <w:ind w:left="0" w:firstLine="0"/>
        <w:rPr>
          <w:noProof/>
          <w:sz w:val="28"/>
          <w:szCs w:val="28"/>
        </w:rPr>
      </w:pPr>
    </w:p>
    <w:p w14:paraId="49D03084" w14:textId="77777777" w:rsidR="00C37DE1" w:rsidRPr="00074D4C" w:rsidRDefault="00C37DE1" w:rsidP="001970BD">
      <w:pPr>
        <w:pStyle w:val="Heading3"/>
        <w:jc w:val="center"/>
        <w:rPr>
          <w:b w:val="0"/>
          <w:noProof/>
          <w:sz w:val="24"/>
          <w:szCs w:val="24"/>
        </w:rPr>
      </w:pPr>
      <w:bookmarkStart w:id="69" w:name="_bookmark21"/>
      <w:bookmarkStart w:id="70" w:name="_Toc211859571"/>
      <w:bookmarkEnd w:id="69"/>
      <w:r w:rsidRPr="001970BD">
        <w:rPr>
          <w:i w:val="0"/>
          <w:iCs w:val="0"/>
          <w:sz w:val="24"/>
          <w:szCs w:val="24"/>
        </w:rPr>
        <w:t>1. tabula. Parastie ieteikumi, kā uzlabot fiskālo spēju</w:t>
      </w:r>
      <w:bookmarkEnd w:id="70"/>
    </w:p>
    <w:p w14:paraId="52E20B7F" w14:textId="77777777" w:rsidR="00C37DE1" w:rsidRPr="00074D4C" w:rsidRDefault="00C37DE1" w:rsidP="00C85C26">
      <w:pPr>
        <w:pStyle w:val="BodyText"/>
        <w:rPr>
          <w:b/>
          <w:noProof/>
          <w:sz w:val="24"/>
          <w:szCs w:val="24"/>
        </w:rPr>
      </w:pPr>
    </w:p>
    <w:tbl>
      <w:tblPr>
        <w:tblW w:w="5000" w:type="pct"/>
        <w:tblBorders>
          <w:top w:val="single" w:sz="12" w:space="0" w:color="4F81BC"/>
          <w:left w:val="single" w:sz="12" w:space="0" w:color="4F81BC"/>
          <w:bottom w:val="single" w:sz="12" w:space="0" w:color="4F81BC"/>
          <w:right w:val="single" w:sz="12" w:space="0" w:color="4F81BC"/>
          <w:insideH w:val="single" w:sz="12" w:space="0" w:color="4F81BC"/>
          <w:insideV w:val="single" w:sz="12" w:space="0" w:color="4F81BC"/>
        </w:tblBorders>
        <w:tblCellMar>
          <w:top w:w="28" w:type="dxa"/>
          <w:left w:w="28" w:type="dxa"/>
          <w:bottom w:w="28" w:type="dxa"/>
          <w:right w:w="28" w:type="dxa"/>
        </w:tblCellMar>
        <w:tblLook w:val="01E0" w:firstRow="1" w:lastRow="1" w:firstColumn="1" w:lastColumn="1" w:noHBand="0" w:noVBand="0"/>
      </w:tblPr>
      <w:tblGrid>
        <w:gridCol w:w="1142"/>
        <w:gridCol w:w="1009"/>
        <w:gridCol w:w="1259"/>
        <w:gridCol w:w="1009"/>
        <w:gridCol w:w="1758"/>
        <w:gridCol w:w="1311"/>
        <w:gridCol w:w="1643"/>
      </w:tblGrid>
      <w:tr w:rsidR="00C37DE1" w:rsidRPr="00ED0B9F" w14:paraId="3A26D76F" w14:textId="77777777" w:rsidTr="00ED0B9F">
        <w:trPr>
          <w:trHeight w:val="654"/>
        </w:trPr>
        <w:tc>
          <w:tcPr>
            <w:tcW w:w="3357" w:type="pct"/>
            <w:gridSpan w:val="5"/>
            <w:tcBorders>
              <w:left w:val="single" w:sz="6" w:space="0" w:color="000000"/>
              <w:bottom w:val="single" w:sz="4" w:space="0" w:color="000000"/>
              <w:right w:val="single" w:sz="4" w:space="0" w:color="000000"/>
            </w:tcBorders>
          </w:tcPr>
          <w:p w14:paraId="44DFF548" w14:textId="77777777" w:rsidR="00C37DE1" w:rsidRPr="00ED0B9F" w:rsidRDefault="00C37DE1" w:rsidP="00ED0B9F">
            <w:pPr>
              <w:pStyle w:val="TableParagraph"/>
              <w:ind w:left="57" w:right="57"/>
              <w:jc w:val="center"/>
              <w:rPr>
                <w:b/>
                <w:noProof/>
                <w:sz w:val="20"/>
                <w:szCs w:val="20"/>
              </w:rPr>
            </w:pPr>
            <w:r>
              <w:rPr>
                <w:b/>
                <w:sz w:val="20"/>
              </w:rPr>
              <w:t>Stiprināt ieņēmumus no pašu avotiem</w:t>
            </w:r>
          </w:p>
        </w:tc>
        <w:tc>
          <w:tcPr>
            <w:tcW w:w="776" w:type="pct"/>
            <w:vMerge w:val="restart"/>
            <w:tcBorders>
              <w:left w:val="single" w:sz="4" w:space="0" w:color="000000"/>
              <w:bottom w:val="single" w:sz="4" w:space="0" w:color="000000"/>
              <w:right w:val="single" w:sz="4" w:space="0" w:color="000000"/>
            </w:tcBorders>
          </w:tcPr>
          <w:p w14:paraId="5ED1A571" w14:textId="77777777" w:rsidR="00C37DE1" w:rsidRPr="00ED0B9F" w:rsidRDefault="00C37DE1" w:rsidP="00ED0B9F">
            <w:pPr>
              <w:pStyle w:val="TableParagraph"/>
              <w:ind w:left="57" w:right="57" w:hanging="27"/>
              <w:jc w:val="center"/>
              <w:rPr>
                <w:b/>
                <w:noProof/>
                <w:sz w:val="20"/>
                <w:szCs w:val="20"/>
              </w:rPr>
            </w:pPr>
            <w:r>
              <w:rPr>
                <w:b/>
                <w:sz w:val="20"/>
              </w:rPr>
              <w:t>Palielināt pašvaldību izdevumu autonomiju</w:t>
            </w:r>
          </w:p>
        </w:tc>
        <w:tc>
          <w:tcPr>
            <w:tcW w:w="867" w:type="pct"/>
            <w:vMerge w:val="restart"/>
            <w:tcBorders>
              <w:left w:val="single" w:sz="4" w:space="0" w:color="000000"/>
              <w:bottom w:val="single" w:sz="4" w:space="0" w:color="000000"/>
              <w:right w:val="single" w:sz="6" w:space="0" w:color="000000"/>
            </w:tcBorders>
          </w:tcPr>
          <w:p w14:paraId="2BC4DB89" w14:textId="77777777" w:rsidR="00C37DE1" w:rsidRPr="00ED0B9F" w:rsidRDefault="00C37DE1" w:rsidP="00ED0B9F">
            <w:pPr>
              <w:pStyle w:val="TableParagraph"/>
              <w:ind w:left="57" w:right="57"/>
              <w:jc w:val="center"/>
              <w:rPr>
                <w:b/>
                <w:noProof/>
                <w:sz w:val="20"/>
                <w:szCs w:val="20"/>
              </w:rPr>
            </w:pPr>
            <w:r>
              <w:rPr>
                <w:b/>
                <w:sz w:val="20"/>
              </w:rPr>
              <w:t>Mazināt atkarību no pārskaitījumiem, izmantojot vietējo nodokļa bāzi</w:t>
            </w:r>
          </w:p>
        </w:tc>
      </w:tr>
      <w:tr w:rsidR="00C37DE1" w:rsidRPr="00ED0B9F" w14:paraId="6F6FEF68" w14:textId="77777777" w:rsidTr="005F7B48">
        <w:trPr>
          <w:trHeight w:val="266"/>
        </w:trPr>
        <w:tc>
          <w:tcPr>
            <w:tcW w:w="2003" w:type="pct"/>
            <w:gridSpan w:val="3"/>
            <w:tcBorders>
              <w:top w:val="single" w:sz="4" w:space="0" w:color="000000"/>
              <w:left w:val="single" w:sz="6" w:space="0" w:color="000000"/>
              <w:bottom w:val="single" w:sz="4" w:space="0" w:color="000000"/>
              <w:right w:val="single" w:sz="4" w:space="0" w:color="000000"/>
            </w:tcBorders>
          </w:tcPr>
          <w:p w14:paraId="7F238DCB" w14:textId="77777777" w:rsidR="00C37DE1" w:rsidRPr="00ED0B9F" w:rsidRDefault="00C37DE1" w:rsidP="00ED0B9F">
            <w:pPr>
              <w:pStyle w:val="TableParagraph"/>
              <w:ind w:left="57" w:right="57"/>
              <w:jc w:val="center"/>
              <w:rPr>
                <w:noProof/>
                <w:sz w:val="20"/>
                <w:szCs w:val="20"/>
              </w:rPr>
            </w:pPr>
            <w:r>
              <w:rPr>
                <w:sz w:val="20"/>
              </w:rPr>
              <w:t>Veicināt īpašuma nodokļu politiku</w:t>
            </w:r>
          </w:p>
        </w:tc>
        <w:tc>
          <w:tcPr>
            <w:tcW w:w="545" w:type="pct"/>
            <w:vMerge w:val="restart"/>
            <w:tcBorders>
              <w:top w:val="single" w:sz="4" w:space="0" w:color="000000"/>
              <w:left w:val="single" w:sz="4" w:space="0" w:color="000000"/>
              <w:bottom w:val="single" w:sz="4" w:space="0" w:color="000000"/>
              <w:right w:val="single" w:sz="4" w:space="0" w:color="000000"/>
            </w:tcBorders>
          </w:tcPr>
          <w:p w14:paraId="1203A819" w14:textId="77777777" w:rsidR="00C37DE1" w:rsidRPr="00ED0B9F" w:rsidRDefault="00C37DE1" w:rsidP="00ED0B9F">
            <w:pPr>
              <w:pStyle w:val="TableParagraph"/>
              <w:ind w:left="57" w:right="57" w:hanging="27"/>
              <w:jc w:val="center"/>
              <w:rPr>
                <w:noProof/>
                <w:sz w:val="20"/>
                <w:szCs w:val="20"/>
              </w:rPr>
            </w:pPr>
            <w:r>
              <w:rPr>
                <w:sz w:val="20"/>
              </w:rPr>
              <w:t>Papildu nodokļi</w:t>
            </w:r>
          </w:p>
        </w:tc>
        <w:tc>
          <w:tcPr>
            <w:tcW w:w="810" w:type="pct"/>
            <w:vMerge w:val="restart"/>
            <w:tcBorders>
              <w:top w:val="single" w:sz="4" w:space="0" w:color="000000"/>
              <w:left w:val="single" w:sz="4" w:space="0" w:color="000000"/>
              <w:bottom w:val="single" w:sz="4" w:space="0" w:color="000000"/>
              <w:right w:val="single" w:sz="4" w:space="0" w:color="000000"/>
            </w:tcBorders>
          </w:tcPr>
          <w:p w14:paraId="31548A98" w14:textId="77777777" w:rsidR="00C37DE1" w:rsidRPr="00ED0B9F" w:rsidRDefault="00C37DE1" w:rsidP="00ED0B9F">
            <w:pPr>
              <w:pStyle w:val="TableParagraph"/>
              <w:ind w:left="57" w:right="57" w:hanging="1"/>
              <w:jc w:val="center"/>
              <w:rPr>
                <w:noProof/>
                <w:sz w:val="20"/>
                <w:szCs w:val="20"/>
              </w:rPr>
            </w:pPr>
            <w:r>
              <w:rPr>
                <w:sz w:val="20"/>
              </w:rPr>
              <w:t xml:space="preserve">Uzlabot patēriņa nodokļus / izmantot PVN, </w:t>
            </w:r>
          </w:p>
          <w:p w14:paraId="1355B5F3" w14:textId="77777777" w:rsidR="00C37DE1" w:rsidRPr="00ED0B9F" w:rsidRDefault="00C37DE1" w:rsidP="00ED0B9F">
            <w:pPr>
              <w:pStyle w:val="TableParagraph"/>
              <w:ind w:left="57" w:right="57"/>
              <w:jc w:val="center"/>
              <w:rPr>
                <w:noProof/>
                <w:sz w:val="20"/>
                <w:szCs w:val="20"/>
              </w:rPr>
            </w:pPr>
            <w:r>
              <w:rPr>
                <w:sz w:val="20"/>
              </w:rPr>
              <w:t>kas balstīts uz galamērķa principu</w:t>
            </w:r>
          </w:p>
        </w:tc>
        <w:tc>
          <w:tcPr>
            <w:tcW w:w="776" w:type="pct"/>
            <w:vMerge/>
            <w:tcBorders>
              <w:top w:val="nil"/>
              <w:left w:val="single" w:sz="4" w:space="0" w:color="000000"/>
              <w:bottom w:val="single" w:sz="4" w:space="0" w:color="000000"/>
              <w:right w:val="single" w:sz="4" w:space="0" w:color="000000"/>
            </w:tcBorders>
          </w:tcPr>
          <w:p w14:paraId="5A31DEC0" w14:textId="77777777" w:rsidR="00C37DE1" w:rsidRPr="00ED0B9F" w:rsidRDefault="00C37DE1" w:rsidP="00ED0B9F">
            <w:pPr>
              <w:ind w:left="57" w:right="57"/>
              <w:jc w:val="center"/>
              <w:rPr>
                <w:noProof/>
                <w:sz w:val="20"/>
                <w:szCs w:val="20"/>
              </w:rPr>
            </w:pPr>
          </w:p>
        </w:tc>
        <w:tc>
          <w:tcPr>
            <w:tcW w:w="867" w:type="pct"/>
            <w:vMerge/>
            <w:tcBorders>
              <w:top w:val="nil"/>
              <w:left w:val="single" w:sz="4" w:space="0" w:color="000000"/>
              <w:bottom w:val="single" w:sz="4" w:space="0" w:color="000000"/>
              <w:right w:val="single" w:sz="6" w:space="0" w:color="000000"/>
            </w:tcBorders>
          </w:tcPr>
          <w:p w14:paraId="463B63C9" w14:textId="77777777" w:rsidR="00C37DE1" w:rsidRPr="00ED0B9F" w:rsidRDefault="00C37DE1" w:rsidP="00ED0B9F">
            <w:pPr>
              <w:ind w:left="57" w:right="57"/>
              <w:jc w:val="center"/>
              <w:rPr>
                <w:noProof/>
                <w:sz w:val="20"/>
                <w:szCs w:val="20"/>
              </w:rPr>
            </w:pPr>
          </w:p>
        </w:tc>
      </w:tr>
      <w:tr w:rsidR="00C37DE1" w:rsidRPr="00ED0B9F" w14:paraId="54C4B249" w14:textId="77777777" w:rsidTr="005F7B48">
        <w:trPr>
          <w:trHeight w:val="760"/>
        </w:trPr>
        <w:tc>
          <w:tcPr>
            <w:tcW w:w="674" w:type="pct"/>
            <w:tcBorders>
              <w:top w:val="single" w:sz="4" w:space="0" w:color="000000"/>
              <w:left w:val="single" w:sz="6" w:space="0" w:color="000000"/>
              <w:bottom w:val="single" w:sz="4" w:space="0" w:color="000000"/>
              <w:right w:val="single" w:sz="4" w:space="0" w:color="000000"/>
            </w:tcBorders>
          </w:tcPr>
          <w:p w14:paraId="34405D5F" w14:textId="77777777" w:rsidR="00C37DE1" w:rsidRPr="00ED0B9F" w:rsidRDefault="00C37DE1" w:rsidP="00ED0B9F">
            <w:pPr>
              <w:pStyle w:val="TableParagraph"/>
              <w:ind w:left="57" w:right="57"/>
              <w:jc w:val="center"/>
              <w:rPr>
                <w:b/>
                <w:noProof/>
                <w:sz w:val="20"/>
                <w:szCs w:val="20"/>
              </w:rPr>
            </w:pPr>
          </w:p>
          <w:p w14:paraId="244AD144" w14:textId="77777777" w:rsidR="00C37DE1" w:rsidRPr="00ED0B9F" w:rsidRDefault="00C37DE1" w:rsidP="00ED0B9F">
            <w:pPr>
              <w:pStyle w:val="TableParagraph"/>
              <w:ind w:left="57" w:right="57"/>
              <w:jc w:val="center"/>
              <w:rPr>
                <w:noProof/>
                <w:sz w:val="20"/>
                <w:szCs w:val="20"/>
              </w:rPr>
            </w:pPr>
            <w:r>
              <w:rPr>
                <w:sz w:val="20"/>
              </w:rPr>
              <w:t>Celt likmes</w:t>
            </w:r>
          </w:p>
        </w:tc>
        <w:tc>
          <w:tcPr>
            <w:tcW w:w="553" w:type="pct"/>
            <w:tcBorders>
              <w:top w:val="single" w:sz="4" w:space="0" w:color="000000"/>
              <w:left w:val="single" w:sz="4" w:space="0" w:color="000000"/>
              <w:bottom w:val="single" w:sz="4" w:space="0" w:color="000000"/>
              <w:right w:val="single" w:sz="4" w:space="0" w:color="000000"/>
            </w:tcBorders>
          </w:tcPr>
          <w:p w14:paraId="654AE9AE" w14:textId="77777777" w:rsidR="00C37DE1" w:rsidRPr="00ED0B9F" w:rsidRDefault="00C37DE1" w:rsidP="00ED0B9F">
            <w:pPr>
              <w:pStyle w:val="TableParagraph"/>
              <w:ind w:left="57" w:right="57"/>
              <w:jc w:val="center"/>
              <w:rPr>
                <w:noProof/>
                <w:sz w:val="20"/>
                <w:szCs w:val="20"/>
              </w:rPr>
            </w:pPr>
            <w:r>
              <w:rPr>
                <w:sz w:val="20"/>
              </w:rPr>
              <w:t>Paplašināt bāzi</w:t>
            </w:r>
          </w:p>
        </w:tc>
        <w:tc>
          <w:tcPr>
            <w:tcW w:w="776" w:type="pct"/>
            <w:tcBorders>
              <w:top w:val="single" w:sz="4" w:space="0" w:color="000000"/>
              <w:left w:val="single" w:sz="4" w:space="0" w:color="000000"/>
              <w:bottom w:val="single" w:sz="4" w:space="0" w:color="000000"/>
              <w:right w:val="single" w:sz="4" w:space="0" w:color="000000"/>
            </w:tcBorders>
          </w:tcPr>
          <w:p w14:paraId="05F39919" w14:textId="77777777" w:rsidR="00C37DE1" w:rsidRPr="00ED0B9F" w:rsidRDefault="00C37DE1" w:rsidP="00ED0B9F">
            <w:pPr>
              <w:pStyle w:val="TableParagraph"/>
              <w:ind w:left="57" w:right="57"/>
              <w:jc w:val="center"/>
              <w:rPr>
                <w:noProof/>
                <w:sz w:val="20"/>
                <w:szCs w:val="20"/>
              </w:rPr>
            </w:pPr>
            <w:r>
              <w:rPr>
                <w:sz w:val="20"/>
              </w:rPr>
              <w:t>Atjaunināt novērtējumus</w:t>
            </w:r>
          </w:p>
        </w:tc>
        <w:tc>
          <w:tcPr>
            <w:tcW w:w="545" w:type="pct"/>
            <w:vMerge/>
            <w:tcBorders>
              <w:top w:val="nil"/>
              <w:left w:val="single" w:sz="4" w:space="0" w:color="000000"/>
              <w:bottom w:val="single" w:sz="4" w:space="0" w:color="000000"/>
              <w:right w:val="single" w:sz="4" w:space="0" w:color="000000"/>
            </w:tcBorders>
          </w:tcPr>
          <w:p w14:paraId="6D45023C" w14:textId="77777777" w:rsidR="00C37DE1" w:rsidRPr="00ED0B9F" w:rsidRDefault="00C37DE1" w:rsidP="00ED0B9F">
            <w:pPr>
              <w:ind w:left="57" w:right="57"/>
              <w:jc w:val="center"/>
              <w:rPr>
                <w:noProof/>
                <w:sz w:val="20"/>
                <w:szCs w:val="20"/>
              </w:rPr>
            </w:pPr>
          </w:p>
        </w:tc>
        <w:tc>
          <w:tcPr>
            <w:tcW w:w="810" w:type="pct"/>
            <w:vMerge/>
            <w:tcBorders>
              <w:top w:val="nil"/>
              <w:left w:val="single" w:sz="4" w:space="0" w:color="000000"/>
              <w:bottom w:val="single" w:sz="4" w:space="0" w:color="000000"/>
              <w:right w:val="single" w:sz="4" w:space="0" w:color="000000"/>
            </w:tcBorders>
          </w:tcPr>
          <w:p w14:paraId="0B73B3CF" w14:textId="77777777" w:rsidR="00C37DE1" w:rsidRPr="00ED0B9F" w:rsidRDefault="00C37DE1" w:rsidP="00ED0B9F">
            <w:pPr>
              <w:ind w:left="57" w:right="57"/>
              <w:jc w:val="center"/>
              <w:rPr>
                <w:noProof/>
                <w:sz w:val="20"/>
                <w:szCs w:val="20"/>
              </w:rPr>
            </w:pPr>
          </w:p>
        </w:tc>
        <w:tc>
          <w:tcPr>
            <w:tcW w:w="776" w:type="pct"/>
            <w:vMerge/>
            <w:tcBorders>
              <w:top w:val="nil"/>
              <w:left w:val="single" w:sz="4" w:space="0" w:color="000000"/>
              <w:bottom w:val="single" w:sz="4" w:space="0" w:color="000000"/>
              <w:right w:val="single" w:sz="4" w:space="0" w:color="000000"/>
            </w:tcBorders>
          </w:tcPr>
          <w:p w14:paraId="70C5B0FD" w14:textId="77777777" w:rsidR="00C37DE1" w:rsidRPr="00ED0B9F" w:rsidRDefault="00C37DE1" w:rsidP="00ED0B9F">
            <w:pPr>
              <w:ind w:left="57" w:right="57"/>
              <w:jc w:val="center"/>
              <w:rPr>
                <w:noProof/>
                <w:sz w:val="20"/>
                <w:szCs w:val="20"/>
              </w:rPr>
            </w:pPr>
          </w:p>
        </w:tc>
        <w:tc>
          <w:tcPr>
            <w:tcW w:w="867" w:type="pct"/>
            <w:vMerge/>
            <w:tcBorders>
              <w:top w:val="nil"/>
              <w:left w:val="single" w:sz="4" w:space="0" w:color="000000"/>
              <w:bottom w:val="single" w:sz="4" w:space="0" w:color="000000"/>
              <w:right w:val="single" w:sz="6" w:space="0" w:color="000000"/>
            </w:tcBorders>
          </w:tcPr>
          <w:p w14:paraId="6B23BADD" w14:textId="77777777" w:rsidR="00C37DE1" w:rsidRPr="00ED0B9F" w:rsidRDefault="00C37DE1" w:rsidP="00ED0B9F">
            <w:pPr>
              <w:ind w:left="57" w:right="57"/>
              <w:jc w:val="center"/>
              <w:rPr>
                <w:noProof/>
                <w:sz w:val="20"/>
                <w:szCs w:val="20"/>
              </w:rPr>
            </w:pPr>
          </w:p>
        </w:tc>
      </w:tr>
      <w:tr w:rsidR="00C37DE1" w:rsidRPr="00ED0B9F" w14:paraId="1DDB1619" w14:textId="77777777" w:rsidTr="005F7B48">
        <w:trPr>
          <w:trHeight w:val="2147"/>
        </w:trPr>
        <w:tc>
          <w:tcPr>
            <w:tcW w:w="674" w:type="pct"/>
            <w:tcBorders>
              <w:top w:val="single" w:sz="4" w:space="0" w:color="000000"/>
              <w:left w:val="single" w:sz="6" w:space="0" w:color="000000"/>
              <w:bottom w:val="single" w:sz="12" w:space="0" w:color="000000"/>
              <w:right w:val="single" w:sz="4" w:space="0" w:color="000000"/>
            </w:tcBorders>
            <w:shd w:val="clear" w:color="auto" w:fill="DEEAF6"/>
          </w:tcPr>
          <w:p w14:paraId="18F87A0E" w14:textId="77777777" w:rsidR="00C37DE1" w:rsidRPr="00ED0B9F" w:rsidRDefault="00C37DE1" w:rsidP="00ED0B9F">
            <w:pPr>
              <w:pStyle w:val="TableParagraph"/>
              <w:ind w:left="57" w:right="57"/>
              <w:jc w:val="center"/>
              <w:rPr>
                <w:b/>
                <w:noProof/>
                <w:sz w:val="20"/>
                <w:szCs w:val="20"/>
              </w:rPr>
            </w:pPr>
          </w:p>
          <w:p w14:paraId="0F6F3545" w14:textId="77777777" w:rsidR="00C37DE1" w:rsidRPr="00ED0B9F" w:rsidRDefault="00C37DE1" w:rsidP="00ED0B9F">
            <w:pPr>
              <w:pStyle w:val="TableParagraph"/>
              <w:ind w:left="57" w:right="57"/>
              <w:jc w:val="center"/>
              <w:rPr>
                <w:b/>
                <w:noProof/>
                <w:sz w:val="20"/>
                <w:szCs w:val="20"/>
              </w:rPr>
            </w:pPr>
          </w:p>
          <w:p w14:paraId="385B44CD" w14:textId="77777777" w:rsidR="00C37DE1" w:rsidRPr="00ED0B9F" w:rsidRDefault="00C37DE1" w:rsidP="00ED0B9F">
            <w:pPr>
              <w:pStyle w:val="TableParagraph"/>
              <w:ind w:left="57" w:right="57"/>
              <w:jc w:val="center"/>
              <w:rPr>
                <w:b/>
                <w:noProof/>
                <w:sz w:val="20"/>
                <w:szCs w:val="20"/>
              </w:rPr>
            </w:pPr>
          </w:p>
          <w:p w14:paraId="206B30CF" w14:textId="77777777" w:rsidR="00C37DE1" w:rsidRPr="00ED0B9F" w:rsidRDefault="00C37DE1" w:rsidP="00ED0B9F">
            <w:pPr>
              <w:pStyle w:val="TableParagraph"/>
              <w:ind w:left="57" w:right="57"/>
              <w:jc w:val="center"/>
              <w:rPr>
                <w:noProof/>
                <w:sz w:val="20"/>
                <w:szCs w:val="20"/>
              </w:rPr>
            </w:pPr>
            <w:r>
              <w:rPr>
                <w:sz w:val="20"/>
              </w:rPr>
              <w:t>Somija, Dānija, Meksika, Nīderlande, Koreja</w:t>
            </w:r>
          </w:p>
        </w:tc>
        <w:tc>
          <w:tcPr>
            <w:tcW w:w="553" w:type="pct"/>
            <w:tcBorders>
              <w:top w:val="single" w:sz="4" w:space="0" w:color="000000"/>
              <w:left w:val="single" w:sz="4" w:space="0" w:color="000000"/>
              <w:bottom w:val="single" w:sz="12" w:space="0" w:color="000000"/>
              <w:right w:val="single" w:sz="4" w:space="0" w:color="000000"/>
            </w:tcBorders>
            <w:shd w:val="clear" w:color="auto" w:fill="DEEAF6"/>
          </w:tcPr>
          <w:p w14:paraId="4B3C41DA" w14:textId="77777777" w:rsidR="00C37DE1" w:rsidRPr="00ED0B9F" w:rsidRDefault="00C37DE1" w:rsidP="00ED0B9F">
            <w:pPr>
              <w:pStyle w:val="TableParagraph"/>
              <w:ind w:left="57" w:right="57"/>
              <w:jc w:val="center"/>
              <w:rPr>
                <w:b/>
                <w:noProof/>
                <w:sz w:val="20"/>
                <w:szCs w:val="20"/>
              </w:rPr>
            </w:pPr>
          </w:p>
          <w:p w14:paraId="61B71B10" w14:textId="77777777" w:rsidR="00C37DE1" w:rsidRPr="00ED0B9F" w:rsidRDefault="00C37DE1" w:rsidP="00ED0B9F">
            <w:pPr>
              <w:pStyle w:val="TableParagraph"/>
              <w:ind w:left="57" w:right="57"/>
              <w:jc w:val="center"/>
              <w:rPr>
                <w:b/>
                <w:noProof/>
                <w:sz w:val="20"/>
                <w:szCs w:val="20"/>
              </w:rPr>
            </w:pPr>
          </w:p>
          <w:p w14:paraId="489630F8" w14:textId="77777777" w:rsidR="00C37DE1" w:rsidRPr="00ED0B9F" w:rsidRDefault="00C37DE1" w:rsidP="00ED0B9F">
            <w:pPr>
              <w:pStyle w:val="TableParagraph"/>
              <w:ind w:left="57" w:right="57"/>
              <w:jc w:val="center"/>
              <w:rPr>
                <w:b/>
                <w:noProof/>
                <w:sz w:val="20"/>
                <w:szCs w:val="20"/>
              </w:rPr>
            </w:pPr>
          </w:p>
          <w:p w14:paraId="44E1731C" w14:textId="77777777" w:rsidR="00C37DE1" w:rsidRPr="00ED0B9F" w:rsidRDefault="00C37DE1" w:rsidP="00ED0B9F">
            <w:pPr>
              <w:pStyle w:val="TableParagraph"/>
              <w:ind w:left="57" w:right="57"/>
              <w:jc w:val="center"/>
              <w:rPr>
                <w:b/>
                <w:noProof/>
                <w:sz w:val="20"/>
                <w:szCs w:val="20"/>
              </w:rPr>
            </w:pPr>
          </w:p>
          <w:p w14:paraId="1809CAEC" w14:textId="77777777" w:rsidR="00C37DE1" w:rsidRPr="00ED0B9F" w:rsidRDefault="00C37DE1" w:rsidP="00ED0B9F">
            <w:pPr>
              <w:pStyle w:val="TableParagraph"/>
              <w:ind w:left="57" w:right="57"/>
              <w:jc w:val="center"/>
              <w:rPr>
                <w:noProof/>
                <w:sz w:val="20"/>
                <w:szCs w:val="20"/>
              </w:rPr>
            </w:pPr>
            <w:r>
              <w:rPr>
                <w:sz w:val="20"/>
              </w:rPr>
              <w:t>Austrālija, Meksika</w:t>
            </w:r>
          </w:p>
        </w:tc>
        <w:tc>
          <w:tcPr>
            <w:tcW w:w="776" w:type="pct"/>
            <w:tcBorders>
              <w:top w:val="single" w:sz="4" w:space="0" w:color="000000"/>
              <w:left w:val="single" w:sz="4" w:space="0" w:color="000000"/>
              <w:bottom w:val="single" w:sz="12" w:space="0" w:color="000000"/>
              <w:right w:val="single" w:sz="4" w:space="0" w:color="000000"/>
            </w:tcBorders>
            <w:shd w:val="clear" w:color="auto" w:fill="DEEAF6"/>
          </w:tcPr>
          <w:p w14:paraId="4ABA79BB" w14:textId="77777777" w:rsidR="00C37DE1" w:rsidRPr="00ED0B9F" w:rsidRDefault="00C37DE1" w:rsidP="00ED0B9F">
            <w:pPr>
              <w:pStyle w:val="TableParagraph"/>
              <w:ind w:left="57" w:right="57"/>
              <w:jc w:val="center"/>
              <w:rPr>
                <w:noProof/>
                <w:sz w:val="20"/>
                <w:szCs w:val="20"/>
              </w:rPr>
            </w:pPr>
            <w:r>
              <w:rPr>
                <w:sz w:val="20"/>
              </w:rPr>
              <w:t>Austrija, Beļģija, Igaunija, Somija, Francija, Vācija, Grieķija, Indonēzija, Meksika, Portugāle un</w:t>
            </w:r>
          </w:p>
          <w:p w14:paraId="6EDCC509" w14:textId="77777777" w:rsidR="00C37DE1" w:rsidRPr="00ED0B9F" w:rsidRDefault="00C37DE1" w:rsidP="00ED0B9F">
            <w:pPr>
              <w:pStyle w:val="TableParagraph"/>
              <w:ind w:left="57" w:right="57"/>
              <w:jc w:val="center"/>
              <w:rPr>
                <w:noProof/>
                <w:sz w:val="20"/>
                <w:szCs w:val="20"/>
              </w:rPr>
            </w:pPr>
            <w:r>
              <w:rPr>
                <w:sz w:val="20"/>
              </w:rPr>
              <w:t>Zviedrija</w:t>
            </w:r>
          </w:p>
        </w:tc>
        <w:tc>
          <w:tcPr>
            <w:tcW w:w="545" w:type="pct"/>
            <w:tcBorders>
              <w:top w:val="single" w:sz="4" w:space="0" w:color="000000"/>
              <w:left w:val="single" w:sz="4" w:space="0" w:color="000000"/>
              <w:bottom w:val="single" w:sz="12" w:space="0" w:color="000000"/>
              <w:right w:val="single" w:sz="4" w:space="0" w:color="000000"/>
            </w:tcBorders>
            <w:shd w:val="clear" w:color="auto" w:fill="DEEAF6"/>
          </w:tcPr>
          <w:p w14:paraId="267FDCC3" w14:textId="77777777" w:rsidR="00C37DE1" w:rsidRPr="00ED0B9F" w:rsidRDefault="00C37DE1" w:rsidP="00ED0B9F">
            <w:pPr>
              <w:pStyle w:val="TableParagraph"/>
              <w:ind w:left="57" w:right="57"/>
              <w:jc w:val="center"/>
              <w:rPr>
                <w:b/>
                <w:noProof/>
                <w:sz w:val="20"/>
                <w:szCs w:val="20"/>
              </w:rPr>
            </w:pPr>
          </w:p>
          <w:p w14:paraId="1244ED4C" w14:textId="77777777" w:rsidR="00C37DE1" w:rsidRPr="00ED0B9F" w:rsidRDefault="00C37DE1" w:rsidP="00ED0B9F">
            <w:pPr>
              <w:pStyle w:val="TableParagraph"/>
              <w:ind w:left="57" w:right="57"/>
              <w:jc w:val="center"/>
              <w:rPr>
                <w:b/>
                <w:noProof/>
                <w:sz w:val="20"/>
                <w:szCs w:val="20"/>
              </w:rPr>
            </w:pPr>
          </w:p>
          <w:p w14:paraId="795048E2" w14:textId="77777777" w:rsidR="00C37DE1" w:rsidRPr="00ED0B9F" w:rsidRDefault="00C37DE1" w:rsidP="00ED0B9F">
            <w:pPr>
              <w:pStyle w:val="TableParagraph"/>
              <w:ind w:left="57" w:right="57"/>
              <w:jc w:val="center"/>
              <w:rPr>
                <w:b/>
                <w:noProof/>
                <w:sz w:val="20"/>
                <w:szCs w:val="20"/>
              </w:rPr>
            </w:pPr>
          </w:p>
          <w:p w14:paraId="180902DC" w14:textId="77777777" w:rsidR="00C37DE1" w:rsidRPr="00ED0B9F" w:rsidRDefault="00C37DE1" w:rsidP="00ED0B9F">
            <w:pPr>
              <w:pStyle w:val="TableParagraph"/>
              <w:ind w:left="57" w:right="57"/>
              <w:jc w:val="center"/>
              <w:rPr>
                <w:b/>
                <w:noProof/>
                <w:sz w:val="20"/>
                <w:szCs w:val="20"/>
              </w:rPr>
            </w:pPr>
          </w:p>
          <w:p w14:paraId="2CBF7608" w14:textId="77777777" w:rsidR="00C37DE1" w:rsidRPr="00ED0B9F" w:rsidRDefault="00C37DE1" w:rsidP="00ED0B9F">
            <w:pPr>
              <w:pStyle w:val="TableParagraph"/>
              <w:ind w:left="57" w:right="57"/>
              <w:jc w:val="center"/>
              <w:rPr>
                <w:noProof/>
                <w:sz w:val="20"/>
                <w:szCs w:val="20"/>
              </w:rPr>
            </w:pPr>
            <w:r>
              <w:rPr>
                <w:sz w:val="20"/>
              </w:rPr>
              <w:t>Austrija, Austrālija, Koreja</w:t>
            </w:r>
          </w:p>
        </w:tc>
        <w:tc>
          <w:tcPr>
            <w:tcW w:w="810" w:type="pct"/>
            <w:tcBorders>
              <w:top w:val="single" w:sz="4" w:space="0" w:color="000000"/>
              <w:left w:val="single" w:sz="4" w:space="0" w:color="000000"/>
              <w:bottom w:val="single" w:sz="12" w:space="0" w:color="000000"/>
              <w:right w:val="single" w:sz="4" w:space="0" w:color="000000"/>
            </w:tcBorders>
            <w:shd w:val="clear" w:color="auto" w:fill="DEEAF6"/>
          </w:tcPr>
          <w:p w14:paraId="481FEF04" w14:textId="77777777" w:rsidR="00C37DE1" w:rsidRPr="00ED0B9F" w:rsidRDefault="00C37DE1" w:rsidP="00ED0B9F">
            <w:pPr>
              <w:pStyle w:val="TableParagraph"/>
              <w:ind w:left="57" w:right="57"/>
              <w:jc w:val="center"/>
              <w:rPr>
                <w:b/>
                <w:noProof/>
                <w:sz w:val="20"/>
                <w:szCs w:val="20"/>
              </w:rPr>
            </w:pPr>
          </w:p>
          <w:p w14:paraId="0C214BB1" w14:textId="77777777" w:rsidR="00C37DE1" w:rsidRPr="00ED0B9F" w:rsidRDefault="00C37DE1" w:rsidP="00ED0B9F">
            <w:pPr>
              <w:pStyle w:val="TableParagraph"/>
              <w:ind w:left="57" w:right="57"/>
              <w:jc w:val="center"/>
              <w:rPr>
                <w:b/>
                <w:noProof/>
                <w:sz w:val="20"/>
                <w:szCs w:val="20"/>
              </w:rPr>
            </w:pPr>
          </w:p>
          <w:p w14:paraId="7461739B" w14:textId="77777777" w:rsidR="00C37DE1" w:rsidRPr="00ED0B9F" w:rsidRDefault="00C37DE1" w:rsidP="00ED0B9F">
            <w:pPr>
              <w:pStyle w:val="TableParagraph"/>
              <w:ind w:left="57" w:right="57"/>
              <w:jc w:val="center"/>
              <w:rPr>
                <w:b/>
                <w:noProof/>
                <w:sz w:val="20"/>
                <w:szCs w:val="20"/>
              </w:rPr>
            </w:pPr>
          </w:p>
          <w:p w14:paraId="599CE4E3" w14:textId="77777777" w:rsidR="00C37DE1" w:rsidRPr="00ED0B9F" w:rsidRDefault="00C37DE1" w:rsidP="00ED0B9F">
            <w:pPr>
              <w:pStyle w:val="TableParagraph"/>
              <w:ind w:left="57" w:right="57"/>
              <w:jc w:val="center"/>
              <w:rPr>
                <w:b/>
                <w:noProof/>
                <w:sz w:val="20"/>
                <w:szCs w:val="20"/>
              </w:rPr>
            </w:pPr>
          </w:p>
          <w:p w14:paraId="7305C1BC" w14:textId="77777777" w:rsidR="00C37DE1" w:rsidRPr="00ED0B9F" w:rsidRDefault="00C37DE1" w:rsidP="00ED0B9F">
            <w:pPr>
              <w:pStyle w:val="TableParagraph"/>
              <w:ind w:left="57" w:right="57"/>
              <w:jc w:val="center"/>
              <w:rPr>
                <w:b/>
                <w:noProof/>
                <w:sz w:val="20"/>
                <w:szCs w:val="20"/>
              </w:rPr>
            </w:pPr>
          </w:p>
          <w:p w14:paraId="3EE6515E" w14:textId="77777777" w:rsidR="00C37DE1" w:rsidRPr="00ED0B9F" w:rsidRDefault="00C37DE1" w:rsidP="00ED0B9F">
            <w:pPr>
              <w:pStyle w:val="TableParagraph"/>
              <w:ind w:left="57" w:right="57"/>
              <w:jc w:val="center"/>
              <w:rPr>
                <w:noProof/>
                <w:sz w:val="20"/>
                <w:szCs w:val="20"/>
              </w:rPr>
            </w:pPr>
            <w:r>
              <w:rPr>
                <w:sz w:val="20"/>
              </w:rPr>
              <w:t>ASV, Brazīlija</w:t>
            </w:r>
          </w:p>
        </w:tc>
        <w:tc>
          <w:tcPr>
            <w:tcW w:w="776" w:type="pct"/>
            <w:tcBorders>
              <w:top w:val="single" w:sz="4" w:space="0" w:color="000000"/>
              <w:left w:val="single" w:sz="4" w:space="0" w:color="000000"/>
              <w:bottom w:val="single" w:sz="12" w:space="0" w:color="000000"/>
              <w:right w:val="single" w:sz="4" w:space="0" w:color="000000"/>
            </w:tcBorders>
            <w:shd w:val="clear" w:color="auto" w:fill="DEEAF6"/>
          </w:tcPr>
          <w:p w14:paraId="24CC5798" w14:textId="77777777" w:rsidR="00C37DE1" w:rsidRPr="00ED0B9F" w:rsidRDefault="00C37DE1" w:rsidP="00ED0B9F">
            <w:pPr>
              <w:pStyle w:val="TableParagraph"/>
              <w:ind w:left="57" w:right="57"/>
              <w:jc w:val="center"/>
              <w:rPr>
                <w:b/>
                <w:noProof/>
                <w:sz w:val="20"/>
                <w:szCs w:val="20"/>
              </w:rPr>
            </w:pPr>
          </w:p>
          <w:p w14:paraId="4E4930E5" w14:textId="77777777" w:rsidR="00C37DE1" w:rsidRPr="00ED0B9F" w:rsidRDefault="00C37DE1" w:rsidP="00ED0B9F">
            <w:pPr>
              <w:pStyle w:val="TableParagraph"/>
              <w:ind w:left="57" w:right="57"/>
              <w:jc w:val="center"/>
              <w:rPr>
                <w:b/>
                <w:noProof/>
                <w:sz w:val="20"/>
                <w:szCs w:val="20"/>
              </w:rPr>
            </w:pPr>
          </w:p>
          <w:p w14:paraId="68E59063" w14:textId="77777777" w:rsidR="00C37DE1" w:rsidRPr="00ED0B9F" w:rsidRDefault="00C37DE1" w:rsidP="00ED0B9F">
            <w:pPr>
              <w:pStyle w:val="TableParagraph"/>
              <w:ind w:left="57" w:right="57"/>
              <w:jc w:val="center"/>
              <w:rPr>
                <w:noProof/>
                <w:sz w:val="20"/>
                <w:szCs w:val="20"/>
              </w:rPr>
            </w:pPr>
            <w:r>
              <w:rPr>
                <w:sz w:val="20"/>
              </w:rPr>
              <w:t>Koreja, Beļģija Austrālija, Kanāda, Čehijas Republika, Francija, Japāna, ASV</w:t>
            </w:r>
          </w:p>
        </w:tc>
        <w:tc>
          <w:tcPr>
            <w:tcW w:w="867" w:type="pct"/>
            <w:tcBorders>
              <w:top w:val="single" w:sz="4" w:space="0" w:color="000000"/>
              <w:left w:val="single" w:sz="4" w:space="0" w:color="000000"/>
              <w:bottom w:val="single" w:sz="12" w:space="0" w:color="000000"/>
              <w:right w:val="single" w:sz="6" w:space="0" w:color="000000"/>
            </w:tcBorders>
            <w:shd w:val="clear" w:color="auto" w:fill="DEEAF6"/>
          </w:tcPr>
          <w:p w14:paraId="49E125F1" w14:textId="77777777" w:rsidR="00C37DE1" w:rsidRPr="00ED0B9F" w:rsidRDefault="00C37DE1" w:rsidP="00ED0B9F">
            <w:pPr>
              <w:pStyle w:val="TableParagraph"/>
              <w:ind w:left="57" w:right="57"/>
              <w:jc w:val="center"/>
              <w:rPr>
                <w:b/>
                <w:noProof/>
                <w:sz w:val="20"/>
                <w:szCs w:val="20"/>
              </w:rPr>
            </w:pPr>
          </w:p>
          <w:p w14:paraId="5D7971AE" w14:textId="77777777" w:rsidR="00C37DE1" w:rsidRPr="00ED0B9F" w:rsidRDefault="00C37DE1" w:rsidP="00ED0B9F">
            <w:pPr>
              <w:pStyle w:val="TableParagraph"/>
              <w:ind w:left="57" w:right="57"/>
              <w:jc w:val="center"/>
              <w:rPr>
                <w:b/>
                <w:noProof/>
                <w:sz w:val="20"/>
                <w:szCs w:val="20"/>
              </w:rPr>
            </w:pPr>
          </w:p>
          <w:p w14:paraId="170B05F7" w14:textId="77777777" w:rsidR="00C37DE1" w:rsidRPr="00ED0B9F" w:rsidRDefault="00C37DE1" w:rsidP="00ED0B9F">
            <w:pPr>
              <w:pStyle w:val="TableParagraph"/>
              <w:ind w:left="57" w:right="57"/>
              <w:jc w:val="center"/>
              <w:rPr>
                <w:b/>
                <w:noProof/>
                <w:sz w:val="20"/>
                <w:szCs w:val="20"/>
              </w:rPr>
            </w:pPr>
          </w:p>
          <w:p w14:paraId="1CF0A1D6" w14:textId="77777777" w:rsidR="00C37DE1" w:rsidRPr="00ED0B9F" w:rsidRDefault="00C37DE1" w:rsidP="00ED0B9F">
            <w:pPr>
              <w:pStyle w:val="TableParagraph"/>
              <w:ind w:left="57" w:right="57"/>
              <w:jc w:val="center"/>
              <w:rPr>
                <w:b/>
                <w:noProof/>
                <w:sz w:val="20"/>
                <w:szCs w:val="20"/>
              </w:rPr>
            </w:pPr>
          </w:p>
          <w:p w14:paraId="567D3EB2" w14:textId="77777777" w:rsidR="00C37DE1" w:rsidRPr="00ED0B9F" w:rsidRDefault="00C37DE1" w:rsidP="00ED0B9F">
            <w:pPr>
              <w:pStyle w:val="TableParagraph"/>
              <w:ind w:left="57" w:right="57"/>
              <w:jc w:val="center"/>
              <w:rPr>
                <w:noProof/>
                <w:sz w:val="20"/>
                <w:szCs w:val="20"/>
              </w:rPr>
            </w:pPr>
            <w:r>
              <w:rPr>
                <w:sz w:val="20"/>
              </w:rPr>
              <w:t>Japāna, Vācija, Beļģija, Itālija, Šveice</w:t>
            </w:r>
          </w:p>
        </w:tc>
      </w:tr>
    </w:tbl>
    <w:p w14:paraId="3C5A45BC" w14:textId="77777777" w:rsidR="00ED0B9F" w:rsidRDefault="00ED0B9F" w:rsidP="00C85C26">
      <w:pPr>
        <w:jc w:val="both"/>
        <w:rPr>
          <w:i/>
          <w:noProof/>
          <w:sz w:val="24"/>
          <w:szCs w:val="24"/>
        </w:rPr>
      </w:pPr>
    </w:p>
    <w:p w14:paraId="78EB71FA" w14:textId="176C99F0" w:rsidR="00C37DE1" w:rsidRPr="00074D4C" w:rsidRDefault="00C37DE1" w:rsidP="00C85C26">
      <w:pPr>
        <w:jc w:val="both"/>
        <w:rPr>
          <w:noProof/>
          <w:sz w:val="24"/>
          <w:szCs w:val="24"/>
        </w:rPr>
      </w:pPr>
      <w:r>
        <w:rPr>
          <w:i/>
          <w:sz w:val="24"/>
        </w:rPr>
        <w:t xml:space="preserve">Piezīme. </w:t>
      </w:r>
      <w:r>
        <w:rPr>
          <w:sz w:val="24"/>
        </w:rPr>
        <w:t>Šajā tabulā ir atzīmēti parastie ieteikumi, kā uzlabot pašvaldību fiskālo spēju, kam seko to valstu izlase, kurās tas ir izdarīts. Pirmais no trim primārajiem ieteikumiem augšējā rindā – stiprināt ieņēmumus no pašu avotiem – ir sadalīts vairākos pakārtotos ieteikumos.</w:t>
      </w:r>
    </w:p>
    <w:p w14:paraId="7B808D29" w14:textId="77777777" w:rsidR="00C37DE1" w:rsidRPr="00074D4C" w:rsidRDefault="00C37DE1" w:rsidP="00C85C26">
      <w:pPr>
        <w:pStyle w:val="BodyText"/>
        <w:rPr>
          <w:noProof/>
          <w:sz w:val="24"/>
          <w:szCs w:val="24"/>
        </w:rPr>
      </w:pPr>
    </w:p>
    <w:p w14:paraId="0DB45C27" w14:textId="7B9E0BC8" w:rsidR="00C37DE1" w:rsidRPr="00ED0B9F" w:rsidRDefault="00ED0B9F" w:rsidP="00ED0B9F">
      <w:pPr>
        <w:pStyle w:val="Heading5"/>
        <w:tabs>
          <w:tab w:val="left" w:pos="1903"/>
        </w:tabs>
        <w:ind w:left="0" w:firstLine="0"/>
        <w:jc w:val="left"/>
        <w:rPr>
          <w:b w:val="0"/>
          <w:bCs w:val="0"/>
          <w:noProof/>
          <w:sz w:val="28"/>
          <w:szCs w:val="28"/>
        </w:rPr>
      </w:pPr>
      <w:bookmarkStart w:id="71" w:name="3.3.1.__Strengthening_own-source_revenue"/>
      <w:bookmarkStart w:id="72" w:name="_Toc211859110"/>
      <w:bookmarkEnd w:id="71"/>
      <w:r>
        <w:rPr>
          <w:b w:val="0"/>
          <w:sz w:val="28"/>
        </w:rPr>
        <w:t>3.3.1. Ieņēmumu no pašu avotiem stiprināšana</w:t>
      </w:r>
      <w:bookmarkEnd w:id="72"/>
    </w:p>
    <w:p w14:paraId="7712A1C5" w14:textId="77777777" w:rsidR="007C7077" w:rsidRDefault="007C7077" w:rsidP="007C7077">
      <w:pPr>
        <w:pStyle w:val="ListParagraph"/>
        <w:tabs>
          <w:tab w:val="left" w:pos="2025"/>
        </w:tabs>
        <w:ind w:left="0"/>
        <w:jc w:val="left"/>
        <w:rPr>
          <w:noProof/>
          <w:sz w:val="24"/>
          <w:szCs w:val="24"/>
        </w:rPr>
      </w:pPr>
    </w:p>
    <w:p w14:paraId="5B3FFA31" w14:textId="59A21040" w:rsidR="00C37DE1" w:rsidRPr="00074D4C" w:rsidRDefault="007C7077" w:rsidP="007C7077">
      <w:pPr>
        <w:pStyle w:val="ListParagraph"/>
        <w:tabs>
          <w:tab w:val="left" w:pos="2025"/>
        </w:tabs>
        <w:ind w:left="0"/>
        <w:rPr>
          <w:noProof/>
          <w:sz w:val="24"/>
          <w:szCs w:val="24"/>
        </w:rPr>
      </w:pPr>
      <w:r>
        <w:rPr>
          <w:sz w:val="24"/>
        </w:rPr>
        <w:t>29. Apsekojuma galvenais ieteikums saistībā ar fiskālo autonomiju ir stiprināt pašvaldību nodokļa bāzi. Dažkārt tas nozīmē to, ka pašvaldība ir tikai jāiedrošina izmantot pilnvaras, kas tai jau ir, bet tā neuzdrošinās tās izmantot politisku iemeslu dēļ. Piemēram, Spānija tika mudināta iedrošināt reģionālās un vietējās pašvaldības pilnīgāk izmantot savas tiesības aplikt ar nodokli (OECD, 2007</w:t>
      </w:r>
      <w:r>
        <w:rPr>
          <w:sz w:val="24"/>
          <w:vertAlign w:val="superscript"/>
        </w:rPr>
        <w:t>[33]</w:t>
      </w:r>
      <w:r>
        <w:rPr>
          <w:sz w:val="24"/>
        </w:rPr>
        <w:t>). Korejai tika ieteikts atbalstīt pašvaldības saistībā ar vietējā ienākumu nodokļa likmju maiņu, lai paaugstinātu saimniecisko pastāvību un vienlaikus novērstu nepastāvīgos ieņēmumu avotus, piemēram, uzņēmuma ienākuma nodokļus (OECD, 2008</w:t>
      </w:r>
      <w:r>
        <w:rPr>
          <w:sz w:val="24"/>
          <w:vertAlign w:val="superscript"/>
        </w:rPr>
        <w:t>[34]</w:t>
      </w:r>
      <w:r>
        <w:rPr>
          <w:sz w:val="24"/>
        </w:rPr>
        <w:t>). Dažkārt pašvaldībām nav nepieciešamas jaunas pilnvaras, lai nodrošinātu ieņēmumus no pašu avotiem. Meksikai tika ieteikts, lai tā ļauj pavalstīm iekasēt ienākuma un patēriņa nodokļus virs un papildus ekvivalentajiem federālajiem nodokļiem (OECD, 2013</w:t>
      </w:r>
      <w:r>
        <w:rPr>
          <w:sz w:val="24"/>
          <w:vertAlign w:val="superscript"/>
        </w:rPr>
        <w:t>[35]</w:t>
      </w:r>
      <w:r>
        <w:rPr>
          <w:sz w:val="24"/>
        </w:rPr>
        <w:t>). Ekonomikas apsekojumos tika pastāvīgi atzīts, ka ir svarīgi ļaut pašvaldībām izmantot savas nodokļa bāzes, ne tikai lai aizstātu pārskaitījumus, bet arī lai motivētu vietējās iestādes virzīt politiku, kas stimulē ieņēmumus veicinošu ekonomisko izaugsmi.</w:t>
      </w:r>
    </w:p>
    <w:p w14:paraId="3CA7458E" w14:textId="77777777" w:rsidR="007C7077" w:rsidRDefault="007C7077" w:rsidP="007C7077">
      <w:pPr>
        <w:pStyle w:val="ListParagraph"/>
        <w:tabs>
          <w:tab w:val="left" w:pos="2025"/>
        </w:tabs>
        <w:ind w:left="0"/>
        <w:rPr>
          <w:noProof/>
          <w:sz w:val="24"/>
          <w:szCs w:val="24"/>
        </w:rPr>
      </w:pPr>
    </w:p>
    <w:p w14:paraId="406E0237" w14:textId="78ACD571" w:rsidR="00C37DE1" w:rsidRDefault="007C7077" w:rsidP="007C7077">
      <w:pPr>
        <w:pStyle w:val="ListParagraph"/>
        <w:tabs>
          <w:tab w:val="left" w:pos="2025"/>
        </w:tabs>
        <w:ind w:left="0"/>
        <w:rPr>
          <w:noProof/>
          <w:sz w:val="24"/>
          <w:szCs w:val="24"/>
        </w:rPr>
      </w:pPr>
      <w:r>
        <w:rPr>
          <w:sz w:val="24"/>
        </w:rPr>
        <w:t>30. Nākamajās sadaļās ir aplūkoti konkrēti veidi, kā stiprināt ieņēmumus no pašu avotiem, tostarp no īpašuma aplikšanas ar nodokli, patēriņa nodokļiem un ienākuma nodokļiem. Hagemans [</w:t>
      </w:r>
      <w:r>
        <w:rPr>
          <w:i/>
          <w:iCs/>
          <w:sz w:val="24"/>
        </w:rPr>
        <w:t>Hagemann</w:t>
      </w:r>
      <w:r>
        <w:rPr>
          <w:sz w:val="24"/>
        </w:rPr>
        <w:t>] (2018</w:t>
      </w:r>
      <w:r>
        <w:rPr>
          <w:sz w:val="24"/>
          <w:vertAlign w:val="superscript"/>
        </w:rPr>
        <w:t>[36]</w:t>
      </w:r>
      <w:r>
        <w:rPr>
          <w:sz w:val="24"/>
        </w:rPr>
        <w:t>) sniedz sīku pārskatu par nodokļu politiku pašvaldību līmenī, bet šajā sintēzes dokumentā ir vērts minēt šādus dažus būtiskus apsvērumus.</w:t>
      </w:r>
    </w:p>
    <w:p w14:paraId="26C14943" w14:textId="77777777" w:rsidR="007C7077" w:rsidRPr="00074D4C" w:rsidRDefault="007C7077" w:rsidP="007C7077">
      <w:pPr>
        <w:pStyle w:val="ListParagraph"/>
        <w:tabs>
          <w:tab w:val="left" w:pos="2025"/>
        </w:tabs>
        <w:ind w:left="0"/>
        <w:rPr>
          <w:noProof/>
          <w:sz w:val="24"/>
          <w:szCs w:val="24"/>
        </w:rPr>
      </w:pPr>
    </w:p>
    <w:p w14:paraId="5757DEB5" w14:textId="77777777" w:rsidR="00C37DE1" w:rsidRDefault="00C37DE1" w:rsidP="007C7077">
      <w:pPr>
        <w:pStyle w:val="ListParagraph"/>
        <w:numPr>
          <w:ilvl w:val="0"/>
          <w:numId w:val="5"/>
        </w:numPr>
        <w:tabs>
          <w:tab w:val="left" w:pos="2097"/>
        </w:tabs>
        <w:ind w:left="567"/>
        <w:rPr>
          <w:noProof/>
          <w:sz w:val="24"/>
          <w:szCs w:val="24"/>
        </w:rPr>
      </w:pPr>
      <w:r>
        <w:rPr>
          <w:sz w:val="24"/>
        </w:rPr>
        <w:t>Īpašuma aplikšana ar nodokli sniedz skaidru labumu, bet tas mazinās, ja ir novecojuši novērtējumi. Piemēram:</w:t>
      </w:r>
    </w:p>
    <w:p w14:paraId="731E2095" w14:textId="77777777" w:rsidR="007C7077" w:rsidRPr="00074D4C" w:rsidRDefault="007C7077" w:rsidP="007C7077">
      <w:pPr>
        <w:pStyle w:val="ListParagraph"/>
        <w:tabs>
          <w:tab w:val="left" w:pos="2097"/>
        </w:tabs>
        <w:ind w:left="567"/>
        <w:rPr>
          <w:noProof/>
          <w:sz w:val="24"/>
          <w:szCs w:val="24"/>
        </w:rPr>
      </w:pPr>
    </w:p>
    <w:p w14:paraId="6107A0B7" w14:textId="78E0451A" w:rsidR="00C37DE1" w:rsidRPr="000F469D" w:rsidRDefault="000F469D" w:rsidP="004361BB">
      <w:pPr>
        <w:keepNext/>
        <w:keepLines/>
        <w:tabs>
          <w:tab w:val="left" w:pos="2517"/>
        </w:tabs>
        <w:ind w:left="567"/>
        <w:jc w:val="both"/>
        <w:rPr>
          <w:noProof/>
          <w:sz w:val="24"/>
          <w:szCs w:val="24"/>
        </w:rPr>
      </w:pPr>
      <w:r>
        <w:rPr>
          <w:sz w:val="24"/>
        </w:rPr>
        <w:lastRenderedPageBreak/>
        <w:t>1) īpašuma nodokļi mazāk izraisa izkropļojumus, ko rada atbildes reakcija, ja salīdzina ar citiem nodokļiem, un no tiem ir grūtāk izvairīties;</w:t>
      </w:r>
    </w:p>
    <w:p w14:paraId="34F35B1C" w14:textId="77777777" w:rsidR="007C7077" w:rsidRPr="00074D4C" w:rsidRDefault="007C7077" w:rsidP="000F469D">
      <w:pPr>
        <w:pStyle w:val="ListParagraph"/>
        <w:tabs>
          <w:tab w:val="left" w:pos="2517"/>
        </w:tabs>
        <w:ind w:left="567"/>
        <w:rPr>
          <w:noProof/>
          <w:sz w:val="24"/>
          <w:szCs w:val="24"/>
        </w:rPr>
      </w:pPr>
    </w:p>
    <w:p w14:paraId="7CAD79F3" w14:textId="6CFB2AAC" w:rsidR="00C37DE1" w:rsidRPr="000F469D" w:rsidRDefault="000F469D" w:rsidP="000F469D">
      <w:pPr>
        <w:tabs>
          <w:tab w:val="left" w:pos="2517"/>
        </w:tabs>
        <w:ind w:left="567"/>
        <w:jc w:val="both"/>
        <w:rPr>
          <w:noProof/>
          <w:sz w:val="24"/>
          <w:szCs w:val="24"/>
        </w:rPr>
      </w:pPr>
      <w:r>
        <w:rPr>
          <w:sz w:val="24"/>
        </w:rPr>
        <w:t>2) īpašuma nodokļiem ir tendence būt progresīviem;</w:t>
      </w:r>
    </w:p>
    <w:p w14:paraId="1673DFDD" w14:textId="77777777" w:rsidR="007C7077" w:rsidRPr="00074D4C" w:rsidRDefault="007C7077" w:rsidP="000F469D">
      <w:pPr>
        <w:pStyle w:val="ListParagraph"/>
        <w:tabs>
          <w:tab w:val="left" w:pos="2517"/>
        </w:tabs>
        <w:ind w:left="567"/>
        <w:rPr>
          <w:noProof/>
          <w:sz w:val="24"/>
          <w:szCs w:val="24"/>
        </w:rPr>
      </w:pPr>
    </w:p>
    <w:p w14:paraId="262C4794" w14:textId="33C6D5B4" w:rsidR="00C37DE1" w:rsidRPr="000F469D" w:rsidRDefault="000F469D" w:rsidP="000F469D">
      <w:pPr>
        <w:tabs>
          <w:tab w:val="left" w:pos="2517"/>
        </w:tabs>
        <w:ind w:left="567"/>
        <w:jc w:val="both"/>
        <w:rPr>
          <w:noProof/>
          <w:sz w:val="24"/>
          <w:szCs w:val="24"/>
        </w:rPr>
      </w:pPr>
      <w:r>
        <w:rPr>
          <w:sz w:val="24"/>
        </w:rPr>
        <w:t>3) empīriskais darbs liecina, ka pāreja uz īpašuma aplikšanu ar nodokli varētu veicināt izaugsmi.</w:t>
      </w:r>
    </w:p>
    <w:p w14:paraId="6FBFC7C4" w14:textId="77777777" w:rsidR="00C85C26" w:rsidRPr="00074D4C" w:rsidRDefault="00C85C26" w:rsidP="007C7077">
      <w:pPr>
        <w:pStyle w:val="ListParagraph"/>
        <w:ind w:left="0"/>
        <w:rPr>
          <w:noProof/>
          <w:sz w:val="24"/>
          <w:szCs w:val="24"/>
        </w:rPr>
      </w:pPr>
    </w:p>
    <w:p w14:paraId="4B306053" w14:textId="77777777" w:rsidR="00C37DE1" w:rsidRDefault="00C37DE1" w:rsidP="007C7077">
      <w:pPr>
        <w:pStyle w:val="ListParagraph"/>
        <w:numPr>
          <w:ilvl w:val="0"/>
          <w:numId w:val="5"/>
        </w:numPr>
        <w:tabs>
          <w:tab w:val="left" w:pos="2097"/>
        </w:tabs>
        <w:ind w:left="567"/>
        <w:rPr>
          <w:noProof/>
          <w:sz w:val="24"/>
          <w:szCs w:val="24"/>
        </w:rPr>
      </w:pPr>
      <w:r>
        <w:rPr>
          <w:sz w:val="24"/>
        </w:rPr>
        <w:t>Patēriņa nodokļu priekšrocība ir to efektivitāte (un, ja pareizi plānoti, tie nemazina taisnīgumu). Decentralizētās valstīs bieži vien ir vēlams pāriet uz PVN, kas balstīts uz galamērķa principu, lai arī tas var ierobežot pašvaldību fiskālās autonomijas tvērumu.</w:t>
      </w:r>
    </w:p>
    <w:p w14:paraId="59042563" w14:textId="77777777" w:rsidR="007C7077" w:rsidRPr="00074D4C" w:rsidRDefault="007C7077" w:rsidP="007C7077">
      <w:pPr>
        <w:pStyle w:val="ListParagraph"/>
        <w:tabs>
          <w:tab w:val="left" w:pos="2097"/>
        </w:tabs>
        <w:ind w:left="567"/>
        <w:rPr>
          <w:noProof/>
          <w:sz w:val="24"/>
          <w:szCs w:val="24"/>
        </w:rPr>
      </w:pPr>
    </w:p>
    <w:p w14:paraId="19EC4053" w14:textId="77777777" w:rsidR="00C37DE1" w:rsidRDefault="00C37DE1" w:rsidP="008F557A">
      <w:pPr>
        <w:pStyle w:val="ListParagraph"/>
        <w:keepNext/>
        <w:keepLines/>
        <w:numPr>
          <w:ilvl w:val="0"/>
          <w:numId w:val="5"/>
        </w:numPr>
        <w:tabs>
          <w:tab w:val="left" w:pos="2098"/>
        </w:tabs>
        <w:ind w:left="567" w:hanging="340"/>
        <w:rPr>
          <w:noProof/>
          <w:sz w:val="24"/>
          <w:szCs w:val="24"/>
        </w:rPr>
      </w:pPr>
      <w:r>
        <w:rPr>
          <w:sz w:val="24"/>
        </w:rPr>
        <w:t>Pašvaldību ienākuma nodokļu uzlikšana papildus centrālās valdības ienākuma nodokļiem var palīdzēt iedalīt nodokļu telpu starp diviem valdības līmeņiem, bet tas var arī sarežģīt administratīvo kārtību (OECD, 2006</w:t>
      </w:r>
      <w:r>
        <w:rPr>
          <w:sz w:val="24"/>
          <w:vertAlign w:val="superscript"/>
        </w:rPr>
        <w:t>[37]</w:t>
      </w:r>
      <w:r>
        <w:rPr>
          <w:sz w:val="24"/>
        </w:rPr>
        <w:t>).</w:t>
      </w:r>
    </w:p>
    <w:p w14:paraId="1DC95BE4" w14:textId="77777777" w:rsidR="007C7077" w:rsidRPr="00074D4C" w:rsidRDefault="007C7077" w:rsidP="007C7077">
      <w:pPr>
        <w:pStyle w:val="ListParagraph"/>
        <w:tabs>
          <w:tab w:val="left" w:pos="2098"/>
        </w:tabs>
        <w:ind w:left="0"/>
        <w:rPr>
          <w:noProof/>
          <w:sz w:val="24"/>
          <w:szCs w:val="24"/>
        </w:rPr>
      </w:pPr>
    </w:p>
    <w:p w14:paraId="176C6069" w14:textId="1B09C33A" w:rsidR="00C37DE1" w:rsidRPr="00074D4C" w:rsidRDefault="007C7077" w:rsidP="007C7077">
      <w:pPr>
        <w:pStyle w:val="ListParagraph"/>
        <w:tabs>
          <w:tab w:val="left" w:pos="2025"/>
        </w:tabs>
        <w:ind w:left="0"/>
        <w:rPr>
          <w:noProof/>
          <w:sz w:val="24"/>
          <w:szCs w:val="24"/>
        </w:rPr>
      </w:pPr>
      <w:r>
        <w:rPr>
          <w:sz w:val="24"/>
        </w:rPr>
        <w:t>31. Neraugoties uz liecībām, ka pašvaldību nodokļu autonomija neizraisa pēc iespējas zemāku nodokļu likmju noteikšanu, pašvaldību līmenī piešķirto nodokļa bāžu mobilitāte ir jo īpaši svarīga saistībā ar fiskālo decentralizāciju. Ir vēlams, ka mazāk mobilās nodokļa bāzes iedala zemākiem līmeņiem, ņemot vērā iespēju, ka starp jurisdikcijām var veidoties agresīva nodokļu konkurence. Pašvaldību līmenī var piemērot, piemēram, nodokļus ar nemobilām bāzēm, resursu lietošanas atlīdzības, konservācijas maksas, vienpakāpes pārdošanas nodokļus, transportlīdzekļa reģistrācijas nodokļus, uzņēmējdarbības nodokļus, nodokļus par automašīnas novietošanu stāvvietā, īpašuma nodokļus un iedzīvotāju ienākuma uzrēķinus. Tas kontrastē ar muitas nodevām, pievienotās vērtības nodokli, uzņēmumu ienākuma nodokli, mantas/mantojuma un oglekļa nodokļiem, kurus var labāk iekasēt valsts līmenī (OECD, 2019</w:t>
      </w:r>
      <w:r>
        <w:rPr>
          <w:sz w:val="24"/>
          <w:vertAlign w:val="superscript"/>
        </w:rPr>
        <w:t>[13]</w:t>
      </w:r>
      <w:r>
        <w:rPr>
          <w:sz w:val="24"/>
        </w:rPr>
        <w:t>).</w:t>
      </w:r>
    </w:p>
    <w:p w14:paraId="33BB4EB9" w14:textId="77777777" w:rsidR="00C37DE1" w:rsidRPr="00074D4C" w:rsidRDefault="00C37DE1" w:rsidP="00C85C26">
      <w:pPr>
        <w:pStyle w:val="BodyText"/>
        <w:rPr>
          <w:noProof/>
          <w:sz w:val="24"/>
          <w:szCs w:val="24"/>
        </w:rPr>
      </w:pPr>
    </w:p>
    <w:p w14:paraId="33C7D9FD" w14:textId="7CB4FDCE" w:rsidR="00C37DE1" w:rsidRPr="007C7077" w:rsidRDefault="007C7077" w:rsidP="007C7077">
      <w:pPr>
        <w:pStyle w:val="Heading5"/>
        <w:tabs>
          <w:tab w:val="left" w:pos="1903"/>
        </w:tabs>
        <w:ind w:left="0" w:firstLine="0"/>
        <w:jc w:val="left"/>
        <w:rPr>
          <w:b w:val="0"/>
          <w:bCs w:val="0"/>
          <w:noProof/>
          <w:sz w:val="28"/>
          <w:szCs w:val="28"/>
        </w:rPr>
      </w:pPr>
      <w:bookmarkStart w:id="73" w:name="3.3.2.__Property_taxes"/>
      <w:bookmarkStart w:id="74" w:name="_Toc211859111"/>
      <w:bookmarkEnd w:id="73"/>
      <w:r>
        <w:rPr>
          <w:b w:val="0"/>
          <w:sz w:val="28"/>
        </w:rPr>
        <w:t>3.3.2. Nekustamā īpašuma nodokļi</w:t>
      </w:r>
      <w:bookmarkEnd w:id="74"/>
    </w:p>
    <w:p w14:paraId="4AB3C584" w14:textId="77777777" w:rsidR="007C7077" w:rsidRDefault="007C7077" w:rsidP="007C7077">
      <w:pPr>
        <w:pStyle w:val="ListParagraph"/>
        <w:tabs>
          <w:tab w:val="left" w:pos="2025"/>
        </w:tabs>
        <w:ind w:left="0"/>
        <w:jc w:val="left"/>
        <w:rPr>
          <w:noProof/>
          <w:sz w:val="24"/>
          <w:szCs w:val="24"/>
        </w:rPr>
      </w:pPr>
    </w:p>
    <w:p w14:paraId="15027D07" w14:textId="50EE5AD1" w:rsidR="00C37DE1" w:rsidRPr="00074D4C" w:rsidRDefault="007C7077" w:rsidP="007C7077">
      <w:pPr>
        <w:pStyle w:val="ListParagraph"/>
        <w:tabs>
          <w:tab w:val="left" w:pos="2025"/>
        </w:tabs>
        <w:ind w:left="0"/>
        <w:rPr>
          <w:noProof/>
          <w:sz w:val="24"/>
          <w:szCs w:val="24"/>
        </w:rPr>
      </w:pPr>
      <w:r>
        <w:rPr>
          <w:sz w:val="24"/>
        </w:rPr>
        <w:t>32. Ieteikums stiprināt pašvaldību pašu ieņēmumus, palielinot īpašuma nodokļus, ir iezīmējies vairākos valsts apsekojumos. Attiecībā uz 22 valstīm apsekojumos mudināts “celt” īpašuma nodokļus (Hagemann, 2018</w:t>
      </w:r>
      <w:r>
        <w:rPr>
          <w:sz w:val="24"/>
          <w:vertAlign w:val="superscript"/>
        </w:rPr>
        <w:t>[36]</w:t>
      </w:r>
      <w:r>
        <w:rPr>
          <w:sz w:val="24"/>
        </w:rPr>
        <w:t>). “Celt” varētu kādā no trim veidiem – celt likmi, paplašināt bāzi vai atjaunināt novērtējumus.</w:t>
      </w:r>
    </w:p>
    <w:p w14:paraId="770C6933" w14:textId="77777777" w:rsidR="007C7077" w:rsidRDefault="007C7077" w:rsidP="00C85C26">
      <w:pPr>
        <w:pStyle w:val="Heading6"/>
        <w:spacing w:before="0"/>
        <w:ind w:left="0"/>
        <w:rPr>
          <w:noProof/>
        </w:rPr>
      </w:pPr>
    </w:p>
    <w:p w14:paraId="1B833F46" w14:textId="590A3126" w:rsidR="00C37DE1" w:rsidRPr="007C7077" w:rsidRDefault="00C37DE1" w:rsidP="00C85C26">
      <w:pPr>
        <w:pStyle w:val="Heading6"/>
        <w:spacing w:before="0"/>
        <w:ind w:left="0"/>
        <w:rPr>
          <w:noProof/>
          <w:sz w:val="28"/>
          <w:szCs w:val="28"/>
        </w:rPr>
      </w:pPr>
      <w:r>
        <w:rPr>
          <w:sz w:val="28"/>
        </w:rPr>
        <w:t>Likmju celšana</w:t>
      </w:r>
      <w:bookmarkStart w:id="75" w:name="Raising_rates"/>
      <w:bookmarkEnd w:id="75"/>
    </w:p>
    <w:p w14:paraId="355355AA" w14:textId="77777777" w:rsidR="007C7077" w:rsidRDefault="007C7077" w:rsidP="007C7077">
      <w:pPr>
        <w:pStyle w:val="ListParagraph"/>
        <w:tabs>
          <w:tab w:val="left" w:pos="2025"/>
        </w:tabs>
        <w:ind w:left="0"/>
        <w:jc w:val="left"/>
        <w:rPr>
          <w:noProof/>
          <w:sz w:val="24"/>
          <w:szCs w:val="24"/>
        </w:rPr>
      </w:pPr>
    </w:p>
    <w:p w14:paraId="151F3015" w14:textId="4F5366FE" w:rsidR="00C37DE1" w:rsidRDefault="007C7077" w:rsidP="007C7077">
      <w:pPr>
        <w:pStyle w:val="ListParagraph"/>
        <w:tabs>
          <w:tab w:val="left" w:pos="2025"/>
        </w:tabs>
        <w:ind w:left="0"/>
        <w:rPr>
          <w:noProof/>
          <w:sz w:val="24"/>
          <w:szCs w:val="24"/>
        </w:rPr>
      </w:pPr>
      <w:r>
        <w:rPr>
          <w:sz w:val="24"/>
        </w:rPr>
        <w:t>33. Celt likmi, proti, palielināt nekustamā īpašuma nodokļa likmi, tika ieteikts Somijas (OECD, 2014</w:t>
      </w:r>
      <w:r>
        <w:rPr>
          <w:sz w:val="24"/>
          <w:vertAlign w:val="superscript"/>
        </w:rPr>
        <w:t>[38]</w:t>
      </w:r>
      <w:r>
        <w:rPr>
          <w:sz w:val="24"/>
        </w:rPr>
        <w:t>), Dānijas (OECD, 2014</w:t>
      </w:r>
      <w:r>
        <w:rPr>
          <w:sz w:val="24"/>
          <w:vertAlign w:val="superscript"/>
        </w:rPr>
        <w:t>[39]</w:t>
      </w:r>
      <w:r>
        <w:rPr>
          <w:sz w:val="24"/>
        </w:rPr>
        <w:t>; 2012</w:t>
      </w:r>
      <w:r>
        <w:rPr>
          <w:sz w:val="24"/>
          <w:vertAlign w:val="superscript"/>
        </w:rPr>
        <w:t>[40]</w:t>
      </w:r>
      <w:r>
        <w:rPr>
          <w:sz w:val="24"/>
        </w:rPr>
        <w:t>), Meksikas (OECD, 2013</w:t>
      </w:r>
      <w:r>
        <w:rPr>
          <w:sz w:val="24"/>
          <w:vertAlign w:val="superscript"/>
        </w:rPr>
        <w:t>[35]</w:t>
      </w:r>
      <w:r>
        <w:rPr>
          <w:sz w:val="24"/>
        </w:rPr>
        <w:t>), Nīderlandes (OECD, 2010</w:t>
      </w:r>
      <w:r>
        <w:rPr>
          <w:sz w:val="24"/>
          <w:vertAlign w:val="superscript"/>
        </w:rPr>
        <w:t>[41]</w:t>
      </w:r>
      <w:r>
        <w:rPr>
          <w:sz w:val="24"/>
        </w:rPr>
        <w:t>) un Korejas (OECD, 2005</w:t>
      </w:r>
      <w:r>
        <w:rPr>
          <w:sz w:val="24"/>
          <w:vertAlign w:val="superscript"/>
        </w:rPr>
        <w:t>[42]</w:t>
      </w:r>
      <w:r>
        <w:rPr>
          <w:sz w:val="24"/>
        </w:rPr>
        <w:t>) gadījumā. Somijā apsekojumā tika atzīmēts, ka centrālā valdība bija rīkojusies, lai celtu īpašuma nodokļa likmju pieļaujamo diapazonu, no kura pašvaldības var izvēlēties likmi. Līdzīgi arī Meksikai tika ieteikts ļaut pašvaldības iestādēm pašām lemt par īpašuma nodokļa likmēm, cenšoties tās paaugstināt. Apsekojumā tika atzīmēta konkrēta problēma, ko rada tas, ka likmju celšanai ir nepieciešams kongresa apstiprinājums, radot politisku stimulu noraidīt atļauju. Korejas gadījumā apsekojumā tika aicināts paaugstināt vietējās valdības ieņēmumus, piemērojot lielākus nodokļus īpašuma turējumiem. Tas varētu būt kā darījumu nodokļu daļēja aizstāšana. Tiek saskatīts, ka darījuma nodokļi mazina darbaspēka mobilitāti un zemes izmantojuma efektivitāti, savukārt nodokļi par īpašuma turējumiem var veicināt zemes efektīvu izmantošanu. Jo īpaši valdība tika mudināta ātrāk celt faktiskās nodokļa likmes īpašuma turējumiem no 0,1 % uz 1 %.</w:t>
      </w:r>
    </w:p>
    <w:p w14:paraId="01E12D85" w14:textId="77777777" w:rsidR="007C7077" w:rsidRPr="00074D4C" w:rsidRDefault="007C7077" w:rsidP="007C7077">
      <w:pPr>
        <w:pStyle w:val="ListParagraph"/>
        <w:tabs>
          <w:tab w:val="left" w:pos="2025"/>
        </w:tabs>
        <w:ind w:left="0"/>
        <w:rPr>
          <w:noProof/>
          <w:sz w:val="24"/>
          <w:szCs w:val="24"/>
        </w:rPr>
      </w:pPr>
    </w:p>
    <w:p w14:paraId="68844C53" w14:textId="77777777" w:rsidR="00C37DE1" w:rsidRPr="007C7077" w:rsidRDefault="00C37DE1" w:rsidP="00C85C26">
      <w:pPr>
        <w:pStyle w:val="Heading6"/>
        <w:spacing w:before="0"/>
        <w:ind w:left="0"/>
        <w:rPr>
          <w:noProof/>
          <w:sz w:val="28"/>
          <w:szCs w:val="28"/>
        </w:rPr>
      </w:pPr>
      <w:bookmarkStart w:id="76" w:name="Broadening_the_base"/>
      <w:bookmarkEnd w:id="76"/>
      <w:r>
        <w:rPr>
          <w:sz w:val="28"/>
        </w:rPr>
        <w:t>Bāzes paplašināšana</w:t>
      </w:r>
    </w:p>
    <w:p w14:paraId="17CBDC9D" w14:textId="77777777" w:rsidR="007C7077" w:rsidRPr="00074D4C" w:rsidRDefault="007C7077" w:rsidP="00C85C26">
      <w:pPr>
        <w:pStyle w:val="Heading6"/>
        <w:spacing w:before="0"/>
        <w:ind w:left="0"/>
        <w:rPr>
          <w:noProof/>
        </w:rPr>
      </w:pPr>
    </w:p>
    <w:p w14:paraId="4CF239D9" w14:textId="315922B0" w:rsidR="00C37DE1" w:rsidRPr="00074D4C" w:rsidRDefault="007C7077" w:rsidP="000F469D">
      <w:pPr>
        <w:pStyle w:val="ListParagraph"/>
        <w:tabs>
          <w:tab w:val="left" w:pos="2025"/>
        </w:tabs>
        <w:ind w:left="0"/>
        <w:rPr>
          <w:noProof/>
          <w:sz w:val="24"/>
          <w:szCs w:val="24"/>
        </w:rPr>
      </w:pPr>
      <w:r>
        <w:rPr>
          <w:sz w:val="24"/>
        </w:rPr>
        <w:t>34. Pašvaldībām jānodrošina pietiekami plaša īpašuma nodokļa bāze, piemēram, samazinot atbrīvojumus un beznodokļa sliekšņus, kā ieteikts Austrālijas (OECD, 2006</w:t>
      </w:r>
      <w:r>
        <w:rPr>
          <w:sz w:val="24"/>
          <w:vertAlign w:val="superscript"/>
        </w:rPr>
        <w:t>[37]</w:t>
      </w:r>
      <w:r>
        <w:rPr>
          <w:sz w:val="24"/>
        </w:rPr>
        <w:t>) un Meksikas (OECD, 2013</w:t>
      </w:r>
      <w:r>
        <w:rPr>
          <w:sz w:val="24"/>
          <w:vertAlign w:val="superscript"/>
        </w:rPr>
        <w:t>[35]</w:t>
      </w:r>
      <w:r>
        <w:rPr>
          <w:sz w:val="24"/>
        </w:rPr>
        <w:t>) gadījumā. Austrālijas apsekojumā tika atzīmēts, ka nodokļu atbrīvojums šādu veidu turējumiem – īpašnieka izmantotajai apdzīvojamajai zemei, primārās ražošanas zemei un zemei, kas ir labdarības un reliģisko struktūru turējumā, – pārmērīgi sašaurina īpašuma nodokļa bāzi. Turklāt zemas vērtības komerciālajiem un rūpnieciskajiem turējumiem tika noteikti beznodokļa sliekšņi. Faktiski tas radīja stimulu sadalīt zemes gabalus, lai tādējādi izvairītos no nodokļiem. Meksikā īpašuma nodokļa bāzi apdraudēja ierobežota tehniskā spēja administrēt nodokļu sistēmu un nespēja izsekot īpašuma vērtības un īpašumtiesības.</w:t>
      </w:r>
    </w:p>
    <w:p w14:paraId="335B28F8" w14:textId="77777777" w:rsidR="000F469D" w:rsidRDefault="000F469D" w:rsidP="00070D82">
      <w:pPr>
        <w:pStyle w:val="Heading6"/>
        <w:spacing w:before="0"/>
        <w:ind w:left="0"/>
        <w:rPr>
          <w:noProof/>
        </w:rPr>
      </w:pPr>
    </w:p>
    <w:p w14:paraId="03A2079D" w14:textId="43948265" w:rsidR="00C37DE1" w:rsidRPr="00D135F0" w:rsidRDefault="00C37DE1" w:rsidP="00070D82">
      <w:pPr>
        <w:pStyle w:val="Heading6"/>
        <w:spacing w:before="0"/>
        <w:ind w:left="0"/>
        <w:rPr>
          <w:noProof/>
          <w:sz w:val="28"/>
          <w:szCs w:val="28"/>
        </w:rPr>
      </w:pPr>
      <w:r>
        <w:rPr>
          <w:sz w:val="28"/>
        </w:rPr>
        <w:t>Novērtējumu atjaunināšana</w:t>
      </w:r>
      <w:bookmarkStart w:id="77" w:name="Updating_valuations"/>
      <w:bookmarkEnd w:id="77"/>
    </w:p>
    <w:p w14:paraId="7FC8EF03" w14:textId="77777777" w:rsidR="007C7077" w:rsidRDefault="007C7077" w:rsidP="00070D82">
      <w:pPr>
        <w:pStyle w:val="ListParagraph"/>
        <w:tabs>
          <w:tab w:val="left" w:pos="2025"/>
        </w:tabs>
        <w:ind w:left="0"/>
        <w:rPr>
          <w:noProof/>
          <w:sz w:val="24"/>
          <w:szCs w:val="24"/>
        </w:rPr>
      </w:pPr>
    </w:p>
    <w:p w14:paraId="7A0AB3F9" w14:textId="4F580BC9" w:rsidR="00C37DE1" w:rsidRPr="00074D4C" w:rsidRDefault="007C7077" w:rsidP="00070D82">
      <w:pPr>
        <w:pStyle w:val="ListParagraph"/>
        <w:tabs>
          <w:tab w:val="left" w:pos="2025"/>
        </w:tabs>
        <w:ind w:left="0"/>
        <w:rPr>
          <w:noProof/>
          <w:sz w:val="24"/>
          <w:szCs w:val="24"/>
        </w:rPr>
      </w:pPr>
      <w:r>
        <w:rPr>
          <w:sz w:val="24"/>
        </w:rPr>
        <w:t>35. Vairākos apsekojumos, tostarp Austrijā, Beļģijā, Igaunijā, Somijā, Francijā, Vācijā, Grieķijā, Indonēzijā, Meksikā, Portugālē un Zviedrijā, tika konstatētas novecojušas īpašuma vērtības, kas pazemina pašvaldību ieņēmumus no īpašuma nodokļa (Hagemann, 2018</w:t>
      </w:r>
      <w:r>
        <w:rPr>
          <w:sz w:val="24"/>
          <w:vertAlign w:val="superscript"/>
        </w:rPr>
        <w:t>[36]</w:t>
      </w:r>
      <w:r>
        <w:rPr>
          <w:sz w:val="24"/>
        </w:rPr>
        <w:t>; OECD, 2015</w:t>
      </w:r>
      <w:r>
        <w:rPr>
          <w:sz w:val="24"/>
          <w:vertAlign w:val="superscript"/>
        </w:rPr>
        <w:t>[43]</w:t>
      </w:r>
      <w:r>
        <w:rPr>
          <w:sz w:val="24"/>
        </w:rPr>
        <w:t>). Konkrēti Austrijas apsekojumā atzīmēts, ka “nekustamā īpašuma novērtējuma atjaunināšana ir priekšnoteikums, lai stiprinātu pašvaldību pilnvaras gūt ieņēmumus, pamatojoties uz nekustamā īpašuma nodokļiem” (OECD, 2005</w:t>
      </w:r>
      <w:r>
        <w:rPr>
          <w:sz w:val="24"/>
          <w:vertAlign w:val="superscript"/>
        </w:rPr>
        <w:t>[44]</w:t>
      </w:r>
      <w:r>
        <w:rPr>
          <w:sz w:val="24"/>
        </w:rPr>
        <w:t>). Dažos gadījumos novecojušas vērtības tika saistītas ar to, ka reti tiek atjaunināti īpašuma reģistri (Almy, 2014</w:t>
      </w:r>
      <w:r>
        <w:rPr>
          <w:sz w:val="24"/>
          <w:vertAlign w:val="superscript"/>
        </w:rPr>
        <w:t>[45]</w:t>
      </w:r>
      <w:r>
        <w:rPr>
          <w:sz w:val="24"/>
        </w:rPr>
        <w:t>). Meksikā novērtējuma regulāras neveikšanas dēļ ar nodokli apliekamā īpašuma vērtības bijušas krietni zem tirgus vērtības, un dati rāda, ka “kadastrālās vērtības ir par 60 % zemākas par tirgus vērtībām apmēram pusei no 32 pavalstīm” (OECD, 2013</w:t>
      </w:r>
      <w:r>
        <w:rPr>
          <w:sz w:val="24"/>
          <w:vertAlign w:val="superscript"/>
        </w:rPr>
        <w:t>[35]</w:t>
      </w:r>
      <w:r>
        <w:rPr>
          <w:sz w:val="24"/>
        </w:rPr>
        <w:t>). Beļģijā tika novērota līdzīga neregulāru vērtējumu problēma. Viens no apspriestajiem risinājumiem bija nodot atbildību par kadastra atjaunināšanu reģioniem, izveidojot reģionālus kadastrus. Tas varētu atrisināt nesaskaņotību starp atbildību atjaunināt vērtējumus federālā līmenī un reģionālo ieņēmumu palielinājumu, kas rastos šo atjauninājumu rezultātā (OECD, 2015</w:t>
      </w:r>
      <w:r>
        <w:rPr>
          <w:sz w:val="24"/>
          <w:vertAlign w:val="superscript"/>
        </w:rPr>
        <w:t>[43]</w:t>
      </w:r>
      <w:r>
        <w:rPr>
          <w:sz w:val="24"/>
        </w:rPr>
        <w:t>). Šāda pāreja varētu kopumā atbilst mērķim salāgot ieņēmumus ar pienākumiem, kā aplūkots šajā sintēzes dokumentā.</w:t>
      </w:r>
    </w:p>
    <w:p w14:paraId="7A8463E2" w14:textId="77777777" w:rsidR="00B66D04" w:rsidRDefault="00B66D04" w:rsidP="00B66D04">
      <w:pPr>
        <w:pStyle w:val="Heading7"/>
        <w:tabs>
          <w:tab w:val="left" w:pos="2083"/>
        </w:tabs>
        <w:ind w:left="0" w:firstLine="0"/>
        <w:jc w:val="left"/>
        <w:rPr>
          <w:noProof/>
        </w:rPr>
      </w:pPr>
      <w:bookmarkStart w:id="78" w:name="3.3.3.__Piggy-backing_taxes"/>
      <w:bookmarkEnd w:id="78"/>
    </w:p>
    <w:p w14:paraId="07A76287" w14:textId="0DCCDFFC" w:rsidR="00C37DE1" w:rsidRDefault="00B66D04" w:rsidP="00B66D04">
      <w:pPr>
        <w:pStyle w:val="Heading7"/>
        <w:tabs>
          <w:tab w:val="left" w:pos="2083"/>
        </w:tabs>
        <w:ind w:left="0" w:firstLine="0"/>
        <w:jc w:val="left"/>
        <w:rPr>
          <w:noProof/>
        </w:rPr>
      </w:pPr>
      <w:r>
        <w:rPr>
          <w:sz w:val="28"/>
        </w:rPr>
        <w:t>3.3.3. Papildu nodokļi</w:t>
      </w:r>
    </w:p>
    <w:p w14:paraId="6FCA9E06" w14:textId="77777777" w:rsidR="00B66D04" w:rsidRPr="00074D4C" w:rsidRDefault="00B66D04" w:rsidP="00B66D04">
      <w:pPr>
        <w:pStyle w:val="Heading7"/>
        <w:tabs>
          <w:tab w:val="left" w:pos="2083"/>
        </w:tabs>
        <w:ind w:left="0" w:firstLine="0"/>
        <w:rPr>
          <w:noProof/>
        </w:rPr>
      </w:pPr>
    </w:p>
    <w:p w14:paraId="3B7B8D51" w14:textId="7AE28169" w:rsidR="00C37DE1" w:rsidRPr="00074D4C" w:rsidRDefault="00B66D04" w:rsidP="00070D82">
      <w:pPr>
        <w:pStyle w:val="ListParagraph"/>
        <w:tabs>
          <w:tab w:val="left" w:pos="2025"/>
        </w:tabs>
        <w:ind w:left="0"/>
        <w:rPr>
          <w:noProof/>
          <w:sz w:val="24"/>
          <w:szCs w:val="24"/>
        </w:rPr>
      </w:pPr>
      <w:r>
        <w:rPr>
          <w:sz w:val="24"/>
        </w:rPr>
        <w:t>36. Tīkla publikācijās un valstu apsekojumos atkārtojas tēma par līdzsvarotas fiskālās telpas piešķiršanu centrālajā valdībā un pašvaldībās. Lai celtu pašvaldību fiskālo autonomiju, centrālās valdības varētu pazemināt nodokļus, ko tās šobrīd saņem, un ļaut, mudināt vai prasīt pašvaldībām palielināt savu nodokļu daļu. Piemēram, saistībā ar papildu nodokļu uzlikšanu pašvaldības piemēro savu ienākumu nodokli klāt pie nodokļa, ko iekasē centrālā valdība. Tas var nodrošināt administratīvu vienkāršību gadījumos, kad arī papildu nodokli iekasē centralizēti (un pēc tam sadala). Tika ieteikts, ka Austrija varētu izvērtēt iespēju rīkoties tieši šādi, iekļaujot pavalsts līmeņa nodokli tās ienākumu nodokļa shēmā (OECD, 2005</w:t>
      </w:r>
      <w:r>
        <w:rPr>
          <w:sz w:val="24"/>
          <w:vertAlign w:val="superscript"/>
        </w:rPr>
        <w:t>[44]</w:t>
      </w:r>
      <w:r>
        <w:rPr>
          <w:sz w:val="24"/>
        </w:rPr>
        <w:t>). Lai nepieļautu nodokļa bāzes sarukumu, tika arī ieteikts, ka federālajai valdībai jānosaka likmju diapazons, no kura pašvaldības varētu izvēlēties likmi. Nodokļa uzlikšana papildus ienākuma nodoklim tika apspriesta arī attiecībā uz Austrāliju, kurai tika ieteikts pavalstīm ieviest ienākuma nodokļa uzcenojumu, lai aizstātu mērķfinansējumus, ko tās līdz tam saņēmušas no Austrālijas Savienības (OECD, 2006</w:t>
      </w:r>
      <w:r>
        <w:rPr>
          <w:sz w:val="24"/>
          <w:vertAlign w:val="superscript"/>
        </w:rPr>
        <w:t>[37]</w:t>
      </w:r>
      <w:r>
        <w:rPr>
          <w:sz w:val="24"/>
        </w:rPr>
        <w:t>). Nodokļu telpas nodošanu pašvaldībām nevajadzētu ierobežot tikai attiecībā uz ienākuma nodokli. Piemēram, Korejai tikai ieteikts aizstāt valsts līmeņa vispārējo īpašuma nodokli ar lielākiem vietējiem īpašuma nodokļiem (OECD, 2008</w:t>
      </w:r>
      <w:r>
        <w:rPr>
          <w:sz w:val="24"/>
          <w:vertAlign w:val="superscript"/>
        </w:rPr>
        <w:t>[34]</w:t>
      </w:r>
      <w:r>
        <w:rPr>
          <w:sz w:val="24"/>
        </w:rPr>
        <w:t>).</w:t>
      </w:r>
    </w:p>
    <w:p w14:paraId="6F018656" w14:textId="77777777" w:rsidR="00B66D04" w:rsidRDefault="00B66D04" w:rsidP="00B66D04">
      <w:pPr>
        <w:pStyle w:val="Heading7"/>
        <w:tabs>
          <w:tab w:val="left" w:pos="2083"/>
        </w:tabs>
        <w:ind w:left="0" w:firstLine="0"/>
        <w:rPr>
          <w:noProof/>
        </w:rPr>
      </w:pPr>
      <w:bookmarkStart w:id="79" w:name="3.3.4.__Improving_consumption_taxes:_des"/>
      <w:bookmarkEnd w:id="79"/>
    </w:p>
    <w:p w14:paraId="0DE91FB7" w14:textId="07E9879B" w:rsidR="00C37DE1" w:rsidRPr="00B66D04" w:rsidRDefault="00B66D04" w:rsidP="00B66D04">
      <w:pPr>
        <w:pStyle w:val="Heading7"/>
        <w:tabs>
          <w:tab w:val="left" w:pos="2083"/>
        </w:tabs>
        <w:ind w:left="0" w:firstLine="0"/>
        <w:rPr>
          <w:noProof/>
          <w:sz w:val="28"/>
          <w:szCs w:val="28"/>
        </w:rPr>
      </w:pPr>
      <w:r>
        <w:rPr>
          <w:sz w:val="28"/>
        </w:rPr>
        <w:lastRenderedPageBreak/>
        <w:t>3.3.4. Patēriņa nodokļu uzlabošana – uz galamērķa principu balstīts PVN</w:t>
      </w:r>
    </w:p>
    <w:p w14:paraId="2474A84E" w14:textId="77777777" w:rsidR="00B66D04" w:rsidRPr="00074D4C" w:rsidRDefault="00B66D04" w:rsidP="00B65BF8">
      <w:pPr>
        <w:pStyle w:val="Heading7"/>
        <w:widowControl/>
        <w:tabs>
          <w:tab w:val="left" w:pos="2083"/>
        </w:tabs>
        <w:ind w:left="0" w:firstLine="0"/>
        <w:rPr>
          <w:noProof/>
        </w:rPr>
      </w:pPr>
    </w:p>
    <w:p w14:paraId="57721DE5" w14:textId="1E1AEC1C" w:rsidR="00C37DE1" w:rsidRPr="00074D4C" w:rsidRDefault="00B66D04" w:rsidP="00B65BF8">
      <w:pPr>
        <w:pStyle w:val="ListParagraph"/>
        <w:widowControl/>
        <w:tabs>
          <w:tab w:val="left" w:pos="2025"/>
        </w:tabs>
        <w:ind w:left="0"/>
        <w:rPr>
          <w:noProof/>
          <w:sz w:val="24"/>
          <w:szCs w:val="24"/>
        </w:rPr>
      </w:pPr>
      <w:r>
        <w:rPr>
          <w:sz w:val="24"/>
        </w:rPr>
        <w:t>37. Tiek uzskatīts, ka patēriņa nodokļi ir mazāk kropļojoši un vairāk veicina izaugsmi nekā vairums citu nodokļu uzlikšanas veidu un nodokļu politikas iespēju, kas pastāv, lai veicinātu to progresivitāti (Cournède, Fournier and Hoeller, 2018</w:t>
      </w:r>
      <w:r>
        <w:rPr>
          <w:sz w:val="24"/>
          <w:vertAlign w:val="superscript"/>
        </w:rPr>
        <w:t>[46]</w:t>
      </w:r>
      <w:r>
        <w:rPr>
          <w:sz w:val="24"/>
        </w:rPr>
        <w:t>). Attiecībā uz pašvaldībām dažos apsekojumos kā vēlamā patēriņa nodokļu piemērošanas pieeja tika norādīts uz galamērķa principu balstīts PVN. Atšķirībā no nodokļiem, ko piemēro pēc izcelsmes principa, ar nodokļiem, ko piemēro pēc galamērķa principa, tiek novērsts ražotāja vietas izvēles radīts izkropļojums (ņemot vērā, ka patērētājs tiek uzskatīts par mazāk mobilu).</w:t>
      </w:r>
      <w:r w:rsidR="00070D82">
        <w:rPr>
          <w:rStyle w:val="FootnoteReference"/>
          <w:noProof/>
          <w:sz w:val="24"/>
          <w:szCs w:val="24"/>
        </w:rPr>
        <w:footnoteReference w:id="2"/>
      </w:r>
      <w:r>
        <w:rPr>
          <w:sz w:val="24"/>
        </w:rPr>
        <w:t xml:space="preserve"> Šo pieeju tika ieteikts izvērtēt Amerikas Savienotajām Valstīm un Brazīlijai (OECD, 2005</w:t>
      </w:r>
      <w:r>
        <w:rPr>
          <w:sz w:val="24"/>
          <w:vertAlign w:val="superscript"/>
        </w:rPr>
        <w:t>[47]</w:t>
      </w:r>
      <w:r>
        <w:rPr>
          <w:sz w:val="24"/>
        </w:rPr>
        <w:t>; 2009</w:t>
      </w:r>
      <w:r>
        <w:rPr>
          <w:sz w:val="24"/>
          <w:vertAlign w:val="superscript"/>
        </w:rPr>
        <w:t>[48]</w:t>
      </w:r>
      <w:r>
        <w:rPr>
          <w:sz w:val="24"/>
        </w:rPr>
        <w:t>).</w:t>
      </w:r>
    </w:p>
    <w:p w14:paraId="342EFD7E" w14:textId="77777777" w:rsidR="00080817" w:rsidRDefault="00080817" w:rsidP="00070D82">
      <w:pPr>
        <w:pStyle w:val="Heading7"/>
        <w:tabs>
          <w:tab w:val="left" w:pos="2083"/>
        </w:tabs>
        <w:ind w:left="0" w:firstLine="0"/>
        <w:rPr>
          <w:noProof/>
        </w:rPr>
      </w:pPr>
      <w:bookmarkStart w:id="80" w:name="3.3.5.__Raising_SCG_spending_power"/>
      <w:bookmarkEnd w:id="80"/>
    </w:p>
    <w:p w14:paraId="4FF1BE25" w14:textId="28298DEC" w:rsidR="00C37DE1" w:rsidRPr="00080817" w:rsidRDefault="00080817" w:rsidP="00070D82">
      <w:pPr>
        <w:pStyle w:val="Heading7"/>
        <w:tabs>
          <w:tab w:val="left" w:pos="2083"/>
        </w:tabs>
        <w:ind w:left="0" w:firstLine="0"/>
        <w:rPr>
          <w:noProof/>
          <w:sz w:val="28"/>
          <w:szCs w:val="28"/>
        </w:rPr>
      </w:pPr>
      <w:r>
        <w:rPr>
          <w:sz w:val="28"/>
        </w:rPr>
        <w:t>3.3.5. Pašvaldību izdevumu autonomijas veicināšana</w:t>
      </w:r>
    </w:p>
    <w:p w14:paraId="09257022" w14:textId="77777777" w:rsidR="00080817" w:rsidRPr="00074D4C" w:rsidRDefault="00080817" w:rsidP="00070D82">
      <w:pPr>
        <w:pStyle w:val="Heading7"/>
        <w:tabs>
          <w:tab w:val="left" w:pos="2083"/>
        </w:tabs>
        <w:ind w:left="0" w:firstLine="0"/>
        <w:rPr>
          <w:noProof/>
        </w:rPr>
      </w:pPr>
    </w:p>
    <w:p w14:paraId="0818771F" w14:textId="11BAF32B" w:rsidR="00C37DE1" w:rsidRPr="00074D4C" w:rsidRDefault="00080817" w:rsidP="00070D82">
      <w:pPr>
        <w:pStyle w:val="ListParagraph"/>
        <w:tabs>
          <w:tab w:val="left" w:pos="2025"/>
        </w:tabs>
        <w:ind w:left="0"/>
        <w:rPr>
          <w:noProof/>
          <w:sz w:val="24"/>
          <w:szCs w:val="24"/>
        </w:rPr>
      </w:pPr>
      <w:r>
        <w:rPr>
          <w:sz w:val="24"/>
        </w:rPr>
        <w:t>38. Fiskālās autonomijas otrais komponents ir izdevumu autonomija. Tā kā izdevumu autonomija parasti ir decentralizētāka nekā nodokļu autonomija (1. attēls, a) grafiks), nav pārsteigums, ka pasākumiem, kas vērsti uz pašvaldību izdevumu autonomijas palielināšanu, aplūkotajos apsekojumos nav pievērsta tik liela nozīme kā pasākumiem, kas vērsti uz nodokļu autonomijas celšanu. Tomēr astoņos apsekojumos tika iekļauti skaidri aicinājumi palielināt pašvaldību izdevumu autonomiju, kas parasti izpaužas kā atbildības nodošana pašvaldībām (izdevumu autonomijas aspekts).</w:t>
      </w:r>
    </w:p>
    <w:p w14:paraId="0908B1DC" w14:textId="77777777" w:rsidR="00080817" w:rsidRDefault="00080817" w:rsidP="00070D82">
      <w:pPr>
        <w:pStyle w:val="ListParagraph"/>
        <w:tabs>
          <w:tab w:val="left" w:pos="2025"/>
        </w:tabs>
        <w:ind w:left="0"/>
        <w:rPr>
          <w:noProof/>
          <w:sz w:val="24"/>
          <w:szCs w:val="24"/>
        </w:rPr>
      </w:pPr>
    </w:p>
    <w:p w14:paraId="2D9EA665" w14:textId="4019C0B0" w:rsidR="00C37DE1" w:rsidRPr="00074D4C" w:rsidRDefault="00080817" w:rsidP="00070D82">
      <w:pPr>
        <w:pStyle w:val="ListParagraph"/>
        <w:tabs>
          <w:tab w:val="left" w:pos="2025"/>
        </w:tabs>
        <w:ind w:left="0"/>
        <w:rPr>
          <w:noProof/>
          <w:sz w:val="24"/>
          <w:szCs w:val="24"/>
        </w:rPr>
      </w:pPr>
      <w:r>
        <w:rPr>
          <w:sz w:val="24"/>
        </w:rPr>
        <w:t>39. Pienācīga pašvaldību izdevumu autonomija ļauj gan pielāgoties vietējām preferencēm, gan stiprina vietējo nodokļu un pakalpojumu sniegšanas redzamo saikni, kas veicina efektivitāti un pakalpojumu uzlabošanu. Tas jo īpaši ir tā gadījumos, kad no pakalpojuma gūtais labums lokalizējas jurisdikcijā, kurā pakalpojums tiek sniegts (Oates and Schwab, 1988</w:t>
      </w:r>
      <w:r>
        <w:rPr>
          <w:sz w:val="24"/>
          <w:vertAlign w:val="superscript"/>
        </w:rPr>
        <w:t>[49]</w:t>
      </w:r>
      <w:r>
        <w:rPr>
          <w:sz w:val="24"/>
        </w:rPr>
        <w:t>). Piemēram, Korejā atšķirība starp kopienām pieejamo pakalpoju klāstu, piemēram, izglītība un policija, un pašvaldību ierobežoto spēju šos pakalpojumus finansēt ir mudinājusi sniegt ieteikumus gan celt vietējos īpašuma nodokļus, gan piešķirt pašvaldībām lielāku atbildību par izdevumiem (OECD, 2008</w:t>
      </w:r>
      <w:r>
        <w:rPr>
          <w:sz w:val="24"/>
          <w:vertAlign w:val="superscript"/>
        </w:rPr>
        <w:t>[34]</w:t>
      </w:r>
      <w:r>
        <w:rPr>
          <w:sz w:val="24"/>
        </w:rPr>
        <w:t>). Līdzīgi arī tika ieteikts Beļģijas pašvaldības iestādēm uzņemties finansiālo atbildību par sociālo palīdzību (OECD, 2009</w:t>
      </w:r>
      <w:r>
        <w:rPr>
          <w:sz w:val="24"/>
          <w:vertAlign w:val="superscript"/>
        </w:rPr>
        <w:t>[50]</w:t>
      </w:r>
      <w:r>
        <w:rPr>
          <w:sz w:val="24"/>
        </w:rPr>
        <w:t>). Vēlreiz atkārtojot, – tas tika saskatīts kā veids, kā stimulēt vietējās pašvaldības nodrošināt piemērotāku un labāk pielāgotu atbalstu ilgstošiem bezdarbniekiem. Uzņemoties sociālās palīdzības izmaksas, pašvaldības varētu īstenot finansiālu labumu, ko dod šo cilvēku sekmīga iekļaušana atpakaļ darba tirgū. Tādējādi, lai samazinātu pakalpojuma izmaksas, būtu jāuzlabo rezultāti.</w:t>
      </w:r>
    </w:p>
    <w:p w14:paraId="63CC4276" w14:textId="77777777" w:rsidR="00080817" w:rsidRDefault="00080817" w:rsidP="00070D82">
      <w:pPr>
        <w:pStyle w:val="ListParagraph"/>
        <w:tabs>
          <w:tab w:val="left" w:pos="2025"/>
        </w:tabs>
        <w:ind w:left="0"/>
        <w:rPr>
          <w:noProof/>
          <w:sz w:val="24"/>
          <w:szCs w:val="24"/>
        </w:rPr>
      </w:pPr>
    </w:p>
    <w:p w14:paraId="3A624B21" w14:textId="3F61CFF5" w:rsidR="00C37DE1" w:rsidRPr="00074D4C" w:rsidRDefault="00080817" w:rsidP="00070D82">
      <w:pPr>
        <w:pStyle w:val="ListParagraph"/>
        <w:tabs>
          <w:tab w:val="left" w:pos="2025"/>
        </w:tabs>
        <w:ind w:left="0"/>
        <w:rPr>
          <w:noProof/>
          <w:sz w:val="24"/>
          <w:szCs w:val="24"/>
        </w:rPr>
      </w:pPr>
      <w:r>
        <w:rPr>
          <w:sz w:val="24"/>
        </w:rPr>
        <w:t xml:space="preserve">40. Skatoties plašāk, ieteikumi, kas varētu palielināt pašvaldību izdevumu autonomiju, tika iekļauti arī </w:t>
      </w:r>
      <w:r>
        <w:rPr>
          <w:i/>
          <w:iCs/>
          <w:sz w:val="24"/>
        </w:rPr>
        <w:t>ekonomikas apsekojumos</w:t>
      </w:r>
      <w:r>
        <w:rPr>
          <w:sz w:val="24"/>
        </w:rPr>
        <w:t xml:space="preserve"> attiecībā uz Austrāliju (dot pavalstīm iespēju pilnībā vadīt izglītības finansējumu), Kanādu (veicināt pašvaldību iestāžu fiskālo spēju), Čehijas Republiku (nodrošināt, lai reģioniem būtu pietiekama fiskālā spēja atbalstīt profesionālo izglītību), Japānu (nodrošināt vietējām pašvaldībām lielākus finanšu resursus) un Amerikas Savienotajām Valstīm (uzlikt pavalstīm atbildību par automaģistrāļu finansējumu).</w:t>
      </w:r>
    </w:p>
    <w:p w14:paraId="73296371" w14:textId="77777777" w:rsidR="00070D82" w:rsidRDefault="00070D82" w:rsidP="00070D82">
      <w:pPr>
        <w:pStyle w:val="Heading7"/>
        <w:tabs>
          <w:tab w:val="left" w:pos="2083"/>
        </w:tabs>
        <w:ind w:left="0" w:firstLine="0"/>
        <w:jc w:val="left"/>
        <w:rPr>
          <w:noProof/>
        </w:rPr>
      </w:pPr>
      <w:bookmarkStart w:id="81" w:name="3.3.6.__Reducing_transfer_dependence"/>
      <w:bookmarkEnd w:id="81"/>
    </w:p>
    <w:p w14:paraId="67E9140B" w14:textId="2B6C7D60" w:rsidR="00C37DE1" w:rsidRPr="00074D4C" w:rsidRDefault="00070D82" w:rsidP="00B65BF8">
      <w:pPr>
        <w:pStyle w:val="Heading7"/>
        <w:keepNext/>
        <w:keepLines/>
        <w:tabs>
          <w:tab w:val="left" w:pos="2083"/>
        </w:tabs>
        <w:ind w:left="0" w:firstLine="0"/>
        <w:rPr>
          <w:noProof/>
        </w:rPr>
      </w:pPr>
      <w:r>
        <w:rPr>
          <w:sz w:val="28"/>
        </w:rPr>
        <w:lastRenderedPageBreak/>
        <w:t>3.3.6. Atkarības mazināšana no pārskaitījumiem</w:t>
      </w:r>
    </w:p>
    <w:p w14:paraId="719498D9" w14:textId="77777777" w:rsidR="00070D82" w:rsidRDefault="00070D82" w:rsidP="00B65BF8">
      <w:pPr>
        <w:pStyle w:val="ListParagraph"/>
        <w:keepNext/>
        <w:keepLines/>
        <w:tabs>
          <w:tab w:val="left" w:pos="2025"/>
        </w:tabs>
        <w:ind w:left="0"/>
        <w:rPr>
          <w:noProof/>
          <w:sz w:val="24"/>
          <w:szCs w:val="24"/>
        </w:rPr>
      </w:pPr>
    </w:p>
    <w:p w14:paraId="5D7DA9F2" w14:textId="7BB09BF4" w:rsidR="00C37DE1" w:rsidRPr="00074D4C" w:rsidRDefault="00070D82" w:rsidP="00B65BF8">
      <w:pPr>
        <w:pStyle w:val="ListParagraph"/>
        <w:keepNext/>
        <w:keepLines/>
        <w:tabs>
          <w:tab w:val="left" w:pos="2025"/>
        </w:tabs>
        <w:ind w:left="0"/>
        <w:rPr>
          <w:noProof/>
          <w:sz w:val="24"/>
          <w:szCs w:val="24"/>
        </w:rPr>
      </w:pPr>
      <w:r>
        <w:rPr>
          <w:sz w:val="24"/>
        </w:rPr>
        <w:t>41. Lai arī pareizi veidoti pārskaitījumi var būt svarīgs pašvaldību finansēšanas avots, noteiktos apstākļos tos var aizstāt ar stabilākiem ieņēmumiem no pašu avotiem, kas nozīmē, ka ir nepieciešama mazāka atkarība no augstāku līmeņu valdības. Vairākos valstu apsekojumos ir iezīmējies ieteikums mazināt pašvaldību atkarību no pārskaitījumiem, palielinot ieņēmumus no pašu avotiem. Piemēram, tika konstatēts, ka Japānas agrākā mērķfinansējumu piešķiršanas sistēma mazināja pašvaldību stimulu pilnveidot ieņēmumus no pašu avotiem (OECD, 2005</w:t>
      </w:r>
      <w:r>
        <w:rPr>
          <w:sz w:val="24"/>
          <w:vertAlign w:val="superscript"/>
        </w:rPr>
        <w:t>[51]</w:t>
      </w:r>
      <w:r>
        <w:rPr>
          <w:sz w:val="24"/>
        </w:rPr>
        <w:t>). Turpmākajos ekonomikas apsekojumos tika atzīta pozitīvā ietekme, ko devušas tā dēvētās “trīskāršās reformas”, kas vērstas uz turpmāku fiskālo decentralizāciju, pārliekot nodokļu ieņēmumus no centra uz pašvaldībām, vienlaikus mazinot mērķfinansējumus. Faktiski nesenais apsekojums sniedza pierādījumu, ka šīs reformas sekmīgi mazinājušas pārmērīgus piešķīrumus sabiedriskajiem darbiem</w:t>
      </w:r>
      <w:bookmarkStart w:id="82" w:name="_bookmark22"/>
      <w:bookmarkEnd w:id="82"/>
      <w:r>
        <w:rPr>
          <w:sz w:val="24"/>
        </w:rPr>
        <w:t xml:space="preserve"> (nevis citām prioritātēm). Šāds pārmērīgs piešķīrums tika saistīts ar iepriekšējās subsīdiju sistēmas aplamiem stimuliem (OECD, 2017</w:t>
      </w:r>
      <w:r>
        <w:rPr>
          <w:sz w:val="24"/>
          <w:vertAlign w:val="superscript"/>
        </w:rPr>
        <w:t>[52]</w:t>
      </w:r>
      <w:r>
        <w:rPr>
          <w:sz w:val="24"/>
        </w:rPr>
        <w:t>).</w:t>
      </w:r>
    </w:p>
    <w:p w14:paraId="7CBB5262" w14:textId="77777777" w:rsidR="00070D82" w:rsidRDefault="00070D82" w:rsidP="00070D82">
      <w:pPr>
        <w:pStyle w:val="ListParagraph"/>
        <w:tabs>
          <w:tab w:val="left" w:pos="2025"/>
        </w:tabs>
        <w:ind w:left="0"/>
        <w:rPr>
          <w:noProof/>
          <w:sz w:val="24"/>
          <w:szCs w:val="24"/>
        </w:rPr>
      </w:pPr>
    </w:p>
    <w:p w14:paraId="38ED9257" w14:textId="53F1C66B" w:rsidR="00C37DE1" w:rsidRDefault="00070D82" w:rsidP="00070D82">
      <w:pPr>
        <w:pStyle w:val="ListParagraph"/>
        <w:tabs>
          <w:tab w:val="left" w:pos="2025"/>
        </w:tabs>
        <w:ind w:left="0"/>
        <w:rPr>
          <w:noProof/>
          <w:sz w:val="24"/>
          <w:szCs w:val="24"/>
        </w:rPr>
      </w:pPr>
      <w:r>
        <w:rPr>
          <w:sz w:val="24"/>
        </w:rPr>
        <w:t>42. Vācijā jautājums par federālo zemju (</w:t>
      </w:r>
      <w:r>
        <w:rPr>
          <w:i/>
          <w:iCs/>
          <w:sz w:val="24"/>
        </w:rPr>
        <w:t>Lander</w:t>
      </w:r>
      <w:r>
        <w:rPr>
          <w:sz w:val="24"/>
        </w:rPr>
        <w:t>) fiskālo autonomiju tika plaši aplūkots ekonomikas apsekojumos, pēc kuriem tika sniegti vairāki ieteikumi ar mērķi mazināt starpvaldību pārskaitījumus. Proti, tika ieteikts pārplānot izlīdzināšanu, lai federālās zemes varētu paturēt vairāk ieņēmumu no pašu avotiem, un palielināt tvērumu, no kura federālās zemes var gūt šos ieņēmumus (OECD, 2006</w:t>
      </w:r>
      <w:r>
        <w:rPr>
          <w:sz w:val="24"/>
          <w:vertAlign w:val="superscript"/>
        </w:rPr>
        <w:t>[53]</w:t>
      </w:r>
      <w:r>
        <w:rPr>
          <w:sz w:val="24"/>
        </w:rPr>
        <w:t>). Lai arī Vācijas pārskaitījumu sistēmas reforma joprojām ir problemātiska, augsti horizonālā izlīdzināšanas</w:t>
      </w:r>
      <w:r w:rsidR="001B7C08">
        <w:rPr>
          <w:rStyle w:val="FootnoteReference"/>
          <w:noProof/>
          <w:sz w:val="24"/>
          <w:szCs w:val="24"/>
        </w:rPr>
        <w:footnoteReference w:id="3"/>
      </w:r>
      <w:r>
        <w:rPr>
          <w:sz w:val="24"/>
        </w:rPr>
        <w:t xml:space="preserve"> sistēma ir ievērojama. </w:t>
      </w:r>
      <w:r>
        <w:rPr>
          <w:i/>
          <w:iCs/>
          <w:sz w:val="24"/>
        </w:rPr>
        <w:t>OECD</w:t>
      </w:r>
      <w:r>
        <w:rPr>
          <w:sz w:val="24"/>
        </w:rPr>
        <w:t xml:space="preserve"> pētījums norāda uz vairākām horizontālās izlīdzināšanas sistēmu priekšrocībām, tostarp efektīvāku pārdali un mazāku cikliskuma tendenci (OECD, 2013</w:t>
      </w:r>
      <w:r>
        <w:rPr>
          <w:sz w:val="24"/>
          <w:vertAlign w:val="superscript"/>
        </w:rPr>
        <w:t>[54]</w:t>
      </w:r>
      <w:r>
        <w:rPr>
          <w:sz w:val="24"/>
        </w:rPr>
        <w:t>). Pašvaldību fiskālās autonomijas uzlabošana Vācijas kontekstā nozīmētu, ka tiek novērstas negatīvās sekas, ko rada pašvaldību atkarība no pārskaitījumiem (netiek veidoti ieņēmumi no pašu avotiem, izmantojot nodokļu politiku un ekonomikas attīstību), vienlaikus tiek saglabātas horizontālo pārskaitījumu priekšrocības.</w:t>
      </w:r>
    </w:p>
    <w:p w14:paraId="393FF03F" w14:textId="77777777" w:rsidR="00070D82" w:rsidRPr="00074D4C" w:rsidRDefault="00070D82" w:rsidP="00070D82">
      <w:pPr>
        <w:pStyle w:val="ListParagraph"/>
        <w:tabs>
          <w:tab w:val="left" w:pos="2025"/>
        </w:tabs>
        <w:ind w:left="0"/>
        <w:rPr>
          <w:noProof/>
          <w:sz w:val="24"/>
          <w:szCs w:val="24"/>
        </w:rPr>
      </w:pPr>
    </w:p>
    <w:p w14:paraId="0D13DCE4" w14:textId="02D9BBB7" w:rsidR="00C37DE1" w:rsidRPr="00074D4C" w:rsidRDefault="00346D82" w:rsidP="00346D82">
      <w:pPr>
        <w:pStyle w:val="Heading7"/>
        <w:tabs>
          <w:tab w:val="left" w:pos="2083"/>
        </w:tabs>
        <w:ind w:left="0" w:firstLine="0"/>
        <w:rPr>
          <w:noProof/>
        </w:rPr>
      </w:pPr>
      <w:bookmarkStart w:id="83" w:name="3.3.7.__Transfer_reform_and_own-source_r"/>
      <w:bookmarkEnd w:id="83"/>
      <w:r>
        <w:rPr>
          <w:sz w:val="28"/>
        </w:rPr>
        <w:t>3.3.7. Pārskaitījumu reforma un ieņēmumi no pašu avotiem – vienas monētas divas puses</w:t>
      </w:r>
    </w:p>
    <w:p w14:paraId="31430798" w14:textId="77777777" w:rsidR="001B7C08" w:rsidRDefault="001B7C08" w:rsidP="001B7C08">
      <w:pPr>
        <w:pStyle w:val="ListParagraph"/>
        <w:tabs>
          <w:tab w:val="left" w:pos="2025"/>
        </w:tabs>
        <w:ind w:left="0"/>
        <w:jc w:val="left"/>
        <w:rPr>
          <w:noProof/>
          <w:sz w:val="24"/>
          <w:szCs w:val="24"/>
        </w:rPr>
      </w:pPr>
    </w:p>
    <w:p w14:paraId="4E0DBCAB" w14:textId="0E93EE17" w:rsidR="00C37DE1" w:rsidRDefault="001B7C08" w:rsidP="001B7C08">
      <w:pPr>
        <w:pStyle w:val="ListParagraph"/>
        <w:tabs>
          <w:tab w:val="left" w:pos="2025"/>
        </w:tabs>
        <w:ind w:left="0"/>
        <w:rPr>
          <w:noProof/>
          <w:sz w:val="24"/>
          <w:szCs w:val="24"/>
        </w:rPr>
      </w:pPr>
      <w:r>
        <w:rPr>
          <w:sz w:val="24"/>
        </w:rPr>
        <w:t>43. Beļģijas valsts apsekojumā tika uzsvērts, ka starpvaldību pārskaitījumu reformas un pasākumi, kas vērsti uz ieņēmumu stiprināšanu no pašu avotiem, papildina viens otru (OECD, 2009</w:t>
      </w:r>
      <w:r>
        <w:rPr>
          <w:sz w:val="24"/>
          <w:vertAlign w:val="superscript"/>
        </w:rPr>
        <w:t>[50]</w:t>
      </w:r>
      <w:r>
        <w:rPr>
          <w:sz w:val="24"/>
        </w:rPr>
        <w:t>). Lai arī apsekojumā ieteikts mazināt pārskaitījumus reģioniem (izlabojot federālās valdības ieņēmumu bāzi), pašvaldības tika mudinātas izmantot savas tiesības aplikt ar nodokli, lai gūtu ieņēmumus. Šis padoms tika plaši atainots 2012.–2014. gada sestajā valsts reformā, ar kuru tika stiprināta reģionālā fiskālā autonomija. Līdzīgi arī Itālijas un Šveices ekonomikas apsekojumos tika ietverti paralēli ieteikumi ierobežot pārskaitījumus, lai mudinātu pašvaldības veidot pašām savas nodokļa bāzes (OECD, 2007</w:t>
      </w:r>
      <w:r>
        <w:rPr>
          <w:sz w:val="24"/>
          <w:vertAlign w:val="superscript"/>
        </w:rPr>
        <w:t>[55]</w:t>
      </w:r>
      <w:r>
        <w:rPr>
          <w:sz w:val="24"/>
        </w:rPr>
        <w:t>; 2015</w:t>
      </w:r>
      <w:r>
        <w:rPr>
          <w:sz w:val="24"/>
          <w:vertAlign w:val="superscript"/>
        </w:rPr>
        <w:t>[56]</w:t>
      </w:r>
      <w:r>
        <w:rPr>
          <w:sz w:val="24"/>
        </w:rPr>
        <w:t>). Attiecībā uz Itāliju veids, kā to sasniegt, bija izmantot standartizētu izmaksu sistēmu un neveikt 100 % izlīdzināšanu. Attiecībā uz Šveici bija līdzīgs ieteikums – samazināt pārskaitījumus kantoniem, kuros nodokļu intensitāte bija mazāka par nominālvērtību.</w:t>
      </w:r>
    </w:p>
    <w:p w14:paraId="3698277C" w14:textId="77777777" w:rsidR="00D135F0" w:rsidRPr="00074D4C" w:rsidRDefault="00D135F0" w:rsidP="00B65BF8">
      <w:pPr>
        <w:pStyle w:val="ListParagraph"/>
        <w:keepNext/>
        <w:keepLines/>
        <w:tabs>
          <w:tab w:val="left" w:pos="2025"/>
        </w:tabs>
        <w:ind w:left="0"/>
        <w:rPr>
          <w:noProof/>
          <w:sz w:val="24"/>
          <w:szCs w:val="24"/>
        </w:rPr>
      </w:pPr>
    </w:p>
    <w:p w14:paraId="000BBB8D" w14:textId="4BE2C285" w:rsidR="00C37DE1" w:rsidRPr="001B7C08" w:rsidRDefault="001B7C08" w:rsidP="00B65BF8">
      <w:pPr>
        <w:pStyle w:val="Heading4"/>
        <w:keepNext/>
        <w:keepLines/>
        <w:tabs>
          <w:tab w:val="left" w:pos="1044"/>
        </w:tabs>
        <w:spacing w:before="0"/>
        <w:ind w:left="0" w:firstLine="0"/>
        <w:rPr>
          <w:noProof/>
          <w:color w:val="4E81BC"/>
          <w:sz w:val="28"/>
          <w:szCs w:val="28"/>
        </w:rPr>
      </w:pPr>
      <w:bookmarkStart w:id="84" w:name="4.__Delineation,_fragmentation_and_assig"/>
      <w:bookmarkStart w:id="85" w:name="_bookmark23"/>
      <w:bookmarkStart w:id="86" w:name="_Toc211859112"/>
      <w:bookmarkEnd w:id="84"/>
      <w:bookmarkEnd w:id="85"/>
      <w:r>
        <w:rPr>
          <w:color w:val="4E81BC"/>
          <w:sz w:val="28"/>
        </w:rPr>
        <w:t>4. Robežu noteikšana, sadrumstalotība un piešķiršana</w:t>
      </w:r>
      <w:bookmarkEnd w:id="86"/>
    </w:p>
    <w:p w14:paraId="0DEA617C" w14:textId="77777777" w:rsidR="001B7C08" w:rsidRDefault="001B7C08" w:rsidP="00B65BF8">
      <w:pPr>
        <w:pStyle w:val="ListParagraph"/>
        <w:keepNext/>
        <w:keepLines/>
        <w:tabs>
          <w:tab w:val="left" w:pos="2026"/>
        </w:tabs>
        <w:ind w:left="0"/>
        <w:jc w:val="left"/>
        <w:rPr>
          <w:noProof/>
          <w:sz w:val="24"/>
          <w:szCs w:val="24"/>
        </w:rPr>
      </w:pPr>
    </w:p>
    <w:p w14:paraId="5D26B204" w14:textId="49C088F4" w:rsidR="00C37DE1" w:rsidRDefault="001B7C08" w:rsidP="00B65BF8">
      <w:pPr>
        <w:pStyle w:val="ListParagraph"/>
        <w:keepNext/>
        <w:keepLines/>
        <w:tabs>
          <w:tab w:val="left" w:pos="2026"/>
        </w:tabs>
        <w:ind w:left="0"/>
        <w:rPr>
          <w:noProof/>
          <w:sz w:val="24"/>
          <w:szCs w:val="24"/>
        </w:rPr>
      </w:pPr>
      <w:r>
        <w:rPr>
          <w:sz w:val="24"/>
        </w:rPr>
        <w:t>44. Robežu noteikšanas problēmas, proti, sadrumstalotas atbildības jomas, kas pārklājas, ir bieža problēma starpvaldību attiecībās, jo īpaši valstīs, kurās ir vairāki valdības līmeņi. Protams, vienmēr ir vēlams pareizi nošķirt atbildības jomas un skaidri piešķirt politikas funkcijas. Lai sasniegtu šo mērķi, ir jāsaskata dažas galvenās pazīmes, kas liecina par piešķiršanas problēmām, un jāievēro dažas atbilstošās vadlīnijas. Šīs vadlīnijas izstrādātas Alēnas-Diprē (2018</w:t>
      </w:r>
      <w:r>
        <w:rPr>
          <w:sz w:val="24"/>
          <w:vertAlign w:val="superscript"/>
        </w:rPr>
        <w:t>[57]</w:t>
      </w:r>
      <w:r>
        <w:rPr>
          <w:sz w:val="24"/>
        </w:rPr>
        <w:t>) darbā un apkopotas 4. ierāmējumā.</w:t>
      </w:r>
    </w:p>
    <w:p w14:paraId="7F480B24" w14:textId="77777777" w:rsidR="00FE37DE" w:rsidRPr="00074D4C" w:rsidRDefault="00FE37DE" w:rsidP="001B7C08">
      <w:pPr>
        <w:pStyle w:val="ListParagraph"/>
        <w:tabs>
          <w:tab w:val="left" w:pos="2026"/>
        </w:tabs>
        <w:ind w:left="0"/>
        <w:rPr>
          <w:noProof/>
          <w:sz w:val="24"/>
          <w:szCs w:val="24"/>
        </w:rPr>
      </w:pPr>
    </w:p>
    <w:p w14:paraId="07245290" w14:textId="77777777" w:rsidR="00C37DE1" w:rsidRDefault="00C37DE1" w:rsidP="00C85C26">
      <w:pPr>
        <w:pStyle w:val="BodyText"/>
        <w:rPr>
          <w:noProof/>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291"/>
      </w:tblGrid>
      <w:tr w:rsidR="001B7C08" w14:paraId="5DE0FA8C" w14:textId="77777777" w:rsidTr="003C741A">
        <w:tc>
          <w:tcPr>
            <w:tcW w:w="9291" w:type="dxa"/>
            <w:shd w:val="clear" w:color="auto" w:fill="F2F2F2" w:themeFill="background1" w:themeFillShade="F2"/>
          </w:tcPr>
          <w:p w14:paraId="6DF8D327" w14:textId="77777777" w:rsidR="001B7C08" w:rsidRDefault="001B7C08" w:rsidP="001B7C08">
            <w:pPr>
              <w:ind w:left="57" w:right="57" w:hanging="3572"/>
              <w:rPr>
                <w:b/>
                <w:noProof/>
                <w:sz w:val="24"/>
                <w:szCs w:val="24"/>
              </w:rPr>
            </w:pPr>
          </w:p>
          <w:p w14:paraId="18C0BC13" w14:textId="2EFB17A6" w:rsidR="001B7C08" w:rsidRPr="001970BD" w:rsidRDefault="001B7C08" w:rsidP="001970BD">
            <w:pPr>
              <w:pStyle w:val="Heading3"/>
              <w:jc w:val="center"/>
              <w:rPr>
                <w:i w:val="0"/>
                <w:iCs w:val="0"/>
                <w:sz w:val="24"/>
                <w:szCs w:val="24"/>
              </w:rPr>
            </w:pPr>
            <w:bookmarkStart w:id="87" w:name="_Toc211859572"/>
            <w:r w:rsidRPr="001970BD">
              <w:rPr>
                <w:i w:val="0"/>
                <w:iCs w:val="0"/>
                <w:sz w:val="24"/>
                <w:szCs w:val="24"/>
              </w:rPr>
              <w:t>4. ierāmējums. Desmit vadlīnijas pienākumu efektīvai piešķiršanai, lai veiktu decentralizācijas darbu</w:t>
            </w:r>
            <w:bookmarkEnd w:id="87"/>
          </w:p>
          <w:p w14:paraId="22A3D13B" w14:textId="77777777" w:rsidR="00615D16" w:rsidRDefault="00615D16" w:rsidP="001B7C08">
            <w:pPr>
              <w:ind w:left="142" w:right="57" w:hanging="31"/>
              <w:rPr>
                <w:noProof/>
                <w:sz w:val="24"/>
                <w:szCs w:val="24"/>
              </w:rPr>
            </w:pPr>
          </w:p>
          <w:p w14:paraId="354CB42D" w14:textId="2758E7C8" w:rsidR="001B7C08" w:rsidRDefault="001B7C08" w:rsidP="001B7C08">
            <w:pPr>
              <w:ind w:left="142" w:right="57" w:hanging="31"/>
              <w:rPr>
                <w:noProof/>
                <w:sz w:val="24"/>
                <w:szCs w:val="24"/>
              </w:rPr>
            </w:pPr>
            <w:r>
              <w:rPr>
                <w:sz w:val="24"/>
              </w:rPr>
              <w:t>Tika noteikti desmit pamatprincipi, kas piemērojami visu veidu valstīm. Tie ir minēti turpmāk.</w:t>
            </w:r>
          </w:p>
          <w:p w14:paraId="689937B1" w14:textId="77777777" w:rsidR="00615D16" w:rsidRPr="001B7C08" w:rsidRDefault="00615D16" w:rsidP="001B7C08">
            <w:pPr>
              <w:ind w:left="142" w:right="57" w:hanging="31"/>
              <w:rPr>
                <w:b/>
                <w:noProof/>
                <w:sz w:val="24"/>
                <w:szCs w:val="24"/>
              </w:rPr>
            </w:pPr>
          </w:p>
          <w:p w14:paraId="5AA8FDAF" w14:textId="6CE36FD9" w:rsidR="001B7C08" w:rsidRDefault="00615D16" w:rsidP="00615D16">
            <w:pPr>
              <w:pStyle w:val="ListParagraph"/>
              <w:tabs>
                <w:tab w:val="left" w:pos="2097"/>
              </w:tabs>
              <w:ind w:left="284" w:right="57"/>
              <w:jc w:val="left"/>
              <w:rPr>
                <w:noProof/>
                <w:sz w:val="24"/>
                <w:szCs w:val="24"/>
              </w:rPr>
            </w:pPr>
            <w:r>
              <w:rPr>
                <w:sz w:val="24"/>
              </w:rPr>
              <w:t>1. Precizēt politikas jomas, kas piešķirtas dažādiem valdības līmeņiem, lai izvairītos no dublēšanās, resursu izšķērdēšanas un nezaudētu pārskatatbildību.</w:t>
            </w:r>
          </w:p>
          <w:p w14:paraId="4AC230BD" w14:textId="77777777" w:rsidR="00615D16" w:rsidRPr="00074D4C" w:rsidRDefault="00615D16" w:rsidP="00615D16">
            <w:pPr>
              <w:pStyle w:val="ListParagraph"/>
              <w:tabs>
                <w:tab w:val="left" w:pos="2097"/>
              </w:tabs>
              <w:ind w:left="284" w:right="57"/>
              <w:rPr>
                <w:noProof/>
                <w:sz w:val="24"/>
                <w:szCs w:val="24"/>
              </w:rPr>
            </w:pPr>
          </w:p>
          <w:p w14:paraId="20190C86" w14:textId="1E680F9D" w:rsidR="001B7C08" w:rsidRDefault="00615D16" w:rsidP="00615D16">
            <w:pPr>
              <w:pStyle w:val="ListParagraph"/>
              <w:tabs>
                <w:tab w:val="left" w:pos="2097"/>
              </w:tabs>
              <w:ind w:left="284" w:right="57"/>
              <w:jc w:val="left"/>
              <w:rPr>
                <w:noProof/>
                <w:sz w:val="24"/>
                <w:szCs w:val="24"/>
              </w:rPr>
            </w:pPr>
            <w:r>
              <w:rPr>
                <w:sz w:val="24"/>
              </w:rPr>
              <w:t>2. Precizēt, kādas funkcijas ir piešķirtas dažādiem valdības līmeņiem, piemēram, finansēšana, regulēšana, stratēģiskā plānošana, īstenošana vai uzraudzība.</w:t>
            </w:r>
          </w:p>
          <w:p w14:paraId="22FE9369" w14:textId="77777777" w:rsidR="00615D16" w:rsidRPr="00074D4C" w:rsidRDefault="00615D16" w:rsidP="00615D16">
            <w:pPr>
              <w:pStyle w:val="ListParagraph"/>
              <w:tabs>
                <w:tab w:val="left" w:pos="2097"/>
              </w:tabs>
              <w:ind w:left="284" w:right="57"/>
              <w:rPr>
                <w:noProof/>
                <w:sz w:val="24"/>
                <w:szCs w:val="24"/>
              </w:rPr>
            </w:pPr>
          </w:p>
          <w:p w14:paraId="7C02445F" w14:textId="572FCEBF" w:rsidR="001B7C08" w:rsidRDefault="00615D16" w:rsidP="00615D16">
            <w:pPr>
              <w:pStyle w:val="ListParagraph"/>
              <w:tabs>
                <w:tab w:val="left" w:pos="2097"/>
              </w:tabs>
              <w:ind w:left="284" w:right="57"/>
              <w:jc w:val="left"/>
              <w:rPr>
                <w:noProof/>
                <w:sz w:val="24"/>
                <w:szCs w:val="24"/>
              </w:rPr>
            </w:pPr>
            <w:r>
              <w:rPr>
                <w:sz w:val="24"/>
              </w:rPr>
              <w:t>3. Nodrošināt līdzsvaru atbilstoši tam, kā ir decentralizētas dažādas politikas jomas un funkcijas. Tas nodrošina papildināmību un integrētas politikas paketes teritoriālajai attīstībai.</w:t>
            </w:r>
          </w:p>
          <w:p w14:paraId="04A29F00" w14:textId="77777777" w:rsidR="00615D16" w:rsidRPr="00074D4C" w:rsidRDefault="00615D16" w:rsidP="00615D16">
            <w:pPr>
              <w:pStyle w:val="ListParagraph"/>
              <w:tabs>
                <w:tab w:val="left" w:pos="2097"/>
              </w:tabs>
              <w:ind w:left="284" w:right="57"/>
              <w:rPr>
                <w:noProof/>
                <w:sz w:val="24"/>
                <w:szCs w:val="24"/>
              </w:rPr>
            </w:pPr>
          </w:p>
          <w:p w14:paraId="7E05EC97" w14:textId="2336E15F" w:rsidR="001B7C08" w:rsidRDefault="00615D16" w:rsidP="00615D16">
            <w:pPr>
              <w:pStyle w:val="ListParagraph"/>
              <w:tabs>
                <w:tab w:val="left" w:pos="2097"/>
              </w:tabs>
              <w:ind w:left="284" w:right="57"/>
              <w:jc w:val="left"/>
              <w:rPr>
                <w:noProof/>
                <w:sz w:val="24"/>
                <w:szCs w:val="24"/>
              </w:rPr>
            </w:pPr>
            <w:r>
              <w:rPr>
                <w:sz w:val="24"/>
              </w:rPr>
              <w:t>4. Salāgot atbildību un ieņēmumus, vienlaikus veicināt pašvaldību spēju vadīt pašu resursus.</w:t>
            </w:r>
          </w:p>
          <w:p w14:paraId="1A16A554" w14:textId="77777777" w:rsidR="00615D16" w:rsidRPr="00074D4C" w:rsidRDefault="00615D16" w:rsidP="00615D16">
            <w:pPr>
              <w:pStyle w:val="ListParagraph"/>
              <w:tabs>
                <w:tab w:val="left" w:pos="2097"/>
              </w:tabs>
              <w:ind w:left="284" w:right="57"/>
              <w:rPr>
                <w:noProof/>
                <w:sz w:val="24"/>
                <w:szCs w:val="24"/>
              </w:rPr>
            </w:pPr>
          </w:p>
          <w:p w14:paraId="44525544" w14:textId="6F06913C" w:rsidR="001B7C08" w:rsidRDefault="00615D16" w:rsidP="00615D16">
            <w:pPr>
              <w:pStyle w:val="ListParagraph"/>
              <w:tabs>
                <w:tab w:val="left" w:pos="2097"/>
              </w:tabs>
              <w:ind w:left="284" w:right="57"/>
              <w:jc w:val="left"/>
              <w:rPr>
                <w:noProof/>
                <w:sz w:val="24"/>
                <w:szCs w:val="24"/>
              </w:rPr>
            </w:pPr>
            <w:r>
              <w:rPr>
                <w:sz w:val="24"/>
              </w:rPr>
              <w:t>5. Aktīvi atbalstīt pašvaldību spēju palielināšanu. Atbildības jomu palielināšana pašvaldību līmenī jāpapildina ar cilvēkresursiem, kas tās vadīs.</w:t>
            </w:r>
          </w:p>
          <w:p w14:paraId="45BBBDC4" w14:textId="77777777" w:rsidR="00615D16" w:rsidRPr="00074D4C" w:rsidRDefault="00615D16" w:rsidP="00615D16">
            <w:pPr>
              <w:pStyle w:val="ListParagraph"/>
              <w:tabs>
                <w:tab w:val="left" w:pos="2097"/>
              </w:tabs>
              <w:ind w:left="284" w:right="57"/>
              <w:rPr>
                <w:noProof/>
                <w:sz w:val="24"/>
                <w:szCs w:val="24"/>
              </w:rPr>
            </w:pPr>
          </w:p>
          <w:p w14:paraId="259DE7A6" w14:textId="6EF1082E" w:rsidR="001B7C08" w:rsidRDefault="00615D16" w:rsidP="00615D16">
            <w:pPr>
              <w:pStyle w:val="ListParagraph"/>
              <w:tabs>
                <w:tab w:val="left" w:pos="2097"/>
              </w:tabs>
              <w:ind w:left="284" w:right="57"/>
              <w:jc w:val="left"/>
              <w:rPr>
                <w:noProof/>
                <w:sz w:val="24"/>
                <w:szCs w:val="24"/>
              </w:rPr>
            </w:pPr>
            <w:r>
              <w:rPr>
                <w:sz w:val="24"/>
              </w:rPr>
              <w:t>6. Veidot atbilstošus koordinācijas mehānismus visos valdības līmeņos, lai vadītu dalītu atbildību.</w:t>
            </w:r>
          </w:p>
          <w:p w14:paraId="694766B0" w14:textId="77777777" w:rsidR="00615D16" w:rsidRPr="00074D4C" w:rsidRDefault="00615D16" w:rsidP="00615D16">
            <w:pPr>
              <w:pStyle w:val="ListParagraph"/>
              <w:tabs>
                <w:tab w:val="left" w:pos="2097"/>
              </w:tabs>
              <w:ind w:left="284" w:right="57"/>
              <w:rPr>
                <w:noProof/>
                <w:sz w:val="24"/>
                <w:szCs w:val="24"/>
              </w:rPr>
            </w:pPr>
          </w:p>
          <w:p w14:paraId="35CC8BE5" w14:textId="07F862F5" w:rsidR="001B7C08" w:rsidRDefault="00615D16" w:rsidP="00615D16">
            <w:pPr>
              <w:pStyle w:val="ListParagraph"/>
              <w:tabs>
                <w:tab w:val="left" w:pos="2097"/>
              </w:tabs>
              <w:ind w:left="284" w:right="57"/>
              <w:jc w:val="left"/>
              <w:rPr>
                <w:noProof/>
                <w:sz w:val="24"/>
                <w:szCs w:val="24"/>
              </w:rPr>
            </w:pPr>
            <w:r>
              <w:rPr>
                <w:sz w:val="24"/>
              </w:rPr>
              <w:t>7. Atbalstīt jurisdikciju savstarpējo sadarbību ar īpašiem organizatoriskiem pasākumiem vai finanšu stimuliem, lai veicinātu efektivitāti ar apjomradītiem ietaupījumiem.</w:t>
            </w:r>
          </w:p>
          <w:p w14:paraId="5133D854" w14:textId="77777777" w:rsidR="00615D16" w:rsidRPr="00074D4C" w:rsidRDefault="00615D16" w:rsidP="00615D16">
            <w:pPr>
              <w:pStyle w:val="ListParagraph"/>
              <w:tabs>
                <w:tab w:val="left" w:pos="2097"/>
              </w:tabs>
              <w:ind w:left="284" w:right="57"/>
              <w:rPr>
                <w:noProof/>
                <w:sz w:val="24"/>
                <w:szCs w:val="24"/>
              </w:rPr>
            </w:pPr>
          </w:p>
          <w:p w14:paraId="031F99B3" w14:textId="080E71E1" w:rsidR="001B7C08" w:rsidRDefault="00615D16" w:rsidP="00615D16">
            <w:pPr>
              <w:pStyle w:val="ListParagraph"/>
              <w:tabs>
                <w:tab w:val="left" w:pos="2097"/>
              </w:tabs>
              <w:ind w:left="284" w:right="57"/>
              <w:jc w:val="left"/>
              <w:rPr>
                <w:noProof/>
                <w:sz w:val="24"/>
                <w:szCs w:val="24"/>
              </w:rPr>
            </w:pPr>
            <w:r>
              <w:rPr>
                <w:sz w:val="24"/>
              </w:rPr>
              <w:t>8. Ļaut asimetriskus pasākumus un eksperimentālas pieredzes, lai nodrošinātu elastīgu īstenošanu.</w:t>
            </w:r>
          </w:p>
          <w:p w14:paraId="6DB6B3DA" w14:textId="77777777" w:rsidR="00615D16" w:rsidRPr="00074D4C" w:rsidRDefault="00615D16" w:rsidP="00615D16">
            <w:pPr>
              <w:pStyle w:val="ListParagraph"/>
              <w:tabs>
                <w:tab w:val="left" w:pos="2097"/>
              </w:tabs>
              <w:ind w:left="284" w:right="57"/>
              <w:rPr>
                <w:noProof/>
                <w:sz w:val="24"/>
                <w:szCs w:val="24"/>
              </w:rPr>
            </w:pPr>
          </w:p>
          <w:p w14:paraId="6E5822C5" w14:textId="75B97D1D" w:rsidR="001B7C08" w:rsidRDefault="00615D16" w:rsidP="00615D16">
            <w:pPr>
              <w:pStyle w:val="ListParagraph"/>
              <w:tabs>
                <w:tab w:val="left" w:pos="2097"/>
              </w:tabs>
              <w:ind w:left="284" w:right="57"/>
              <w:jc w:val="left"/>
              <w:rPr>
                <w:noProof/>
                <w:sz w:val="24"/>
                <w:szCs w:val="24"/>
              </w:rPr>
            </w:pPr>
            <w:r>
              <w:rPr>
                <w:sz w:val="24"/>
              </w:rPr>
              <w:t>9. Lai decentralizācija būtu efektīva, ir nepieciešamas papildinošas reformas zemes izmantošanas pārvaldībā, iedzīvotāju līdzdalībā un sabiedrisko pakalpojumu sniegšanā.</w:t>
            </w:r>
          </w:p>
          <w:p w14:paraId="76450B01" w14:textId="77777777" w:rsidR="00615D16" w:rsidRPr="00074D4C" w:rsidRDefault="00615D16" w:rsidP="00615D16">
            <w:pPr>
              <w:pStyle w:val="ListParagraph"/>
              <w:tabs>
                <w:tab w:val="left" w:pos="2097"/>
              </w:tabs>
              <w:ind w:left="284" w:right="57"/>
              <w:rPr>
                <w:noProof/>
                <w:sz w:val="24"/>
                <w:szCs w:val="24"/>
              </w:rPr>
            </w:pPr>
          </w:p>
          <w:p w14:paraId="463AC8FE" w14:textId="082B5621" w:rsidR="001B7C08" w:rsidRDefault="00615D16" w:rsidP="00615D16">
            <w:pPr>
              <w:pStyle w:val="ListParagraph"/>
              <w:tabs>
                <w:tab w:val="left" w:pos="2097"/>
              </w:tabs>
              <w:ind w:left="284" w:right="57"/>
              <w:jc w:val="left"/>
              <w:rPr>
                <w:noProof/>
                <w:sz w:val="24"/>
                <w:szCs w:val="24"/>
              </w:rPr>
            </w:pPr>
            <w:r>
              <w:rPr>
                <w:sz w:val="24"/>
              </w:rPr>
              <w:t>10. Veicināt datu vākšanu un stiprināt darbības rezultātu uzraudzību, lai nodrošinātu noderīgus datus lēmumu pieņemšanai un mācītos no līdziniekiem.</w:t>
            </w:r>
          </w:p>
          <w:p w14:paraId="17F480D7" w14:textId="77777777" w:rsidR="00615D16" w:rsidRPr="00074D4C" w:rsidRDefault="00615D16" w:rsidP="00615D16">
            <w:pPr>
              <w:pStyle w:val="ListParagraph"/>
              <w:tabs>
                <w:tab w:val="left" w:pos="2097"/>
              </w:tabs>
              <w:ind w:left="57" w:right="57"/>
              <w:rPr>
                <w:noProof/>
                <w:sz w:val="24"/>
                <w:szCs w:val="24"/>
              </w:rPr>
            </w:pPr>
          </w:p>
          <w:p w14:paraId="583D988E" w14:textId="77777777" w:rsidR="001B7C08" w:rsidRPr="00074D4C" w:rsidRDefault="001B7C08" w:rsidP="001B7C08">
            <w:pPr>
              <w:ind w:left="57" w:right="57"/>
              <w:jc w:val="both"/>
              <w:rPr>
                <w:noProof/>
                <w:sz w:val="24"/>
                <w:szCs w:val="24"/>
              </w:rPr>
            </w:pPr>
            <w:r>
              <w:rPr>
                <w:i/>
                <w:iCs/>
                <w:sz w:val="24"/>
              </w:rPr>
              <w:t>Avots</w:t>
            </w:r>
            <w:r>
              <w:rPr>
                <w:sz w:val="24"/>
              </w:rPr>
              <w:t>: OECD (2019</w:t>
            </w:r>
            <w:r>
              <w:rPr>
                <w:sz w:val="24"/>
                <w:vertAlign w:val="superscript"/>
              </w:rPr>
              <w:t>[13]</w:t>
            </w:r>
            <w:r>
              <w:rPr>
                <w:sz w:val="24"/>
              </w:rPr>
              <w:t>).</w:t>
            </w:r>
          </w:p>
          <w:p w14:paraId="7D45126E" w14:textId="77777777" w:rsidR="001B7C08" w:rsidRDefault="001B7C08" w:rsidP="001B7C08">
            <w:pPr>
              <w:pStyle w:val="BodyText"/>
              <w:ind w:left="57" w:right="57"/>
              <w:rPr>
                <w:noProof/>
                <w:sz w:val="24"/>
                <w:szCs w:val="24"/>
              </w:rPr>
            </w:pPr>
          </w:p>
        </w:tc>
      </w:tr>
    </w:tbl>
    <w:p w14:paraId="5077DC9C" w14:textId="77777777" w:rsidR="001B7C08" w:rsidRPr="00074D4C" w:rsidRDefault="001B7C08" w:rsidP="00C85C26">
      <w:pPr>
        <w:pStyle w:val="BodyText"/>
        <w:rPr>
          <w:noProof/>
          <w:sz w:val="24"/>
          <w:szCs w:val="24"/>
        </w:rPr>
      </w:pPr>
    </w:p>
    <w:p w14:paraId="28A7E2CB" w14:textId="072A31EA" w:rsidR="00C37DE1" w:rsidRPr="00074D4C" w:rsidRDefault="00615D16" w:rsidP="003C741A">
      <w:pPr>
        <w:pStyle w:val="ListParagraph"/>
        <w:tabs>
          <w:tab w:val="left" w:pos="2025"/>
        </w:tabs>
        <w:ind w:left="0"/>
        <w:rPr>
          <w:noProof/>
          <w:sz w:val="24"/>
          <w:szCs w:val="24"/>
        </w:rPr>
      </w:pPr>
      <w:r>
        <w:rPr>
          <w:sz w:val="24"/>
        </w:rPr>
        <w:t>45. Daudzas no piešķiršanas vadlīnijām (4. ierāmējums) attiecas uz pamatprincipu, ka izdevumi pašvaldību līmenī jāsedz no pašu pašvaldību nodokļiem un ar izlīdzināšanu jākompensē strukturālā nevienlīdzība, nevis tas, ka netiek izmantota vietējā nodokļa bāze. Līdzīga ir doma, ka sabiedrisko pakalpojumu saņēmējiem un nodokļu maksātājiem, kas sedz šos pakalpojumus, jāatrodas vienā reģionā. Piemēram, ja pasažieri, kas dzīvo ārpus pilsētas robežām, izmanto sabiedriskā tranzīta sistēmu pilsētā, kurā strādā, jāizveido reģionāla sabiedriskā tranzīta sistēma, lai aptvertu visu teritoriju. Tas mazina ārējus faktorus un palīdz noteikt optimālu teritorijas lielumu administratīvajam reģionam.</w:t>
      </w:r>
    </w:p>
    <w:p w14:paraId="1A871685" w14:textId="77777777" w:rsidR="00C37DE1" w:rsidRDefault="00C37DE1" w:rsidP="00C85C26">
      <w:pPr>
        <w:pStyle w:val="BodyText"/>
        <w:rPr>
          <w:noProof/>
          <w:sz w:val="24"/>
          <w:szCs w:val="24"/>
        </w:rPr>
      </w:pPr>
    </w:p>
    <w:p w14:paraId="671ED9F3" w14:textId="77777777" w:rsidR="00D135F0" w:rsidRPr="00074D4C" w:rsidRDefault="00D135F0" w:rsidP="00C85C26">
      <w:pPr>
        <w:pStyle w:val="BodyText"/>
        <w:rPr>
          <w:noProof/>
          <w:sz w:val="24"/>
          <w:szCs w:val="24"/>
        </w:rPr>
      </w:pPr>
    </w:p>
    <w:p w14:paraId="4B77ADF4" w14:textId="1EDA7443" w:rsidR="00C37DE1" w:rsidRDefault="00615D16" w:rsidP="00615D16">
      <w:pPr>
        <w:pStyle w:val="Heading5"/>
        <w:tabs>
          <w:tab w:val="left" w:pos="1903"/>
        </w:tabs>
        <w:ind w:left="0" w:firstLine="0"/>
        <w:jc w:val="left"/>
        <w:rPr>
          <w:noProof/>
          <w:sz w:val="28"/>
          <w:szCs w:val="28"/>
        </w:rPr>
      </w:pPr>
      <w:bookmarkStart w:id="88" w:name="4.1.__Signs_of_delineation_problems"/>
      <w:bookmarkStart w:id="89" w:name="_bookmark26"/>
      <w:bookmarkStart w:id="90" w:name="_Toc211859113"/>
      <w:bookmarkEnd w:id="88"/>
      <w:bookmarkEnd w:id="89"/>
      <w:r>
        <w:rPr>
          <w:sz w:val="28"/>
        </w:rPr>
        <w:t>4.1. Zīmes, kas liecina par robežu noteikšanas problēmām</w:t>
      </w:r>
      <w:bookmarkEnd w:id="90"/>
    </w:p>
    <w:p w14:paraId="4E07E237" w14:textId="77777777" w:rsidR="003C741A" w:rsidRPr="00615D16" w:rsidRDefault="003C741A" w:rsidP="00615D16">
      <w:pPr>
        <w:pStyle w:val="Heading5"/>
        <w:tabs>
          <w:tab w:val="left" w:pos="1903"/>
        </w:tabs>
        <w:ind w:left="0" w:firstLine="0"/>
        <w:rPr>
          <w:noProof/>
          <w:sz w:val="28"/>
          <w:szCs w:val="28"/>
        </w:rPr>
      </w:pPr>
    </w:p>
    <w:p w14:paraId="495947FA" w14:textId="0C3D55C2" w:rsidR="00C37DE1" w:rsidRPr="00074D4C" w:rsidRDefault="003C741A" w:rsidP="003C741A">
      <w:pPr>
        <w:pStyle w:val="ListParagraph"/>
        <w:tabs>
          <w:tab w:val="left" w:pos="2025"/>
        </w:tabs>
        <w:ind w:left="0"/>
        <w:rPr>
          <w:noProof/>
          <w:sz w:val="24"/>
          <w:szCs w:val="24"/>
        </w:rPr>
      </w:pPr>
      <w:r>
        <w:rPr>
          <w:sz w:val="24"/>
        </w:rPr>
        <w:t>46. No 30 </w:t>
      </w:r>
      <w:r>
        <w:rPr>
          <w:i/>
          <w:iCs/>
          <w:sz w:val="24"/>
        </w:rPr>
        <w:t>OECD</w:t>
      </w:r>
      <w:r>
        <w:rPr>
          <w:sz w:val="24"/>
        </w:rPr>
        <w:t xml:space="preserve"> valstu izlases pašvaldību izdevumi bija vidēji 48 % no publiskā sektora izdevumiem federālajās valstīs un 26 % – unitārajās valstīs, un kopumā izdevumu diapazons bija no vairāk par 50 % Kanādā, Dānijā un Šveicē līdz mazāk par 10 % Īrijā un Grieķijā. Tomēr tas neko daudz nepasaka par attiecīgo pašvaldību izdevumu faktisko autonomiju, jo izdevumu autonomija parasti ir ierobežotāka, nekā par to varētu liecināt izdevumu īpatsvars. Realitātē centrālās valdības var izvēlēties deleģēt noteiktus izdevumus pašvaldībām, tomēr joprojām ir būtiski kontrolēt pakalpojuma sniegšanu (Dougherty and Phillips, 2019</w:t>
      </w:r>
      <w:r>
        <w:rPr>
          <w:sz w:val="24"/>
          <w:vertAlign w:val="superscript"/>
        </w:rPr>
        <w:t>[6]</w:t>
      </w:r>
      <w:r>
        <w:rPr>
          <w:sz w:val="24"/>
        </w:rPr>
        <w:t>).</w:t>
      </w:r>
    </w:p>
    <w:p w14:paraId="799EE62A" w14:textId="77777777" w:rsidR="003C741A" w:rsidRDefault="003C741A" w:rsidP="003C741A">
      <w:pPr>
        <w:pStyle w:val="ListParagraph"/>
        <w:tabs>
          <w:tab w:val="left" w:pos="2025"/>
        </w:tabs>
        <w:ind w:left="0"/>
        <w:rPr>
          <w:noProof/>
          <w:sz w:val="24"/>
          <w:szCs w:val="24"/>
        </w:rPr>
      </w:pPr>
    </w:p>
    <w:p w14:paraId="012B0F9A" w14:textId="14CA89B6" w:rsidR="00C37DE1" w:rsidRPr="00074D4C" w:rsidRDefault="003C741A" w:rsidP="003C741A">
      <w:pPr>
        <w:pStyle w:val="ListParagraph"/>
        <w:tabs>
          <w:tab w:val="left" w:pos="2025"/>
        </w:tabs>
        <w:ind w:left="0"/>
        <w:rPr>
          <w:noProof/>
          <w:sz w:val="24"/>
          <w:szCs w:val="24"/>
        </w:rPr>
      </w:pPr>
      <w:r>
        <w:rPr>
          <w:sz w:val="24"/>
        </w:rPr>
        <w:t>47. Atšķirību starp pašvaldību izdevumu novēroto īpatsvaru un pašvaldību izdevumu faktisko autonomiju Tīkls aplūkoja savā iepriekšējā darbā (OECD/KIPF, 2016</w:t>
      </w:r>
      <w:r>
        <w:rPr>
          <w:sz w:val="24"/>
          <w:vertAlign w:val="superscript"/>
        </w:rPr>
        <w:t>[2]</w:t>
      </w:r>
      <w:r>
        <w:rPr>
          <w:sz w:val="24"/>
        </w:rPr>
        <w:t>; Dougherty and Phillips, 2019</w:t>
      </w:r>
      <w:r>
        <w:rPr>
          <w:sz w:val="24"/>
          <w:vertAlign w:val="superscript"/>
        </w:rPr>
        <w:t>[6]</w:t>
      </w:r>
      <w:r>
        <w:rPr>
          <w:sz w:val="24"/>
        </w:rPr>
        <w:t>). Izvērtējot izdevumu īpatsvara nesaskaņotību ar izdevumu autonomijas vērtējumu skalā, var gūt ieskatu par robežu noteikšanas problēmu apmēru. Piemēram, ja ir augsts izdevumu īpatsvars un zems izdevumu autonomijas vērtējums, tas var liecināt par to, ka pašvaldība darbojas tikai kā aģentūra, kurai uzdots īstenot centrālās valdības politiku. Tas var pārmērīgi ierobežot pašvaldības spēju apmierināt savu vēlētāju vajadzības, mazinot decentralizācijas pamatmērķi. Izdevumu īpatsvars, kas rada nepatiesu priekšstatu par izdevumu autonomiju, jo īpaši tika atzīmēts attiecībā uz Ziemeļvalstīm. Dānijas “brīvas pašvaldības iniciatīva” ir izstrādāta, lai pārvarētu šo problēmu, dodot pašvaldībām lielāku elastību strukturēt pakalpojumus, par kuriem tās maksā (Allain-Dupré, 2018</w:t>
      </w:r>
      <w:r>
        <w:rPr>
          <w:sz w:val="24"/>
          <w:vertAlign w:val="superscript"/>
        </w:rPr>
        <w:t>[57]</w:t>
      </w:r>
      <w:r>
        <w:rPr>
          <w:sz w:val="24"/>
        </w:rPr>
        <w:t xml:space="preserve">). Vienlaikus izdevumu autonomija, kas pārsniedz izdevumu īpatsvaru, varētu liecināt par augstāku līdzfinansēšanas līmeni. Nesenajā darbā par fiskālo uzbūvi tika apspriesti riski saistībā ar šādu nesaskaņotību, jo pašvaldības var izvairīties no pienācīgas pašu ieņēmumu nodrošināšanas un tā vietā paļauties uz centrālo valdību (piemēram, netieša glābšana galvojuma veidā) (OECD, 2016; Herold, 2018). </w:t>
      </w:r>
      <w:r>
        <w:rPr>
          <w:i/>
          <w:iCs/>
          <w:sz w:val="24"/>
        </w:rPr>
        <w:t>OECD</w:t>
      </w:r>
      <w:r>
        <w:rPr>
          <w:sz w:val="24"/>
        </w:rPr>
        <w:t xml:space="preserve"> pētījumā ir norādīts arī tas, ka spēcīga, redzama saikne starp ieņēmumiem un izdevumiem ir svarīga nodokļu morālei (Daude, Gutiérrez and Melguizo, 2013</w:t>
      </w:r>
      <w:r>
        <w:rPr>
          <w:sz w:val="24"/>
          <w:vertAlign w:val="superscript"/>
        </w:rPr>
        <w:t>[58]</w:t>
      </w:r>
      <w:r>
        <w:rPr>
          <w:sz w:val="24"/>
        </w:rPr>
        <w:t>). Ja daudzlīmeņu finansēšanas noteikumi šādu saikni padara neskaidru, tie var kļūt par cēloni bažām.</w:t>
      </w:r>
    </w:p>
    <w:p w14:paraId="7867E349" w14:textId="77777777" w:rsidR="003C741A" w:rsidRDefault="003C741A" w:rsidP="003C741A">
      <w:pPr>
        <w:pStyle w:val="ListParagraph"/>
        <w:tabs>
          <w:tab w:val="left" w:pos="2026"/>
        </w:tabs>
        <w:ind w:left="0"/>
        <w:jc w:val="left"/>
        <w:rPr>
          <w:noProof/>
          <w:sz w:val="24"/>
          <w:szCs w:val="24"/>
        </w:rPr>
      </w:pPr>
    </w:p>
    <w:p w14:paraId="6C0228E3" w14:textId="2EC28ECC" w:rsidR="00C37DE1" w:rsidRPr="00074D4C" w:rsidRDefault="003C741A" w:rsidP="003C741A">
      <w:pPr>
        <w:pStyle w:val="ListParagraph"/>
        <w:tabs>
          <w:tab w:val="left" w:pos="2026"/>
        </w:tabs>
        <w:ind w:left="0"/>
        <w:rPr>
          <w:noProof/>
          <w:sz w:val="24"/>
          <w:szCs w:val="24"/>
        </w:rPr>
      </w:pPr>
      <w:r>
        <w:rPr>
          <w:sz w:val="24"/>
        </w:rPr>
        <w:t>48. Pat ja nav datu par atšķirību starp izdevumu īpatsvaru un izdevumu autonomiju, kvalitatīvi pierādījumi par sadrumstalotību var liecināt par robežu noteikšanas problēmu. Viens no rādītājiem, kas liecina par robežu noteikšanas problēmām, ir tas, ka administratīvās robežas nesakrīt ar dabisko ģeogrāfisko tvērumu, kurā tiek sniegts konkrētais pakalpojums, piemēram, pārvadājumi vai ūdens apsaimniekošana. Pārdalot sabiedriskās funkcijas un uzņemoties reģionu koordinēšanu, var panākt labāku saskaņotību. Piemēram, pašvaldību apvienības var sanākt kopā, uzņemoties lielāku atbildību par apvienotajām administrācijām. Vairākās valstīs tika izveidots jauns starpposma (reģionāls) līmenis, lai pārņemtu atbildību par augstāko izglītību, specializēto veselības aprūpi, transporta infrastruktūru un ekonomikas lietām (OECD, 2019</w:t>
      </w:r>
      <w:r>
        <w:rPr>
          <w:sz w:val="24"/>
          <w:vertAlign w:val="superscript"/>
        </w:rPr>
        <w:t>[13]</w:t>
      </w:r>
      <w:r>
        <w:rPr>
          <w:sz w:val="24"/>
        </w:rPr>
        <w:t>).</w:t>
      </w:r>
    </w:p>
    <w:p w14:paraId="5DF95FC4" w14:textId="77777777" w:rsidR="003C741A" w:rsidRPr="00D135F0" w:rsidRDefault="003C741A" w:rsidP="003C741A">
      <w:pPr>
        <w:pStyle w:val="Heading5"/>
        <w:tabs>
          <w:tab w:val="left" w:pos="1903"/>
        </w:tabs>
        <w:ind w:left="0" w:firstLine="0"/>
        <w:jc w:val="left"/>
        <w:rPr>
          <w:noProof/>
        </w:rPr>
      </w:pPr>
      <w:bookmarkStart w:id="91" w:name="4.2.__Guidance_from_country_surveys"/>
      <w:bookmarkStart w:id="92" w:name="_bookmark27"/>
      <w:bookmarkEnd w:id="91"/>
      <w:bookmarkEnd w:id="92"/>
    </w:p>
    <w:p w14:paraId="29E7712C" w14:textId="5986E085" w:rsidR="00C37DE1" w:rsidRDefault="003C741A" w:rsidP="003C741A">
      <w:pPr>
        <w:pStyle w:val="Heading5"/>
        <w:tabs>
          <w:tab w:val="left" w:pos="1903"/>
        </w:tabs>
        <w:ind w:left="0" w:firstLine="0"/>
        <w:jc w:val="left"/>
        <w:rPr>
          <w:noProof/>
          <w:sz w:val="28"/>
          <w:szCs w:val="28"/>
        </w:rPr>
      </w:pPr>
      <w:bookmarkStart w:id="93" w:name="_Toc211859114"/>
      <w:r>
        <w:rPr>
          <w:sz w:val="28"/>
        </w:rPr>
        <w:t>4.2. Vadlīnijas, kas izriet no valstu apsekojumiem</w:t>
      </w:r>
      <w:bookmarkEnd w:id="93"/>
    </w:p>
    <w:p w14:paraId="23A1E87C" w14:textId="77777777" w:rsidR="003C741A" w:rsidRPr="003C741A" w:rsidRDefault="003C741A" w:rsidP="003C741A">
      <w:pPr>
        <w:pStyle w:val="Heading5"/>
        <w:tabs>
          <w:tab w:val="left" w:pos="1903"/>
        </w:tabs>
        <w:ind w:left="0" w:firstLine="0"/>
        <w:rPr>
          <w:noProof/>
          <w:sz w:val="28"/>
          <w:szCs w:val="28"/>
        </w:rPr>
      </w:pPr>
    </w:p>
    <w:p w14:paraId="1E7E4BB0" w14:textId="65BF8122" w:rsidR="00C37DE1" w:rsidRPr="00074D4C" w:rsidRDefault="00C37DE1" w:rsidP="00C85C26">
      <w:pPr>
        <w:pStyle w:val="BodyText"/>
        <w:jc w:val="both"/>
        <w:rPr>
          <w:noProof/>
          <w:sz w:val="24"/>
          <w:szCs w:val="24"/>
        </w:rPr>
      </w:pPr>
      <w:r>
        <w:rPr>
          <w:sz w:val="24"/>
        </w:rPr>
        <w:t>Sadrumstalotas atbildības jomas, kas pārklājas, ir bieža problēma starpvaldību attiecībās, jo īpaši valstīs, kurās ir vairāki valdības līmeņi vai daudz mazu pašvaldību. Sadrumstalotība var notikt divās dimensijās – vertikālajā un horizontālajā. Pirmajā gadījumā iejaucas vēsturiski un citi faktori, radot situācijas, kad dažādas politikas vai funkciju daļas ir sadalītas dažādos valdības līmeņos. Otrajā gadījumā daudzas mazas pašvaldības atbild par tiem pašiem sabiedriskajiem pakalpojumiem vai administratīvajām kompetencēm savās jurisdikcijās. Sadrumstalotas pakalpojumu sniegšanas un neiederīgas politikas dēļ tad rodas koordinēšanas kļūmes un netiek izmantoti apjomradīti ietaupījumi. Gan horizontālā, gan vertikālā sadrumstalotība var nopietni vājināt sabiedrisko pakalpojumu kvalitāti un veicināt neefektivitāti. Reaģējot uz vertikālo sadrumstalotību, ekonomikas apsekojumos bieži vien ir ieteikts konsolidēt atbildību par visu sabiedrisko pakalpojumu vienā valdības līmenī. Horizontālās sadrumstalotības gadījumā apsekojumos mēdz ieteikt vietējām pašvaldībām pastiprināt sadarbību vai apvienoties.</w:t>
      </w:r>
    </w:p>
    <w:p w14:paraId="6E2A721B" w14:textId="77777777" w:rsidR="00C37DE1" w:rsidRPr="00074D4C" w:rsidRDefault="00C37DE1" w:rsidP="00C85C26">
      <w:pPr>
        <w:pStyle w:val="BodyText"/>
        <w:rPr>
          <w:noProof/>
          <w:sz w:val="24"/>
          <w:szCs w:val="24"/>
        </w:rPr>
      </w:pPr>
    </w:p>
    <w:p w14:paraId="6D686779" w14:textId="77777777" w:rsidR="00C37DE1" w:rsidRPr="001970BD" w:rsidRDefault="00C37DE1" w:rsidP="001970BD">
      <w:pPr>
        <w:pStyle w:val="Heading3"/>
        <w:jc w:val="center"/>
        <w:rPr>
          <w:i w:val="0"/>
          <w:iCs w:val="0"/>
          <w:sz w:val="24"/>
          <w:szCs w:val="24"/>
        </w:rPr>
      </w:pPr>
      <w:bookmarkStart w:id="94" w:name="_bookmark28"/>
      <w:bookmarkStart w:id="95" w:name="_Toc211859115"/>
      <w:bookmarkStart w:id="96" w:name="_Toc211859573"/>
      <w:bookmarkEnd w:id="94"/>
      <w:r w:rsidRPr="001970BD">
        <w:rPr>
          <w:i w:val="0"/>
          <w:iCs w:val="0"/>
          <w:sz w:val="24"/>
          <w:szCs w:val="24"/>
        </w:rPr>
        <w:t>2. tabula. Apsekojumos tika aicināts gan federālajām valstīm, gan unitārajām valstīm samazināt vertikālo un horizontālo sadrumstalotību</w:t>
      </w:r>
      <w:bookmarkEnd w:id="95"/>
      <w:bookmarkEnd w:id="96"/>
    </w:p>
    <w:p w14:paraId="59567BED" w14:textId="77777777" w:rsidR="00C37DE1" w:rsidRPr="00074D4C" w:rsidRDefault="00C37DE1" w:rsidP="00C85C26">
      <w:pPr>
        <w:pStyle w:val="BodyText"/>
        <w:rPr>
          <w:b/>
          <w:noProof/>
          <w:sz w:val="24"/>
          <w:szCs w:val="24"/>
        </w:rPr>
      </w:pPr>
    </w:p>
    <w:p w14:paraId="65DD0D62" w14:textId="77777777" w:rsidR="00C37DE1" w:rsidRPr="00074D4C" w:rsidRDefault="00C37DE1" w:rsidP="00C85C26">
      <w:pPr>
        <w:jc w:val="center"/>
        <w:rPr>
          <w:noProof/>
          <w:sz w:val="24"/>
          <w:szCs w:val="24"/>
        </w:rPr>
      </w:pPr>
      <w:r>
        <w:rPr>
          <w:sz w:val="24"/>
        </w:rPr>
        <w:t>Atsauces uz sadrumstalotību pārskatītajos valstu apsekojumos</w:t>
      </w:r>
    </w:p>
    <w:p w14:paraId="6C576415" w14:textId="77777777" w:rsidR="00C37DE1" w:rsidRPr="00074D4C" w:rsidRDefault="00C37DE1" w:rsidP="00C85C26">
      <w:pPr>
        <w:pStyle w:val="BodyText"/>
        <w:rPr>
          <w:noProof/>
          <w:sz w:val="24"/>
          <w:szCs w:val="24"/>
        </w:rPr>
      </w:pPr>
    </w:p>
    <w:tbl>
      <w:tblPr>
        <w:tblW w:w="5000" w:type="pct"/>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CellMar>
          <w:top w:w="28" w:type="dxa"/>
          <w:left w:w="28" w:type="dxa"/>
          <w:bottom w:w="28" w:type="dxa"/>
          <w:right w:w="28" w:type="dxa"/>
        </w:tblCellMar>
        <w:tblLook w:val="01E0" w:firstRow="1" w:lastRow="1" w:firstColumn="1" w:lastColumn="1" w:noHBand="0" w:noVBand="0"/>
      </w:tblPr>
      <w:tblGrid>
        <w:gridCol w:w="3047"/>
        <w:gridCol w:w="3042"/>
        <w:gridCol w:w="3042"/>
      </w:tblGrid>
      <w:tr w:rsidR="00C37DE1" w:rsidRPr="00074D4C" w14:paraId="5C500A65" w14:textId="77777777" w:rsidTr="008C4674">
        <w:trPr>
          <w:trHeight w:val="455"/>
        </w:trPr>
        <w:tc>
          <w:tcPr>
            <w:tcW w:w="1668" w:type="pct"/>
            <w:tcBorders>
              <w:left w:val="single" w:sz="6" w:space="0" w:color="000000"/>
              <w:bottom w:val="single" w:sz="4" w:space="0" w:color="000000"/>
              <w:right w:val="single" w:sz="4" w:space="0" w:color="000000"/>
            </w:tcBorders>
          </w:tcPr>
          <w:p w14:paraId="6FA760A7" w14:textId="77777777" w:rsidR="00C37DE1" w:rsidRPr="00074D4C" w:rsidRDefault="00C37DE1" w:rsidP="008C4674">
            <w:pPr>
              <w:pStyle w:val="TableParagraph"/>
              <w:ind w:left="57" w:right="57"/>
              <w:rPr>
                <w:noProof/>
                <w:sz w:val="24"/>
                <w:szCs w:val="24"/>
              </w:rPr>
            </w:pPr>
          </w:p>
        </w:tc>
        <w:tc>
          <w:tcPr>
            <w:tcW w:w="1666" w:type="pct"/>
            <w:tcBorders>
              <w:left w:val="single" w:sz="4" w:space="0" w:color="000000"/>
              <w:bottom w:val="single" w:sz="4" w:space="0" w:color="000000"/>
              <w:right w:val="single" w:sz="4" w:space="0" w:color="000000"/>
            </w:tcBorders>
          </w:tcPr>
          <w:p w14:paraId="0333DD95" w14:textId="77777777" w:rsidR="00C37DE1" w:rsidRPr="00074D4C" w:rsidRDefault="00C37DE1" w:rsidP="008C4674">
            <w:pPr>
              <w:pStyle w:val="TableParagraph"/>
              <w:ind w:left="57" w:right="57" w:hanging="32"/>
              <w:jc w:val="center"/>
              <w:rPr>
                <w:b/>
                <w:noProof/>
                <w:sz w:val="24"/>
                <w:szCs w:val="24"/>
              </w:rPr>
            </w:pPr>
            <w:r>
              <w:rPr>
                <w:b/>
                <w:sz w:val="24"/>
              </w:rPr>
              <w:t>Mazināt vertikālo sadrumstalotību</w:t>
            </w:r>
          </w:p>
        </w:tc>
        <w:tc>
          <w:tcPr>
            <w:tcW w:w="1666" w:type="pct"/>
            <w:tcBorders>
              <w:left w:val="single" w:sz="4" w:space="0" w:color="000000"/>
              <w:bottom w:val="single" w:sz="4" w:space="0" w:color="000000"/>
              <w:right w:val="single" w:sz="6" w:space="0" w:color="000000"/>
            </w:tcBorders>
          </w:tcPr>
          <w:p w14:paraId="77C85ACB" w14:textId="77777777" w:rsidR="00C37DE1" w:rsidRPr="00074D4C" w:rsidRDefault="00C37DE1" w:rsidP="008C4674">
            <w:pPr>
              <w:pStyle w:val="TableParagraph"/>
              <w:ind w:left="57" w:right="57" w:hanging="130"/>
              <w:jc w:val="center"/>
              <w:rPr>
                <w:b/>
                <w:noProof/>
                <w:sz w:val="24"/>
                <w:szCs w:val="24"/>
              </w:rPr>
            </w:pPr>
            <w:r>
              <w:rPr>
                <w:b/>
                <w:sz w:val="24"/>
              </w:rPr>
              <w:t>Mazināt horizontālo sadrumstalotību</w:t>
            </w:r>
          </w:p>
        </w:tc>
      </w:tr>
      <w:tr w:rsidR="00C37DE1" w:rsidRPr="00074D4C" w14:paraId="6F7E723A" w14:textId="77777777" w:rsidTr="008C4674">
        <w:trPr>
          <w:trHeight w:val="453"/>
        </w:trPr>
        <w:tc>
          <w:tcPr>
            <w:tcW w:w="1668" w:type="pct"/>
            <w:tcBorders>
              <w:top w:val="single" w:sz="4" w:space="0" w:color="000000"/>
              <w:left w:val="single" w:sz="6" w:space="0" w:color="000000"/>
              <w:bottom w:val="nil"/>
              <w:right w:val="single" w:sz="4" w:space="0" w:color="000000"/>
            </w:tcBorders>
            <w:shd w:val="clear" w:color="auto" w:fill="ECEFF7"/>
          </w:tcPr>
          <w:p w14:paraId="05AB9DC9" w14:textId="77777777" w:rsidR="00C37DE1" w:rsidRPr="00074D4C" w:rsidRDefault="00C37DE1" w:rsidP="008C4674">
            <w:pPr>
              <w:pStyle w:val="TableParagraph"/>
              <w:ind w:left="57" w:right="57"/>
              <w:rPr>
                <w:b/>
                <w:i/>
                <w:noProof/>
                <w:sz w:val="24"/>
                <w:szCs w:val="24"/>
              </w:rPr>
            </w:pPr>
            <w:r>
              <w:rPr>
                <w:b/>
                <w:i/>
                <w:sz w:val="24"/>
              </w:rPr>
              <w:t>Unitārās valstis</w:t>
            </w:r>
          </w:p>
        </w:tc>
        <w:tc>
          <w:tcPr>
            <w:tcW w:w="1666" w:type="pct"/>
            <w:tcBorders>
              <w:top w:val="single" w:sz="4" w:space="0" w:color="000000"/>
              <w:left w:val="single" w:sz="4" w:space="0" w:color="000000"/>
              <w:bottom w:val="nil"/>
              <w:right w:val="single" w:sz="4" w:space="0" w:color="000000"/>
            </w:tcBorders>
            <w:shd w:val="clear" w:color="auto" w:fill="ECEFF7"/>
          </w:tcPr>
          <w:p w14:paraId="23D0DA60" w14:textId="77777777" w:rsidR="00C37DE1" w:rsidRPr="00074D4C" w:rsidRDefault="00C37DE1" w:rsidP="00D135F0">
            <w:pPr>
              <w:pStyle w:val="TableParagraph"/>
              <w:ind w:left="57" w:right="57"/>
              <w:jc w:val="center"/>
              <w:rPr>
                <w:noProof/>
                <w:sz w:val="24"/>
                <w:szCs w:val="24"/>
              </w:rPr>
            </w:pPr>
            <w:r>
              <w:rPr>
                <w:sz w:val="24"/>
              </w:rPr>
              <w:t>Spānija, Francija</w:t>
            </w:r>
          </w:p>
        </w:tc>
        <w:tc>
          <w:tcPr>
            <w:tcW w:w="1666" w:type="pct"/>
            <w:tcBorders>
              <w:top w:val="single" w:sz="4" w:space="0" w:color="000000"/>
              <w:left w:val="single" w:sz="4" w:space="0" w:color="000000"/>
              <w:bottom w:val="nil"/>
              <w:right w:val="single" w:sz="6" w:space="0" w:color="000000"/>
            </w:tcBorders>
            <w:shd w:val="clear" w:color="auto" w:fill="ECEFF7"/>
          </w:tcPr>
          <w:p w14:paraId="1E564AC0" w14:textId="77777777" w:rsidR="00C37DE1" w:rsidRPr="00074D4C" w:rsidRDefault="00C37DE1" w:rsidP="00D135F0">
            <w:pPr>
              <w:pStyle w:val="TableParagraph"/>
              <w:ind w:left="57" w:right="57"/>
              <w:jc w:val="center"/>
              <w:rPr>
                <w:noProof/>
                <w:sz w:val="24"/>
                <w:szCs w:val="24"/>
              </w:rPr>
            </w:pPr>
            <w:r>
              <w:rPr>
                <w:sz w:val="24"/>
              </w:rPr>
              <w:t>Japāna, Dānija, Norvēģija Francija</w:t>
            </w:r>
          </w:p>
        </w:tc>
      </w:tr>
      <w:tr w:rsidR="00C37DE1" w:rsidRPr="00074D4C" w14:paraId="71AF8E2D" w14:textId="77777777" w:rsidTr="008C4674">
        <w:trPr>
          <w:trHeight w:val="664"/>
        </w:trPr>
        <w:tc>
          <w:tcPr>
            <w:tcW w:w="1668" w:type="pct"/>
            <w:tcBorders>
              <w:top w:val="nil"/>
              <w:left w:val="single" w:sz="6" w:space="0" w:color="000000"/>
              <w:bottom w:val="single" w:sz="12" w:space="0" w:color="000000"/>
              <w:right w:val="single" w:sz="4" w:space="0" w:color="000000"/>
            </w:tcBorders>
          </w:tcPr>
          <w:p w14:paraId="60F10A0A" w14:textId="77777777" w:rsidR="00C37DE1" w:rsidRPr="00074D4C" w:rsidRDefault="00C37DE1" w:rsidP="008C4674">
            <w:pPr>
              <w:pStyle w:val="TableParagraph"/>
              <w:ind w:left="57" w:right="57"/>
              <w:rPr>
                <w:b/>
                <w:i/>
                <w:noProof/>
                <w:sz w:val="24"/>
                <w:szCs w:val="24"/>
              </w:rPr>
            </w:pPr>
            <w:r>
              <w:rPr>
                <w:b/>
                <w:i/>
                <w:sz w:val="24"/>
              </w:rPr>
              <w:t>Federālās valstis</w:t>
            </w:r>
          </w:p>
        </w:tc>
        <w:tc>
          <w:tcPr>
            <w:tcW w:w="1666" w:type="pct"/>
            <w:tcBorders>
              <w:top w:val="nil"/>
              <w:left w:val="single" w:sz="4" w:space="0" w:color="000000"/>
              <w:bottom w:val="single" w:sz="12" w:space="0" w:color="000000"/>
              <w:right w:val="single" w:sz="4" w:space="0" w:color="000000"/>
            </w:tcBorders>
          </w:tcPr>
          <w:p w14:paraId="1A1AFBED" w14:textId="77777777" w:rsidR="00C37DE1" w:rsidRPr="00074D4C" w:rsidRDefault="00C37DE1" w:rsidP="00D135F0">
            <w:pPr>
              <w:pStyle w:val="TableParagraph"/>
              <w:ind w:left="57" w:right="57"/>
              <w:jc w:val="center"/>
              <w:rPr>
                <w:noProof/>
                <w:sz w:val="24"/>
                <w:szCs w:val="24"/>
              </w:rPr>
            </w:pPr>
            <w:r>
              <w:rPr>
                <w:sz w:val="24"/>
              </w:rPr>
              <w:t>Austrālija, Šveice,</w:t>
            </w:r>
          </w:p>
          <w:p w14:paraId="183F61DB" w14:textId="77777777" w:rsidR="00C37DE1" w:rsidRPr="00074D4C" w:rsidRDefault="00C37DE1" w:rsidP="00D135F0">
            <w:pPr>
              <w:pStyle w:val="TableParagraph"/>
              <w:ind w:left="57" w:right="57"/>
              <w:jc w:val="center"/>
              <w:rPr>
                <w:noProof/>
                <w:sz w:val="24"/>
                <w:szCs w:val="24"/>
              </w:rPr>
            </w:pPr>
            <w:r>
              <w:rPr>
                <w:sz w:val="24"/>
              </w:rPr>
              <w:t>Vācija, Meksika</w:t>
            </w:r>
          </w:p>
        </w:tc>
        <w:tc>
          <w:tcPr>
            <w:tcW w:w="1666" w:type="pct"/>
            <w:tcBorders>
              <w:top w:val="nil"/>
              <w:left w:val="single" w:sz="4" w:space="0" w:color="000000"/>
              <w:bottom w:val="single" w:sz="12" w:space="0" w:color="000000"/>
              <w:right w:val="single" w:sz="6" w:space="0" w:color="000000"/>
            </w:tcBorders>
          </w:tcPr>
          <w:p w14:paraId="5299CF39" w14:textId="77777777" w:rsidR="00C37DE1" w:rsidRPr="00074D4C" w:rsidRDefault="00C37DE1" w:rsidP="00D135F0">
            <w:pPr>
              <w:pStyle w:val="TableParagraph"/>
              <w:ind w:left="57" w:right="57"/>
              <w:jc w:val="center"/>
              <w:rPr>
                <w:noProof/>
                <w:sz w:val="24"/>
                <w:szCs w:val="24"/>
              </w:rPr>
            </w:pPr>
            <w:r>
              <w:rPr>
                <w:sz w:val="24"/>
              </w:rPr>
              <w:t>Meksika, Beļģija, Austrija</w:t>
            </w:r>
          </w:p>
        </w:tc>
      </w:tr>
    </w:tbl>
    <w:p w14:paraId="76EE57B2" w14:textId="77777777" w:rsidR="00C37DE1" w:rsidRPr="00074D4C" w:rsidRDefault="00C37DE1" w:rsidP="00C85C26">
      <w:pPr>
        <w:pStyle w:val="BodyText"/>
        <w:rPr>
          <w:noProof/>
          <w:sz w:val="24"/>
          <w:szCs w:val="24"/>
        </w:rPr>
      </w:pPr>
    </w:p>
    <w:p w14:paraId="30A7318A" w14:textId="580EC5C7" w:rsidR="00C37DE1" w:rsidRDefault="008C4674" w:rsidP="008C4674">
      <w:pPr>
        <w:pStyle w:val="Heading7"/>
        <w:tabs>
          <w:tab w:val="left" w:pos="2083"/>
        </w:tabs>
        <w:ind w:left="0" w:firstLine="0"/>
        <w:jc w:val="left"/>
        <w:rPr>
          <w:noProof/>
          <w:sz w:val="28"/>
          <w:szCs w:val="28"/>
        </w:rPr>
      </w:pPr>
      <w:bookmarkStart w:id="97" w:name="4.2.1.__Complex_systems_like_health_care"/>
      <w:bookmarkEnd w:id="97"/>
      <w:r>
        <w:rPr>
          <w:sz w:val="28"/>
        </w:rPr>
        <w:t>4.2.1. Vertikālajai sadrumstalotībai īpaši ir pakļautas sarežģītas sistēmas, piemēram, veselības aprūpe, izglītība un sociālie pakalpojumi</w:t>
      </w:r>
    </w:p>
    <w:p w14:paraId="547A7AA7" w14:textId="77777777" w:rsidR="008C4674" w:rsidRPr="008C4674" w:rsidRDefault="008C4674" w:rsidP="008C4674">
      <w:pPr>
        <w:pStyle w:val="Heading7"/>
        <w:tabs>
          <w:tab w:val="left" w:pos="2083"/>
        </w:tabs>
        <w:ind w:left="0" w:firstLine="0"/>
        <w:rPr>
          <w:noProof/>
          <w:sz w:val="28"/>
          <w:szCs w:val="28"/>
        </w:rPr>
      </w:pPr>
    </w:p>
    <w:p w14:paraId="192447F0" w14:textId="69E9A8A3" w:rsidR="00C37DE1" w:rsidRPr="00074D4C" w:rsidRDefault="008C4674" w:rsidP="008C4674">
      <w:pPr>
        <w:pStyle w:val="ListParagraph"/>
        <w:tabs>
          <w:tab w:val="left" w:pos="2025"/>
        </w:tabs>
        <w:ind w:left="0"/>
        <w:rPr>
          <w:noProof/>
          <w:sz w:val="24"/>
          <w:szCs w:val="24"/>
        </w:rPr>
      </w:pPr>
      <w:r>
        <w:rPr>
          <w:sz w:val="24"/>
        </w:rPr>
        <w:t>49. No izskatītajiem apsekojumiem gandrīz 40 % no ieteikumiem, kas attiecas uz robežu noteikšanu (II tipa ieteikumi), skaidri attiecās uz veselības aprūpi, izglītību un sociālajiem pakalpojumiem. Tas liecina, ka lielas, sarežģītas nozares saskaras ar īpašām problēmām attiecībā uz pārklāšanos un sadrumstalotību. Piemēram, saistībā ar veselības aprūpi Austrālijas ekonomikas apsekojumā tika atzīmēts, ka primārā aprūpe ir iedalīta Savienībai, savukārt pavalstu atbildībā ir valsts slimnīcas (OECD, 2014</w:t>
      </w:r>
      <w:r>
        <w:rPr>
          <w:sz w:val="24"/>
          <w:vertAlign w:val="superscript"/>
        </w:rPr>
        <w:t>[59]</w:t>
      </w:r>
      <w:r>
        <w:rPr>
          <w:sz w:val="24"/>
        </w:rPr>
        <w:t>). Tas radīja iespēju pārnest izmaksas, tādējādi valsts slimnīcas pārnesa pēcoperācijas aprūpes slogu uz plaša profila ārstiem. Tajā pašā apsekojumā tika atzīmēts, ka Austrālijas izglītības sistēma ir pakļauta sarežģītai un necaurredzamai finansēšanas kārtībai, kurā iesaistīti vairāki valdības līmeņi. Līdzīgā veidā tika saskatīts, ka Francijas arodmācību sistēma cieš no robežu noteikšanas problēmām. Ar 2014. gada reformu tika ieviestas funkcijas dažādiem dalībniekiem, piemēram, valsts valdībai, reģioniem un tirdzniecības kamerām. Turklāt gan valsts, gan reģionu līmenī tika izveidotas koordinēšanas struktūras. Ar to tika panākts, ka nebija nekādas skaidrības par vispārējo atbildību attiecībā uz jauno sistēmu (Brandt, 2015</w:t>
      </w:r>
      <w:r>
        <w:rPr>
          <w:sz w:val="24"/>
          <w:vertAlign w:val="superscript"/>
        </w:rPr>
        <w:t>[60]</w:t>
      </w:r>
      <w:r>
        <w:rPr>
          <w:sz w:val="24"/>
        </w:rPr>
        <w:t>; OECD, 2015</w:t>
      </w:r>
      <w:r>
        <w:rPr>
          <w:sz w:val="24"/>
          <w:vertAlign w:val="superscript"/>
        </w:rPr>
        <w:t>[61]</w:t>
      </w:r>
      <w:r>
        <w:rPr>
          <w:sz w:val="24"/>
        </w:rPr>
        <w:t xml:space="preserve">). Meksikā tika konstatēts, ka izglītības sistēma ir ļoti sadrumstalota federālās valdības un pavalsts valdības līmenī. Tika izmantota nepārskatāma, daudzdaļīga mērķfinansējuma sistēma, lai virzītu līdzekļus no centra uz pavalstīm, tādējādi visā teritorijā izraisot izglītības </w:t>
      </w:r>
      <w:r>
        <w:rPr>
          <w:sz w:val="24"/>
        </w:rPr>
        <w:lastRenderedPageBreak/>
        <w:t>pakalpojumu sniegšanas asimetriju. Sociālo pakalpojumu jomā Spānijas ekonomikas apsekojumā tika konstatēts saiknes trūkums starp bezdarbnieka pabalstu finansēšanu valsts līmenī un darba tirgus reintegrācijas vadību un plānojumu reģionu līmenī (OECD, 2008</w:t>
      </w:r>
      <w:r>
        <w:rPr>
          <w:sz w:val="24"/>
          <w:vertAlign w:val="superscript"/>
        </w:rPr>
        <w:t>[62]</w:t>
      </w:r>
      <w:r>
        <w:rPr>
          <w:sz w:val="24"/>
        </w:rPr>
        <w:t>). Tā kā reģioni saņēma lielāku finansējumu, ja saskārās ar lielāku bezdarbnieku kopskaitu, tiem nebija stimula izstrādāt politiku, kas mazinātu ilgtermiņa bezdarbu.</w:t>
      </w:r>
    </w:p>
    <w:p w14:paraId="67637576" w14:textId="77777777" w:rsidR="008C4674" w:rsidRDefault="008C4674" w:rsidP="008C4674">
      <w:pPr>
        <w:pStyle w:val="Heading7"/>
        <w:tabs>
          <w:tab w:val="left" w:pos="2083"/>
        </w:tabs>
        <w:ind w:left="0" w:firstLine="0"/>
        <w:jc w:val="left"/>
        <w:rPr>
          <w:noProof/>
          <w:sz w:val="28"/>
          <w:szCs w:val="28"/>
        </w:rPr>
      </w:pPr>
      <w:bookmarkStart w:id="98" w:name="4.2.2.__Assignment_to_a_single_level_can"/>
      <w:bookmarkEnd w:id="98"/>
    </w:p>
    <w:p w14:paraId="1FE87CA2" w14:textId="146CFE3E" w:rsidR="00C37DE1" w:rsidRPr="00074D4C" w:rsidRDefault="008C4674" w:rsidP="008C4674">
      <w:pPr>
        <w:pStyle w:val="Heading7"/>
        <w:tabs>
          <w:tab w:val="left" w:pos="2083"/>
        </w:tabs>
        <w:ind w:left="0" w:firstLine="0"/>
        <w:rPr>
          <w:noProof/>
        </w:rPr>
      </w:pPr>
      <w:r>
        <w:rPr>
          <w:sz w:val="28"/>
        </w:rPr>
        <w:t>4.2.2. Piešķiršana vienam līmenim var būt risinājums sadrumstalotībai</w:t>
      </w:r>
    </w:p>
    <w:p w14:paraId="38D4A5CD" w14:textId="77777777" w:rsidR="008C4674" w:rsidRDefault="008C4674" w:rsidP="008C4674">
      <w:pPr>
        <w:pStyle w:val="ListParagraph"/>
        <w:tabs>
          <w:tab w:val="left" w:pos="2026"/>
        </w:tabs>
        <w:ind w:left="0"/>
        <w:jc w:val="left"/>
        <w:rPr>
          <w:noProof/>
          <w:sz w:val="24"/>
          <w:szCs w:val="24"/>
        </w:rPr>
      </w:pPr>
    </w:p>
    <w:p w14:paraId="377B7AC7" w14:textId="26E9663D" w:rsidR="00C37DE1" w:rsidRDefault="008C4674" w:rsidP="008C4674">
      <w:pPr>
        <w:pStyle w:val="ListParagraph"/>
        <w:tabs>
          <w:tab w:val="left" w:pos="2026"/>
        </w:tabs>
        <w:ind w:left="0"/>
        <w:rPr>
          <w:noProof/>
          <w:sz w:val="24"/>
          <w:szCs w:val="24"/>
        </w:rPr>
      </w:pPr>
      <w:r>
        <w:rPr>
          <w:sz w:val="24"/>
        </w:rPr>
        <w:t>50. Parastais risinājums sadrumstalotībai ir nodrošināt, ka visa atbildība par konkrēto sabiedrisko pakalpojumu tiek iedalīta vienam valdības līmenim. Pašvaldības bieži vien ir intensīvi iesaistītas sabiedrisko pakalpojumu sniegšanā, un atbildības uzlikšana tām varētu ļaut pielāgoties vietējām preferencēm. Attiecībā uz Austrāliju apsekojumā tika ieteikts precizēt funkcijas un uzlabot koordināciju starp valdības līmeņiem, vienlaikus atzīmējot, ka dažos gadījumos var būt nepieciešams pārdalīt atbildību par visu nozari konkrētam valdības līmenim. Tas saskanēja ar atzinumiem, ko sniedza Austrālijas Nacionālā revīzijas komiteja (</w:t>
      </w:r>
      <w:r>
        <w:rPr>
          <w:i/>
          <w:iCs/>
          <w:sz w:val="24"/>
        </w:rPr>
        <w:t>National Committee of Audit</w:t>
      </w:r>
      <w:r>
        <w:rPr>
          <w:sz w:val="24"/>
        </w:rPr>
        <w:t xml:space="preserve"> (</w:t>
      </w:r>
      <w:r>
        <w:rPr>
          <w:i/>
          <w:iCs/>
          <w:sz w:val="24"/>
        </w:rPr>
        <w:t>NCA</w:t>
      </w:r>
      <w:r>
        <w:rPr>
          <w:sz w:val="24"/>
        </w:rPr>
        <w:t>)), uzskatot, ka finansējuma piešķiršana skolām jānodod pilnīgā pavalsts līmeņa kontrolē. Līdzīgi arī Francijas ekonomikas apsekojumā bija ieteikts precizēt attiecīgo valsts un reģionālo arodmācību padomju funkcijas, lai nodrošinātu, ka tās savstarpēji nepārklājas. It īpaši tika ieteikts atbildību par izdevumiem piešķirt vienam dalībniekam (piemēram, reģioniem) (OECD, 2014</w:t>
      </w:r>
      <w:r>
        <w:rPr>
          <w:sz w:val="24"/>
          <w:vertAlign w:val="superscript"/>
        </w:rPr>
        <w:t>[63]</w:t>
      </w:r>
      <w:r>
        <w:rPr>
          <w:sz w:val="24"/>
        </w:rPr>
        <w:t>). Attiecībā uz Spānijas bezdarba sistēmu apsekojumā tika ieteikts, ka būtu ideāli piešķirt gan finansiālo atbildību par bezdarbnieku pabalstiem, gan par aktīvas darba tirgus politikas īstenošanu vienam valdības līmenim. Tomēr, atzīstot uzdevuma politisko sarežģītību, apsekojumā tika aicināts labāk uzraudzīt un novērtēt aktīvas darba tirgus politikas īstenošanu.</w:t>
      </w:r>
    </w:p>
    <w:p w14:paraId="59344855" w14:textId="77777777" w:rsidR="008C4674" w:rsidRPr="00074D4C" w:rsidRDefault="008C4674" w:rsidP="008C4674">
      <w:pPr>
        <w:pStyle w:val="ListParagraph"/>
        <w:tabs>
          <w:tab w:val="left" w:pos="2026"/>
        </w:tabs>
        <w:ind w:left="0"/>
        <w:jc w:val="left"/>
        <w:rPr>
          <w:noProof/>
          <w:sz w:val="24"/>
          <w:szCs w:val="24"/>
        </w:rPr>
      </w:pPr>
    </w:p>
    <w:p w14:paraId="172201CE" w14:textId="464E4D08" w:rsidR="00C37DE1" w:rsidRDefault="008C4674" w:rsidP="008C4674">
      <w:pPr>
        <w:pStyle w:val="Heading7"/>
        <w:tabs>
          <w:tab w:val="left" w:pos="2083"/>
        </w:tabs>
        <w:ind w:left="0" w:firstLine="0"/>
        <w:jc w:val="left"/>
        <w:rPr>
          <w:noProof/>
          <w:sz w:val="28"/>
          <w:szCs w:val="28"/>
        </w:rPr>
      </w:pPr>
      <w:bookmarkStart w:id="99" w:name="4.2.3.__Co-funding_in_federations:_an_in"/>
      <w:bookmarkEnd w:id="99"/>
      <w:r>
        <w:rPr>
          <w:sz w:val="28"/>
        </w:rPr>
        <w:t>4.2.3. Līdzfinansējums federācijās – norāde uz sadrumstalotu piešķiršanu</w:t>
      </w:r>
    </w:p>
    <w:p w14:paraId="1ABE6C96" w14:textId="77777777" w:rsidR="008C4674" w:rsidRPr="008C4674" w:rsidRDefault="008C4674" w:rsidP="008C4674">
      <w:pPr>
        <w:pStyle w:val="Heading7"/>
        <w:tabs>
          <w:tab w:val="left" w:pos="2083"/>
        </w:tabs>
        <w:ind w:left="0" w:firstLine="0"/>
        <w:rPr>
          <w:noProof/>
          <w:sz w:val="28"/>
          <w:szCs w:val="28"/>
        </w:rPr>
      </w:pPr>
    </w:p>
    <w:p w14:paraId="78319B25" w14:textId="77777777" w:rsidR="008C4674" w:rsidRDefault="008C4674" w:rsidP="008C4674">
      <w:pPr>
        <w:pStyle w:val="ListParagraph"/>
        <w:tabs>
          <w:tab w:val="left" w:pos="2025"/>
        </w:tabs>
        <w:ind w:left="0"/>
        <w:rPr>
          <w:noProof/>
          <w:sz w:val="24"/>
          <w:szCs w:val="24"/>
        </w:rPr>
      </w:pPr>
    </w:p>
    <w:p w14:paraId="0EAC09B1" w14:textId="718940DE" w:rsidR="00C37DE1" w:rsidRDefault="008C4674" w:rsidP="008C4674">
      <w:pPr>
        <w:pStyle w:val="ListParagraph"/>
        <w:tabs>
          <w:tab w:val="left" w:pos="2025"/>
        </w:tabs>
        <w:ind w:left="0"/>
        <w:rPr>
          <w:noProof/>
          <w:sz w:val="24"/>
          <w:szCs w:val="24"/>
        </w:rPr>
      </w:pPr>
      <w:r>
        <w:rPr>
          <w:sz w:val="24"/>
        </w:rPr>
        <w:t>51. Vairāku līmeņu līdzfinansējums, kas ir vienots finansējums, ko nodrošina vairāku līmeņu valdība, norāda uz piešķiršanas neefektivitāti, jo īpaši tad, ja ir neskaidrs starpreģionālā finansējuma pārmērīgs pieplūdums. Šāda neefektivitāte izriet no finansēšanas pienākuma sadrumstalotības vairākos valdības līmeņos. Izstrādājot ilgtspējīgu plānu fiskālas konsolidācijas nodrošināšanai, Vācijas un Šveices ekonomikas apsekojumos (OECD, 2006</w:t>
      </w:r>
      <w:r>
        <w:rPr>
          <w:sz w:val="24"/>
          <w:vertAlign w:val="superscript"/>
        </w:rPr>
        <w:t>[53]</w:t>
      </w:r>
      <w:r>
        <w:rPr>
          <w:sz w:val="24"/>
        </w:rPr>
        <w:t>; 2006</w:t>
      </w:r>
      <w:r>
        <w:rPr>
          <w:sz w:val="24"/>
          <w:vertAlign w:val="superscript"/>
        </w:rPr>
        <w:t>[64]</w:t>
      </w:r>
      <w:r>
        <w:rPr>
          <w:sz w:val="24"/>
        </w:rPr>
        <w:t>) tika uzsvērta neefektivitāte, kas izriet no federālas pavalsts līdzfinansēšanas kārtības. Proti:</w:t>
      </w:r>
    </w:p>
    <w:p w14:paraId="107C635D" w14:textId="77777777" w:rsidR="008C4674" w:rsidRPr="00074D4C" w:rsidRDefault="008C4674" w:rsidP="008C4674">
      <w:pPr>
        <w:pStyle w:val="ListParagraph"/>
        <w:tabs>
          <w:tab w:val="left" w:pos="2025"/>
        </w:tabs>
        <w:ind w:left="0"/>
        <w:rPr>
          <w:noProof/>
          <w:sz w:val="24"/>
          <w:szCs w:val="24"/>
        </w:rPr>
      </w:pPr>
    </w:p>
    <w:p w14:paraId="78FC7435" w14:textId="77777777" w:rsidR="00C37DE1" w:rsidRDefault="00C37DE1" w:rsidP="008C4674">
      <w:pPr>
        <w:pStyle w:val="ListParagraph"/>
        <w:numPr>
          <w:ilvl w:val="0"/>
          <w:numId w:val="3"/>
        </w:numPr>
        <w:tabs>
          <w:tab w:val="left" w:pos="2098"/>
        </w:tabs>
        <w:ind w:left="567"/>
        <w:rPr>
          <w:noProof/>
          <w:sz w:val="24"/>
          <w:szCs w:val="24"/>
        </w:rPr>
      </w:pPr>
      <w:r>
        <w:rPr>
          <w:sz w:val="24"/>
        </w:rPr>
        <w:t>pavalstīm ir stimuls tērēt, pat ja ir mazi pabalsti, jo tikai mazu izmaksu daļu uzņemas vietējā līmenī;</w:t>
      </w:r>
    </w:p>
    <w:p w14:paraId="0DB956DE" w14:textId="77777777" w:rsidR="008C4674" w:rsidRPr="00074D4C" w:rsidRDefault="008C4674" w:rsidP="008C4674">
      <w:pPr>
        <w:pStyle w:val="ListParagraph"/>
        <w:tabs>
          <w:tab w:val="left" w:pos="2098"/>
        </w:tabs>
        <w:ind w:left="567"/>
        <w:rPr>
          <w:noProof/>
          <w:sz w:val="24"/>
          <w:szCs w:val="24"/>
        </w:rPr>
      </w:pPr>
    </w:p>
    <w:p w14:paraId="1135AB35" w14:textId="17BD4594" w:rsidR="008C4674" w:rsidRDefault="00C37DE1" w:rsidP="008C4674">
      <w:pPr>
        <w:pStyle w:val="ListParagraph"/>
        <w:numPr>
          <w:ilvl w:val="0"/>
          <w:numId w:val="3"/>
        </w:numPr>
        <w:tabs>
          <w:tab w:val="left" w:pos="2098"/>
        </w:tabs>
        <w:ind w:left="567"/>
        <w:rPr>
          <w:noProof/>
          <w:sz w:val="24"/>
          <w:szCs w:val="24"/>
        </w:rPr>
      </w:pPr>
      <w:r>
        <w:rPr>
          <w:sz w:val="24"/>
        </w:rPr>
        <w:t>līdzfinansējums sabiedrības skatījumā var mazināt skaidru saikni starp izmaksām un pakalpojuma sniegšanu;</w:t>
      </w:r>
    </w:p>
    <w:p w14:paraId="7F777D66" w14:textId="77777777" w:rsidR="008C4674" w:rsidRPr="008C4674" w:rsidRDefault="008C4674" w:rsidP="008C4674">
      <w:pPr>
        <w:pStyle w:val="ListParagraph"/>
        <w:tabs>
          <w:tab w:val="left" w:pos="2098"/>
        </w:tabs>
        <w:ind w:left="567"/>
        <w:rPr>
          <w:noProof/>
          <w:sz w:val="24"/>
          <w:szCs w:val="24"/>
        </w:rPr>
      </w:pPr>
    </w:p>
    <w:p w14:paraId="7A5DAF9C" w14:textId="77777777" w:rsidR="00C37DE1" w:rsidRDefault="00C37DE1" w:rsidP="008C4674">
      <w:pPr>
        <w:pStyle w:val="ListParagraph"/>
        <w:numPr>
          <w:ilvl w:val="0"/>
          <w:numId w:val="3"/>
        </w:numPr>
        <w:tabs>
          <w:tab w:val="left" w:pos="2097"/>
        </w:tabs>
        <w:ind w:left="567" w:hanging="340"/>
        <w:rPr>
          <w:noProof/>
          <w:sz w:val="24"/>
          <w:szCs w:val="24"/>
        </w:rPr>
      </w:pPr>
      <w:r>
        <w:rPr>
          <w:sz w:val="24"/>
        </w:rPr>
        <w:t>valdību savstarpējie sarežģītie starpniecības procesi var palēnināt lietu virzību;</w:t>
      </w:r>
    </w:p>
    <w:p w14:paraId="14164735" w14:textId="77777777" w:rsidR="008C4674" w:rsidRPr="00074D4C" w:rsidRDefault="008C4674" w:rsidP="008C4674">
      <w:pPr>
        <w:pStyle w:val="ListParagraph"/>
        <w:tabs>
          <w:tab w:val="left" w:pos="2097"/>
        </w:tabs>
        <w:ind w:left="567"/>
        <w:rPr>
          <w:noProof/>
          <w:sz w:val="24"/>
          <w:szCs w:val="24"/>
        </w:rPr>
      </w:pPr>
    </w:p>
    <w:p w14:paraId="7726E0C4" w14:textId="77777777" w:rsidR="00C37DE1" w:rsidRDefault="00C37DE1" w:rsidP="008C4674">
      <w:pPr>
        <w:pStyle w:val="ListParagraph"/>
        <w:numPr>
          <w:ilvl w:val="0"/>
          <w:numId w:val="3"/>
        </w:numPr>
        <w:tabs>
          <w:tab w:val="left" w:pos="2098"/>
        </w:tabs>
        <w:ind w:left="567"/>
        <w:rPr>
          <w:noProof/>
          <w:sz w:val="24"/>
          <w:szCs w:val="24"/>
        </w:rPr>
      </w:pPr>
      <w:r>
        <w:rPr>
          <w:sz w:val="24"/>
        </w:rPr>
        <w:t>līdzfinansējumam nepieciešama izmaksu ziņā dārga administrēšana un ir apgrūtināta programmas novērtēšana;</w:t>
      </w:r>
    </w:p>
    <w:p w14:paraId="1D6322E7" w14:textId="77777777" w:rsidR="008C4674" w:rsidRPr="00074D4C" w:rsidRDefault="008C4674" w:rsidP="008C4674">
      <w:pPr>
        <w:pStyle w:val="ListParagraph"/>
        <w:tabs>
          <w:tab w:val="left" w:pos="2098"/>
        </w:tabs>
        <w:ind w:left="567"/>
        <w:rPr>
          <w:noProof/>
          <w:sz w:val="24"/>
          <w:szCs w:val="24"/>
        </w:rPr>
      </w:pPr>
    </w:p>
    <w:p w14:paraId="2989AB07" w14:textId="77777777" w:rsidR="00C37DE1" w:rsidRDefault="00C37DE1" w:rsidP="008C4674">
      <w:pPr>
        <w:pStyle w:val="ListParagraph"/>
        <w:numPr>
          <w:ilvl w:val="0"/>
          <w:numId w:val="3"/>
        </w:numPr>
        <w:tabs>
          <w:tab w:val="left" w:pos="2098"/>
        </w:tabs>
        <w:ind w:left="567"/>
        <w:rPr>
          <w:noProof/>
          <w:sz w:val="24"/>
          <w:szCs w:val="24"/>
        </w:rPr>
      </w:pPr>
      <w:r>
        <w:rPr>
          <w:sz w:val="24"/>
        </w:rPr>
        <w:t>federālās valdības iezīmētā finansējuma neelastība var mazināt tā optimālu piešķīrumu.</w:t>
      </w:r>
    </w:p>
    <w:p w14:paraId="5173C985" w14:textId="77777777" w:rsidR="008C4674" w:rsidRPr="00074D4C" w:rsidRDefault="008C4674" w:rsidP="008C4674">
      <w:pPr>
        <w:pStyle w:val="ListParagraph"/>
        <w:tabs>
          <w:tab w:val="left" w:pos="2098"/>
        </w:tabs>
        <w:ind w:left="0"/>
        <w:rPr>
          <w:noProof/>
          <w:sz w:val="24"/>
          <w:szCs w:val="24"/>
        </w:rPr>
      </w:pPr>
    </w:p>
    <w:p w14:paraId="2172EDB5" w14:textId="608D4E4C" w:rsidR="00C37DE1" w:rsidRPr="00074D4C" w:rsidRDefault="008C4674" w:rsidP="00B65BF8">
      <w:pPr>
        <w:pStyle w:val="ListParagraph"/>
        <w:keepNext/>
        <w:keepLines/>
        <w:tabs>
          <w:tab w:val="left" w:pos="2026"/>
        </w:tabs>
        <w:ind w:left="0"/>
        <w:rPr>
          <w:noProof/>
          <w:sz w:val="24"/>
          <w:szCs w:val="24"/>
        </w:rPr>
      </w:pPr>
      <w:r>
        <w:rPr>
          <w:sz w:val="24"/>
        </w:rPr>
        <w:lastRenderedPageBreak/>
        <w:t>52. Lai atrisinātu šīs problēmas, apsekojumā tika ieteikts atteikties no iezīmētā līdzfinansējuma sistēmām, kuru pamatā ir izdevumi. To vietā atbildība par izdevumiem skaidri jāpiešķir pašvaldībām, fiskālo nevienlīdzību koriģējot ar ieņēmumu izlīdzināšanu. Saskaņā ar šiem ieteikumiem Šveice ar 2003. gada reformu apmēram par 30 % samazināja mērķfinansējumu sistēmu, piešķirot finansēšanas un reglamentēšanas pilnvaras pilnībā vai nu federālajam līmenim, vai pavalsts līmenim. Vienlaikus daļa no kopējiem pārskaitījumiem kantoniem, kas pieejami, lai palīdzētu tiem tikt galā ar jaunajiem pienākumiem, tika palielināta no 25 % uz 40 % (OECD, 2006</w:t>
      </w:r>
      <w:r>
        <w:rPr>
          <w:sz w:val="24"/>
          <w:vertAlign w:val="superscript"/>
        </w:rPr>
        <w:t>[64]</w:t>
      </w:r>
      <w:r>
        <w:rPr>
          <w:sz w:val="24"/>
        </w:rPr>
        <w:t>).</w:t>
      </w:r>
    </w:p>
    <w:p w14:paraId="628D7166" w14:textId="77777777" w:rsidR="008C4674" w:rsidRDefault="008C4674" w:rsidP="008C4674">
      <w:pPr>
        <w:pStyle w:val="ListParagraph"/>
        <w:tabs>
          <w:tab w:val="left" w:pos="2025"/>
        </w:tabs>
        <w:ind w:left="0"/>
        <w:rPr>
          <w:noProof/>
          <w:sz w:val="24"/>
          <w:szCs w:val="24"/>
        </w:rPr>
      </w:pPr>
    </w:p>
    <w:p w14:paraId="5115FB24" w14:textId="1E84BE1E" w:rsidR="00C37DE1" w:rsidRPr="00074D4C" w:rsidRDefault="008C4674" w:rsidP="008C4674">
      <w:pPr>
        <w:pStyle w:val="ListParagraph"/>
        <w:tabs>
          <w:tab w:val="left" w:pos="2025"/>
        </w:tabs>
        <w:ind w:left="0"/>
        <w:rPr>
          <w:noProof/>
          <w:sz w:val="24"/>
          <w:szCs w:val="24"/>
        </w:rPr>
      </w:pPr>
      <w:r>
        <w:rPr>
          <w:sz w:val="24"/>
        </w:rPr>
        <w:t>53. Ir svarīgi atzīmēt, ka tad, ja pašvaldības nespēj finansēt izdevumus par kritisko sociālo infrastruktūru, piemēram, par pamatizglītību, liela nozīme var būt labi plānotam līdzfinansējumam. Piemēram, ekonomikas apsekojumos tika atzinīgi novērtēts, ka Vācija noņēma konstitucionālos šķēršļus federālajam līdzfinansējumam izglītībā, kas ir pozitīvs solis, lai palīdzētu finansiāli vājām pašvaldībām veikt nozīmīgus ieguldījumus vietējā izglītības infrastruktūrā (OECD, 2018</w:t>
      </w:r>
      <w:r>
        <w:rPr>
          <w:sz w:val="24"/>
          <w:vertAlign w:val="superscript"/>
        </w:rPr>
        <w:t>[31]</w:t>
      </w:r>
      <w:r>
        <w:rPr>
          <w:sz w:val="24"/>
        </w:rPr>
        <w:t>; OECD, 2016</w:t>
      </w:r>
      <w:r>
        <w:rPr>
          <w:sz w:val="24"/>
          <w:vertAlign w:val="superscript"/>
        </w:rPr>
        <w:t>[32]</w:t>
      </w:r>
      <w:r>
        <w:rPr>
          <w:sz w:val="24"/>
        </w:rPr>
        <w:t>).</w:t>
      </w:r>
    </w:p>
    <w:p w14:paraId="2036F001" w14:textId="77777777" w:rsidR="00C85C26" w:rsidRPr="00074D4C" w:rsidRDefault="00C85C26" w:rsidP="00C85C26">
      <w:pPr>
        <w:pStyle w:val="ListParagraph"/>
        <w:ind w:left="0"/>
        <w:rPr>
          <w:noProof/>
          <w:sz w:val="24"/>
          <w:szCs w:val="24"/>
        </w:rPr>
      </w:pPr>
    </w:p>
    <w:p w14:paraId="4F33E670" w14:textId="52486731" w:rsidR="00C37DE1" w:rsidRPr="00074D4C" w:rsidRDefault="007A064A" w:rsidP="007A064A">
      <w:pPr>
        <w:pStyle w:val="Heading7"/>
        <w:tabs>
          <w:tab w:val="left" w:pos="2083"/>
        </w:tabs>
        <w:ind w:left="0" w:firstLine="0"/>
        <w:rPr>
          <w:noProof/>
        </w:rPr>
      </w:pPr>
      <w:bookmarkStart w:id="100" w:name="4.2.4.__Horizontal_fragmentation_and_geo"/>
      <w:bookmarkEnd w:id="100"/>
      <w:r>
        <w:rPr>
          <w:sz w:val="28"/>
        </w:rPr>
        <w:t>4.2.4. Horizontālā sadrumstalotība un ģeogrāfiskais iedalījums</w:t>
      </w:r>
    </w:p>
    <w:p w14:paraId="5BF50B19" w14:textId="77777777" w:rsidR="007A064A" w:rsidRDefault="007A064A" w:rsidP="007A064A">
      <w:pPr>
        <w:pStyle w:val="ListParagraph"/>
        <w:tabs>
          <w:tab w:val="left" w:pos="2025"/>
        </w:tabs>
        <w:ind w:left="0"/>
        <w:jc w:val="left"/>
        <w:rPr>
          <w:noProof/>
          <w:sz w:val="24"/>
          <w:szCs w:val="24"/>
        </w:rPr>
      </w:pPr>
    </w:p>
    <w:p w14:paraId="151C491B" w14:textId="7293823B" w:rsidR="00C37DE1" w:rsidRPr="00074D4C" w:rsidRDefault="007A064A" w:rsidP="007A064A">
      <w:pPr>
        <w:pStyle w:val="ListParagraph"/>
        <w:tabs>
          <w:tab w:val="left" w:pos="2025"/>
        </w:tabs>
        <w:ind w:left="0"/>
        <w:rPr>
          <w:noProof/>
          <w:sz w:val="24"/>
          <w:szCs w:val="24"/>
        </w:rPr>
      </w:pPr>
      <w:r>
        <w:rPr>
          <w:sz w:val="24"/>
        </w:rPr>
        <w:t>54. Izdevumu īpatsvara un izdevumu autonomijas atšķirība var liecināt par valdības līmeņu vertikālās sadrumstalotības problēmām, savukārt vietējo pakalpojumu pārmērīgs ģeogrāfiskais iedalījums norāda uz horizontālo sadrumstalotību. Horizontālā sadrumstalotība var izraisīt acīmredzamu neefektivitāti, ko rada nespēja izmantot apjomradītus ietaupījumus, tomēr neefektivitāti rada arī koordinēšanas problēmas, kas saistītas ar jurisdikcijas jautājumu nedabisku iedalījumu. Šādos gadījumos pārrobežu ārējo faktoru dēļ var rasties nesaskaņotība starp maksājošajām un saņemošajām jurisdikcijām. Sinerģija, kas rodas, apvienojot pakalpojumus pāri robežām, var uzlabot rezultātus tostarp transporta, pilsētas atkritumu apsaimniekošanas, ūdensapgādes, ugunsdzēsības un slimnīcu administrācijas jomā (de Mello, 2019</w:t>
      </w:r>
      <w:r>
        <w:rPr>
          <w:sz w:val="24"/>
          <w:vertAlign w:val="superscript"/>
        </w:rPr>
        <w:t>[8]</w:t>
      </w:r>
      <w:r>
        <w:rPr>
          <w:sz w:val="24"/>
        </w:rPr>
        <w:t>).</w:t>
      </w:r>
    </w:p>
    <w:p w14:paraId="086AE72E" w14:textId="77777777" w:rsidR="007A064A" w:rsidRDefault="007A064A" w:rsidP="007A064A">
      <w:pPr>
        <w:pStyle w:val="ListParagraph"/>
        <w:tabs>
          <w:tab w:val="left" w:pos="2025"/>
        </w:tabs>
        <w:ind w:left="0"/>
        <w:rPr>
          <w:noProof/>
          <w:sz w:val="24"/>
          <w:szCs w:val="24"/>
        </w:rPr>
      </w:pPr>
    </w:p>
    <w:p w14:paraId="792D524B" w14:textId="5678D7A6" w:rsidR="00C37DE1" w:rsidRPr="00074D4C" w:rsidRDefault="007A064A" w:rsidP="007A064A">
      <w:pPr>
        <w:pStyle w:val="ListParagraph"/>
        <w:tabs>
          <w:tab w:val="left" w:pos="2025"/>
        </w:tabs>
        <w:ind w:left="0"/>
        <w:rPr>
          <w:noProof/>
          <w:sz w:val="24"/>
          <w:szCs w:val="24"/>
        </w:rPr>
      </w:pPr>
      <w:r>
        <w:rPr>
          <w:sz w:val="24"/>
        </w:rPr>
        <w:t xml:space="preserve">55. Horizontālā sadrumstalotība bieži vien ir saistīta ar ģeogrāfiski sadrumstalotu vietējo pārvaldību. Šādos gadījumos atbildība par pakalpojumu sniegšanu tiek uzlikta daudzām mazām vietējām iestādēm, pat ja attiecīgās politikas jomas sniedzas pāri robežām. </w:t>
      </w:r>
      <w:r>
        <w:rPr>
          <w:i/>
          <w:sz w:val="24"/>
        </w:rPr>
        <w:t>Valle de México</w:t>
      </w:r>
      <w:r>
        <w:rPr>
          <w:sz w:val="24"/>
        </w:rPr>
        <w:t xml:space="preserve"> aglomerācija ir piemērs tam, ka politika netiek integrēta visā reģionā. Zemes izmantošanas plānošana kopumā ir sadalīta pa šajā teritorijā ietilpstošas 51 pašvaldības robežām. Līdzīgi arī sabiedriskais transports tiek nodrošināts atsevišķi Mehiko pilsētā un Mehiko pavalstī. Viens no risinājumiem būtu izveidot aglomerācijas struktūras pārrobežu sabiedrisko pakalpojumu sniegšanai un integrētai pilsētvides plānošanai. Šo sadrumstalotību varētu novērst ar juridisku mehānismu, kas veicina sadarbību dažādās politikas jomās (OECD, 2019</w:t>
      </w:r>
      <w:r>
        <w:rPr>
          <w:sz w:val="24"/>
          <w:vertAlign w:val="superscript"/>
        </w:rPr>
        <w:t>[65]</w:t>
      </w:r>
      <w:r>
        <w:rPr>
          <w:sz w:val="24"/>
        </w:rPr>
        <w:t>).</w:t>
      </w:r>
    </w:p>
    <w:p w14:paraId="154F6601" w14:textId="77777777" w:rsidR="007A064A" w:rsidRDefault="007A064A" w:rsidP="007A064A">
      <w:pPr>
        <w:pStyle w:val="ListParagraph"/>
        <w:tabs>
          <w:tab w:val="left" w:pos="2025"/>
        </w:tabs>
        <w:ind w:left="0"/>
        <w:rPr>
          <w:noProof/>
          <w:sz w:val="24"/>
          <w:szCs w:val="24"/>
        </w:rPr>
      </w:pPr>
    </w:p>
    <w:p w14:paraId="5ABAFE02" w14:textId="348DD32B" w:rsidR="00C37DE1" w:rsidRPr="00074D4C" w:rsidRDefault="007A064A" w:rsidP="007A064A">
      <w:pPr>
        <w:pStyle w:val="ListParagraph"/>
        <w:tabs>
          <w:tab w:val="left" w:pos="2025"/>
        </w:tabs>
        <w:ind w:left="0"/>
        <w:rPr>
          <w:noProof/>
          <w:sz w:val="24"/>
          <w:szCs w:val="24"/>
        </w:rPr>
      </w:pPr>
      <w:r>
        <w:rPr>
          <w:sz w:val="24"/>
        </w:rPr>
        <w:t>56. Ja mazām pašvaldībām ir grūtības nodrošināt izmaksu ziņā efektīvus sabiedriskos pakalpojumus, jurisdikciju sapludināšana ir acīmredzams, bet ne vienmēr optimāls risinājums. Pašvaldību savstarpējās sadarbības pasākumi ir elastīgāki, un tos var plānot, ņemot vērā atšķirīgas funkcionālās jomas (ģeogrāfiskās zonas), kas konkrētajam pakalpojumam ir visefektīvākās. Tomēr dažkārt tika ieteikts pilnībā apvienoties mazām pašvaldībām, piemēram, Francijā (OECD, 2015</w:t>
      </w:r>
      <w:r>
        <w:rPr>
          <w:sz w:val="24"/>
          <w:vertAlign w:val="superscript"/>
        </w:rPr>
        <w:t>[61]</w:t>
      </w:r>
      <w:r>
        <w:rPr>
          <w:sz w:val="24"/>
        </w:rPr>
        <w:t>), Norvēģijā (OECD, 2010</w:t>
      </w:r>
      <w:r>
        <w:rPr>
          <w:sz w:val="24"/>
          <w:vertAlign w:val="superscript"/>
        </w:rPr>
        <w:t>[66]</w:t>
      </w:r>
      <w:r>
        <w:rPr>
          <w:sz w:val="24"/>
        </w:rPr>
        <w:t>) un Austrijā (OECD, 2005</w:t>
      </w:r>
      <w:r>
        <w:rPr>
          <w:sz w:val="24"/>
          <w:vertAlign w:val="superscript"/>
        </w:rPr>
        <w:t>[44]</w:t>
      </w:r>
      <w:r>
        <w:rPr>
          <w:sz w:val="24"/>
        </w:rPr>
        <w:t>), savukārt Japānā tika ieteikts vairāk vērst uzmanību uz pašvaldību savstarpējās sadarbības pasākumiem, kas veidoti uz kopdarbības pamatiem, lai sniegtu atsevišķu pakalpojumu vai pakalpojumu kopu. Uzsverot to, ka pašvaldību savstarpējā sadarbība horizontālās sadrumstalotības novēršanai ir plaši piemērojama, de Mello (2019</w:t>
      </w:r>
      <w:r>
        <w:rPr>
          <w:sz w:val="24"/>
          <w:vertAlign w:val="superscript"/>
        </w:rPr>
        <w:t>[8]</w:t>
      </w:r>
      <w:r>
        <w:rPr>
          <w:sz w:val="24"/>
        </w:rPr>
        <w:t>) sniedz sīkākus piemērus par šo pieeju Somijā, Francijā, Itālijā un Turcijā.</w:t>
      </w:r>
    </w:p>
    <w:p w14:paraId="340B230A" w14:textId="77777777" w:rsidR="007A064A" w:rsidRDefault="007A064A" w:rsidP="007A064A">
      <w:pPr>
        <w:pStyle w:val="ListParagraph"/>
        <w:tabs>
          <w:tab w:val="left" w:pos="2025"/>
        </w:tabs>
        <w:ind w:left="0"/>
        <w:rPr>
          <w:noProof/>
          <w:sz w:val="24"/>
          <w:szCs w:val="24"/>
        </w:rPr>
      </w:pPr>
    </w:p>
    <w:p w14:paraId="52AF68D1" w14:textId="3D4C3CD2" w:rsidR="00C37DE1" w:rsidRPr="00074D4C" w:rsidRDefault="007A064A" w:rsidP="007A064A">
      <w:pPr>
        <w:pStyle w:val="ListParagraph"/>
        <w:tabs>
          <w:tab w:val="left" w:pos="2025"/>
        </w:tabs>
        <w:ind w:left="0"/>
        <w:rPr>
          <w:noProof/>
          <w:sz w:val="24"/>
          <w:szCs w:val="24"/>
        </w:rPr>
      </w:pPr>
      <w:r>
        <w:rPr>
          <w:sz w:val="24"/>
        </w:rPr>
        <w:lastRenderedPageBreak/>
        <w:t>57. Jo īpaši interesanta reakcija uz ģeogrāfisko sadrumstalotību ir konstatēta Beļģijas gadījumā. Saistībā ar ūdens resursu politiku tika konstatētas koordinēšanas problēmas, kas izpaudās tādējādi, ka pilnvarojums šajā jomā tika piešķirts reģioniem, savukārt upes baseini neatbilda reģionu robežām. Tādēļ tika ieteikts ūdens resursu politiku labāk integrēt, izveidojot ūdens apsaimniekošanas iestādes vai nu upju baseinu, vai valsts līmenī (OECD, 2011</w:t>
      </w:r>
      <w:r>
        <w:rPr>
          <w:sz w:val="24"/>
          <w:vertAlign w:val="superscript"/>
        </w:rPr>
        <w:t>[67]</w:t>
      </w:r>
      <w:r>
        <w:rPr>
          <w:sz w:val="24"/>
        </w:rPr>
        <w:t xml:space="preserve">). Sekojot šim ieteikumam, ar Beļģijas sesto valsts reformu tika veiktas būtiskas izmaiņas institucionālajā līmenī un vairāk kompetenču tika nodotas reģioniem. Tomēr joprojām ir svarīgi pārvarēt ģeogrāfisko sadrumstalotību. To veicina ar starpreģionālām struktūrām, piemēram, </w:t>
      </w:r>
      <w:r>
        <w:rPr>
          <w:i/>
          <w:sz w:val="24"/>
        </w:rPr>
        <w:t>Groupe Directeur Eau</w:t>
      </w:r>
      <w:r>
        <w:rPr>
          <w:sz w:val="24"/>
        </w:rPr>
        <w:t>, kas koordinē ieinteresētās puses ūdens pārvaldības jomā (Bruxelles environnement, 2019</w:t>
      </w:r>
      <w:r>
        <w:rPr>
          <w:sz w:val="24"/>
          <w:vertAlign w:val="superscript"/>
        </w:rPr>
        <w:t>[68]</w:t>
      </w:r>
      <w:r>
        <w:rPr>
          <w:sz w:val="24"/>
        </w:rPr>
        <w:t>).</w:t>
      </w:r>
    </w:p>
    <w:p w14:paraId="3B95A8A0" w14:textId="77777777" w:rsidR="007A064A" w:rsidRDefault="007A064A" w:rsidP="007A064A">
      <w:pPr>
        <w:pStyle w:val="ListParagraph"/>
        <w:tabs>
          <w:tab w:val="left" w:pos="2025"/>
        </w:tabs>
        <w:ind w:left="0"/>
        <w:rPr>
          <w:noProof/>
          <w:sz w:val="24"/>
          <w:szCs w:val="24"/>
        </w:rPr>
      </w:pPr>
    </w:p>
    <w:p w14:paraId="2E550ED1" w14:textId="21862CCF" w:rsidR="00C37DE1" w:rsidRPr="00074D4C" w:rsidRDefault="007A064A" w:rsidP="007A064A">
      <w:pPr>
        <w:pStyle w:val="ListParagraph"/>
        <w:tabs>
          <w:tab w:val="left" w:pos="2025"/>
        </w:tabs>
        <w:ind w:left="0"/>
        <w:rPr>
          <w:noProof/>
          <w:sz w:val="24"/>
          <w:szCs w:val="24"/>
        </w:rPr>
      </w:pPr>
      <w:r>
        <w:rPr>
          <w:sz w:val="24"/>
        </w:rPr>
        <w:t>58. Atsevišķos gadījumos ģeogrāfiskā sadrumstalotība ir motivējusi veidot jaunus reģionālus valdības līmeņus. Dānijā plašu pašvaldību reformu daļēji motivēja tas, ka veselības aprūpes pakalpojumu sniegšana bija pārāk sadrumstalota mazās administratīvajās vienībās. Līdz ar to veselības aprūpes pienākumi tika pārdalīti vienam no pieciem jaunizveidotiem reģioniem (OECD, 2012</w:t>
      </w:r>
      <w:r>
        <w:rPr>
          <w:sz w:val="24"/>
          <w:vertAlign w:val="superscript"/>
        </w:rPr>
        <w:t>[69]</w:t>
      </w:r>
      <w:r>
        <w:rPr>
          <w:sz w:val="24"/>
        </w:rPr>
        <w:t>).</w:t>
      </w:r>
    </w:p>
    <w:p w14:paraId="5D906DEF" w14:textId="77777777" w:rsidR="00C85C26" w:rsidRPr="00074D4C" w:rsidRDefault="00C85C26" w:rsidP="00C85C26">
      <w:pPr>
        <w:pStyle w:val="ListParagraph"/>
        <w:ind w:left="0"/>
        <w:rPr>
          <w:noProof/>
          <w:sz w:val="24"/>
          <w:szCs w:val="24"/>
        </w:rPr>
      </w:pPr>
    </w:p>
    <w:p w14:paraId="2EA8D7F7" w14:textId="77777777" w:rsidR="007A064A" w:rsidRDefault="007A064A" w:rsidP="007A064A">
      <w:pPr>
        <w:pStyle w:val="Heading4"/>
        <w:tabs>
          <w:tab w:val="left" w:pos="1044"/>
        </w:tabs>
        <w:spacing w:before="0"/>
        <w:ind w:left="0" w:firstLine="0"/>
        <w:rPr>
          <w:noProof/>
          <w:color w:val="4E81BC"/>
          <w:sz w:val="28"/>
          <w:szCs w:val="28"/>
        </w:rPr>
      </w:pPr>
      <w:bookmarkStart w:id="101" w:name="5.__Internal_market_and_coordination_bar"/>
      <w:bookmarkStart w:id="102" w:name="_bookmark29"/>
      <w:bookmarkEnd w:id="101"/>
      <w:bookmarkEnd w:id="102"/>
    </w:p>
    <w:p w14:paraId="2306F84C" w14:textId="723267F7" w:rsidR="00C37DE1" w:rsidRPr="007A064A" w:rsidRDefault="007A064A" w:rsidP="007A064A">
      <w:pPr>
        <w:pStyle w:val="Heading4"/>
        <w:tabs>
          <w:tab w:val="left" w:pos="1044"/>
        </w:tabs>
        <w:spacing w:before="0"/>
        <w:ind w:left="0" w:firstLine="0"/>
        <w:rPr>
          <w:noProof/>
          <w:color w:val="4E81BC"/>
          <w:sz w:val="28"/>
          <w:szCs w:val="28"/>
        </w:rPr>
      </w:pPr>
      <w:bookmarkStart w:id="103" w:name="_Toc211859116"/>
      <w:r>
        <w:rPr>
          <w:color w:val="4E81BC"/>
          <w:sz w:val="28"/>
        </w:rPr>
        <w:t>5. Iekšējais tirgus un koordinēšanas šķēršļi</w:t>
      </w:r>
      <w:bookmarkEnd w:id="103"/>
    </w:p>
    <w:p w14:paraId="1D9764C0" w14:textId="77777777" w:rsidR="007A064A" w:rsidRDefault="007A064A" w:rsidP="007A064A">
      <w:pPr>
        <w:pStyle w:val="ListParagraph"/>
        <w:tabs>
          <w:tab w:val="left" w:pos="1306"/>
          <w:tab w:val="left" w:pos="2025"/>
        </w:tabs>
        <w:ind w:left="0"/>
        <w:rPr>
          <w:noProof/>
          <w:sz w:val="24"/>
          <w:szCs w:val="24"/>
        </w:rPr>
      </w:pPr>
    </w:p>
    <w:p w14:paraId="5D7037A0" w14:textId="5BA5BBE8" w:rsidR="00C37DE1" w:rsidRPr="00074D4C" w:rsidRDefault="007A064A" w:rsidP="007A064A">
      <w:pPr>
        <w:pStyle w:val="ListParagraph"/>
        <w:tabs>
          <w:tab w:val="left" w:pos="1306"/>
          <w:tab w:val="left" w:pos="2025"/>
        </w:tabs>
        <w:ind w:left="0"/>
        <w:rPr>
          <w:noProof/>
          <w:sz w:val="24"/>
          <w:szCs w:val="24"/>
        </w:rPr>
      </w:pPr>
      <w:r>
        <w:rPr>
          <w:sz w:val="24"/>
        </w:rPr>
        <w:t>59. Starpvaldību fiskālās attiecības nekādā ziņā neaprobežojas tikai ar fiskālās politikas jautājumiem. Lai nodrošinātu efektīvu fiskālo federālismu, būtiska nozīme ir arī koordinēšanai un informācijas plūsmām. Piemēram, koordinēšanas kļūmju rezultātā dažādi valdības līmeņi var strādāt ar savstarpēji pretrunīgiem mērķiem. Bez uzraudzības un salīdzinošās novērtēšanas var pazemināties pakalpojuma standarti, jo īpaši tad, ja nav datu vai tie nav pieejami. Reglamentējoši šķēršļi valsts iekšējai tirdzniecībai var apgrūtināt preču, kapitāla un darbaspēka brīvu plūsmu valstī. Nevajadzīgas pašvaldību procedūru modifikācijas var mazināt apjomradītas priekšrocības, jo īpaši valsts iepirkumu jomā. Visbeidzot, neatbilstošs cilvēkresursu vai fiziskais kapitāls pašvaldību līmeņa sabiedrisko pakalpojumu sniegšanā var kavēt politikas īstenošanu.</w:t>
      </w:r>
    </w:p>
    <w:p w14:paraId="64A4318A" w14:textId="77777777" w:rsidR="007A064A" w:rsidRDefault="007A064A" w:rsidP="007A064A">
      <w:pPr>
        <w:pStyle w:val="ListParagraph"/>
        <w:tabs>
          <w:tab w:val="left" w:pos="2026"/>
        </w:tabs>
        <w:ind w:left="0"/>
        <w:rPr>
          <w:noProof/>
          <w:sz w:val="24"/>
          <w:szCs w:val="24"/>
        </w:rPr>
      </w:pPr>
    </w:p>
    <w:p w14:paraId="3512E1EC" w14:textId="457034BA" w:rsidR="00C37DE1" w:rsidRPr="00074D4C" w:rsidRDefault="007A064A" w:rsidP="007A064A">
      <w:pPr>
        <w:pStyle w:val="ListParagraph"/>
        <w:tabs>
          <w:tab w:val="left" w:pos="2026"/>
        </w:tabs>
        <w:ind w:left="0"/>
        <w:rPr>
          <w:noProof/>
          <w:sz w:val="24"/>
          <w:szCs w:val="24"/>
        </w:rPr>
      </w:pPr>
      <w:r>
        <w:rPr>
          <w:sz w:val="24"/>
        </w:rPr>
        <w:t>60. Lai novērstu šos jautājumus decentralizētā vidē, ir nepieciešama pienācīga starpvaldību fiskālā sadarbība. Piemēram, starpvaldību fiskālā sadarbība var stiprināt dažādu valdības līmeņu regulējuma saskaņotību, vienlaikus mazināt politikas pretrunas vai saspīlējumu un novērst iekšējā tirgus šķēršļus. Līdzīgi arī sadarbība var veicināt to, ka pašvaldības dalās ar prasmēm un tehnoloģijām. Tā var radīt arī “līdzinieku spiedienu”, lai nodrošinātu, ka tiek ievēroti saskaņoti noteikumi vai pieņemti vienoti standarti. Visbeidzot, starpvaldību fiskālā sadarbība var palīdzēt pašvaldībām izmantot apjomradītus ietaupījumus gan svarīgās valsts izdevumu jomās (piemēram, infrastruktūra), gan administrācijas jomā (piemēram, nodokļu politika un iepirkumi) (Ter-Minassian and de Mello, 2016</w:t>
      </w:r>
      <w:r>
        <w:rPr>
          <w:sz w:val="24"/>
          <w:vertAlign w:val="superscript"/>
        </w:rPr>
        <w:t>[70]</w:t>
      </w:r>
      <w:r>
        <w:rPr>
          <w:sz w:val="24"/>
        </w:rPr>
        <w:t>; de Mello, 2019</w:t>
      </w:r>
      <w:r>
        <w:rPr>
          <w:sz w:val="24"/>
          <w:vertAlign w:val="superscript"/>
        </w:rPr>
        <w:t>[8]</w:t>
      </w:r>
      <w:r>
        <w:rPr>
          <w:sz w:val="24"/>
        </w:rPr>
        <w:t>).</w:t>
      </w:r>
    </w:p>
    <w:p w14:paraId="292E7599" w14:textId="77777777" w:rsidR="007A064A" w:rsidRDefault="007A064A" w:rsidP="007A064A">
      <w:pPr>
        <w:pStyle w:val="ListParagraph"/>
        <w:tabs>
          <w:tab w:val="left" w:pos="2025"/>
        </w:tabs>
        <w:ind w:left="0"/>
        <w:rPr>
          <w:noProof/>
          <w:sz w:val="24"/>
          <w:szCs w:val="24"/>
        </w:rPr>
      </w:pPr>
    </w:p>
    <w:p w14:paraId="3071EAAF" w14:textId="3FBF5738" w:rsidR="00C37DE1" w:rsidRPr="00074D4C" w:rsidRDefault="007A064A" w:rsidP="007A064A">
      <w:pPr>
        <w:pStyle w:val="ListParagraph"/>
        <w:tabs>
          <w:tab w:val="left" w:pos="2025"/>
        </w:tabs>
        <w:ind w:left="0"/>
        <w:rPr>
          <w:noProof/>
          <w:sz w:val="24"/>
          <w:szCs w:val="24"/>
        </w:rPr>
      </w:pPr>
      <w:r>
        <w:rPr>
          <w:sz w:val="24"/>
        </w:rPr>
        <w:t>61. Būtiskākos piemērus par to, kā starpvaldību fiskālā sadarbība darbojas praksē, ir sniegušas gan Kanāda (federāla valsts), gan Dānija (unitāra valsts). Kanādā Federācijas padome, struktūra, kuras sastāvā ir provinču un teritoriālie vadītāji, darbojas kā starpvaldību fiskālās sadarbības forums. Tā veicina sadarbību iekšējās tirdzniecības, veselības aprūpes, ūdens resursu, enerģētikas un transporta jomā (Ter-Minassian and de Mello, 2016</w:t>
      </w:r>
      <w:r>
        <w:rPr>
          <w:sz w:val="24"/>
          <w:vertAlign w:val="superscript"/>
        </w:rPr>
        <w:t>[70]</w:t>
      </w:r>
      <w:r>
        <w:rPr>
          <w:sz w:val="24"/>
        </w:rPr>
        <w:t xml:space="preserve">). Dānijā 2007. gada vietējo pašvaldību reformu raksturoja papildinošā vertikālā fiskālā sadarbība (papildu mērķfinansējumi un līdzekļi no centrālās valdības, lai kompensētu pašvaldībām jaunās izmaksas) un horizontālā fiskālā sadarbība (pašvaldību apvienošanās). Tādējādi reforma tika labāk pieņemta un mazinājās stimuls pārnest izmaksas no viena valdības līmeņa uz citu. Šajā gadījumā starpvaldību fiskālā sadarbība bija veids, kā sasaistīt “teritoriālo </w:t>
      </w:r>
      <w:r>
        <w:rPr>
          <w:sz w:val="24"/>
        </w:rPr>
        <w:lastRenderedPageBreak/>
        <w:t>reformu, uzdevumu pārdali visos valdības līmeņos un finansējuma un izlīdzināšanas sistēmas reformu. Tas ļāva kompensējošās izmaksas un pabalstus pārnest no viena reformas elementa uz citu.” (OECD, 2012</w:t>
      </w:r>
      <w:r>
        <w:rPr>
          <w:sz w:val="24"/>
          <w:vertAlign w:val="superscript"/>
        </w:rPr>
        <w:t>[69]</w:t>
      </w:r>
      <w:r>
        <w:rPr>
          <w:sz w:val="24"/>
        </w:rPr>
        <w:t>).</w:t>
      </w:r>
    </w:p>
    <w:p w14:paraId="54755ABA" w14:textId="77777777" w:rsidR="007A064A" w:rsidRDefault="007A064A" w:rsidP="007A064A">
      <w:pPr>
        <w:pStyle w:val="ListParagraph"/>
        <w:tabs>
          <w:tab w:val="left" w:pos="2025"/>
        </w:tabs>
        <w:ind w:left="0"/>
        <w:rPr>
          <w:noProof/>
          <w:sz w:val="24"/>
          <w:szCs w:val="24"/>
        </w:rPr>
      </w:pPr>
    </w:p>
    <w:p w14:paraId="1D450E26" w14:textId="771D0EDC" w:rsidR="00C37DE1" w:rsidRPr="00074D4C" w:rsidRDefault="007A064A" w:rsidP="007A064A">
      <w:pPr>
        <w:pStyle w:val="ListParagraph"/>
        <w:tabs>
          <w:tab w:val="left" w:pos="2025"/>
        </w:tabs>
        <w:ind w:left="0"/>
        <w:rPr>
          <w:noProof/>
          <w:sz w:val="24"/>
          <w:szCs w:val="24"/>
        </w:rPr>
      </w:pPr>
      <w:r>
        <w:rPr>
          <w:sz w:val="24"/>
        </w:rPr>
        <w:t xml:space="preserve">62. Pamatojoties uz </w:t>
      </w:r>
      <w:r>
        <w:rPr>
          <w:i/>
          <w:iCs/>
          <w:sz w:val="24"/>
        </w:rPr>
        <w:t>OECD</w:t>
      </w:r>
      <w:r>
        <w:rPr>
          <w:sz w:val="24"/>
        </w:rPr>
        <w:t xml:space="preserve"> ekonomikas apsekojumu sintēzi, tika noteikti septiņu veidu ieteikumi, kā nodrošināt starpvaldību fiskālo sadarbību decentralizētā vidē, proti, uzlabot politikas saskaņošanu un koordinēšanu starp valdības līmeņiem, novērst iekšējā tirgus šķēršļus un mazināt regulējuma sadrumstalotību, uzlabot uzraudzību, tostarp izmantojot pārraudzību valsts līmenī, veikt darbības rezultātu salīdzinošo novērtējumu valsts un starptautiskā līmenī, uzlabot darbības novērtējuma datu kvalitāti un pieejamību, īstenot kopīgas procedūras un centralizēt iepirkumus pašvaldībās, kā arī pilnveidot pašvaldību profesionālo spēju. Šā dokumenta 3. tabulā ir parādīts, kurām valstīm ir sniegti šie ieteikumi.</w:t>
      </w:r>
    </w:p>
    <w:p w14:paraId="1423DF01" w14:textId="77777777" w:rsidR="00C85C26" w:rsidRPr="00074D4C" w:rsidRDefault="00C85C26" w:rsidP="00C85C26">
      <w:pPr>
        <w:pStyle w:val="ListParagraph"/>
        <w:ind w:left="0"/>
        <w:rPr>
          <w:noProof/>
          <w:sz w:val="24"/>
          <w:szCs w:val="24"/>
        </w:rPr>
      </w:pPr>
    </w:p>
    <w:p w14:paraId="15497FB6" w14:textId="77777777" w:rsidR="00C37DE1" w:rsidRPr="001970BD" w:rsidRDefault="00C37DE1" w:rsidP="001970BD">
      <w:pPr>
        <w:pStyle w:val="Heading3"/>
        <w:jc w:val="center"/>
        <w:rPr>
          <w:i w:val="0"/>
          <w:iCs w:val="0"/>
          <w:sz w:val="24"/>
          <w:szCs w:val="24"/>
        </w:rPr>
      </w:pPr>
      <w:bookmarkStart w:id="104" w:name="_bookmark30"/>
      <w:bookmarkStart w:id="105" w:name="_Toc211859574"/>
      <w:bookmarkEnd w:id="104"/>
      <w:r w:rsidRPr="001970BD">
        <w:rPr>
          <w:i w:val="0"/>
          <w:iCs w:val="0"/>
          <w:sz w:val="24"/>
          <w:szCs w:val="24"/>
        </w:rPr>
        <w:t>3. tabula. Ir septiņi pamatieteikumi attiecībā uz iekšējo šķēršļu samazināšanu un koordinēšanas uzlabošanu</w:t>
      </w:r>
      <w:bookmarkEnd w:id="105"/>
    </w:p>
    <w:p w14:paraId="3FB51301" w14:textId="77777777" w:rsidR="00C37DE1" w:rsidRPr="00074D4C" w:rsidRDefault="00C37DE1" w:rsidP="00C85C26">
      <w:pPr>
        <w:pStyle w:val="BodyText"/>
        <w:rPr>
          <w:b/>
          <w:noProof/>
          <w:sz w:val="24"/>
          <w:szCs w:val="24"/>
        </w:rPr>
      </w:pPr>
    </w:p>
    <w:p w14:paraId="20A6D572" w14:textId="77777777" w:rsidR="00C37DE1" w:rsidRPr="00074D4C" w:rsidRDefault="00C37DE1" w:rsidP="00C85C26">
      <w:pPr>
        <w:jc w:val="center"/>
        <w:rPr>
          <w:noProof/>
          <w:sz w:val="24"/>
          <w:szCs w:val="24"/>
        </w:rPr>
      </w:pPr>
      <w:r>
        <w:rPr>
          <w:sz w:val="24"/>
        </w:rPr>
        <w:t>Atsauces uz iekšējo šķēršļu samazināšanu un koordinēšanas uzlabošanu izvērtētajos valstu apsekojumos.</w:t>
      </w:r>
    </w:p>
    <w:p w14:paraId="3B574637" w14:textId="77777777" w:rsidR="00C37DE1" w:rsidRPr="00074D4C" w:rsidRDefault="00C37DE1" w:rsidP="00C85C26">
      <w:pPr>
        <w:pStyle w:val="BodyText"/>
        <w:rPr>
          <w:noProof/>
          <w:sz w:val="24"/>
          <w:szCs w:val="24"/>
        </w:rPr>
      </w:pPr>
    </w:p>
    <w:tbl>
      <w:tblPr>
        <w:tblW w:w="5000" w:type="pct"/>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top w:w="28" w:type="dxa"/>
          <w:left w:w="28" w:type="dxa"/>
          <w:bottom w:w="28" w:type="dxa"/>
          <w:right w:w="28" w:type="dxa"/>
        </w:tblCellMar>
        <w:tblLook w:val="01E0" w:firstRow="1" w:lastRow="1" w:firstColumn="1" w:lastColumn="1" w:noHBand="0" w:noVBand="0"/>
      </w:tblPr>
      <w:tblGrid>
        <w:gridCol w:w="1022"/>
        <w:gridCol w:w="1047"/>
        <w:gridCol w:w="1427"/>
        <w:gridCol w:w="1134"/>
        <w:gridCol w:w="1185"/>
        <w:gridCol w:w="1141"/>
        <w:gridCol w:w="1063"/>
        <w:gridCol w:w="1112"/>
      </w:tblGrid>
      <w:tr w:rsidR="00C37DE1" w:rsidRPr="007A064A" w14:paraId="56EAD473" w14:textId="77777777" w:rsidTr="00C856B2">
        <w:trPr>
          <w:trHeight w:val="1407"/>
        </w:trPr>
        <w:tc>
          <w:tcPr>
            <w:tcW w:w="559" w:type="pct"/>
            <w:tcBorders>
              <w:left w:val="single" w:sz="6" w:space="0" w:color="000000"/>
              <w:bottom w:val="single" w:sz="4" w:space="0" w:color="000000"/>
              <w:right w:val="single" w:sz="4" w:space="0" w:color="000000"/>
            </w:tcBorders>
          </w:tcPr>
          <w:p w14:paraId="1E2D709E" w14:textId="77777777" w:rsidR="00C37DE1" w:rsidRPr="007A064A" w:rsidRDefault="00C37DE1" w:rsidP="00C85C26">
            <w:pPr>
              <w:pStyle w:val="TableParagraph"/>
              <w:rPr>
                <w:noProof/>
                <w:sz w:val="20"/>
                <w:szCs w:val="20"/>
              </w:rPr>
            </w:pPr>
          </w:p>
        </w:tc>
        <w:tc>
          <w:tcPr>
            <w:tcW w:w="573" w:type="pct"/>
            <w:tcBorders>
              <w:left w:val="single" w:sz="4" w:space="0" w:color="000000"/>
              <w:bottom w:val="single" w:sz="4" w:space="0" w:color="000000"/>
              <w:right w:val="single" w:sz="4" w:space="0" w:color="000000"/>
            </w:tcBorders>
          </w:tcPr>
          <w:p w14:paraId="50461F8F" w14:textId="77777777" w:rsidR="00C37DE1" w:rsidRPr="007A064A" w:rsidRDefault="00C37DE1" w:rsidP="00F35C72">
            <w:pPr>
              <w:pStyle w:val="TableParagraph"/>
              <w:ind w:left="57" w:right="57" w:firstLine="9"/>
              <w:jc w:val="center"/>
              <w:rPr>
                <w:b/>
                <w:noProof/>
                <w:sz w:val="20"/>
                <w:szCs w:val="20"/>
              </w:rPr>
            </w:pPr>
            <w:r>
              <w:rPr>
                <w:b/>
                <w:sz w:val="20"/>
              </w:rPr>
              <w:t>Uzlabot politikas saskaņošanu un koordinēšanu starp valdības līmeņiem</w:t>
            </w:r>
          </w:p>
        </w:tc>
        <w:tc>
          <w:tcPr>
            <w:tcW w:w="781" w:type="pct"/>
            <w:tcBorders>
              <w:left w:val="single" w:sz="4" w:space="0" w:color="000000"/>
              <w:bottom w:val="single" w:sz="4" w:space="0" w:color="000000"/>
              <w:right w:val="single" w:sz="4" w:space="0" w:color="000000"/>
            </w:tcBorders>
          </w:tcPr>
          <w:p w14:paraId="2D3599B3" w14:textId="77777777" w:rsidR="00C37DE1" w:rsidRPr="007A064A" w:rsidRDefault="00C37DE1" w:rsidP="00F35C72">
            <w:pPr>
              <w:pStyle w:val="TableParagraph"/>
              <w:ind w:left="57" w:right="57"/>
              <w:jc w:val="center"/>
              <w:rPr>
                <w:b/>
                <w:noProof/>
                <w:sz w:val="20"/>
                <w:szCs w:val="20"/>
              </w:rPr>
            </w:pPr>
            <w:r>
              <w:rPr>
                <w:b/>
                <w:sz w:val="20"/>
              </w:rPr>
              <w:t>Novērst iekšējā tirgus šķēršļus un mazināt regulējuma sadrumstalotību</w:t>
            </w:r>
          </w:p>
        </w:tc>
        <w:tc>
          <w:tcPr>
            <w:tcW w:w="621" w:type="pct"/>
            <w:tcBorders>
              <w:left w:val="single" w:sz="4" w:space="0" w:color="000000"/>
              <w:bottom w:val="single" w:sz="4" w:space="0" w:color="000000"/>
              <w:right w:val="single" w:sz="4" w:space="0" w:color="000000"/>
            </w:tcBorders>
          </w:tcPr>
          <w:p w14:paraId="7C563F51" w14:textId="77777777" w:rsidR="00C37DE1" w:rsidRPr="007A064A" w:rsidRDefault="00C37DE1" w:rsidP="00F35C72">
            <w:pPr>
              <w:pStyle w:val="TableParagraph"/>
              <w:ind w:left="57" w:right="57" w:hanging="2"/>
              <w:jc w:val="center"/>
              <w:rPr>
                <w:b/>
                <w:noProof/>
                <w:sz w:val="20"/>
                <w:szCs w:val="20"/>
              </w:rPr>
            </w:pPr>
            <w:r>
              <w:rPr>
                <w:b/>
                <w:sz w:val="20"/>
              </w:rPr>
              <w:t>Uzlabot uzraudzību, tostarp izmantojot pārraudzību valsts līmenī</w:t>
            </w:r>
          </w:p>
        </w:tc>
        <w:tc>
          <w:tcPr>
            <w:tcW w:w="649" w:type="pct"/>
            <w:tcBorders>
              <w:left w:val="single" w:sz="4" w:space="0" w:color="000000"/>
              <w:bottom w:val="single" w:sz="4" w:space="0" w:color="000000"/>
              <w:right w:val="single" w:sz="4" w:space="0" w:color="000000"/>
            </w:tcBorders>
          </w:tcPr>
          <w:p w14:paraId="13C7F7B8" w14:textId="77777777" w:rsidR="00C37DE1" w:rsidRPr="007A064A" w:rsidRDefault="00C37DE1" w:rsidP="00F35C72">
            <w:pPr>
              <w:pStyle w:val="TableParagraph"/>
              <w:ind w:left="57" w:right="57"/>
              <w:jc w:val="center"/>
              <w:rPr>
                <w:b/>
                <w:noProof/>
                <w:sz w:val="20"/>
                <w:szCs w:val="20"/>
              </w:rPr>
            </w:pPr>
            <w:r>
              <w:rPr>
                <w:b/>
                <w:sz w:val="20"/>
              </w:rPr>
              <w:t>Veikt darbības rezultātu salīdzinošo novērtējumu valsts un starptautiskā līmenī</w:t>
            </w:r>
          </w:p>
        </w:tc>
        <w:tc>
          <w:tcPr>
            <w:tcW w:w="625" w:type="pct"/>
            <w:tcBorders>
              <w:left w:val="single" w:sz="4" w:space="0" w:color="000000"/>
              <w:bottom w:val="single" w:sz="4" w:space="0" w:color="000000"/>
              <w:right w:val="single" w:sz="4" w:space="0" w:color="000000"/>
            </w:tcBorders>
          </w:tcPr>
          <w:p w14:paraId="797719E5" w14:textId="77777777" w:rsidR="00C37DE1" w:rsidRPr="007A064A" w:rsidRDefault="00C37DE1" w:rsidP="00F35C72">
            <w:pPr>
              <w:pStyle w:val="TableParagraph"/>
              <w:ind w:left="57" w:right="57" w:hanging="4"/>
              <w:jc w:val="center"/>
              <w:rPr>
                <w:b/>
                <w:noProof/>
                <w:sz w:val="20"/>
                <w:szCs w:val="20"/>
              </w:rPr>
            </w:pPr>
            <w:r>
              <w:rPr>
                <w:b/>
                <w:sz w:val="20"/>
              </w:rPr>
              <w:t>Uzlabot darbības novērtējuma datu kvalitāti un pieejamību</w:t>
            </w:r>
          </w:p>
        </w:tc>
        <w:tc>
          <w:tcPr>
            <w:tcW w:w="582" w:type="pct"/>
            <w:tcBorders>
              <w:left w:val="single" w:sz="4" w:space="0" w:color="000000"/>
              <w:bottom w:val="single" w:sz="4" w:space="0" w:color="000000"/>
              <w:right w:val="single" w:sz="4" w:space="0" w:color="000000"/>
            </w:tcBorders>
          </w:tcPr>
          <w:p w14:paraId="69294E0A" w14:textId="77777777" w:rsidR="00C37DE1" w:rsidRPr="007A064A" w:rsidRDefault="00C37DE1" w:rsidP="00F35C72">
            <w:pPr>
              <w:pStyle w:val="TableParagraph"/>
              <w:ind w:left="57" w:right="57" w:hanging="3"/>
              <w:jc w:val="center"/>
              <w:rPr>
                <w:b/>
                <w:noProof/>
                <w:sz w:val="20"/>
                <w:szCs w:val="20"/>
              </w:rPr>
            </w:pPr>
            <w:r>
              <w:rPr>
                <w:b/>
                <w:sz w:val="20"/>
              </w:rPr>
              <w:t>Īstenot kopīgas procedūras un centralizēt iepirkumus pašvaldībās</w:t>
            </w:r>
          </w:p>
        </w:tc>
        <w:tc>
          <w:tcPr>
            <w:tcW w:w="609" w:type="pct"/>
            <w:tcBorders>
              <w:left w:val="single" w:sz="4" w:space="0" w:color="000000"/>
              <w:bottom w:val="single" w:sz="4" w:space="0" w:color="000000"/>
              <w:right w:val="single" w:sz="6" w:space="0" w:color="000000"/>
            </w:tcBorders>
          </w:tcPr>
          <w:p w14:paraId="70A3CC8B" w14:textId="77777777" w:rsidR="00C37DE1" w:rsidRPr="007A064A" w:rsidRDefault="00C37DE1" w:rsidP="00F35C72">
            <w:pPr>
              <w:pStyle w:val="TableParagraph"/>
              <w:ind w:left="57" w:right="57" w:hanging="3"/>
              <w:jc w:val="center"/>
              <w:rPr>
                <w:b/>
                <w:noProof/>
                <w:sz w:val="20"/>
                <w:szCs w:val="20"/>
              </w:rPr>
            </w:pPr>
            <w:r>
              <w:rPr>
                <w:b/>
                <w:sz w:val="20"/>
              </w:rPr>
              <w:t>Pilnveidot pašvaldību profesionālo spēju</w:t>
            </w:r>
          </w:p>
        </w:tc>
      </w:tr>
      <w:tr w:rsidR="00C37DE1" w:rsidRPr="007A064A" w14:paraId="38BAD072" w14:textId="77777777" w:rsidTr="00C856B2">
        <w:trPr>
          <w:trHeight w:val="266"/>
        </w:trPr>
        <w:tc>
          <w:tcPr>
            <w:tcW w:w="559" w:type="pct"/>
            <w:tcBorders>
              <w:top w:val="single" w:sz="4" w:space="0" w:color="000000"/>
              <w:left w:val="single" w:sz="6" w:space="0" w:color="000000"/>
              <w:bottom w:val="nil"/>
              <w:right w:val="single" w:sz="4" w:space="0" w:color="000000"/>
            </w:tcBorders>
            <w:shd w:val="clear" w:color="auto" w:fill="ECEFF7"/>
          </w:tcPr>
          <w:p w14:paraId="09E5259C" w14:textId="77777777" w:rsidR="00C37DE1" w:rsidRPr="007A064A" w:rsidRDefault="00C37DE1" w:rsidP="00F35C72">
            <w:pPr>
              <w:pStyle w:val="TableParagraph"/>
              <w:spacing w:before="60"/>
              <w:rPr>
                <w:b/>
                <w:i/>
                <w:noProof/>
                <w:sz w:val="20"/>
                <w:szCs w:val="20"/>
              </w:rPr>
            </w:pPr>
            <w:r>
              <w:rPr>
                <w:b/>
                <w:i/>
                <w:sz w:val="20"/>
              </w:rPr>
              <w:t>Austrālija</w:t>
            </w:r>
          </w:p>
        </w:tc>
        <w:tc>
          <w:tcPr>
            <w:tcW w:w="573" w:type="pct"/>
            <w:tcBorders>
              <w:top w:val="single" w:sz="4" w:space="0" w:color="000000"/>
              <w:left w:val="single" w:sz="4" w:space="0" w:color="000000"/>
              <w:bottom w:val="nil"/>
              <w:right w:val="single" w:sz="4" w:space="0" w:color="000000"/>
            </w:tcBorders>
            <w:shd w:val="clear" w:color="auto" w:fill="ECEFF7"/>
          </w:tcPr>
          <w:p w14:paraId="36E07F61"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single" w:sz="4" w:space="0" w:color="000000"/>
              <w:left w:val="single" w:sz="4" w:space="0" w:color="000000"/>
              <w:bottom w:val="nil"/>
              <w:right w:val="single" w:sz="4" w:space="0" w:color="000000"/>
            </w:tcBorders>
            <w:shd w:val="clear" w:color="auto" w:fill="ECEFF7"/>
          </w:tcPr>
          <w:p w14:paraId="5D837E6F" w14:textId="77777777" w:rsidR="00C37DE1" w:rsidRPr="007A064A" w:rsidRDefault="00C37DE1" w:rsidP="00C85C26">
            <w:pPr>
              <w:pStyle w:val="TableParagraph"/>
              <w:rPr>
                <w:noProof/>
                <w:sz w:val="20"/>
                <w:szCs w:val="20"/>
              </w:rPr>
            </w:pPr>
          </w:p>
        </w:tc>
        <w:tc>
          <w:tcPr>
            <w:tcW w:w="621" w:type="pct"/>
            <w:tcBorders>
              <w:top w:val="single" w:sz="4" w:space="0" w:color="000000"/>
              <w:left w:val="single" w:sz="4" w:space="0" w:color="000000"/>
              <w:bottom w:val="nil"/>
              <w:right w:val="single" w:sz="4" w:space="0" w:color="000000"/>
            </w:tcBorders>
            <w:shd w:val="clear" w:color="auto" w:fill="ECEFF7"/>
          </w:tcPr>
          <w:p w14:paraId="18964C22" w14:textId="77777777" w:rsidR="00C37DE1" w:rsidRPr="007A064A" w:rsidRDefault="00C37DE1" w:rsidP="00C85C26">
            <w:pPr>
              <w:pStyle w:val="TableParagraph"/>
              <w:rPr>
                <w:noProof/>
                <w:sz w:val="20"/>
                <w:szCs w:val="20"/>
              </w:rPr>
            </w:pPr>
          </w:p>
        </w:tc>
        <w:tc>
          <w:tcPr>
            <w:tcW w:w="649" w:type="pct"/>
            <w:tcBorders>
              <w:top w:val="single" w:sz="4" w:space="0" w:color="000000"/>
              <w:left w:val="single" w:sz="4" w:space="0" w:color="000000"/>
              <w:bottom w:val="nil"/>
              <w:right w:val="single" w:sz="4" w:space="0" w:color="000000"/>
            </w:tcBorders>
            <w:shd w:val="clear" w:color="auto" w:fill="ECEFF7"/>
          </w:tcPr>
          <w:p w14:paraId="58F365BA" w14:textId="77777777" w:rsidR="00C37DE1" w:rsidRPr="007A064A" w:rsidRDefault="00C37DE1" w:rsidP="00C85C26">
            <w:pPr>
              <w:pStyle w:val="TableParagraph"/>
              <w:rPr>
                <w:noProof/>
                <w:sz w:val="20"/>
                <w:szCs w:val="20"/>
              </w:rPr>
            </w:pPr>
          </w:p>
        </w:tc>
        <w:tc>
          <w:tcPr>
            <w:tcW w:w="625" w:type="pct"/>
            <w:tcBorders>
              <w:top w:val="single" w:sz="4" w:space="0" w:color="000000"/>
              <w:left w:val="single" w:sz="4" w:space="0" w:color="000000"/>
              <w:bottom w:val="nil"/>
              <w:right w:val="single" w:sz="4" w:space="0" w:color="000000"/>
            </w:tcBorders>
            <w:shd w:val="clear" w:color="auto" w:fill="ECEFF7"/>
          </w:tcPr>
          <w:p w14:paraId="0C928550"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single" w:sz="4" w:space="0" w:color="000000"/>
              <w:left w:val="single" w:sz="4" w:space="0" w:color="000000"/>
              <w:bottom w:val="nil"/>
              <w:right w:val="single" w:sz="4" w:space="0" w:color="000000"/>
            </w:tcBorders>
            <w:shd w:val="clear" w:color="auto" w:fill="ECEFF7"/>
          </w:tcPr>
          <w:p w14:paraId="6C110163" w14:textId="77777777" w:rsidR="00C37DE1" w:rsidRPr="007A064A" w:rsidRDefault="00C37DE1" w:rsidP="00C85C26">
            <w:pPr>
              <w:pStyle w:val="TableParagraph"/>
              <w:rPr>
                <w:noProof/>
                <w:sz w:val="20"/>
                <w:szCs w:val="20"/>
              </w:rPr>
            </w:pPr>
          </w:p>
        </w:tc>
        <w:tc>
          <w:tcPr>
            <w:tcW w:w="609" w:type="pct"/>
            <w:tcBorders>
              <w:top w:val="single" w:sz="4" w:space="0" w:color="000000"/>
              <w:left w:val="single" w:sz="4" w:space="0" w:color="000000"/>
              <w:bottom w:val="nil"/>
              <w:right w:val="single" w:sz="6" w:space="0" w:color="000000"/>
            </w:tcBorders>
            <w:shd w:val="clear" w:color="auto" w:fill="ECEFF7"/>
          </w:tcPr>
          <w:p w14:paraId="636F1D10" w14:textId="77777777" w:rsidR="00C37DE1" w:rsidRPr="007A064A" w:rsidRDefault="00C37DE1" w:rsidP="00C85C26">
            <w:pPr>
              <w:pStyle w:val="TableParagraph"/>
              <w:rPr>
                <w:noProof/>
                <w:sz w:val="20"/>
                <w:szCs w:val="20"/>
              </w:rPr>
            </w:pPr>
          </w:p>
        </w:tc>
      </w:tr>
      <w:tr w:rsidR="00C37DE1" w:rsidRPr="007A064A" w14:paraId="204247D1" w14:textId="77777777" w:rsidTr="00C856B2">
        <w:trPr>
          <w:trHeight w:val="266"/>
        </w:trPr>
        <w:tc>
          <w:tcPr>
            <w:tcW w:w="559" w:type="pct"/>
            <w:tcBorders>
              <w:top w:val="nil"/>
              <w:left w:val="single" w:sz="6" w:space="0" w:color="000000"/>
              <w:bottom w:val="nil"/>
              <w:right w:val="single" w:sz="4" w:space="0" w:color="000000"/>
            </w:tcBorders>
          </w:tcPr>
          <w:p w14:paraId="71DB72E3" w14:textId="77777777" w:rsidR="00C37DE1" w:rsidRPr="007A064A" w:rsidRDefault="00C37DE1" w:rsidP="00F35C72">
            <w:pPr>
              <w:pStyle w:val="TableParagraph"/>
              <w:spacing w:before="60"/>
              <w:rPr>
                <w:b/>
                <w:i/>
                <w:noProof/>
                <w:sz w:val="20"/>
                <w:szCs w:val="20"/>
              </w:rPr>
            </w:pPr>
            <w:r>
              <w:rPr>
                <w:b/>
                <w:i/>
                <w:sz w:val="20"/>
              </w:rPr>
              <w:t>Austrija</w:t>
            </w:r>
          </w:p>
        </w:tc>
        <w:tc>
          <w:tcPr>
            <w:tcW w:w="573" w:type="pct"/>
            <w:tcBorders>
              <w:top w:val="nil"/>
              <w:left w:val="single" w:sz="4" w:space="0" w:color="000000"/>
              <w:bottom w:val="nil"/>
              <w:right w:val="single" w:sz="4" w:space="0" w:color="000000"/>
            </w:tcBorders>
          </w:tcPr>
          <w:p w14:paraId="0AD367A1"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nil"/>
              <w:right w:val="single" w:sz="4" w:space="0" w:color="000000"/>
            </w:tcBorders>
          </w:tcPr>
          <w:p w14:paraId="6B3B3406"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tcPr>
          <w:p w14:paraId="5947AE48"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tcPr>
          <w:p w14:paraId="2DF5F3C6"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5" w:type="pct"/>
            <w:tcBorders>
              <w:top w:val="nil"/>
              <w:left w:val="single" w:sz="4" w:space="0" w:color="000000"/>
              <w:bottom w:val="nil"/>
              <w:right w:val="single" w:sz="4" w:space="0" w:color="000000"/>
            </w:tcBorders>
          </w:tcPr>
          <w:p w14:paraId="4F95B0D2"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tcPr>
          <w:p w14:paraId="3CAD437A"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5E027B55" w14:textId="77777777" w:rsidR="00C37DE1" w:rsidRPr="007A064A" w:rsidRDefault="00C37DE1" w:rsidP="00C85C26">
            <w:pPr>
              <w:pStyle w:val="TableParagraph"/>
              <w:rPr>
                <w:noProof/>
                <w:sz w:val="20"/>
                <w:szCs w:val="20"/>
              </w:rPr>
            </w:pPr>
          </w:p>
        </w:tc>
      </w:tr>
      <w:tr w:rsidR="00C37DE1" w:rsidRPr="007A064A" w14:paraId="631B46AA" w14:textId="77777777" w:rsidTr="00C856B2">
        <w:trPr>
          <w:trHeight w:val="266"/>
        </w:trPr>
        <w:tc>
          <w:tcPr>
            <w:tcW w:w="559" w:type="pct"/>
            <w:tcBorders>
              <w:top w:val="nil"/>
              <w:left w:val="single" w:sz="6" w:space="0" w:color="000000"/>
              <w:bottom w:val="nil"/>
              <w:right w:val="single" w:sz="4" w:space="0" w:color="000000"/>
            </w:tcBorders>
            <w:shd w:val="clear" w:color="auto" w:fill="ECEFF7"/>
          </w:tcPr>
          <w:p w14:paraId="29C9F1E5" w14:textId="77777777" w:rsidR="00C37DE1" w:rsidRPr="007A064A" w:rsidRDefault="00C37DE1" w:rsidP="00F35C72">
            <w:pPr>
              <w:pStyle w:val="TableParagraph"/>
              <w:spacing w:before="60"/>
              <w:rPr>
                <w:b/>
                <w:i/>
                <w:noProof/>
                <w:sz w:val="20"/>
                <w:szCs w:val="20"/>
              </w:rPr>
            </w:pPr>
            <w:r>
              <w:rPr>
                <w:b/>
                <w:i/>
                <w:sz w:val="20"/>
              </w:rPr>
              <w:t>Beļģija</w:t>
            </w:r>
          </w:p>
        </w:tc>
        <w:tc>
          <w:tcPr>
            <w:tcW w:w="573" w:type="pct"/>
            <w:tcBorders>
              <w:top w:val="nil"/>
              <w:left w:val="single" w:sz="4" w:space="0" w:color="000000"/>
              <w:bottom w:val="nil"/>
              <w:right w:val="single" w:sz="4" w:space="0" w:color="000000"/>
            </w:tcBorders>
            <w:shd w:val="clear" w:color="auto" w:fill="ECEFF7"/>
          </w:tcPr>
          <w:p w14:paraId="4351B748"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nil"/>
              <w:right w:val="single" w:sz="4" w:space="0" w:color="000000"/>
            </w:tcBorders>
            <w:shd w:val="clear" w:color="auto" w:fill="ECEFF7"/>
          </w:tcPr>
          <w:p w14:paraId="30F11DDF"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1" w:type="pct"/>
            <w:tcBorders>
              <w:top w:val="nil"/>
              <w:left w:val="single" w:sz="4" w:space="0" w:color="000000"/>
              <w:bottom w:val="nil"/>
              <w:right w:val="single" w:sz="4" w:space="0" w:color="000000"/>
            </w:tcBorders>
            <w:shd w:val="clear" w:color="auto" w:fill="ECEFF7"/>
          </w:tcPr>
          <w:p w14:paraId="2D13D040"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49" w:type="pct"/>
            <w:tcBorders>
              <w:top w:val="nil"/>
              <w:left w:val="single" w:sz="4" w:space="0" w:color="000000"/>
              <w:bottom w:val="nil"/>
              <w:right w:val="single" w:sz="4" w:space="0" w:color="000000"/>
            </w:tcBorders>
            <w:shd w:val="clear" w:color="auto" w:fill="ECEFF7"/>
          </w:tcPr>
          <w:p w14:paraId="6C28F1BA"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shd w:val="clear" w:color="auto" w:fill="ECEFF7"/>
          </w:tcPr>
          <w:p w14:paraId="79CE5B89"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shd w:val="clear" w:color="auto" w:fill="ECEFF7"/>
          </w:tcPr>
          <w:p w14:paraId="7C9A976B"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shd w:val="clear" w:color="auto" w:fill="ECEFF7"/>
          </w:tcPr>
          <w:p w14:paraId="51AFDF6D" w14:textId="77777777" w:rsidR="00C37DE1" w:rsidRPr="007A064A" w:rsidRDefault="00C37DE1" w:rsidP="00C85C26">
            <w:pPr>
              <w:pStyle w:val="TableParagraph"/>
              <w:rPr>
                <w:noProof/>
                <w:sz w:val="20"/>
                <w:szCs w:val="20"/>
              </w:rPr>
            </w:pPr>
          </w:p>
        </w:tc>
      </w:tr>
      <w:tr w:rsidR="00C37DE1" w:rsidRPr="007A064A" w14:paraId="78FA1DB9" w14:textId="77777777" w:rsidTr="00C856B2">
        <w:trPr>
          <w:trHeight w:val="266"/>
        </w:trPr>
        <w:tc>
          <w:tcPr>
            <w:tcW w:w="559" w:type="pct"/>
            <w:tcBorders>
              <w:top w:val="nil"/>
              <w:left w:val="single" w:sz="6" w:space="0" w:color="000000"/>
              <w:bottom w:val="nil"/>
              <w:right w:val="single" w:sz="4" w:space="0" w:color="000000"/>
            </w:tcBorders>
          </w:tcPr>
          <w:p w14:paraId="2872E171" w14:textId="77777777" w:rsidR="00C37DE1" w:rsidRPr="007A064A" w:rsidRDefault="00C37DE1" w:rsidP="00F35C72">
            <w:pPr>
              <w:pStyle w:val="TableParagraph"/>
              <w:spacing w:before="60"/>
              <w:rPr>
                <w:b/>
                <w:i/>
                <w:noProof/>
                <w:sz w:val="20"/>
                <w:szCs w:val="20"/>
              </w:rPr>
            </w:pPr>
            <w:r>
              <w:rPr>
                <w:b/>
                <w:i/>
                <w:sz w:val="20"/>
              </w:rPr>
              <w:t>Kanāda</w:t>
            </w:r>
          </w:p>
        </w:tc>
        <w:tc>
          <w:tcPr>
            <w:tcW w:w="573" w:type="pct"/>
            <w:tcBorders>
              <w:top w:val="nil"/>
              <w:left w:val="single" w:sz="4" w:space="0" w:color="000000"/>
              <w:bottom w:val="nil"/>
              <w:right w:val="single" w:sz="4" w:space="0" w:color="000000"/>
            </w:tcBorders>
          </w:tcPr>
          <w:p w14:paraId="5A3F854A"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tcPr>
          <w:p w14:paraId="51E94E89"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1" w:type="pct"/>
            <w:tcBorders>
              <w:top w:val="nil"/>
              <w:left w:val="single" w:sz="4" w:space="0" w:color="000000"/>
              <w:bottom w:val="nil"/>
              <w:right w:val="single" w:sz="4" w:space="0" w:color="000000"/>
            </w:tcBorders>
          </w:tcPr>
          <w:p w14:paraId="7E76B1C3"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tcPr>
          <w:p w14:paraId="2A8E776F"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tcPr>
          <w:p w14:paraId="36889EE3"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tcPr>
          <w:p w14:paraId="324441D5"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7F9E5A46" w14:textId="77777777" w:rsidR="00C37DE1" w:rsidRPr="007A064A" w:rsidRDefault="00C37DE1" w:rsidP="00C85C26">
            <w:pPr>
              <w:pStyle w:val="TableParagraph"/>
              <w:rPr>
                <w:noProof/>
                <w:sz w:val="20"/>
                <w:szCs w:val="20"/>
              </w:rPr>
            </w:pPr>
          </w:p>
        </w:tc>
      </w:tr>
      <w:tr w:rsidR="00C37DE1" w:rsidRPr="007A064A" w14:paraId="7B826571" w14:textId="77777777" w:rsidTr="00C856B2">
        <w:trPr>
          <w:trHeight w:val="264"/>
        </w:trPr>
        <w:tc>
          <w:tcPr>
            <w:tcW w:w="559" w:type="pct"/>
            <w:tcBorders>
              <w:top w:val="nil"/>
              <w:left w:val="single" w:sz="6" w:space="0" w:color="000000"/>
              <w:bottom w:val="nil"/>
              <w:right w:val="single" w:sz="4" w:space="0" w:color="000000"/>
            </w:tcBorders>
            <w:shd w:val="clear" w:color="auto" w:fill="ECEFF7"/>
          </w:tcPr>
          <w:p w14:paraId="2E532A6F" w14:textId="77777777" w:rsidR="00C37DE1" w:rsidRPr="007A064A" w:rsidRDefault="00C37DE1" w:rsidP="00F35C72">
            <w:pPr>
              <w:pStyle w:val="TableParagraph"/>
              <w:spacing w:before="60"/>
              <w:rPr>
                <w:b/>
                <w:i/>
                <w:noProof/>
                <w:sz w:val="20"/>
                <w:szCs w:val="20"/>
              </w:rPr>
            </w:pPr>
            <w:r>
              <w:rPr>
                <w:b/>
                <w:i/>
                <w:sz w:val="20"/>
              </w:rPr>
              <w:t>Čehijas Republika</w:t>
            </w:r>
          </w:p>
        </w:tc>
        <w:tc>
          <w:tcPr>
            <w:tcW w:w="573" w:type="pct"/>
            <w:tcBorders>
              <w:top w:val="nil"/>
              <w:left w:val="single" w:sz="4" w:space="0" w:color="000000"/>
              <w:bottom w:val="nil"/>
              <w:right w:val="single" w:sz="4" w:space="0" w:color="000000"/>
            </w:tcBorders>
            <w:shd w:val="clear" w:color="auto" w:fill="ECEFF7"/>
          </w:tcPr>
          <w:p w14:paraId="478FB147"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nil"/>
              <w:right w:val="single" w:sz="4" w:space="0" w:color="000000"/>
            </w:tcBorders>
            <w:shd w:val="clear" w:color="auto" w:fill="ECEFF7"/>
          </w:tcPr>
          <w:p w14:paraId="6E90B92C"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shd w:val="clear" w:color="auto" w:fill="ECEFF7"/>
          </w:tcPr>
          <w:p w14:paraId="411CB8A8"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shd w:val="clear" w:color="auto" w:fill="ECEFF7"/>
          </w:tcPr>
          <w:p w14:paraId="05E4DFA0"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shd w:val="clear" w:color="auto" w:fill="ECEFF7"/>
          </w:tcPr>
          <w:p w14:paraId="3863A164"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shd w:val="clear" w:color="auto" w:fill="ECEFF7"/>
          </w:tcPr>
          <w:p w14:paraId="61334FDE"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shd w:val="clear" w:color="auto" w:fill="ECEFF7"/>
          </w:tcPr>
          <w:p w14:paraId="088BEFFD" w14:textId="77777777" w:rsidR="00C37DE1" w:rsidRPr="007A064A" w:rsidRDefault="00C37DE1" w:rsidP="00C85C26">
            <w:pPr>
              <w:pStyle w:val="TableParagraph"/>
              <w:rPr>
                <w:noProof/>
                <w:sz w:val="20"/>
                <w:szCs w:val="20"/>
              </w:rPr>
            </w:pPr>
          </w:p>
        </w:tc>
      </w:tr>
      <w:tr w:rsidR="00C37DE1" w:rsidRPr="007A064A" w14:paraId="5644B7B1" w14:textId="77777777" w:rsidTr="00C856B2">
        <w:trPr>
          <w:trHeight w:val="266"/>
        </w:trPr>
        <w:tc>
          <w:tcPr>
            <w:tcW w:w="559" w:type="pct"/>
            <w:tcBorders>
              <w:top w:val="nil"/>
              <w:left w:val="single" w:sz="6" w:space="0" w:color="000000"/>
              <w:bottom w:val="nil"/>
              <w:right w:val="single" w:sz="4" w:space="0" w:color="000000"/>
            </w:tcBorders>
          </w:tcPr>
          <w:p w14:paraId="547AAA84" w14:textId="77777777" w:rsidR="00C37DE1" w:rsidRPr="007A064A" w:rsidRDefault="00C37DE1" w:rsidP="00F35C72">
            <w:pPr>
              <w:pStyle w:val="TableParagraph"/>
              <w:spacing w:before="60"/>
              <w:rPr>
                <w:b/>
                <w:i/>
                <w:noProof/>
                <w:sz w:val="20"/>
                <w:szCs w:val="20"/>
              </w:rPr>
            </w:pPr>
            <w:r>
              <w:rPr>
                <w:b/>
                <w:i/>
                <w:sz w:val="20"/>
              </w:rPr>
              <w:t>Dānija</w:t>
            </w:r>
          </w:p>
        </w:tc>
        <w:tc>
          <w:tcPr>
            <w:tcW w:w="573" w:type="pct"/>
            <w:tcBorders>
              <w:top w:val="nil"/>
              <w:left w:val="single" w:sz="4" w:space="0" w:color="000000"/>
              <w:bottom w:val="nil"/>
              <w:right w:val="single" w:sz="4" w:space="0" w:color="000000"/>
            </w:tcBorders>
          </w:tcPr>
          <w:p w14:paraId="00EC7D92"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tcPr>
          <w:p w14:paraId="0B9A07EF"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tcPr>
          <w:p w14:paraId="2F2F10A7"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49" w:type="pct"/>
            <w:tcBorders>
              <w:top w:val="nil"/>
              <w:left w:val="single" w:sz="4" w:space="0" w:color="000000"/>
              <w:bottom w:val="nil"/>
              <w:right w:val="single" w:sz="4" w:space="0" w:color="000000"/>
            </w:tcBorders>
          </w:tcPr>
          <w:p w14:paraId="3B9E97D2"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tcPr>
          <w:p w14:paraId="4E331783"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tcPr>
          <w:p w14:paraId="1919D203"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0E9A7344" w14:textId="77777777" w:rsidR="00C37DE1" w:rsidRPr="007A064A" w:rsidRDefault="00C37DE1" w:rsidP="00C85C26">
            <w:pPr>
              <w:pStyle w:val="TableParagraph"/>
              <w:rPr>
                <w:noProof/>
                <w:sz w:val="20"/>
                <w:szCs w:val="20"/>
              </w:rPr>
            </w:pPr>
          </w:p>
        </w:tc>
      </w:tr>
      <w:tr w:rsidR="00C37DE1" w:rsidRPr="007A064A" w14:paraId="73259D87" w14:textId="77777777" w:rsidTr="00C856B2">
        <w:trPr>
          <w:trHeight w:val="266"/>
        </w:trPr>
        <w:tc>
          <w:tcPr>
            <w:tcW w:w="559" w:type="pct"/>
            <w:tcBorders>
              <w:top w:val="nil"/>
              <w:left w:val="single" w:sz="6" w:space="0" w:color="000000"/>
              <w:bottom w:val="nil"/>
              <w:right w:val="single" w:sz="4" w:space="0" w:color="000000"/>
            </w:tcBorders>
            <w:shd w:val="clear" w:color="auto" w:fill="ECEFF7"/>
          </w:tcPr>
          <w:p w14:paraId="2547DFCA" w14:textId="77777777" w:rsidR="00C37DE1" w:rsidRPr="007A064A" w:rsidRDefault="00C37DE1" w:rsidP="00F35C72">
            <w:pPr>
              <w:pStyle w:val="TableParagraph"/>
              <w:spacing w:before="60"/>
              <w:rPr>
                <w:b/>
                <w:i/>
                <w:noProof/>
                <w:sz w:val="20"/>
                <w:szCs w:val="20"/>
              </w:rPr>
            </w:pPr>
            <w:r>
              <w:rPr>
                <w:b/>
                <w:i/>
                <w:sz w:val="20"/>
              </w:rPr>
              <w:t>Francija</w:t>
            </w:r>
          </w:p>
        </w:tc>
        <w:tc>
          <w:tcPr>
            <w:tcW w:w="573" w:type="pct"/>
            <w:tcBorders>
              <w:top w:val="nil"/>
              <w:left w:val="single" w:sz="4" w:space="0" w:color="000000"/>
              <w:bottom w:val="nil"/>
              <w:right w:val="single" w:sz="4" w:space="0" w:color="000000"/>
            </w:tcBorders>
            <w:shd w:val="clear" w:color="auto" w:fill="ECEFF7"/>
          </w:tcPr>
          <w:p w14:paraId="5160FDBB"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shd w:val="clear" w:color="auto" w:fill="ECEFF7"/>
          </w:tcPr>
          <w:p w14:paraId="10F2D55D"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shd w:val="clear" w:color="auto" w:fill="ECEFF7"/>
          </w:tcPr>
          <w:p w14:paraId="4EF00FE0"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shd w:val="clear" w:color="auto" w:fill="ECEFF7"/>
          </w:tcPr>
          <w:p w14:paraId="6A9DDBF7"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shd w:val="clear" w:color="auto" w:fill="ECEFF7"/>
          </w:tcPr>
          <w:p w14:paraId="450C7988"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nil"/>
              <w:left w:val="single" w:sz="4" w:space="0" w:color="000000"/>
              <w:bottom w:val="nil"/>
              <w:right w:val="single" w:sz="4" w:space="0" w:color="000000"/>
            </w:tcBorders>
            <w:shd w:val="clear" w:color="auto" w:fill="ECEFF7"/>
          </w:tcPr>
          <w:p w14:paraId="0A9F3857"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09" w:type="pct"/>
            <w:tcBorders>
              <w:top w:val="nil"/>
              <w:left w:val="single" w:sz="4" w:space="0" w:color="000000"/>
              <w:bottom w:val="nil"/>
              <w:right w:val="single" w:sz="6" w:space="0" w:color="000000"/>
            </w:tcBorders>
            <w:shd w:val="clear" w:color="auto" w:fill="ECEFF7"/>
          </w:tcPr>
          <w:p w14:paraId="19412498" w14:textId="77777777" w:rsidR="00C37DE1" w:rsidRPr="007A064A" w:rsidRDefault="00C37DE1" w:rsidP="00C85C26">
            <w:pPr>
              <w:pStyle w:val="TableParagraph"/>
              <w:jc w:val="right"/>
              <w:rPr>
                <w:noProof/>
                <w:sz w:val="20"/>
                <w:szCs w:val="20"/>
              </w:rPr>
            </w:pPr>
            <w:r>
              <w:rPr>
                <w:rFonts w:ascii="Segoe UI Symbol" w:hAnsi="Segoe UI Symbol"/>
                <w:sz w:val="20"/>
              </w:rPr>
              <w:t>✔</w:t>
            </w:r>
          </w:p>
        </w:tc>
      </w:tr>
      <w:tr w:rsidR="00C37DE1" w:rsidRPr="007A064A" w14:paraId="3FF5AF17" w14:textId="77777777" w:rsidTr="00C856B2">
        <w:trPr>
          <w:trHeight w:val="266"/>
        </w:trPr>
        <w:tc>
          <w:tcPr>
            <w:tcW w:w="559" w:type="pct"/>
            <w:tcBorders>
              <w:top w:val="nil"/>
              <w:left w:val="single" w:sz="6" w:space="0" w:color="000000"/>
              <w:bottom w:val="nil"/>
              <w:right w:val="single" w:sz="4" w:space="0" w:color="000000"/>
            </w:tcBorders>
          </w:tcPr>
          <w:p w14:paraId="05193ABC" w14:textId="77777777" w:rsidR="00C37DE1" w:rsidRPr="007A064A" w:rsidRDefault="00C37DE1" w:rsidP="00F35C72">
            <w:pPr>
              <w:pStyle w:val="TableParagraph"/>
              <w:spacing w:before="60"/>
              <w:rPr>
                <w:b/>
                <w:i/>
                <w:noProof/>
                <w:sz w:val="20"/>
                <w:szCs w:val="20"/>
              </w:rPr>
            </w:pPr>
            <w:r>
              <w:rPr>
                <w:b/>
                <w:i/>
                <w:sz w:val="20"/>
              </w:rPr>
              <w:t>Vācija</w:t>
            </w:r>
          </w:p>
        </w:tc>
        <w:tc>
          <w:tcPr>
            <w:tcW w:w="573" w:type="pct"/>
            <w:tcBorders>
              <w:top w:val="nil"/>
              <w:left w:val="single" w:sz="4" w:space="0" w:color="000000"/>
              <w:bottom w:val="nil"/>
              <w:right w:val="single" w:sz="4" w:space="0" w:color="000000"/>
            </w:tcBorders>
          </w:tcPr>
          <w:p w14:paraId="33EEE6FC"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tcPr>
          <w:p w14:paraId="6F201D39"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1" w:type="pct"/>
            <w:tcBorders>
              <w:top w:val="nil"/>
              <w:left w:val="single" w:sz="4" w:space="0" w:color="000000"/>
              <w:bottom w:val="nil"/>
              <w:right w:val="single" w:sz="4" w:space="0" w:color="000000"/>
            </w:tcBorders>
          </w:tcPr>
          <w:p w14:paraId="3E0DFF14"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tcPr>
          <w:p w14:paraId="39FF8758"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tcPr>
          <w:p w14:paraId="1AF81616"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nil"/>
              <w:left w:val="single" w:sz="4" w:space="0" w:color="000000"/>
              <w:bottom w:val="nil"/>
              <w:right w:val="single" w:sz="4" w:space="0" w:color="000000"/>
            </w:tcBorders>
          </w:tcPr>
          <w:p w14:paraId="3A73F8AC"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0E17BE8C" w14:textId="77777777" w:rsidR="00C37DE1" w:rsidRPr="007A064A" w:rsidRDefault="00C37DE1" w:rsidP="00C85C26">
            <w:pPr>
              <w:pStyle w:val="TableParagraph"/>
              <w:jc w:val="right"/>
              <w:rPr>
                <w:noProof/>
                <w:sz w:val="20"/>
                <w:szCs w:val="20"/>
              </w:rPr>
            </w:pPr>
            <w:r>
              <w:rPr>
                <w:rFonts w:ascii="Segoe UI Symbol" w:hAnsi="Segoe UI Symbol"/>
                <w:sz w:val="20"/>
              </w:rPr>
              <w:t>✔</w:t>
            </w:r>
          </w:p>
        </w:tc>
      </w:tr>
      <w:tr w:rsidR="00C37DE1" w:rsidRPr="007A064A" w14:paraId="24428964" w14:textId="77777777" w:rsidTr="00C856B2">
        <w:trPr>
          <w:trHeight w:val="266"/>
        </w:trPr>
        <w:tc>
          <w:tcPr>
            <w:tcW w:w="559" w:type="pct"/>
            <w:tcBorders>
              <w:top w:val="nil"/>
              <w:left w:val="single" w:sz="6" w:space="0" w:color="000000"/>
              <w:bottom w:val="nil"/>
              <w:right w:val="single" w:sz="4" w:space="0" w:color="000000"/>
            </w:tcBorders>
            <w:shd w:val="clear" w:color="auto" w:fill="ECEFF7"/>
          </w:tcPr>
          <w:p w14:paraId="4F4AE1F7" w14:textId="77777777" w:rsidR="00C37DE1" w:rsidRPr="007A064A" w:rsidRDefault="00C37DE1" w:rsidP="00F35C72">
            <w:pPr>
              <w:pStyle w:val="TableParagraph"/>
              <w:spacing w:before="60"/>
              <w:rPr>
                <w:b/>
                <w:i/>
                <w:noProof/>
                <w:sz w:val="20"/>
                <w:szCs w:val="20"/>
              </w:rPr>
            </w:pPr>
            <w:r>
              <w:rPr>
                <w:b/>
                <w:i/>
                <w:sz w:val="20"/>
              </w:rPr>
              <w:t>Indija</w:t>
            </w:r>
          </w:p>
        </w:tc>
        <w:tc>
          <w:tcPr>
            <w:tcW w:w="573" w:type="pct"/>
            <w:tcBorders>
              <w:top w:val="nil"/>
              <w:left w:val="single" w:sz="4" w:space="0" w:color="000000"/>
              <w:bottom w:val="nil"/>
              <w:right w:val="single" w:sz="4" w:space="0" w:color="000000"/>
            </w:tcBorders>
            <w:shd w:val="clear" w:color="auto" w:fill="ECEFF7"/>
          </w:tcPr>
          <w:p w14:paraId="06CBAE0E"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shd w:val="clear" w:color="auto" w:fill="ECEFF7"/>
          </w:tcPr>
          <w:p w14:paraId="4EE10316"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shd w:val="clear" w:color="auto" w:fill="ECEFF7"/>
          </w:tcPr>
          <w:p w14:paraId="29403F15"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shd w:val="clear" w:color="auto" w:fill="ECEFF7"/>
          </w:tcPr>
          <w:p w14:paraId="20C0C52C"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5" w:type="pct"/>
            <w:tcBorders>
              <w:top w:val="nil"/>
              <w:left w:val="single" w:sz="4" w:space="0" w:color="000000"/>
              <w:bottom w:val="nil"/>
              <w:right w:val="single" w:sz="4" w:space="0" w:color="000000"/>
            </w:tcBorders>
            <w:shd w:val="clear" w:color="auto" w:fill="ECEFF7"/>
          </w:tcPr>
          <w:p w14:paraId="1E58F9D6"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shd w:val="clear" w:color="auto" w:fill="ECEFF7"/>
          </w:tcPr>
          <w:p w14:paraId="567539D8"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shd w:val="clear" w:color="auto" w:fill="ECEFF7"/>
          </w:tcPr>
          <w:p w14:paraId="6A38E8A9" w14:textId="77777777" w:rsidR="00C37DE1" w:rsidRPr="007A064A" w:rsidRDefault="00C37DE1" w:rsidP="00C85C26">
            <w:pPr>
              <w:pStyle w:val="TableParagraph"/>
              <w:rPr>
                <w:noProof/>
                <w:sz w:val="20"/>
                <w:szCs w:val="20"/>
              </w:rPr>
            </w:pPr>
          </w:p>
        </w:tc>
      </w:tr>
      <w:tr w:rsidR="00C37DE1" w:rsidRPr="007A064A" w14:paraId="58B70EDB" w14:textId="77777777" w:rsidTr="00C856B2">
        <w:trPr>
          <w:trHeight w:val="266"/>
        </w:trPr>
        <w:tc>
          <w:tcPr>
            <w:tcW w:w="559" w:type="pct"/>
            <w:tcBorders>
              <w:top w:val="nil"/>
              <w:left w:val="single" w:sz="6" w:space="0" w:color="000000"/>
              <w:bottom w:val="nil"/>
              <w:right w:val="single" w:sz="4" w:space="0" w:color="000000"/>
            </w:tcBorders>
          </w:tcPr>
          <w:p w14:paraId="279D8DAF" w14:textId="77777777" w:rsidR="00C37DE1" w:rsidRPr="007A064A" w:rsidRDefault="00C37DE1" w:rsidP="00F35C72">
            <w:pPr>
              <w:pStyle w:val="TableParagraph"/>
              <w:spacing w:before="60"/>
              <w:rPr>
                <w:b/>
                <w:i/>
                <w:noProof/>
                <w:sz w:val="20"/>
                <w:szCs w:val="20"/>
              </w:rPr>
            </w:pPr>
            <w:r>
              <w:rPr>
                <w:b/>
                <w:i/>
                <w:sz w:val="20"/>
              </w:rPr>
              <w:t>Indonēzija</w:t>
            </w:r>
          </w:p>
        </w:tc>
        <w:tc>
          <w:tcPr>
            <w:tcW w:w="573" w:type="pct"/>
            <w:tcBorders>
              <w:top w:val="nil"/>
              <w:left w:val="single" w:sz="4" w:space="0" w:color="000000"/>
              <w:bottom w:val="nil"/>
              <w:right w:val="single" w:sz="4" w:space="0" w:color="000000"/>
            </w:tcBorders>
          </w:tcPr>
          <w:p w14:paraId="62512992"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tcPr>
          <w:p w14:paraId="5EB4AC51"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tcPr>
          <w:p w14:paraId="544376F1"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tcPr>
          <w:p w14:paraId="3B36DB62"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tcPr>
          <w:p w14:paraId="428B24A7"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tcPr>
          <w:p w14:paraId="6F0A03A4"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6E3A96C6" w14:textId="77777777" w:rsidR="00C37DE1" w:rsidRPr="007A064A" w:rsidRDefault="00C37DE1" w:rsidP="00C85C26">
            <w:pPr>
              <w:pStyle w:val="TableParagraph"/>
              <w:jc w:val="right"/>
              <w:rPr>
                <w:noProof/>
                <w:sz w:val="20"/>
                <w:szCs w:val="20"/>
              </w:rPr>
            </w:pPr>
            <w:r>
              <w:rPr>
                <w:rFonts w:ascii="Segoe UI Symbol" w:hAnsi="Segoe UI Symbol"/>
                <w:sz w:val="20"/>
              </w:rPr>
              <w:t>✔</w:t>
            </w:r>
          </w:p>
        </w:tc>
      </w:tr>
      <w:tr w:rsidR="00C37DE1" w:rsidRPr="007A064A" w14:paraId="5E77632D" w14:textId="77777777" w:rsidTr="00C856B2">
        <w:trPr>
          <w:trHeight w:val="266"/>
        </w:trPr>
        <w:tc>
          <w:tcPr>
            <w:tcW w:w="559" w:type="pct"/>
            <w:tcBorders>
              <w:top w:val="nil"/>
              <w:left w:val="single" w:sz="6" w:space="0" w:color="000000"/>
              <w:bottom w:val="nil"/>
              <w:right w:val="single" w:sz="4" w:space="0" w:color="000000"/>
            </w:tcBorders>
            <w:shd w:val="clear" w:color="auto" w:fill="ECEFF7"/>
          </w:tcPr>
          <w:p w14:paraId="01C1DB2D" w14:textId="77777777" w:rsidR="00C37DE1" w:rsidRPr="007A064A" w:rsidRDefault="00C37DE1" w:rsidP="00F35C72">
            <w:pPr>
              <w:pStyle w:val="TableParagraph"/>
              <w:spacing w:before="60"/>
              <w:rPr>
                <w:b/>
                <w:i/>
                <w:noProof/>
                <w:sz w:val="20"/>
                <w:szCs w:val="20"/>
              </w:rPr>
            </w:pPr>
            <w:r>
              <w:rPr>
                <w:b/>
                <w:i/>
                <w:sz w:val="20"/>
              </w:rPr>
              <w:t>Itālija</w:t>
            </w:r>
          </w:p>
        </w:tc>
        <w:tc>
          <w:tcPr>
            <w:tcW w:w="573" w:type="pct"/>
            <w:tcBorders>
              <w:top w:val="nil"/>
              <w:left w:val="single" w:sz="4" w:space="0" w:color="000000"/>
              <w:bottom w:val="nil"/>
              <w:right w:val="single" w:sz="4" w:space="0" w:color="000000"/>
            </w:tcBorders>
            <w:shd w:val="clear" w:color="auto" w:fill="ECEFF7"/>
          </w:tcPr>
          <w:p w14:paraId="05020B3E"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nil"/>
              <w:right w:val="single" w:sz="4" w:space="0" w:color="000000"/>
            </w:tcBorders>
            <w:shd w:val="clear" w:color="auto" w:fill="ECEFF7"/>
          </w:tcPr>
          <w:p w14:paraId="3A75FE5A"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shd w:val="clear" w:color="auto" w:fill="ECEFF7"/>
          </w:tcPr>
          <w:p w14:paraId="5BAB8F56" w14:textId="77777777" w:rsidR="00C37DE1" w:rsidRPr="007A064A" w:rsidRDefault="00C37DE1" w:rsidP="00C85C26">
            <w:pPr>
              <w:pStyle w:val="TableParagraph"/>
              <w:rPr>
                <w:noProof/>
                <w:sz w:val="20"/>
                <w:szCs w:val="20"/>
              </w:rPr>
            </w:pPr>
          </w:p>
        </w:tc>
        <w:tc>
          <w:tcPr>
            <w:tcW w:w="649" w:type="pct"/>
            <w:tcBorders>
              <w:top w:val="nil"/>
              <w:left w:val="single" w:sz="4" w:space="0" w:color="000000"/>
              <w:bottom w:val="nil"/>
              <w:right w:val="single" w:sz="4" w:space="0" w:color="000000"/>
            </w:tcBorders>
            <w:shd w:val="clear" w:color="auto" w:fill="ECEFF7"/>
          </w:tcPr>
          <w:p w14:paraId="5FA6C030"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5" w:type="pct"/>
            <w:tcBorders>
              <w:top w:val="nil"/>
              <w:left w:val="single" w:sz="4" w:space="0" w:color="000000"/>
              <w:bottom w:val="nil"/>
              <w:right w:val="single" w:sz="4" w:space="0" w:color="000000"/>
            </w:tcBorders>
            <w:shd w:val="clear" w:color="auto" w:fill="ECEFF7"/>
          </w:tcPr>
          <w:p w14:paraId="1B27EB80"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nil"/>
              <w:left w:val="single" w:sz="4" w:space="0" w:color="000000"/>
              <w:bottom w:val="nil"/>
              <w:right w:val="single" w:sz="4" w:space="0" w:color="000000"/>
            </w:tcBorders>
            <w:shd w:val="clear" w:color="auto" w:fill="ECEFF7"/>
          </w:tcPr>
          <w:p w14:paraId="65823CDA"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09" w:type="pct"/>
            <w:tcBorders>
              <w:top w:val="nil"/>
              <w:left w:val="single" w:sz="4" w:space="0" w:color="000000"/>
              <w:bottom w:val="nil"/>
              <w:right w:val="single" w:sz="6" w:space="0" w:color="000000"/>
            </w:tcBorders>
            <w:shd w:val="clear" w:color="auto" w:fill="ECEFF7"/>
          </w:tcPr>
          <w:p w14:paraId="50656F9B" w14:textId="77777777" w:rsidR="00C37DE1" w:rsidRPr="007A064A" w:rsidRDefault="00C37DE1" w:rsidP="00C85C26">
            <w:pPr>
              <w:pStyle w:val="TableParagraph"/>
              <w:rPr>
                <w:noProof/>
                <w:sz w:val="20"/>
                <w:szCs w:val="20"/>
              </w:rPr>
            </w:pPr>
          </w:p>
        </w:tc>
      </w:tr>
      <w:tr w:rsidR="00C37DE1" w:rsidRPr="007A064A" w14:paraId="0B973D3D" w14:textId="77777777" w:rsidTr="00C856B2">
        <w:trPr>
          <w:trHeight w:val="266"/>
        </w:trPr>
        <w:tc>
          <w:tcPr>
            <w:tcW w:w="559" w:type="pct"/>
            <w:tcBorders>
              <w:top w:val="nil"/>
              <w:left w:val="single" w:sz="6" w:space="0" w:color="000000"/>
              <w:bottom w:val="nil"/>
              <w:right w:val="single" w:sz="4" w:space="0" w:color="000000"/>
            </w:tcBorders>
          </w:tcPr>
          <w:p w14:paraId="25249555" w14:textId="77777777" w:rsidR="00C37DE1" w:rsidRPr="007A064A" w:rsidRDefault="00C37DE1" w:rsidP="00F35C72">
            <w:pPr>
              <w:pStyle w:val="TableParagraph"/>
              <w:spacing w:before="60"/>
              <w:rPr>
                <w:b/>
                <w:i/>
                <w:noProof/>
                <w:sz w:val="20"/>
                <w:szCs w:val="20"/>
              </w:rPr>
            </w:pPr>
            <w:r>
              <w:rPr>
                <w:b/>
                <w:i/>
                <w:sz w:val="20"/>
              </w:rPr>
              <w:t>Meksika</w:t>
            </w:r>
          </w:p>
        </w:tc>
        <w:tc>
          <w:tcPr>
            <w:tcW w:w="573" w:type="pct"/>
            <w:tcBorders>
              <w:top w:val="nil"/>
              <w:left w:val="single" w:sz="4" w:space="0" w:color="000000"/>
              <w:bottom w:val="nil"/>
              <w:right w:val="single" w:sz="4" w:space="0" w:color="000000"/>
            </w:tcBorders>
          </w:tcPr>
          <w:p w14:paraId="0781AB82" w14:textId="77777777" w:rsidR="00C37DE1" w:rsidRPr="007A064A" w:rsidRDefault="00C37DE1" w:rsidP="00C85C26">
            <w:pPr>
              <w:pStyle w:val="TableParagraph"/>
              <w:rPr>
                <w:noProof/>
                <w:sz w:val="20"/>
                <w:szCs w:val="20"/>
              </w:rPr>
            </w:pPr>
          </w:p>
        </w:tc>
        <w:tc>
          <w:tcPr>
            <w:tcW w:w="781" w:type="pct"/>
            <w:tcBorders>
              <w:top w:val="nil"/>
              <w:left w:val="single" w:sz="4" w:space="0" w:color="000000"/>
              <w:bottom w:val="nil"/>
              <w:right w:val="single" w:sz="4" w:space="0" w:color="000000"/>
            </w:tcBorders>
          </w:tcPr>
          <w:p w14:paraId="149D5499" w14:textId="77777777" w:rsidR="00C37DE1" w:rsidRPr="007A064A" w:rsidRDefault="00C37DE1" w:rsidP="00C85C26">
            <w:pPr>
              <w:pStyle w:val="TableParagraph"/>
              <w:rPr>
                <w:noProof/>
                <w:sz w:val="20"/>
                <w:szCs w:val="20"/>
              </w:rPr>
            </w:pPr>
          </w:p>
        </w:tc>
        <w:tc>
          <w:tcPr>
            <w:tcW w:w="621" w:type="pct"/>
            <w:tcBorders>
              <w:top w:val="nil"/>
              <w:left w:val="single" w:sz="4" w:space="0" w:color="000000"/>
              <w:bottom w:val="nil"/>
              <w:right w:val="single" w:sz="4" w:space="0" w:color="000000"/>
            </w:tcBorders>
          </w:tcPr>
          <w:p w14:paraId="72C33829"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49" w:type="pct"/>
            <w:tcBorders>
              <w:top w:val="nil"/>
              <w:left w:val="single" w:sz="4" w:space="0" w:color="000000"/>
              <w:bottom w:val="nil"/>
              <w:right w:val="single" w:sz="4" w:space="0" w:color="000000"/>
            </w:tcBorders>
          </w:tcPr>
          <w:p w14:paraId="464E8125"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nil"/>
              <w:right w:val="single" w:sz="4" w:space="0" w:color="000000"/>
            </w:tcBorders>
          </w:tcPr>
          <w:p w14:paraId="4CBD32D8"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nil"/>
              <w:left w:val="single" w:sz="4" w:space="0" w:color="000000"/>
              <w:bottom w:val="nil"/>
              <w:right w:val="single" w:sz="4" w:space="0" w:color="000000"/>
            </w:tcBorders>
          </w:tcPr>
          <w:p w14:paraId="11547079"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tcPr>
          <w:p w14:paraId="6F6B89ED" w14:textId="77777777" w:rsidR="00C37DE1" w:rsidRPr="007A064A" w:rsidRDefault="00C37DE1" w:rsidP="00C85C26">
            <w:pPr>
              <w:pStyle w:val="TableParagraph"/>
              <w:jc w:val="right"/>
              <w:rPr>
                <w:noProof/>
                <w:sz w:val="20"/>
                <w:szCs w:val="20"/>
              </w:rPr>
            </w:pPr>
            <w:r>
              <w:rPr>
                <w:rFonts w:ascii="Segoe UI Symbol" w:hAnsi="Segoe UI Symbol"/>
                <w:sz w:val="20"/>
              </w:rPr>
              <w:t>✔</w:t>
            </w:r>
          </w:p>
        </w:tc>
      </w:tr>
      <w:tr w:rsidR="00C37DE1" w:rsidRPr="007A064A" w14:paraId="5B764D3C" w14:textId="77777777" w:rsidTr="00C856B2">
        <w:trPr>
          <w:trHeight w:val="266"/>
        </w:trPr>
        <w:tc>
          <w:tcPr>
            <w:tcW w:w="559" w:type="pct"/>
            <w:tcBorders>
              <w:top w:val="nil"/>
              <w:left w:val="single" w:sz="6" w:space="0" w:color="000000"/>
              <w:bottom w:val="nil"/>
              <w:right w:val="single" w:sz="4" w:space="0" w:color="000000"/>
            </w:tcBorders>
            <w:shd w:val="clear" w:color="auto" w:fill="ECEFF7"/>
          </w:tcPr>
          <w:p w14:paraId="4415159E" w14:textId="77777777" w:rsidR="00C37DE1" w:rsidRPr="007A064A" w:rsidRDefault="00C37DE1" w:rsidP="00F35C72">
            <w:pPr>
              <w:pStyle w:val="TableParagraph"/>
              <w:spacing w:before="60"/>
              <w:rPr>
                <w:b/>
                <w:i/>
                <w:noProof/>
                <w:sz w:val="20"/>
                <w:szCs w:val="20"/>
              </w:rPr>
            </w:pPr>
            <w:r>
              <w:rPr>
                <w:b/>
                <w:i/>
                <w:sz w:val="20"/>
              </w:rPr>
              <w:t>Spānija</w:t>
            </w:r>
          </w:p>
        </w:tc>
        <w:tc>
          <w:tcPr>
            <w:tcW w:w="573" w:type="pct"/>
            <w:tcBorders>
              <w:top w:val="nil"/>
              <w:left w:val="single" w:sz="4" w:space="0" w:color="000000"/>
              <w:bottom w:val="nil"/>
              <w:right w:val="single" w:sz="4" w:space="0" w:color="000000"/>
            </w:tcBorders>
            <w:shd w:val="clear" w:color="auto" w:fill="ECEFF7"/>
          </w:tcPr>
          <w:p w14:paraId="77EB1AAC"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nil"/>
              <w:right w:val="single" w:sz="4" w:space="0" w:color="000000"/>
            </w:tcBorders>
            <w:shd w:val="clear" w:color="auto" w:fill="ECEFF7"/>
          </w:tcPr>
          <w:p w14:paraId="116B353E"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1" w:type="pct"/>
            <w:tcBorders>
              <w:top w:val="nil"/>
              <w:left w:val="single" w:sz="4" w:space="0" w:color="000000"/>
              <w:bottom w:val="nil"/>
              <w:right w:val="single" w:sz="4" w:space="0" w:color="000000"/>
            </w:tcBorders>
            <w:shd w:val="clear" w:color="auto" w:fill="ECEFF7"/>
          </w:tcPr>
          <w:p w14:paraId="58E64FA2"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49" w:type="pct"/>
            <w:tcBorders>
              <w:top w:val="nil"/>
              <w:left w:val="single" w:sz="4" w:space="0" w:color="000000"/>
              <w:bottom w:val="nil"/>
              <w:right w:val="single" w:sz="4" w:space="0" w:color="000000"/>
            </w:tcBorders>
            <w:shd w:val="clear" w:color="auto" w:fill="ECEFF7"/>
          </w:tcPr>
          <w:p w14:paraId="1689D7F7"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5" w:type="pct"/>
            <w:tcBorders>
              <w:top w:val="nil"/>
              <w:left w:val="single" w:sz="4" w:space="0" w:color="000000"/>
              <w:bottom w:val="nil"/>
              <w:right w:val="single" w:sz="4" w:space="0" w:color="000000"/>
            </w:tcBorders>
            <w:shd w:val="clear" w:color="auto" w:fill="ECEFF7"/>
          </w:tcPr>
          <w:p w14:paraId="412ED79A" w14:textId="77777777" w:rsidR="00C37DE1" w:rsidRPr="007A064A" w:rsidRDefault="00C37DE1" w:rsidP="00C85C26">
            <w:pPr>
              <w:pStyle w:val="TableParagraph"/>
              <w:rPr>
                <w:noProof/>
                <w:sz w:val="20"/>
                <w:szCs w:val="20"/>
              </w:rPr>
            </w:pPr>
          </w:p>
        </w:tc>
        <w:tc>
          <w:tcPr>
            <w:tcW w:w="582" w:type="pct"/>
            <w:tcBorders>
              <w:top w:val="nil"/>
              <w:left w:val="single" w:sz="4" w:space="0" w:color="000000"/>
              <w:bottom w:val="nil"/>
              <w:right w:val="single" w:sz="4" w:space="0" w:color="000000"/>
            </w:tcBorders>
            <w:shd w:val="clear" w:color="auto" w:fill="ECEFF7"/>
          </w:tcPr>
          <w:p w14:paraId="3D12039D" w14:textId="77777777" w:rsidR="00C37DE1" w:rsidRPr="007A064A" w:rsidRDefault="00C37DE1" w:rsidP="00C85C26">
            <w:pPr>
              <w:pStyle w:val="TableParagraph"/>
              <w:rPr>
                <w:noProof/>
                <w:sz w:val="20"/>
                <w:szCs w:val="20"/>
              </w:rPr>
            </w:pPr>
          </w:p>
        </w:tc>
        <w:tc>
          <w:tcPr>
            <w:tcW w:w="609" w:type="pct"/>
            <w:tcBorders>
              <w:top w:val="nil"/>
              <w:left w:val="single" w:sz="4" w:space="0" w:color="000000"/>
              <w:bottom w:val="nil"/>
              <w:right w:val="single" w:sz="6" w:space="0" w:color="000000"/>
            </w:tcBorders>
            <w:shd w:val="clear" w:color="auto" w:fill="ECEFF7"/>
          </w:tcPr>
          <w:p w14:paraId="7721819D" w14:textId="77777777" w:rsidR="00C37DE1" w:rsidRPr="007A064A" w:rsidRDefault="00C37DE1" w:rsidP="00C85C26">
            <w:pPr>
              <w:pStyle w:val="TableParagraph"/>
              <w:rPr>
                <w:noProof/>
                <w:sz w:val="20"/>
                <w:szCs w:val="20"/>
              </w:rPr>
            </w:pPr>
          </w:p>
        </w:tc>
      </w:tr>
      <w:tr w:rsidR="00C37DE1" w:rsidRPr="007A064A" w14:paraId="333A4883" w14:textId="77777777" w:rsidTr="00C856B2">
        <w:trPr>
          <w:trHeight w:val="265"/>
        </w:trPr>
        <w:tc>
          <w:tcPr>
            <w:tcW w:w="559" w:type="pct"/>
            <w:tcBorders>
              <w:top w:val="nil"/>
              <w:left w:val="single" w:sz="6" w:space="0" w:color="000000"/>
              <w:bottom w:val="single" w:sz="12" w:space="0" w:color="000000"/>
              <w:right w:val="single" w:sz="4" w:space="0" w:color="000000"/>
            </w:tcBorders>
          </w:tcPr>
          <w:p w14:paraId="647DD188" w14:textId="77777777" w:rsidR="00C37DE1" w:rsidRPr="007A064A" w:rsidRDefault="00C37DE1" w:rsidP="00F35C72">
            <w:pPr>
              <w:pStyle w:val="TableParagraph"/>
              <w:spacing w:before="60"/>
              <w:rPr>
                <w:b/>
                <w:i/>
                <w:noProof/>
                <w:sz w:val="20"/>
                <w:szCs w:val="20"/>
              </w:rPr>
            </w:pPr>
            <w:r>
              <w:rPr>
                <w:b/>
                <w:i/>
                <w:sz w:val="20"/>
              </w:rPr>
              <w:t>Šveice</w:t>
            </w:r>
          </w:p>
        </w:tc>
        <w:tc>
          <w:tcPr>
            <w:tcW w:w="573" w:type="pct"/>
            <w:tcBorders>
              <w:top w:val="nil"/>
              <w:left w:val="single" w:sz="4" w:space="0" w:color="000000"/>
              <w:bottom w:val="single" w:sz="12" w:space="0" w:color="000000"/>
              <w:right w:val="single" w:sz="4" w:space="0" w:color="000000"/>
            </w:tcBorders>
          </w:tcPr>
          <w:p w14:paraId="49DC4D56"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781" w:type="pct"/>
            <w:tcBorders>
              <w:top w:val="nil"/>
              <w:left w:val="single" w:sz="4" w:space="0" w:color="000000"/>
              <w:bottom w:val="single" w:sz="12" w:space="0" w:color="000000"/>
              <w:right w:val="single" w:sz="4" w:space="0" w:color="000000"/>
            </w:tcBorders>
          </w:tcPr>
          <w:p w14:paraId="238FAA8B"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21" w:type="pct"/>
            <w:tcBorders>
              <w:top w:val="nil"/>
              <w:left w:val="single" w:sz="4" w:space="0" w:color="000000"/>
              <w:bottom w:val="single" w:sz="12" w:space="0" w:color="000000"/>
              <w:right w:val="single" w:sz="4" w:space="0" w:color="000000"/>
            </w:tcBorders>
          </w:tcPr>
          <w:p w14:paraId="598E6937"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49" w:type="pct"/>
            <w:tcBorders>
              <w:top w:val="nil"/>
              <w:left w:val="single" w:sz="4" w:space="0" w:color="000000"/>
              <w:bottom w:val="single" w:sz="12" w:space="0" w:color="000000"/>
              <w:right w:val="single" w:sz="4" w:space="0" w:color="000000"/>
            </w:tcBorders>
          </w:tcPr>
          <w:p w14:paraId="47675133" w14:textId="77777777" w:rsidR="00C37DE1" w:rsidRPr="007A064A" w:rsidRDefault="00C37DE1" w:rsidP="00C85C26">
            <w:pPr>
              <w:pStyle w:val="TableParagraph"/>
              <w:rPr>
                <w:noProof/>
                <w:sz w:val="20"/>
                <w:szCs w:val="20"/>
              </w:rPr>
            </w:pPr>
          </w:p>
        </w:tc>
        <w:tc>
          <w:tcPr>
            <w:tcW w:w="625" w:type="pct"/>
            <w:tcBorders>
              <w:top w:val="nil"/>
              <w:left w:val="single" w:sz="4" w:space="0" w:color="000000"/>
              <w:bottom w:val="single" w:sz="12" w:space="0" w:color="000000"/>
              <w:right w:val="single" w:sz="4" w:space="0" w:color="000000"/>
            </w:tcBorders>
          </w:tcPr>
          <w:p w14:paraId="61A2F2C8"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582" w:type="pct"/>
            <w:tcBorders>
              <w:top w:val="nil"/>
              <w:left w:val="single" w:sz="4" w:space="0" w:color="000000"/>
              <w:bottom w:val="single" w:sz="12" w:space="0" w:color="000000"/>
              <w:right w:val="single" w:sz="4" w:space="0" w:color="000000"/>
            </w:tcBorders>
          </w:tcPr>
          <w:p w14:paraId="4348DA04" w14:textId="77777777" w:rsidR="00C37DE1" w:rsidRPr="007A064A" w:rsidRDefault="00C37DE1" w:rsidP="00C85C26">
            <w:pPr>
              <w:pStyle w:val="TableParagraph"/>
              <w:jc w:val="right"/>
              <w:rPr>
                <w:noProof/>
                <w:sz w:val="20"/>
                <w:szCs w:val="20"/>
              </w:rPr>
            </w:pPr>
            <w:r>
              <w:rPr>
                <w:rFonts w:ascii="Segoe UI Symbol" w:hAnsi="Segoe UI Symbol"/>
                <w:sz w:val="20"/>
              </w:rPr>
              <w:t>✔</w:t>
            </w:r>
          </w:p>
        </w:tc>
        <w:tc>
          <w:tcPr>
            <w:tcW w:w="609" w:type="pct"/>
            <w:tcBorders>
              <w:top w:val="nil"/>
              <w:left w:val="single" w:sz="4" w:space="0" w:color="000000"/>
              <w:bottom w:val="single" w:sz="12" w:space="0" w:color="000000"/>
              <w:right w:val="single" w:sz="6" w:space="0" w:color="000000"/>
            </w:tcBorders>
          </w:tcPr>
          <w:p w14:paraId="5CE0B2DA" w14:textId="77777777" w:rsidR="00C37DE1" w:rsidRPr="007A064A" w:rsidRDefault="00C37DE1" w:rsidP="00C85C26">
            <w:pPr>
              <w:pStyle w:val="TableParagraph"/>
              <w:rPr>
                <w:noProof/>
                <w:sz w:val="20"/>
                <w:szCs w:val="20"/>
              </w:rPr>
            </w:pPr>
          </w:p>
        </w:tc>
      </w:tr>
    </w:tbl>
    <w:p w14:paraId="5DFC91F8" w14:textId="77777777" w:rsidR="00C37DE1" w:rsidRDefault="00C37DE1" w:rsidP="00C85C26">
      <w:pPr>
        <w:pStyle w:val="BodyText"/>
        <w:rPr>
          <w:noProof/>
          <w:sz w:val="24"/>
          <w:szCs w:val="24"/>
        </w:rPr>
      </w:pPr>
    </w:p>
    <w:p w14:paraId="40B996A2" w14:textId="77777777" w:rsidR="00D135F0" w:rsidRPr="00074D4C" w:rsidRDefault="00D135F0" w:rsidP="00C85C26">
      <w:pPr>
        <w:pStyle w:val="BodyText"/>
        <w:rPr>
          <w:noProof/>
          <w:sz w:val="24"/>
          <w:szCs w:val="24"/>
        </w:rPr>
      </w:pPr>
    </w:p>
    <w:p w14:paraId="3D78C2C4" w14:textId="4E6BB462" w:rsidR="00C37DE1" w:rsidRPr="00F35C72" w:rsidRDefault="00F35C72" w:rsidP="00B65BF8">
      <w:pPr>
        <w:pStyle w:val="Heading7"/>
        <w:keepNext/>
        <w:keepLines/>
        <w:tabs>
          <w:tab w:val="left" w:pos="2083"/>
        </w:tabs>
        <w:ind w:left="0" w:firstLine="0"/>
        <w:jc w:val="left"/>
        <w:rPr>
          <w:b/>
          <w:bCs/>
          <w:noProof/>
          <w:sz w:val="28"/>
          <w:szCs w:val="28"/>
        </w:rPr>
      </w:pPr>
      <w:bookmarkStart w:id="106" w:name="5.1.__Guidance_from_country_surveys"/>
      <w:bookmarkStart w:id="107" w:name="_bookmark31"/>
      <w:bookmarkEnd w:id="106"/>
      <w:bookmarkEnd w:id="107"/>
      <w:r>
        <w:rPr>
          <w:b/>
          <w:sz w:val="28"/>
        </w:rPr>
        <w:lastRenderedPageBreak/>
        <w:t>5.1. Vadlīnijas, kas izriet no valstu apsekojumiem</w:t>
      </w:r>
    </w:p>
    <w:p w14:paraId="6EA9458C" w14:textId="77777777" w:rsidR="00F35C72" w:rsidRPr="00F35C72" w:rsidRDefault="00F35C72" w:rsidP="00B65BF8">
      <w:pPr>
        <w:pStyle w:val="Heading7"/>
        <w:keepNext/>
        <w:keepLines/>
        <w:tabs>
          <w:tab w:val="left" w:pos="2083"/>
        </w:tabs>
        <w:ind w:left="0" w:firstLine="0"/>
        <w:jc w:val="left"/>
        <w:rPr>
          <w:noProof/>
          <w:sz w:val="28"/>
          <w:szCs w:val="28"/>
        </w:rPr>
      </w:pPr>
    </w:p>
    <w:p w14:paraId="5CD4B3B7" w14:textId="4EB6933A" w:rsidR="00C37DE1" w:rsidRDefault="00F35C72" w:rsidP="00B65BF8">
      <w:pPr>
        <w:pStyle w:val="Heading7"/>
        <w:keepNext/>
        <w:keepLines/>
        <w:tabs>
          <w:tab w:val="left" w:pos="2083"/>
        </w:tabs>
        <w:ind w:left="0" w:firstLine="0"/>
        <w:jc w:val="left"/>
        <w:rPr>
          <w:noProof/>
          <w:sz w:val="28"/>
          <w:szCs w:val="28"/>
        </w:rPr>
      </w:pPr>
      <w:bookmarkStart w:id="108" w:name="5.1.1.__Improve_policy_alignment_and_co-"/>
      <w:bookmarkEnd w:id="108"/>
      <w:r>
        <w:rPr>
          <w:sz w:val="28"/>
        </w:rPr>
        <w:t>5.1.1. Uzlabot politikas saskaņošanu un koordinēšanu starp valdības līmeņiem</w:t>
      </w:r>
    </w:p>
    <w:p w14:paraId="57E3C56B" w14:textId="77777777" w:rsidR="00F35C72" w:rsidRDefault="00F35C72" w:rsidP="00B65BF8">
      <w:pPr>
        <w:pStyle w:val="ListParagraph"/>
        <w:keepNext/>
        <w:keepLines/>
        <w:tabs>
          <w:tab w:val="left" w:pos="2025"/>
        </w:tabs>
        <w:ind w:left="0"/>
        <w:jc w:val="left"/>
        <w:rPr>
          <w:noProof/>
          <w:sz w:val="24"/>
          <w:szCs w:val="24"/>
        </w:rPr>
      </w:pPr>
    </w:p>
    <w:p w14:paraId="66FF5D80" w14:textId="00BDA7BF" w:rsidR="00C37DE1" w:rsidRDefault="00F35C72" w:rsidP="00B65BF8">
      <w:pPr>
        <w:pStyle w:val="ListParagraph"/>
        <w:keepNext/>
        <w:keepLines/>
        <w:tabs>
          <w:tab w:val="left" w:pos="2025"/>
        </w:tabs>
        <w:ind w:left="0"/>
        <w:jc w:val="left"/>
        <w:rPr>
          <w:noProof/>
          <w:sz w:val="24"/>
          <w:szCs w:val="24"/>
        </w:rPr>
      </w:pPr>
      <w:r>
        <w:rPr>
          <w:sz w:val="24"/>
        </w:rPr>
        <w:t xml:space="preserve">63. Jebkura daudzlīmeņu pārvaldības forma rada iespēju, ka dažādi valdības līmeņi strādā ar savstarpēji pretrunīgiem mērķiem. Fiskālās decentralizācijas kontekstā pretrunīgas, vāji koordinētas vai nesaskaņotas politikas iespēja iegūst jaunu dimensiju, jo aktuāli kļūst jautājumi par efektivitāti un stimuliem. Proti, </w:t>
      </w:r>
      <w:r>
        <w:rPr>
          <w:i/>
          <w:iCs/>
          <w:sz w:val="24"/>
        </w:rPr>
        <w:t>OECD</w:t>
      </w:r>
      <w:r>
        <w:rPr>
          <w:sz w:val="24"/>
        </w:rPr>
        <w:t>, SVF un Eiropas Reģionu komiteja norādīja, ka koordinēšana visos valdības līmeņos un jo īpaši vertikālā koordinēšana ir pārvaldības un fiskālās politikas galvenā problēma (Allain-Dupré, 2018</w:t>
      </w:r>
      <w:r>
        <w:rPr>
          <w:sz w:val="24"/>
          <w:vertAlign w:val="superscript"/>
        </w:rPr>
        <w:t>[57]</w:t>
      </w:r>
      <w:r>
        <w:rPr>
          <w:sz w:val="24"/>
        </w:rPr>
        <w:t>). Tas atainojas ekonomikas apsekojumos, kuru ieteikumos vairākos gadījumos ir skaidri norādīts, ka politikas saskaņošana un koordinēšana ir jomas, kas jāuzlabo (5. ierāmējums).</w:t>
      </w:r>
    </w:p>
    <w:p w14:paraId="4B0BF5ED" w14:textId="77777777" w:rsidR="00F35C72" w:rsidRDefault="00F35C72" w:rsidP="00F35C72">
      <w:pPr>
        <w:pStyle w:val="ListParagraph"/>
        <w:tabs>
          <w:tab w:val="left" w:pos="2025"/>
        </w:tabs>
        <w:ind w:left="0"/>
        <w:jc w:val="left"/>
        <w:rPr>
          <w:noProof/>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291"/>
      </w:tblGrid>
      <w:tr w:rsidR="00F35C72" w14:paraId="1B107E82" w14:textId="77777777" w:rsidTr="00065198">
        <w:tc>
          <w:tcPr>
            <w:tcW w:w="9291" w:type="dxa"/>
            <w:shd w:val="clear" w:color="auto" w:fill="F2F2F2" w:themeFill="background1" w:themeFillShade="F2"/>
          </w:tcPr>
          <w:p w14:paraId="220CBF9E" w14:textId="4D3B6ECE" w:rsidR="00F35C72" w:rsidRPr="001970BD" w:rsidRDefault="00F35C72" w:rsidP="001970BD">
            <w:pPr>
              <w:pStyle w:val="Heading3"/>
              <w:jc w:val="center"/>
              <w:rPr>
                <w:i w:val="0"/>
                <w:iCs w:val="0"/>
                <w:sz w:val="24"/>
                <w:szCs w:val="24"/>
              </w:rPr>
            </w:pPr>
            <w:bookmarkStart w:id="109" w:name="_Toc211859575"/>
            <w:r w:rsidRPr="001970BD">
              <w:rPr>
                <w:i w:val="0"/>
                <w:iCs w:val="0"/>
                <w:sz w:val="24"/>
                <w:szCs w:val="24"/>
              </w:rPr>
              <w:t>5. ierāmējums. Neapgūti ES līdzekļi – rādītājs, kas liecina par koordinēšanas kļūmēm un nespēju</w:t>
            </w:r>
            <w:bookmarkEnd w:id="109"/>
          </w:p>
          <w:p w14:paraId="5E1FDDDF" w14:textId="77777777" w:rsidR="00F35C72" w:rsidRPr="00D135F0" w:rsidRDefault="00F35C72" w:rsidP="00D135F0">
            <w:pPr>
              <w:pStyle w:val="ListParagraph"/>
              <w:tabs>
                <w:tab w:val="left" w:pos="2025"/>
              </w:tabs>
              <w:ind w:left="57" w:right="57"/>
              <w:jc w:val="center"/>
              <w:rPr>
                <w:b/>
                <w:bCs/>
                <w:noProof/>
                <w:sz w:val="24"/>
                <w:szCs w:val="24"/>
              </w:rPr>
            </w:pPr>
          </w:p>
          <w:p w14:paraId="136971F0" w14:textId="69A0A659" w:rsidR="00F35C72" w:rsidRPr="00D135F0" w:rsidRDefault="00F35C72" w:rsidP="00D135F0">
            <w:pPr>
              <w:pStyle w:val="ListParagraph"/>
              <w:tabs>
                <w:tab w:val="left" w:pos="2025"/>
              </w:tabs>
              <w:ind w:left="57" w:right="57"/>
              <w:rPr>
                <w:noProof/>
                <w:sz w:val="24"/>
                <w:szCs w:val="24"/>
              </w:rPr>
            </w:pPr>
            <w:r>
              <w:rPr>
                <w:sz w:val="24"/>
              </w:rPr>
              <w:t xml:space="preserve">ES valstīs grūtības apgūt ES līdzekļus var liecināt par vāji koordinētu fiskālo politiku un pašvaldību nepietiekamu spēju (7. attēls). Nesenajā </w:t>
            </w:r>
            <w:r>
              <w:rPr>
                <w:i/>
                <w:iCs/>
                <w:sz w:val="24"/>
              </w:rPr>
              <w:t>OECD</w:t>
            </w:r>
            <w:r>
              <w:rPr>
                <w:sz w:val="24"/>
              </w:rPr>
              <w:t xml:space="preserve"> darbā tika norādīts, ka spēju ierobežojumi un nepietiekama koordinēšana traucē pašvaldībām izmantot daudzveidīgos finanšu mehānismus (OECD, 2018</w:t>
            </w:r>
            <w:r>
              <w:rPr>
                <w:sz w:val="24"/>
                <w:vertAlign w:val="superscript"/>
              </w:rPr>
              <w:t>[71]</w:t>
            </w:r>
            <w:r>
              <w:rPr>
                <w:sz w:val="24"/>
              </w:rPr>
              <w:t>). Proti, 68 % respondentu, kas atbildēja uz Reģionu komitejas 2016. gada apsekojumu par šķēršļiem vietējiem un reģionāliem ieguldījumiem, norādīja, ka “spēja plānot un vadīt valsts ieguldījumus un PPP, kas finansēti no ES struktūrfondiem vai citām ES programmām”, vietējām/reģionālajām iestādēm ir problēma vai nozīmīga problēma (OECD-CoR, 2016</w:t>
            </w:r>
            <w:r>
              <w:rPr>
                <w:sz w:val="24"/>
                <w:vertAlign w:val="superscript"/>
              </w:rPr>
              <w:t>[72]</w:t>
            </w:r>
            <w:r>
              <w:rPr>
                <w:sz w:val="24"/>
              </w:rPr>
              <w:t xml:space="preserve">). </w:t>
            </w:r>
            <w:r>
              <w:rPr>
                <w:i/>
                <w:iCs/>
                <w:sz w:val="24"/>
              </w:rPr>
              <w:t>OECD</w:t>
            </w:r>
            <w:r>
              <w:rPr>
                <w:sz w:val="24"/>
              </w:rPr>
              <w:t xml:space="preserve"> 2018. gada Eiropas Savienības ekonomikas apsekojumā tika uzsvērts, ka ir svarīga racionāla administrācija un uzlabota administratīvā spēja, lai nodrošinātu ES līdzekļu apguvi (OECD, 2018</w:t>
            </w:r>
            <w:r>
              <w:rPr>
                <w:sz w:val="24"/>
                <w:vertAlign w:val="superscript"/>
              </w:rPr>
              <w:t>[73]</w:t>
            </w:r>
            <w:r>
              <w:rPr>
                <w:sz w:val="24"/>
              </w:rPr>
              <w:t>), jo īpaši tad, kad jāveic koordinēšana ar pašvaldībām. Valstu apsekojumos atbalsojās līdzīgs vēstījums. Piemēram, Itālijā centrālās valdības nespēja efektīvi strādāt ar vietējās administrācijas iestādēm tika minēta kā faktors, kas traucē izmaksāt ES struktūrfondu un Kohēzijas fonda līdzekļus (OECD, 2017</w:t>
            </w:r>
            <w:r>
              <w:rPr>
                <w:sz w:val="24"/>
                <w:vertAlign w:val="superscript"/>
              </w:rPr>
              <w:t>[74]</w:t>
            </w:r>
            <w:r>
              <w:rPr>
                <w:sz w:val="24"/>
              </w:rPr>
              <w:t>). Apsekojumā centrālā valdība tika aicināta stiprināt savu lomu saistībā ar projektu sagatavošanas un izpildes minimālo standartu izstrādi, vienlaikus nodrošinot, ka centrālajai koordinēšanas iestādei ir pietiekamas pilnvaras atbalstīt reģionu centienus īstenot šos projektus (OECD, 2017</w:t>
            </w:r>
            <w:r>
              <w:rPr>
                <w:sz w:val="24"/>
                <w:vertAlign w:val="superscript"/>
              </w:rPr>
              <w:t>[74]</w:t>
            </w:r>
            <w:r>
              <w:rPr>
                <w:sz w:val="24"/>
              </w:rPr>
              <w:t>; 2019</w:t>
            </w:r>
            <w:r>
              <w:rPr>
                <w:sz w:val="24"/>
                <w:vertAlign w:val="superscript"/>
              </w:rPr>
              <w:t>[75]</w:t>
            </w:r>
            <w:r>
              <w:rPr>
                <w:sz w:val="24"/>
              </w:rPr>
              <w:t>). Līdzīgi arī Čehijas Republikas grūtības efektīvi apgūt ES līdzekļus tika saistītas ar koordinēšanas problēmām, ko izraisīja pārmērīgi decentralizēta saistīto programmu administrēšana. Reaģējot uz to, tika ieteikts kopumā vienkāršot administratīvo procesu (OECD, 2008</w:t>
            </w:r>
            <w:r>
              <w:rPr>
                <w:sz w:val="24"/>
                <w:vertAlign w:val="superscript"/>
              </w:rPr>
              <w:t>[76]</w:t>
            </w:r>
            <w:r>
              <w:rPr>
                <w:sz w:val="24"/>
              </w:rPr>
              <w:t>). Līdztekus ES fondiem līdzīgas problēmas var rasties tad, kad valstis saskaras ar pašu fiskālās telpas vadību. Šveicē apsekojumos federālās un kantonu valdības tika aicinātas uzlabot koordinēšanu, lai nodrošinātu, ka pieejamā nozīmīgā fiskālā telpa tiek pienācīgi izmantota, un lai novērstu, ka līdzekļi pastāvīgi paliek neizlietoti (OECD, 2017</w:t>
            </w:r>
            <w:r>
              <w:rPr>
                <w:sz w:val="24"/>
                <w:vertAlign w:val="superscript"/>
              </w:rPr>
              <w:t>[77]</w:t>
            </w:r>
            <w:r>
              <w:rPr>
                <w:sz w:val="24"/>
              </w:rPr>
              <w:t>).</w:t>
            </w:r>
          </w:p>
          <w:p w14:paraId="1C23F0F7" w14:textId="77777777" w:rsidR="00F35C72" w:rsidRDefault="00F35C72" w:rsidP="00D135F0">
            <w:pPr>
              <w:pStyle w:val="ListParagraph"/>
              <w:tabs>
                <w:tab w:val="left" w:pos="2025"/>
              </w:tabs>
              <w:ind w:left="57" w:right="57"/>
              <w:rPr>
                <w:noProof/>
                <w:sz w:val="24"/>
                <w:szCs w:val="24"/>
              </w:rPr>
            </w:pPr>
          </w:p>
          <w:p w14:paraId="525E7218" w14:textId="77777777" w:rsidR="009815AB" w:rsidRDefault="009815AB" w:rsidP="00D135F0">
            <w:pPr>
              <w:pStyle w:val="ListParagraph"/>
              <w:tabs>
                <w:tab w:val="left" w:pos="2025"/>
              </w:tabs>
              <w:ind w:left="57" w:right="57"/>
              <w:rPr>
                <w:noProof/>
                <w:sz w:val="24"/>
                <w:szCs w:val="24"/>
              </w:rPr>
            </w:pPr>
          </w:p>
          <w:p w14:paraId="58BA64B1" w14:textId="77777777" w:rsidR="009815AB" w:rsidRDefault="009815AB" w:rsidP="00D135F0">
            <w:pPr>
              <w:pStyle w:val="ListParagraph"/>
              <w:tabs>
                <w:tab w:val="left" w:pos="2025"/>
              </w:tabs>
              <w:ind w:left="57" w:right="57"/>
              <w:rPr>
                <w:noProof/>
                <w:sz w:val="24"/>
                <w:szCs w:val="24"/>
              </w:rPr>
            </w:pPr>
          </w:p>
          <w:p w14:paraId="368F8F6D" w14:textId="77777777" w:rsidR="009815AB" w:rsidRDefault="009815AB" w:rsidP="00D135F0">
            <w:pPr>
              <w:pStyle w:val="ListParagraph"/>
              <w:tabs>
                <w:tab w:val="left" w:pos="2025"/>
              </w:tabs>
              <w:ind w:left="57" w:right="57"/>
              <w:rPr>
                <w:noProof/>
                <w:sz w:val="24"/>
                <w:szCs w:val="24"/>
              </w:rPr>
            </w:pPr>
          </w:p>
          <w:p w14:paraId="4DFEEB3C" w14:textId="77777777" w:rsidR="009815AB" w:rsidRDefault="009815AB" w:rsidP="00D135F0">
            <w:pPr>
              <w:pStyle w:val="ListParagraph"/>
              <w:tabs>
                <w:tab w:val="left" w:pos="2025"/>
              </w:tabs>
              <w:ind w:left="57" w:right="57"/>
              <w:rPr>
                <w:noProof/>
                <w:sz w:val="24"/>
                <w:szCs w:val="24"/>
              </w:rPr>
            </w:pPr>
          </w:p>
          <w:p w14:paraId="7398B46C" w14:textId="77777777" w:rsidR="009815AB" w:rsidRDefault="009815AB" w:rsidP="00D135F0">
            <w:pPr>
              <w:pStyle w:val="ListParagraph"/>
              <w:tabs>
                <w:tab w:val="left" w:pos="2025"/>
              </w:tabs>
              <w:ind w:left="57" w:right="57"/>
              <w:rPr>
                <w:noProof/>
                <w:sz w:val="24"/>
                <w:szCs w:val="24"/>
              </w:rPr>
            </w:pPr>
          </w:p>
          <w:p w14:paraId="12D49FF5" w14:textId="77777777" w:rsidR="009815AB" w:rsidRDefault="009815AB" w:rsidP="00D135F0">
            <w:pPr>
              <w:pStyle w:val="ListParagraph"/>
              <w:tabs>
                <w:tab w:val="left" w:pos="2025"/>
              </w:tabs>
              <w:ind w:left="57" w:right="57"/>
              <w:rPr>
                <w:noProof/>
                <w:sz w:val="24"/>
                <w:szCs w:val="24"/>
              </w:rPr>
            </w:pPr>
          </w:p>
          <w:p w14:paraId="382216D4" w14:textId="77777777" w:rsidR="009815AB" w:rsidRDefault="009815AB" w:rsidP="00D135F0">
            <w:pPr>
              <w:pStyle w:val="ListParagraph"/>
              <w:tabs>
                <w:tab w:val="left" w:pos="2025"/>
              </w:tabs>
              <w:ind w:left="57" w:right="57"/>
              <w:rPr>
                <w:noProof/>
                <w:sz w:val="24"/>
                <w:szCs w:val="24"/>
              </w:rPr>
            </w:pPr>
          </w:p>
          <w:p w14:paraId="3CDBF425" w14:textId="77777777" w:rsidR="009815AB" w:rsidRDefault="009815AB" w:rsidP="00D135F0">
            <w:pPr>
              <w:pStyle w:val="ListParagraph"/>
              <w:tabs>
                <w:tab w:val="left" w:pos="2025"/>
              </w:tabs>
              <w:ind w:left="57" w:right="57"/>
              <w:rPr>
                <w:noProof/>
                <w:sz w:val="24"/>
                <w:szCs w:val="24"/>
              </w:rPr>
            </w:pPr>
          </w:p>
          <w:p w14:paraId="62F42854" w14:textId="77777777" w:rsidR="009815AB" w:rsidRPr="00F35C72" w:rsidRDefault="009815AB" w:rsidP="00D135F0">
            <w:pPr>
              <w:pStyle w:val="ListParagraph"/>
              <w:tabs>
                <w:tab w:val="left" w:pos="2025"/>
              </w:tabs>
              <w:ind w:left="57" w:right="57"/>
              <w:rPr>
                <w:noProof/>
                <w:sz w:val="24"/>
                <w:szCs w:val="24"/>
              </w:rPr>
            </w:pPr>
          </w:p>
          <w:p w14:paraId="06757E40" w14:textId="77777777" w:rsidR="009815AB" w:rsidRDefault="009815AB" w:rsidP="009815AB">
            <w:pPr>
              <w:pStyle w:val="ListParagraph"/>
              <w:keepNext/>
              <w:keepLines/>
              <w:tabs>
                <w:tab w:val="left" w:pos="2025"/>
              </w:tabs>
              <w:ind w:left="57" w:right="57"/>
              <w:jc w:val="center"/>
              <w:rPr>
                <w:b/>
                <w:sz w:val="24"/>
              </w:rPr>
            </w:pPr>
          </w:p>
          <w:p w14:paraId="77271B8B" w14:textId="4BBC00BF" w:rsidR="00F35C72" w:rsidRPr="00847FFA" w:rsidRDefault="00F35C72" w:rsidP="00847FFA">
            <w:pPr>
              <w:pStyle w:val="Heading3"/>
              <w:jc w:val="center"/>
              <w:rPr>
                <w:i w:val="0"/>
                <w:iCs w:val="0"/>
                <w:sz w:val="24"/>
                <w:szCs w:val="24"/>
              </w:rPr>
            </w:pPr>
            <w:bookmarkStart w:id="110" w:name="_Toc211859576"/>
            <w:r w:rsidRPr="00847FFA">
              <w:rPr>
                <w:i w:val="0"/>
                <w:iCs w:val="0"/>
                <w:sz w:val="24"/>
                <w:szCs w:val="24"/>
              </w:rPr>
              <w:lastRenderedPageBreak/>
              <w:t>7. attēls. Neapgūtie ES struktūrfondi un kohēzijas fondi un plānoto ieguldījumu izlietojums</w:t>
            </w:r>
            <w:bookmarkEnd w:id="110"/>
          </w:p>
          <w:p w14:paraId="13444417" w14:textId="77777777" w:rsidR="009815AB" w:rsidRPr="00D135F0" w:rsidRDefault="009815AB" w:rsidP="009815AB">
            <w:pPr>
              <w:pStyle w:val="ListParagraph"/>
              <w:keepNext/>
              <w:keepLines/>
              <w:tabs>
                <w:tab w:val="left" w:pos="2025"/>
              </w:tabs>
              <w:ind w:left="57" w:right="57"/>
              <w:jc w:val="center"/>
              <w:rPr>
                <w:b/>
                <w:bCs/>
                <w:noProof/>
                <w:sz w:val="24"/>
                <w:szCs w:val="24"/>
              </w:rPr>
            </w:pPr>
          </w:p>
          <w:p w14:paraId="0C0BAD1B" w14:textId="1401A243" w:rsidR="003A0D2E" w:rsidRPr="00D135F0" w:rsidRDefault="009815AB" w:rsidP="009815AB">
            <w:pPr>
              <w:pStyle w:val="ListParagraph"/>
              <w:keepNext/>
              <w:keepLines/>
              <w:tabs>
                <w:tab w:val="left" w:pos="2025"/>
              </w:tabs>
              <w:ind w:left="57" w:right="57"/>
              <w:jc w:val="center"/>
              <w:rPr>
                <w:b/>
                <w:bCs/>
                <w:noProof/>
                <w:sz w:val="24"/>
                <w:szCs w:val="24"/>
              </w:rPr>
            </w:pPr>
            <w:r>
              <w:rPr>
                <w:b/>
                <w:bCs/>
                <w:noProof/>
                <w:sz w:val="24"/>
                <w:szCs w:val="24"/>
              </w:rPr>
              <w:drawing>
                <wp:inline distT="0" distB="0" distL="0" distR="0" wp14:anchorId="1DBA9BCA" wp14:editId="28D1D789">
                  <wp:extent cx="5762625" cy="2379980"/>
                  <wp:effectExtent l="0" t="0" r="9525" b="1270"/>
                  <wp:docPr id="1693035506" name="Picture 10" descr="A graph of a number of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35506" name="Picture 10" descr="A graph of a number of blue and white bars&#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5762625" cy="2379980"/>
                          </a:xfrm>
                          <a:prstGeom prst="rect">
                            <a:avLst/>
                          </a:prstGeom>
                        </pic:spPr>
                      </pic:pic>
                    </a:graphicData>
                  </a:graphic>
                </wp:inline>
              </w:drawing>
            </w:r>
          </w:p>
          <w:p w14:paraId="3E554265" w14:textId="77777777" w:rsidR="00D135F0" w:rsidRDefault="00D135F0" w:rsidP="009815AB">
            <w:pPr>
              <w:pStyle w:val="ListParagraph"/>
              <w:keepNext/>
              <w:keepLines/>
              <w:tabs>
                <w:tab w:val="left" w:pos="2025"/>
              </w:tabs>
              <w:ind w:left="57" w:right="57"/>
              <w:rPr>
                <w:noProof/>
                <w:sz w:val="24"/>
                <w:szCs w:val="24"/>
              </w:rPr>
            </w:pPr>
          </w:p>
          <w:p w14:paraId="38DDB96E" w14:textId="77777777" w:rsidR="00D135F0" w:rsidRDefault="00D135F0" w:rsidP="009815AB">
            <w:pPr>
              <w:pStyle w:val="ListParagraph"/>
              <w:keepNext/>
              <w:keepLines/>
              <w:tabs>
                <w:tab w:val="left" w:pos="2025"/>
              </w:tabs>
              <w:ind w:left="57" w:right="57"/>
              <w:rPr>
                <w:noProof/>
                <w:sz w:val="24"/>
                <w:szCs w:val="24"/>
              </w:rPr>
            </w:pPr>
          </w:p>
          <w:p w14:paraId="47DB9B1E" w14:textId="7FDF5FC1" w:rsidR="00145582" w:rsidRPr="00145582" w:rsidRDefault="003A0D2E" w:rsidP="009815AB">
            <w:pPr>
              <w:pStyle w:val="ListParagraph"/>
              <w:keepNext/>
              <w:keepLines/>
              <w:tabs>
                <w:tab w:val="left" w:pos="2025"/>
              </w:tabs>
              <w:ind w:left="57" w:right="57"/>
              <w:rPr>
                <w:noProof/>
                <w:sz w:val="24"/>
                <w:szCs w:val="24"/>
              </w:rPr>
            </w:pPr>
            <w:r>
              <w:rPr>
                <w:i/>
                <w:sz w:val="24"/>
              </w:rPr>
              <w:t>Piezīme.</w:t>
            </w:r>
            <w:r>
              <w:rPr>
                <w:sz w:val="24"/>
              </w:rPr>
              <w:t xml:space="preserve"> 1. 25 ES valstu nesvērtais vidējais rādītājs</w:t>
            </w:r>
          </w:p>
          <w:p w14:paraId="234441C8" w14:textId="77777777" w:rsidR="003A0D2E" w:rsidRDefault="003A0D2E" w:rsidP="009815AB">
            <w:pPr>
              <w:pStyle w:val="ListParagraph"/>
              <w:keepNext/>
              <w:keepLines/>
              <w:tabs>
                <w:tab w:val="left" w:pos="2025"/>
              </w:tabs>
              <w:ind w:left="57" w:right="57"/>
              <w:rPr>
                <w:noProof/>
                <w:sz w:val="24"/>
                <w:szCs w:val="24"/>
              </w:rPr>
            </w:pPr>
            <w:r>
              <w:rPr>
                <w:i/>
                <w:sz w:val="24"/>
              </w:rPr>
              <w:t xml:space="preserve">Avots: </w:t>
            </w:r>
            <w:r>
              <w:rPr>
                <w:sz w:val="24"/>
              </w:rPr>
              <w:t>Caldera Sánchez (2018</w:t>
            </w:r>
            <w:r>
              <w:rPr>
                <w:sz w:val="24"/>
                <w:vertAlign w:val="superscript"/>
              </w:rPr>
              <w:t>[78]</w:t>
            </w:r>
            <w:r>
              <w:rPr>
                <w:sz w:val="24"/>
              </w:rPr>
              <w:t>), Eiropas Komisijas dati (2018), “Open Data Portal for the European Structural and Investment Funds” (https://cohesiondata.ec.europa.eu/); Eiropas Komisija (2014), “Analysis of the Budgetary Implementation of the Structural and Cohesion Funds”.</w:t>
            </w:r>
          </w:p>
          <w:p w14:paraId="6022E7BA" w14:textId="77777777" w:rsidR="00145582" w:rsidRPr="003A0D2E" w:rsidRDefault="00145582" w:rsidP="00D135F0">
            <w:pPr>
              <w:pStyle w:val="ListParagraph"/>
              <w:tabs>
                <w:tab w:val="left" w:pos="2025"/>
              </w:tabs>
              <w:ind w:left="57" w:right="57"/>
              <w:rPr>
                <w:noProof/>
                <w:sz w:val="24"/>
                <w:szCs w:val="24"/>
              </w:rPr>
            </w:pPr>
          </w:p>
          <w:p w14:paraId="0C9C56EC" w14:textId="77777777" w:rsidR="003A0D2E" w:rsidRPr="003A0D2E" w:rsidRDefault="003A0D2E" w:rsidP="00145582">
            <w:pPr>
              <w:pStyle w:val="ListParagraph"/>
              <w:tabs>
                <w:tab w:val="left" w:pos="2025"/>
              </w:tabs>
              <w:ind w:left="57" w:right="57"/>
              <w:jc w:val="right"/>
              <w:rPr>
                <w:noProof/>
                <w:sz w:val="24"/>
                <w:szCs w:val="24"/>
              </w:rPr>
            </w:pPr>
            <w:r>
              <w:rPr>
                <w:i/>
              </w:rPr>
              <w:t>StatLink</w:t>
            </w:r>
            <w:r>
              <w:t xml:space="preserve"> http://dx.doi.org/10.1787/888934116129</w:t>
            </w:r>
          </w:p>
          <w:p w14:paraId="2720C135" w14:textId="77777777" w:rsidR="003A0D2E" w:rsidRDefault="003A0D2E" w:rsidP="00D135F0">
            <w:pPr>
              <w:pStyle w:val="ListParagraph"/>
              <w:tabs>
                <w:tab w:val="left" w:pos="2025"/>
              </w:tabs>
              <w:ind w:left="57" w:right="57"/>
              <w:jc w:val="left"/>
              <w:rPr>
                <w:noProof/>
                <w:sz w:val="24"/>
                <w:szCs w:val="24"/>
              </w:rPr>
            </w:pPr>
          </w:p>
          <w:p w14:paraId="22D9DD6E" w14:textId="61D9692B" w:rsidR="003A0D2E" w:rsidRDefault="003A0D2E" w:rsidP="00D135F0">
            <w:pPr>
              <w:pStyle w:val="ListParagraph"/>
              <w:tabs>
                <w:tab w:val="left" w:pos="2025"/>
              </w:tabs>
              <w:ind w:left="57" w:right="57"/>
              <w:jc w:val="left"/>
              <w:rPr>
                <w:noProof/>
                <w:sz w:val="24"/>
                <w:szCs w:val="24"/>
              </w:rPr>
            </w:pPr>
          </w:p>
        </w:tc>
      </w:tr>
    </w:tbl>
    <w:p w14:paraId="36D8E7AF" w14:textId="77777777" w:rsidR="00F35C72" w:rsidRPr="00074D4C" w:rsidRDefault="00F35C72" w:rsidP="00F35C72">
      <w:pPr>
        <w:pStyle w:val="ListParagraph"/>
        <w:tabs>
          <w:tab w:val="left" w:pos="2025"/>
        </w:tabs>
        <w:ind w:left="0"/>
        <w:rPr>
          <w:noProof/>
          <w:sz w:val="24"/>
          <w:szCs w:val="24"/>
        </w:rPr>
      </w:pPr>
    </w:p>
    <w:p w14:paraId="4F020A22" w14:textId="430D3A4E" w:rsidR="00C37DE1" w:rsidRPr="00074D4C" w:rsidRDefault="003A0D2E" w:rsidP="003A0D2E">
      <w:pPr>
        <w:pStyle w:val="ListParagraph"/>
        <w:tabs>
          <w:tab w:val="left" w:pos="2025"/>
        </w:tabs>
        <w:ind w:left="0"/>
        <w:rPr>
          <w:noProof/>
          <w:sz w:val="24"/>
          <w:szCs w:val="24"/>
        </w:rPr>
      </w:pPr>
      <w:r>
        <w:rPr>
          <w:sz w:val="24"/>
        </w:rPr>
        <w:t>64. Ekonomikas apsekojumos tika ieteikts palielināt daudzlīmeņu koordinēšanu un saskaņot politiku, ņemot vērā plašo valdības funkciju klāstu. Saistībā ar vides politiku Spānija tika mudināta uzlabot reģionālo piesārņojuma nodokļu horizontālo saskaņotību, ieviešot vienotu nodokli visās jurisdikcijās, lai palielinātu efektivitāti (OECD, 2014</w:t>
      </w:r>
      <w:r>
        <w:rPr>
          <w:sz w:val="24"/>
          <w:vertAlign w:val="superscript"/>
        </w:rPr>
        <w:t>[63]</w:t>
      </w:r>
      <w:r>
        <w:rPr>
          <w:sz w:val="24"/>
        </w:rPr>
        <w:t>). Austrija tika mudināta vērst uzmanību pavalstu un federālo mērķu vides jomā vertikālai saskaņošanai. Konkrēts piemērs ir nozīmīgs infrastruktūras projekts, kuru atbalstīja federālā valdība, jo tas veicinātu transporta ilgtspēju, tomēr vienlaikus tam pretojās vietējā pašvaldība, paužot bažas par vietējās dabas aizsardzību (OECD, 2005</w:t>
      </w:r>
      <w:r>
        <w:rPr>
          <w:sz w:val="24"/>
          <w:vertAlign w:val="superscript"/>
        </w:rPr>
        <w:t>[44]</w:t>
      </w:r>
      <w:r>
        <w:rPr>
          <w:sz w:val="24"/>
        </w:rPr>
        <w:t>).</w:t>
      </w:r>
    </w:p>
    <w:p w14:paraId="447235C1" w14:textId="77777777" w:rsidR="003A0D2E" w:rsidRDefault="003A0D2E" w:rsidP="003A0D2E">
      <w:pPr>
        <w:pStyle w:val="ListParagraph"/>
        <w:tabs>
          <w:tab w:val="left" w:pos="2025"/>
        </w:tabs>
        <w:ind w:left="0"/>
        <w:rPr>
          <w:noProof/>
          <w:sz w:val="24"/>
          <w:szCs w:val="24"/>
        </w:rPr>
      </w:pPr>
    </w:p>
    <w:p w14:paraId="1C4B9EE8" w14:textId="7961A439" w:rsidR="00C37DE1" w:rsidRPr="00074D4C" w:rsidRDefault="003A0D2E" w:rsidP="003A0D2E">
      <w:pPr>
        <w:pStyle w:val="ListParagraph"/>
        <w:tabs>
          <w:tab w:val="left" w:pos="2025"/>
        </w:tabs>
        <w:ind w:left="0"/>
        <w:rPr>
          <w:noProof/>
          <w:sz w:val="24"/>
          <w:szCs w:val="24"/>
        </w:rPr>
      </w:pPr>
      <w:r>
        <w:rPr>
          <w:sz w:val="24"/>
        </w:rPr>
        <w:t>65. Citas jomas, kurās tika aicināts uzlabot koordinēšanu, ir veselības aprūpe, pētniecība un izstrāde, darba tirgus un migrācijas politika. Austrālijā pavalsts un federālā līmeņa koordinēšanas uzlabošana veselības aprūpes jomā tika saskatīta kā veids, lai mazinātu stimulu pārnest izmaksas no viena valdības līmeņa uz citu (OECD, 2014</w:t>
      </w:r>
      <w:r>
        <w:rPr>
          <w:sz w:val="24"/>
          <w:vertAlign w:val="superscript"/>
        </w:rPr>
        <w:t>[59]</w:t>
      </w:r>
      <w:r>
        <w:rPr>
          <w:sz w:val="24"/>
        </w:rPr>
        <w:t>). Līdzīgi tika konstatēts, ka koordinēšanas trūkums bija galvenais Šveices ārkārtīgi sadrumstalotās veselības aprūpes sistēmas iemesls (OECD, 2015</w:t>
      </w:r>
      <w:r>
        <w:rPr>
          <w:sz w:val="24"/>
          <w:vertAlign w:val="superscript"/>
        </w:rPr>
        <w:t>[56]</w:t>
      </w:r>
      <w:r>
        <w:rPr>
          <w:sz w:val="24"/>
        </w:rPr>
        <w:t>). Austrijā pētniecības un izstrādes atbalsta programmu vertikālā nesaskaņotība federālajā un pavalstu līmenī liecināja, ka ir nepieciešama labāka koordinēšana. Pavalstu līmenī administrētās programmas tika plānotas, ņemot vērā vienīgi pavalsts vajadzības, neizvērtējot federālās valdības plašāku mērķi veicināt inovācijas (OECD, 2005</w:t>
      </w:r>
      <w:r>
        <w:rPr>
          <w:sz w:val="24"/>
          <w:vertAlign w:val="superscript"/>
        </w:rPr>
        <w:t>[44]</w:t>
      </w:r>
      <w:r>
        <w:rPr>
          <w:sz w:val="24"/>
        </w:rPr>
        <w:t>). Līdzīgi arī Spānija tika aicināta uzlabot valsts ieguldījumu efektivitāti pētniecības un izstrādes jomā un mazināt dublēšanos, uzlabojot koordinēšanu visos valdības līmeņos, kas tiktu īstenota, iespējams, izveidojot par valsts ieguldījumiem atbildīgu valsts iestādi (OECD, 2014</w:t>
      </w:r>
      <w:r>
        <w:rPr>
          <w:sz w:val="24"/>
          <w:vertAlign w:val="superscript"/>
        </w:rPr>
        <w:t>[63]</w:t>
      </w:r>
      <w:r>
        <w:rPr>
          <w:sz w:val="24"/>
        </w:rPr>
        <w:t xml:space="preserve">). Tajā pašā apsekojumā tika atzīmēta arī vertikāla nesaskaņotība starp reģioniem un centrālo valdību attiecībā uz darba tirgus politiku, proti, centrālā valdība maksāja </w:t>
      </w:r>
      <w:r>
        <w:rPr>
          <w:sz w:val="24"/>
        </w:rPr>
        <w:lastRenderedPageBreak/>
        <w:t>bezdarbnieka pabalstus, savukārt reģionu ziņā bija palīdzēt darba meklētājiem atrast darbu. Beļģijā migrācijas politikas jomā starp federālo valdību un reģioniem pastāvēja sarežģīta pienākumu sadale. Federālā valdība pārraudzīja uzturēšanās atļaujas, savukārt reģioni bija atbildīgi par noteiktām darba atļaujām. Trešās kategorijas atļaujas – darba atļaujas, ko izsniedz personām ar ierobežotām uzturēšanās tiesībām (piemēram, patvēruma meklētājiem), – izdeva federālās iestādes. Tādēļ ekonomikas apsekojumā tika aicināts rūpīgi koordinēt darbības starp valdības līmeņiem, jo īpaši tamdēļ, lai novērstu reģionu savstarpēju kaitīgu konkurenci un lai atšķirīgie darba atļauju noteikumi nekļūtu par kropļojošu faktoru, piemēram, attiecībā uz lēmumiem par uzņēmuma atrašanās vietas izvēli (OECD, 2015</w:t>
      </w:r>
      <w:r>
        <w:rPr>
          <w:sz w:val="24"/>
          <w:vertAlign w:val="superscript"/>
        </w:rPr>
        <w:t>[43]</w:t>
      </w:r>
      <w:r>
        <w:rPr>
          <w:sz w:val="24"/>
        </w:rPr>
        <w:t>).</w:t>
      </w:r>
    </w:p>
    <w:p w14:paraId="652857C9" w14:textId="77777777" w:rsidR="003A0D2E" w:rsidRDefault="003A0D2E" w:rsidP="003A0D2E">
      <w:pPr>
        <w:pStyle w:val="ListParagraph"/>
        <w:tabs>
          <w:tab w:val="left" w:pos="2025"/>
        </w:tabs>
        <w:ind w:left="0"/>
        <w:rPr>
          <w:noProof/>
          <w:sz w:val="24"/>
          <w:szCs w:val="24"/>
        </w:rPr>
      </w:pPr>
    </w:p>
    <w:p w14:paraId="1C1BFAFB" w14:textId="70D9F48E" w:rsidR="00C37DE1" w:rsidRDefault="003A0D2E" w:rsidP="003A0D2E">
      <w:pPr>
        <w:pStyle w:val="ListParagraph"/>
        <w:tabs>
          <w:tab w:val="left" w:pos="2025"/>
        </w:tabs>
        <w:ind w:left="0"/>
        <w:rPr>
          <w:noProof/>
          <w:sz w:val="24"/>
          <w:szCs w:val="24"/>
        </w:rPr>
      </w:pPr>
      <w:r>
        <w:rPr>
          <w:sz w:val="24"/>
        </w:rPr>
        <w:t xml:space="preserve">66. Svarīga joma, kurā arī tika ieteikta koordinēšana, ir valsts ieguldījumi un plašāk – infrastruktūra. </w:t>
      </w:r>
      <w:r>
        <w:rPr>
          <w:i/>
          <w:iCs/>
          <w:sz w:val="24"/>
        </w:rPr>
        <w:t>OECD</w:t>
      </w:r>
      <w:r>
        <w:rPr>
          <w:sz w:val="24"/>
        </w:rPr>
        <w:t xml:space="preserve"> 2014. gadā pieņēma Padomes ieteikumu par efektīviem valsts ieguldījumiem visos valdības līmeņos, kas veicina vertikālās un horizontālās koordinēšanas mehānismus, lai uzlabotu valsts ieguldījumu tēriņu efektivitāti (OECD, 2014</w:t>
      </w:r>
      <w:r>
        <w:rPr>
          <w:sz w:val="24"/>
          <w:vertAlign w:val="superscript"/>
        </w:rPr>
        <w:t>[79]</w:t>
      </w:r>
      <w:r>
        <w:rPr>
          <w:sz w:val="24"/>
        </w:rPr>
        <w:t>). Tajā tika minēti konkrēti koordinēšanas veidi, piemēram, līgumi, dialoga un sadarbības platformas, īpašas valsts ieguldījumu partnerattiecības, kopīgas iestādes vai reģionu vai pašvaldību apvienošanās.</w:t>
      </w:r>
    </w:p>
    <w:p w14:paraId="1D81954D" w14:textId="77777777" w:rsidR="003A0D2E" w:rsidRPr="00074D4C" w:rsidRDefault="003A0D2E" w:rsidP="003A0D2E">
      <w:pPr>
        <w:pStyle w:val="ListParagraph"/>
        <w:tabs>
          <w:tab w:val="left" w:pos="2025"/>
        </w:tabs>
        <w:ind w:left="0"/>
        <w:rPr>
          <w:noProof/>
          <w:sz w:val="24"/>
          <w:szCs w:val="24"/>
        </w:rPr>
      </w:pPr>
    </w:p>
    <w:p w14:paraId="78783AB5" w14:textId="3EF39C67" w:rsidR="00C37DE1" w:rsidRPr="007C28D5" w:rsidRDefault="007C28D5" w:rsidP="007C28D5">
      <w:pPr>
        <w:pStyle w:val="Heading7"/>
        <w:tabs>
          <w:tab w:val="left" w:pos="2083"/>
        </w:tabs>
        <w:ind w:left="0" w:firstLine="0"/>
        <w:rPr>
          <w:noProof/>
          <w:sz w:val="28"/>
          <w:szCs w:val="28"/>
        </w:rPr>
      </w:pPr>
      <w:bookmarkStart w:id="111" w:name="5.1.2.__Eliminate_internal_market_barrie"/>
      <w:bookmarkEnd w:id="111"/>
      <w:r>
        <w:rPr>
          <w:sz w:val="28"/>
        </w:rPr>
        <w:t>5.1.2. Novērst iekšējā tirgus šķēršļus un mazināt regulējuma sadrumstalotību</w:t>
      </w:r>
    </w:p>
    <w:p w14:paraId="52B31600" w14:textId="77777777" w:rsidR="007C28D5" w:rsidRDefault="007C28D5" w:rsidP="007C28D5">
      <w:pPr>
        <w:pStyle w:val="ListParagraph"/>
        <w:tabs>
          <w:tab w:val="left" w:pos="2025"/>
        </w:tabs>
        <w:ind w:left="0"/>
        <w:jc w:val="left"/>
        <w:rPr>
          <w:noProof/>
          <w:sz w:val="24"/>
          <w:szCs w:val="24"/>
        </w:rPr>
      </w:pPr>
    </w:p>
    <w:p w14:paraId="3771358E" w14:textId="53BDC9A3" w:rsidR="00C37DE1" w:rsidRPr="00074D4C" w:rsidRDefault="007C28D5" w:rsidP="007D2036">
      <w:pPr>
        <w:pStyle w:val="ListParagraph"/>
        <w:tabs>
          <w:tab w:val="left" w:pos="2025"/>
        </w:tabs>
        <w:ind w:left="0"/>
        <w:rPr>
          <w:noProof/>
          <w:sz w:val="24"/>
          <w:szCs w:val="24"/>
        </w:rPr>
      </w:pPr>
      <w:r>
        <w:rPr>
          <w:sz w:val="24"/>
        </w:rPr>
        <w:t>67. Iekšējā tirgus šķēršļi ir visi traucējumi, kas kavē preču un ražošanas faktoru brīvu plūsmu valstī un nav ieviesti ar lietderīgu sociālo nolūku. Dažkārt šādi traucējumi izpaužas kā nesaskaņots vai sadrumstalots regulatīvais režīms. Piemēram, atšķirīgas profesionālās sertifikācijas sistēmas pašvaldībās, atšķirīgas uzņēmējdarbības licencēšanas procedūras vai nevajadzīga zemes izmantošanas noteikumu un būvnormatīvu nesaskaņotība.</w:t>
      </w:r>
    </w:p>
    <w:p w14:paraId="5703EA4E" w14:textId="77777777" w:rsidR="007C28D5" w:rsidRDefault="007C28D5" w:rsidP="007D2036">
      <w:pPr>
        <w:pStyle w:val="ListParagraph"/>
        <w:tabs>
          <w:tab w:val="left" w:pos="2025"/>
        </w:tabs>
        <w:ind w:left="0"/>
        <w:rPr>
          <w:noProof/>
          <w:sz w:val="24"/>
          <w:szCs w:val="24"/>
        </w:rPr>
      </w:pPr>
    </w:p>
    <w:p w14:paraId="0FEF1103" w14:textId="328B0A64" w:rsidR="00C37DE1" w:rsidRDefault="007C28D5" w:rsidP="007D2036">
      <w:pPr>
        <w:pStyle w:val="ListParagraph"/>
        <w:tabs>
          <w:tab w:val="left" w:pos="2025"/>
        </w:tabs>
        <w:ind w:left="0"/>
        <w:rPr>
          <w:noProof/>
          <w:sz w:val="24"/>
          <w:szCs w:val="24"/>
        </w:rPr>
      </w:pPr>
      <w:r>
        <w:rPr>
          <w:sz w:val="24"/>
        </w:rPr>
        <w:t>68. Ekonomikas apsekojumos ir norādīts, ka iekšējā tirgus šķēršļi un regulējuma sadrumstalotība ir problēma gan federālo valstu, gan unitāro valstu kontekstā. Tomēr, tā kā bieži vien pašvaldībām ir lielāka autonomija federācijās (Phillips, 2018</w:t>
      </w:r>
      <w:r>
        <w:rPr>
          <w:sz w:val="24"/>
          <w:vertAlign w:val="superscript"/>
        </w:rPr>
        <w:t>[80]</w:t>
      </w:r>
      <w:r>
        <w:rPr>
          <w:sz w:val="24"/>
        </w:rPr>
        <w:t>), nav pārsteigums, ka vairums atsauču uz iekšējā tirgus šķēršļiem attiecas uz federālām valstīm. Vācijā un Kanādā tika ieteikts visās pašvaldībās saskaņot imigrantu kvalifikāciju, lai veicinātu integrāciju (OECD, 2016</w:t>
      </w:r>
      <w:r>
        <w:rPr>
          <w:sz w:val="24"/>
          <w:vertAlign w:val="superscript"/>
        </w:rPr>
        <w:t>[32]</w:t>
      </w:r>
      <w:r>
        <w:rPr>
          <w:sz w:val="24"/>
        </w:rPr>
        <w:t>; 2014</w:t>
      </w:r>
      <w:r>
        <w:rPr>
          <w:sz w:val="24"/>
          <w:vertAlign w:val="superscript"/>
        </w:rPr>
        <w:t>[81]</w:t>
      </w:r>
      <w:r>
        <w:rPr>
          <w:sz w:val="24"/>
        </w:rPr>
        <w:t>). Līdzīgs aicinājums bija izteikts Šveicē – vienādot darba tirgu, mazinot piekļuves darba tirgum ierobežojumus kantonos. Turklāt Šveices apsekojumos tika atzīts, ka kantoniem jāsaskaņo būvniecības likumi un kodeksi (OECD, 2015</w:t>
      </w:r>
      <w:r>
        <w:rPr>
          <w:sz w:val="24"/>
          <w:vertAlign w:val="superscript"/>
        </w:rPr>
        <w:t>[56]</w:t>
      </w:r>
      <w:r>
        <w:rPr>
          <w:sz w:val="24"/>
        </w:rPr>
        <w:t>; 2017</w:t>
      </w:r>
      <w:r>
        <w:rPr>
          <w:sz w:val="24"/>
          <w:vertAlign w:val="superscript"/>
        </w:rPr>
        <w:t>[77]</w:t>
      </w:r>
      <w:r>
        <w:rPr>
          <w:sz w:val="24"/>
        </w:rPr>
        <w:t>). Spānijā tika apstiprināta tirgus vienotības likuma īstenošana kā veids, lai mazinātu reģionālos šķēršļus ienākšanai tirgū, ko radīja uzņēmējdarbības licencēšanas sistēmas sadrumstalotība (OECD, 2014</w:t>
      </w:r>
      <w:r>
        <w:rPr>
          <w:sz w:val="24"/>
          <w:vertAlign w:val="superscript"/>
        </w:rPr>
        <w:t>[63]</w:t>
      </w:r>
      <w:r>
        <w:rPr>
          <w:sz w:val="24"/>
        </w:rPr>
        <w:t>). Visbeidzot, tirgus šķēršļi parādās arī jaunās jomās, piemēram, atjaunojamās enerģijas jomā. Beļģijā tika ieteikts, lai zaļās enerģijas un koģenerācijas staciju (TEC) sertifikāti būtu nododami visos reģionos (OECD, 2009</w:t>
      </w:r>
      <w:r>
        <w:rPr>
          <w:sz w:val="24"/>
          <w:vertAlign w:val="superscript"/>
        </w:rPr>
        <w:t>[50]</w:t>
      </w:r>
      <w:r>
        <w:rPr>
          <w:sz w:val="24"/>
        </w:rPr>
        <w:t>).</w:t>
      </w:r>
    </w:p>
    <w:p w14:paraId="626F708F" w14:textId="77777777" w:rsidR="007C28D5" w:rsidRPr="00074D4C" w:rsidRDefault="007C28D5" w:rsidP="007C28D5">
      <w:pPr>
        <w:pStyle w:val="ListParagraph"/>
        <w:tabs>
          <w:tab w:val="left" w:pos="2025"/>
        </w:tabs>
        <w:ind w:left="0"/>
        <w:jc w:val="left"/>
        <w:rPr>
          <w:noProof/>
          <w:sz w:val="24"/>
          <w:szCs w:val="24"/>
        </w:rPr>
      </w:pPr>
    </w:p>
    <w:p w14:paraId="616C5CA1" w14:textId="74664230" w:rsidR="00C37DE1" w:rsidRDefault="007C28D5" w:rsidP="007C28D5">
      <w:pPr>
        <w:pStyle w:val="Heading7"/>
        <w:tabs>
          <w:tab w:val="left" w:pos="2083"/>
        </w:tabs>
        <w:ind w:left="0" w:firstLine="0"/>
        <w:jc w:val="left"/>
        <w:rPr>
          <w:noProof/>
          <w:sz w:val="28"/>
          <w:szCs w:val="28"/>
        </w:rPr>
      </w:pPr>
      <w:bookmarkStart w:id="112" w:name="5.1.3.__Benchmark_performance_nationally"/>
      <w:bookmarkEnd w:id="112"/>
      <w:r>
        <w:rPr>
          <w:sz w:val="28"/>
        </w:rPr>
        <w:t>5.1.3. Veikt darbības rezultātu salīdzinošo novērtējumu valsts un starptautiskā līmenī</w:t>
      </w:r>
    </w:p>
    <w:p w14:paraId="2CC22D45" w14:textId="77777777" w:rsidR="007C28D5" w:rsidRPr="007C28D5" w:rsidRDefault="007C28D5" w:rsidP="007C28D5">
      <w:pPr>
        <w:pStyle w:val="Heading7"/>
        <w:tabs>
          <w:tab w:val="left" w:pos="2083"/>
        </w:tabs>
        <w:ind w:left="0" w:firstLine="0"/>
        <w:rPr>
          <w:noProof/>
          <w:sz w:val="28"/>
          <w:szCs w:val="28"/>
        </w:rPr>
      </w:pPr>
    </w:p>
    <w:p w14:paraId="152A83B4" w14:textId="2B5BA660" w:rsidR="00C37DE1" w:rsidRPr="00074D4C" w:rsidRDefault="007C28D5" w:rsidP="007D2036">
      <w:pPr>
        <w:pStyle w:val="ListParagraph"/>
        <w:tabs>
          <w:tab w:val="left" w:pos="2025"/>
        </w:tabs>
        <w:ind w:left="0"/>
        <w:rPr>
          <w:noProof/>
          <w:sz w:val="24"/>
          <w:szCs w:val="24"/>
        </w:rPr>
      </w:pPr>
      <w:r>
        <w:rPr>
          <w:sz w:val="24"/>
        </w:rPr>
        <w:t>69. Uzraudzība, novērtēšana un pārraudzība nav nošķiramas no salīdzinošās novērtēšanas. Salīdzinošā novērtēšana, proti, darbības rezultātu salīdzināšana attiecībā pret atskaites punktu, ir īpaši svarīga fiskālās decentralizācijas kontekstā. Tas ir tāpēc, ka decentralizācija paredz salīdzinošo novērtēšanu veikt gan jurisdikciju, gan valstu līmenī. Filipsa (2018</w:t>
      </w:r>
      <w:r>
        <w:rPr>
          <w:sz w:val="24"/>
          <w:vertAlign w:val="superscript"/>
        </w:rPr>
        <w:t>[80]</w:t>
      </w:r>
      <w:r>
        <w:rPr>
          <w:sz w:val="24"/>
        </w:rPr>
        <w:t>) sniedz salīdzinošās novērtēšanas sistēmu apsekojumu, kurā galvenā uzmanība ir pievērsta salīdzinošās novērtēšanas nozīmei decentralizētā vidē, kā arī konkurētspējīgām salīdzinošās novērtēšanas pieejām.</w:t>
      </w:r>
    </w:p>
    <w:p w14:paraId="0CAC4957" w14:textId="77777777" w:rsidR="007C28D5" w:rsidRDefault="007C28D5" w:rsidP="007D2036">
      <w:pPr>
        <w:pStyle w:val="ListParagraph"/>
        <w:tabs>
          <w:tab w:val="left" w:pos="2025"/>
        </w:tabs>
        <w:ind w:left="0"/>
        <w:rPr>
          <w:noProof/>
          <w:sz w:val="24"/>
          <w:szCs w:val="24"/>
        </w:rPr>
      </w:pPr>
    </w:p>
    <w:p w14:paraId="1B0B437F" w14:textId="114E8645" w:rsidR="00C37DE1" w:rsidRDefault="007C28D5" w:rsidP="007D2036">
      <w:pPr>
        <w:pStyle w:val="ListParagraph"/>
        <w:tabs>
          <w:tab w:val="left" w:pos="2025"/>
        </w:tabs>
        <w:ind w:left="0"/>
        <w:rPr>
          <w:noProof/>
          <w:sz w:val="24"/>
          <w:szCs w:val="24"/>
        </w:rPr>
      </w:pPr>
      <w:r>
        <w:rPr>
          <w:sz w:val="24"/>
        </w:rPr>
        <w:lastRenderedPageBreak/>
        <w:t>70. Lai arī salīdzinošo novērtēšanu var piemērot visās pašvaldību jurisdikcijās, ekonomikas apsekojumos ir sniegti daži piemēram, kur tā tika skaidri ieteikta.</w:t>
      </w:r>
    </w:p>
    <w:p w14:paraId="6B2954C8" w14:textId="77777777" w:rsidR="007C28D5" w:rsidRPr="00074D4C" w:rsidRDefault="007C28D5" w:rsidP="007C28D5">
      <w:pPr>
        <w:pStyle w:val="ListParagraph"/>
        <w:tabs>
          <w:tab w:val="left" w:pos="2025"/>
        </w:tabs>
        <w:ind w:left="0"/>
        <w:rPr>
          <w:noProof/>
          <w:sz w:val="24"/>
          <w:szCs w:val="24"/>
        </w:rPr>
      </w:pPr>
    </w:p>
    <w:p w14:paraId="1A290DF8" w14:textId="77777777" w:rsidR="00C37DE1" w:rsidRDefault="00C37DE1" w:rsidP="007C28D5">
      <w:pPr>
        <w:pStyle w:val="ListParagraph"/>
        <w:numPr>
          <w:ilvl w:val="0"/>
          <w:numId w:val="1"/>
        </w:numPr>
        <w:tabs>
          <w:tab w:val="left" w:pos="2097"/>
        </w:tabs>
        <w:ind w:left="567" w:hanging="283"/>
        <w:rPr>
          <w:noProof/>
          <w:sz w:val="24"/>
          <w:szCs w:val="24"/>
        </w:rPr>
      </w:pPr>
      <w:r>
        <w:rPr>
          <w:sz w:val="24"/>
        </w:rPr>
        <w:t>Austrālija – ekoloģiski jutīgu zonu apsaimniekošanas salīdzinošā novērtēšana (OECD, 2004</w:t>
      </w:r>
      <w:r>
        <w:rPr>
          <w:sz w:val="24"/>
          <w:vertAlign w:val="superscript"/>
        </w:rPr>
        <w:t>[82]</w:t>
      </w:r>
      <w:r>
        <w:rPr>
          <w:sz w:val="24"/>
        </w:rPr>
        <w:t>).</w:t>
      </w:r>
    </w:p>
    <w:p w14:paraId="2AD7AF47" w14:textId="77777777" w:rsidR="007C28D5" w:rsidRPr="00074D4C" w:rsidRDefault="007C28D5" w:rsidP="007C28D5">
      <w:pPr>
        <w:pStyle w:val="ListParagraph"/>
        <w:tabs>
          <w:tab w:val="left" w:pos="2097"/>
        </w:tabs>
        <w:ind w:left="567" w:hanging="283"/>
        <w:rPr>
          <w:noProof/>
          <w:sz w:val="24"/>
          <w:szCs w:val="24"/>
        </w:rPr>
      </w:pPr>
    </w:p>
    <w:p w14:paraId="3409AABA" w14:textId="77777777" w:rsidR="00C37DE1" w:rsidRDefault="00C37DE1" w:rsidP="007C28D5">
      <w:pPr>
        <w:pStyle w:val="ListParagraph"/>
        <w:numPr>
          <w:ilvl w:val="0"/>
          <w:numId w:val="1"/>
        </w:numPr>
        <w:tabs>
          <w:tab w:val="left" w:pos="2097"/>
        </w:tabs>
        <w:ind w:left="567" w:hanging="283"/>
        <w:rPr>
          <w:noProof/>
          <w:sz w:val="24"/>
          <w:szCs w:val="24"/>
        </w:rPr>
      </w:pPr>
      <w:r>
        <w:rPr>
          <w:sz w:val="24"/>
        </w:rPr>
        <w:t>Indija – dalība starptautiskā apsekojumā kā veids, lai salīdzinoši novērtētu pavalsts līmeņa rezultātus izglītības jomā (OECD, 2011</w:t>
      </w:r>
      <w:r>
        <w:rPr>
          <w:sz w:val="24"/>
          <w:vertAlign w:val="superscript"/>
        </w:rPr>
        <w:t>[83]</w:t>
      </w:r>
      <w:r>
        <w:rPr>
          <w:sz w:val="24"/>
        </w:rPr>
        <w:t>). Turpināt pavalstu savstarpējo salīdzinošo novērtēšanu un dalīties ar labas prakses piemēriem “darbaspēka noteikumu un zemes izmantošanas likumu jomā” (OECD, 2016</w:t>
      </w:r>
      <w:r>
        <w:rPr>
          <w:sz w:val="24"/>
          <w:vertAlign w:val="superscript"/>
        </w:rPr>
        <w:t>[84]</w:t>
      </w:r>
      <w:r>
        <w:rPr>
          <w:sz w:val="24"/>
        </w:rPr>
        <w:t>).</w:t>
      </w:r>
    </w:p>
    <w:p w14:paraId="5C8DEDA3" w14:textId="77777777" w:rsidR="007C28D5" w:rsidRPr="00074D4C" w:rsidRDefault="007C28D5" w:rsidP="007C28D5">
      <w:pPr>
        <w:pStyle w:val="ListParagraph"/>
        <w:tabs>
          <w:tab w:val="left" w:pos="2097"/>
        </w:tabs>
        <w:ind w:left="567" w:hanging="283"/>
        <w:rPr>
          <w:noProof/>
          <w:sz w:val="24"/>
          <w:szCs w:val="24"/>
        </w:rPr>
      </w:pPr>
    </w:p>
    <w:p w14:paraId="71E76DEB" w14:textId="77777777" w:rsidR="00C37DE1" w:rsidRDefault="00C37DE1" w:rsidP="007C28D5">
      <w:pPr>
        <w:pStyle w:val="ListParagraph"/>
        <w:numPr>
          <w:ilvl w:val="0"/>
          <w:numId w:val="1"/>
        </w:numPr>
        <w:tabs>
          <w:tab w:val="left" w:pos="2097"/>
        </w:tabs>
        <w:ind w:left="567" w:hanging="283"/>
        <w:rPr>
          <w:noProof/>
          <w:sz w:val="24"/>
          <w:szCs w:val="24"/>
        </w:rPr>
      </w:pPr>
      <w:r>
        <w:rPr>
          <w:sz w:val="24"/>
        </w:rPr>
        <w:t>Itālija – izmantot izmaksu salīdzinošo novērtēšanu publiskajos iepirkumos (OECD, 2015</w:t>
      </w:r>
      <w:r>
        <w:rPr>
          <w:sz w:val="24"/>
          <w:vertAlign w:val="superscript"/>
        </w:rPr>
        <w:t>[85]</w:t>
      </w:r>
      <w:r>
        <w:rPr>
          <w:sz w:val="24"/>
        </w:rPr>
        <w:t>).</w:t>
      </w:r>
    </w:p>
    <w:p w14:paraId="0C19684F" w14:textId="77777777" w:rsidR="007C28D5" w:rsidRPr="00074D4C" w:rsidRDefault="007C28D5" w:rsidP="007C28D5">
      <w:pPr>
        <w:pStyle w:val="ListParagraph"/>
        <w:tabs>
          <w:tab w:val="left" w:pos="2097"/>
        </w:tabs>
        <w:ind w:left="567" w:hanging="283"/>
        <w:rPr>
          <w:noProof/>
          <w:sz w:val="24"/>
          <w:szCs w:val="24"/>
        </w:rPr>
      </w:pPr>
    </w:p>
    <w:p w14:paraId="5670D418" w14:textId="77777777" w:rsidR="00C37DE1" w:rsidRDefault="00C37DE1" w:rsidP="007C28D5">
      <w:pPr>
        <w:pStyle w:val="ListParagraph"/>
        <w:numPr>
          <w:ilvl w:val="0"/>
          <w:numId w:val="1"/>
        </w:numPr>
        <w:tabs>
          <w:tab w:val="left" w:pos="2098"/>
        </w:tabs>
        <w:ind w:left="567" w:hanging="283"/>
        <w:rPr>
          <w:noProof/>
          <w:sz w:val="24"/>
          <w:szCs w:val="24"/>
        </w:rPr>
      </w:pPr>
      <w:r>
        <w:rPr>
          <w:sz w:val="24"/>
        </w:rPr>
        <w:t>Spānija – veikt reģionālo sabiedrisko pakalpojumu salīdzinošo novērtēšanu attiecībā uz izmaksām un kvalitāti (OECD, 2010</w:t>
      </w:r>
      <w:r>
        <w:rPr>
          <w:sz w:val="24"/>
          <w:vertAlign w:val="superscript"/>
        </w:rPr>
        <w:t>[86]</w:t>
      </w:r>
      <w:r>
        <w:rPr>
          <w:sz w:val="24"/>
        </w:rPr>
        <w:t>).</w:t>
      </w:r>
    </w:p>
    <w:p w14:paraId="5A8FB1FD" w14:textId="77777777" w:rsidR="007C28D5" w:rsidRPr="00074D4C" w:rsidRDefault="007C28D5" w:rsidP="007C28D5">
      <w:pPr>
        <w:pStyle w:val="ListParagraph"/>
        <w:tabs>
          <w:tab w:val="left" w:pos="2098"/>
        </w:tabs>
        <w:ind w:left="0"/>
        <w:rPr>
          <w:noProof/>
          <w:sz w:val="24"/>
          <w:szCs w:val="24"/>
        </w:rPr>
      </w:pPr>
    </w:p>
    <w:p w14:paraId="41858325" w14:textId="5CE2C256" w:rsidR="00C37DE1" w:rsidRPr="007C28D5" w:rsidRDefault="007C28D5" w:rsidP="007C28D5">
      <w:pPr>
        <w:pStyle w:val="Heading7"/>
        <w:tabs>
          <w:tab w:val="left" w:pos="2083"/>
        </w:tabs>
        <w:ind w:left="0" w:firstLine="0"/>
        <w:rPr>
          <w:noProof/>
          <w:sz w:val="28"/>
          <w:szCs w:val="28"/>
        </w:rPr>
      </w:pPr>
      <w:bookmarkStart w:id="113" w:name="5.1.4.__Improve_quality_and_accessibilit"/>
      <w:bookmarkEnd w:id="113"/>
      <w:r>
        <w:rPr>
          <w:sz w:val="28"/>
        </w:rPr>
        <w:t>5.1.4. Uzlabot darbības datu kvalitāti un pieejamību</w:t>
      </w:r>
    </w:p>
    <w:p w14:paraId="5B5A0B30" w14:textId="77777777" w:rsidR="007C28D5" w:rsidRDefault="007C28D5" w:rsidP="007C28D5">
      <w:pPr>
        <w:pStyle w:val="ListParagraph"/>
        <w:tabs>
          <w:tab w:val="left" w:pos="2025"/>
        </w:tabs>
        <w:ind w:left="0"/>
        <w:jc w:val="left"/>
        <w:rPr>
          <w:noProof/>
          <w:sz w:val="24"/>
          <w:szCs w:val="24"/>
        </w:rPr>
      </w:pPr>
    </w:p>
    <w:p w14:paraId="3A0507E5" w14:textId="1A7FBBBD" w:rsidR="00C37DE1" w:rsidRPr="00074D4C" w:rsidRDefault="007C28D5" w:rsidP="007D2036">
      <w:pPr>
        <w:pStyle w:val="ListParagraph"/>
        <w:tabs>
          <w:tab w:val="left" w:pos="2025"/>
        </w:tabs>
        <w:ind w:left="0"/>
        <w:rPr>
          <w:noProof/>
          <w:sz w:val="24"/>
          <w:szCs w:val="24"/>
        </w:rPr>
      </w:pPr>
      <w:r>
        <w:rPr>
          <w:sz w:val="24"/>
        </w:rPr>
        <w:t>71. Salīdzinošā novērtēšana un darbības novērtēšana ir atkarīga no tā, vai ir pieejami attiecīgie dati pašvaldību līmenī. Turklāt padarīt pieejamus kvalitatīvus datus ir vieglāk pateikt nekā izdarīt. Tāpēc ir sniegti skaidri aicinājumi uzlabot pieejamos datus par pašvaldību darbības rezultātiem Austrālijas apsekojumā (sabiedrisko pakalpojumu kvalitāte), Francijas apsekojumā (sabiedrisko pakalpojumu kvalitāte un izmaksas), Vācijas apsekojumā (publiskās un privātās partnerības darbības rezultāti), Meksikas apsekojumā (budžeta izziņošana un fiskālie pārvedumi) un Šveices apsekojumā (algas publiskajā sektorā).</w:t>
      </w:r>
    </w:p>
    <w:p w14:paraId="44B3C7FD" w14:textId="77777777" w:rsidR="00BD2EED" w:rsidRDefault="00BD2EED" w:rsidP="00BD2EED">
      <w:pPr>
        <w:pStyle w:val="Heading7"/>
        <w:tabs>
          <w:tab w:val="left" w:pos="2083"/>
        </w:tabs>
        <w:ind w:left="0" w:firstLine="0"/>
        <w:jc w:val="left"/>
        <w:rPr>
          <w:noProof/>
          <w:sz w:val="28"/>
          <w:szCs w:val="28"/>
        </w:rPr>
      </w:pPr>
      <w:bookmarkStart w:id="114" w:name="5.1.5.__Implementing_joint_procedures_an"/>
      <w:bookmarkEnd w:id="114"/>
    </w:p>
    <w:p w14:paraId="6E0CB3C8" w14:textId="1ED69F4E" w:rsidR="00C37DE1" w:rsidRPr="00BD2EED" w:rsidRDefault="00BD2EED" w:rsidP="00BD2EED">
      <w:pPr>
        <w:pStyle w:val="Heading7"/>
        <w:tabs>
          <w:tab w:val="left" w:pos="2083"/>
        </w:tabs>
        <w:ind w:left="0" w:firstLine="0"/>
        <w:rPr>
          <w:noProof/>
          <w:sz w:val="28"/>
          <w:szCs w:val="28"/>
        </w:rPr>
      </w:pPr>
      <w:r>
        <w:rPr>
          <w:sz w:val="28"/>
        </w:rPr>
        <w:t>5.1.5. Īstenot kopīgas procedūras un centralizēt iepirkumus pašvaldībās</w:t>
      </w:r>
    </w:p>
    <w:p w14:paraId="5CD388E8" w14:textId="77777777" w:rsidR="00BD2EED" w:rsidRDefault="00BD2EED" w:rsidP="00BD2EED">
      <w:pPr>
        <w:pStyle w:val="ListParagraph"/>
        <w:tabs>
          <w:tab w:val="left" w:pos="2025"/>
        </w:tabs>
        <w:ind w:left="0"/>
        <w:jc w:val="left"/>
        <w:rPr>
          <w:noProof/>
          <w:sz w:val="24"/>
          <w:szCs w:val="24"/>
        </w:rPr>
      </w:pPr>
    </w:p>
    <w:p w14:paraId="7859E674" w14:textId="19F357E3" w:rsidR="00C37DE1" w:rsidRPr="00074D4C" w:rsidRDefault="00BD2EED" w:rsidP="007D2036">
      <w:pPr>
        <w:pStyle w:val="ListParagraph"/>
        <w:tabs>
          <w:tab w:val="left" w:pos="2025"/>
        </w:tabs>
        <w:ind w:left="0"/>
        <w:rPr>
          <w:noProof/>
          <w:sz w:val="24"/>
          <w:szCs w:val="24"/>
        </w:rPr>
      </w:pPr>
      <w:r>
        <w:rPr>
          <w:sz w:val="24"/>
        </w:rPr>
        <w:t>72. Koordinēšana var palīdzēt pašvaldībām pārvarēt apjomradītu ietaupījumu zudumu, ko var saistīt ar dažiem decentralizācijas aspektiem. Piemēram, centralizētā iepirkumu institūcija var palīdzēt sasniegt lielākus iepirkuma apjomus un/vai palielināt administratīvo efektivitāti (OECD, 2015</w:t>
      </w:r>
      <w:r>
        <w:rPr>
          <w:sz w:val="24"/>
          <w:vertAlign w:val="superscript"/>
        </w:rPr>
        <w:t>[87]</w:t>
      </w:r>
      <w:r>
        <w:rPr>
          <w:sz w:val="24"/>
        </w:rPr>
        <w:t xml:space="preserve">). Šie faktori ir palīdzējuši motivēt pašvaldības veidot dalītu pakalpojumu modeļus iepirkumos, piemēram, Anglijā (Murray, Rentell and Geere, 2008[88]) un Kvīnslendā, Austrālijā. Saskaņā ar aplēsēm Kvīnslendā dalītas iepirkuma programmas </w:t>
      </w:r>
      <w:r>
        <w:rPr>
          <w:i/>
          <w:sz w:val="24"/>
        </w:rPr>
        <w:t>Local Buy</w:t>
      </w:r>
      <w:r>
        <w:rPr>
          <w:sz w:val="24"/>
        </w:rPr>
        <w:t xml:space="preserve"> īstenošana vietējām iestādēm ir ļāvusi ietaupīt 4–7 mlj. dolāru gadā (Dollery, Hallam and Wallis, 2008</w:t>
      </w:r>
      <w:r>
        <w:rPr>
          <w:sz w:val="24"/>
          <w:vertAlign w:val="superscript"/>
        </w:rPr>
        <w:t>[89]</w:t>
      </w:r>
      <w:r>
        <w:rPr>
          <w:sz w:val="24"/>
        </w:rPr>
        <w:t>).</w:t>
      </w:r>
    </w:p>
    <w:p w14:paraId="1D837B11" w14:textId="77777777" w:rsidR="00C85C26" w:rsidRPr="00074D4C" w:rsidRDefault="00C85C26" w:rsidP="007D2036">
      <w:pPr>
        <w:pStyle w:val="ListParagraph"/>
        <w:ind w:left="0"/>
        <w:rPr>
          <w:noProof/>
          <w:sz w:val="24"/>
          <w:szCs w:val="24"/>
        </w:rPr>
      </w:pPr>
    </w:p>
    <w:p w14:paraId="7049A3BF" w14:textId="26A328CC" w:rsidR="00C37DE1" w:rsidRPr="00074D4C" w:rsidRDefault="00BD2EED" w:rsidP="007D2036">
      <w:pPr>
        <w:pStyle w:val="ListParagraph"/>
        <w:tabs>
          <w:tab w:val="left" w:pos="2026"/>
        </w:tabs>
        <w:ind w:left="0"/>
        <w:rPr>
          <w:noProof/>
          <w:sz w:val="24"/>
          <w:szCs w:val="24"/>
        </w:rPr>
      </w:pPr>
      <w:r>
        <w:rPr>
          <w:sz w:val="24"/>
        </w:rPr>
        <w:t>73. Iepirkumu centralizācija pašvaldību līmenī ir aplūkota vairākos ekonomikas apsekojumos. Francijā pārmērīgi lielais pašvaldību (</w:t>
      </w:r>
      <w:r>
        <w:rPr>
          <w:i/>
          <w:sz w:val="24"/>
        </w:rPr>
        <w:t>communes</w:t>
      </w:r>
      <w:r>
        <w:rPr>
          <w:sz w:val="24"/>
        </w:rPr>
        <w:t>) skaits tika saistīts ar ne pārāk optimālu iepirkumu praksi. Lai standartizētu šos procesus, tika ieteikts centralizēts, elektronisks iepirkums (OECD, 2015</w:t>
      </w:r>
      <w:r>
        <w:rPr>
          <w:sz w:val="24"/>
          <w:vertAlign w:val="superscript"/>
        </w:rPr>
        <w:t>[61]</w:t>
      </w:r>
      <w:r>
        <w:rPr>
          <w:sz w:val="24"/>
        </w:rPr>
        <w:t>). Līdzīgs ieteikums tika sniegts Vācijai, pievēršot īpašu uzmanību nepieciešamībai paaugstināt vietējo civildienestu prasmes (OECD, 2016</w:t>
      </w:r>
      <w:r>
        <w:rPr>
          <w:sz w:val="24"/>
          <w:vertAlign w:val="superscript"/>
        </w:rPr>
        <w:t>[32]</w:t>
      </w:r>
      <w:r>
        <w:rPr>
          <w:sz w:val="24"/>
        </w:rPr>
        <w:t>). Itālijas apsekojumā tika atzīmēts, ka tai jau tika piedāvāts būtiski samazināt vietējā līmeņa iepirkumu centru skaitu (no 32 000 uz mazāk par 40), lai centralizētu iepirkumus (OECD, 2015</w:t>
      </w:r>
      <w:r>
        <w:rPr>
          <w:sz w:val="24"/>
          <w:vertAlign w:val="superscript"/>
        </w:rPr>
        <w:t>[85]</w:t>
      </w:r>
      <w:r>
        <w:rPr>
          <w:sz w:val="24"/>
        </w:rPr>
        <w:t>). Visbeidzot, Šveice tika mudināta saskaņot iepirkuma noteikumus kantonos, lai palielinātu procesa pārskatatbildību un piegādātāju konkurenci (OECD, 2007</w:t>
      </w:r>
      <w:r>
        <w:rPr>
          <w:sz w:val="24"/>
          <w:vertAlign w:val="superscript"/>
        </w:rPr>
        <w:t>[90]</w:t>
      </w:r>
      <w:r>
        <w:rPr>
          <w:sz w:val="24"/>
        </w:rPr>
        <w:t>).</w:t>
      </w:r>
    </w:p>
    <w:p w14:paraId="577BF10D" w14:textId="77777777" w:rsidR="00BD2EED" w:rsidRDefault="00BD2EED" w:rsidP="00BD2EED">
      <w:pPr>
        <w:pStyle w:val="Heading7"/>
        <w:tabs>
          <w:tab w:val="left" w:pos="2083"/>
        </w:tabs>
        <w:ind w:left="0" w:firstLine="0"/>
        <w:jc w:val="left"/>
        <w:rPr>
          <w:noProof/>
          <w:sz w:val="28"/>
          <w:szCs w:val="28"/>
        </w:rPr>
      </w:pPr>
      <w:bookmarkStart w:id="115" w:name="5.1.6.__Build_SCG_professional_capacity"/>
      <w:bookmarkEnd w:id="115"/>
    </w:p>
    <w:p w14:paraId="541BC607" w14:textId="6DC3BE72" w:rsidR="00C37DE1" w:rsidRPr="00074D4C" w:rsidRDefault="00BD2EED" w:rsidP="00136BA3">
      <w:pPr>
        <w:pStyle w:val="Heading7"/>
        <w:keepNext/>
        <w:keepLines/>
        <w:tabs>
          <w:tab w:val="left" w:pos="2083"/>
        </w:tabs>
        <w:ind w:left="0" w:firstLine="0"/>
        <w:rPr>
          <w:noProof/>
        </w:rPr>
      </w:pPr>
      <w:r>
        <w:rPr>
          <w:sz w:val="28"/>
        </w:rPr>
        <w:lastRenderedPageBreak/>
        <w:t>5.1.6. Pilnveidot pašvaldību profesionālo spēju</w:t>
      </w:r>
    </w:p>
    <w:p w14:paraId="602C0DE3" w14:textId="77777777" w:rsidR="00BD2EED" w:rsidRDefault="00BD2EED" w:rsidP="00136BA3">
      <w:pPr>
        <w:pStyle w:val="ListParagraph"/>
        <w:keepNext/>
        <w:keepLines/>
        <w:tabs>
          <w:tab w:val="left" w:pos="2025"/>
        </w:tabs>
        <w:ind w:left="0"/>
        <w:jc w:val="left"/>
        <w:rPr>
          <w:noProof/>
          <w:sz w:val="24"/>
          <w:szCs w:val="24"/>
        </w:rPr>
      </w:pPr>
    </w:p>
    <w:p w14:paraId="4888ED42" w14:textId="6F64EB75" w:rsidR="00C37DE1" w:rsidRPr="00074D4C" w:rsidRDefault="00BD2EED" w:rsidP="00136BA3">
      <w:pPr>
        <w:pStyle w:val="ListParagraph"/>
        <w:keepNext/>
        <w:keepLines/>
        <w:tabs>
          <w:tab w:val="left" w:pos="2025"/>
        </w:tabs>
        <w:ind w:left="0"/>
        <w:rPr>
          <w:noProof/>
          <w:sz w:val="24"/>
          <w:szCs w:val="24"/>
        </w:rPr>
      </w:pPr>
      <w:r>
        <w:rPr>
          <w:sz w:val="24"/>
        </w:rPr>
        <w:t>74. Plaši pierādījumi liecina, ka jo īpaši pašvaldībām ir spējas ierobežojumi. Šādi spējas ierobežojumi var attiekties uz cilvēkresursiem un fizisko kapitālu publiskajā sektorā, tostarp zemas tehniskas prasmes amatpersonām, kas darbojas nodokļu jomā, un ierobežota modernu IT sistēmu lietošana (Ter-Minassian, 2020</w:t>
      </w:r>
      <w:r>
        <w:rPr>
          <w:sz w:val="24"/>
          <w:vertAlign w:val="superscript"/>
        </w:rPr>
        <w:t>[91]</w:t>
      </w:r>
      <w:r>
        <w:rPr>
          <w:sz w:val="24"/>
        </w:rPr>
        <w:t>). Tas atbalsojies apsekojumos sniegtajos ieteikumos, kas aicina pašvaldību sabiedrisko pakalpojumu sniedzējiem paaugstināt profesionalitāti vai uzlabot prasmes. Francijā un Vācijā apsekojumos aicināts uzlabot pašvaldību iepirkumos iesaistīto darbinieku prasmes (OECD, 2015</w:t>
      </w:r>
      <w:r>
        <w:rPr>
          <w:sz w:val="24"/>
          <w:vertAlign w:val="superscript"/>
        </w:rPr>
        <w:t>[61]</w:t>
      </w:r>
      <w:r>
        <w:rPr>
          <w:sz w:val="24"/>
        </w:rPr>
        <w:t>; 2016</w:t>
      </w:r>
      <w:r>
        <w:rPr>
          <w:sz w:val="24"/>
          <w:vertAlign w:val="superscript"/>
        </w:rPr>
        <w:t>[32]</w:t>
      </w:r>
      <w:r>
        <w:rPr>
          <w:sz w:val="24"/>
        </w:rPr>
        <w:t>). Vācijas gadījumā tas bija tieši saistīts ar e-iepirkumiem, kuru ieviešanai būtu nepieciešamas stingrākas prasmes datu analīzes un atkalizmantošanas jomās (OECD, 2016</w:t>
      </w:r>
      <w:r>
        <w:rPr>
          <w:sz w:val="24"/>
          <w:vertAlign w:val="superscript"/>
        </w:rPr>
        <w:t>[32]</w:t>
      </w:r>
      <w:r>
        <w:rPr>
          <w:sz w:val="24"/>
        </w:rPr>
        <w:t>).</w:t>
      </w:r>
    </w:p>
    <w:p w14:paraId="48B24D5E" w14:textId="77777777" w:rsidR="00BD2EED" w:rsidRDefault="00BD2EED" w:rsidP="007D2036">
      <w:pPr>
        <w:pStyle w:val="ListParagraph"/>
        <w:tabs>
          <w:tab w:val="left" w:pos="2026"/>
        </w:tabs>
        <w:ind w:left="0"/>
        <w:rPr>
          <w:noProof/>
          <w:sz w:val="24"/>
          <w:szCs w:val="24"/>
        </w:rPr>
      </w:pPr>
    </w:p>
    <w:p w14:paraId="4802DA56" w14:textId="2F8506B3" w:rsidR="00C37DE1" w:rsidRDefault="00BD2EED" w:rsidP="007D2036">
      <w:pPr>
        <w:pStyle w:val="ListParagraph"/>
        <w:tabs>
          <w:tab w:val="left" w:pos="2026"/>
        </w:tabs>
        <w:ind w:left="0"/>
        <w:rPr>
          <w:noProof/>
          <w:sz w:val="24"/>
          <w:szCs w:val="24"/>
        </w:rPr>
      </w:pPr>
      <w:r>
        <w:rPr>
          <w:sz w:val="24"/>
        </w:rPr>
        <w:t>75. Dažas vidēja ienākuma valstis saņēma vispārīgāku pamudinājumu palielināt pašvaldību tehnisko kompetenci. Meksika tika mudināta palielināt spējas un civildienesta profesionalitāti pavalsts un pašvaldību līmenī (OECD, 2019</w:t>
      </w:r>
      <w:r>
        <w:rPr>
          <w:sz w:val="24"/>
          <w:vertAlign w:val="superscript"/>
        </w:rPr>
        <w:t>[65]</w:t>
      </w:r>
      <w:r>
        <w:rPr>
          <w:sz w:val="24"/>
        </w:rPr>
        <w:t>). Līdzīgi arī Indonēzijai tika ieteikts paplašināt palīdzību, lai palīdzētu reģioniem uzlabot budžeta plānošanas un īstenošanas spēju (OECD, 2016</w:t>
      </w:r>
      <w:r>
        <w:rPr>
          <w:sz w:val="24"/>
          <w:vertAlign w:val="superscript"/>
        </w:rPr>
        <w:t>[92]</w:t>
      </w:r>
      <w:r>
        <w:rPr>
          <w:sz w:val="24"/>
        </w:rPr>
        <w:t>).</w:t>
      </w:r>
    </w:p>
    <w:p w14:paraId="082E35D3" w14:textId="77777777" w:rsidR="00BD2EED" w:rsidRPr="00074D4C" w:rsidRDefault="00BD2EED" w:rsidP="00BD2EED">
      <w:pPr>
        <w:pStyle w:val="ListParagraph"/>
        <w:tabs>
          <w:tab w:val="left" w:pos="2026"/>
        </w:tabs>
        <w:ind w:left="0"/>
        <w:rPr>
          <w:noProof/>
          <w:sz w:val="24"/>
          <w:szCs w:val="24"/>
        </w:rPr>
      </w:pPr>
    </w:p>
    <w:p w14:paraId="307EFB85" w14:textId="16B3BBA4" w:rsidR="00C37DE1" w:rsidRDefault="00BD2EED" w:rsidP="00BD2EED">
      <w:pPr>
        <w:pStyle w:val="Heading7"/>
        <w:tabs>
          <w:tab w:val="left" w:pos="2083"/>
        </w:tabs>
        <w:ind w:left="0" w:firstLine="0"/>
        <w:jc w:val="left"/>
        <w:rPr>
          <w:noProof/>
          <w:sz w:val="28"/>
          <w:szCs w:val="28"/>
        </w:rPr>
      </w:pPr>
      <w:bookmarkStart w:id="116" w:name="5.1.7.__Enhance_monitoring,_including_th"/>
      <w:bookmarkEnd w:id="116"/>
      <w:r>
        <w:rPr>
          <w:sz w:val="28"/>
        </w:rPr>
        <w:t>5.1.7. Uzlabot uzraudzību, tostarp izmantojot pārraudzību valsts līmenī</w:t>
      </w:r>
    </w:p>
    <w:p w14:paraId="21D19565" w14:textId="77777777" w:rsidR="00BD2EED" w:rsidRPr="00BD2EED" w:rsidRDefault="00BD2EED" w:rsidP="00BD2EED">
      <w:pPr>
        <w:pStyle w:val="Heading7"/>
        <w:tabs>
          <w:tab w:val="left" w:pos="2083"/>
        </w:tabs>
        <w:ind w:left="0" w:firstLine="0"/>
        <w:rPr>
          <w:noProof/>
          <w:sz w:val="28"/>
          <w:szCs w:val="28"/>
        </w:rPr>
      </w:pPr>
    </w:p>
    <w:p w14:paraId="1283F4D6" w14:textId="2C96135E" w:rsidR="00C37DE1" w:rsidRPr="00074D4C" w:rsidRDefault="00BD2EED" w:rsidP="007D2036">
      <w:pPr>
        <w:pStyle w:val="ListParagraph"/>
        <w:tabs>
          <w:tab w:val="left" w:pos="1306"/>
          <w:tab w:val="left" w:pos="2025"/>
        </w:tabs>
        <w:ind w:left="0"/>
        <w:rPr>
          <w:noProof/>
          <w:sz w:val="24"/>
          <w:szCs w:val="24"/>
        </w:rPr>
      </w:pPr>
      <w:r>
        <w:rPr>
          <w:sz w:val="24"/>
        </w:rPr>
        <w:t>76. Dohertijs, Renda un fon Traps [</w:t>
      </w:r>
      <w:r>
        <w:rPr>
          <w:i/>
          <w:iCs/>
          <w:sz w:val="24"/>
        </w:rPr>
        <w:t>von Trapp</w:t>
      </w:r>
      <w:r>
        <w:rPr>
          <w:sz w:val="24"/>
        </w:rPr>
        <w:t>] (2020</w:t>
      </w:r>
      <w:r>
        <w:rPr>
          <w:sz w:val="24"/>
          <w:vertAlign w:val="superscript"/>
        </w:rPr>
        <w:t>[4]</w:t>
      </w:r>
      <w:r>
        <w:rPr>
          <w:sz w:val="24"/>
        </w:rPr>
        <w:t>) atzīmē pašvaldību līmeņa neatkarīgu pārraudzības struktūru parādīšanos kā jaunu globālu tendenci izmantot šādas iestādes politikas pilnveidošanas un lēmumu pieņemšanas atbalstam. Neatkarīgas pārraudzības struktūras var iedalīt trijos veidos – neatkarīgas fiskālās komisijas, neatkarīgas produktivitāti pārraugošās komisijas un regulatīvās pārraudzības struktūras.</w:t>
      </w:r>
    </w:p>
    <w:p w14:paraId="6A1B8A14" w14:textId="77777777" w:rsidR="00BD2EED" w:rsidRDefault="00BD2EED" w:rsidP="007D2036">
      <w:pPr>
        <w:pStyle w:val="ListParagraph"/>
        <w:tabs>
          <w:tab w:val="left" w:pos="2025"/>
        </w:tabs>
        <w:ind w:left="0"/>
        <w:rPr>
          <w:noProof/>
          <w:sz w:val="24"/>
          <w:szCs w:val="24"/>
        </w:rPr>
      </w:pPr>
    </w:p>
    <w:p w14:paraId="7B92993E" w14:textId="533441D9" w:rsidR="00C37DE1" w:rsidRPr="00074D4C" w:rsidRDefault="00BD2EED" w:rsidP="007D2036">
      <w:pPr>
        <w:pStyle w:val="ListParagraph"/>
        <w:tabs>
          <w:tab w:val="left" w:pos="2025"/>
        </w:tabs>
        <w:ind w:left="0"/>
        <w:rPr>
          <w:noProof/>
          <w:sz w:val="24"/>
          <w:szCs w:val="24"/>
        </w:rPr>
      </w:pPr>
      <w:r>
        <w:rPr>
          <w:sz w:val="24"/>
        </w:rPr>
        <w:t>77. Pirmā un otrā veida struktūras – neatkarīgas fiskālās komisijas un neatkarīgas produktivitāti pārraugošās komisijas – ir īpaši uzmanības lokā fiskālās decentralizācijas kontekstā, ņemot vērā to funkcijas fiskālās padziļinātās pārbaudes un politikas koordinēšanas jomā. Vairākos apsekojumos ir aicināts izmantot pārraudzības struktūras vai pastiprinātu uzraudzību fiskālās decentralizācijas atbalstam; parasti tās ir neatkarīgām fiskālām komisijām un regulatīvām pārraudzības struktūrām līdzīgas iestādes. Ir svarīgi, ka daudzas no šīm struktūrām tika piedāvātas valsts līmenī, lai veicinātu pašvaldību savstarpējo koordinēšanu. Piemēram, Beļģijā tika ieteikts Nacionālo kontu institūtam vai Federālajam plānošanas birojam paplašināt savu darbības jomu, lai tie izskatītu fiskālās sekas, ko rada toreizējais pienākumu sadalījums valdības līmeņos (OECD, 2011</w:t>
      </w:r>
      <w:r>
        <w:rPr>
          <w:sz w:val="24"/>
          <w:vertAlign w:val="superscript"/>
        </w:rPr>
        <w:t>[67]</w:t>
      </w:r>
      <w:r>
        <w:rPr>
          <w:sz w:val="24"/>
        </w:rPr>
        <w:t>). Proti, pēc 2013. gada sadarbības nolīguma par fiskālo politiku Augstā padome finanšu jautājumos paplašināja savu darbības jomu, lai uzraudzītu nolīguma izpildi. Padome skaidri ņem vērā sloga dalīšanu starp valdības līmeņiem, lai nodrošinātu taisnīgumu, nosakot daudzgadu budžeta mērķus (OECD, 2015</w:t>
      </w:r>
      <w:r>
        <w:rPr>
          <w:sz w:val="24"/>
          <w:vertAlign w:val="superscript"/>
        </w:rPr>
        <w:t>[43]</w:t>
      </w:r>
      <w:r>
        <w:rPr>
          <w:sz w:val="24"/>
        </w:rPr>
        <w:t>). Līdzīgi arī Dānijas centrālā valdība tika mudināta rūpīgi uzraudzīt, kā tā sadala fiskālos pienākumus ar vietējo pašvaldību (OECD, 2014</w:t>
      </w:r>
      <w:r>
        <w:rPr>
          <w:sz w:val="24"/>
          <w:vertAlign w:val="superscript"/>
        </w:rPr>
        <w:t>[39]</w:t>
      </w:r>
      <w:r>
        <w:rPr>
          <w:sz w:val="24"/>
        </w:rPr>
        <w:t xml:space="preserve">). Meksikā valsts izglītības pārraudzības struktūra </w:t>
      </w:r>
      <w:r>
        <w:rPr>
          <w:i/>
          <w:iCs/>
          <w:sz w:val="24"/>
        </w:rPr>
        <w:t>INEE</w:t>
      </w:r>
      <w:r>
        <w:rPr>
          <w:sz w:val="24"/>
        </w:rPr>
        <w:t xml:space="preserve"> un Izglītības ministrija tika mudinātas strādāt kopā, lai uzlabotu pašvaldību uzraudzību un novērtēšanas spēju (OECD, 2019</w:t>
      </w:r>
      <w:r>
        <w:rPr>
          <w:sz w:val="24"/>
          <w:vertAlign w:val="superscript"/>
        </w:rPr>
        <w:t>[65]</w:t>
      </w:r>
      <w:r>
        <w:rPr>
          <w:sz w:val="24"/>
        </w:rPr>
        <w:t>). Šveicē tika mudināts izglītībai piemērot rūpīgas pārbaudes kantonu līmenī, ņemot vērā politikas, izdevumu un resursu atšķirības kantonos. Šajā saistībā tika norādīts, ka Šveices kantonus pārstāvošo izglītības ministru konference ir svarīgs forums, kurā saskaņot minimālos standartus (OECD, 2009</w:t>
      </w:r>
      <w:r>
        <w:rPr>
          <w:sz w:val="24"/>
          <w:vertAlign w:val="superscript"/>
        </w:rPr>
        <w:t>[93]</w:t>
      </w:r>
      <w:r>
        <w:rPr>
          <w:sz w:val="24"/>
        </w:rPr>
        <w:t>).</w:t>
      </w:r>
    </w:p>
    <w:p w14:paraId="1DF00347" w14:textId="77777777" w:rsidR="00BD2EED" w:rsidRDefault="00BD2EED" w:rsidP="007D2036">
      <w:pPr>
        <w:pStyle w:val="ListParagraph"/>
        <w:tabs>
          <w:tab w:val="left" w:pos="2025"/>
        </w:tabs>
        <w:ind w:left="0"/>
        <w:rPr>
          <w:noProof/>
          <w:sz w:val="24"/>
          <w:szCs w:val="24"/>
        </w:rPr>
      </w:pPr>
    </w:p>
    <w:p w14:paraId="420DD9A8" w14:textId="05D605C2" w:rsidR="00BD2EED" w:rsidRDefault="00BD2EED" w:rsidP="007D2036">
      <w:pPr>
        <w:pStyle w:val="ListParagraph"/>
        <w:tabs>
          <w:tab w:val="left" w:pos="2025"/>
        </w:tabs>
        <w:ind w:left="0"/>
        <w:rPr>
          <w:noProof/>
          <w:sz w:val="24"/>
          <w:szCs w:val="24"/>
        </w:rPr>
      </w:pPr>
      <w:r>
        <w:rPr>
          <w:sz w:val="24"/>
        </w:rPr>
        <w:t>78. Visbeidzot, Dohertijs u. c. (2020</w:t>
      </w:r>
      <w:r>
        <w:rPr>
          <w:sz w:val="24"/>
          <w:vertAlign w:val="superscript"/>
        </w:rPr>
        <w:t>[4]</w:t>
      </w:r>
      <w:r>
        <w:rPr>
          <w:sz w:val="24"/>
        </w:rPr>
        <w:t xml:space="preserve">) arī norāda svarīgus pārraudzības struktūru piemērus pašvaldību līmenī (piemēram, Ontario Finanšu pārskatatbildības birojs), atzīmējot arī to, ka tos var koordinēt valsts līmenī (piemēram, </w:t>
      </w:r>
      <w:r>
        <w:rPr>
          <w:i/>
          <w:iCs/>
          <w:sz w:val="24"/>
        </w:rPr>
        <w:t>COAG</w:t>
      </w:r>
      <w:r>
        <w:rPr>
          <w:sz w:val="24"/>
        </w:rPr>
        <w:t xml:space="preserve"> Austrālijā). Apsekojumos dažkārt ir sniegti līdzīgi ieteikumi attiecībā uz pārraudzību pašvaldību līmenī. Spānijā nodarbinātības </w:t>
      </w:r>
      <w:r>
        <w:rPr>
          <w:sz w:val="24"/>
        </w:rPr>
        <w:lastRenderedPageBreak/>
        <w:t>pakalpojumu uzraudzība un novērtēšana tika pilnībā piešķirta centrālai valdībai, savukārt otra labākā alternatīva bija to nodrošināt reģionu līmenī (OECD, 2010</w:t>
      </w:r>
      <w:r>
        <w:rPr>
          <w:sz w:val="24"/>
          <w:vertAlign w:val="superscript"/>
        </w:rPr>
        <w:t>[86]</w:t>
      </w:r>
      <w:r>
        <w:rPr>
          <w:sz w:val="24"/>
        </w:rPr>
        <w:t>).</w:t>
      </w:r>
    </w:p>
    <w:p w14:paraId="7EA7A602" w14:textId="77777777" w:rsidR="00BD2EED" w:rsidRDefault="00BD2EED">
      <w:pPr>
        <w:rPr>
          <w:noProof/>
          <w:sz w:val="24"/>
          <w:szCs w:val="24"/>
        </w:rPr>
      </w:pPr>
      <w:r>
        <w:br w:type="page"/>
      </w:r>
    </w:p>
    <w:p w14:paraId="1A69C683" w14:textId="77777777" w:rsidR="00C37DE1" w:rsidRPr="00CB0214" w:rsidRDefault="00C37DE1" w:rsidP="00C85C26">
      <w:pPr>
        <w:pStyle w:val="Heading2"/>
        <w:spacing w:before="0"/>
        <w:ind w:left="0"/>
        <w:rPr>
          <w:noProof/>
          <w:color w:val="4E81BC"/>
          <w:sz w:val="28"/>
          <w:szCs w:val="28"/>
        </w:rPr>
      </w:pPr>
      <w:bookmarkStart w:id="117" w:name="_bookmark34"/>
      <w:bookmarkStart w:id="118" w:name="_Toc211859117"/>
      <w:bookmarkStart w:id="119" w:name="_Toc211859577"/>
      <w:bookmarkEnd w:id="117"/>
      <w:r>
        <w:rPr>
          <w:color w:val="4E81BC"/>
          <w:sz w:val="28"/>
        </w:rPr>
        <w:lastRenderedPageBreak/>
        <w:t>Atsauces</w:t>
      </w:r>
      <w:bookmarkStart w:id="120" w:name="References"/>
      <w:bookmarkEnd w:id="118"/>
      <w:bookmarkEnd w:id="119"/>
      <w:bookmarkEnd w:id="120"/>
    </w:p>
    <w:p w14:paraId="77D2BAB5" w14:textId="77777777" w:rsidR="00C37DE1" w:rsidRPr="00074D4C" w:rsidRDefault="00C37DE1" w:rsidP="00C85C26">
      <w:pPr>
        <w:pStyle w:val="BodyText"/>
        <w:rPr>
          <w:i/>
          <w:noProof/>
          <w:sz w:val="24"/>
          <w:szCs w:val="24"/>
        </w:rPr>
      </w:pPr>
    </w:p>
    <w:p w14:paraId="6A51B733" w14:textId="77777777" w:rsidR="00C37DE1" w:rsidRPr="00074D4C" w:rsidRDefault="00C37DE1" w:rsidP="00C85C26">
      <w:pPr>
        <w:pStyle w:val="BodyText"/>
        <w:rPr>
          <w:i/>
          <w:noProof/>
          <w:sz w:val="24"/>
          <w:szCs w:val="24"/>
        </w:rPr>
      </w:pPr>
    </w:p>
    <w:tbl>
      <w:tblPr>
        <w:tblW w:w="5002" w:type="pct"/>
        <w:tblCellMar>
          <w:top w:w="28" w:type="dxa"/>
          <w:left w:w="28" w:type="dxa"/>
          <w:bottom w:w="28" w:type="dxa"/>
          <w:right w:w="28" w:type="dxa"/>
        </w:tblCellMar>
        <w:tblLook w:val="01E0" w:firstRow="1" w:lastRow="1" w:firstColumn="1" w:lastColumn="1" w:noHBand="0" w:noVBand="0"/>
      </w:tblPr>
      <w:tblGrid>
        <w:gridCol w:w="8552"/>
        <w:gridCol w:w="583"/>
      </w:tblGrid>
      <w:tr w:rsidR="00C37DE1" w:rsidRPr="00074D4C" w14:paraId="3AE07578" w14:textId="77777777" w:rsidTr="00CB0214">
        <w:trPr>
          <w:trHeight w:val="876"/>
        </w:trPr>
        <w:tc>
          <w:tcPr>
            <w:tcW w:w="4681" w:type="pct"/>
          </w:tcPr>
          <w:p w14:paraId="5BEE0CB2" w14:textId="77777777" w:rsidR="00C37DE1" w:rsidRPr="00074D4C" w:rsidRDefault="00C37DE1" w:rsidP="00CB0214">
            <w:pPr>
              <w:pStyle w:val="TableParagraph"/>
              <w:ind w:left="142"/>
              <w:rPr>
                <w:noProof/>
                <w:sz w:val="24"/>
                <w:szCs w:val="24"/>
              </w:rPr>
            </w:pPr>
            <w:r>
              <w:rPr>
                <w:sz w:val="24"/>
              </w:rPr>
              <w:t xml:space="preserve">Akai, N. and M. Sakata (2002), “Fiscal decentralization contributes to economic growth: evidence from state-level cross-section data for the United States”, </w:t>
            </w:r>
            <w:r>
              <w:rPr>
                <w:i/>
                <w:sz w:val="24"/>
              </w:rPr>
              <w:t>Journal of Urban Economics</w:t>
            </w:r>
            <w:r>
              <w:rPr>
                <w:sz w:val="24"/>
              </w:rPr>
              <w:t>, Vol. 52/1, pp. 93-108.</w:t>
            </w:r>
          </w:p>
        </w:tc>
        <w:tc>
          <w:tcPr>
            <w:tcW w:w="319" w:type="pct"/>
          </w:tcPr>
          <w:p w14:paraId="5669FB74" w14:textId="77777777" w:rsidR="00C37DE1" w:rsidRPr="00074D4C" w:rsidRDefault="00C37DE1" w:rsidP="00C85C26">
            <w:pPr>
              <w:pStyle w:val="TableParagraph"/>
              <w:jc w:val="right"/>
              <w:rPr>
                <w:noProof/>
                <w:sz w:val="24"/>
                <w:szCs w:val="24"/>
              </w:rPr>
            </w:pPr>
            <w:r>
              <w:rPr>
                <w:sz w:val="24"/>
                <w:vertAlign w:val="superscript"/>
              </w:rPr>
              <w:t>[14]</w:t>
            </w:r>
          </w:p>
        </w:tc>
      </w:tr>
      <w:tr w:rsidR="00C37DE1" w:rsidRPr="00074D4C" w14:paraId="0EC046E5" w14:textId="77777777" w:rsidTr="00CB0214">
        <w:trPr>
          <w:trHeight w:val="744"/>
        </w:trPr>
        <w:tc>
          <w:tcPr>
            <w:tcW w:w="4681" w:type="pct"/>
          </w:tcPr>
          <w:p w14:paraId="50075EC0" w14:textId="77777777" w:rsidR="00C37DE1" w:rsidRPr="00074D4C" w:rsidRDefault="00C37DE1" w:rsidP="00CB0214">
            <w:pPr>
              <w:pStyle w:val="TableParagraph"/>
              <w:ind w:left="142"/>
              <w:rPr>
                <w:noProof/>
                <w:sz w:val="24"/>
                <w:szCs w:val="24"/>
              </w:rPr>
            </w:pPr>
            <w:r>
              <w:rPr>
                <w:sz w:val="24"/>
              </w:rPr>
              <w:t>Allain-Dupré, D. (2018), “Assigning Responsibilities across Levels of Government”</w:t>
            </w:r>
            <w:r>
              <w:rPr>
                <w:i/>
                <w:sz w:val="24"/>
              </w:rPr>
              <w:t>, OECD Working Papers on Fiscal Federalism</w:t>
            </w:r>
            <w:r>
              <w:rPr>
                <w:sz w:val="24"/>
              </w:rPr>
              <w:t>, No. 24.</w:t>
            </w:r>
          </w:p>
        </w:tc>
        <w:tc>
          <w:tcPr>
            <w:tcW w:w="319" w:type="pct"/>
          </w:tcPr>
          <w:p w14:paraId="45CAC3A4" w14:textId="77777777" w:rsidR="00C37DE1" w:rsidRPr="00074D4C" w:rsidRDefault="00C37DE1" w:rsidP="00C85C26">
            <w:pPr>
              <w:pStyle w:val="TableParagraph"/>
              <w:jc w:val="right"/>
              <w:rPr>
                <w:noProof/>
                <w:sz w:val="24"/>
                <w:szCs w:val="24"/>
              </w:rPr>
            </w:pPr>
            <w:r>
              <w:rPr>
                <w:sz w:val="24"/>
                <w:vertAlign w:val="superscript"/>
              </w:rPr>
              <w:t>[57]</w:t>
            </w:r>
          </w:p>
        </w:tc>
      </w:tr>
      <w:tr w:rsidR="00C37DE1" w:rsidRPr="00074D4C" w14:paraId="2A698062" w14:textId="77777777" w:rsidTr="00CB0214">
        <w:trPr>
          <w:trHeight w:val="746"/>
        </w:trPr>
        <w:tc>
          <w:tcPr>
            <w:tcW w:w="4681" w:type="pct"/>
          </w:tcPr>
          <w:p w14:paraId="016C6A48" w14:textId="77777777" w:rsidR="00C37DE1" w:rsidRPr="00074D4C" w:rsidRDefault="00C37DE1" w:rsidP="00CB0214">
            <w:pPr>
              <w:pStyle w:val="TableParagraph"/>
              <w:ind w:left="142"/>
              <w:rPr>
                <w:noProof/>
                <w:sz w:val="24"/>
                <w:szCs w:val="24"/>
              </w:rPr>
            </w:pPr>
            <w:r>
              <w:rPr>
                <w:sz w:val="24"/>
              </w:rPr>
              <w:t>Almy, R. (2014), “Valuation and Assessment of Immoveable Property”</w:t>
            </w:r>
            <w:r>
              <w:rPr>
                <w:i/>
                <w:sz w:val="24"/>
              </w:rPr>
              <w:t>, OECD Working Papers on Fiscal Federalism</w:t>
            </w:r>
            <w:r>
              <w:rPr>
                <w:sz w:val="24"/>
              </w:rPr>
              <w:t>, No. 19.</w:t>
            </w:r>
          </w:p>
        </w:tc>
        <w:tc>
          <w:tcPr>
            <w:tcW w:w="319" w:type="pct"/>
          </w:tcPr>
          <w:p w14:paraId="3735EA47" w14:textId="77777777" w:rsidR="00C37DE1" w:rsidRPr="00074D4C" w:rsidRDefault="00C37DE1" w:rsidP="00C85C26">
            <w:pPr>
              <w:pStyle w:val="TableParagraph"/>
              <w:jc w:val="right"/>
              <w:rPr>
                <w:noProof/>
                <w:sz w:val="24"/>
                <w:szCs w:val="24"/>
              </w:rPr>
            </w:pPr>
            <w:r>
              <w:rPr>
                <w:sz w:val="24"/>
                <w:vertAlign w:val="superscript"/>
              </w:rPr>
              <w:t>[45]</w:t>
            </w:r>
          </w:p>
        </w:tc>
      </w:tr>
      <w:tr w:rsidR="00C37DE1" w:rsidRPr="00074D4C" w14:paraId="6989B510" w14:textId="77777777" w:rsidTr="00CB0214">
        <w:trPr>
          <w:trHeight w:val="746"/>
        </w:trPr>
        <w:tc>
          <w:tcPr>
            <w:tcW w:w="4681" w:type="pct"/>
          </w:tcPr>
          <w:p w14:paraId="2C6F05B2" w14:textId="77777777" w:rsidR="00C37DE1" w:rsidRPr="00074D4C" w:rsidRDefault="00C37DE1" w:rsidP="00CB0214">
            <w:pPr>
              <w:pStyle w:val="TableParagraph"/>
              <w:ind w:left="142"/>
              <w:rPr>
                <w:noProof/>
                <w:sz w:val="24"/>
                <w:szCs w:val="24"/>
              </w:rPr>
            </w:pPr>
            <w:r>
              <w:rPr>
                <w:sz w:val="24"/>
              </w:rPr>
              <w:t>Bartolini, D., S. Stossberg and H. Blöchliger (2016), “Fiscal Decentralisation and Regional Disparities”</w:t>
            </w:r>
            <w:r>
              <w:rPr>
                <w:i/>
                <w:sz w:val="24"/>
              </w:rPr>
              <w:t>, OECD Economics Department Working Papers</w:t>
            </w:r>
            <w:r>
              <w:rPr>
                <w:sz w:val="24"/>
              </w:rPr>
              <w:t>, No. 1330.</w:t>
            </w:r>
          </w:p>
        </w:tc>
        <w:tc>
          <w:tcPr>
            <w:tcW w:w="319" w:type="pct"/>
          </w:tcPr>
          <w:p w14:paraId="3A3A4C31" w14:textId="77777777" w:rsidR="00C37DE1" w:rsidRPr="00074D4C" w:rsidRDefault="00C37DE1" w:rsidP="00C85C26">
            <w:pPr>
              <w:pStyle w:val="TableParagraph"/>
              <w:jc w:val="right"/>
              <w:rPr>
                <w:noProof/>
                <w:sz w:val="24"/>
                <w:szCs w:val="24"/>
              </w:rPr>
            </w:pPr>
            <w:r>
              <w:rPr>
                <w:sz w:val="24"/>
                <w:vertAlign w:val="superscript"/>
              </w:rPr>
              <w:t>[94]</w:t>
            </w:r>
          </w:p>
        </w:tc>
      </w:tr>
      <w:tr w:rsidR="00C37DE1" w:rsidRPr="00074D4C" w14:paraId="02EB9D4D" w14:textId="77777777" w:rsidTr="00CB0214">
        <w:trPr>
          <w:trHeight w:val="998"/>
        </w:trPr>
        <w:tc>
          <w:tcPr>
            <w:tcW w:w="4681" w:type="pct"/>
          </w:tcPr>
          <w:p w14:paraId="62F408AB" w14:textId="77777777" w:rsidR="00C37DE1" w:rsidRPr="007D2036" w:rsidRDefault="00C37DE1" w:rsidP="00CB0214">
            <w:pPr>
              <w:pStyle w:val="TableParagraph"/>
              <w:ind w:left="142"/>
              <w:rPr>
                <w:noProof/>
                <w:sz w:val="24"/>
                <w:szCs w:val="24"/>
              </w:rPr>
            </w:pPr>
            <w:r>
              <w:rPr>
                <w:sz w:val="24"/>
              </w:rPr>
              <w:t xml:space="preserve">Blöchliger, H. and O. Akgun (2018), “Fiscal decentralisation and economic growth”, in </w:t>
            </w:r>
            <w:r>
              <w:rPr>
                <w:i/>
                <w:sz w:val="24"/>
              </w:rPr>
              <w:t>Fiscal Decentralisation and Inclusive Growth</w:t>
            </w:r>
            <w:r>
              <w:rPr>
                <w:sz w:val="24"/>
              </w:rPr>
              <w:t>, OECD Publishing, Paris, https://dx.doi.org/10.1787/9789264302488-4-en.</w:t>
            </w:r>
          </w:p>
        </w:tc>
        <w:tc>
          <w:tcPr>
            <w:tcW w:w="319" w:type="pct"/>
          </w:tcPr>
          <w:p w14:paraId="46FD6A80" w14:textId="77777777" w:rsidR="00C37DE1" w:rsidRPr="00074D4C" w:rsidRDefault="00C37DE1" w:rsidP="00C85C26">
            <w:pPr>
              <w:pStyle w:val="TableParagraph"/>
              <w:jc w:val="right"/>
              <w:rPr>
                <w:noProof/>
                <w:sz w:val="24"/>
                <w:szCs w:val="24"/>
              </w:rPr>
            </w:pPr>
            <w:r>
              <w:rPr>
                <w:sz w:val="24"/>
                <w:vertAlign w:val="superscript"/>
              </w:rPr>
              <w:t>[18]</w:t>
            </w:r>
          </w:p>
        </w:tc>
      </w:tr>
      <w:tr w:rsidR="00C37DE1" w:rsidRPr="00074D4C" w14:paraId="44FB419A" w14:textId="77777777" w:rsidTr="00CB0214">
        <w:trPr>
          <w:trHeight w:val="746"/>
        </w:trPr>
        <w:tc>
          <w:tcPr>
            <w:tcW w:w="4681" w:type="pct"/>
          </w:tcPr>
          <w:p w14:paraId="23FE3C8F" w14:textId="77777777" w:rsidR="00C37DE1" w:rsidRPr="007D2036" w:rsidRDefault="00C37DE1" w:rsidP="00CB0214">
            <w:pPr>
              <w:pStyle w:val="TableParagraph"/>
              <w:ind w:left="142"/>
              <w:rPr>
                <w:noProof/>
                <w:sz w:val="24"/>
                <w:szCs w:val="24"/>
              </w:rPr>
            </w:pPr>
            <w:r>
              <w:rPr>
                <w:sz w:val="24"/>
              </w:rPr>
              <w:t>Blöchliger, H., D. Bartolini and S. Stossberg (2016), “Does Fiscal Decentralisation Foster Regional Convergence?”</w:t>
            </w:r>
            <w:r>
              <w:rPr>
                <w:i/>
                <w:sz w:val="24"/>
              </w:rPr>
              <w:t>, OECD Economic Policy Papers</w:t>
            </w:r>
            <w:r>
              <w:rPr>
                <w:sz w:val="24"/>
              </w:rPr>
              <w:t>, No. 17.</w:t>
            </w:r>
          </w:p>
        </w:tc>
        <w:tc>
          <w:tcPr>
            <w:tcW w:w="319" w:type="pct"/>
          </w:tcPr>
          <w:p w14:paraId="6B660C85" w14:textId="77777777" w:rsidR="00C37DE1" w:rsidRPr="00074D4C" w:rsidRDefault="00C37DE1" w:rsidP="00C85C26">
            <w:pPr>
              <w:pStyle w:val="TableParagraph"/>
              <w:jc w:val="right"/>
              <w:rPr>
                <w:noProof/>
                <w:sz w:val="24"/>
                <w:szCs w:val="24"/>
              </w:rPr>
            </w:pPr>
            <w:r>
              <w:rPr>
                <w:sz w:val="24"/>
                <w:vertAlign w:val="superscript"/>
              </w:rPr>
              <w:t>[28]</w:t>
            </w:r>
          </w:p>
        </w:tc>
      </w:tr>
      <w:tr w:rsidR="00C37DE1" w:rsidRPr="00074D4C" w14:paraId="20735039" w14:textId="77777777" w:rsidTr="00CB0214">
        <w:trPr>
          <w:trHeight w:val="998"/>
        </w:trPr>
        <w:tc>
          <w:tcPr>
            <w:tcW w:w="4681" w:type="pct"/>
          </w:tcPr>
          <w:p w14:paraId="76109160" w14:textId="77777777" w:rsidR="00C37DE1" w:rsidRPr="007D2036" w:rsidRDefault="00C37DE1" w:rsidP="00CB0214">
            <w:pPr>
              <w:pStyle w:val="TableParagraph"/>
              <w:ind w:left="142"/>
              <w:rPr>
                <w:noProof/>
                <w:sz w:val="24"/>
                <w:szCs w:val="24"/>
              </w:rPr>
            </w:pPr>
            <w:r>
              <w:rPr>
                <w:sz w:val="24"/>
              </w:rPr>
              <w:t>Blöchliger, H., B. Égert and K. Fredriksen (2013), “Fiscal Federalism and its Impact on Economic Activity, Public Investment and the Performance of Educational Systems”</w:t>
            </w:r>
            <w:r>
              <w:rPr>
                <w:i/>
                <w:sz w:val="24"/>
              </w:rPr>
              <w:t>, OECD Economics Department Working Papers</w:t>
            </w:r>
            <w:r>
              <w:rPr>
                <w:sz w:val="24"/>
              </w:rPr>
              <w:t>, No. 1051.</w:t>
            </w:r>
          </w:p>
        </w:tc>
        <w:tc>
          <w:tcPr>
            <w:tcW w:w="319" w:type="pct"/>
          </w:tcPr>
          <w:p w14:paraId="74A6074F" w14:textId="77777777" w:rsidR="00C37DE1" w:rsidRPr="00074D4C" w:rsidRDefault="00C37DE1" w:rsidP="00C85C26">
            <w:pPr>
              <w:pStyle w:val="TableParagraph"/>
              <w:jc w:val="right"/>
              <w:rPr>
                <w:noProof/>
                <w:sz w:val="24"/>
                <w:szCs w:val="24"/>
              </w:rPr>
            </w:pPr>
            <w:r>
              <w:rPr>
                <w:sz w:val="24"/>
                <w:vertAlign w:val="superscript"/>
              </w:rPr>
              <w:t>[20]</w:t>
            </w:r>
          </w:p>
        </w:tc>
      </w:tr>
      <w:tr w:rsidR="00C37DE1" w:rsidRPr="00074D4C" w14:paraId="063C1728" w14:textId="77777777" w:rsidTr="00CB0214">
        <w:trPr>
          <w:trHeight w:val="999"/>
        </w:trPr>
        <w:tc>
          <w:tcPr>
            <w:tcW w:w="4681" w:type="pct"/>
          </w:tcPr>
          <w:p w14:paraId="02D94B31" w14:textId="77777777" w:rsidR="00C37DE1" w:rsidRPr="007D2036" w:rsidRDefault="00C37DE1" w:rsidP="00CB0214">
            <w:pPr>
              <w:pStyle w:val="TableParagraph"/>
              <w:ind w:left="142"/>
              <w:rPr>
                <w:noProof/>
                <w:sz w:val="24"/>
                <w:szCs w:val="24"/>
              </w:rPr>
            </w:pPr>
            <w:r>
              <w:rPr>
                <w:sz w:val="24"/>
              </w:rPr>
              <w:t xml:space="preserve">Boadway, R. and S. Dougherty (2019), “Decentralisation in a globalised world: Consequences and opportunities”, in </w:t>
            </w:r>
            <w:r>
              <w:rPr>
                <w:i/>
                <w:sz w:val="24"/>
              </w:rPr>
              <w:t>Fiscal Decentralisation and Inclusive Growth in Asia</w:t>
            </w:r>
            <w:r>
              <w:rPr>
                <w:sz w:val="24"/>
              </w:rPr>
              <w:t>, OECD Publishing, Paris, https://dx.doi.org/10.1787/a47d130f-en.</w:t>
            </w:r>
          </w:p>
        </w:tc>
        <w:tc>
          <w:tcPr>
            <w:tcW w:w="319" w:type="pct"/>
          </w:tcPr>
          <w:p w14:paraId="652637EB" w14:textId="77777777" w:rsidR="00C37DE1" w:rsidRPr="00074D4C" w:rsidRDefault="00C37DE1" w:rsidP="00C85C26">
            <w:pPr>
              <w:pStyle w:val="TableParagraph"/>
              <w:jc w:val="right"/>
              <w:rPr>
                <w:noProof/>
                <w:sz w:val="24"/>
                <w:szCs w:val="24"/>
              </w:rPr>
            </w:pPr>
            <w:r>
              <w:rPr>
                <w:sz w:val="24"/>
                <w:vertAlign w:val="superscript"/>
              </w:rPr>
              <w:t>[1]</w:t>
            </w:r>
          </w:p>
        </w:tc>
      </w:tr>
      <w:tr w:rsidR="00C37DE1" w:rsidRPr="00074D4C" w14:paraId="175C62B2" w14:textId="77777777" w:rsidTr="00CB0214">
        <w:trPr>
          <w:trHeight w:val="493"/>
        </w:trPr>
        <w:tc>
          <w:tcPr>
            <w:tcW w:w="4681" w:type="pct"/>
          </w:tcPr>
          <w:p w14:paraId="4A510969" w14:textId="77777777" w:rsidR="00C37DE1" w:rsidRPr="007D2036" w:rsidRDefault="00C37DE1" w:rsidP="00CB0214">
            <w:pPr>
              <w:pStyle w:val="TableParagraph"/>
              <w:ind w:left="142"/>
              <w:rPr>
                <w:noProof/>
                <w:sz w:val="24"/>
                <w:szCs w:val="24"/>
              </w:rPr>
            </w:pPr>
            <w:r>
              <w:rPr>
                <w:sz w:val="24"/>
              </w:rPr>
              <w:t xml:space="preserve">Brandt, N. (2015), </w:t>
            </w:r>
            <w:r>
              <w:rPr>
                <w:i/>
                <w:sz w:val="24"/>
              </w:rPr>
              <w:t>Vocational Training and Adult Learning for Better Skills in France</w:t>
            </w:r>
            <w:r>
              <w:rPr>
                <w:sz w:val="24"/>
              </w:rPr>
              <w:t>.</w:t>
            </w:r>
          </w:p>
        </w:tc>
        <w:tc>
          <w:tcPr>
            <w:tcW w:w="319" w:type="pct"/>
          </w:tcPr>
          <w:p w14:paraId="21E2DD9C" w14:textId="77777777" w:rsidR="00C37DE1" w:rsidRPr="00074D4C" w:rsidRDefault="00C37DE1" w:rsidP="00C85C26">
            <w:pPr>
              <w:pStyle w:val="TableParagraph"/>
              <w:jc w:val="right"/>
              <w:rPr>
                <w:noProof/>
                <w:sz w:val="24"/>
                <w:szCs w:val="24"/>
              </w:rPr>
            </w:pPr>
            <w:r>
              <w:rPr>
                <w:sz w:val="24"/>
                <w:vertAlign w:val="superscript"/>
              </w:rPr>
              <w:t>[60]</w:t>
            </w:r>
          </w:p>
        </w:tc>
      </w:tr>
      <w:tr w:rsidR="00C37DE1" w:rsidRPr="00074D4C" w14:paraId="7621EC58" w14:textId="77777777" w:rsidTr="00CB0214">
        <w:trPr>
          <w:trHeight w:val="746"/>
        </w:trPr>
        <w:tc>
          <w:tcPr>
            <w:tcW w:w="4681" w:type="pct"/>
          </w:tcPr>
          <w:p w14:paraId="4E4302E8" w14:textId="77777777" w:rsidR="00C37DE1" w:rsidRPr="007D2036" w:rsidRDefault="00C37DE1" w:rsidP="00CB0214">
            <w:pPr>
              <w:pStyle w:val="TableParagraph"/>
              <w:ind w:left="142"/>
              <w:rPr>
                <w:noProof/>
                <w:sz w:val="24"/>
                <w:szCs w:val="24"/>
              </w:rPr>
            </w:pPr>
            <w:r>
              <w:rPr>
                <w:sz w:val="24"/>
              </w:rPr>
              <w:t xml:space="preserve">Bruxelles environnement (2019), </w:t>
            </w:r>
            <w:r>
              <w:rPr>
                <w:i/>
                <w:sz w:val="24"/>
              </w:rPr>
              <w:t>Coordination de la mise en œuvre de la politique de l’eau au niveau belge</w:t>
            </w:r>
            <w:r>
              <w:rPr>
                <w:sz w:val="24"/>
              </w:rPr>
              <w:t>.</w:t>
            </w:r>
          </w:p>
        </w:tc>
        <w:tc>
          <w:tcPr>
            <w:tcW w:w="319" w:type="pct"/>
          </w:tcPr>
          <w:p w14:paraId="7BD3599E" w14:textId="77777777" w:rsidR="00C37DE1" w:rsidRPr="00074D4C" w:rsidRDefault="00C37DE1" w:rsidP="00C85C26">
            <w:pPr>
              <w:pStyle w:val="TableParagraph"/>
              <w:jc w:val="right"/>
              <w:rPr>
                <w:noProof/>
                <w:sz w:val="24"/>
                <w:szCs w:val="24"/>
              </w:rPr>
            </w:pPr>
            <w:r>
              <w:rPr>
                <w:sz w:val="24"/>
                <w:vertAlign w:val="superscript"/>
              </w:rPr>
              <w:t>[68]</w:t>
            </w:r>
          </w:p>
        </w:tc>
      </w:tr>
      <w:tr w:rsidR="00C37DE1" w:rsidRPr="00074D4C" w14:paraId="1CD4400A" w14:textId="77777777" w:rsidTr="00CB0214">
        <w:trPr>
          <w:trHeight w:val="998"/>
        </w:trPr>
        <w:tc>
          <w:tcPr>
            <w:tcW w:w="4681" w:type="pct"/>
          </w:tcPr>
          <w:p w14:paraId="0E74E62E" w14:textId="77777777" w:rsidR="00C37DE1" w:rsidRPr="007D2036" w:rsidRDefault="00C37DE1" w:rsidP="00CB0214">
            <w:pPr>
              <w:pStyle w:val="TableParagraph"/>
              <w:ind w:left="142"/>
              <w:rPr>
                <w:noProof/>
                <w:sz w:val="24"/>
                <w:szCs w:val="24"/>
              </w:rPr>
            </w:pPr>
            <w:r>
              <w:rPr>
                <w:sz w:val="24"/>
              </w:rPr>
              <w:t>Caldera Sánchez, A. (2018), “Building a stronger and more integrated Europe”</w:t>
            </w:r>
            <w:r>
              <w:rPr>
                <w:i/>
                <w:sz w:val="24"/>
              </w:rPr>
              <w:t>, OECD Economics Department Working Papers</w:t>
            </w:r>
            <w:r>
              <w:rPr>
                <w:sz w:val="24"/>
              </w:rPr>
              <w:t>, No. 1491, OECD Publishing, Paris, https://dx.doi.org/10.1787/4ce667b4-en.</w:t>
            </w:r>
          </w:p>
        </w:tc>
        <w:tc>
          <w:tcPr>
            <w:tcW w:w="319" w:type="pct"/>
          </w:tcPr>
          <w:p w14:paraId="35AF3014" w14:textId="77777777" w:rsidR="00C37DE1" w:rsidRPr="00074D4C" w:rsidRDefault="00C37DE1" w:rsidP="00C85C26">
            <w:pPr>
              <w:pStyle w:val="TableParagraph"/>
              <w:jc w:val="right"/>
              <w:rPr>
                <w:noProof/>
                <w:sz w:val="24"/>
                <w:szCs w:val="24"/>
              </w:rPr>
            </w:pPr>
            <w:r>
              <w:rPr>
                <w:sz w:val="24"/>
                <w:vertAlign w:val="superscript"/>
              </w:rPr>
              <w:t>[78]</w:t>
            </w:r>
          </w:p>
        </w:tc>
      </w:tr>
      <w:tr w:rsidR="00C37DE1" w:rsidRPr="00074D4C" w14:paraId="359ED898" w14:textId="77777777" w:rsidTr="00CB0214">
        <w:trPr>
          <w:trHeight w:val="746"/>
        </w:trPr>
        <w:tc>
          <w:tcPr>
            <w:tcW w:w="4681" w:type="pct"/>
          </w:tcPr>
          <w:p w14:paraId="15A99222" w14:textId="77777777" w:rsidR="00C37DE1" w:rsidRPr="007D2036" w:rsidRDefault="00C37DE1" w:rsidP="00CB0214">
            <w:pPr>
              <w:pStyle w:val="TableParagraph"/>
              <w:ind w:left="142"/>
              <w:rPr>
                <w:noProof/>
                <w:sz w:val="24"/>
                <w:szCs w:val="24"/>
              </w:rPr>
            </w:pPr>
            <w:r>
              <w:rPr>
                <w:sz w:val="24"/>
              </w:rPr>
              <w:t xml:space="preserve">Cournède, B., J. Fournier and P. Hoeller (2018), </w:t>
            </w:r>
            <w:r>
              <w:rPr>
                <w:i/>
                <w:sz w:val="24"/>
              </w:rPr>
              <w:t>Public finance structure and inclusive growth</w:t>
            </w:r>
            <w:r>
              <w:rPr>
                <w:sz w:val="24"/>
              </w:rPr>
              <w:t>, OECD Publishing.</w:t>
            </w:r>
          </w:p>
        </w:tc>
        <w:tc>
          <w:tcPr>
            <w:tcW w:w="319" w:type="pct"/>
          </w:tcPr>
          <w:p w14:paraId="2557D54E" w14:textId="77777777" w:rsidR="00C37DE1" w:rsidRPr="00074D4C" w:rsidRDefault="00C37DE1" w:rsidP="00C85C26">
            <w:pPr>
              <w:pStyle w:val="TableParagraph"/>
              <w:jc w:val="right"/>
              <w:rPr>
                <w:noProof/>
                <w:sz w:val="24"/>
                <w:szCs w:val="24"/>
              </w:rPr>
            </w:pPr>
            <w:r>
              <w:rPr>
                <w:sz w:val="24"/>
                <w:vertAlign w:val="superscript"/>
              </w:rPr>
              <w:t>[46]</w:t>
            </w:r>
          </w:p>
        </w:tc>
      </w:tr>
      <w:tr w:rsidR="00C37DE1" w:rsidRPr="00074D4C" w14:paraId="4A2C4931" w14:textId="77777777" w:rsidTr="00CB0214">
        <w:trPr>
          <w:trHeight w:val="622"/>
        </w:trPr>
        <w:tc>
          <w:tcPr>
            <w:tcW w:w="4681" w:type="pct"/>
          </w:tcPr>
          <w:p w14:paraId="29E80F18" w14:textId="77777777" w:rsidR="00C37DE1" w:rsidRPr="00074D4C" w:rsidRDefault="00C37DE1" w:rsidP="00CB0214">
            <w:pPr>
              <w:pStyle w:val="TableParagraph"/>
              <w:ind w:left="142"/>
              <w:rPr>
                <w:noProof/>
                <w:sz w:val="24"/>
                <w:szCs w:val="24"/>
              </w:rPr>
            </w:pPr>
            <w:r>
              <w:rPr>
                <w:sz w:val="24"/>
              </w:rPr>
              <w:t>Daude, C., H. Gutiérrez and Á. Melguizo (2013), “What drives tax morale?”</w:t>
            </w:r>
            <w:r>
              <w:rPr>
                <w:i/>
                <w:sz w:val="24"/>
              </w:rPr>
              <w:t>, OECD Development Centre Working Papers</w:t>
            </w:r>
            <w:r>
              <w:rPr>
                <w:sz w:val="24"/>
              </w:rPr>
              <w:t>, No. 315.</w:t>
            </w:r>
          </w:p>
        </w:tc>
        <w:tc>
          <w:tcPr>
            <w:tcW w:w="319" w:type="pct"/>
          </w:tcPr>
          <w:p w14:paraId="4697D752" w14:textId="77777777" w:rsidR="00C37DE1" w:rsidRPr="00074D4C" w:rsidRDefault="00C37DE1" w:rsidP="00C85C26">
            <w:pPr>
              <w:pStyle w:val="TableParagraph"/>
              <w:jc w:val="right"/>
              <w:rPr>
                <w:noProof/>
                <w:sz w:val="24"/>
                <w:szCs w:val="24"/>
              </w:rPr>
            </w:pPr>
            <w:r>
              <w:rPr>
                <w:sz w:val="24"/>
                <w:vertAlign w:val="superscript"/>
              </w:rPr>
              <w:t>[58]</w:t>
            </w:r>
          </w:p>
        </w:tc>
      </w:tr>
      <w:tr w:rsidR="00C37DE1" w:rsidRPr="00074D4C" w14:paraId="591105DD" w14:textId="77777777" w:rsidTr="00CB0214">
        <w:trPr>
          <w:trHeight w:val="874"/>
        </w:trPr>
        <w:tc>
          <w:tcPr>
            <w:tcW w:w="4681" w:type="pct"/>
          </w:tcPr>
          <w:p w14:paraId="55B36955" w14:textId="77777777" w:rsidR="00C37DE1" w:rsidRPr="00074D4C" w:rsidRDefault="00C37DE1" w:rsidP="00CB0214">
            <w:pPr>
              <w:pStyle w:val="TableParagraph"/>
              <w:ind w:left="142"/>
              <w:rPr>
                <w:noProof/>
                <w:sz w:val="24"/>
                <w:szCs w:val="24"/>
              </w:rPr>
            </w:pPr>
            <w:r>
              <w:rPr>
                <w:sz w:val="24"/>
              </w:rPr>
              <w:t xml:space="preserve">de Mello, L. (2019), </w:t>
            </w:r>
            <w:r>
              <w:rPr>
                <w:i/>
                <w:sz w:val="24"/>
              </w:rPr>
              <w:t>Intergovernmental Cooperation: Challenges, Trends and International Experience</w:t>
            </w:r>
            <w:r>
              <w:rPr>
                <w:sz w:val="24"/>
              </w:rPr>
              <w:t>, Paper prepared for the “Jornada sobre Experiencias de Cooperación y Asistencia entre Municipios”, University of Barcelona, Barcelona.</w:t>
            </w:r>
          </w:p>
        </w:tc>
        <w:tc>
          <w:tcPr>
            <w:tcW w:w="319" w:type="pct"/>
          </w:tcPr>
          <w:p w14:paraId="5EDCD62B" w14:textId="77777777" w:rsidR="00C37DE1" w:rsidRPr="00074D4C" w:rsidRDefault="00C37DE1" w:rsidP="00C85C26">
            <w:pPr>
              <w:pStyle w:val="TableParagraph"/>
              <w:jc w:val="right"/>
              <w:rPr>
                <w:noProof/>
                <w:sz w:val="24"/>
                <w:szCs w:val="24"/>
              </w:rPr>
            </w:pPr>
            <w:r>
              <w:rPr>
                <w:sz w:val="24"/>
                <w:vertAlign w:val="superscript"/>
              </w:rPr>
              <w:t>[8]</w:t>
            </w:r>
          </w:p>
        </w:tc>
      </w:tr>
      <w:tr w:rsidR="00C37DE1" w:rsidRPr="00074D4C" w14:paraId="18D99140" w14:textId="77777777" w:rsidTr="00CB0214">
        <w:trPr>
          <w:trHeight w:val="746"/>
        </w:trPr>
        <w:tc>
          <w:tcPr>
            <w:tcW w:w="4681" w:type="pct"/>
          </w:tcPr>
          <w:p w14:paraId="7D1ACBBE" w14:textId="77777777" w:rsidR="00C37DE1" w:rsidRPr="00074D4C" w:rsidRDefault="00C37DE1" w:rsidP="00CB0214">
            <w:pPr>
              <w:pStyle w:val="TableParagraph"/>
              <w:ind w:left="142"/>
              <w:rPr>
                <w:noProof/>
                <w:sz w:val="24"/>
                <w:szCs w:val="24"/>
              </w:rPr>
            </w:pPr>
            <w:r>
              <w:rPr>
                <w:sz w:val="24"/>
              </w:rPr>
              <w:t xml:space="preserve">de Mello, L. (2004), “Can Fiscal Decentralisation Strengthen Social Capital?”, </w:t>
            </w:r>
            <w:r>
              <w:rPr>
                <w:i/>
                <w:sz w:val="24"/>
              </w:rPr>
              <w:t>Public Finance Review</w:t>
            </w:r>
            <w:r>
              <w:rPr>
                <w:sz w:val="24"/>
              </w:rPr>
              <w:t>, Vol. 32/1, pp. 4-35.</w:t>
            </w:r>
          </w:p>
        </w:tc>
        <w:tc>
          <w:tcPr>
            <w:tcW w:w="319" w:type="pct"/>
          </w:tcPr>
          <w:p w14:paraId="08073DC6" w14:textId="77777777" w:rsidR="00C37DE1" w:rsidRPr="00074D4C" w:rsidRDefault="00C37DE1" w:rsidP="00C85C26">
            <w:pPr>
              <w:pStyle w:val="TableParagraph"/>
              <w:jc w:val="right"/>
              <w:rPr>
                <w:noProof/>
                <w:sz w:val="24"/>
                <w:szCs w:val="24"/>
              </w:rPr>
            </w:pPr>
            <w:r>
              <w:rPr>
                <w:sz w:val="24"/>
                <w:vertAlign w:val="superscript"/>
              </w:rPr>
              <w:t>[26]</w:t>
            </w:r>
          </w:p>
        </w:tc>
      </w:tr>
      <w:tr w:rsidR="00C37DE1" w:rsidRPr="00074D4C" w14:paraId="17E31DA3" w14:textId="77777777" w:rsidTr="00CB0214">
        <w:trPr>
          <w:trHeight w:val="746"/>
        </w:trPr>
        <w:tc>
          <w:tcPr>
            <w:tcW w:w="4681" w:type="pct"/>
          </w:tcPr>
          <w:p w14:paraId="6DA60031" w14:textId="77777777" w:rsidR="00C37DE1" w:rsidRPr="00074D4C" w:rsidRDefault="00C37DE1" w:rsidP="00CB0214">
            <w:pPr>
              <w:pStyle w:val="TableParagraph"/>
              <w:ind w:left="142"/>
              <w:rPr>
                <w:noProof/>
                <w:sz w:val="24"/>
                <w:szCs w:val="24"/>
              </w:rPr>
            </w:pPr>
            <w:r>
              <w:rPr>
                <w:sz w:val="24"/>
              </w:rPr>
              <w:lastRenderedPageBreak/>
              <w:t xml:space="preserve">de Mello, L. (2000), “Fiscal Decentralization and Intergovernmental Fiscal Relations”, </w:t>
            </w:r>
            <w:r>
              <w:rPr>
                <w:i/>
                <w:sz w:val="24"/>
              </w:rPr>
              <w:t>World Development</w:t>
            </w:r>
            <w:r>
              <w:rPr>
                <w:sz w:val="24"/>
              </w:rPr>
              <w:t>, Vol. 28, pp. 365-380.</w:t>
            </w:r>
          </w:p>
        </w:tc>
        <w:tc>
          <w:tcPr>
            <w:tcW w:w="319" w:type="pct"/>
          </w:tcPr>
          <w:p w14:paraId="14623DA2" w14:textId="77777777" w:rsidR="00C37DE1" w:rsidRPr="00074D4C" w:rsidRDefault="00C37DE1" w:rsidP="00C85C26">
            <w:pPr>
              <w:pStyle w:val="TableParagraph"/>
              <w:jc w:val="right"/>
              <w:rPr>
                <w:noProof/>
                <w:sz w:val="24"/>
                <w:szCs w:val="24"/>
              </w:rPr>
            </w:pPr>
            <w:r>
              <w:rPr>
                <w:sz w:val="24"/>
                <w:vertAlign w:val="superscript"/>
              </w:rPr>
              <w:t>[9]</w:t>
            </w:r>
          </w:p>
        </w:tc>
      </w:tr>
      <w:tr w:rsidR="00C37DE1" w:rsidRPr="00074D4C" w14:paraId="54CABCE8" w14:textId="77777777" w:rsidTr="00CB0214">
        <w:trPr>
          <w:trHeight w:val="998"/>
        </w:trPr>
        <w:tc>
          <w:tcPr>
            <w:tcW w:w="4681" w:type="pct"/>
          </w:tcPr>
          <w:p w14:paraId="7EF4A903" w14:textId="77777777" w:rsidR="00C37DE1" w:rsidRPr="00074D4C" w:rsidRDefault="00C37DE1" w:rsidP="00CB0214">
            <w:pPr>
              <w:pStyle w:val="TableParagraph"/>
              <w:ind w:left="142"/>
              <w:jc w:val="both"/>
              <w:rPr>
                <w:noProof/>
                <w:sz w:val="24"/>
                <w:szCs w:val="24"/>
              </w:rPr>
            </w:pPr>
            <w:r>
              <w:rPr>
                <w:sz w:val="24"/>
              </w:rPr>
              <w:t xml:space="preserve">Dollery, B., G. Hallam and J. Wallis (2008), “Shared services in Australian local government: A case study of the Queensland local government association model”, </w:t>
            </w:r>
            <w:r>
              <w:rPr>
                <w:i/>
                <w:sz w:val="24"/>
              </w:rPr>
              <w:t>Economic Papers: A journal of applied economics and policy</w:t>
            </w:r>
            <w:r>
              <w:rPr>
                <w:sz w:val="24"/>
              </w:rPr>
              <w:t>, Vol. 27/4, pp. 343-354.</w:t>
            </w:r>
          </w:p>
        </w:tc>
        <w:tc>
          <w:tcPr>
            <w:tcW w:w="319" w:type="pct"/>
          </w:tcPr>
          <w:p w14:paraId="0B04DE24" w14:textId="77777777" w:rsidR="00C37DE1" w:rsidRPr="00074D4C" w:rsidRDefault="00C37DE1" w:rsidP="00C85C26">
            <w:pPr>
              <w:pStyle w:val="TableParagraph"/>
              <w:jc w:val="right"/>
              <w:rPr>
                <w:noProof/>
                <w:sz w:val="24"/>
                <w:szCs w:val="24"/>
              </w:rPr>
            </w:pPr>
            <w:r>
              <w:rPr>
                <w:sz w:val="24"/>
                <w:vertAlign w:val="superscript"/>
              </w:rPr>
              <w:t>[89]</w:t>
            </w:r>
          </w:p>
        </w:tc>
      </w:tr>
      <w:tr w:rsidR="00C37DE1" w:rsidRPr="00074D4C" w14:paraId="517CFFEA" w14:textId="77777777" w:rsidTr="00CB0214">
        <w:trPr>
          <w:trHeight w:val="998"/>
        </w:trPr>
        <w:tc>
          <w:tcPr>
            <w:tcW w:w="4681" w:type="pct"/>
          </w:tcPr>
          <w:p w14:paraId="00BDE21B" w14:textId="77777777" w:rsidR="00C37DE1" w:rsidRPr="00074D4C" w:rsidRDefault="00C37DE1" w:rsidP="00CB0214">
            <w:pPr>
              <w:pStyle w:val="TableParagraph"/>
              <w:ind w:left="142"/>
              <w:rPr>
                <w:noProof/>
                <w:sz w:val="24"/>
                <w:szCs w:val="24"/>
              </w:rPr>
            </w:pPr>
            <w:r>
              <w:rPr>
                <w:sz w:val="24"/>
              </w:rPr>
              <w:t xml:space="preserve">Dougherty, S. and O. Akgun (2018), “Globalisation, decentralisation and inclusive growth”, in </w:t>
            </w:r>
            <w:r>
              <w:rPr>
                <w:i/>
                <w:sz w:val="24"/>
              </w:rPr>
              <w:t>Fiscal Decentralisation and Inclusive Growth</w:t>
            </w:r>
            <w:r>
              <w:rPr>
                <w:sz w:val="24"/>
              </w:rPr>
              <w:t>, OECD Publishing, Paris, https://dx.doi.org/10.1787/9789264302488-5-en.</w:t>
            </w:r>
          </w:p>
        </w:tc>
        <w:tc>
          <w:tcPr>
            <w:tcW w:w="319" w:type="pct"/>
          </w:tcPr>
          <w:p w14:paraId="0F97E6C6" w14:textId="77777777" w:rsidR="00C37DE1" w:rsidRPr="00074D4C" w:rsidRDefault="00C37DE1" w:rsidP="00C85C26">
            <w:pPr>
              <w:pStyle w:val="TableParagraph"/>
              <w:jc w:val="right"/>
              <w:rPr>
                <w:noProof/>
                <w:sz w:val="24"/>
                <w:szCs w:val="24"/>
              </w:rPr>
            </w:pPr>
            <w:r>
              <w:rPr>
                <w:sz w:val="24"/>
                <w:vertAlign w:val="superscript"/>
              </w:rPr>
              <w:t>[23]</w:t>
            </w:r>
          </w:p>
        </w:tc>
      </w:tr>
      <w:tr w:rsidR="00C37DE1" w:rsidRPr="00074D4C" w14:paraId="61AA6EDD" w14:textId="77777777" w:rsidTr="00CB0214">
        <w:trPr>
          <w:trHeight w:val="998"/>
        </w:trPr>
        <w:tc>
          <w:tcPr>
            <w:tcW w:w="4681" w:type="pct"/>
          </w:tcPr>
          <w:p w14:paraId="43728C03" w14:textId="77777777" w:rsidR="00C37DE1" w:rsidRPr="00074D4C" w:rsidRDefault="00C37DE1" w:rsidP="00CB0214">
            <w:pPr>
              <w:pStyle w:val="TableParagraph"/>
              <w:ind w:left="142"/>
              <w:rPr>
                <w:noProof/>
                <w:sz w:val="24"/>
                <w:szCs w:val="24"/>
              </w:rPr>
            </w:pPr>
            <w:r>
              <w:rPr>
                <w:sz w:val="24"/>
              </w:rPr>
              <w:t>Dougherty, S., M. Harding and A. Reschovsky (2019), “Twenty years of tax autonomy across levels of government: measurement and applications”</w:t>
            </w:r>
            <w:r>
              <w:rPr>
                <w:i/>
                <w:sz w:val="24"/>
              </w:rPr>
              <w:t>, OECD Working Papers on Fiscal Federalism</w:t>
            </w:r>
            <w:r>
              <w:rPr>
                <w:sz w:val="24"/>
              </w:rPr>
              <w:t>, No. 29, forthcoming.</w:t>
            </w:r>
          </w:p>
        </w:tc>
        <w:tc>
          <w:tcPr>
            <w:tcW w:w="319" w:type="pct"/>
          </w:tcPr>
          <w:p w14:paraId="1C7222B6" w14:textId="77777777" w:rsidR="00C37DE1" w:rsidRPr="00074D4C" w:rsidRDefault="00C37DE1" w:rsidP="00C85C26">
            <w:pPr>
              <w:pStyle w:val="TableParagraph"/>
              <w:jc w:val="right"/>
              <w:rPr>
                <w:noProof/>
                <w:sz w:val="24"/>
                <w:szCs w:val="24"/>
              </w:rPr>
            </w:pPr>
            <w:r>
              <w:rPr>
                <w:sz w:val="24"/>
                <w:vertAlign w:val="superscript"/>
              </w:rPr>
              <w:t>[5]</w:t>
            </w:r>
          </w:p>
        </w:tc>
      </w:tr>
      <w:tr w:rsidR="00C37DE1" w:rsidRPr="00074D4C" w14:paraId="0699A761" w14:textId="77777777" w:rsidTr="00CB0214">
        <w:trPr>
          <w:trHeight w:val="746"/>
        </w:trPr>
        <w:tc>
          <w:tcPr>
            <w:tcW w:w="4681" w:type="pct"/>
          </w:tcPr>
          <w:p w14:paraId="626C10D0" w14:textId="77777777" w:rsidR="00C37DE1" w:rsidRPr="00074D4C" w:rsidRDefault="00C37DE1" w:rsidP="00CB0214">
            <w:pPr>
              <w:pStyle w:val="TableParagraph"/>
              <w:ind w:left="142"/>
              <w:rPr>
                <w:noProof/>
                <w:sz w:val="24"/>
                <w:szCs w:val="24"/>
              </w:rPr>
            </w:pPr>
            <w:r>
              <w:rPr>
                <w:sz w:val="24"/>
              </w:rPr>
              <w:t>Dougherty, S. et al. (2019), “The impact of decentralisation on the performance of health care systems: A non-linear relationship”</w:t>
            </w:r>
            <w:r>
              <w:rPr>
                <w:i/>
                <w:sz w:val="24"/>
              </w:rPr>
              <w:t>, OECD Fiscal Federalism Working Papers</w:t>
            </w:r>
            <w:r>
              <w:rPr>
                <w:sz w:val="24"/>
              </w:rPr>
              <w:t>, No. 27.</w:t>
            </w:r>
          </w:p>
        </w:tc>
        <w:tc>
          <w:tcPr>
            <w:tcW w:w="319" w:type="pct"/>
          </w:tcPr>
          <w:p w14:paraId="66CDF76B" w14:textId="77777777" w:rsidR="00C37DE1" w:rsidRPr="00074D4C" w:rsidRDefault="00C37DE1" w:rsidP="00C85C26">
            <w:pPr>
              <w:pStyle w:val="TableParagraph"/>
              <w:jc w:val="right"/>
              <w:rPr>
                <w:noProof/>
                <w:sz w:val="24"/>
                <w:szCs w:val="24"/>
              </w:rPr>
            </w:pPr>
            <w:r>
              <w:rPr>
                <w:sz w:val="24"/>
                <w:vertAlign w:val="superscript"/>
              </w:rPr>
              <w:t>[11]</w:t>
            </w:r>
          </w:p>
        </w:tc>
      </w:tr>
      <w:tr w:rsidR="00C37DE1" w:rsidRPr="00074D4C" w14:paraId="28D9EA50" w14:textId="77777777" w:rsidTr="00CB0214">
        <w:trPr>
          <w:trHeight w:val="998"/>
        </w:trPr>
        <w:tc>
          <w:tcPr>
            <w:tcW w:w="4681" w:type="pct"/>
          </w:tcPr>
          <w:p w14:paraId="4FB6F01B" w14:textId="77777777" w:rsidR="00C37DE1" w:rsidRPr="00074D4C" w:rsidRDefault="00C37DE1" w:rsidP="00CB0214">
            <w:pPr>
              <w:pStyle w:val="TableParagraph"/>
              <w:ind w:left="142"/>
              <w:rPr>
                <w:noProof/>
                <w:sz w:val="24"/>
                <w:szCs w:val="24"/>
              </w:rPr>
            </w:pPr>
            <w:r>
              <w:rPr>
                <w:sz w:val="24"/>
              </w:rPr>
              <w:t>Dougherty, S. and L. Phillips (2019), “The spending power of sub-national decision makers across five policy sectors”</w:t>
            </w:r>
            <w:r>
              <w:rPr>
                <w:i/>
                <w:sz w:val="24"/>
              </w:rPr>
              <w:t>, OECD Working Papers on Fiscal Federalism</w:t>
            </w:r>
            <w:r>
              <w:rPr>
                <w:sz w:val="24"/>
              </w:rPr>
              <w:t>, No. 25, OECD Publishing, Paris, https://dx.doi.org/10.1787/8955021f-en.</w:t>
            </w:r>
          </w:p>
        </w:tc>
        <w:tc>
          <w:tcPr>
            <w:tcW w:w="319" w:type="pct"/>
          </w:tcPr>
          <w:p w14:paraId="38261AAB" w14:textId="77777777" w:rsidR="00C37DE1" w:rsidRPr="00074D4C" w:rsidRDefault="00C37DE1" w:rsidP="00C85C26">
            <w:pPr>
              <w:pStyle w:val="TableParagraph"/>
              <w:jc w:val="right"/>
              <w:rPr>
                <w:noProof/>
                <w:sz w:val="24"/>
                <w:szCs w:val="24"/>
              </w:rPr>
            </w:pPr>
            <w:r>
              <w:rPr>
                <w:sz w:val="24"/>
                <w:vertAlign w:val="superscript"/>
              </w:rPr>
              <w:t>[6]</w:t>
            </w:r>
          </w:p>
        </w:tc>
      </w:tr>
      <w:tr w:rsidR="00C37DE1" w:rsidRPr="00074D4C" w14:paraId="1DFA22F2" w14:textId="77777777" w:rsidTr="00CB0214">
        <w:trPr>
          <w:trHeight w:val="1000"/>
        </w:trPr>
        <w:tc>
          <w:tcPr>
            <w:tcW w:w="4681" w:type="pct"/>
          </w:tcPr>
          <w:p w14:paraId="4AFED0E2" w14:textId="77777777" w:rsidR="00C37DE1" w:rsidRPr="00074D4C" w:rsidRDefault="00C37DE1" w:rsidP="00CB0214">
            <w:pPr>
              <w:pStyle w:val="TableParagraph"/>
              <w:ind w:left="142"/>
              <w:rPr>
                <w:noProof/>
                <w:sz w:val="24"/>
                <w:szCs w:val="24"/>
              </w:rPr>
            </w:pPr>
            <w:r>
              <w:rPr>
                <w:sz w:val="24"/>
              </w:rPr>
              <w:t xml:space="preserve">Dougherty, S., A. Renda and L. Trapp (2020), “Independent oversight bodies: lessons from fiscal, productivity and regulatory institutions”, in </w:t>
            </w:r>
            <w:r>
              <w:rPr>
                <w:i/>
                <w:sz w:val="24"/>
              </w:rPr>
              <w:t>Institutions and Institutionalisation</w:t>
            </w:r>
            <w:r>
              <w:rPr>
                <w:sz w:val="24"/>
              </w:rPr>
              <w:t>, HRSC Press.</w:t>
            </w:r>
          </w:p>
        </w:tc>
        <w:tc>
          <w:tcPr>
            <w:tcW w:w="319" w:type="pct"/>
          </w:tcPr>
          <w:p w14:paraId="2CA0556E" w14:textId="77777777" w:rsidR="00C37DE1" w:rsidRPr="00074D4C" w:rsidRDefault="00C37DE1" w:rsidP="00C85C26">
            <w:pPr>
              <w:pStyle w:val="TableParagraph"/>
              <w:jc w:val="right"/>
              <w:rPr>
                <w:noProof/>
                <w:sz w:val="24"/>
                <w:szCs w:val="24"/>
              </w:rPr>
            </w:pPr>
            <w:r>
              <w:rPr>
                <w:sz w:val="24"/>
                <w:vertAlign w:val="superscript"/>
              </w:rPr>
              <w:t>[4]</w:t>
            </w:r>
          </w:p>
        </w:tc>
      </w:tr>
      <w:tr w:rsidR="00C37DE1" w:rsidRPr="00074D4C" w14:paraId="61489647" w14:textId="77777777" w:rsidTr="00CB0214">
        <w:trPr>
          <w:trHeight w:val="998"/>
        </w:trPr>
        <w:tc>
          <w:tcPr>
            <w:tcW w:w="4681" w:type="pct"/>
          </w:tcPr>
          <w:p w14:paraId="56CE4FCE" w14:textId="4A8935ED" w:rsidR="00C37DE1" w:rsidRPr="00074D4C" w:rsidRDefault="00C37DE1" w:rsidP="00811D9B">
            <w:pPr>
              <w:pStyle w:val="TableParagraph"/>
              <w:ind w:left="142"/>
              <w:rPr>
                <w:noProof/>
                <w:sz w:val="24"/>
                <w:szCs w:val="24"/>
              </w:rPr>
            </w:pPr>
            <w:r>
              <w:rPr>
                <w:sz w:val="24"/>
              </w:rPr>
              <w:t xml:space="preserve">Filippetti, A. and A. Sacchi (2016), “Decentralization and economic growth reconsidered: The role of regional authority”, </w:t>
            </w:r>
            <w:r>
              <w:rPr>
                <w:i/>
                <w:sz w:val="24"/>
              </w:rPr>
              <w:t>Environment and Planning C: Government and Policy</w:t>
            </w:r>
            <w:r>
              <w:rPr>
                <w:sz w:val="24"/>
              </w:rPr>
              <w:t>, Vol. 34/8, pp. 1793–1824.</w:t>
            </w:r>
          </w:p>
        </w:tc>
        <w:tc>
          <w:tcPr>
            <w:tcW w:w="319" w:type="pct"/>
          </w:tcPr>
          <w:p w14:paraId="43D86FDF" w14:textId="77777777" w:rsidR="00C37DE1" w:rsidRPr="00074D4C" w:rsidRDefault="00C37DE1" w:rsidP="00C85C26">
            <w:pPr>
              <w:pStyle w:val="TableParagraph"/>
              <w:jc w:val="right"/>
              <w:rPr>
                <w:noProof/>
                <w:sz w:val="24"/>
                <w:szCs w:val="24"/>
              </w:rPr>
            </w:pPr>
            <w:r>
              <w:rPr>
                <w:sz w:val="24"/>
                <w:vertAlign w:val="superscript"/>
              </w:rPr>
              <w:t>[22]</w:t>
            </w:r>
          </w:p>
        </w:tc>
      </w:tr>
      <w:tr w:rsidR="00C37DE1" w:rsidRPr="00074D4C" w14:paraId="0EA5EE9A" w14:textId="77777777" w:rsidTr="00CB0214">
        <w:trPr>
          <w:trHeight w:val="746"/>
        </w:trPr>
        <w:tc>
          <w:tcPr>
            <w:tcW w:w="4681" w:type="pct"/>
          </w:tcPr>
          <w:p w14:paraId="38B9FA95" w14:textId="77777777" w:rsidR="00C37DE1" w:rsidRPr="00074D4C" w:rsidRDefault="00C37DE1" w:rsidP="00CB0214">
            <w:pPr>
              <w:pStyle w:val="TableParagraph"/>
              <w:ind w:left="142"/>
              <w:rPr>
                <w:noProof/>
                <w:sz w:val="24"/>
                <w:szCs w:val="24"/>
              </w:rPr>
            </w:pPr>
            <w:r>
              <w:rPr>
                <w:sz w:val="24"/>
              </w:rPr>
              <w:t xml:space="preserve">Gemmell, N., R. Kneller and I. Sanz (2013), “Fiscal decentralization and economic growth: spending versus revenue decentralization”, </w:t>
            </w:r>
            <w:r>
              <w:rPr>
                <w:i/>
                <w:sz w:val="24"/>
              </w:rPr>
              <w:t>Economic Inquiry</w:t>
            </w:r>
            <w:r>
              <w:rPr>
                <w:sz w:val="24"/>
              </w:rPr>
              <w:t>, Vol. 51/4, pp. 1915–1931.</w:t>
            </w:r>
          </w:p>
        </w:tc>
        <w:tc>
          <w:tcPr>
            <w:tcW w:w="319" w:type="pct"/>
          </w:tcPr>
          <w:p w14:paraId="51CF0955" w14:textId="77777777" w:rsidR="00C37DE1" w:rsidRPr="00074D4C" w:rsidRDefault="00C37DE1" w:rsidP="00C85C26">
            <w:pPr>
              <w:pStyle w:val="TableParagraph"/>
              <w:jc w:val="right"/>
              <w:rPr>
                <w:noProof/>
                <w:sz w:val="24"/>
                <w:szCs w:val="24"/>
              </w:rPr>
            </w:pPr>
            <w:r>
              <w:rPr>
                <w:sz w:val="24"/>
                <w:vertAlign w:val="superscript"/>
              </w:rPr>
              <w:t>[21]</w:t>
            </w:r>
          </w:p>
        </w:tc>
      </w:tr>
      <w:tr w:rsidR="00C37DE1" w:rsidRPr="00074D4C" w14:paraId="2AD9394B" w14:textId="77777777" w:rsidTr="00CB0214">
        <w:trPr>
          <w:trHeight w:val="744"/>
        </w:trPr>
        <w:tc>
          <w:tcPr>
            <w:tcW w:w="4681" w:type="pct"/>
          </w:tcPr>
          <w:p w14:paraId="0EBF52EE" w14:textId="77777777" w:rsidR="00C37DE1" w:rsidRPr="00074D4C" w:rsidRDefault="00C37DE1" w:rsidP="00CB0214">
            <w:pPr>
              <w:pStyle w:val="TableParagraph"/>
              <w:ind w:left="142"/>
              <w:rPr>
                <w:noProof/>
                <w:sz w:val="24"/>
                <w:szCs w:val="24"/>
              </w:rPr>
            </w:pPr>
            <w:r>
              <w:rPr>
                <w:sz w:val="24"/>
              </w:rPr>
              <w:t>Hagemann, R. (2018), “Tax Policies for Inclusive Growth: Prescription versus Practice”</w:t>
            </w:r>
            <w:r>
              <w:rPr>
                <w:i/>
                <w:sz w:val="24"/>
              </w:rPr>
              <w:t>, OECD Economic Policy Papers</w:t>
            </w:r>
            <w:r>
              <w:rPr>
                <w:sz w:val="24"/>
              </w:rPr>
              <w:t>, No. 24.</w:t>
            </w:r>
          </w:p>
        </w:tc>
        <w:tc>
          <w:tcPr>
            <w:tcW w:w="319" w:type="pct"/>
          </w:tcPr>
          <w:p w14:paraId="5CDD24CA" w14:textId="77777777" w:rsidR="00C37DE1" w:rsidRPr="00074D4C" w:rsidRDefault="00C37DE1" w:rsidP="00C85C26">
            <w:pPr>
              <w:pStyle w:val="TableParagraph"/>
              <w:jc w:val="right"/>
              <w:rPr>
                <w:noProof/>
                <w:sz w:val="24"/>
                <w:szCs w:val="24"/>
              </w:rPr>
            </w:pPr>
            <w:r>
              <w:rPr>
                <w:sz w:val="24"/>
                <w:vertAlign w:val="superscript"/>
              </w:rPr>
              <w:t>[36]</w:t>
            </w:r>
          </w:p>
        </w:tc>
      </w:tr>
      <w:tr w:rsidR="00C37DE1" w:rsidRPr="00074D4C" w14:paraId="4B902423" w14:textId="77777777" w:rsidTr="00CB0214">
        <w:trPr>
          <w:trHeight w:val="1000"/>
        </w:trPr>
        <w:tc>
          <w:tcPr>
            <w:tcW w:w="4681" w:type="pct"/>
          </w:tcPr>
          <w:p w14:paraId="6A77B8E7" w14:textId="77777777" w:rsidR="00C37DE1" w:rsidRPr="00074D4C" w:rsidRDefault="00C37DE1" w:rsidP="00CB0214">
            <w:pPr>
              <w:pStyle w:val="TableParagraph"/>
              <w:ind w:left="142"/>
              <w:rPr>
                <w:noProof/>
                <w:sz w:val="24"/>
                <w:szCs w:val="24"/>
              </w:rPr>
            </w:pPr>
            <w:r>
              <w:rPr>
                <w:sz w:val="24"/>
              </w:rPr>
              <w:t xml:space="preserve">Kim, J. (2018), “Fiscal decentralisation and inclusive growth: An overview”, in </w:t>
            </w:r>
            <w:r>
              <w:rPr>
                <w:i/>
                <w:sz w:val="24"/>
              </w:rPr>
              <w:t>Fiscal Decentralisation and Inclusive Growth</w:t>
            </w:r>
            <w:r>
              <w:rPr>
                <w:sz w:val="24"/>
              </w:rPr>
              <w:t>, OECD Publishing, Paris, https://dx.doi.org/10.1787/9789264302488-3-en.</w:t>
            </w:r>
          </w:p>
        </w:tc>
        <w:tc>
          <w:tcPr>
            <w:tcW w:w="319" w:type="pct"/>
          </w:tcPr>
          <w:p w14:paraId="0DFD5AC6" w14:textId="77777777" w:rsidR="00C37DE1" w:rsidRPr="00074D4C" w:rsidRDefault="00C37DE1" w:rsidP="00C85C26">
            <w:pPr>
              <w:pStyle w:val="TableParagraph"/>
              <w:jc w:val="right"/>
              <w:rPr>
                <w:noProof/>
                <w:sz w:val="24"/>
                <w:szCs w:val="24"/>
              </w:rPr>
            </w:pPr>
            <w:r>
              <w:rPr>
                <w:sz w:val="24"/>
                <w:vertAlign w:val="superscript"/>
              </w:rPr>
              <w:t>[10]</w:t>
            </w:r>
          </w:p>
        </w:tc>
      </w:tr>
      <w:tr w:rsidR="00C37DE1" w:rsidRPr="00074D4C" w14:paraId="62088EB9" w14:textId="77777777" w:rsidTr="00CB0214">
        <w:trPr>
          <w:trHeight w:val="874"/>
        </w:trPr>
        <w:tc>
          <w:tcPr>
            <w:tcW w:w="4681" w:type="pct"/>
          </w:tcPr>
          <w:p w14:paraId="3C276832" w14:textId="07E37D62" w:rsidR="00C37DE1" w:rsidRPr="00811D9B" w:rsidRDefault="00C37DE1" w:rsidP="00811D9B">
            <w:pPr>
              <w:pStyle w:val="TableParagraph"/>
              <w:ind w:left="142"/>
              <w:rPr>
                <w:i/>
                <w:noProof/>
                <w:sz w:val="24"/>
                <w:szCs w:val="24"/>
              </w:rPr>
            </w:pPr>
            <w:r>
              <w:rPr>
                <w:sz w:val="24"/>
              </w:rPr>
              <w:t>Lastra-Anadón, C. and S. Mukherjee (2019), “Cross-country evidence on the impact of decentralisation and school autonomy on educational performance”</w:t>
            </w:r>
            <w:r>
              <w:rPr>
                <w:i/>
                <w:sz w:val="24"/>
              </w:rPr>
              <w:t>, OECD Working Papers on Fiscal Federalism</w:t>
            </w:r>
            <w:r>
              <w:rPr>
                <w:sz w:val="24"/>
              </w:rPr>
              <w:t>, No. 26.</w:t>
            </w:r>
          </w:p>
        </w:tc>
        <w:tc>
          <w:tcPr>
            <w:tcW w:w="319" w:type="pct"/>
          </w:tcPr>
          <w:p w14:paraId="4ED52566" w14:textId="77777777" w:rsidR="00C37DE1" w:rsidRPr="00074D4C" w:rsidRDefault="00C37DE1" w:rsidP="00C85C26">
            <w:pPr>
              <w:pStyle w:val="TableParagraph"/>
              <w:jc w:val="right"/>
              <w:rPr>
                <w:noProof/>
                <w:sz w:val="24"/>
                <w:szCs w:val="24"/>
              </w:rPr>
            </w:pPr>
            <w:r>
              <w:rPr>
                <w:sz w:val="24"/>
                <w:vertAlign w:val="superscript"/>
              </w:rPr>
              <w:t>[27]</w:t>
            </w:r>
          </w:p>
        </w:tc>
      </w:tr>
      <w:tr w:rsidR="00C37DE1" w:rsidRPr="00074D4C" w14:paraId="12FF0378" w14:textId="77777777" w:rsidTr="00CB0214">
        <w:trPr>
          <w:trHeight w:val="622"/>
        </w:trPr>
        <w:tc>
          <w:tcPr>
            <w:tcW w:w="4681" w:type="pct"/>
          </w:tcPr>
          <w:p w14:paraId="32106915" w14:textId="77777777" w:rsidR="00C37DE1" w:rsidRPr="00074D4C" w:rsidRDefault="00C37DE1" w:rsidP="00CB0214">
            <w:pPr>
              <w:pStyle w:val="TableParagraph"/>
              <w:ind w:left="142"/>
              <w:rPr>
                <w:noProof/>
                <w:sz w:val="24"/>
                <w:szCs w:val="24"/>
              </w:rPr>
            </w:pPr>
            <w:r>
              <w:rPr>
                <w:sz w:val="24"/>
              </w:rPr>
              <w:t xml:space="preserve">Martinez-Vazquez, J., S. Lago‐Peñas and A. Sacchi (2017), “The Impact of Fiscal Decentralization: A Survey”, </w:t>
            </w:r>
            <w:r>
              <w:rPr>
                <w:i/>
                <w:sz w:val="24"/>
              </w:rPr>
              <w:t>Journal of Economic Surveys</w:t>
            </w:r>
            <w:r>
              <w:rPr>
                <w:sz w:val="24"/>
              </w:rPr>
              <w:t>, Vol. 31/4, pp. 1095-1129.</w:t>
            </w:r>
          </w:p>
        </w:tc>
        <w:tc>
          <w:tcPr>
            <w:tcW w:w="319" w:type="pct"/>
          </w:tcPr>
          <w:p w14:paraId="3A9C2332" w14:textId="77777777" w:rsidR="00C37DE1" w:rsidRPr="00074D4C" w:rsidRDefault="00C37DE1" w:rsidP="00C85C26">
            <w:pPr>
              <w:pStyle w:val="TableParagraph"/>
              <w:jc w:val="right"/>
              <w:rPr>
                <w:noProof/>
                <w:sz w:val="24"/>
                <w:szCs w:val="24"/>
              </w:rPr>
            </w:pPr>
            <w:r>
              <w:rPr>
                <w:sz w:val="24"/>
                <w:vertAlign w:val="superscript"/>
              </w:rPr>
              <w:t>[12]</w:t>
            </w:r>
          </w:p>
        </w:tc>
      </w:tr>
      <w:tr w:rsidR="00C37DE1" w:rsidRPr="00074D4C" w14:paraId="66CC0F64" w14:textId="77777777" w:rsidTr="00811D9B">
        <w:trPr>
          <w:trHeight w:val="940"/>
        </w:trPr>
        <w:tc>
          <w:tcPr>
            <w:tcW w:w="4681" w:type="pct"/>
          </w:tcPr>
          <w:p w14:paraId="5C34BEF3" w14:textId="77777777" w:rsidR="00C37DE1" w:rsidRPr="00074D4C" w:rsidRDefault="00C37DE1" w:rsidP="00CB0214">
            <w:pPr>
              <w:pStyle w:val="TableParagraph"/>
              <w:ind w:left="142"/>
              <w:rPr>
                <w:noProof/>
                <w:sz w:val="24"/>
                <w:szCs w:val="24"/>
              </w:rPr>
            </w:pPr>
            <w:r>
              <w:rPr>
                <w:sz w:val="24"/>
              </w:rPr>
              <w:t xml:space="preserve">Murray, J., P. Rentell and D. Geere (2008), “Procurement as a shared service in English local government”, </w:t>
            </w:r>
            <w:r>
              <w:rPr>
                <w:i/>
                <w:sz w:val="24"/>
              </w:rPr>
              <w:t>International Journal of Public Sector Management</w:t>
            </w:r>
            <w:r>
              <w:rPr>
                <w:sz w:val="24"/>
              </w:rPr>
              <w:t>, Vol. 21/5, pp. 540-555.</w:t>
            </w:r>
          </w:p>
        </w:tc>
        <w:tc>
          <w:tcPr>
            <w:tcW w:w="319" w:type="pct"/>
          </w:tcPr>
          <w:p w14:paraId="6E8E5E7F" w14:textId="77777777" w:rsidR="00C37DE1" w:rsidRPr="00074D4C" w:rsidRDefault="00C37DE1" w:rsidP="00C85C26">
            <w:pPr>
              <w:pStyle w:val="TableParagraph"/>
              <w:jc w:val="right"/>
              <w:rPr>
                <w:noProof/>
                <w:sz w:val="24"/>
                <w:szCs w:val="24"/>
              </w:rPr>
            </w:pPr>
            <w:r>
              <w:rPr>
                <w:sz w:val="24"/>
                <w:vertAlign w:val="superscript"/>
              </w:rPr>
              <w:t>[88]</w:t>
            </w:r>
          </w:p>
        </w:tc>
      </w:tr>
      <w:tr w:rsidR="00C37DE1" w:rsidRPr="00074D4C" w14:paraId="2C828B57" w14:textId="77777777" w:rsidTr="00CB0214">
        <w:trPr>
          <w:trHeight w:val="494"/>
        </w:trPr>
        <w:tc>
          <w:tcPr>
            <w:tcW w:w="4681" w:type="pct"/>
          </w:tcPr>
          <w:p w14:paraId="3D7766D7" w14:textId="77777777" w:rsidR="00C37DE1" w:rsidRPr="00074D4C" w:rsidRDefault="00C37DE1" w:rsidP="00CB0214">
            <w:pPr>
              <w:pStyle w:val="TableParagraph"/>
              <w:ind w:left="142"/>
              <w:rPr>
                <w:noProof/>
                <w:sz w:val="24"/>
                <w:szCs w:val="24"/>
              </w:rPr>
            </w:pPr>
            <w:r>
              <w:rPr>
                <w:sz w:val="24"/>
              </w:rPr>
              <w:t xml:space="preserve">Oates, W. (1972), </w:t>
            </w:r>
            <w:r>
              <w:rPr>
                <w:i/>
                <w:sz w:val="24"/>
              </w:rPr>
              <w:t>Fiscal Federalism</w:t>
            </w:r>
            <w:r>
              <w:rPr>
                <w:sz w:val="24"/>
              </w:rPr>
              <w:t>, Edward Elgar Publishing.</w:t>
            </w:r>
          </w:p>
        </w:tc>
        <w:tc>
          <w:tcPr>
            <w:tcW w:w="319" w:type="pct"/>
          </w:tcPr>
          <w:p w14:paraId="28B11515" w14:textId="77777777" w:rsidR="00C37DE1" w:rsidRPr="00074D4C" w:rsidRDefault="00C37DE1" w:rsidP="00C85C26">
            <w:pPr>
              <w:pStyle w:val="TableParagraph"/>
              <w:jc w:val="right"/>
              <w:rPr>
                <w:noProof/>
                <w:sz w:val="24"/>
                <w:szCs w:val="24"/>
              </w:rPr>
            </w:pPr>
            <w:r>
              <w:rPr>
                <w:sz w:val="24"/>
                <w:vertAlign w:val="superscript"/>
              </w:rPr>
              <w:t>[7]</w:t>
            </w:r>
          </w:p>
        </w:tc>
      </w:tr>
      <w:tr w:rsidR="00C37DE1" w:rsidRPr="00074D4C" w14:paraId="02EFC4C5" w14:textId="77777777" w:rsidTr="00CB0214">
        <w:trPr>
          <w:trHeight w:val="746"/>
        </w:trPr>
        <w:tc>
          <w:tcPr>
            <w:tcW w:w="4681" w:type="pct"/>
          </w:tcPr>
          <w:p w14:paraId="272851BD" w14:textId="77777777" w:rsidR="00C37DE1" w:rsidRPr="00074D4C" w:rsidRDefault="00C37DE1" w:rsidP="00CB0214">
            <w:pPr>
              <w:pStyle w:val="TableParagraph"/>
              <w:ind w:left="142"/>
              <w:rPr>
                <w:noProof/>
                <w:sz w:val="24"/>
                <w:szCs w:val="24"/>
              </w:rPr>
            </w:pPr>
            <w:r>
              <w:rPr>
                <w:sz w:val="24"/>
              </w:rPr>
              <w:lastRenderedPageBreak/>
              <w:t xml:space="preserve">Oates, W. and R. Schwab (1988), “Economic competition among jurisdictions: efficiency enhancing or distortion inducing?”, </w:t>
            </w:r>
            <w:r>
              <w:rPr>
                <w:i/>
                <w:sz w:val="24"/>
              </w:rPr>
              <w:t>Journal of Public Economics</w:t>
            </w:r>
            <w:r>
              <w:rPr>
                <w:sz w:val="24"/>
              </w:rPr>
              <w:t>, Vol. 35/3, pp. 333-354.</w:t>
            </w:r>
          </w:p>
        </w:tc>
        <w:tc>
          <w:tcPr>
            <w:tcW w:w="319" w:type="pct"/>
          </w:tcPr>
          <w:p w14:paraId="50D47DED" w14:textId="77777777" w:rsidR="00C37DE1" w:rsidRPr="00074D4C" w:rsidRDefault="00C37DE1" w:rsidP="00C85C26">
            <w:pPr>
              <w:pStyle w:val="TableParagraph"/>
              <w:jc w:val="right"/>
              <w:rPr>
                <w:noProof/>
                <w:sz w:val="24"/>
                <w:szCs w:val="24"/>
              </w:rPr>
            </w:pPr>
            <w:r>
              <w:rPr>
                <w:sz w:val="24"/>
                <w:vertAlign w:val="superscript"/>
              </w:rPr>
              <w:t>[49]</w:t>
            </w:r>
          </w:p>
        </w:tc>
      </w:tr>
      <w:tr w:rsidR="00C37DE1" w:rsidRPr="00074D4C" w14:paraId="10729F6A" w14:textId="77777777" w:rsidTr="00CB0214">
        <w:trPr>
          <w:trHeight w:val="744"/>
        </w:trPr>
        <w:tc>
          <w:tcPr>
            <w:tcW w:w="4681" w:type="pct"/>
          </w:tcPr>
          <w:p w14:paraId="435C5A9C" w14:textId="77777777" w:rsidR="00C37DE1" w:rsidRPr="00074D4C" w:rsidRDefault="00C37DE1" w:rsidP="00CB0214">
            <w:pPr>
              <w:pStyle w:val="TableParagraph"/>
              <w:ind w:left="142"/>
              <w:rPr>
                <w:noProof/>
                <w:sz w:val="24"/>
                <w:szCs w:val="24"/>
              </w:rPr>
            </w:pPr>
            <w:r>
              <w:rPr>
                <w:sz w:val="24"/>
              </w:rPr>
              <w:t xml:space="preserve">OECD (2019), </w:t>
            </w:r>
            <w:r>
              <w:rPr>
                <w:i/>
                <w:sz w:val="24"/>
              </w:rPr>
              <w:t>Making Decentralisation Work: A Handbook for policymakers</w:t>
            </w:r>
            <w:r>
              <w:rPr>
                <w:sz w:val="24"/>
              </w:rPr>
              <w:t>, OECD Publishing.</w:t>
            </w:r>
          </w:p>
        </w:tc>
        <w:tc>
          <w:tcPr>
            <w:tcW w:w="319" w:type="pct"/>
          </w:tcPr>
          <w:p w14:paraId="490CF07C" w14:textId="77777777" w:rsidR="00C37DE1" w:rsidRPr="00074D4C" w:rsidRDefault="00C37DE1" w:rsidP="00C85C26">
            <w:pPr>
              <w:pStyle w:val="TableParagraph"/>
              <w:jc w:val="right"/>
              <w:rPr>
                <w:noProof/>
                <w:sz w:val="24"/>
                <w:szCs w:val="24"/>
              </w:rPr>
            </w:pPr>
            <w:r>
              <w:rPr>
                <w:sz w:val="24"/>
                <w:vertAlign w:val="superscript"/>
              </w:rPr>
              <w:t>[13]</w:t>
            </w:r>
          </w:p>
        </w:tc>
      </w:tr>
      <w:tr w:rsidR="00C37DE1" w:rsidRPr="00074D4C" w14:paraId="64BADF74" w14:textId="77777777" w:rsidTr="00CB0214">
        <w:trPr>
          <w:trHeight w:val="494"/>
        </w:trPr>
        <w:tc>
          <w:tcPr>
            <w:tcW w:w="4681" w:type="pct"/>
          </w:tcPr>
          <w:p w14:paraId="185A5B3C" w14:textId="77777777" w:rsidR="00C37DE1" w:rsidRPr="00074D4C" w:rsidRDefault="00C37DE1" w:rsidP="00CB0214">
            <w:pPr>
              <w:pStyle w:val="TableParagraph"/>
              <w:ind w:left="142"/>
              <w:rPr>
                <w:noProof/>
                <w:sz w:val="24"/>
                <w:szCs w:val="24"/>
              </w:rPr>
            </w:pPr>
            <w:r>
              <w:rPr>
                <w:sz w:val="24"/>
              </w:rPr>
              <w:t xml:space="preserve">OECD (2019), </w:t>
            </w:r>
            <w:r>
              <w:rPr>
                <w:i/>
                <w:sz w:val="24"/>
              </w:rPr>
              <w:t>OECD Economic Surveys: Italy 2019</w:t>
            </w:r>
            <w:r>
              <w:rPr>
                <w:sz w:val="24"/>
              </w:rPr>
              <w:t>, OECD Publishing.</w:t>
            </w:r>
          </w:p>
        </w:tc>
        <w:tc>
          <w:tcPr>
            <w:tcW w:w="319" w:type="pct"/>
          </w:tcPr>
          <w:p w14:paraId="5D6AC956" w14:textId="77777777" w:rsidR="00C37DE1" w:rsidRPr="00074D4C" w:rsidRDefault="00C37DE1" w:rsidP="00C85C26">
            <w:pPr>
              <w:pStyle w:val="TableParagraph"/>
              <w:jc w:val="right"/>
              <w:rPr>
                <w:noProof/>
                <w:sz w:val="24"/>
                <w:szCs w:val="24"/>
              </w:rPr>
            </w:pPr>
            <w:r>
              <w:rPr>
                <w:sz w:val="24"/>
                <w:vertAlign w:val="superscript"/>
              </w:rPr>
              <w:t>[75]</w:t>
            </w:r>
          </w:p>
        </w:tc>
      </w:tr>
      <w:tr w:rsidR="00C37DE1" w:rsidRPr="00074D4C" w14:paraId="359D3D92" w14:textId="77777777" w:rsidTr="00CB0214">
        <w:trPr>
          <w:trHeight w:val="492"/>
        </w:trPr>
        <w:tc>
          <w:tcPr>
            <w:tcW w:w="4681" w:type="pct"/>
          </w:tcPr>
          <w:p w14:paraId="701B3E9A" w14:textId="77777777" w:rsidR="00C37DE1" w:rsidRPr="00074D4C" w:rsidRDefault="00C37DE1" w:rsidP="00CB0214">
            <w:pPr>
              <w:pStyle w:val="TableParagraph"/>
              <w:ind w:left="142"/>
              <w:rPr>
                <w:noProof/>
                <w:sz w:val="24"/>
                <w:szCs w:val="24"/>
              </w:rPr>
            </w:pPr>
            <w:r>
              <w:rPr>
                <w:sz w:val="24"/>
              </w:rPr>
              <w:t xml:space="preserve">OECD (2019), </w:t>
            </w:r>
            <w:r>
              <w:rPr>
                <w:i/>
                <w:sz w:val="24"/>
              </w:rPr>
              <w:t>OECD Economic Surveys: Mexico 2019</w:t>
            </w:r>
            <w:r>
              <w:rPr>
                <w:sz w:val="24"/>
              </w:rPr>
              <w:t>, OECD Publishing.</w:t>
            </w:r>
          </w:p>
        </w:tc>
        <w:tc>
          <w:tcPr>
            <w:tcW w:w="319" w:type="pct"/>
          </w:tcPr>
          <w:p w14:paraId="603D9580" w14:textId="77777777" w:rsidR="00C37DE1" w:rsidRPr="00074D4C" w:rsidRDefault="00C37DE1" w:rsidP="00C85C26">
            <w:pPr>
              <w:pStyle w:val="TableParagraph"/>
              <w:jc w:val="right"/>
              <w:rPr>
                <w:noProof/>
                <w:sz w:val="24"/>
                <w:szCs w:val="24"/>
              </w:rPr>
            </w:pPr>
            <w:r>
              <w:rPr>
                <w:sz w:val="24"/>
                <w:vertAlign w:val="superscript"/>
              </w:rPr>
              <w:t>[65]</w:t>
            </w:r>
          </w:p>
        </w:tc>
      </w:tr>
      <w:tr w:rsidR="00C37DE1" w:rsidRPr="00074D4C" w14:paraId="4BBC991F" w14:textId="77777777" w:rsidTr="00CB0214">
        <w:trPr>
          <w:trHeight w:val="746"/>
        </w:trPr>
        <w:tc>
          <w:tcPr>
            <w:tcW w:w="4681" w:type="pct"/>
          </w:tcPr>
          <w:p w14:paraId="6C4FDD5B" w14:textId="77777777" w:rsidR="00C37DE1" w:rsidRPr="00074D4C" w:rsidRDefault="00C37DE1" w:rsidP="00CB0214">
            <w:pPr>
              <w:pStyle w:val="TableParagraph"/>
              <w:ind w:left="142"/>
              <w:rPr>
                <w:noProof/>
                <w:sz w:val="24"/>
                <w:szCs w:val="24"/>
              </w:rPr>
            </w:pPr>
            <w:r>
              <w:rPr>
                <w:sz w:val="24"/>
              </w:rPr>
              <w:t xml:space="preserve">OECD (2018), </w:t>
            </w:r>
            <w:r>
              <w:rPr>
                <w:i/>
                <w:sz w:val="24"/>
              </w:rPr>
              <w:t>Monitoring Report: Implementation of the Recommendation of the Council on Effective Public Investment across Levels of Government</w:t>
            </w:r>
            <w:r>
              <w:rPr>
                <w:sz w:val="24"/>
              </w:rPr>
              <w:t>, OECD Publishing.</w:t>
            </w:r>
          </w:p>
        </w:tc>
        <w:tc>
          <w:tcPr>
            <w:tcW w:w="319" w:type="pct"/>
          </w:tcPr>
          <w:p w14:paraId="4EEBEBA9" w14:textId="77777777" w:rsidR="00C37DE1" w:rsidRPr="00074D4C" w:rsidRDefault="00C37DE1" w:rsidP="00C85C26">
            <w:pPr>
              <w:pStyle w:val="TableParagraph"/>
              <w:jc w:val="right"/>
              <w:rPr>
                <w:noProof/>
                <w:sz w:val="24"/>
                <w:szCs w:val="24"/>
              </w:rPr>
            </w:pPr>
            <w:r>
              <w:rPr>
                <w:sz w:val="24"/>
                <w:vertAlign w:val="superscript"/>
              </w:rPr>
              <w:t>[71]</w:t>
            </w:r>
          </w:p>
        </w:tc>
      </w:tr>
      <w:tr w:rsidR="00C37DE1" w:rsidRPr="00074D4C" w14:paraId="3B24BBA6" w14:textId="77777777" w:rsidTr="00811D9B">
        <w:trPr>
          <w:trHeight w:val="703"/>
        </w:trPr>
        <w:tc>
          <w:tcPr>
            <w:tcW w:w="4681" w:type="pct"/>
          </w:tcPr>
          <w:p w14:paraId="1D4B153A" w14:textId="77777777" w:rsidR="00C37DE1" w:rsidRPr="00074D4C" w:rsidRDefault="00C37DE1" w:rsidP="00CB0214">
            <w:pPr>
              <w:pStyle w:val="TableParagraph"/>
              <w:ind w:left="142"/>
              <w:rPr>
                <w:noProof/>
                <w:sz w:val="24"/>
                <w:szCs w:val="24"/>
              </w:rPr>
            </w:pPr>
            <w:r>
              <w:rPr>
                <w:sz w:val="24"/>
              </w:rPr>
              <w:t xml:space="preserve">OECD (2018), </w:t>
            </w:r>
            <w:r>
              <w:rPr>
                <w:i/>
                <w:sz w:val="24"/>
              </w:rPr>
              <w:t>OECD Economic Surveys: European Union 2018</w:t>
            </w:r>
            <w:r>
              <w:rPr>
                <w:sz w:val="24"/>
              </w:rPr>
              <w:t>, OECD Publishing, Paris, https://dx.doi.org/10.1787/eco_surveys-eur-2018-en.</w:t>
            </w:r>
          </w:p>
        </w:tc>
        <w:tc>
          <w:tcPr>
            <w:tcW w:w="319" w:type="pct"/>
          </w:tcPr>
          <w:p w14:paraId="647A192D" w14:textId="77777777" w:rsidR="00C37DE1" w:rsidRPr="00074D4C" w:rsidRDefault="00C37DE1" w:rsidP="00C85C26">
            <w:pPr>
              <w:pStyle w:val="TableParagraph"/>
              <w:jc w:val="right"/>
              <w:rPr>
                <w:noProof/>
                <w:sz w:val="24"/>
                <w:szCs w:val="24"/>
              </w:rPr>
            </w:pPr>
            <w:r>
              <w:rPr>
                <w:sz w:val="24"/>
                <w:vertAlign w:val="superscript"/>
              </w:rPr>
              <w:t>[73]</w:t>
            </w:r>
          </w:p>
        </w:tc>
      </w:tr>
      <w:tr w:rsidR="00C37DE1" w:rsidRPr="00074D4C" w14:paraId="204A94AC" w14:textId="77777777" w:rsidTr="00CB0214">
        <w:trPr>
          <w:trHeight w:val="492"/>
        </w:trPr>
        <w:tc>
          <w:tcPr>
            <w:tcW w:w="4681" w:type="pct"/>
          </w:tcPr>
          <w:p w14:paraId="0B3FA327" w14:textId="77777777" w:rsidR="00C37DE1" w:rsidRPr="00074D4C" w:rsidRDefault="00C37DE1" w:rsidP="00CB0214">
            <w:pPr>
              <w:pStyle w:val="TableParagraph"/>
              <w:ind w:left="142"/>
              <w:rPr>
                <w:noProof/>
                <w:sz w:val="24"/>
                <w:szCs w:val="24"/>
              </w:rPr>
            </w:pPr>
            <w:r>
              <w:rPr>
                <w:sz w:val="24"/>
              </w:rPr>
              <w:t xml:space="preserve">OECD (2018), </w:t>
            </w:r>
            <w:r>
              <w:rPr>
                <w:i/>
                <w:sz w:val="24"/>
              </w:rPr>
              <w:t>OECD Economic Surveys: Germany 2018</w:t>
            </w:r>
            <w:r>
              <w:rPr>
                <w:sz w:val="24"/>
              </w:rPr>
              <w:t>, OECD Publishing, Paris.</w:t>
            </w:r>
          </w:p>
        </w:tc>
        <w:tc>
          <w:tcPr>
            <w:tcW w:w="319" w:type="pct"/>
          </w:tcPr>
          <w:p w14:paraId="2362CC76" w14:textId="77777777" w:rsidR="00C37DE1" w:rsidRPr="00074D4C" w:rsidRDefault="00C37DE1" w:rsidP="00C85C26">
            <w:pPr>
              <w:pStyle w:val="TableParagraph"/>
              <w:jc w:val="right"/>
              <w:rPr>
                <w:noProof/>
                <w:sz w:val="24"/>
                <w:szCs w:val="24"/>
              </w:rPr>
            </w:pPr>
            <w:r>
              <w:rPr>
                <w:sz w:val="24"/>
                <w:vertAlign w:val="superscript"/>
              </w:rPr>
              <w:t>[31]</w:t>
            </w:r>
          </w:p>
        </w:tc>
      </w:tr>
      <w:tr w:rsidR="00C37DE1" w:rsidRPr="00074D4C" w14:paraId="43B3CFBE" w14:textId="77777777" w:rsidTr="00CB0214">
        <w:trPr>
          <w:trHeight w:val="494"/>
        </w:trPr>
        <w:tc>
          <w:tcPr>
            <w:tcW w:w="4681" w:type="pct"/>
          </w:tcPr>
          <w:p w14:paraId="68366119" w14:textId="77777777" w:rsidR="00C37DE1" w:rsidRPr="00074D4C" w:rsidRDefault="00C37DE1" w:rsidP="00CB0214">
            <w:pPr>
              <w:pStyle w:val="TableParagraph"/>
              <w:ind w:left="142"/>
              <w:rPr>
                <w:noProof/>
                <w:sz w:val="24"/>
                <w:szCs w:val="24"/>
              </w:rPr>
            </w:pPr>
            <w:r>
              <w:rPr>
                <w:sz w:val="24"/>
              </w:rPr>
              <w:t xml:space="preserve">OECD (2017), </w:t>
            </w:r>
            <w:r>
              <w:rPr>
                <w:i/>
                <w:sz w:val="24"/>
              </w:rPr>
              <w:t>OECD Economic Surveys: Italy 2017</w:t>
            </w:r>
            <w:r>
              <w:rPr>
                <w:sz w:val="24"/>
              </w:rPr>
              <w:t>, OECD Publishing.</w:t>
            </w:r>
          </w:p>
        </w:tc>
        <w:tc>
          <w:tcPr>
            <w:tcW w:w="319" w:type="pct"/>
          </w:tcPr>
          <w:p w14:paraId="0937FB64" w14:textId="77777777" w:rsidR="00C37DE1" w:rsidRPr="00074D4C" w:rsidRDefault="00C37DE1" w:rsidP="00C85C26">
            <w:pPr>
              <w:pStyle w:val="TableParagraph"/>
              <w:jc w:val="right"/>
              <w:rPr>
                <w:noProof/>
                <w:sz w:val="24"/>
                <w:szCs w:val="24"/>
              </w:rPr>
            </w:pPr>
            <w:r>
              <w:rPr>
                <w:sz w:val="24"/>
                <w:vertAlign w:val="superscript"/>
              </w:rPr>
              <w:t>[74]</w:t>
            </w:r>
          </w:p>
        </w:tc>
      </w:tr>
      <w:tr w:rsidR="00C37DE1" w:rsidRPr="00074D4C" w14:paraId="63A08CDE" w14:textId="77777777" w:rsidTr="00CB0214">
        <w:trPr>
          <w:trHeight w:val="492"/>
        </w:trPr>
        <w:tc>
          <w:tcPr>
            <w:tcW w:w="4681" w:type="pct"/>
          </w:tcPr>
          <w:p w14:paraId="64359080" w14:textId="77777777" w:rsidR="00C37DE1" w:rsidRPr="00074D4C" w:rsidRDefault="00C37DE1" w:rsidP="00CB0214">
            <w:pPr>
              <w:pStyle w:val="TableParagraph"/>
              <w:ind w:left="142"/>
              <w:rPr>
                <w:noProof/>
                <w:sz w:val="24"/>
                <w:szCs w:val="24"/>
              </w:rPr>
            </w:pPr>
            <w:r>
              <w:rPr>
                <w:sz w:val="24"/>
              </w:rPr>
              <w:t xml:space="preserve">OECD (2017), </w:t>
            </w:r>
            <w:r>
              <w:rPr>
                <w:i/>
                <w:sz w:val="24"/>
              </w:rPr>
              <w:t>OECD Economic Surveys: Japan 2017</w:t>
            </w:r>
            <w:r>
              <w:rPr>
                <w:sz w:val="24"/>
              </w:rPr>
              <w:t>, OECD Publishing.</w:t>
            </w:r>
          </w:p>
        </w:tc>
        <w:tc>
          <w:tcPr>
            <w:tcW w:w="319" w:type="pct"/>
          </w:tcPr>
          <w:p w14:paraId="75F56E97" w14:textId="77777777" w:rsidR="00C37DE1" w:rsidRPr="00074D4C" w:rsidRDefault="00C37DE1" w:rsidP="00C85C26">
            <w:pPr>
              <w:pStyle w:val="TableParagraph"/>
              <w:jc w:val="right"/>
              <w:rPr>
                <w:noProof/>
                <w:sz w:val="24"/>
                <w:szCs w:val="24"/>
              </w:rPr>
            </w:pPr>
            <w:r>
              <w:rPr>
                <w:sz w:val="24"/>
                <w:vertAlign w:val="superscript"/>
              </w:rPr>
              <w:t>[52]</w:t>
            </w:r>
          </w:p>
        </w:tc>
      </w:tr>
      <w:tr w:rsidR="00C37DE1" w:rsidRPr="00074D4C" w14:paraId="216CB536" w14:textId="77777777" w:rsidTr="00CB0214">
        <w:trPr>
          <w:trHeight w:val="494"/>
        </w:trPr>
        <w:tc>
          <w:tcPr>
            <w:tcW w:w="4681" w:type="pct"/>
          </w:tcPr>
          <w:p w14:paraId="2148FDC9" w14:textId="77777777" w:rsidR="00C37DE1" w:rsidRPr="00074D4C" w:rsidRDefault="00C37DE1" w:rsidP="00CB0214">
            <w:pPr>
              <w:pStyle w:val="TableParagraph"/>
              <w:ind w:left="142"/>
              <w:rPr>
                <w:noProof/>
                <w:sz w:val="24"/>
                <w:szCs w:val="24"/>
              </w:rPr>
            </w:pPr>
            <w:r>
              <w:rPr>
                <w:sz w:val="24"/>
              </w:rPr>
              <w:t xml:space="preserve">OECD (2017), </w:t>
            </w:r>
            <w:r>
              <w:rPr>
                <w:i/>
                <w:sz w:val="24"/>
              </w:rPr>
              <w:t>OECD Economic Surveys: Switzerland 2017</w:t>
            </w:r>
            <w:r>
              <w:rPr>
                <w:sz w:val="24"/>
              </w:rPr>
              <w:t>, OECD Publishing.</w:t>
            </w:r>
          </w:p>
        </w:tc>
        <w:tc>
          <w:tcPr>
            <w:tcW w:w="319" w:type="pct"/>
          </w:tcPr>
          <w:p w14:paraId="083CD965" w14:textId="77777777" w:rsidR="00C37DE1" w:rsidRPr="00074D4C" w:rsidRDefault="00C37DE1" w:rsidP="00C85C26">
            <w:pPr>
              <w:pStyle w:val="TableParagraph"/>
              <w:jc w:val="right"/>
              <w:rPr>
                <w:noProof/>
                <w:sz w:val="24"/>
                <w:szCs w:val="24"/>
              </w:rPr>
            </w:pPr>
            <w:r>
              <w:rPr>
                <w:sz w:val="24"/>
                <w:vertAlign w:val="superscript"/>
              </w:rPr>
              <w:t>[77]</w:t>
            </w:r>
          </w:p>
        </w:tc>
      </w:tr>
      <w:tr w:rsidR="00C37DE1" w:rsidRPr="00074D4C" w14:paraId="3569269D" w14:textId="77777777" w:rsidTr="00CB0214">
        <w:trPr>
          <w:trHeight w:val="491"/>
        </w:trPr>
        <w:tc>
          <w:tcPr>
            <w:tcW w:w="4681" w:type="pct"/>
          </w:tcPr>
          <w:p w14:paraId="627090F6" w14:textId="77777777" w:rsidR="00C37DE1" w:rsidRPr="00074D4C" w:rsidRDefault="00C37DE1" w:rsidP="00CB0214">
            <w:pPr>
              <w:pStyle w:val="TableParagraph"/>
              <w:ind w:left="142"/>
              <w:rPr>
                <w:noProof/>
                <w:sz w:val="24"/>
                <w:szCs w:val="24"/>
              </w:rPr>
            </w:pPr>
            <w:r>
              <w:rPr>
                <w:sz w:val="24"/>
              </w:rPr>
              <w:t xml:space="preserve">OECD (2016), </w:t>
            </w:r>
            <w:r>
              <w:rPr>
                <w:i/>
                <w:sz w:val="24"/>
              </w:rPr>
              <w:t>Fiscal Federalism 2016: Making decentralisation work</w:t>
            </w:r>
            <w:r>
              <w:rPr>
                <w:sz w:val="24"/>
              </w:rPr>
              <w:t>, OECD Publishing.</w:t>
            </w:r>
          </w:p>
        </w:tc>
        <w:tc>
          <w:tcPr>
            <w:tcW w:w="319" w:type="pct"/>
          </w:tcPr>
          <w:p w14:paraId="13761DFD" w14:textId="77777777" w:rsidR="00C37DE1" w:rsidRPr="00074D4C" w:rsidRDefault="00C37DE1" w:rsidP="00C85C26">
            <w:pPr>
              <w:pStyle w:val="TableParagraph"/>
              <w:jc w:val="right"/>
              <w:rPr>
                <w:noProof/>
                <w:sz w:val="24"/>
                <w:szCs w:val="24"/>
              </w:rPr>
            </w:pPr>
            <w:r>
              <w:rPr>
                <w:sz w:val="24"/>
                <w:vertAlign w:val="superscript"/>
              </w:rPr>
              <w:t>[29]</w:t>
            </w:r>
          </w:p>
        </w:tc>
      </w:tr>
      <w:tr w:rsidR="00C37DE1" w:rsidRPr="00074D4C" w14:paraId="58B64424" w14:textId="77777777" w:rsidTr="00CB0214">
        <w:trPr>
          <w:trHeight w:val="492"/>
        </w:trPr>
        <w:tc>
          <w:tcPr>
            <w:tcW w:w="4681" w:type="pct"/>
          </w:tcPr>
          <w:p w14:paraId="1DFB1540" w14:textId="77777777" w:rsidR="00C37DE1" w:rsidRPr="00074D4C" w:rsidRDefault="00C37DE1" w:rsidP="00CB0214">
            <w:pPr>
              <w:pStyle w:val="TableParagraph"/>
              <w:ind w:left="142"/>
              <w:rPr>
                <w:noProof/>
                <w:sz w:val="24"/>
                <w:szCs w:val="24"/>
              </w:rPr>
            </w:pPr>
            <w:r>
              <w:rPr>
                <w:sz w:val="24"/>
              </w:rPr>
              <w:t xml:space="preserve">OECD (2016), </w:t>
            </w:r>
            <w:r>
              <w:rPr>
                <w:i/>
                <w:sz w:val="24"/>
              </w:rPr>
              <w:t>OECD Economic Surveys: Germany 2016</w:t>
            </w:r>
            <w:r>
              <w:rPr>
                <w:sz w:val="24"/>
              </w:rPr>
              <w:t>, OECD Publishing.</w:t>
            </w:r>
          </w:p>
        </w:tc>
        <w:tc>
          <w:tcPr>
            <w:tcW w:w="319" w:type="pct"/>
          </w:tcPr>
          <w:p w14:paraId="446B0547" w14:textId="77777777" w:rsidR="00C37DE1" w:rsidRPr="00074D4C" w:rsidRDefault="00C37DE1" w:rsidP="00C85C26">
            <w:pPr>
              <w:pStyle w:val="TableParagraph"/>
              <w:jc w:val="right"/>
              <w:rPr>
                <w:noProof/>
                <w:sz w:val="24"/>
                <w:szCs w:val="24"/>
              </w:rPr>
            </w:pPr>
            <w:r>
              <w:rPr>
                <w:sz w:val="24"/>
                <w:vertAlign w:val="superscript"/>
              </w:rPr>
              <w:t>[32]</w:t>
            </w:r>
          </w:p>
        </w:tc>
      </w:tr>
      <w:tr w:rsidR="00C37DE1" w:rsidRPr="00074D4C" w14:paraId="18F57861" w14:textId="77777777" w:rsidTr="00CB0214">
        <w:trPr>
          <w:trHeight w:val="494"/>
        </w:trPr>
        <w:tc>
          <w:tcPr>
            <w:tcW w:w="4681" w:type="pct"/>
          </w:tcPr>
          <w:p w14:paraId="636100A1" w14:textId="77777777" w:rsidR="00C37DE1" w:rsidRPr="00074D4C" w:rsidRDefault="00C37DE1" w:rsidP="00CB0214">
            <w:pPr>
              <w:pStyle w:val="TableParagraph"/>
              <w:ind w:left="142"/>
              <w:rPr>
                <w:noProof/>
                <w:sz w:val="24"/>
                <w:szCs w:val="24"/>
              </w:rPr>
            </w:pPr>
            <w:r>
              <w:rPr>
                <w:sz w:val="24"/>
              </w:rPr>
              <w:t xml:space="preserve">OECD (2016), </w:t>
            </w:r>
            <w:r>
              <w:rPr>
                <w:i/>
                <w:sz w:val="24"/>
              </w:rPr>
              <w:t>OECD Economic Surveys: India 2016</w:t>
            </w:r>
            <w:r>
              <w:rPr>
                <w:sz w:val="24"/>
              </w:rPr>
              <w:t>, OECD Publishing.</w:t>
            </w:r>
          </w:p>
        </w:tc>
        <w:tc>
          <w:tcPr>
            <w:tcW w:w="319" w:type="pct"/>
          </w:tcPr>
          <w:p w14:paraId="1B61FB61" w14:textId="77777777" w:rsidR="00C37DE1" w:rsidRPr="00074D4C" w:rsidRDefault="00C37DE1" w:rsidP="00C85C26">
            <w:pPr>
              <w:pStyle w:val="TableParagraph"/>
              <w:jc w:val="right"/>
              <w:rPr>
                <w:noProof/>
                <w:sz w:val="24"/>
                <w:szCs w:val="24"/>
              </w:rPr>
            </w:pPr>
            <w:r>
              <w:rPr>
                <w:sz w:val="24"/>
                <w:vertAlign w:val="superscript"/>
              </w:rPr>
              <w:t>[84]</w:t>
            </w:r>
          </w:p>
        </w:tc>
      </w:tr>
      <w:tr w:rsidR="00C37DE1" w:rsidRPr="00074D4C" w14:paraId="18554072" w14:textId="77777777" w:rsidTr="00CB0214">
        <w:trPr>
          <w:trHeight w:val="492"/>
        </w:trPr>
        <w:tc>
          <w:tcPr>
            <w:tcW w:w="4681" w:type="pct"/>
          </w:tcPr>
          <w:p w14:paraId="1C17E74C" w14:textId="77777777" w:rsidR="00C37DE1" w:rsidRPr="00074D4C" w:rsidRDefault="00C37DE1" w:rsidP="00CB0214">
            <w:pPr>
              <w:pStyle w:val="TableParagraph"/>
              <w:ind w:left="142"/>
              <w:rPr>
                <w:noProof/>
                <w:sz w:val="24"/>
                <w:szCs w:val="24"/>
              </w:rPr>
            </w:pPr>
            <w:r>
              <w:rPr>
                <w:sz w:val="24"/>
              </w:rPr>
              <w:t xml:space="preserve">OECD (2016), </w:t>
            </w:r>
            <w:r>
              <w:rPr>
                <w:i/>
                <w:sz w:val="24"/>
              </w:rPr>
              <w:t>OECD Economic Surveys: Indonesia 2016</w:t>
            </w:r>
            <w:r>
              <w:rPr>
                <w:sz w:val="24"/>
              </w:rPr>
              <w:t>, OECD Publishing.</w:t>
            </w:r>
          </w:p>
        </w:tc>
        <w:tc>
          <w:tcPr>
            <w:tcW w:w="319" w:type="pct"/>
          </w:tcPr>
          <w:p w14:paraId="5C112214" w14:textId="77777777" w:rsidR="00C37DE1" w:rsidRPr="00074D4C" w:rsidRDefault="00C37DE1" w:rsidP="00C85C26">
            <w:pPr>
              <w:pStyle w:val="TableParagraph"/>
              <w:jc w:val="right"/>
              <w:rPr>
                <w:noProof/>
                <w:sz w:val="24"/>
                <w:szCs w:val="24"/>
              </w:rPr>
            </w:pPr>
            <w:r>
              <w:rPr>
                <w:sz w:val="24"/>
                <w:vertAlign w:val="superscript"/>
              </w:rPr>
              <w:t>[92]</w:t>
            </w:r>
          </w:p>
        </w:tc>
      </w:tr>
      <w:tr w:rsidR="00C37DE1" w:rsidRPr="00074D4C" w14:paraId="0E151739" w14:textId="77777777" w:rsidTr="00CB0214">
        <w:trPr>
          <w:trHeight w:val="746"/>
        </w:trPr>
        <w:tc>
          <w:tcPr>
            <w:tcW w:w="4681" w:type="pct"/>
          </w:tcPr>
          <w:p w14:paraId="19960D77" w14:textId="77777777" w:rsidR="00C37DE1" w:rsidRPr="00074D4C" w:rsidRDefault="00C37DE1" w:rsidP="00CB0214">
            <w:pPr>
              <w:pStyle w:val="TableParagraph"/>
              <w:ind w:left="142"/>
              <w:rPr>
                <w:noProof/>
                <w:sz w:val="24"/>
                <w:szCs w:val="24"/>
              </w:rPr>
            </w:pPr>
            <w:r>
              <w:rPr>
                <w:sz w:val="24"/>
              </w:rPr>
              <w:t xml:space="preserve">OECD (2016), </w:t>
            </w:r>
            <w:r>
              <w:rPr>
                <w:i/>
                <w:sz w:val="24"/>
              </w:rPr>
              <w:t>OECD Economic Surveys: Norway 2016</w:t>
            </w:r>
            <w:r>
              <w:rPr>
                <w:sz w:val="24"/>
              </w:rPr>
              <w:t>, OECD Publishing, Paris, https://dx.doi.org/10.1787/eco_surveys-nor-2016-en.</w:t>
            </w:r>
          </w:p>
        </w:tc>
        <w:tc>
          <w:tcPr>
            <w:tcW w:w="319" w:type="pct"/>
          </w:tcPr>
          <w:p w14:paraId="2C8F3C9D" w14:textId="77777777" w:rsidR="00C37DE1" w:rsidRPr="00074D4C" w:rsidRDefault="00C37DE1" w:rsidP="00C85C26">
            <w:pPr>
              <w:pStyle w:val="TableParagraph"/>
              <w:jc w:val="right"/>
              <w:rPr>
                <w:noProof/>
                <w:sz w:val="24"/>
                <w:szCs w:val="24"/>
              </w:rPr>
            </w:pPr>
            <w:r>
              <w:rPr>
                <w:sz w:val="24"/>
                <w:vertAlign w:val="superscript"/>
              </w:rPr>
              <w:t>[30]</w:t>
            </w:r>
          </w:p>
        </w:tc>
      </w:tr>
      <w:tr w:rsidR="00C37DE1" w:rsidRPr="00074D4C" w14:paraId="6B1F9160" w14:textId="77777777" w:rsidTr="00811D9B">
        <w:trPr>
          <w:trHeight w:val="364"/>
        </w:trPr>
        <w:tc>
          <w:tcPr>
            <w:tcW w:w="4681" w:type="pct"/>
          </w:tcPr>
          <w:p w14:paraId="5A28A46C" w14:textId="77777777" w:rsidR="00C37DE1" w:rsidRPr="00074D4C" w:rsidRDefault="00C37DE1" w:rsidP="00CB0214">
            <w:pPr>
              <w:pStyle w:val="TableParagraph"/>
              <w:ind w:left="142"/>
              <w:rPr>
                <w:noProof/>
                <w:sz w:val="24"/>
                <w:szCs w:val="24"/>
              </w:rPr>
            </w:pPr>
            <w:r>
              <w:rPr>
                <w:sz w:val="24"/>
              </w:rPr>
              <w:t xml:space="preserve">OECD (2015), </w:t>
            </w:r>
            <w:r>
              <w:rPr>
                <w:i/>
                <w:sz w:val="24"/>
              </w:rPr>
              <w:t>Government at a Glance 2015</w:t>
            </w:r>
            <w:r>
              <w:rPr>
                <w:sz w:val="24"/>
              </w:rPr>
              <w:t>, OECD Publishing.</w:t>
            </w:r>
          </w:p>
        </w:tc>
        <w:tc>
          <w:tcPr>
            <w:tcW w:w="319" w:type="pct"/>
          </w:tcPr>
          <w:p w14:paraId="64389E58" w14:textId="77777777" w:rsidR="00C37DE1" w:rsidRPr="00074D4C" w:rsidRDefault="00C37DE1" w:rsidP="00C85C26">
            <w:pPr>
              <w:pStyle w:val="TableParagraph"/>
              <w:jc w:val="right"/>
              <w:rPr>
                <w:noProof/>
                <w:sz w:val="24"/>
                <w:szCs w:val="24"/>
              </w:rPr>
            </w:pPr>
            <w:r>
              <w:rPr>
                <w:sz w:val="24"/>
                <w:vertAlign w:val="superscript"/>
              </w:rPr>
              <w:t>[87]</w:t>
            </w:r>
          </w:p>
        </w:tc>
      </w:tr>
      <w:tr w:rsidR="00C37DE1" w:rsidRPr="00074D4C" w14:paraId="1E533D3A" w14:textId="77777777" w:rsidTr="00CB0214">
        <w:trPr>
          <w:trHeight w:val="746"/>
        </w:trPr>
        <w:tc>
          <w:tcPr>
            <w:tcW w:w="4681" w:type="pct"/>
          </w:tcPr>
          <w:p w14:paraId="3518EFEF" w14:textId="77777777" w:rsidR="00C37DE1" w:rsidRPr="00074D4C" w:rsidRDefault="00C37DE1" w:rsidP="00CB0214">
            <w:pPr>
              <w:pStyle w:val="TableParagraph"/>
              <w:ind w:left="142"/>
              <w:rPr>
                <w:noProof/>
                <w:sz w:val="24"/>
                <w:szCs w:val="24"/>
              </w:rPr>
            </w:pPr>
            <w:r>
              <w:rPr>
                <w:sz w:val="24"/>
              </w:rPr>
              <w:t xml:space="preserve">OECD (2015), </w:t>
            </w:r>
            <w:r>
              <w:rPr>
                <w:i/>
                <w:sz w:val="24"/>
              </w:rPr>
              <w:t>OECD Economic Surveys: Belgium 2015</w:t>
            </w:r>
            <w:r>
              <w:rPr>
                <w:sz w:val="24"/>
              </w:rPr>
              <w:t>, OECD Publishing, Paris, https://dx.doi.org/10.1787/eco_surveys-bel-2015-en.</w:t>
            </w:r>
          </w:p>
        </w:tc>
        <w:tc>
          <w:tcPr>
            <w:tcW w:w="319" w:type="pct"/>
          </w:tcPr>
          <w:p w14:paraId="18B97892" w14:textId="77777777" w:rsidR="00C37DE1" w:rsidRPr="00074D4C" w:rsidRDefault="00C37DE1" w:rsidP="00C85C26">
            <w:pPr>
              <w:pStyle w:val="TableParagraph"/>
              <w:jc w:val="right"/>
              <w:rPr>
                <w:noProof/>
                <w:sz w:val="24"/>
                <w:szCs w:val="24"/>
              </w:rPr>
            </w:pPr>
            <w:r>
              <w:rPr>
                <w:sz w:val="24"/>
                <w:vertAlign w:val="superscript"/>
              </w:rPr>
              <w:t>[43]</w:t>
            </w:r>
          </w:p>
        </w:tc>
      </w:tr>
      <w:tr w:rsidR="00C37DE1" w:rsidRPr="00074D4C" w14:paraId="28DA1766" w14:textId="77777777" w:rsidTr="00CB0214">
        <w:trPr>
          <w:trHeight w:val="370"/>
        </w:trPr>
        <w:tc>
          <w:tcPr>
            <w:tcW w:w="4681" w:type="pct"/>
          </w:tcPr>
          <w:p w14:paraId="7A6098C8" w14:textId="77777777" w:rsidR="00C37DE1" w:rsidRPr="00074D4C" w:rsidRDefault="00C37DE1" w:rsidP="00CB0214">
            <w:pPr>
              <w:pStyle w:val="TableParagraph"/>
              <w:ind w:left="142"/>
              <w:rPr>
                <w:noProof/>
                <w:sz w:val="24"/>
                <w:szCs w:val="24"/>
              </w:rPr>
            </w:pPr>
            <w:r>
              <w:rPr>
                <w:sz w:val="24"/>
              </w:rPr>
              <w:t xml:space="preserve">OECD (2015), </w:t>
            </w:r>
            <w:r>
              <w:rPr>
                <w:i/>
                <w:sz w:val="24"/>
              </w:rPr>
              <w:t>OECD Economic Surveys: France 2015</w:t>
            </w:r>
            <w:r>
              <w:rPr>
                <w:sz w:val="24"/>
              </w:rPr>
              <w:t>, OECD Publishing.</w:t>
            </w:r>
          </w:p>
        </w:tc>
        <w:tc>
          <w:tcPr>
            <w:tcW w:w="319" w:type="pct"/>
          </w:tcPr>
          <w:p w14:paraId="66D23221" w14:textId="77777777" w:rsidR="00C37DE1" w:rsidRPr="00074D4C" w:rsidRDefault="00C37DE1" w:rsidP="00C85C26">
            <w:pPr>
              <w:pStyle w:val="TableParagraph"/>
              <w:jc w:val="right"/>
              <w:rPr>
                <w:noProof/>
                <w:sz w:val="24"/>
                <w:szCs w:val="24"/>
              </w:rPr>
            </w:pPr>
            <w:r>
              <w:rPr>
                <w:sz w:val="24"/>
                <w:vertAlign w:val="superscript"/>
              </w:rPr>
              <w:t>[61]</w:t>
            </w:r>
          </w:p>
        </w:tc>
      </w:tr>
      <w:tr w:rsidR="00C37DE1" w:rsidRPr="00074D4C" w14:paraId="5CB9505B" w14:textId="77777777" w:rsidTr="00CB0214">
        <w:trPr>
          <w:trHeight w:val="368"/>
        </w:trPr>
        <w:tc>
          <w:tcPr>
            <w:tcW w:w="4681" w:type="pct"/>
          </w:tcPr>
          <w:p w14:paraId="3DC50395" w14:textId="77777777" w:rsidR="00C37DE1" w:rsidRPr="00074D4C" w:rsidRDefault="00C37DE1" w:rsidP="00CB0214">
            <w:pPr>
              <w:pStyle w:val="TableParagraph"/>
              <w:ind w:left="142"/>
              <w:rPr>
                <w:noProof/>
                <w:sz w:val="24"/>
                <w:szCs w:val="24"/>
              </w:rPr>
            </w:pPr>
            <w:r>
              <w:rPr>
                <w:sz w:val="24"/>
              </w:rPr>
              <w:t xml:space="preserve">OECD (2015), </w:t>
            </w:r>
            <w:r>
              <w:rPr>
                <w:i/>
                <w:sz w:val="24"/>
              </w:rPr>
              <w:t>OECD Economic Surveys: Italy 2015</w:t>
            </w:r>
            <w:r>
              <w:rPr>
                <w:sz w:val="24"/>
              </w:rPr>
              <w:t>, OECD Publishing.</w:t>
            </w:r>
          </w:p>
        </w:tc>
        <w:tc>
          <w:tcPr>
            <w:tcW w:w="319" w:type="pct"/>
          </w:tcPr>
          <w:p w14:paraId="4A273216" w14:textId="77777777" w:rsidR="00C37DE1" w:rsidRPr="00074D4C" w:rsidRDefault="00C37DE1" w:rsidP="00C85C26">
            <w:pPr>
              <w:pStyle w:val="TableParagraph"/>
              <w:jc w:val="right"/>
              <w:rPr>
                <w:noProof/>
                <w:sz w:val="24"/>
                <w:szCs w:val="24"/>
              </w:rPr>
            </w:pPr>
            <w:r>
              <w:rPr>
                <w:sz w:val="24"/>
                <w:vertAlign w:val="superscript"/>
              </w:rPr>
              <w:t>[85]</w:t>
            </w:r>
          </w:p>
        </w:tc>
      </w:tr>
      <w:tr w:rsidR="00C37DE1" w:rsidRPr="00074D4C" w14:paraId="4BCF642E" w14:textId="77777777" w:rsidTr="00CB0214">
        <w:trPr>
          <w:trHeight w:val="494"/>
        </w:trPr>
        <w:tc>
          <w:tcPr>
            <w:tcW w:w="4681" w:type="pct"/>
          </w:tcPr>
          <w:p w14:paraId="4C4C8F25" w14:textId="77777777" w:rsidR="00C37DE1" w:rsidRPr="00074D4C" w:rsidRDefault="00C37DE1" w:rsidP="00CB0214">
            <w:pPr>
              <w:pStyle w:val="TableParagraph"/>
              <w:ind w:left="142"/>
              <w:rPr>
                <w:noProof/>
                <w:sz w:val="24"/>
                <w:szCs w:val="24"/>
              </w:rPr>
            </w:pPr>
            <w:r>
              <w:rPr>
                <w:sz w:val="24"/>
              </w:rPr>
              <w:t xml:space="preserve">OECD (2015), </w:t>
            </w:r>
            <w:r>
              <w:rPr>
                <w:i/>
                <w:sz w:val="24"/>
              </w:rPr>
              <w:t>OECD Economic Surveys: Switzerland 2015</w:t>
            </w:r>
            <w:r>
              <w:rPr>
                <w:sz w:val="24"/>
              </w:rPr>
              <w:t>, OECD Publishing.</w:t>
            </w:r>
          </w:p>
        </w:tc>
        <w:tc>
          <w:tcPr>
            <w:tcW w:w="319" w:type="pct"/>
          </w:tcPr>
          <w:p w14:paraId="301C6159" w14:textId="77777777" w:rsidR="00C37DE1" w:rsidRPr="00074D4C" w:rsidRDefault="00C37DE1" w:rsidP="00C85C26">
            <w:pPr>
              <w:pStyle w:val="TableParagraph"/>
              <w:jc w:val="right"/>
              <w:rPr>
                <w:noProof/>
                <w:sz w:val="24"/>
                <w:szCs w:val="24"/>
              </w:rPr>
            </w:pPr>
            <w:r>
              <w:rPr>
                <w:sz w:val="24"/>
                <w:vertAlign w:val="superscript"/>
              </w:rPr>
              <w:t>[56]</w:t>
            </w:r>
          </w:p>
        </w:tc>
      </w:tr>
      <w:tr w:rsidR="00C37DE1" w:rsidRPr="00074D4C" w14:paraId="5E032533" w14:textId="77777777" w:rsidTr="00CB0214">
        <w:trPr>
          <w:trHeight w:val="491"/>
        </w:trPr>
        <w:tc>
          <w:tcPr>
            <w:tcW w:w="4681" w:type="pct"/>
          </w:tcPr>
          <w:p w14:paraId="6E43122C" w14:textId="77777777" w:rsidR="00C37DE1" w:rsidRPr="00074D4C" w:rsidRDefault="00C37DE1" w:rsidP="00CB0214">
            <w:pPr>
              <w:pStyle w:val="TableParagraph"/>
              <w:ind w:left="142"/>
              <w:rPr>
                <w:noProof/>
                <w:sz w:val="24"/>
                <w:szCs w:val="24"/>
              </w:rPr>
            </w:pPr>
            <w:r>
              <w:rPr>
                <w:sz w:val="24"/>
              </w:rPr>
              <w:t xml:space="preserve">OECD (2014), </w:t>
            </w:r>
            <w:r>
              <w:rPr>
                <w:i/>
                <w:sz w:val="24"/>
              </w:rPr>
              <w:t>OECD Economic Surveys: Australia 2014</w:t>
            </w:r>
            <w:r>
              <w:rPr>
                <w:sz w:val="24"/>
              </w:rPr>
              <w:t>, OECD Publishing.</w:t>
            </w:r>
          </w:p>
        </w:tc>
        <w:tc>
          <w:tcPr>
            <w:tcW w:w="319" w:type="pct"/>
          </w:tcPr>
          <w:p w14:paraId="1E1D1D8B" w14:textId="77777777" w:rsidR="00C37DE1" w:rsidRPr="00074D4C" w:rsidRDefault="00C37DE1" w:rsidP="00C85C26">
            <w:pPr>
              <w:pStyle w:val="TableParagraph"/>
              <w:jc w:val="right"/>
              <w:rPr>
                <w:noProof/>
                <w:sz w:val="24"/>
                <w:szCs w:val="24"/>
              </w:rPr>
            </w:pPr>
            <w:r>
              <w:rPr>
                <w:sz w:val="24"/>
                <w:vertAlign w:val="superscript"/>
              </w:rPr>
              <w:t>[59]</w:t>
            </w:r>
          </w:p>
        </w:tc>
      </w:tr>
      <w:tr w:rsidR="00C37DE1" w:rsidRPr="00074D4C" w14:paraId="3536AF36" w14:textId="77777777" w:rsidTr="00CB0214">
        <w:trPr>
          <w:trHeight w:val="492"/>
        </w:trPr>
        <w:tc>
          <w:tcPr>
            <w:tcW w:w="4681" w:type="pct"/>
          </w:tcPr>
          <w:p w14:paraId="39B70F36" w14:textId="77777777" w:rsidR="00C37DE1" w:rsidRPr="00074D4C" w:rsidRDefault="00C37DE1" w:rsidP="00CB0214">
            <w:pPr>
              <w:pStyle w:val="TableParagraph"/>
              <w:ind w:left="142"/>
              <w:rPr>
                <w:noProof/>
                <w:sz w:val="24"/>
                <w:szCs w:val="24"/>
              </w:rPr>
            </w:pPr>
            <w:r>
              <w:rPr>
                <w:sz w:val="24"/>
              </w:rPr>
              <w:t xml:space="preserve">OECD (2014), </w:t>
            </w:r>
            <w:r>
              <w:rPr>
                <w:i/>
                <w:sz w:val="24"/>
              </w:rPr>
              <w:t>OECD Economic Surveys: Canada 2014</w:t>
            </w:r>
            <w:r>
              <w:rPr>
                <w:sz w:val="24"/>
              </w:rPr>
              <w:t>, OECD Publishing.</w:t>
            </w:r>
          </w:p>
        </w:tc>
        <w:tc>
          <w:tcPr>
            <w:tcW w:w="319" w:type="pct"/>
          </w:tcPr>
          <w:p w14:paraId="3ECF63DB" w14:textId="77777777" w:rsidR="00C37DE1" w:rsidRPr="00074D4C" w:rsidRDefault="00C37DE1" w:rsidP="00C85C26">
            <w:pPr>
              <w:pStyle w:val="TableParagraph"/>
              <w:jc w:val="right"/>
              <w:rPr>
                <w:noProof/>
                <w:sz w:val="24"/>
                <w:szCs w:val="24"/>
              </w:rPr>
            </w:pPr>
            <w:r>
              <w:rPr>
                <w:sz w:val="24"/>
                <w:vertAlign w:val="superscript"/>
              </w:rPr>
              <w:t>[81]</w:t>
            </w:r>
          </w:p>
        </w:tc>
      </w:tr>
      <w:tr w:rsidR="00C37DE1" w:rsidRPr="00074D4C" w14:paraId="6529AA43" w14:textId="77777777" w:rsidTr="00CB0214">
        <w:trPr>
          <w:trHeight w:val="494"/>
        </w:trPr>
        <w:tc>
          <w:tcPr>
            <w:tcW w:w="4681" w:type="pct"/>
          </w:tcPr>
          <w:p w14:paraId="0DEC7E9D" w14:textId="77777777" w:rsidR="00C37DE1" w:rsidRPr="00074D4C" w:rsidRDefault="00C37DE1" w:rsidP="00CB0214">
            <w:pPr>
              <w:pStyle w:val="TableParagraph"/>
              <w:ind w:left="142"/>
              <w:rPr>
                <w:noProof/>
                <w:sz w:val="24"/>
                <w:szCs w:val="24"/>
              </w:rPr>
            </w:pPr>
            <w:r>
              <w:rPr>
                <w:sz w:val="24"/>
              </w:rPr>
              <w:t xml:space="preserve">OECD (2014), </w:t>
            </w:r>
            <w:r>
              <w:rPr>
                <w:i/>
                <w:sz w:val="24"/>
              </w:rPr>
              <w:t>OECD Economic Surveys: Denmark 2014</w:t>
            </w:r>
            <w:r>
              <w:rPr>
                <w:sz w:val="24"/>
              </w:rPr>
              <w:t>, OECD Publishing.</w:t>
            </w:r>
          </w:p>
        </w:tc>
        <w:tc>
          <w:tcPr>
            <w:tcW w:w="319" w:type="pct"/>
          </w:tcPr>
          <w:p w14:paraId="44C21843" w14:textId="77777777" w:rsidR="00C37DE1" w:rsidRPr="00074D4C" w:rsidRDefault="00C37DE1" w:rsidP="00C85C26">
            <w:pPr>
              <w:pStyle w:val="TableParagraph"/>
              <w:jc w:val="right"/>
              <w:rPr>
                <w:noProof/>
                <w:sz w:val="24"/>
                <w:szCs w:val="24"/>
              </w:rPr>
            </w:pPr>
            <w:r>
              <w:rPr>
                <w:sz w:val="24"/>
                <w:vertAlign w:val="superscript"/>
              </w:rPr>
              <w:t>[39]</w:t>
            </w:r>
          </w:p>
        </w:tc>
      </w:tr>
      <w:tr w:rsidR="00C37DE1" w:rsidRPr="00074D4C" w14:paraId="1FF61E9F" w14:textId="77777777" w:rsidTr="00CB0214">
        <w:trPr>
          <w:trHeight w:val="492"/>
        </w:trPr>
        <w:tc>
          <w:tcPr>
            <w:tcW w:w="4681" w:type="pct"/>
          </w:tcPr>
          <w:p w14:paraId="0A75CA13" w14:textId="77777777" w:rsidR="00C37DE1" w:rsidRPr="00074D4C" w:rsidRDefault="00C37DE1" w:rsidP="00CB0214">
            <w:pPr>
              <w:pStyle w:val="TableParagraph"/>
              <w:ind w:left="142"/>
              <w:rPr>
                <w:noProof/>
                <w:sz w:val="24"/>
                <w:szCs w:val="24"/>
              </w:rPr>
            </w:pPr>
            <w:r>
              <w:rPr>
                <w:sz w:val="24"/>
              </w:rPr>
              <w:lastRenderedPageBreak/>
              <w:t xml:space="preserve">OECD (2014), </w:t>
            </w:r>
            <w:r>
              <w:rPr>
                <w:i/>
                <w:sz w:val="24"/>
              </w:rPr>
              <w:t>OECD Economic Surveys: Finland 2014</w:t>
            </w:r>
            <w:r>
              <w:rPr>
                <w:sz w:val="24"/>
              </w:rPr>
              <w:t>, OECD Publishing.</w:t>
            </w:r>
          </w:p>
        </w:tc>
        <w:tc>
          <w:tcPr>
            <w:tcW w:w="319" w:type="pct"/>
          </w:tcPr>
          <w:p w14:paraId="63D5E66F" w14:textId="77777777" w:rsidR="00C37DE1" w:rsidRPr="00074D4C" w:rsidRDefault="00C37DE1" w:rsidP="00C85C26">
            <w:pPr>
              <w:pStyle w:val="TableParagraph"/>
              <w:jc w:val="right"/>
              <w:rPr>
                <w:noProof/>
                <w:sz w:val="24"/>
                <w:szCs w:val="24"/>
              </w:rPr>
            </w:pPr>
            <w:r>
              <w:rPr>
                <w:sz w:val="24"/>
                <w:vertAlign w:val="superscript"/>
              </w:rPr>
              <w:t>[38]</w:t>
            </w:r>
          </w:p>
        </w:tc>
      </w:tr>
      <w:tr w:rsidR="00C37DE1" w:rsidRPr="00074D4C" w14:paraId="0AEBC5C7" w14:textId="77777777" w:rsidTr="00CB0214">
        <w:trPr>
          <w:trHeight w:val="494"/>
        </w:trPr>
        <w:tc>
          <w:tcPr>
            <w:tcW w:w="4681" w:type="pct"/>
          </w:tcPr>
          <w:p w14:paraId="40017BA0" w14:textId="77777777" w:rsidR="00C37DE1" w:rsidRPr="00074D4C" w:rsidRDefault="00C37DE1" w:rsidP="00CB0214">
            <w:pPr>
              <w:pStyle w:val="TableParagraph"/>
              <w:ind w:left="142"/>
              <w:rPr>
                <w:noProof/>
                <w:sz w:val="24"/>
                <w:szCs w:val="24"/>
              </w:rPr>
            </w:pPr>
            <w:r>
              <w:rPr>
                <w:sz w:val="24"/>
              </w:rPr>
              <w:t xml:space="preserve">OECD (2014), </w:t>
            </w:r>
            <w:r>
              <w:rPr>
                <w:i/>
                <w:sz w:val="24"/>
              </w:rPr>
              <w:t>OECD Economic Surveys: Spain</w:t>
            </w:r>
            <w:r>
              <w:rPr>
                <w:sz w:val="24"/>
              </w:rPr>
              <w:t>, OECD Publishing.</w:t>
            </w:r>
          </w:p>
        </w:tc>
        <w:tc>
          <w:tcPr>
            <w:tcW w:w="319" w:type="pct"/>
          </w:tcPr>
          <w:p w14:paraId="13F07601" w14:textId="77777777" w:rsidR="00C37DE1" w:rsidRPr="00074D4C" w:rsidRDefault="00C37DE1" w:rsidP="00C85C26">
            <w:pPr>
              <w:pStyle w:val="TableParagraph"/>
              <w:jc w:val="right"/>
              <w:rPr>
                <w:noProof/>
                <w:sz w:val="24"/>
                <w:szCs w:val="24"/>
              </w:rPr>
            </w:pPr>
            <w:r>
              <w:rPr>
                <w:sz w:val="24"/>
                <w:vertAlign w:val="superscript"/>
              </w:rPr>
              <w:t>[63]</w:t>
            </w:r>
          </w:p>
        </w:tc>
      </w:tr>
      <w:tr w:rsidR="00C37DE1" w:rsidRPr="00074D4C" w14:paraId="340F1084" w14:textId="77777777" w:rsidTr="00CB0214">
        <w:trPr>
          <w:trHeight w:val="744"/>
        </w:trPr>
        <w:tc>
          <w:tcPr>
            <w:tcW w:w="4681" w:type="pct"/>
          </w:tcPr>
          <w:p w14:paraId="120F2CBA" w14:textId="77777777" w:rsidR="00C37DE1" w:rsidRPr="00074D4C" w:rsidRDefault="00C37DE1" w:rsidP="00CB0214">
            <w:pPr>
              <w:pStyle w:val="TableParagraph"/>
              <w:ind w:left="142"/>
              <w:rPr>
                <w:noProof/>
                <w:sz w:val="24"/>
                <w:szCs w:val="24"/>
              </w:rPr>
            </w:pPr>
            <w:r>
              <w:rPr>
                <w:sz w:val="24"/>
              </w:rPr>
              <w:t xml:space="preserve">OECD (2014), </w:t>
            </w:r>
            <w:r>
              <w:rPr>
                <w:i/>
                <w:sz w:val="24"/>
              </w:rPr>
              <w:t>Recommendation of the Council on Effective Public Investment Across Levels of Government</w:t>
            </w:r>
            <w:r>
              <w:rPr>
                <w:sz w:val="24"/>
              </w:rPr>
              <w:t>, OECD Publishing.</w:t>
            </w:r>
          </w:p>
        </w:tc>
        <w:tc>
          <w:tcPr>
            <w:tcW w:w="319" w:type="pct"/>
          </w:tcPr>
          <w:p w14:paraId="6B338F58" w14:textId="77777777" w:rsidR="00C37DE1" w:rsidRPr="00074D4C" w:rsidRDefault="00C37DE1" w:rsidP="00C85C26">
            <w:pPr>
              <w:pStyle w:val="TableParagraph"/>
              <w:jc w:val="right"/>
              <w:rPr>
                <w:noProof/>
                <w:sz w:val="24"/>
                <w:szCs w:val="24"/>
              </w:rPr>
            </w:pPr>
            <w:r>
              <w:rPr>
                <w:sz w:val="24"/>
                <w:vertAlign w:val="superscript"/>
              </w:rPr>
              <w:t>[79]</w:t>
            </w:r>
          </w:p>
        </w:tc>
      </w:tr>
      <w:tr w:rsidR="00C37DE1" w:rsidRPr="00074D4C" w14:paraId="628A1CC0" w14:textId="77777777" w:rsidTr="00CB0214">
        <w:trPr>
          <w:trHeight w:val="1000"/>
        </w:trPr>
        <w:tc>
          <w:tcPr>
            <w:tcW w:w="4681" w:type="pct"/>
          </w:tcPr>
          <w:p w14:paraId="40F96102" w14:textId="77777777" w:rsidR="00C37DE1" w:rsidRPr="00811D9B" w:rsidRDefault="00C37DE1" w:rsidP="00CB0214">
            <w:pPr>
              <w:pStyle w:val="TableParagraph"/>
              <w:ind w:left="142"/>
              <w:rPr>
                <w:noProof/>
                <w:sz w:val="24"/>
                <w:szCs w:val="24"/>
              </w:rPr>
            </w:pPr>
            <w:r>
              <w:rPr>
                <w:sz w:val="24"/>
              </w:rPr>
              <w:t xml:space="preserve">OECD (2013), “Fiscal equalisation: A key to decentralised public finances”, in </w:t>
            </w:r>
            <w:r>
              <w:rPr>
                <w:i/>
                <w:sz w:val="24"/>
              </w:rPr>
              <w:t>Fiscal Federalism 2014: Making Decentralisation Work</w:t>
            </w:r>
            <w:r>
              <w:rPr>
                <w:sz w:val="24"/>
              </w:rPr>
              <w:t>, OECD Publishing, Paris, https://dx.doi.org/10.1787/9789264204577-7-en.</w:t>
            </w:r>
          </w:p>
        </w:tc>
        <w:tc>
          <w:tcPr>
            <w:tcW w:w="319" w:type="pct"/>
          </w:tcPr>
          <w:p w14:paraId="3A0B6763" w14:textId="77777777" w:rsidR="00C37DE1" w:rsidRPr="00074D4C" w:rsidRDefault="00C37DE1" w:rsidP="00C85C26">
            <w:pPr>
              <w:pStyle w:val="TableParagraph"/>
              <w:jc w:val="right"/>
              <w:rPr>
                <w:noProof/>
                <w:sz w:val="24"/>
                <w:szCs w:val="24"/>
              </w:rPr>
            </w:pPr>
            <w:r>
              <w:rPr>
                <w:sz w:val="24"/>
                <w:vertAlign w:val="superscript"/>
              </w:rPr>
              <w:t>[54]</w:t>
            </w:r>
          </w:p>
        </w:tc>
      </w:tr>
      <w:tr w:rsidR="00C37DE1" w:rsidRPr="00074D4C" w14:paraId="3D5AD6E5" w14:textId="77777777" w:rsidTr="00CB0214">
        <w:trPr>
          <w:trHeight w:val="745"/>
        </w:trPr>
        <w:tc>
          <w:tcPr>
            <w:tcW w:w="4681" w:type="pct"/>
          </w:tcPr>
          <w:p w14:paraId="677DDF25" w14:textId="77777777" w:rsidR="00C37DE1" w:rsidRPr="00811D9B" w:rsidRDefault="00C37DE1" w:rsidP="00CB0214">
            <w:pPr>
              <w:pStyle w:val="TableParagraph"/>
              <w:ind w:left="142"/>
              <w:rPr>
                <w:noProof/>
                <w:sz w:val="24"/>
                <w:szCs w:val="24"/>
              </w:rPr>
            </w:pPr>
            <w:r>
              <w:rPr>
                <w:sz w:val="24"/>
              </w:rPr>
              <w:t xml:space="preserve">OECD (2013), </w:t>
            </w:r>
            <w:r>
              <w:rPr>
                <w:i/>
                <w:sz w:val="24"/>
              </w:rPr>
              <w:t>Fiscal Federalism 2014: Making Decentralisation Work</w:t>
            </w:r>
            <w:r>
              <w:rPr>
                <w:sz w:val="24"/>
              </w:rPr>
              <w:t>, OECD Publishing, Paris, https://dx.doi.org/10.1787/9789264204577-en.</w:t>
            </w:r>
          </w:p>
        </w:tc>
        <w:tc>
          <w:tcPr>
            <w:tcW w:w="319" w:type="pct"/>
          </w:tcPr>
          <w:p w14:paraId="62E66FC5" w14:textId="77777777" w:rsidR="00C37DE1" w:rsidRPr="00074D4C" w:rsidRDefault="00C37DE1" w:rsidP="00C85C26">
            <w:pPr>
              <w:pStyle w:val="TableParagraph"/>
              <w:jc w:val="right"/>
              <w:rPr>
                <w:noProof/>
                <w:sz w:val="24"/>
                <w:szCs w:val="24"/>
              </w:rPr>
            </w:pPr>
            <w:r>
              <w:rPr>
                <w:sz w:val="24"/>
                <w:vertAlign w:val="superscript"/>
              </w:rPr>
              <w:t>[3]</w:t>
            </w:r>
          </w:p>
        </w:tc>
      </w:tr>
      <w:tr w:rsidR="00C37DE1" w:rsidRPr="00074D4C" w14:paraId="16388A62" w14:textId="77777777" w:rsidTr="00CB0214">
        <w:trPr>
          <w:trHeight w:val="493"/>
        </w:trPr>
        <w:tc>
          <w:tcPr>
            <w:tcW w:w="4681" w:type="pct"/>
          </w:tcPr>
          <w:p w14:paraId="60F2F278" w14:textId="77777777" w:rsidR="00C37DE1" w:rsidRPr="00811D9B" w:rsidRDefault="00C37DE1" w:rsidP="00CB0214">
            <w:pPr>
              <w:pStyle w:val="TableParagraph"/>
              <w:ind w:left="142"/>
              <w:rPr>
                <w:noProof/>
                <w:sz w:val="24"/>
                <w:szCs w:val="24"/>
              </w:rPr>
            </w:pPr>
            <w:r>
              <w:rPr>
                <w:sz w:val="24"/>
              </w:rPr>
              <w:t xml:space="preserve">OECD (2013), </w:t>
            </w:r>
            <w:r>
              <w:rPr>
                <w:i/>
                <w:sz w:val="24"/>
              </w:rPr>
              <w:t>OECD Economic Surveys: Mexico 2013</w:t>
            </w:r>
            <w:r>
              <w:rPr>
                <w:sz w:val="24"/>
              </w:rPr>
              <w:t>, OECD Publishing.</w:t>
            </w:r>
          </w:p>
        </w:tc>
        <w:tc>
          <w:tcPr>
            <w:tcW w:w="319" w:type="pct"/>
          </w:tcPr>
          <w:p w14:paraId="634CD948" w14:textId="77777777" w:rsidR="00C37DE1" w:rsidRPr="00074D4C" w:rsidRDefault="00C37DE1" w:rsidP="00C85C26">
            <w:pPr>
              <w:pStyle w:val="TableParagraph"/>
              <w:jc w:val="right"/>
              <w:rPr>
                <w:noProof/>
                <w:sz w:val="24"/>
                <w:szCs w:val="24"/>
              </w:rPr>
            </w:pPr>
            <w:r>
              <w:rPr>
                <w:sz w:val="24"/>
                <w:vertAlign w:val="superscript"/>
              </w:rPr>
              <w:t>[35]</w:t>
            </w:r>
          </w:p>
        </w:tc>
      </w:tr>
      <w:tr w:rsidR="00C37DE1" w:rsidRPr="00074D4C" w14:paraId="0F247FA0" w14:textId="77777777" w:rsidTr="00CB0214">
        <w:trPr>
          <w:trHeight w:val="998"/>
        </w:trPr>
        <w:tc>
          <w:tcPr>
            <w:tcW w:w="4681" w:type="pct"/>
          </w:tcPr>
          <w:p w14:paraId="1221824F" w14:textId="77777777" w:rsidR="00C37DE1" w:rsidRPr="00811D9B" w:rsidRDefault="00C37DE1" w:rsidP="00CB0214">
            <w:pPr>
              <w:pStyle w:val="TableParagraph"/>
              <w:ind w:left="142"/>
              <w:rPr>
                <w:noProof/>
                <w:sz w:val="24"/>
                <w:szCs w:val="24"/>
              </w:rPr>
            </w:pPr>
            <w:r>
              <w:rPr>
                <w:sz w:val="24"/>
              </w:rPr>
              <w:t xml:space="preserve">OECD (2012), “Denmark: The Local Government Reform”, in </w:t>
            </w:r>
            <w:r>
              <w:rPr>
                <w:i/>
                <w:sz w:val="24"/>
              </w:rPr>
              <w:t>Reforming Fiscal Federalism and Local Government: Beyond the Zero-Sum Game</w:t>
            </w:r>
            <w:r>
              <w:rPr>
                <w:sz w:val="24"/>
              </w:rPr>
              <w:t>, OECD Publishing, Paris, https://dx.doi.org/10.1787/9789264119970-8-en.</w:t>
            </w:r>
          </w:p>
        </w:tc>
        <w:tc>
          <w:tcPr>
            <w:tcW w:w="319" w:type="pct"/>
          </w:tcPr>
          <w:p w14:paraId="2A90C6B9" w14:textId="77777777" w:rsidR="00C37DE1" w:rsidRPr="00074D4C" w:rsidRDefault="00C37DE1" w:rsidP="00C85C26">
            <w:pPr>
              <w:pStyle w:val="TableParagraph"/>
              <w:jc w:val="right"/>
              <w:rPr>
                <w:noProof/>
                <w:sz w:val="24"/>
                <w:szCs w:val="24"/>
              </w:rPr>
            </w:pPr>
            <w:r>
              <w:rPr>
                <w:sz w:val="24"/>
                <w:vertAlign w:val="superscript"/>
              </w:rPr>
              <w:t>[69]</w:t>
            </w:r>
          </w:p>
        </w:tc>
      </w:tr>
      <w:tr w:rsidR="00C37DE1" w:rsidRPr="00074D4C" w14:paraId="54EF2CFB" w14:textId="77777777" w:rsidTr="00CB0214">
        <w:trPr>
          <w:trHeight w:val="494"/>
        </w:trPr>
        <w:tc>
          <w:tcPr>
            <w:tcW w:w="4681" w:type="pct"/>
          </w:tcPr>
          <w:p w14:paraId="0640DD7E" w14:textId="77777777" w:rsidR="00C37DE1" w:rsidRPr="00074D4C" w:rsidRDefault="00C37DE1" w:rsidP="00CB0214">
            <w:pPr>
              <w:pStyle w:val="TableParagraph"/>
              <w:ind w:left="142"/>
              <w:rPr>
                <w:noProof/>
                <w:sz w:val="24"/>
                <w:szCs w:val="24"/>
              </w:rPr>
            </w:pPr>
            <w:r>
              <w:rPr>
                <w:sz w:val="24"/>
              </w:rPr>
              <w:t xml:space="preserve">OECD (2012), </w:t>
            </w:r>
            <w:r>
              <w:rPr>
                <w:i/>
                <w:sz w:val="24"/>
              </w:rPr>
              <w:t>OECD Economic Surveys: Denmark 2012</w:t>
            </w:r>
            <w:r>
              <w:rPr>
                <w:sz w:val="24"/>
              </w:rPr>
              <w:t>, OECD Publishing.</w:t>
            </w:r>
          </w:p>
        </w:tc>
        <w:tc>
          <w:tcPr>
            <w:tcW w:w="319" w:type="pct"/>
          </w:tcPr>
          <w:p w14:paraId="017DDF61" w14:textId="77777777" w:rsidR="00C37DE1" w:rsidRPr="00074D4C" w:rsidRDefault="00C37DE1" w:rsidP="00C85C26">
            <w:pPr>
              <w:pStyle w:val="TableParagraph"/>
              <w:jc w:val="right"/>
              <w:rPr>
                <w:noProof/>
                <w:sz w:val="24"/>
                <w:szCs w:val="24"/>
              </w:rPr>
            </w:pPr>
            <w:r>
              <w:rPr>
                <w:sz w:val="24"/>
                <w:vertAlign w:val="superscript"/>
              </w:rPr>
              <w:t>[40]</w:t>
            </w:r>
          </w:p>
        </w:tc>
      </w:tr>
      <w:tr w:rsidR="00C37DE1" w:rsidRPr="00074D4C" w14:paraId="49A6EBB2" w14:textId="77777777" w:rsidTr="00CB0214">
        <w:trPr>
          <w:trHeight w:val="491"/>
        </w:trPr>
        <w:tc>
          <w:tcPr>
            <w:tcW w:w="4681" w:type="pct"/>
          </w:tcPr>
          <w:p w14:paraId="769D817B" w14:textId="77777777" w:rsidR="00C37DE1" w:rsidRPr="00074D4C" w:rsidRDefault="00C37DE1" w:rsidP="00CB0214">
            <w:pPr>
              <w:pStyle w:val="TableParagraph"/>
              <w:ind w:left="142"/>
              <w:rPr>
                <w:noProof/>
                <w:sz w:val="24"/>
                <w:szCs w:val="24"/>
              </w:rPr>
            </w:pPr>
            <w:r>
              <w:rPr>
                <w:sz w:val="24"/>
              </w:rPr>
              <w:t xml:space="preserve">OECD (2011), </w:t>
            </w:r>
            <w:r>
              <w:rPr>
                <w:i/>
                <w:sz w:val="24"/>
              </w:rPr>
              <w:t>OECD Economic Surveys: Belgium 2011</w:t>
            </w:r>
            <w:r>
              <w:rPr>
                <w:sz w:val="24"/>
              </w:rPr>
              <w:t>, OECD Publishing.</w:t>
            </w:r>
          </w:p>
        </w:tc>
        <w:tc>
          <w:tcPr>
            <w:tcW w:w="319" w:type="pct"/>
          </w:tcPr>
          <w:p w14:paraId="137D515C" w14:textId="77777777" w:rsidR="00C37DE1" w:rsidRPr="00074D4C" w:rsidRDefault="00C37DE1" w:rsidP="00C85C26">
            <w:pPr>
              <w:pStyle w:val="TableParagraph"/>
              <w:jc w:val="right"/>
              <w:rPr>
                <w:noProof/>
                <w:sz w:val="24"/>
                <w:szCs w:val="24"/>
              </w:rPr>
            </w:pPr>
            <w:r>
              <w:rPr>
                <w:sz w:val="24"/>
                <w:vertAlign w:val="superscript"/>
              </w:rPr>
              <w:t>[67]</w:t>
            </w:r>
          </w:p>
        </w:tc>
      </w:tr>
      <w:tr w:rsidR="00C37DE1" w:rsidRPr="00074D4C" w14:paraId="0CE501F6" w14:textId="77777777" w:rsidTr="00CB0214">
        <w:trPr>
          <w:trHeight w:val="492"/>
        </w:trPr>
        <w:tc>
          <w:tcPr>
            <w:tcW w:w="4681" w:type="pct"/>
          </w:tcPr>
          <w:p w14:paraId="23ACEB20" w14:textId="77777777" w:rsidR="00C37DE1" w:rsidRPr="00074D4C" w:rsidRDefault="00C37DE1" w:rsidP="00CB0214">
            <w:pPr>
              <w:pStyle w:val="TableParagraph"/>
              <w:ind w:left="142"/>
              <w:rPr>
                <w:noProof/>
                <w:sz w:val="24"/>
                <w:szCs w:val="24"/>
              </w:rPr>
            </w:pPr>
            <w:r>
              <w:rPr>
                <w:sz w:val="24"/>
              </w:rPr>
              <w:t xml:space="preserve">OECD (2011), </w:t>
            </w:r>
            <w:r>
              <w:rPr>
                <w:i/>
                <w:sz w:val="24"/>
              </w:rPr>
              <w:t>OECD Economic Surveys: India 2011</w:t>
            </w:r>
            <w:r>
              <w:rPr>
                <w:sz w:val="24"/>
              </w:rPr>
              <w:t>, OECD Publishing.</w:t>
            </w:r>
          </w:p>
        </w:tc>
        <w:tc>
          <w:tcPr>
            <w:tcW w:w="319" w:type="pct"/>
          </w:tcPr>
          <w:p w14:paraId="3BC4EDD6" w14:textId="77777777" w:rsidR="00C37DE1" w:rsidRPr="00074D4C" w:rsidRDefault="00C37DE1" w:rsidP="00C85C26">
            <w:pPr>
              <w:pStyle w:val="TableParagraph"/>
              <w:jc w:val="right"/>
              <w:rPr>
                <w:noProof/>
                <w:sz w:val="24"/>
                <w:szCs w:val="24"/>
              </w:rPr>
            </w:pPr>
            <w:r>
              <w:rPr>
                <w:sz w:val="24"/>
                <w:vertAlign w:val="superscript"/>
              </w:rPr>
              <w:t>[83]</w:t>
            </w:r>
          </w:p>
        </w:tc>
      </w:tr>
      <w:tr w:rsidR="00C37DE1" w:rsidRPr="00074D4C" w14:paraId="519AC36A" w14:textId="77777777" w:rsidTr="00CB0214">
        <w:trPr>
          <w:trHeight w:val="494"/>
        </w:trPr>
        <w:tc>
          <w:tcPr>
            <w:tcW w:w="4681" w:type="pct"/>
          </w:tcPr>
          <w:p w14:paraId="4888FE54" w14:textId="77777777" w:rsidR="00C37DE1" w:rsidRPr="00074D4C" w:rsidRDefault="00C37DE1" w:rsidP="00CB0214">
            <w:pPr>
              <w:pStyle w:val="TableParagraph"/>
              <w:ind w:left="142"/>
              <w:rPr>
                <w:noProof/>
                <w:sz w:val="24"/>
                <w:szCs w:val="24"/>
              </w:rPr>
            </w:pPr>
            <w:r>
              <w:rPr>
                <w:sz w:val="24"/>
              </w:rPr>
              <w:t xml:space="preserve">OECD (2010), </w:t>
            </w:r>
            <w:r>
              <w:rPr>
                <w:i/>
                <w:sz w:val="24"/>
              </w:rPr>
              <w:t>OECD Economic Surveys: Norway 2010</w:t>
            </w:r>
            <w:r>
              <w:rPr>
                <w:sz w:val="24"/>
              </w:rPr>
              <w:t>, OECD Publishing.</w:t>
            </w:r>
          </w:p>
        </w:tc>
        <w:tc>
          <w:tcPr>
            <w:tcW w:w="319" w:type="pct"/>
          </w:tcPr>
          <w:p w14:paraId="4A91ACB0" w14:textId="77777777" w:rsidR="00C37DE1" w:rsidRPr="00074D4C" w:rsidRDefault="00C37DE1" w:rsidP="00C85C26">
            <w:pPr>
              <w:pStyle w:val="TableParagraph"/>
              <w:jc w:val="right"/>
              <w:rPr>
                <w:noProof/>
                <w:sz w:val="24"/>
                <w:szCs w:val="24"/>
              </w:rPr>
            </w:pPr>
            <w:r>
              <w:rPr>
                <w:sz w:val="24"/>
                <w:vertAlign w:val="superscript"/>
              </w:rPr>
              <w:t>[66]</w:t>
            </w:r>
          </w:p>
        </w:tc>
      </w:tr>
      <w:tr w:rsidR="00C37DE1" w:rsidRPr="00074D4C" w14:paraId="4B7C4564" w14:textId="77777777" w:rsidTr="00CB0214">
        <w:trPr>
          <w:trHeight w:val="492"/>
        </w:trPr>
        <w:tc>
          <w:tcPr>
            <w:tcW w:w="4681" w:type="pct"/>
          </w:tcPr>
          <w:p w14:paraId="39478D6E" w14:textId="77777777" w:rsidR="00C37DE1" w:rsidRPr="00074D4C" w:rsidRDefault="00C37DE1" w:rsidP="00CB0214">
            <w:pPr>
              <w:pStyle w:val="TableParagraph"/>
              <w:ind w:left="142"/>
              <w:rPr>
                <w:noProof/>
                <w:sz w:val="24"/>
                <w:szCs w:val="24"/>
              </w:rPr>
            </w:pPr>
            <w:r>
              <w:rPr>
                <w:sz w:val="24"/>
              </w:rPr>
              <w:t xml:space="preserve">OECD (2010), </w:t>
            </w:r>
            <w:r>
              <w:rPr>
                <w:i/>
                <w:sz w:val="24"/>
              </w:rPr>
              <w:t>OECD Economic Surveys: Spain 2010</w:t>
            </w:r>
            <w:r>
              <w:rPr>
                <w:sz w:val="24"/>
              </w:rPr>
              <w:t>, OECD Publishing.</w:t>
            </w:r>
          </w:p>
        </w:tc>
        <w:tc>
          <w:tcPr>
            <w:tcW w:w="319" w:type="pct"/>
          </w:tcPr>
          <w:p w14:paraId="09097939" w14:textId="77777777" w:rsidR="00C37DE1" w:rsidRPr="00074D4C" w:rsidRDefault="00C37DE1" w:rsidP="00C85C26">
            <w:pPr>
              <w:pStyle w:val="TableParagraph"/>
              <w:jc w:val="right"/>
              <w:rPr>
                <w:noProof/>
                <w:sz w:val="24"/>
                <w:szCs w:val="24"/>
              </w:rPr>
            </w:pPr>
            <w:r>
              <w:rPr>
                <w:sz w:val="24"/>
                <w:vertAlign w:val="superscript"/>
              </w:rPr>
              <w:t>[86]</w:t>
            </w:r>
          </w:p>
        </w:tc>
      </w:tr>
      <w:tr w:rsidR="00C37DE1" w:rsidRPr="00074D4C" w14:paraId="5CC414CA" w14:textId="77777777" w:rsidTr="00CB0214">
        <w:trPr>
          <w:trHeight w:val="494"/>
        </w:trPr>
        <w:tc>
          <w:tcPr>
            <w:tcW w:w="4681" w:type="pct"/>
          </w:tcPr>
          <w:p w14:paraId="797EE451" w14:textId="77777777" w:rsidR="00C37DE1" w:rsidRPr="00074D4C" w:rsidRDefault="00C37DE1" w:rsidP="00CB0214">
            <w:pPr>
              <w:pStyle w:val="TableParagraph"/>
              <w:ind w:left="142"/>
              <w:rPr>
                <w:noProof/>
                <w:sz w:val="24"/>
                <w:szCs w:val="24"/>
              </w:rPr>
            </w:pPr>
            <w:r>
              <w:rPr>
                <w:sz w:val="24"/>
              </w:rPr>
              <w:t xml:space="preserve">OECD (2010), </w:t>
            </w:r>
            <w:r>
              <w:rPr>
                <w:i/>
                <w:sz w:val="24"/>
              </w:rPr>
              <w:t>OECD Economic Surveys: The Netherlands 2010</w:t>
            </w:r>
            <w:r>
              <w:rPr>
                <w:sz w:val="24"/>
              </w:rPr>
              <w:t>, OECD Publishing.</w:t>
            </w:r>
          </w:p>
        </w:tc>
        <w:tc>
          <w:tcPr>
            <w:tcW w:w="319" w:type="pct"/>
          </w:tcPr>
          <w:p w14:paraId="1409F336" w14:textId="77777777" w:rsidR="00C37DE1" w:rsidRPr="00074D4C" w:rsidRDefault="00C37DE1" w:rsidP="00C85C26">
            <w:pPr>
              <w:pStyle w:val="TableParagraph"/>
              <w:jc w:val="right"/>
              <w:rPr>
                <w:noProof/>
                <w:sz w:val="24"/>
                <w:szCs w:val="24"/>
              </w:rPr>
            </w:pPr>
            <w:r>
              <w:rPr>
                <w:sz w:val="24"/>
                <w:vertAlign w:val="superscript"/>
              </w:rPr>
              <w:t>[41]</w:t>
            </w:r>
          </w:p>
        </w:tc>
      </w:tr>
      <w:tr w:rsidR="00C37DE1" w:rsidRPr="00074D4C" w14:paraId="54A79D5E" w14:textId="77777777" w:rsidTr="00CB0214">
        <w:trPr>
          <w:trHeight w:val="491"/>
        </w:trPr>
        <w:tc>
          <w:tcPr>
            <w:tcW w:w="4681" w:type="pct"/>
          </w:tcPr>
          <w:p w14:paraId="695E6FBC" w14:textId="77777777" w:rsidR="00C37DE1" w:rsidRPr="00074D4C" w:rsidRDefault="00C37DE1" w:rsidP="00CB0214">
            <w:pPr>
              <w:pStyle w:val="TableParagraph"/>
              <w:ind w:left="142"/>
              <w:rPr>
                <w:noProof/>
                <w:sz w:val="24"/>
                <w:szCs w:val="24"/>
              </w:rPr>
            </w:pPr>
            <w:r>
              <w:rPr>
                <w:sz w:val="24"/>
              </w:rPr>
              <w:t xml:space="preserve">OECD (2009), </w:t>
            </w:r>
            <w:r>
              <w:rPr>
                <w:i/>
                <w:sz w:val="24"/>
              </w:rPr>
              <w:t>OECD Economic Surveys: Belgium 2009</w:t>
            </w:r>
            <w:r>
              <w:rPr>
                <w:sz w:val="24"/>
              </w:rPr>
              <w:t>, OECD Publishing.</w:t>
            </w:r>
          </w:p>
        </w:tc>
        <w:tc>
          <w:tcPr>
            <w:tcW w:w="319" w:type="pct"/>
          </w:tcPr>
          <w:p w14:paraId="66F15DC8" w14:textId="77777777" w:rsidR="00C37DE1" w:rsidRPr="00074D4C" w:rsidRDefault="00C37DE1" w:rsidP="00C85C26">
            <w:pPr>
              <w:pStyle w:val="TableParagraph"/>
              <w:jc w:val="right"/>
              <w:rPr>
                <w:noProof/>
                <w:sz w:val="24"/>
                <w:szCs w:val="24"/>
              </w:rPr>
            </w:pPr>
            <w:r>
              <w:rPr>
                <w:sz w:val="24"/>
                <w:vertAlign w:val="superscript"/>
              </w:rPr>
              <w:t>[50]</w:t>
            </w:r>
          </w:p>
        </w:tc>
      </w:tr>
      <w:tr w:rsidR="00C37DE1" w:rsidRPr="00074D4C" w14:paraId="5F0F5226" w14:textId="77777777" w:rsidTr="00CB0214">
        <w:trPr>
          <w:trHeight w:val="492"/>
        </w:trPr>
        <w:tc>
          <w:tcPr>
            <w:tcW w:w="4681" w:type="pct"/>
          </w:tcPr>
          <w:p w14:paraId="3D4D0593" w14:textId="77777777" w:rsidR="00C37DE1" w:rsidRPr="00074D4C" w:rsidRDefault="00C37DE1" w:rsidP="00CB0214">
            <w:pPr>
              <w:pStyle w:val="TableParagraph"/>
              <w:ind w:left="142"/>
              <w:rPr>
                <w:noProof/>
                <w:sz w:val="24"/>
                <w:szCs w:val="24"/>
              </w:rPr>
            </w:pPr>
            <w:r>
              <w:rPr>
                <w:sz w:val="24"/>
              </w:rPr>
              <w:t xml:space="preserve">OECD (2009), </w:t>
            </w:r>
            <w:r>
              <w:rPr>
                <w:i/>
                <w:sz w:val="24"/>
              </w:rPr>
              <w:t>OECD Economic Surveys: Brazil 2009</w:t>
            </w:r>
            <w:r>
              <w:rPr>
                <w:sz w:val="24"/>
              </w:rPr>
              <w:t>, OECD Publishing.</w:t>
            </w:r>
          </w:p>
        </w:tc>
        <w:tc>
          <w:tcPr>
            <w:tcW w:w="319" w:type="pct"/>
          </w:tcPr>
          <w:p w14:paraId="4EDBBDDB" w14:textId="77777777" w:rsidR="00C37DE1" w:rsidRPr="00074D4C" w:rsidRDefault="00C37DE1" w:rsidP="00C85C26">
            <w:pPr>
              <w:pStyle w:val="TableParagraph"/>
              <w:jc w:val="right"/>
              <w:rPr>
                <w:noProof/>
                <w:sz w:val="24"/>
                <w:szCs w:val="24"/>
              </w:rPr>
            </w:pPr>
            <w:r>
              <w:rPr>
                <w:sz w:val="24"/>
                <w:vertAlign w:val="superscript"/>
              </w:rPr>
              <w:t>[48]</w:t>
            </w:r>
          </w:p>
        </w:tc>
      </w:tr>
      <w:tr w:rsidR="00C37DE1" w:rsidRPr="00074D4C" w14:paraId="208A2B83" w14:textId="77777777" w:rsidTr="00CB0214">
        <w:trPr>
          <w:trHeight w:val="494"/>
        </w:trPr>
        <w:tc>
          <w:tcPr>
            <w:tcW w:w="4681" w:type="pct"/>
          </w:tcPr>
          <w:p w14:paraId="69CF629B" w14:textId="77777777" w:rsidR="00C37DE1" w:rsidRPr="00074D4C" w:rsidRDefault="00C37DE1" w:rsidP="00CB0214">
            <w:pPr>
              <w:pStyle w:val="TableParagraph"/>
              <w:ind w:left="142"/>
              <w:rPr>
                <w:noProof/>
                <w:sz w:val="24"/>
                <w:szCs w:val="24"/>
              </w:rPr>
            </w:pPr>
            <w:r>
              <w:rPr>
                <w:sz w:val="24"/>
              </w:rPr>
              <w:t xml:space="preserve">OECD (2009), </w:t>
            </w:r>
            <w:r>
              <w:rPr>
                <w:i/>
                <w:sz w:val="24"/>
              </w:rPr>
              <w:t>OECD Economic Surveys: Switzerland 2009</w:t>
            </w:r>
            <w:r>
              <w:rPr>
                <w:sz w:val="24"/>
              </w:rPr>
              <w:t>, OECD Publishing.</w:t>
            </w:r>
          </w:p>
        </w:tc>
        <w:tc>
          <w:tcPr>
            <w:tcW w:w="319" w:type="pct"/>
          </w:tcPr>
          <w:p w14:paraId="5406B63D" w14:textId="77777777" w:rsidR="00C37DE1" w:rsidRPr="00074D4C" w:rsidRDefault="00C37DE1" w:rsidP="00C85C26">
            <w:pPr>
              <w:pStyle w:val="TableParagraph"/>
              <w:jc w:val="right"/>
              <w:rPr>
                <w:noProof/>
                <w:sz w:val="24"/>
                <w:szCs w:val="24"/>
              </w:rPr>
            </w:pPr>
            <w:r>
              <w:rPr>
                <w:sz w:val="24"/>
                <w:vertAlign w:val="superscript"/>
              </w:rPr>
              <w:t>[93]</w:t>
            </w:r>
          </w:p>
        </w:tc>
      </w:tr>
      <w:tr w:rsidR="00C37DE1" w:rsidRPr="00074D4C" w14:paraId="1D74A193" w14:textId="77777777" w:rsidTr="00CB0214">
        <w:trPr>
          <w:trHeight w:val="368"/>
        </w:trPr>
        <w:tc>
          <w:tcPr>
            <w:tcW w:w="4681" w:type="pct"/>
          </w:tcPr>
          <w:p w14:paraId="6FB402E6" w14:textId="77777777" w:rsidR="00C37DE1" w:rsidRPr="00074D4C" w:rsidRDefault="00C37DE1" w:rsidP="00CB0214">
            <w:pPr>
              <w:pStyle w:val="TableParagraph"/>
              <w:ind w:left="142"/>
              <w:rPr>
                <w:noProof/>
                <w:sz w:val="24"/>
                <w:szCs w:val="24"/>
              </w:rPr>
            </w:pPr>
            <w:r>
              <w:rPr>
                <w:sz w:val="24"/>
              </w:rPr>
              <w:t xml:space="preserve">OECD (2008), </w:t>
            </w:r>
            <w:r>
              <w:rPr>
                <w:i/>
                <w:sz w:val="24"/>
              </w:rPr>
              <w:t>OECD Economic Surveys: Korea 2008</w:t>
            </w:r>
            <w:r>
              <w:rPr>
                <w:sz w:val="24"/>
              </w:rPr>
              <w:t>, OECD Publishing.</w:t>
            </w:r>
          </w:p>
        </w:tc>
        <w:tc>
          <w:tcPr>
            <w:tcW w:w="319" w:type="pct"/>
          </w:tcPr>
          <w:p w14:paraId="67E0283D" w14:textId="77777777" w:rsidR="00C37DE1" w:rsidRPr="00074D4C" w:rsidRDefault="00C37DE1" w:rsidP="00C85C26">
            <w:pPr>
              <w:pStyle w:val="TableParagraph"/>
              <w:jc w:val="right"/>
              <w:rPr>
                <w:noProof/>
                <w:sz w:val="24"/>
                <w:szCs w:val="24"/>
              </w:rPr>
            </w:pPr>
            <w:r>
              <w:rPr>
                <w:sz w:val="24"/>
                <w:vertAlign w:val="superscript"/>
              </w:rPr>
              <w:t>[34]</w:t>
            </w:r>
          </w:p>
        </w:tc>
      </w:tr>
      <w:tr w:rsidR="00C37DE1" w:rsidRPr="00074D4C" w14:paraId="5BA43093" w14:textId="77777777" w:rsidTr="00CB0214">
        <w:trPr>
          <w:trHeight w:val="368"/>
        </w:trPr>
        <w:tc>
          <w:tcPr>
            <w:tcW w:w="4681" w:type="pct"/>
          </w:tcPr>
          <w:p w14:paraId="21D72438" w14:textId="77777777" w:rsidR="00C37DE1" w:rsidRPr="00074D4C" w:rsidRDefault="00C37DE1" w:rsidP="00CB0214">
            <w:pPr>
              <w:pStyle w:val="TableParagraph"/>
              <w:ind w:left="142"/>
              <w:rPr>
                <w:noProof/>
                <w:sz w:val="24"/>
                <w:szCs w:val="24"/>
              </w:rPr>
            </w:pPr>
            <w:r>
              <w:rPr>
                <w:sz w:val="24"/>
              </w:rPr>
              <w:t xml:space="preserve">OECD (2008), </w:t>
            </w:r>
            <w:r>
              <w:rPr>
                <w:i/>
                <w:sz w:val="24"/>
              </w:rPr>
              <w:t>OECD Economic Surveys: Spain 2008</w:t>
            </w:r>
            <w:r>
              <w:rPr>
                <w:sz w:val="24"/>
              </w:rPr>
              <w:t>, OECD Publishing.</w:t>
            </w:r>
          </w:p>
        </w:tc>
        <w:tc>
          <w:tcPr>
            <w:tcW w:w="319" w:type="pct"/>
          </w:tcPr>
          <w:p w14:paraId="55954C7D" w14:textId="77777777" w:rsidR="00C37DE1" w:rsidRPr="00074D4C" w:rsidRDefault="00C37DE1" w:rsidP="00C85C26">
            <w:pPr>
              <w:pStyle w:val="TableParagraph"/>
              <w:jc w:val="right"/>
              <w:rPr>
                <w:noProof/>
                <w:sz w:val="24"/>
                <w:szCs w:val="24"/>
              </w:rPr>
            </w:pPr>
            <w:r>
              <w:rPr>
                <w:sz w:val="24"/>
                <w:vertAlign w:val="superscript"/>
              </w:rPr>
              <w:t>[62]</w:t>
            </w:r>
          </w:p>
        </w:tc>
      </w:tr>
      <w:tr w:rsidR="00C37DE1" w:rsidRPr="00074D4C" w14:paraId="60ED6006" w14:textId="77777777" w:rsidTr="00CB0214">
        <w:trPr>
          <w:trHeight w:val="494"/>
        </w:trPr>
        <w:tc>
          <w:tcPr>
            <w:tcW w:w="4681" w:type="pct"/>
          </w:tcPr>
          <w:p w14:paraId="44E85716" w14:textId="77777777" w:rsidR="00C37DE1" w:rsidRPr="00074D4C" w:rsidRDefault="00C37DE1" w:rsidP="00CB0214">
            <w:pPr>
              <w:pStyle w:val="TableParagraph"/>
              <w:ind w:left="142"/>
              <w:rPr>
                <w:noProof/>
                <w:sz w:val="24"/>
                <w:szCs w:val="24"/>
              </w:rPr>
            </w:pPr>
            <w:r>
              <w:rPr>
                <w:sz w:val="24"/>
              </w:rPr>
              <w:t xml:space="preserve">OECD (2008), </w:t>
            </w:r>
            <w:r>
              <w:rPr>
                <w:i/>
                <w:sz w:val="24"/>
              </w:rPr>
              <w:t>OECD Economic Surveys: The Czech Republic</w:t>
            </w:r>
            <w:r>
              <w:rPr>
                <w:sz w:val="24"/>
              </w:rPr>
              <w:t>, OECD Publishing.</w:t>
            </w:r>
          </w:p>
        </w:tc>
        <w:tc>
          <w:tcPr>
            <w:tcW w:w="319" w:type="pct"/>
          </w:tcPr>
          <w:p w14:paraId="2061BF1C" w14:textId="77777777" w:rsidR="00C37DE1" w:rsidRPr="00074D4C" w:rsidRDefault="00C37DE1" w:rsidP="00C85C26">
            <w:pPr>
              <w:pStyle w:val="TableParagraph"/>
              <w:jc w:val="right"/>
              <w:rPr>
                <w:noProof/>
                <w:sz w:val="24"/>
                <w:szCs w:val="24"/>
              </w:rPr>
            </w:pPr>
            <w:r>
              <w:rPr>
                <w:sz w:val="24"/>
                <w:vertAlign w:val="superscript"/>
              </w:rPr>
              <w:t>[76]</w:t>
            </w:r>
          </w:p>
        </w:tc>
      </w:tr>
      <w:tr w:rsidR="00C37DE1" w:rsidRPr="00074D4C" w14:paraId="4965161B" w14:textId="77777777" w:rsidTr="00CB0214">
        <w:trPr>
          <w:trHeight w:val="491"/>
        </w:trPr>
        <w:tc>
          <w:tcPr>
            <w:tcW w:w="4681" w:type="pct"/>
          </w:tcPr>
          <w:p w14:paraId="0D89B1A1" w14:textId="77777777" w:rsidR="00C37DE1" w:rsidRPr="00074D4C" w:rsidRDefault="00C37DE1" w:rsidP="00CB0214">
            <w:pPr>
              <w:pStyle w:val="TableParagraph"/>
              <w:ind w:left="142"/>
              <w:rPr>
                <w:noProof/>
                <w:sz w:val="24"/>
                <w:szCs w:val="24"/>
              </w:rPr>
            </w:pPr>
            <w:r>
              <w:rPr>
                <w:sz w:val="24"/>
              </w:rPr>
              <w:t xml:space="preserve">OECD (2007), </w:t>
            </w:r>
            <w:r>
              <w:rPr>
                <w:i/>
                <w:sz w:val="24"/>
              </w:rPr>
              <w:t>OECD Economic Surveys: Italy 2007</w:t>
            </w:r>
            <w:r>
              <w:rPr>
                <w:sz w:val="24"/>
              </w:rPr>
              <w:t>, OECD Publishing.</w:t>
            </w:r>
          </w:p>
        </w:tc>
        <w:tc>
          <w:tcPr>
            <w:tcW w:w="319" w:type="pct"/>
          </w:tcPr>
          <w:p w14:paraId="76703318" w14:textId="77777777" w:rsidR="00C37DE1" w:rsidRPr="00074D4C" w:rsidRDefault="00C37DE1" w:rsidP="00C85C26">
            <w:pPr>
              <w:pStyle w:val="TableParagraph"/>
              <w:jc w:val="right"/>
              <w:rPr>
                <w:noProof/>
                <w:sz w:val="24"/>
                <w:szCs w:val="24"/>
              </w:rPr>
            </w:pPr>
            <w:r>
              <w:rPr>
                <w:sz w:val="24"/>
                <w:vertAlign w:val="superscript"/>
              </w:rPr>
              <w:t>[55]</w:t>
            </w:r>
          </w:p>
        </w:tc>
      </w:tr>
      <w:tr w:rsidR="00C37DE1" w:rsidRPr="00074D4C" w14:paraId="758E30A5" w14:textId="77777777" w:rsidTr="00CB0214">
        <w:trPr>
          <w:trHeight w:val="492"/>
        </w:trPr>
        <w:tc>
          <w:tcPr>
            <w:tcW w:w="4681" w:type="pct"/>
          </w:tcPr>
          <w:p w14:paraId="460DE359" w14:textId="77777777" w:rsidR="00C37DE1" w:rsidRPr="00074D4C" w:rsidRDefault="00C37DE1" w:rsidP="00CB0214">
            <w:pPr>
              <w:pStyle w:val="TableParagraph"/>
              <w:ind w:left="142"/>
              <w:rPr>
                <w:noProof/>
                <w:sz w:val="24"/>
                <w:szCs w:val="24"/>
              </w:rPr>
            </w:pPr>
            <w:r>
              <w:rPr>
                <w:sz w:val="24"/>
              </w:rPr>
              <w:t xml:space="preserve">OECD (2007), </w:t>
            </w:r>
            <w:r>
              <w:rPr>
                <w:i/>
                <w:sz w:val="24"/>
              </w:rPr>
              <w:t>OECD Economic Surveys: Spain 2007</w:t>
            </w:r>
            <w:r>
              <w:rPr>
                <w:sz w:val="24"/>
              </w:rPr>
              <w:t>, OECD Publishing.</w:t>
            </w:r>
          </w:p>
        </w:tc>
        <w:tc>
          <w:tcPr>
            <w:tcW w:w="319" w:type="pct"/>
          </w:tcPr>
          <w:p w14:paraId="1DD7A97F" w14:textId="77777777" w:rsidR="00C37DE1" w:rsidRPr="00074D4C" w:rsidRDefault="00C37DE1" w:rsidP="00C85C26">
            <w:pPr>
              <w:pStyle w:val="TableParagraph"/>
              <w:jc w:val="right"/>
              <w:rPr>
                <w:noProof/>
                <w:sz w:val="24"/>
                <w:szCs w:val="24"/>
              </w:rPr>
            </w:pPr>
            <w:r>
              <w:rPr>
                <w:sz w:val="24"/>
                <w:vertAlign w:val="superscript"/>
              </w:rPr>
              <w:t>[33]</w:t>
            </w:r>
          </w:p>
        </w:tc>
      </w:tr>
      <w:tr w:rsidR="00C37DE1" w:rsidRPr="00074D4C" w14:paraId="2AA09223" w14:textId="77777777" w:rsidTr="00CB0214">
        <w:trPr>
          <w:trHeight w:val="494"/>
        </w:trPr>
        <w:tc>
          <w:tcPr>
            <w:tcW w:w="4681" w:type="pct"/>
          </w:tcPr>
          <w:p w14:paraId="6AED1D07" w14:textId="77777777" w:rsidR="00C37DE1" w:rsidRPr="00074D4C" w:rsidRDefault="00C37DE1" w:rsidP="00CB0214">
            <w:pPr>
              <w:pStyle w:val="TableParagraph"/>
              <w:ind w:left="142"/>
              <w:rPr>
                <w:noProof/>
                <w:sz w:val="24"/>
                <w:szCs w:val="24"/>
              </w:rPr>
            </w:pPr>
            <w:r>
              <w:rPr>
                <w:sz w:val="24"/>
              </w:rPr>
              <w:t xml:space="preserve">OECD (2007), </w:t>
            </w:r>
            <w:r>
              <w:rPr>
                <w:i/>
                <w:sz w:val="24"/>
              </w:rPr>
              <w:t>OECD Economic Surveys: Switzerland 2007</w:t>
            </w:r>
            <w:r>
              <w:rPr>
                <w:sz w:val="24"/>
              </w:rPr>
              <w:t>, OECD Publishing.</w:t>
            </w:r>
          </w:p>
        </w:tc>
        <w:tc>
          <w:tcPr>
            <w:tcW w:w="319" w:type="pct"/>
          </w:tcPr>
          <w:p w14:paraId="257F95BF" w14:textId="77777777" w:rsidR="00C37DE1" w:rsidRPr="00074D4C" w:rsidRDefault="00C37DE1" w:rsidP="00C85C26">
            <w:pPr>
              <w:pStyle w:val="TableParagraph"/>
              <w:jc w:val="right"/>
              <w:rPr>
                <w:noProof/>
                <w:sz w:val="24"/>
                <w:szCs w:val="24"/>
              </w:rPr>
            </w:pPr>
            <w:r>
              <w:rPr>
                <w:sz w:val="24"/>
                <w:vertAlign w:val="superscript"/>
              </w:rPr>
              <w:t>[90]</w:t>
            </w:r>
          </w:p>
        </w:tc>
      </w:tr>
      <w:tr w:rsidR="00C37DE1" w:rsidRPr="00074D4C" w14:paraId="1569B8E9" w14:textId="77777777" w:rsidTr="00CB0214">
        <w:trPr>
          <w:trHeight w:val="492"/>
        </w:trPr>
        <w:tc>
          <w:tcPr>
            <w:tcW w:w="4681" w:type="pct"/>
          </w:tcPr>
          <w:p w14:paraId="6D1302B5" w14:textId="77777777" w:rsidR="00C37DE1" w:rsidRPr="00074D4C" w:rsidRDefault="00C37DE1" w:rsidP="00CB0214">
            <w:pPr>
              <w:pStyle w:val="TableParagraph"/>
              <w:ind w:left="142"/>
              <w:rPr>
                <w:noProof/>
                <w:sz w:val="24"/>
                <w:szCs w:val="24"/>
              </w:rPr>
            </w:pPr>
            <w:r>
              <w:rPr>
                <w:sz w:val="24"/>
              </w:rPr>
              <w:t xml:space="preserve">OECD (2006), </w:t>
            </w:r>
            <w:r>
              <w:rPr>
                <w:i/>
                <w:sz w:val="24"/>
              </w:rPr>
              <w:t>OECD Economic Surveys: Australia 2006</w:t>
            </w:r>
            <w:r>
              <w:rPr>
                <w:sz w:val="24"/>
              </w:rPr>
              <w:t>, OECD Publishing.</w:t>
            </w:r>
          </w:p>
        </w:tc>
        <w:tc>
          <w:tcPr>
            <w:tcW w:w="319" w:type="pct"/>
          </w:tcPr>
          <w:p w14:paraId="0D5BCA3A" w14:textId="77777777" w:rsidR="00C37DE1" w:rsidRPr="00074D4C" w:rsidRDefault="00C37DE1" w:rsidP="00C85C26">
            <w:pPr>
              <w:pStyle w:val="TableParagraph"/>
              <w:jc w:val="right"/>
              <w:rPr>
                <w:noProof/>
                <w:sz w:val="24"/>
                <w:szCs w:val="24"/>
              </w:rPr>
            </w:pPr>
            <w:r>
              <w:rPr>
                <w:sz w:val="24"/>
                <w:vertAlign w:val="superscript"/>
              </w:rPr>
              <w:t>[37]</w:t>
            </w:r>
          </w:p>
        </w:tc>
      </w:tr>
      <w:tr w:rsidR="00C37DE1" w:rsidRPr="00074D4C" w14:paraId="417E776E" w14:textId="77777777" w:rsidTr="00CB0214">
        <w:trPr>
          <w:trHeight w:val="494"/>
        </w:trPr>
        <w:tc>
          <w:tcPr>
            <w:tcW w:w="4681" w:type="pct"/>
          </w:tcPr>
          <w:p w14:paraId="13E79212" w14:textId="77777777" w:rsidR="00C37DE1" w:rsidRPr="00074D4C" w:rsidRDefault="00C37DE1" w:rsidP="00CB0214">
            <w:pPr>
              <w:pStyle w:val="TableParagraph"/>
              <w:ind w:left="142"/>
              <w:rPr>
                <w:noProof/>
                <w:sz w:val="24"/>
                <w:szCs w:val="24"/>
              </w:rPr>
            </w:pPr>
            <w:r>
              <w:rPr>
                <w:sz w:val="24"/>
              </w:rPr>
              <w:lastRenderedPageBreak/>
              <w:t xml:space="preserve">OECD (2006), </w:t>
            </w:r>
            <w:r>
              <w:rPr>
                <w:i/>
                <w:sz w:val="24"/>
              </w:rPr>
              <w:t>OECD Economic Surveys: Germany 2006</w:t>
            </w:r>
            <w:r>
              <w:rPr>
                <w:sz w:val="24"/>
              </w:rPr>
              <w:t>, OECD Publishing.</w:t>
            </w:r>
          </w:p>
        </w:tc>
        <w:tc>
          <w:tcPr>
            <w:tcW w:w="319" w:type="pct"/>
          </w:tcPr>
          <w:p w14:paraId="35DB84B2" w14:textId="77777777" w:rsidR="00C37DE1" w:rsidRPr="00074D4C" w:rsidRDefault="00C37DE1" w:rsidP="00C85C26">
            <w:pPr>
              <w:pStyle w:val="TableParagraph"/>
              <w:jc w:val="right"/>
              <w:rPr>
                <w:noProof/>
                <w:sz w:val="24"/>
                <w:szCs w:val="24"/>
              </w:rPr>
            </w:pPr>
            <w:r>
              <w:rPr>
                <w:sz w:val="24"/>
                <w:vertAlign w:val="superscript"/>
              </w:rPr>
              <w:t>[53]</w:t>
            </w:r>
          </w:p>
        </w:tc>
      </w:tr>
      <w:tr w:rsidR="00C37DE1" w:rsidRPr="00074D4C" w14:paraId="6A748FCE" w14:textId="77777777" w:rsidTr="00CB0214">
        <w:trPr>
          <w:trHeight w:val="491"/>
        </w:trPr>
        <w:tc>
          <w:tcPr>
            <w:tcW w:w="4681" w:type="pct"/>
          </w:tcPr>
          <w:p w14:paraId="2BB89DD7" w14:textId="77777777" w:rsidR="00C37DE1" w:rsidRPr="00074D4C" w:rsidRDefault="00C37DE1" w:rsidP="00CB0214">
            <w:pPr>
              <w:pStyle w:val="TableParagraph"/>
              <w:ind w:left="142"/>
              <w:rPr>
                <w:noProof/>
                <w:sz w:val="24"/>
                <w:szCs w:val="24"/>
              </w:rPr>
            </w:pPr>
            <w:r>
              <w:rPr>
                <w:sz w:val="24"/>
              </w:rPr>
              <w:t xml:space="preserve">OECD (2006), </w:t>
            </w:r>
            <w:r>
              <w:rPr>
                <w:i/>
                <w:sz w:val="24"/>
              </w:rPr>
              <w:t>OECD Economic Surveys: Switzerland 2006</w:t>
            </w:r>
            <w:r>
              <w:rPr>
                <w:sz w:val="24"/>
              </w:rPr>
              <w:t>, OECD Publishing.</w:t>
            </w:r>
          </w:p>
        </w:tc>
        <w:tc>
          <w:tcPr>
            <w:tcW w:w="319" w:type="pct"/>
          </w:tcPr>
          <w:p w14:paraId="648C03A4" w14:textId="77777777" w:rsidR="00C37DE1" w:rsidRPr="00074D4C" w:rsidRDefault="00C37DE1" w:rsidP="00C85C26">
            <w:pPr>
              <w:pStyle w:val="TableParagraph"/>
              <w:jc w:val="right"/>
              <w:rPr>
                <w:noProof/>
                <w:sz w:val="24"/>
                <w:szCs w:val="24"/>
              </w:rPr>
            </w:pPr>
            <w:r>
              <w:rPr>
                <w:sz w:val="24"/>
                <w:vertAlign w:val="superscript"/>
              </w:rPr>
              <w:t>[64]</w:t>
            </w:r>
          </w:p>
        </w:tc>
      </w:tr>
      <w:tr w:rsidR="00C37DE1" w:rsidRPr="00074D4C" w14:paraId="0F680884" w14:textId="77777777" w:rsidTr="00CB0214">
        <w:trPr>
          <w:trHeight w:val="492"/>
        </w:trPr>
        <w:tc>
          <w:tcPr>
            <w:tcW w:w="4681" w:type="pct"/>
          </w:tcPr>
          <w:p w14:paraId="14BDBAE3" w14:textId="77777777" w:rsidR="00C37DE1" w:rsidRPr="00074D4C" w:rsidRDefault="00C37DE1" w:rsidP="00CB0214">
            <w:pPr>
              <w:pStyle w:val="TableParagraph"/>
              <w:ind w:left="142"/>
              <w:rPr>
                <w:noProof/>
                <w:sz w:val="24"/>
                <w:szCs w:val="24"/>
              </w:rPr>
            </w:pPr>
            <w:r>
              <w:rPr>
                <w:sz w:val="24"/>
              </w:rPr>
              <w:t xml:space="preserve">OECD (2005), </w:t>
            </w:r>
            <w:r>
              <w:rPr>
                <w:i/>
                <w:sz w:val="24"/>
              </w:rPr>
              <w:t>OECD Economic Surveys: Austria 2005</w:t>
            </w:r>
            <w:r>
              <w:rPr>
                <w:sz w:val="24"/>
              </w:rPr>
              <w:t>, OECD Publishing.</w:t>
            </w:r>
          </w:p>
        </w:tc>
        <w:tc>
          <w:tcPr>
            <w:tcW w:w="319" w:type="pct"/>
          </w:tcPr>
          <w:p w14:paraId="4DB76344" w14:textId="77777777" w:rsidR="00C37DE1" w:rsidRPr="00074D4C" w:rsidRDefault="00C37DE1" w:rsidP="00C85C26">
            <w:pPr>
              <w:pStyle w:val="TableParagraph"/>
              <w:jc w:val="right"/>
              <w:rPr>
                <w:noProof/>
                <w:sz w:val="24"/>
                <w:szCs w:val="24"/>
              </w:rPr>
            </w:pPr>
            <w:r>
              <w:rPr>
                <w:sz w:val="24"/>
                <w:vertAlign w:val="superscript"/>
              </w:rPr>
              <w:t>[44]</w:t>
            </w:r>
          </w:p>
        </w:tc>
      </w:tr>
      <w:tr w:rsidR="00C37DE1" w:rsidRPr="00074D4C" w14:paraId="60B3FE2C" w14:textId="77777777" w:rsidTr="00CB0214">
        <w:trPr>
          <w:trHeight w:val="494"/>
        </w:trPr>
        <w:tc>
          <w:tcPr>
            <w:tcW w:w="4681" w:type="pct"/>
          </w:tcPr>
          <w:p w14:paraId="251B5725" w14:textId="77777777" w:rsidR="00C37DE1" w:rsidRPr="00074D4C" w:rsidRDefault="00C37DE1" w:rsidP="00CB0214">
            <w:pPr>
              <w:pStyle w:val="TableParagraph"/>
              <w:ind w:left="142"/>
              <w:rPr>
                <w:noProof/>
                <w:sz w:val="24"/>
                <w:szCs w:val="24"/>
              </w:rPr>
            </w:pPr>
            <w:r>
              <w:rPr>
                <w:sz w:val="24"/>
              </w:rPr>
              <w:t xml:space="preserve">OECD (2005), </w:t>
            </w:r>
            <w:r>
              <w:rPr>
                <w:i/>
                <w:sz w:val="24"/>
              </w:rPr>
              <w:t>OECD Economic Surveys: Japan 2005</w:t>
            </w:r>
            <w:r>
              <w:rPr>
                <w:sz w:val="24"/>
              </w:rPr>
              <w:t>, OECD Publishing.</w:t>
            </w:r>
          </w:p>
        </w:tc>
        <w:tc>
          <w:tcPr>
            <w:tcW w:w="319" w:type="pct"/>
          </w:tcPr>
          <w:p w14:paraId="24EAD9D8" w14:textId="77777777" w:rsidR="00C37DE1" w:rsidRPr="00074D4C" w:rsidRDefault="00C37DE1" w:rsidP="00C85C26">
            <w:pPr>
              <w:pStyle w:val="TableParagraph"/>
              <w:jc w:val="right"/>
              <w:rPr>
                <w:noProof/>
                <w:sz w:val="24"/>
                <w:szCs w:val="24"/>
              </w:rPr>
            </w:pPr>
            <w:r>
              <w:rPr>
                <w:sz w:val="24"/>
                <w:vertAlign w:val="superscript"/>
              </w:rPr>
              <w:t>[51]</w:t>
            </w:r>
          </w:p>
        </w:tc>
      </w:tr>
      <w:tr w:rsidR="00C37DE1" w:rsidRPr="00074D4C" w14:paraId="75FCED42" w14:textId="77777777" w:rsidTr="00CB0214">
        <w:trPr>
          <w:trHeight w:val="492"/>
        </w:trPr>
        <w:tc>
          <w:tcPr>
            <w:tcW w:w="4681" w:type="pct"/>
          </w:tcPr>
          <w:p w14:paraId="742ABB7E" w14:textId="77777777" w:rsidR="00C37DE1" w:rsidRPr="00074D4C" w:rsidRDefault="00C37DE1" w:rsidP="00CB0214">
            <w:pPr>
              <w:pStyle w:val="TableParagraph"/>
              <w:ind w:left="142"/>
              <w:rPr>
                <w:noProof/>
                <w:sz w:val="24"/>
                <w:szCs w:val="24"/>
              </w:rPr>
            </w:pPr>
            <w:r>
              <w:rPr>
                <w:sz w:val="24"/>
              </w:rPr>
              <w:t xml:space="preserve">OECD (2005), </w:t>
            </w:r>
            <w:r>
              <w:rPr>
                <w:i/>
                <w:sz w:val="24"/>
              </w:rPr>
              <w:t>OECD Economic Surveys: Korea 2005</w:t>
            </w:r>
            <w:r>
              <w:rPr>
                <w:sz w:val="24"/>
              </w:rPr>
              <w:t>, OECD Publishing.</w:t>
            </w:r>
          </w:p>
        </w:tc>
        <w:tc>
          <w:tcPr>
            <w:tcW w:w="319" w:type="pct"/>
          </w:tcPr>
          <w:p w14:paraId="2667C4FD" w14:textId="77777777" w:rsidR="00C37DE1" w:rsidRPr="00074D4C" w:rsidRDefault="00C37DE1" w:rsidP="00C85C26">
            <w:pPr>
              <w:pStyle w:val="TableParagraph"/>
              <w:jc w:val="right"/>
              <w:rPr>
                <w:noProof/>
                <w:sz w:val="24"/>
                <w:szCs w:val="24"/>
              </w:rPr>
            </w:pPr>
            <w:r>
              <w:rPr>
                <w:sz w:val="24"/>
                <w:vertAlign w:val="superscript"/>
              </w:rPr>
              <w:t>[42]</w:t>
            </w:r>
          </w:p>
        </w:tc>
      </w:tr>
      <w:tr w:rsidR="00C37DE1" w:rsidRPr="00074D4C" w14:paraId="2B35F5B5" w14:textId="77777777" w:rsidTr="00CB0214">
        <w:trPr>
          <w:trHeight w:val="494"/>
        </w:trPr>
        <w:tc>
          <w:tcPr>
            <w:tcW w:w="4681" w:type="pct"/>
          </w:tcPr>
          <w:p w14:paraId="0326E488" w14:textId="77777777" w:rsidR="00C37DE1" w:rsidRPr="00074D4C" w:rsidRDefault="00C37DE1" w:rsidP="00CB0214">
            <w:pPr>
              <w:pStyle w:val="TableParagraph"/>
              <w:ind w:left="142"/>
              <w:rPr>
                <w:noProof/>
                <w:sz w:val="24"/>
                <w:szCs w:val="24"/>
              </w:rPr>
            </w:pPr>
            <w:r>
              <w:rPr>
                <w:sz w:val="24"/>
              </w:rPr>
              <w:t xml:space="preserve">OECD (2005), </w:t>
            </w:r>
            <w:r>
              <w:rPr>
                <w:i/>
                <w:sz w:val="24"/>
              </w:rPr>
              <w:t>OECD Economic Surveys: United States 2005</w:t>
            </w:r>
            <w:r>
              <w:rPr>
                <w:sz w:val="24"/>
              </w:rPr>
              <w:t>, OECD Publishing.</w:t>
            </w:r>
          </w:p>
        </w:tc>
        <w:tc>
          <w:tcPr>
            <w:tcW w:w="319" w:type="pct"/>
          </w:tcPr>
          <w:p w14:paraId="0619EA16" w14:textId="77777777" w:rsidR="00C37DE1" w:rsidRPr="00074D4C" w:rsidRDefault="00C37DE1" w:rsidP="00C85C26">
            <w:pPr>
              <w:pStyle w:val="TableParagraph"/>
              <w:jc w:val="right"/>
              <w:rPr>
                <w:noProof/>
                <w:sz w:val="24"/>
                <w:szCs w:val="24"/>
              </w:rPr>
            </w:pPr>
            <w:r>
              <w:rPr>
                <w:sz w:val="24"/>
                <w:vertAlign w:val="superscript"/>
              </w:rPr>
              <w:t>[47]</w:t>
            </w:r>
          </w:p>
        </w:tc>
      </w:tr>
      <w:tr w:rsidR="00C37DE1" w:rsidRPr="00074D4C" w14:paraId="60245E40" w14:textId="77777777" w:rsidTr="00CB0214">
        <w:trPr>
          <w:trHeight w:val="491"/>
        </w:trPr>
        <w:tc>
          <w:tcPr>
            <w:tcW w:w="4681" w:type="pct"/>
          </w:tcPr>
          <w:p w14:paraId="501FF590" w14:textId="77777777" w:rsidR="00C37DE1" w:rsidRPr="00811D9B" w:rsidRDefault="00C37DE1" w:rsidP="00CB0214">
            <w:pPr>
              <w:pStyle w:val="TableParagraph"/>
              <w:ind w:left="142"/>
              <w:rPr>
                <w:noProof/>
                <w:sz w:val="24"/>
                <w:szCs w:val="24"/>
              </w:rPr>
            </w:pPr>
            <w:r>
              <w:rPr>
                <w:sz w:val="24"/>
              </w:rPr>
              <w:t xml:space="preserve">OECD (2004), </w:t>
            </w:r>
            <w:r>
              <w:rPr>
                <w:i/>
                <w:sz w:val="24"/>
              </w:rPr>
              <w:t>OECD Economic Surveys: Australia 2004</w:t>
            </w:r>
            <w:r>
              <w:rPr>
                <w:sz w:val="24"/>
              </w:rPr>
              <w:t>, OECD Publishing.</w:t>
            </w:r>
          </w:p>
        </w:tc>
        <w:tc>
          <w:tcPr>
            <w:tcW w:w="319" w:type="pct"/>
          </w:tcPr>
          <w:p w14:paraId="751C7794" w14:textId="77777777" w:rsidR="00C37DE1" w:rsidRPr="00074D4C" w:rsidRDefault="00C37DE1" w:rsidP="00C85C26">
            <w:pPr>
              <w:pStyle w:val="TableParagraph"/>
              <w:jc w:val="right"/>
              <w:rPr>
                <w:noProof/>
                <w:sz w:val="24"/>
                <w:szCs w:val="24"/>
              </w:rPr>
            </w:pPr>
            <w:r>
              <w:rPr>
                <w:sz w:val="24"/>
                <w:vertAlign w:val="superscript"/>
              </w:rPr>
              <w:t>[82]</w:t>
            </w:r>
          </w:p>
        </w:tc>
      </w:tr>
      <w:tr w:rsidR="00C37DE1" w:rsidRPr="00074D4C" w14:paraId="75AC3B98" w14:textId="77777777" w:rsidTr="00CB0214">
        <w:trPr>
          <w:trHeight w:val="746"/>
        </w:trPr>
        <w:tc>
          <w:tcPr>
            <w:tcW w:w="4681" w:type="pct"/>
          </w:tcPr>
          <w:p w14:paraId="6E40B642" w14:textId="77777777" w:rsidR="00C37DE1" w:rsidRPr="00811D9B" w:rsidRDefault="00C37DE1" w:rsidP="00CB0214">
            <w:pPr>
              <w:pStyle w:val="TableParagraph"/>
              <w:ind w:left="142"/>
              <w:rPr>
                <w:noProof/>
                <w:sz w:val="24"/>
                <w:szCs w:val="24"/>
              </w:rPr>
            </w:pPr>
            <w:r>
              <w:rPr>
                <w:sz w:val="24"/>
              </w:rPr>
              <w:t xml:space="preserve">OECD/KIPF (2016), </w:t>
            </w:r>
            <w:r>
              <w:rPr>
                <w:i/>
                <w:sz w:val="24"/>
              </w:rPr>
              <w:t>Fiscal Federalism 2016: Making Decentralisation Work</w:t>
            </w:r>
            <w:r>
              <w:rPr>
                <w:sz w:val="24"/>
              </w:rPr>
              <w:t>, OECD Publishing, Paris, https://dx.doi.org/10.1787/9789264254053-en.</w:t>
            </w:r>
          </w:p>
        </w:tc>
        <w:tc>
          <w:tcPr>
            <w:tcW w:w="319" w:type="pct"/>
          </w:tcPr>
          <w:p w14:paraId="439CE93A" w14:textId="77777777" w:rsidR="00C37DE1" w:rsidRPr="00074D4C" w:rsidRDefault="00C37DE1" w:rsidP="00C85C26">
            <w:pPr>
              <w:pStyle w:val="TableParagraph"/>
              <w:jc w:val="right"/>
              <w:rPr>
                <w:noProof/>
                <w:sz w:val="24"/>
                <w:szCs w:val="24"/>
              </w:rPr>
            </w:pPr>
            <w:r>
              <w:rPr>
                <w:sz w:val="24"/>
                <w:vertAlign w:val="superscript"/>
              </w:rPr>
              <w:t>[2]</w:t>
            </w:r>
          </w:p>
        </w:tc>
      </w:tr>
      <w:tr w:rsidR="00C37DE1" w:rsidRPr="00074D4C" w14:paraId="1389D29A" w14:textId="77777777" w:rsidTr="00CB0214">
        <w:trPr>
          <w:trHeight w:val="746"/>
        </w:trPr>
        <w:tc>
          <w:tcPr>
            <w:tcW w:w="4681" w:type="pct"/>
          </w:tcPr>
          <w:p w14:paraId="6B773B24" w14:textId="77777777" w:rsidR="00C37DE1" w:rsidRPr="00811D9B" w:rsidRDefault="00C37DE1" w:rsidP="00CB0214">
            <w:pPr>
              <w:pStyle w:val="TableParagraph"/>
              <w:ind w:left="142"/>
              <w:rPr>
                <w:noProof/>
                <w:sz w:val="24"/>
                <w:szCs w:val="24"/>
              </w:rPr>
            </w:pPr>
            <w:r>
              <w:rPr>
                <w:sz w:val="24"/>
              </w:rPr>
              <w:t xml:space="preserve">OECD-CoR (2016), </w:t>
            </w:r>
            <w:r>
              <w:rPr>
                <w:i/>
                <w:sz w:val="24"/>
              </w:rPr>
              <w:t>Results of the survey on regional and local obstacles to investments</w:t>
            </w:r>
            <w:r>
              <w:rPr>
                <w:sz w:val="24"/>
              </w:rPr>
              <w:t>, Committee of the Regions, European Commission.</w:t>
            </w:r>
          </w:p>
        </w:tc>
        <w:tc>
          <w:tcPr>
            <w:tcW w:w="319" w:type="pct"/>
          </w:tcPr>
          <w:p w14:paraId="5824B6E8" w14:textId="77777777" w:rsidR="00C37DE1" w:rsidRPr="00074D4C" w:rsidRDefault="00C37DE1" w:rsidP="00C85C26">
            <w:pPr>
              <w:pStyle w:val="TableParagraph"/>
              <w:jc w:val="right"/>
              <w:rPr>
                <w:noProof/>
                <w:sz w:val="24"/>
                <w:szCs w:val="24"/>
              </w:rPr>
            </w:pPr>
            <w:r>
              <w:rPr>
                <w:sz w:val="24"/>
                <w:vertAlign w:val="superscript"/>
              </w:rPr>
              <w:t>[72]</w:t>
            </w:r>
          </w:p>
        </w:tc>
      </w:tr>
      <w:tr w:rsidR="00C37DE1" w:rsidRPr="00074D4C" w14:paraId="31D11D09" w14:textId="77777777" w:rsidTr="00CB0214">
        <w:trPr>
          <w:trHeight w:val="998"/>
        </w:trPr>
        <w:tc>
          <w:tcPr>
            <w:tcW w:w="4681" w:type="pct"/>
          </w:tcPr>
          <w:p w14:paraId="29611C23" w14:textId="77777777" w:rsidR="00C37DE1" w:rsidRPr="00811D9B" w:rsidRDefault="00C37DE1" w:rsidP="00CB0214">
            <w:pPr>
              <w:pStyle w:val="TableParagraph"/>
              <w:ind w:left="142"/>
              <w:rPr>
                <w:noProof/>
                <w:sz w:val="24"/>
                <w:szCs w:val="24"/>
              </w:rPr>
            </w:pPr>
            <w:r>
              <w:rPr>
                <w:sz w:val="24"/>
              </w:rPr>
              <w:t>Phillips, L. (2018), “Improving the Performance of Sub-national Governments through Benchmarking and Performance Reporting”</w:t>
            </w:r>
            <w:r>
              <w:rPr>
                <w:i/>
                <w:sz w:val="24"/>
              </w:rPr>
              <w:t>, OECD Working Papers on Fiscal Federalism</w:t>
            </w:r>
            <w:r>
              <w:rPr>
                <w:sz w:val="24"/>
              </w:rPr>
              <w:t>, No. 22, OECD Publishing, Paris, https://dx.doi.org/10.1787/ffff92c6-en.</w:t>
            </w:r>
          </w:p>
        </w:tc>
        <w:tc>
          <w:tcPr>
            <w:tcW w:w="319" w:type="pct"/>
          </w:tcPr>
          <w:p w14:paraId="0D813B6B" w14:textId="77777777" w:rsidR="00C37DE1" w:rsidRPr="00074D4C" w:rsidRDefault="00C37DE1" w:rsidP="00C85C26">
            <w:pPr>
              <w:pStyle w:val="TableParagraph"/>
              <w:jc w:val="right"/>
              <w:rPr>
                <w:noProof/>
                <w:sz w:val="24"/>
                <w:szCs w:val="24"/>
              </w:rPr>
            </w:pPr>
            <w:r>
              <w:rPr>
                <w:sz w:val="24"/>
                <w:vertAlign w:val="superscript"/>
              </w:rPr>
              <w:t>[80]</w:t>
            </w:r>
          </w:p>
        </w:tc>
      </w:tr>
      <w:tr w:rsidR="00C37DE1" w:rsidRPr="00074D4C" w14:paraId="7228D1E1" w14:textId="77777777" w:rsidTr="00CB0214">
        <w:trPr>
          <w:trHeight w:val="998"/>
        </w:trPr>
        <w:tc>
          <w:tcPr>
            <w:tcW w:w="4681" w:type="pct"/>
          </w:tcPr>
          <w:p w14:paraId="2DEE49A3" w14:textId="3EC4A64C" w:rsidR="00C37DE1" w:rsidRPr="00811D9B" w:rsidRDefault="00C37DE1" w:rsidP="00811D9B">
            <w:pPr>
              <w:pStyle w:val="TableParagraph"/>
              <w:ind w:left="142"/>
              <w:rPr>
                <w:noProof/>
                <w:sz w:val="24"/>
                <w:szCs w:val="24"/>
              </w:rPr>
            </w:pPr>
            <w:r>
              <w:rPr>
                <w:sz w:val="24"/>
              </w:rPr>
              <w:t xml:space="preserve">Qiao, B., J. Martinez-Vazquez and Y. Xu (2008), “The tradeoff between growth and equity in decentralization policy: China’s experience”, </w:t>
            </w:r>
            <w:r>
              <w:rPr>
                <w:i/>
                <w:sz w:val="24"/>
              </w:rPr>
              <w:t>Journal of Development Economics</w:t>
            </w:r>
            <w:r>
              <w:rPr>
                <w:sz w:val="24"/>
              </w:rPr>
              <w:t>, Vol. 86/1, pp. 112-128.</w:t>
            </w:r>
          </w:p>
        </w:tc>
        <w:tc>
          <w:tcPr>
            <w:tcW w:w="319" w:type="pct"/>
          </w:tcPr>
          <w:p w14:paraId="298BC59D" w14:textId="77777777" w:rsidR="00C37DE1" w:rsidRPr="00074D4C" w:rsidRDefault="00C37DE1" w:rsidP="00C85C26">
            <w:pPr>
              <w:pStyle w:val="TableParagraph"/>
              <w:jc w:val="right"/>
              <w:rPr>
                <w:noProof/>
                <w:sz w:val="24"/>
                <w:szCs w:val="24"/>
              </w:rPr>
            </w:pPr>
            <w:r>
              <w:rPr>
                <w:sz w:val="24"/>
                <w:vertAlign w:val="superscript"/>
              </w:rPr>
              <w:t>[16]</w:t>
            </w:r>
          </w:p>
        </w:tc>
      </w:tr>
      <w:tr w:rsidR="00C37DE1" w:rsidRPr="00074D4C" w14:paraId="694A0E43" w14:textId="77777777" w:rsidTr="00CB0214">
        <w:trPr>
          <w:trHeight w:val="998"/>
        </w:trPr>
        <w:tc>
          <w:tcPr>
            <w:tcW w:w="4681" w:type="pct"/>
          </w:tcPr>
          <w:p w14:paraId="23088745" w14:textId="77777777" w:rsidR="00C37DE1" w:rsidRPr="00811D9B" w:rsidRDefault="00C37DE1" w:rsidP="00CB0214">
            <w:pPr>
              <w:pStyle w:val="TableParagraph"/>
              <w:ind w:left="142"/>
              <w:jc w:val="both"/>
              <w:rPr>
                <w:noProof/>
                <w:sz w:val="24"/>
                <w:szCs w:val="24"/>
              </w:rPr>
            </w:pPr>
            <w:r>
              <w:rPr>
                <w:sz w:val="24"/>
              </w:rPr>
              <w:t xml:space="preserve">Sow, M. and I. Razafimahefa (2018), “Fiscal decentralisation and the efficiency of public service delivery”, in </w:t>
            </w:r>
            <w:r>
              <w:rPr>
                <w:i/>
                <w:sz w:val="24"/>
              </w:rPr>
              <w:t>Fiscal Decentralisation and Inclusive Growth</w:t>
            </w:r>
            <w:r>
              <w:rPr>
                <w:sz w:val="24"/>
              </w:rPr>
              <w:t>, OECD Publishing, Paris, https://dx.doi.org/10.1787/9789264302488-11-en.</w:t>
            </w:r>
          </w:p>
        </w:tc>
        <w:tc>
          <w:tcPr>
            <w:tcW w:w="319" w:type="pct"/>
          </w:tcPr>
          <w:p w14:paraId="193A3683" w14:textId="77777777" w:rsidR="00C37DE1" w:rsidRPr="00074D4C" w:rsidRDefault="00C37DE1" w:rsidP="00C85C26">
            <w:pPr>
              <w:pStyle w:val="TableParagraph"/>
              <w:jc w:val="right"/>
              <w:rPr>
                <w:noProof/>
                <w:sz w:val="24"/>
                <w:szCs w:val="24"/>
              </w:rPr>
            </w:pPr>
            <w:r>
              <w:rPr>
                <w:sz w:val="24"/>
                <w:vertAlign w:val="superscript"/>
              </w:rPr>
              <w:t>[25]</w:t>
            </w:r>
          </w:p>
        </w:tc>
      </w:tr>
      <w:tr w:rsidR="00C37DE1" w:rsidRPr="00074D4C" w14:paraId="7ABCFC88" w14:textId="77777777" w:rsidTr="00811D9B">
        <w:trPr>
          <w:trHeight w:val="1254"/>
        </w:trPr>
        <w:tc>
          <w:tcPr>
            <w:tcW w:w="4681" w:type="pct"/>
          </w:tcPr>
          <w:p w14:paraId="591215E7" w14:textId="77777777" w:rsidR="00C37DE1" w:rsidRPr="00074D4C" w:rsidRDefault="00C37DE1" w:rsidP="00CB0214">
            <w:pPr>
              <w:pStyle w:val="TableParagraph"/>
              <w:ind w:left="142"/>
              <w:rPr>
                <w:noProof/>
                <w:sz w:val="24"/>
                <w:szCs w:val="24"/>
              </w:rPr>
            </w:pPr>
            <w:r>
              <w:rPr>
                <w:sz w:val="24"/>
              </w:rPr>
              <w:t xml:space="preserve">Stossberg, S. and H. Blöchliger (2017), “Fiscal Decentralisation and Income Inequality: Empirical Evidence from OECD Countries”, </w:t>
            </w:r>
            <w:r>
              <w:rPr>
                <w:i/>
                <w:sz w:val="24"/>
              </w:rPr>
              <w:t>Journal of Economics and Statistics (Jahrbuecher fuer Nationaloekonomie und Statistik)</w:t>
            </w:r>
            <w:r>
              <w:rPr>
                <w:sz w:val="24"/>
              </w:rPr>
              <w:t>, Vol. 237/3, pp. 225-273.</w:t>
            </w:r>
          </w:p>
        </w:tc>
        <w:tc>
          <w:tcPr>
            <w:tcW w:w="319" w:type="pct"/>
          </w:tcPr>
          <w:p w14:paraId="25DF1889" w14:textId="77777777" w:rsidR="00C37DE1" w:rsidRPr="00074D4C" w:rsidRDefault="00C37DE1" w:rsidP="00C85C26">
            <w:pPr>
              <w:pStyle w:val="TableParagraph"/>
              <w:jc w:val="right"/>
              <w:rPr>
                <w:noProof/>
                <w:sz w:val="24"/>
                <w:szCs w:val="24"/>
              </w:rPr>
            </w:pPr>
            <w:r>
              <w:rPr>
                <w:sz w:val="24"/>
                <w:vertAlign w:val="superscript"/>
              </w:rPr>
              <w:t>[24]</w:t>
            </w:r>
          </w:p>
        </w:tc>
      </w:tr>
      <w:tr w:rsidR="00C37DE1" w:rsidRPr="00074D4C" w14:paraId="63D0CCB7" w14:textId="77777777" w:rsidTr="00CB0214">
        <w:trPr>
          <w:trHeight w:val="620"/>
        </w:trPr>
        <w:tc>
          <w:tcPr>
            <w:tcW w:w="4681" w:type="pct"/>
          </w:tcPr>
          <w:p w14:paraId="3F30F986" w14:textId="77777777" w:rsidR="00C37DE1" w:rsidRPr="00074D4C" w:rsidRDefault="00C37DE1" w:rsidP="00CB0214">
            <w:pPr>
              <w:pStyle w:val="TableParagraph"/>
              <w:ind w:left="142"/>
              <w:rPr>
                <w:noProof/>
                <w:sz w:val="24"/>
                <w:szCs w:val="24"/>
              </w:rPr>
            </w:pPr>
            <w:r>
              <w:rPr>
                <w:sz w:val="24"/>
              </w:rPr>
              <w:t>Ter-Minassian, T. (2020), “Challenges of subnational capacity development”</w:t>
            </w:r>
            <w:r>
              <w:rPr>
                <w:i/>
                <w:sz w:val="24"/>
              </w:rPr>
              <w:t>, OECD Fiscal Federalism Working Papers</w:t>
            </w:r>
            <w:r>
              <w:rPr>
                <w:sz w:val="24"/>
              </w:rPr>
              <w:t>, forthcoming.</w:t>
            </w:r>
          </w:p>
        </w:tc>
        <w:tc>
          <w:tcPr>
            <w:tcW w:w="319" w:type="pct"/>
          </w:tcPr>
          <w:p w14:paraId="54E156EE" w14:textId="77777777" w:rsidR="00C37DE1" w:rsidRPr="00074D4C" w:rsidRDefault="00C37DE1" w:rsidP="00C85C26">
            <w:pPr>
              <w:pStyle w:val="TableParagraph"/>
              <w:jc w:val="right"/>
              <w:rPr>
                <w:noProof/>
                <w:sz w:val="24"/>
                <w:szCs w:val="24"/>
              </w:rPr>
            </w:pPr>
            <w:r>
              <w:rPr>
                <w:sz w:val="24"/>
                <w:vertAlign w:val="superscript"/>
              </w:rPr>
              <w:t>[91]</w:t>
            </w:r>
          </w:p>
        </w:tc>
      </w:tr>
      <w:tr w:rsidR="00C37DE1" w:rsidRPr="00074D4C" w14:paraId="012CB670" w14:textId="77777777" w:rsidTr="00CB0214">
        <w:trPr>
          <w:trHeight w:val="622"/>
        </w:trPr>
        <w:tc>
          <w:tcPr>
            <w:tcW w:w="4681" w:type="pct"/>
          </w:tcPr>
          <w:p w14:paraId="6CF3BB49" w14:textId="77777777" w:rsidR="00C37DE1" w:rsidRPr="00074D4C" w:rsidRDefault="00C37DE1" w:rsidP="00CB0214">
            <w:pPr>
              <w:pStyle w:val="TableParagraph"/>
              <w:ind w:left="142"/>
              <w:rPr>
                <w:noProof/>
                <w:sz w:val="24"/>
                <w:szCs w:val="24"/>
              </w:rPr>
            </w:pPr>
            <w:r>
              <w:rPr>
                <w:sz w:val="24"/>
              </w:rPr>
              <w:t>Ter-Minassian, T. and L. de Mello (2016), “Intergovernmental Fiscal Cooperation”</w:t>
            </w:r>
            <w:r>
              <w:rPr>
                <w:i/>
                <w:sz w:val="24"/>
              </w:rPr>
              <w:t>, Inter- american Development Bank Technical Notes</w:t>
            </w:r>
            <w:r>
              <w:rPr>
                <w:sz w:val="24"/>
              </w:rPr>
              <w:t>, No. IDB-TN-1048.</w:t>
            </w:r>
          </w:p>
        </w:tc>
        <w:tc>
          <w:tcPr>
            <w:tcW w:w="319" w:type="pct"/>
          </w:tcPr>
          <w:p w14:paraId="5D64DADA" w14:textId="77777777" w:rsidR="00C37DE1" w:rsidRPr="00074D4C" w:rsidRDefault="00C37DE1" w:rsidP="00C85C26">
            <w:pPr>
              <w:pStyle w:val="TableParagraph"/>
              <w:jc w:val="right"/>
              <w:rPr>
                <w:noProof/>
                <w:sz w:val="24"/>
                <w:szCs w:val="24"/>
              </w:rPr>
            </w:pPr>
            <w:r>
              <w:rPr>
                <w:sz w:val="24"/>
                <w:vertAlign w:val="superscript"/>
              </w:rPr>
              <w:t>[70]</w:t>
            </w:r>
          </w:p>
        </w:tc>
      </w:tr>
      <w:tr w:rsidR="00C37DE1" w:rsidRPr="00074D4C" w14:paraId="791460A7" w14:textId="77777777" w:rsidTr="00CB0214">
        <w:trPr>
          <w:trHeight w:val="744"/>
        </w:trPr>
        <w:tc>
          <w:tcPr>
            <w:tcW w:w="4681" w:type="pct"/>
          </w:tcPr>
          <w:p w14:paraId="2B5FA6FA" w14:textId="77777777" w:rsidR="00C37DE1" w:rsidRPr="00074D4C" w:rsidRDefault="00C37DE1" w:rsidP="00CB0214">
            <w:pPr>
              <w:pStyle w:val="TableParagraph"/>
              <w:ind w:left="142"/>
              <w:rPr>
                <w:noProof/>
                <w:sz w:val="24"/>
                <w:szCs w:val="24"/>
              </w:rPr>
            </w:pPr>
            <w:r>
              <w:rPr>
                <w:sz w:val="24"/>
              </w:rPr>
              <w:t xml:space="preserve">Tiebout, C. (1956), “A pure theory of local expenditures.”, </w:t>
            </w:r>
            <w:r>
              <w:rPr>
                <w:i/>
                <w:sz w:val="24"/>
              </w:rPr>
              <w:t>The Journal of Political Economy</w:t>
            </w:r>
            <w:r>
              <w:rPr>
                <w:sz w:val="24"/>
              </w:rPr>
              <w:t>, Vol. 64, pp. 416–424.</w:t>
            </w:r>
          </w:p>
        </w:tc>
        <w:tc>
          <w:tcPr>
            <w:tcW w:w="319" w:type="pct"/>
          </w:tcPr>
          <w:p w14:paraId="0F9598D2" w14:textId="77777777" w:rsidR="00C37DE1" w:rsidRPr="00074D4C" w:rsidRDefault="00C37DE1" w:rsidP="00C85C26">
            <w:pPr>
              <w:pStyle w:val="TableParagraph"/>
              <w:jc w:val="right"/>
              <w:rPr>
                <w:noProof/>
                <w:sz w:val="24"/>
                <w:szCs w:val="24"/>
              </w:rPr>
            </w:pPr>
            <w:r>
              <w:rPr>
                <w:sz w:val="24"/>
                <w:vertAlign w:val="superscript"/>
              </w:rPr>
              <w:t>[19]</w:t>
            </w:r>
          </w:p>
        </w:tc>
      </w:tr>
      <w:tr w:rsidR="00C37DE1" w:rsidRPr="00074D4C" w14:paraId="43359DD2" w14:textId="77777777" w:rsidTr="00CB0214">
        <w:trPr>
          <w:trHeight w:val="746"/>
        </w:trPr>
        <w:tc>
          <w:tcPr>
            <w:tcW w:w="4681" w:type="pct"/>
          </w:tcPr>
          <w:p w14:paraId="1DCCDD3F" w14:textId="77777777" w:rsidR="00C37DE1" w:rsidRPr="00074D4C" w:rsidRDefault="00C37DE1" w:rsidP="00CB0214">
            <w:pPr>
              <w:pStyle w:val="TableParagraph"/>
              <w:ind w:left="142"/>
              <w:rPr>
                <w:noProof/>
                <w:sz w:val="24"/>
                <w:szCs w:val="24"/>
              </w:rPr>
            </w:pPr>
            <w:r>
              <w:rPr>
                <w:sz w:val="24"/>
              </w:rPr>
              <w:t xml:space="preserve">Xie, D., H. Zou and H. Davoodi (1999), “Fiscal Decentralization and Economic Growth in the United States”, </w:t>
            </w:r>
            <w:r>
              <w:rPr>
                <w:i/>
                <w:sz w:val="24"/>
              </w:rPr>
              <w:t>Journal of Urban Economics</w:t>
            </w:r>
            <w:r>
              <w:rPr>
                <w:sz w:val="24"/>
              </w:rPr>
              <w:t>, Vol. 45/2, pp. 228-239.</w:t>
            </w:r>
          </w:p>
        </w:tc>
        <w:tc>
          <w:tcPr>
            <w:tcW w:w="319" w:type="pct"/>
          </w:tcPr>
          <w:p w14:paraId="57506B6A" w14:textId="77777777" w:rsidR="00C37DE1" w:rsidRPr="00074D4C" w:rsidRDefault="00C37DE1" w:rsidP="00C85C26">
            <w:pPr>
              <w:pStyle w:val="TableParagraph"/>
              <w:jc w:val="right"/>
              <w:rPr>
                <w:noProof/>
                <w:sz w:val="24"/>
                <w:szCs w:val="24"/>
              </w:rPr>
            </w:pPr>
            <w:r>
              <w:rPr>
                <w:sz w:val="24"/>
                <w:vertAlign w:val="superscript"/>
              </w:rPr>
              <w:t>[15]</w:t>
            </w:r>
          </w:p>
        </w:tc>
      </w:tr>
      <w:tr w:rsidR="00C37DE1" w:rsidRPr="00074D4C" w14:paraId="2AC8232E" w14:textId="77777777" w:rsidTr="00CB0214">
        <w:trPr>
          <w:trHeight w:val="622"/>
        </w:trPr>
        <w:tc>
          <w:tcPr>
            <w:tcW w:w="4681" w:type="pct"/>
          </w:tcPr>
          <w:p w14:paraId="7AF452BC" w14:textId="77777777" w:rsidR="00C37DE1" w:rsidRPr="00074D4C" w:rsidRDefault="00C37DE1" w:rsidP="00CB0214">
            <w:pPr>
              <w:pStyle w:val="TableParagraph"/>
              <w:ind w:left="142"/>
              <w:rPr>
                <w:noProof/>
                <w:sz w:val="24"/>
                <w:szCs w:val="24"/>
              </w:rPr>
            </w:pPr>
            <w:r>
              <w:rPr>
                <w:sz w:val="24"/>
              </w:rPr>
              <w:t xml:space="preserve">Zhang, T. and H. Zou (1998), “Fiscal decentralization, public spending, and economic growth in China”, </w:t>
            </w:r>
            <w:r>
              <w:rPr>
                <w:i/>
                <w:sz w:val="24"/>
              </w:rPr>
              <w:t>Journal of Public Economics</w:t>
            </w:r>
            <w:r>
              <w:rPr>
                <w:sz w:val="24"/>
              </w:rPr>
              <w:t>, Vol. 67/2, pp. 221-240.</w:t>
            </w:r>
          </w:p>
        </w:tc>
        <w:tc>
          <w:tcPr>
            <w:tcW w:w="319" w:type="pct"/>
          </w:tcPr>
          <w:p w14:paraId="0A16E126" w14:textId="77777777" w:rsidR="00C37DE1" w:rsidRPr="00074D4C" w:rsidRDefault="00C37DE1" w:rsidP="00C85C26">
            <w:pPr>
              <w:pStyle w:val="TableParagraph"/>
              <w:jc w:val="right"/>
              <w:rPr>
                <w:noProof/>
                <w:sz w:val="24"/>
                <w:szCs w:val="24"/>
              </w:rPr>
            </w:pPr>
            <w:r>
              <w:rPr>
                <w:sz w:val="24"/>
                <w:vertAlign w:val="superscript"/>
              </w:rPr>
              <w:t>[17]</w:t>
            </w:r>
          </w:p>
        </w:tc>
      </w:tr>
    </w:tbl>
    <w:p w14:paraId="5AFA7446" w14:textId="77777777" w:rsidR="00C37DE1" w:rsidRPr="00074D4C" w:rsidRDefault="00C37DE1" w:rsidP="00C85C26">
      <w:pPr>
        <w:rPr>
          <w:noProof/>
          <w:sz w:val="24"/>
          <w:szCs w:val="24"/>
        </w:rPr>
      </w:pPr>
    </w:p>
    <w:sectPr w:rsidR="00C37DE1" w:rsidRPr="00074D4C" w:rsidSect="001B7C08">
      <w:headerReference w:type="even" r:id="rId29"/>
      <w:headerReference w:type="default" r:id="rId30"/>
      <w:footerReference w:type="even" r:id="rId31"/>
      <w:footerReference w:type="default" r:id="rId32"/>
      <w:headerReference w:type="first" r:id="rId33"/>
      <w:footerReference w:type="first" r:id="rId3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F742" w14:textId="77777777" w:rsidR="007A08A0" w:rsidRPr="00C37DE1" w:rsidRDefault="007A08A0">
      <w:pPr>
        <w:rPr>
          <w:noProof/>
        </w:rPr>
      </w:pPr>
      <w:r w:rsidRPr="00C37DE1">
        <w:rPr>
          <w:noProof/>
        </w:rPr>
        <w:separator/>
      </w:r>
    </w:p>
  </w:endnote>
  <w:endnote w:type="continuationSeparator" w:id="0">
    <w:p w14:paraId="055788D9" w14:textId="77777777" w:rsidR="007A08A0" w:rsidRPr="00C37DE1" w:rsidRDefault="007A08A0">
      <w:pPr>
        <w:rPr>
          <w:noProof/>
        </w:rPr>
      </w:pPr>
      <w:r w:rsidRPr="00C37DE1">
        <w:rPr>
          <w:noProof/>
        </w:rPr>
        <w:continuationSeparator/>
      </w:r>
    </w:p>
  </w:endnote>
  <w:endnote w:type="continuationNotice" w:id="1">
    <w:p w14:paraId="7C564D14" w14:textId="77777777" w:rsidR="007A08A0" w:rsidRDefault="007A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3377" w14:textId="5A57A5C1" w:rsidR="005B3CDA" w:rsidRPr="00C37DE1" w:rsidRDefault="005B3CDA">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736" w14:textId="77777777" w:rsidR="002E4FAA" w:rsidRPr="002E4FAA" w:rsidRDefault="002E4FAA" w:rsidP="002E4FAA">
    <w:pPr>
      <w:tabs>
        <w:tab w:val="right" w:leader="underscore" w:pos="9072"/>
      </w:tabs>
      <w:autoSpaceDE/>
      <w:autoSpaceDN/>
      <w:rPr>
        <w:rFonts w:eastAsiaTheme="minorHAnsi"/>
        <w:sz w:val="20"/>
        <w:szCs w:val="18"/>
      </w:rPr>
    </w:pPr>
    <w:r w:rsidRPr="002E4FAA">
      <w:rPr>
        <w:rFonts w:eastAsiaTheme="minorHAnsi"/>
        <w:sz w:val="20"/>
        <w:szCs w:val="18"/>
      </w:rPr>
      <w:tab/>
    </w:r>
  </w:p>
  <w:p w14:paraId="33282D9F" w14:textId="77777777" w:rsidR="002E4FAA" w:rsidRPr="002E4FAA" w:rsidRDefault="002E4FAA" w:rsidP="002E4FAA">
    <w:pPr>
      <w:tabs>
        <w:tab w:val="center" w:pos="4513"/>
        <w:tab w:val="right" w:pos="9026"/>
        <w:tab w:val="right" w:pos="9072"/>
      </w:tabs>
      <w:autoSpaceDE/>
      <w:autoSpaceDN/>
      <w:rPr>
        <w:rFonts w:eastAsiaTheme="minorHAnsi"/>
        <w:sz w:val="20"/>
        <w:szCs w:val="18"/>
      </w:rPr>
    </w:pPr>
  </w:p>
  <w:p w14:paraId="276AFFC9" w14:textId="085C08E8" w:rsidR="002E4FAA" w:rsidRPr="002E4FAA" w:rsidRDefault="002E4FAA" w:rsidP="002E4FAA">
    <w:pPr>
      <w:tabs>
        <w:tab w:val="right" w:pos="9072"/>
      </w:tabs>
      <w:autoSpaceDE/>
      <w:autoSpaceDN/>
      <w:rPr>
        <w:rFonts w:eastAsiaTheme="minorHAnsi"/>
        <w:sz w:val="20"/>
        <w:szCs w:val="18"/>
      </w:rPr>
    </w:pPr>
    <w:r w:rsidRPr="002E4FAA">
      <w:rPr>
        <w:rFonts w:eastAsiaTheme="minorHAnsi"/>
        <w:noProof/>
        <w:sz w:val="20"/>
        <w:szCs w:val="18"/>
      </w:rPr>
      <w:t xml:space="preserve">Tulkojums </w:t>
    </w:r>
    <w:r w:rsidRPr="002E4FAA">
      <w:rPr>
        <w:rFonts w:eastAsiaTheme="minorHAnsi"/>
        <w:noProof/>
        <w:sz w:val="20"/>
        <w:szCs w:val="18"/>
      </w:rPr>
      <w:fldChar w:fldCharType="begin"/>
    </w:r>
    <w:r w:rsidRPr="002E4FAA">
      <w:rPr>
        <w:rFonts w:eastAsiaTheme="minorHAnsi"/>
        <w:noProof/>
        <w:sz w:val="20"/>
        <w:szCs w:val="18"/>
      </w:rPr>
      <w:instrText>symbol 211 \f "Symbol" \s 9</w:instrText>
    </w:r>
    <w:r w:rsidRPr="002E4FAA">
      <w:rPr>
        <w:rFonts w:eastAsiaTheme="minorHAnsi"/>
        <w:noProof/>
        <w:sz w:val="20"/>
        <w:szCs w:val="18"/>
      </w:rPr>
      <w:fldChar w:fldCharType="separate"/>
    </w:r>
    <w:r w:rsidRPr="002E4FAA">
      <w:rPr>
        <w:rFonts w:eastAsiaTheme="minorHAnsi"/>
        <w:noProof/>
        <w:sz w:val="20"/>
        <w:szCs w:val="18"/>
      </w:rPr>
      <w:t>Ó</w:t>
    </w:r>
    <w:r w:rsidRPr="002E4FAA">
      <w:rPr>
        <w:rFonts w:eastAsiaTheme="minorHAnsi"/>
        <w:noProof/>
        <w:sz w:val="20"/>
        <w:szCs w:val="18"/>
      </w:rPr>
      <w:fldChar w:fldCharType="end"/>
    </w:r>
    <w:r w:rsidRPr="002E4FAA">
      <w:rPr>
        <w:rFonts w:eastAsiaTheme="minorHAnsi"/>
        <w:noProof/>
        <w:sz w:val="20"/>
        <w:szCs w:val="18"/>
      </w:rPr>
      <w:t xml:space="preserve"> Valsts valodas centrs, 202</w:t>
    </w:r>
    <w:r>
      <w:rPr>
        <w:rFonts w:eastAsiaTheme="minorHAnsi"/>
        <w:noProof/>
        <w:sz w:val="20"/>
        <w:szCs w:val="18"/>
      </w:rPr>
      <w:t>5</w:t>
    </w:r>
    <w:r w:rsidRPr="002E4FAA">
      <w:rPr>
        <w:rFonts w:eastAsiaTheme="minorHAnsi"/>
        <w:sz w:val="20"/>
        <w:szCs w:val="18"/>
      </w:rPr>
      <w:tab/>
    </w:r>
    <w:r w:rsidRPr="002E4FAA">
      <w:rPr>
        <w:rFonts w:eastAsiaTheme="minorHAnsi"/>
        <w:sz w:val="20"/>
        <w:szCs w:val="18"/>
      </w:rPr>
      <w:fldChar w:fldCharType="begin"/>
    </w:r>
    <w:r w:rsidRPr="002E4FAA">
      <w:rPr>
        <w:rFonts w:eastAsiaTheme="minorHAnsi"/>
        <w:sz w:val="20"/>
        <w:szCs w:val="18"/>
      </w:rPr>
      <w:instrText xml:space="preserve">page </w:instrText>
    </w:r>
    <w:r w:rsidRPr="002E4FAA">
      <w:rPr>
        <w:rFonts w:eastAsiaTheme="minorHAnsi"/>
        <w:sz w:val="20"/>
        <w:szCs w:val="18"/>
      </w:rPr>
      <w:fldChar w:fldCharType="separate"/>
    </w:r>
    <w:r w:rsidRPr="002E4FAA">
      <w:rPr>
        <w:rFonts w:eastAsiaTheme="minorHAnsi"/>
        <w:sz w:val="20"/>
        <w:szCs w:val="18"/>
      </w:rPr>
      <w:t>2</w:t>
    </w:r>
    <w:r w:rsidRPr="002E4FAA">
      <w:rPr>
        <w:rFonts w:eastAsiaTheme="minorHAnsi"/>
        <w:sz w:val="20"/>
        <w:szCs w:val="18"/>
      </w:rPr>
      <w:fldChar w:fldCharType="end"/>
    </w:r>
  </w:p>
  <w:p w14:paraId="14743378" w14:textId="4AB9313A" w:rsidR="005B3CDA" w:rsidRDefault="005B3CD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D5C3" w14:textId="77777777" w:rsidR="00F22F9C" w:rsidRPr="00F22F9C" w:rsidRDefault="00F22F9C" w:rsidP="00F22F9C">
    <w:pPr>
      <w:tabs>
        <w:tab w:val="left" w:leader="underscore" w:pos="9072"/>
      </w:tabs>
      <w:autoSpaceDE/>
      <w:autoSpaceDN/>
      <w:rPr>
        <w:rFonts w:eastAsiaTheme="minorHAnsi"/>
        <w:sz w:val="20"/>
        <w:szCs w:val="18"/>
      </w:rPr>
    </w:pPr>
    <w:r w:rsidRPr="00F22F9C">
      <w:rPr>
        <w:rFonts w:eastAsiaTheme="minorHAnsi"/>
        <w:sz w:val="20"/>
        <w:szCs w:val="18"/>
      </w:rPr>
      <w:tab/>
    </w:r>
  </w:p>
  <w:p w14:paraId="7FC5667D" w14:textId="77777777" w:rsidR="00F22F9C" w:rsidRPr="00F22F9C" w:rsidRDefault="00F22F9C" w:rsidP="00F22F9C">
    <w:pPr>
      <w:tabs>
        <w:tab w:val="center" w:pos="4513"/>
        <w:tab w:val="right" w:pos="9026"/>
        <w:tab w:val="left" w:pos="9072"/>
      </w:tabs>
      <w:autoSpaceDE/>
      <w:autoSpaceDN/>
      <w:rPr>
        <w:rFonts w:eastAsiaTheme="minorHAnsi"/>
        <w:sz w:val="20"/>
        <w:szCs w:val="18"/>
      </w:rPr>
    </w:pPr>
  </w:p>
  <w:p w14:paraId="52F9C2A5" w14:textId="2BFC4828" w:rsidR="00F22F9C" w:rsidRPr="00F22F9C" w:rsidRDefault="00F22F9C" w:rsidP="00F22F9C">
    <w:pPr>
      <w:tabs>
        <w:tab w:val="center" w:pos="4513"/>
        <w:tab w:val="right" w:pos="9026"/>
      </w:tabs>
      <w:autoSpaceDE/>
      <w:autoSpaceDN/>
      <w:rPr>
        <w:rFonts w:eastAsiaTheme="minorHAnsi"/>
        <w:sz w:val="20"/>
        <w:szCs w:val="18"/>
      </w:rPr>
    </w:pPr>
    <w:r w:rsidRPr="00F22F9C">
      <w:rPr>
        <w:rFonts w:eastAsiaTheme="minorHAnsi"/>
        <w:noProof/>
        <w:sz w:val="20"/>
        <w:szCs w:val="18"/>
      </w:rPr>
      <w:t xml:space="preserve">Tulkojums </w:t>
    </w:r>
    <w:r w:rsidRPr="00F22F9C">
      <w:rPr>
        <w:rFonts w:eastAsiaTheme="minorHAnsi"/>
        <w:noProof/>
        <w:sz w:val="20"/>
        <w:szCs w:val="18"/>
      </w:rPr>
      <w:fldChar w:fldCharType="begin"/>
    </w:r>
    <w:r w:rsidRPr="00F22F9C">
      <w:rPr>
        <w:rFonts w:eastAsiaTheme="minorHAnsi"/>
        <w:noProof/>
        <w:sz w:val="20"/>
        <w:szCs w:val="18"/>
      </w:rPr>
      <w:instrText>symbol 211 \f "Symbol" \s 9</w:instrText>
    </w:r>
    <w:r w:rsidRPr="00F22F9C">
      <w:rPr>
        <w:rFonts w:eastAsiaTheme="minorHAnsi"/>
        <w:noProof/>
        <w:sz w:val="20"/>
        <w:szCs w:val="18"/>
      </w:rPr>
      <w:fldChar w:fldCharType="separate"/>
    </w:r>
    <w:r w:rsidRPr="00F22F9C">
      <w:rPr>
        <w:rFonts w:eastAsiaTheme="minorHAnsi"/>
        <w:noProof/>
        <w:sz w:val="20"/>
        <w:szCs w:val="18"/>
      </w:rPr>
      <w:t>Ó</w:t>
    </w:r>
    <w:r w:rsidRPr="00F22F9C">
      <w:rPr>
        <w:rFonts w:eastAsiaTheme="minorHAnsi"/>
        <w:noProof/>
        <w:sz w:val="20"/>
        <w:szCs w:val="18"/>
      </w:rPr>
      <w:fldChar w:fldCharType="end"/>
    </w:r>
    <w:r w:rsidRPr="00F22F9C">
      <w:rPr>
        <w:rFonts w:eastAsiaTheme="minorHAnsi"/>
        <w:noProof/>
        <w:sz w:val="20"/>
        <w:szCs w:val="18"/>
      </w:rPr>
      <w:t xml:space="preserve"> Valsts valodas centrs, 202</w:t>
    </w:r>
    <w:r w:rsidR="00E0407B">
      <w:rPr>
        <w:rFonts w:eastAsiaTheme="minorHAnsi"/>
        <w:noProof/>
        <w:sz w:val="20"/>
        <w:szCs w:val="18"/>
      </w:rPr>
      <w:t>5</w:t>
    </w:r>
  </w:p>
  <w:p w14:paraId="5249069E" w14:textId="77777777" w:rsidR="00191E94" w:rsidRDefault="0019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569D" w14:textId="77777777" w:rsidR="007A08A0" w:rsidRPr="00C37DE1" w:rsidRDefault="007A08A0">
      <w:pPr>
        <w:rPr>
          <w:noProof/>
        </w:rPr>
      </w:pPr>
      <w:r w:rsidRPr="00C37DE1">
        <w:rPr>
          <w:noProof/>
        </w:rPr>
        <w:separator/>
      </w:r>
    </w:p>
  </w:footnote>
  <w:footnote w:type="continuationSeparator" w:id="0">
    <w:p w14:paraId="115AA5B4" w14:textId="77777777" w:rsidR="007A08A0" w:rsidRPr="00C37DE1" w:rsidRDefault="007A08A0">
      <w:pPr>
        <w:rPr>
          <w:noProof/>
        </w:rPr>
      </w:pPr>
      <w:r w:rsidRPr="00C37DE1">
        <w:rPr>
          <w:noProof/>
        </w:rPr>
        <w:continuationSeparator/>
      </w:r>
    </w:p>
  </w:footnote>
  <w:footnote w:type="continuationNotice" w:id="1">
    <w:p w14:paraId="053B66E2" w14:textId="77777777" w:rsidR="007A08A0" w:rsidRDefault="007A08A0"/>
  </w:footnote>
  <w:footnote w:id="2">
    <w:p w14:paraId="13DF8B62" w14:textId="42C07197" w:rsidR="00070D82" w:rsidRPr="007D2EB7" w:rsidRDefault="00070D82" w:rsidP="00070D82">
      <w:pPr>
        <w:jc w:val="both"/>
        <w:rPr>
          <w:noProof/>
          <w:sz w:val="20"/>
          <w:szCs w:val="20"/>
        </w:rPr>
      </w:pPr>
      <w:r>
        <w:rPr>
          <w:rStyle w:val="FootnoteReference"/>
          <w:sz w:val="20"/>
          <w:szCs w:val="20"/>
        </w:rPr>
        <w:footnoteRef/>
      </w:r>
      <w:r>
        <w:rPr>
          <w:sz w:val="20"/>
        </w:rPr>
        <w:t xml:space="preserve"> Uz galamērķa principu balstīts nodoklis nozīmē to, ka galaproduktam piemēro nodokli vietā, kur tas tiek patērēts, savukārt uz izcelsmes principu balstīts nodoklis nozīmē to, ka galaproduktam piemēro nodokli tā izcelsmes vietā.</w:t>
      </w:r>
    </w:p>
    <w:p w14:paraId="09E0AF5D" w14:textId="01F2EF6B" w:rsidR="00070D82" w:rsidRPr="00070D82" w:rsidRDefault="00070D82">
      <w:pPr>
        <w:pStyle w:val="FootnoteText"/>
        <w:rPr>
          <w:lang w:val="en-GB"/>
        </w:rPr>
      </w:pPr>
    </w:p>
  </w:footnote>
  <w:footnote w:id="3">
    <w:p w14:paraId="7D55DC3F" w14:textId="6D7C4EC1" w:rsidR="001B7C08" w:rsidRPr="001B7C08" w:rsidRDefault="001B7C08" w:rsidP="001B7C08">
      <w:pPr>
        <w:jc w:val="both"/>
        <w:rPr>
          <w:noProof/>
          <w:sz w:val="20"/>
          <w:szCs w:val="20"/>
        </w:rPr>
      </w:pPr>
      <w:r>
        <w:rPr>
          <w:rStyle w:val="FootnoteReference"/>
          <w:sz w:val="20"/>
          <w:szCs w:val="20"/>
        </w:rPr>
        <w:footnoteRef/>
      </w:r>
      <w:r>
        <w:rPr>
          <w:sz w:val="20"/>
        </w:rPr>
        <w:t xml:space="preserve"> Horizontālā izlīdzināšana ir fiskālās izlīdzināšanas sistēma, kurā pašvaldības ar lielākiem ieņēmumiem veic iemaksas no pašu ieņēmumiem, kuri tad tiek pārdalīti pašvaldībām ar mazākiem ieņēmumiem.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3375" w14:textId="647E9B3E" w:rsidR="005B3CDA" w:rsidRDefault="005B3CD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E6B7" w14:textId="77777777" w:rsidR="002E5C9A" w:rsidRPr="002E5C9A" w:rsidRDefault="002E5C9A" w:rsidP="002E5C9A">
    <w:pPr>
      <w:tabs>
        <w:tab w:val="right" w:leader="underscore" w:pos="9072"/>
      </w:tabs>
      <w:autoSpaceDE/>
      <w:autoSpaceDN/>
      <w:rPr>
        <w:rFonts w:eastAsiaTheme="minorHAnsi"/>
        <w:sz w:val="20"/>
        <w:szCs w:val="20"/>
      </w:rPr>
    </w:pPr>
    <w:bookmarkStart w:id="121" w:name="_Hlk496261784"/>
    <w:bookmarkStart w:id="122" w:name="_Hlk496261785"/>
    <w:bookmarkStart w:id="123" w:name="_Hlk496261786"/>
    <w:bookmarkStart w:id="124" w:name="_Hlk502757728"/>
    <w:bookmarkStart w:id="125" w:name="_Hlk502757729"/>
    <w:bookmarkStart w:id="126" w:name="_Hlk502757738"/>
    <w:bookmarkStart w:id="127" w:name="_Hlk502757739"/>
    <w:bookmarkStart w:id="128" w:name="_Hlk30491084"/>
    <w:bookmarkStart w:id="129" w:name="_Hlk30491085"/>
    <w:bookmarkStart w:id="130" w:name="_Hlk63344778"/>
    <w:bookmarkStart w:id="131" w:name="_Hlk63344779"/>
    <w:bookmarkStart w:id="132" w:name="_Hlk63344780"/>
    <w:bookmarkStart w:id="133" w:name="_Hlk63344781"/>
    <w:r w:rsidRPr="002E5C9A">
      <w:rPr>
        <w:rFonts w:eastAsiaTheme="minorHAnsi"/>
        <w:sz w:val="20"/>
        <w:szCs w:val="20"/>
      </w:rPr>
      <w:tab/>
    </w:r>
  </w:p>
  <w:bookmarkEnd w:id="121"/>
  <w:bookmarkEnd w:id="122"/>
  <w:bookmarkEnd w:id="123"/>
  <w:bookmarkEnd w:id="124"/>
  <w:bookmarkEnd w:id="125"/>
  <w:bookmarkEnd w:id="126"/>
  <w:bookmarkEnd w:id="127"/>
  <w:bookmarkEnd w:id="128"/>
  <w:bookmarkEnd w:id="129"/>
  <w:bookmarkEnd w:id="130"/>
  <w:bookmarkEnd w:id="131"/>
  <w:bookmarkEnd w:id="132"/>
  <w:bookmarkEnd w:id="133"/>
  <w:p w14:paraId="5FE8E9AC" w14:textId="77777777" w:rsidR="002E5C9A" w:rsidRPr="002E5C9A" w:rsidRDefault="002E5C9A" w:rsidP="002E5C9A">
    <w:pPr>
      <w:tabs>
        <w:tab w:val="center" w:pos="4513"/>
        <w:tab w:val="right" w:pos="9026"/>
      </w:tabs>
      <w:autoSpaceDE/>
      <w:autoSpaceDN/>
      <w:rPr>
        <w:rFonts w:eastAsiaTheme="minorHAnsi"/>
        <w:sz w:val="20"/>
        <w:szCs w:val="20"/>
      </w:rPr>
    </w:pPr>
  </w:p>
  <w:p w14:paraId="14743376" w14:textId="2B9FDC28" w:rsidR="005B3CDA" w:rsidRDefault="005B3CD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B649" w14:textId="77777777" w:rsidR="00191E94" w:rsidRPr="00864FDC" w:rsidRDefault="00191E94" w:rsidP="00191E94">
    <w:pPr>
      <w:pBdr>
        <w:bottom w:val="single" w:sz="12" w:space="5" w:color="auto"/>
      </w:pBdr>
      <w:rPr>
        <w:spacing w:val="-2"/>
        <w:sz w:val="20"/>
        <w:szCs w:val="20"/>
      </w:rPr>
    </w:pPr>
    <w:bookmarkStart w:id="134" w:name="_Hlk496261745"/>
    <w:bookmarkStart w:id="135" w:name="_Hlk496261746"/>
    <w:bookmarkStart w:id="136" w:name="_Hlk496261747"/>
    <w:bookmarkStart w:id="137" w:name="_Hlk30491063"/>
    <w:bookmarkStart w:id="138" w:name="_Hlk30491064"/>
  </w:p>
  <w:bookmarkEnd w:id="134"/>
  <w:bookmarkEnd w:id="135"/>
  <w:bookmarkEnd w:id="136"/>
  <w:bookmarkEnd w:id="137"/>
  <w:bookmarkEnd w:id="138"/>
  <w:p w14:paraId="5C4D15DB" w14:textId="77777777" w:rsidR="00191E94" w:rsidRDefault="0019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C87"/>
    <w:multiLevelType w:val="hybridMultilevel"/>
    <w:tmpl w:val="B30A0EAA"/>
    <w:lvl w:ilvl="0" w:tplc="CF3CB4B0">
      <w:numFmt w:val="bullet"/>
      <w:lvlText w:val=""/>
      <w:lvlJc w:val="left"/>
      <w:pPr>
        <w:ind w:left="852" w:hanging="286"/>
      </w:pPr>
      <w:rPr>
        <w:rFonts w:ascii="Symbol" w:eastAsia="Symbol" w:hAnsi="Symbol" w:cs="Symbol" w:hint="default"/>
        <w:b w:val="0"/>
        <w:bCs w:val="0"/>
        <w:i w:val="0"/>
        <w:iCs w:val="0"/>
        <w:spacing w:val="0"/>
        <w:w w:val="100"/>
        <w:sz w:val="22"/>
        <w:szCs w:val="22"/>
        <w:lang w:val="en-US" w:eastAsia="en-US" w:bidi="ar-SA"/>
      </w:rPr>
    </w:lvl>
    <w:lvl w:ilvl="1" w:tplc="4080FE26">
      <w:start w:val="1"/>
      <w:numFmt w:val="decimal"/>
      <w:lvlText w:val="%2."/>
      <w:lvlJc w:val="left"/>
      <w:pPr>
        <w:ind w:left="1072"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2" w:tplc="BB903B48">
      <w:numFmt w:val="bullet"/>
      <w:lvlText w:val="•"/>
      <w:lvlJc w:val="left"/>
      <w:pPr>
        <w:ind w:left="1993" w:hanging="221"/>
      </w:pPr>
      <w:rPr>
        <w:rFonts w:hint="default"/>
        <w:lang w:val="en-US" w:eastAsia="en-US" w:bidi="ar-SA"/>
      </w:rPr>
    </w:lvl>
    <w:lvl w:ilvl="3" w:tplc="A48AE702">
      <w:numFmt w:val="bullet"/>
      <w:lvlText w:val="•"/>
      <w:lvlJc w:val="left"/>
      <w:pPr>
        <w:ind w:left="2906" w:hanging="221"/>
      </w:pPr>
      <w:rPr>
        <w:rFonts w:hint="default"/>
        <w:lang w:val="en-US" w:eastAsia="en-US" w:bidi="ar-SA"/>
      </w:rPr>
    </w:lvl>
    <w:lvl w:ilvl="4" w:tplc="F0D60040">
      <w:numFmt w:val="bullet"/>
      <w:lvlText w:val="•"/>
      <w:lvlJc w:val="left"/>
      <w:pPr>
        <w:ind w:left="3820" w:hanging="221"/>
      </w:pPr>
      <w:rPr>
        <w:rFonts w:hint="default"/>
        <w:lang w:val="en-US" w:eastAsia="en-US" w:bidi="ar-SA"/>
      </w:rPr>
    </w:lvl>
    <w:lvl w:ilvl="5" w:tplc="1692423C">
      <w:numFmt w:val="bullet"/>
      <w:lvlText w:val="•"/>
      <w:lvlJc w:val="left"/>
      <w:pPr>
        <w:ind w:left="4733" w:hanging="221"/>
      </w:pPr>
      <w:rPr>
        <w:rFonts w:hint="default"/>
        <w:lang w:val="en-US" w:eastAsia="en-US" w:bidi="ar-SA"/>
      </w:rPr>
    </w:lvl>
    <w:lvl w:ilvl="6" w:tplc="59A6ADC0">
      <w:numFmt w:val="bullet"/>
      <w:lvlText w:val="•"/>
      <w:lvlJc w:val="left"/>
      <w:pPr>
        <w:ind w:left="5646" w:hanging="221"/>
      </w:pPr>
      <w:rPr>
        <w:rFonts w:hint="default"/>
        <w:lang w:val="en-US" w:eastAsia="en-US" w:bidi="ar-SA"/>
      </w:rPr>
    </w:lvl>
    <w:lvl w:ilvl="7" w:tplc="1CC28082">
      <w:numFmt w:val="bullet"/>
      <w:lvlText w:val="•"/>
      <w:lvlJc w:val="left"/>
      <w:pPr>
        <w:ind w:left="6560" w:hanging="221"/>
      </w:pPr>
      <w:rPr>
        <w:rFonts w:hint="default"/>
        <w:lang w:val="en-US" w:eastAsia="en-US" w:bidi="ar-SA"/>
      </w:rPr>
    </w:lvl>
    <w:lvl w:ilvl="8" w:tplc="7BCE3486">
      <w:numFmt w:val="bullet"/>
      <w:lvlText w:val="•"/>
      <w:lvlJc w:val="left"/>
      <w:pPr>
        <w:ind w:left="7473" w:hanging="221"/>
      </w:pPr>
      <w:rPr>
        <w:rFonts w:hint="default"/>
        <w:lang w:val="en-US" w:eastAsia="en-US" w:bidi="ar-SA"/>
      </w:rPr>
    </w:lvl>
  </w:abstractNum>
  <w:abstractNum w:abstractNumId="1" w15:restartNumberingAfterBreak="0">
    <w:nsid w:val="14C904CC"/>
    <w:multiLevelType w:val="hybridMultilevel"/>
    <w:tmpl w:val="77381942"/>
    <w:lvl w:ilvl="0" w:tplc="3884AD36">
      <w:start w:val="1"/>
      <w:numFmt w:val="decimal"/>
      <w:lvlText w:val="%1)"/>
      <w:lvlJc w:val="left"/>
      <w:pPr>
        <w:ind w:left="187" w:hanging="188"/>
      </w:pPr>
      <w:rPr>
        <w:rFonts w:ascii="Calibri" w:eastAsia="Calibri" w:hAnsi="Calibri" w:cs="Calibri" w:hint="default"/>
        <w:b/>
        <w:bCs/>
        <w:i w:val="0"/>
        <w:iCs w:val="0"/>
        <w:color w:val="FFFFFF"/>
        <w:spacing w:val="0"/>
        <w:w w:val="100"/>
        <w:sz w:val="18"/>
        <w:szCs w:val="18"/>
        <w:lang w:val="en-US" w:eastAsia="en-US" w:bidi="ar-SA"/>
      </w:rPr>
    </w:lvl>
    <w:lvl w:ilvl="1" w:tplc="7EEED0BA">
      <w:numFmt w:val="bullet"/>
      <w:lvlText w:val="•"/>
      <w:lvlJc w:val="left"/>
      <w:pPr>
        <w:ind w:left="385" w:hanging="188"/>
      </w:pPr>
      <w:rPr>
        <w:rFonts w:hint="default"/>
        <w:lang w:val="en-US" w:eastAsia="en-US" w:bidi="ar-SA"/>
      </w:rPr>
    </w:lvl>
    <w:lvl w:ilvl="2" w:tplc="282EBE10">
      <w:numFmt w:val="bullet"/>
      <w:lvlText w:val="•"/>
      <w:lvlJc w:val="left"/>
      <w:pPr>
        <w:ind w:left="590" w:hanging="188"/>
      </w:pPr>
      <w:rPr>
        <w:rFonts w:hint="default"/>
        <w:lang w:val="en-US" w:eastAsia="en-US" w:bidi="ar-SA"/>
      </w:rPr>
    </w:lvl>
    <w:lvl w:ilvl="3" w:tplc="01A8FE72">
      <w:numFmt w:val="bullet"/>
      <w:lvlText w:val="•"/>
      <w:lvlJc w:val="left"/>
      <w:pPr>
        <w:ind w:left="795" w:hanging="188"/>
      </w:pPr>
      <w:rPr>
        <w:rFonts w:hint="default"/>
        <w:lang w:val="en-US" w:eastAsia="en-US" w:bidi="ar-SA"/>
      </w:rPr>
    </w:lvl>
    <w:lvl w:ilvl="4" w:tplc="22649B04">
      <w:numFmt w:val="bullet"/>
      <w:lvlText w:val="•"/>
      <w:lvlJc w:val="left"/>
      <w:pPr>
        <w:ind w:left="1000" w:hanging="188"/>
      </w:pPr>
      <w:rPr>
        <w:rFonts w:hint="default"/>
        <w:lang w:val="en-US" w:eastAsia="en-US" w:bidi="ar-SA"/>
      </w:rPr>
    </w:lvl>
    <w:lvl w:ilvl="5" w:tplc="6930EC7A">
      <w:numFmt w:val="bullet"/>
      <w:lvlText w:val="•"/>
      <w:lvlJc w:val="left"/>
      <w:pPr>
        <w:ind w:left="1205" w:hanging="188"/>
      </w:pPr>
      <w:rPr>
        <w:rFonts w:hint="default"/>
        <w:lang w:val="en-US" w:eastAsia="en-US" w:bidi="ar-SA"/>
      </w:rPr>
    </w:lvl>
    <w:lvl w:ilvl="6" w:tplc="A58A46D2">
      <w:numFmt w:val="bullet"/>
      <w:lvlText w:val="•"/>
      <w:lvlJc w:val="left"/>
      <w:pPr>
        <w:ind w:left="1410" w:hanging="188"/>
      </w:pPr>
      <w:rPr>
        <w:rFonts w:hint="default"/>
        <w:lang w:val="en-US" w:eastAsia="en-US" w:bidi="ar-SA"/>
      </w:rPr>
    </w:lvl>
    <w:lvl w:ilvl="7" w:tplc="6DD27070">
      <w:numFmt w:val="bullet"/>
      <w:lvlText w:val="•"/>
      <w:lvlJc w:val="left"/>
      <w:pPr>
        <w:ind w:left="1615" w:hanging="188"/>
      </w:pPr>
      <w:rPr>
        <w:rFonts w:hint="default"/>
        <w:lang w:val="en-US" w:eastAsia="en-US" w:bidi="ar-SA"/>
      </w:rPr>
    </w:lvl>
    <w:lvl w:ilvl="8" w:tplc="0FDA91AA">
      <w:numFmt w:val="bullet"/>
      <w:lvlText w:val="•"/>
      <w:lvlJc w:val="left"/>
      <w:pPr>
        <w:ind w:left="1820" w:hanging="188"/>
      </w:pPr>
      <w:rPr>
        <w:rFonts w:hint="default"/>
        <w:lang w:val="en-US" w:eastAsia="en-US" w:bidi="ar-SA"/>
      </w:rPr>
    </w:lvl>
  </w:abstractNum>
  <w:abstractNum w:abstractNumId="2" w15:restartNumberingAfterBreak="0">
    <w:nsid w:val="1E1B216A"/>
    <w:multiLevelType w:val="hybridMultilevel"/>
    <w:tmpl w:val="14E84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93513"/>
    <w:multiLevelType w:val="hybridMultilevel"/>
    <w:tmpl w:val="B0180624"/>
    <w:lvl w:ilvl="0" w:tplc="05E6C298">
      <w:start w:val="1"/>
      <w:numFmt w:val="decimal"/>
      <w:lvlText w:val="%1)"/>
      <w:lvlJc w:val="left"/>
      <w:pPr>
        <w:ind w:left="187" w:hanging="188"/>
      </w:pPr>
      <w:rPr>
        <w:rFonts w:ascii="Calibri" w:eastAsia="Calibri" w:hAnsi="Calibri" w:cs="Calibri" w:hint="default"/>
        <w:b/>
        <w:bCs/>
        <w:i w:val="0"/>
        <w:iCs w:val="0"/>
        <w:color w:val="FFFFFF"/>
        <w:spacing w:val="0"/>
        <w:w w:val="100"/>
        <w:sz w:val="18"/>
        <w:szCs w:val="18"/>
        <w:lang w:val="en-US" w:eastAsia="en-US" w:bidi="ar-SA"/>
      </w:rPr>
    </w:lvl>
    <w:lvl w:ilvl="1" w:tplc="EC38E1E2">
      <w:numFmt w:val="bullet"/>
      <w:lvlText w:val="•"/>
      <w:lvlJc w:val="left"/>
      <w:pPr>
        <w:ind w:left="365" w:hanging="188"/>
      </w:pPr>
      <w:rPr>
        <w:rFonts w:hint="default"/>
        <w:lang w:val="en-US" w:eastAsia="en-US" w:bidi="ar-SA"/>
      </w:rPr>
    </w:lvl>
    <w:lvl w:ilvl="2" w:tplc="429E33A0">
      <w:numFmt w:val="bullet"/>
      <w:lvlText w:val="•"/>
      <w:lvlJc w:val="left"/>
      <w:pPr>
        <w:ind w:left="550" w:hanging="188"/>
      </w:pPr>
      <w:rPr>
        <w:rFonts w:hint="default"/>
        <w:lang w:val="en-US" w:eastAsia="en-US" w:bidi="ar-SA"/>
      </w:rPr>
    </w:lvl>
    <w:lvl w:ilvl="3" w:tplc="FC643FA8">
      <w:numFmt w:val="bullet"/>
      <w:lvlText w:val="•"/>
      <w:lvlJc w:val="left"/>
      <w:pPr>
        <w:ind w:left="735" w:hanging="188"/>
      </w:pPr>
      <w:rPr>
        <w:rFonts w:hint="default"/>
        <w:lang w:val="en-US" w:eastAsia="en-US" w:bidi="ar-SA"/>
      </w:rPr>
    </w:lvl>
    <w:lvl w:ilvl="4" w:tplc="9A1463AE">
      <w:numFmt w:val="bullet"/>
      <w:lvlText w:val="•"/>
      <w:lvlJc w:val="left"/>
      <w:pPr>
        <w:ind w:left="920" w:hanging="188"/>
      </w:pPr>
      <w:rPr>
        <w:rFonts w:hint="default"/>
        <w:lang w:val="en-US" w:eastAsia="en-US" w:bidi="ar-SA"/>
      </w:rPr>
    </w:lvl>
    <w:lvl w:ilvl="5" w:tplc="74F8B3B6">
      <w:numFmt w:val="bullet"/>
      <w:lvlText w:val="•"/>
      <w:lvlJc w:val="left"/>
      <w:pPr>
        <w:ind w:left="1106" w:hanging="188"/>
      </w:pPr>
      <w:rPr>
        <w:rFonts w:hint="default"/>
        <w:lang w:val="en-US" w:eastAsia="en-US" w:bidi="ar-SA"/>
      </w:rPr>
    </w:lvl>
    <w:lvl w:ilvl="6" w:tplc="E9AAC28A">
      <w:numFmt w:val="bullet"/>
      <w:lvlText w:val="•"/>
      <w:lvlJc w:val="left"/>
      <w:pPr>
        <w:ind w:left="1291" w:hanging="188"/>
      </w:pPr>
      <w:rPr>
        <w:rFonts w:hint="default"/>
        <w:lang w:val="en-US" w:eastAsia="en-US" w:bidi="ar-SA"/>
      </w:rPr>
    </w:lvl>
    <w:lvl w:ilvl="7" w:tplc="A4BA0230">
      <w:numFmt w:val="bullet"/>
      <w:lvlText w:val="•"/>
      <w:lvlJc w:val="left"/>
      <w:pPr>
        <w:ind w:left="1476" w:hanging="188"/>
      </w:pPr>
      <w:rPr>
        <w:rFonts w:hint="default"/>
        <w:lang w:val="en-US" w:eastAsia="en-US" w:bidi="ar-SA"/>
      </w:rPr>
    </w:lvl>
    <w:lvl w:ilvl="8" w:tplc="45483078">
      <w:numFmt w:val="bullet"/>
      <w:lvlText w:val="•"/>
      <w:lvlJc w:val="left"/>
      <w:pPr>
        <w:ind w:left="1661" w:hanging="188"/>
      </w:pPr>
      <w:rPr>
        <w:rFonts w:hint="default"/>
        <w:lang w:val="en-US" w:eastAsia="en-US" w:bidi="ar-SA"/>
      </w:rPr>
    </w:lvl>
  </w:abstractNum>
  <w:abstractNum w:abstractNumId="4" w15:restartNumberingAfterBreak="0">
    <w:nsid w:val="27D41BF1"/>
    <w:multiLevelType w:val="hybridMultilevel"/>
    <w:tmpl w:val="274CFFDA"/>
    <w:lvl w:ilvl="0" w:tplc="18F6DD6A">
      <w:numFmt w:val="bullet"/>
      <w:lvlText w:val=""/>
      <w:lvlJc w:val="left"/>
      <w:pPr>
        <w:ind w:left="2098" w:hanging="341"/>
      </w:pPr>
      <w:rPr>
        <w:rFonts w:ascii="Symbol" w:eastAsia="Symbol" w:hAnsi="Symbol" w:cs="Symbol" w:hint="default"/>
        <w:b w:val="0"/>
        <w:bCs w:val="0"/>
        <w:i w:val="0"/>
        <w:iCs w:val="0"/>
        <w:spacing w:val="0"/>
        <w:w w:val="100"/>
        <w:sz w:val="22"/>
        <w:szCs w:val="22"/>
        <w:lang w:val="en-US" w:eastAsia="en-US" w:bidi="ar-SA"/>
      </w:rPr>
    </w:lvl>
    <w:lvl w:ilvl="1" w:tplc="DDD27A5E">
      <w:numFmt w:val="bullet"/>
      <w:lvlText w:val="•"/>
      <w:lvlJc w:val="left"/>
      <w:pPr>
        <w:ind w:left="2910" w:hanging="341"/>
      </w:pPr>
      <w:rPr>
        <w:rFonts w:hint="default"/>
        <w:lang w:val="en-US" w:eastAsia="en-US" w:bidi="ar-SA"/>
      </w:rPr>
    </w:lvl>
    <w:lvl w:ilvl="2" w:tplc="F9BAEA16">
      <w:numFmt w:val="bullet"/>
      <w:lvlText w:val="•"/>
      <w:lvlJc w:val="left"/>
      <w:pPr>
        <w:ind w:left="3721" w:hanging="341"/>
      </w:pPr>
      <w:rPr>
        <w:rFonts w:hint="default"/>
        <w:lang w:val="en-US" w:eastAsia="en-US" w:bidi="ar-SA"/>
      </w:rPr>
    </w:lvl>
    <w:lvl w:ilvl="3" w:tplc="E6D86A64">
      <w:numFmt w:val="bullet"/>
      <w:lvlText w:val="•"/>
      <w:lvlJc w:val="left"/>
      <w:pPr>
        <w:ind w:left="4532" w:hanging="341"/>
      </w:pPr>
      <w:rPr>
        <w:rFonts w:hint="default"/>
        <w:lang w:val="en-US" w:eastAsia="en-US" w:bidi="ar-SA"/>
      </w:rPr>
    </w:lvl>
    <w:lvl w:ilvl="4" w:tplc="D4649BA0">
      <w:numFmt w:val="bullet"/>
      <w:lvlText w:val="•"/>
      <w:lvlJc w:val="left"/>
      <w:pPr>
        <w:ind w:left="5342" w:hanging="341"/>
      </w:pPr>
      <w:rPr>
        <w:rFonts w:hint="default"/>
        <w:lang w:val="en-US" w:eastAsia="en-US" w:bidi="ar-SA"/>
      </w:rPr>
    </w:lvl>
    <w:lvl w:ilvl="5" w:tplc="E2265D98">
      <w:numFmt w:val="bullet"/>
      <w:lvlText w:val="•"/>
      <w:lvlJc w:val="left"/>
      <w:pPr>
        <w:ind w:left="6153" w:hanging="341"/>
      </w:pPr>
      <w:rPr>
        <w:rFonts w:hint="default"/>
        <w:lang w:val="en-US" w:eastAsia="en-US" w:bidi="ar-SA"/>
      </w:rPr>
    </w:lvl>
    <w:lvl w:ilvl="6" w:tplc="FFAABF8C">
      <w:numFmt w:val="bullet"/>
      <w:lvlText w:val="•"/>
      <w:lvlJc w:val="left"/>
      <w:pPr>
        <w:ind w:left="6964" w:hanging="341"/>
      </w:pPr>
      <w:rPr>
        <w:rFonts w:hint="default"/>
        <w:lang w:val="en-US" w:eastAsia="en-US" w:bidi="ar-SA"/>
      </w:rPr>
    </w:lvl>
    <w:lvl w:ilvl="7" w:tplc="D61A35E4">
      <w:numFmt w:val="bullet"/>
      <w:lvlText w:val="•"/>
      <w:lvlJc w:val="left"/>
      <w:pPr>
        <w:ind w:left="7775" w:hanging="341"/>
      </w:pPr>
      <w:rPr>
        <w:rFonts w:hint="default"/>
        <w:lang w:val="en-US" w:eastAsia="en-US" w:bidi="ar-SA"/>
      </w:rPr>
    </w:lvl>
    <w:lvl w:ilvl="8" w:tplc="B5CE4B0E">
      <w:numFmt w:val="bullet"/>
      <w:lvlText w:val="•"/>
      <w:lvlJc w:val="left"/>
      <w:pPr>
        <w:ind w:left="8585" w:hanging="341"/>
      </w:pPr>
      <w:rPr>
        <w:rFonts w:hint="default"/>
        <w:lang w:val="en-US" w:eastAsia="en-US" w:bidi="ar-SA"/>
      </w:rPr>
    </w:lvl>
  </w:abstractNum>
  <w:abstractNum w:abstractNumId="5" w15:restartNumberingAfterBreak="0">
    <w:nsid w:val="29375087"/>
    <w:multiLevelType w:val="hybridMultilevel"/>
    <w:tmpl w:val="308AABE2"/>
    <w:lvl w:ilvl="0" w:tplc="6B4EEE6C">
      <w:start w:val="1"/>
      <w:numFmt w:val="decimal"/>
      <w:lvlText w:val="%1."/>
      <w:lvlJc w:val="left"/>
      <w:pPr>
        <w:ind w:left="1305" w:hanging="721"/>
      </w:pPr>
      <w:rPr>
        <w:rFonts w:hint="default"/>
        <w:spacing w:val="0"/>
        <w:w w:val="100"/>
        <w:lang w:val="en-US" w:eastAsia="en-US" w:bidi="ar-SA"/>
      </w:rPr>
    </w:lvl>
    <w:lvl w:ilvl="1" w:tplc="53A8E6EE">
      <w:start w:val="1"/>
      <w:numFmt w:val="decimal"/>
      <w:lvlText w:val="%2)"/>
      <w:lvlJc w:val="left"/>
      <w:pPr>
        <w:ind w:left="2927" w:hanging="188"/>
      </w:pPr>
      <w:rPr>
        <w:rFonts w:ascii="Calibri" w:eastAsia="Calibri" w:hAnsi="Calibri" w:cs="Calibri" w:hint="default"/>
        <w:b/>
        <w:bCs/>
        <w:i w:val="0"/>
        <w:iCs w:val="0"/>
        <w:color w:val="FFFFFF"/>
        <w:spacing w:val="0"/>
        <w:w w:val="100"/>
        <w:sz w:val="18"/>
        <w:szCs w:val="18"/>
        <w:lang w:val="en-US" w:eastAsia="en-US" w:bidi="ar-SA"/>
      </w:rPr>
    </w:lvl>
    <w:lvl w:ilvl="2" w:tplc="DF764416">
      <w:numFmt w:val="bullet"/>
      <w:lvlText w:val="•"/>
      <w:lvlJc w:val="left"/>
      <w:pPr>
        <w:ind w:left="3170" w:hanging="188"/>
      </w:pPr>
      <w:rPr>
        <w:rFonts w:hint="default"/>
        <w:lang w:val="en-US" w:eastAsia="en-US" w:bidi="ar-SA"/>
      </w:rPr>
    </w:lvl>
    <w:lvl w:ilvl="3" w:tplc="4DB6B80A">
      <w:numFmt w:val="bullet"/>
      <w:lvlText w:val="•"/>
      <w:lvlJc w:val="left"/>
      <w:pPr>
        <w:ind w:left="3420" w:hanging="188"/>
      </w:pPr>
      <w:rPr>
        <w:rFonts w:hint="default"/>
        <w:lang w:val="en-US" w:eastAsia="en-US" w:bidi="ar-SA"/>
      </w:rPr>
    </w:lvl>
    <w:lvl w:ilvl="4" w:tplc="D4C08272">
      <w:numFmt w:val="bullet"/>
      <w:lvlText w:val="•"/>
      <w:lvlJc w:val="left"/>
      <w:pPr>
        <w:ind w:left="3671" w:hanging="188"/>
      </w:pPr>
      <w:rPr>
        <w:rFonts w:hint="default"/>
        <w:lang w:val="en-US" w:eastAsia="en-US" w:bidi="ar-SA"/>
      </w:rPr>
    </w:lvl>
    <w:lvl w:ilvl="5" w:tplc="B5A8A406">
      <w:numFmt w:val="bullet"/>
      <w:lvlText w:val="•"/>
      <w:lvlJc w:val="left"/>
      <w:pPr>
        <w:ind w:left="3921" w:hanging="188"/>
      </w:pPr>
      <w:rPr>
        <w:rFonts w:hint="default"/>
        <w:lang w:val="en-US" w:eastAsia="en-US" w:bidi="ar-SA"/>
      </w:rPr>
    </w:lvl>
    <w:lvl w:ilvl="6" w:tplc="08B69A52">
      <w:numFmt w:val="bullet"/>
      <w:lvlText w:val="•"/>
      <w:lvlJc w:val="left"/>
      <w:pPr>
        <w:ind w:left="4171" w:hanging="188"/>
      </w:pPr>
      <w:rPr>
        <w:rFonts w:hint="default"/>
        <w:lang w:val="en-US" w:eastAsia="en-US" w:bidi="ar-SA"/>
      </w:rPr>
    </w:lvl>
    <w:lvl w:ilvl="7" w:tplc="A0488DB4">
      <w:numFmt w:val="bullet"/>
      <w:lvlText w:val="•"/>
      <w:lvlJc w:val="left"/>
      <w:pPr>
        <w:ind w:left="4422" w:hanging="188"/>
      </w:pPr>
      <w:rPr>
        <w:rFonts w:hint="default"/>
        <w:lang w:val="en-US" w:eastAsia="en-US" w:bidi="ar-SA"/>
      </w:rPr>
    </w:lvl>
    <w:lvl w:ilvl="8" w:tplc="9D788D5E">
      <w:numFmt w:val="bullet"/>
      <w:lvlText w:val="•"/>
      <w:lvlJc w:val="left"/>
      <w:pPr>
        <w:ind w:left="4672" w:hanging="188"/>
      </w:pPr>
      <w:rPr>
        <w:rFonts w:hint="default"/>
        <w:lang w:val="en-US" w:eastAsia="en-US" w:bidi="ar-SA"/>
      </w:rPr>
    </w:lvl>
  </w:abstractNum>
  <w:abstractNum w:abstractNumId="6" w15:restartNumberingAfterBreak="0">
    <w:nsid w:val="360D5856"/>
    <w:multiLevelType w:val="hybridMultilevel"/>
    <w:tmpl w:val="6360CC46"/>
    <w:lvl w:ilvl="0" w:tplc="25A8E2FA">
      <w:start w:val="1"/>
      <w:numFmt w:val="lowerLetter"/>
      <w:lvlText w:val="%1)"/>
      <w:lvlJc w:val="left"/>
      <w:pPr>
        <w:ind w:left="1567" w:hanging="185"/>
        <w:jc w:val="right"/>
      </w:pPr>
      <w:rPr>
        <w:rFonts w:hint="default"/>
        <w:spacing w:val="-1"/>
        <w:w w:val="100"/>
        <w:lang w:val="en-US" w:eastAsia="en-US" w:bidi="ar-SA"/>
      </w:rPr>
    </w:lvl>
    <w:lvl w:ilvl="1" w:tplc="293C4008">
      <w:numFmt w:val="bullet"/>
      <w:lvlText w:val="•"/>
      <w:lvlJc w:val="left"/>
      <w:pPr>
        <w:ind w:left="1888" w:hanging="185"/>
      </w:pPr>
      <w:rPr>
        <w:rFonts w:hint="default"/>
        <w:lang w:val="en-US" w:eastAsia="en-US" w:bidi="ar-SA"/>
      </w:rPr>
    </w:lvl>
    <w:lvl w:ilvl="2" w:tplc="F0940658">
      <w:numFmt w:val="bullet"/>
      <w:lvlText w:val="•"/>
      <w:lvlJc w:val="left"/>
      <w:pPr>
        <w:ind w:left="2216" w:hanging="185"/>
      </w:pPr>
      <w:rPr>
        <w:rFonts w:hint="default"/>
        <w:lang w:val="en-US" w:eastAsia="en-US" w:bidi="ar-SA"/>
      </w:rPr>
    </w:lvl>
    <w:lvl w:ilvl="3" w:tplc="D2F0BF5C">
      <w:numFmt w:val="bullet"/>
      <w:lvlText w:val="•"/>
      <w:lvlJc w:val="left"/>
      <w:pPr>
        <w:ind w:left="2544" w:hanging="185"/>
      </w:pPr>
      <w:rPr>
        <w:rFonts w:hint="default"/>
        <w:lang w:val="en-US" w:eastAsia="en-US" w:bidi="ar-SA"/>
      </w:rPr>
    </w:lvl>
    <w:lvl w:ilvl="4" w:tplc="BB4CEA6E">
      <w:numFmt w:val="bullet"/>
      <w:lvlText w:val="•"/>
      <w:lvlJc w:val="left"/>
      <w:pPr>
        <w:ind w:left="2873" w:hanging="185"/>
      </w:pPr>
      <w:rPr>
        <w:rFonts w:hint="default"/>
        <w:lang w:val="en-US" w:eastAsia="en-US" w:bidi="ar-SA"/>
      </w:rPr>
    </w:lvl>
    <w:lvl w:ilvl="5" w:tplc="2B56FFB4">
      <w:numFmt w:val="bullet"/>
      <w:lvlText w:val="•"/>
      <w:lvlJc w:val="left"/>
      <w:pPr>
        <w:ind w:left="3201" w:hanging="185"/>
      </w:pPr>
      <w:rPr>
        <w:rFonts w:hint="default"/>
        <w:lang w:val="en-US" w:eastAsia="en-US" w:bidi="ar-SA"/>
      </w:rPr>
    </w:lvl>
    <w:lvl w:ilvl="6" w:tplc="4E28DE3A">
      <w:numFmt w:val="bullet"/>
      <w:lvlText w:val="•"/>
      <w:lvlJc w:val="left"/>
      <w:pPr>
        <w:ind w:left="3529" w:hanging="185"/>
      </w:pPr>
      <w:rPr>
        <w:rFonts w:hint="default"/>
        <w:lang w:val="en-US" w:eastAsia="en-US" w:bidi="ar-SA"/>
      </w:rPr>
    </w:lvl>
    <w:lvl w:ilvl="7" w:tplc="DFDEF8B0">
      <w:numFmt w:val="bullet"/>
      <w:lvlText w:val="•"/>
      <w:lvlJc w:val="left"/>
      <w:pPr>
        <w:ind w:left="3858" w:hanging="185"/>
      </w:pPr>
      <w:rPr>
        <w:rFonts w:hint="default"/>
        <w:lang w:val="en-US" w:eastAsia="en-US" w:bidi="ar-SA"/>
      </w:rPr>
    </w:lvl>
    <w:lvl w:ilvl="8" w:tplc="391421D6">
      <w:numFmt w:val="bullet"/>
      <w:lvlText w:val="•"/>
      <w:lvlJc w:val="left"/>
      <w:pPr>
        <w:ind w:left="4186" w:hanging="185"/>
      </w:pPr>
      <w:rPr>
        <w:rFonts w:hint="default"/>
        <w:lang w:val="en-US" w:eastAsia="en-US" w:bidi="ar-SA"/>
      </w:rPr>
    </w:lvl>
  </w:abstractNum>
  <w:abstractNum w:abstractNumId="7" w15:restartNumberingAfterBreak="0">
    <w:nsid w:val="36BF0559"/>
    <w:multiLevelType w:val="hybridMultilevel"/>
    <w:tmpl w:val="913639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568E5"/>
    <w:multiLevelType w:val="hybridMultilevel"/>
    <w:tmpl w:val="CF9AFB5A"/>
    <w:lvl w:ilvl="0" w:tplc="36E6913E">
      <w:start w:val="1"/>
      <w:numFmt w:val="decimal"/>
      <w:lvlText w:val="%1."/>
      <w:lvlJc w:val="left"/>
      <w:pPr>
        <w:ind w:left="2098" w:hanging="341"/>
      </w:pPr>
      <w:rPr>
        <w:rFonts w:ascii="Times New Roman" w:eastAsia="Times New Roman" w:hAnsi="Times New Roman" w:cs="Times New Roman" w:hint="default"/>
        <w:b w:val="0"/>
        <w:bCs w:val="0"/>
        <w:i w:val="0"/>
        <w:iCs w:val="0"/>
        <w:spacing w:val="0"/>
        <w:w w:val="99"/>
        <w:sz w:val="20"/>
        <w:szCs w:val="20"/>
        <w:lang w:val="en-US" w:eastAsia="en-US" w:bidi="ar-SA"/>
      </w:rPr>
    </w:lvl>
    <w:lvl w:ilvl="1" w:tplc="8FE0044E">
      <w:numFmt w:val="bullet"/>
      <w:lvlText w:val="•"/>
      <w:lvlJc w:val="left"/>
      <w:pPr>
        <w:ind w:left="2910" w:hanging="341"/>
      </w:pPr>
      <w:rPr>
        <w:rFonts w:hint="default"/>
        <w:lang w:val="en-US" w:eastAsia="en-US" w:bidi="ar-SA"/>
      </w:rPr>
    </w:lvl>
    <w:lvl w:ilvl="2" w:tplc="7DB87804">
      <w:numFmt w:val="bullet"/>
      <w:lvlText w:val="•"/>
      <w:lvlJc w:val="left"/>
      <w:pPr>
        <w:ind w:left="3721" w:hanging="341"/>
      </w:pPr>
      <w:rPr>
        <w:rFonts w:hint="default"/>
        <w:lang w:val="en-US" w:eastAsia="en-US" w:bidi="ar-SA"/>
      </w:rPr>
    </w:lvl>
    <w:lvl w:ilvl="3" w:tplc="A634B5E4">
      <w:numFmt w:val="bullet"/>
      <w:lvlText w:val="•"/>
      <w:lvlJc w:val="left"/>
      <w:pPr>
        <w:ind w:left="4532" w:hanging="341"/>
      </w:pPr>
      <w:rPr>
        <w:rFonts w:hint="default"/>
        <w:lang w:val="en-US" w:eastAsia="en-US" w:bidi="ar-SA"/>
      </w:rPr>
    </w:lvl>
    <w:lvl w:ilvl="4" w:tplc="8504544C">
      <w:numFmt w:val="bullet"/>
      <w:lvlText w:val="•"/>
      <w:lvlJc w:val="left"/>
      <w:pPr>
        <w:ind w:left="5342" w:hanging="341"/>
      </w:pPr>
      <w:rPr>
        <w:rFonts w:hint="default"/>
        <w:lang w:val="en-US" w:eastAsia="en-US" w:bidi="ar-SA"/>
      </w:rPr>
    </w:lvl>
    <w:lvl w:ilvl="5" w:tplc="75F46D02">
      <w:numFmt w:val="bullet"/>
      <w:lvlText w:val="•"/>
      <w:lvlJc w:val="left"/>
      <w:pPr>
        <w:ind w:left="6153" w:hanging="341"/>
      </w:pPr>
      <w:rPr>
        <w:rFonts w:hint="default"/>
        <w:lang w:val="en-US" w:eastAsia="en-US" w:bidi="ar-SA"/>
      </w:rPr>
    </w:lvl>
    <w:lvl w:ilvl="6" w:tplc="617082B0">
      <w:numFmt w:val="bullet"/>
      <w:lvlText w:val="•"/>
      <w:lvlJc w:val="left"/>
      <w:pPr>
        <w:ind w:left="6964" w:hanging="341"/>
      </w:pPr>
      <w:rPr>
        <w:rFonts w:hint="default"/>
        <w:lang w:val="en-US" w:eastAsia="en-US" w:bidi="ar-SA"/>
      </w:rPr>
    </w:lvl>
    <w:lvl w:ilvl="7" w:tplc="3B6AA76E">
      <w:numFmt w:val="bullet"/>
      <w:lvlText w:val="•"/>
      <w:lvlJc w:val="left"/>
      <w:pPr>
        <w:ind w:left="7775" w:hanging="341"/>
      </w:pPr>
      <w:rPr>
        <w:rFonts w:hint="default"/>
        <w:lang w:val="en-US" w:eastAsia="en-US" w:bidi="ar-SA"/>
      </w:rPr>
    </w:lvl>
    <w:lvl w:ilvl="8" w:tplc="D54C5EC2">
      <w:numFmt w:val="bullet"/>
      <w:lvlText w:val="•"/>
      <w:lvlJc w:val="left"/>
      <w:pPr>
        <w:ind w:left="8585" w:hanging="341"/>
      </w:pPr>
      <w:rPr>
        <w:rFonts w:hint="default"/>
        <w:lang w:val="en-US" w:eastAsia="en-US" w:bidi="ar-SA"/>
      </w:rPr>
    </w:lvl>
  </w:abstractNum>
  <w:abstractNum w:abstractNumId="9" w15:restartNumberingAfterBreak="0">
    <w:nsid w:val="483674F2"/>
    <w:multiLevelType w:val="hybridMultilevel"/>
    <w:tmpl w:val="87BA6770"/>
    <w:lvl w:ilvl="0" w:tplc="B37409E2">
      <w:numFmt w:val="bullet"/>
      <w:lvlText w:val=""/>
      <w:lvlJc w:val="left"/>
      <w:pPr>
        <w:ind w:left="2097" w:hanging="341"/>
      </w:pPr>
      <w:rPr>
        <w:rFonts w:ascii="Symbol" w:eastAsia="Symbol" w:hAnsi="Symbol" w:cs="Symbol" w:hint="default"/>
        <w:spacing w:val="0"/>
        <w:w w:val="100"/>
        <w:lang w:val="en-US" w:eastAsia="en-US" w:bidi="ar-SA"/>
      </w:rPr>
    </w:lvl>
    <w:lvl w:ilvl="1" w:tplc="A078BEE6">
      <w:numFmt w:val="bullet"/>
      <w:lvlText w:val="•"/>
      <w:lvlJc w:val="left"/>
      <w:pPr>
        <w:ind w:left="2910" w:hanging="341"/>
      </w:pPr>
      <w:rPr>
        <w:rFonts w:hint="default"/>
        <w:lang w:val="en-US" w:eastAsia="en-US" w:bidi="ar-SA"/>
      </w:rPr>
    </w:lvl>
    <w:lvl w:ilvl="2" w:tplc="26E0E6AA">
      <w:numFmt w:val="bullet"/>
      <w:lvlText w:val="•"/>
      <w:lvlJc w:val="left"/>
      <w:pPr>
        <w:ind w:left="3721" w:hanging="341"/>
      </w:pPr>
      <w:rPr>
        <w:rFonts w:hint="default"/>
        <w:lang w:val="en-US" w:eastAsia="en-US" w:bidi="ar-SA"/>
      </w:rPr>
    </w:lvl>
    <w:lvl w:ilvl="3" w:tplc="ABC08238">
      <w:numFmt w:val="bullet"/>
      <w:lvlText w:val="•"/>
      <w:lvlJc w:val="left"/>
      <w:pPr>
        <w:ind w:left="4532" w:hanging="341"/>
      </w:pPr>
      <w:rPr>
        <w:rFonts w:hint="default"/>
        <w:lang w:val="en-US" w:eastAsia="en-US" w:bidi="ar-SA"/>
      </w:rPr>
    </w:lvl>
    <w:lvl w:ilvl="4" w:tplc="12C47126">
      <w:numFmt w:val="bullet"/>
      <w:lvlText w:val="•"/>
      <w:lvlJc w:val="left"/>
      <w:pPr>
        <w:ind w:left="5342" w:hanging="341"/>
      </w:pPr>
      <w:rPr>
        <w:rFonts w:hint="default"/>
        <w:lang w:val="en-US" w:eastAsia="en-US" w:bidi="ar-SA"/>
      </w:rPr>
    </w:lvl>
    <w:lvl w:ilvl="5" w:tplc="256602F4">
      <w:numFmt w:val="bullet"/>
      <w:lvlText w:val="•"/>
      <w:lvlJc w:val="left"/>
      <w:pPr>
        <w:ind w:left="6153" w:hanging="341"/>
      </w:pPr>
      <w:rPr>
        <w:rFonts w:hint="default"/>
        <w:lang w:val="en-US" w:eastAsia="en-US" w:bidi="ar-SA"/>
      </w:rPr>
    </w:lvl>
    <w:lvl w:ilvl="6" w:tplc="BF083C8A">
      <w:numFmt w:val="bullet"/>
      <w:lvlText w:val="•"/>
      <w:lvlJc w:val="left"/>
      <w:pPr>
        <w:ind w:left="6964" w:hanging="341"/>
      </w:pPr>
      <w:rPr>
        <w:rFonts w:hint="default"/>
        <w:lang w:val="en-US" w:eastAsia="en-US" w:bidi="ar-SA"/>
      </w:rPr>
    </w:lvl>
    <w:lvl w:ilvl="7" w:tplc="CAC0D6A4">
      <w:numFmt w:val="bullet"/>
      <w:lvlText w:val="•"/>
      <w:lvlJc w:val="left"/>
      <w:pPr>
        <w:ind w:left="7775" w:hanging="341"/>
      </w:pPr>
      <w:rPr>
        <w:rFonts w:hint="default"/>
        <w:lang w:val="en-US" w:eastAsia="en-US" w:bidi="ar-SA"/>
      </w:rPr>
    </w:lvl>
    <w:lvl w:ilvl="8" w:tplc="DD685D70">
      <w:numFmt w:val="bullet"/>
      <w:lvlText w:val="•"/>
      <w:lvlJc w:val="left"/>
      <w:pPr>
        <w:ind w:left="8585" w:hanging="341"/>
      </w:pPr>
      <w:rPr>
        <w:rFonts w:hint="default"/>
        <w:lang w:val="en-US" w:eastAsia="en-US" w:bidi="ar-SA"/>
      </w:rPr>
    </w:lvl>
  </w:abstractNum>
  <w:abstractNum w:abstractNumId="10" w15:restartNumberingAfterBreak="0">
    <w:nsid w:val="49034D9B"/>
    <w:multiLevelType w:val="hybridMultilevel"/>
    <w:tmpl w:val="05029A64"/>
    <w:lvl w:ilvl="0" w:tplc="94BC87F6">
      <w:numFmt w:val="bullet"/>
      <w:lvlText w:val=""/>
      <w:lvlJc w:val="left"/>
      <w:pPr>
        <w:ind w:left="2097" w:hanging="341"/>
      </w:pPr>
      <w:rPr>
        <w:rFonts w:ascii="Symbol" w:eastAsia="Symbol" w:hAnsi="Symbol" w:cs="Symbol" w:hint="default"/>
        <w:b w:val="0"/>
        <w:bCs w:val="0"/>
        <w:i w:val="0"/>
        <w:iCs w:val="0"/>
        <w:spacing w:val="0"/>
        <w:w w:val="100"/>
        <w:sz w:val="22"/>
        <w:szCs w:val="22"/>
        <w:lang w:val="en-US" w:eastAsia="en-US" w:bidi="ar-SA"/>
      </w:rPr>
    </w:lvl>
    <w:lvl w:ilvl="1" w:tplc="5DC82E28">
      <w:start w:val="1"/>
      <w:numFmt w:val="decimal"/>
      <w:lvlText w:val="%2."/>
      <w:lvlJc w:val="left"/>
      <w:pPr>
        <w:ind w:left="2043" w:hanging="341"/>
      </w:pPr>
      <w:rPr>
        <w:rFonts w:ascii="Times New Roman" w:eastAsia="Times New Roman" w:hAnsi="Times New Roman" w:cs="Times New Roman" w:hint="default"/>
        <w:b w:val="0"/>
        <w:bCs w:val="0"/>
        <w:i w:val="0"/>
        <w:iCs w:val="0"/>
        <w:spacing w:val="0"/>
        <w:w w:val="99"/>
        <w:sz w:val="20"/>
        <w:szCs w:val="20"/>
        <w:lang w:val="en-US" w:eastAsia="en-US" w:bidi="ar-SA"/>
      </w:rPr>
    </w:lvl>
    <w:lvl w:ilvl="2" w:tplc="0180E76A">
      <w:numFmt w:val="bullet"/>
      <w:lvlText w:val="•"/>
      <w:lvlJc w:val="left"/>
      <w:pPr>
        <w:ind w:left="3374" w:hanging="341"/>
      </w:pPr>
      <w:rPr>
        <w:rFonts w:hint="default"/>
        <w:lang w:val="en-US" w:eastAsia="en-US" w:bidi="ar-SA"/>
      </w:rPr>
    </w:lvl>
    <w:lvl w:ilvl="3" w:tplc="95485C36">
      <w:numFmt w:val="bullet"/>
      <w:lvlText w:val="•"/>
      <w:lvlJc w:val="left"/>
      <w:pPr>
        <w:ind w:left="4228" w:hanging="341"/>
      </w:pPr>
      <w:rPr>
        <w:rFonts w:hint="default"/>
        <w:lang w:val="en-US" w:eastAsia="en-US" w:bidi="ar-SA"/>
      </w:rPr>
    </w:lvl>
    <w:lvl w:ilvl="4" w:tplc="1D4C5D2C">
      <w:numFmt w:val="bullet"/>
      <w:lvlText w:val="•"/>
      <w:lvlJc w:val="left"/>
      <w:pPr>
        <w:ind w:left="5082" w:hanging="341"/>
      </w:pPr>
      <w:rPr>
        <w:rFonts w:hint="default"/>
        <w:lang w:val="en-US" w:eastAsia="en-US" w:bidi="ar-SA"/>
      </w:rPr>
    </w:lvl>
    <w:lvl w:ilvl="5" w:tplc="EE42055E">
      <w:numFmt w:val="bullet"/>
      <w:lvlText w:val="•"/>
      <w:lvlJc w:val="left"/>
      <w:pPr>
        <w:ind w:left="5936" w:hanging="341"/>
      </w:pPr>
      <w:rPr>
        <w:rFonts w:hint="default"/>
        <w:lang w:val="en-US" w:eastAsia="en-US" w:bidi="ar-SA"/>
      </w:rPr>
    </w:lvl>
    <w:lvl w:ilvl="6" w:tplc="3F481B40">
      <w:numFmt w:val="bullet"/>
      <w:lvlText w:val="•"/>
      <w:lvlJc w:val="left"/>
      <w:pPr>
        <w:ind w:left="6790" w:hanging="341"/>
      </w:pPr>
      <w:rPr>
        <w:rFonts w:hint="default"/>
        <w:lang w:val="en-US" w:eastAsia="en-US" w:bidi="ar-SA"/>
      </w:rPr>
    </w:lvl>
    <w:lvl w:ilvl="7" w:tplc="CF908126">
      <w:numFmt w:val="bullet"/>
      <w:lvlText w:val="•"/>
      <w:lvlJc w:val="left"/>
      <w:pPr>
        <w:ind w:left="7644" w:hanging="341"/>
      </w:pPr>
      <w:rPr>
        <w:rFonts w:hint="default"/>
        <w:lang w:val="en-US" w:eastAsia="en-US" w:bidi="ar-SA"/>
      </w:rPr>
    </w:lvl>
    <w:lvl w:ilvl="8" w:tplc="080ACD44">
      <w:numFmt w:val="bullet"/>
      <w:lvlText w:val="•"/>
      <w:lvlJc w:val="left"/>
      <w:pPr>
        <w:ind w:left="8499" w:hanging="341"/>
      </w:pPr>
      <w:rPr>
        <w:rFonts w:hint="default"/>
        <w:lang w:val="en-US" w:eastAsia="en-US" w:bidi="ar-SA"/>
      </w:rPr>
    </w:lvl>
  </w:abstractNum>
  <w:abstractNum w:abstractNumId="11" w15:restartNumberingAfterBreak="0">
    <w:nsid w:val="70607412"/>
    <w:multiLevelType w:val="multilevel"/>
    <w:tmpl w:val="389624E0"/>
    <w:lvl w:ilvl="0">
      <w:start w:val="1"/>
      <w:numFmt w:val="decimal"/>
      <w:lvlText w:val="%1."/>
      <w:lvlJc w:val="left"/>
      <w:pPr>
        <w:ind w:left="1044" w:hanging="308"/>
      </w:pPr>
      <w:rPr>
        <w:rFonts w:ascii="Times New Roman" w:eastAsia="Times New Roman" w:hAnsi="Times New Roman" w:cs="Times New Roman" w:hint="default"/>
        <w:b/>
        <w:bCs/>
        <w:i w:val="0"/>
        <w:iCs w:val="0"/>
        <w:color w:val="4E81BC"/>
        <w:spacing w:val="0"/>
        <w:w w:val="100"/>
        <w:sz w:val="24"/>
        <w:szCs w:val="24"/>
        <w:lang w:val="en-US" w:eastAsia="en-US" w:bidi="ar-SA"/>
      </w:rPr>
    </w:lvl>
    <w:lvl w:ilvl="1">
      <w:start w:val="1"/>
      <w:numFmt w:val="decimal"/>
      <w:lvlText w:val="%1.%2."/>
      <w:lvlJc w:val="left"/>
      <w:pPr>
        <w:ind w:left="1416" w:hanging="488"/>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1.%2.%3."/>
      <w:lvlJc w:val="left"/>
      <w:pPr>
        <w:ind w:left="2083" w:hanging="668"/>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2080" w:hanging="668"/>
      </w:pPr>
      <w:rPr>
        <w:rFonts w:hint="default"/>
        <w:lang w:val="en-US" w:eastAsia="en-US" w:bidi="ar-SA"/>
      </w:rPr>
    </w:lvl>
    <w:lvl w:ilvl="4">
      <w:numFmt w:val="bullet"/>
      <w:lvlText w:val="•"/>
      <w:lvlJc w:val="left"/>
      <w:pPr>
        <w:ind w:left="3241" w:hanging="668"/>
      </w:pPr>
      <w:rPr>
        <w:rFonts w:hint="default"/>
        <w:lang w:val="en-US" w:eastAsia="en-US" w:bidi="ar-SA"/>
      </w:rPr>
    </w:lvl>
    <w:lvl w:ilvl="5">
      <w:numFmt w:val="bullet"/>
      <w:lvlText w:val="•"/>
      <w:lvlJc w:val="left"/>
      <w:pPr>
        <w:ind w:left="4402" w:hanging="668"/>
      </w:pPr>
      <w:rPr>
        <w:rFonts w:hint="default"/>
        <w:lang w:val="en-US" w:eastAsia="en-US" w:bidi="ar-SA"/>
      </w:rPr>
    </w:lvl>
    <w:lvl w:ilvl="6">
      <w:numFmt w:val="bullet"/>
      <w:lvlText w:val="•"/>
      <w:lvlJc w:val="left"/>
      <w:pPr>
        <w:ind w:left="5563" w:hanging="668"/>
      </w:pPr>
      <w:rPr>
        <w:rFonts w:hint="default"/>
        <w:lang w:val="en-US" w:eastAsia="en-US" w:bidi="ar-SA"/>
      </w:rPr>
    </w:lvl>
    <w:lvl w:ilvl="7">
      <w:numFmt w:val="bullet"/>
      <w:lvlText w:val="•"/>
      <w:lvlJc w:val="left"/>
      <w:pPr>
        <w:ind w:left="6724" w:hanging="668"/>
      </w:pPr>
      <w:rPr>
        <w:rFonts w:hint="default"/>
        <w:lang w:val="en-US" w:eastAsia="en-US" w:bidi="ar-SA"/>
      </w:rPr>
    </w:lvl>
    <w:lvl w:ilvl="8">
      <w:numFmt w:val="bullet"/>
      <w:lvlText w:val="•"/>
      <w:lvlJc w:val="left"/>
      <w:pPr>
        <w:ind w:left="7885" w:hanging="668"/>
      </w:pPr>
      <w:rPr>
        <w:rFonts w:hint="default"/>
        <w:lang w:val="en-US" w:eastAsia="en-US" w:bidi="ar-SA"/>
      </w:rPr>
    </w:lvl>
  </w:abstractNum>
  <w:abstractNum w:abstractNumId="12" w15:restartNumberingAfterBreak="0">
    <w:nsid w:val="738927CD"/>
    <w:multiLevelType w:val="hybridMultilevel"/>
    <w:tmpl w:val="49B04308"/>
    <w:lvl w:ilvl="0" w:tplc="1C0078FE">
      <w:numFmt w:val="bullet"/>
      <w:lvlText w:val=""/>
      <w:lvlJc w:val="left"/>
      <w:pPr>
        <w:ind w:left="852" w:hanging="286"/>
      </w:pPr>
      <w:rPr>
        <w:rFonts w:ascii="Symbol" w:eastAsia="Symbol" w:hAnsi="Symbol" w:cs="Symbol" w:hint="default"/>
        <w:b w:val="0"/>
        <w:bCs w:val="0"/>
        <w:i w:val="0"/>
        <w:iCs w:val="0"/>
        <w:spacing w:val="0"/>
        <w:w w:val="100"/>
        <w:sz w:val="22"/>
        <w:szCs w:val="22"/>
        <w:lang w:val="en-US" w:eastAsia="en-US" w:bidi="ar-SA"/>
      </w:rPr>
    </w:lvl>
    <w:lvl w:ilvl="1" w:tplc="1824A196">
      <w:numFmt w:val="bullet"/>
      <w:lvlText w:val="•"/>
      <w:lvlJc w:val="left"/>
      <w:pPr>
        <w:ind w:left="1704" w:hanging="286"/>
      </w:pPr>
      <w:rPr>
        <w:rFonts w:hint="default"/>
        <w:lang w:val="en-US" w:eastAsia="en-US" w:bidi="ar-SA"/>
      </w:rPr>
    </w:lvl>
    <w:lvl w:ilvl="2" w:tplc="6E02AE82">
      <w:numFmt w:val="bullet"/>
      <w:lvlText w:val="•"/>
      <w:lvlJc w:val="left"/>
      <w:pPr>
        <w:ind w:left="2548" w:hanging="286"/>
      </w:pPr>
      <w:rPr>
        <w:rFonts w:hint="default"/>
        <w:lang w:val="en-US" w:eastAsia="en-US" w:bidi="ar-SA"/>
      </w:rPr>
    </w:lvl>
    <w:lvl w:ilvl="3" w:tplc="4CE41ACC">
      <w:numFmt w:val="bullet"/>
      <w:lvlText w:val="•"/>
      <w:lvlJc w:val="left"/>
      <w:pPr>
        <w:ind w:left="3392" w:hanging="286"/>
      </w:pPr>
      <w:rPr>
        <w:rFonts w:hint="default"/>
        <w:lang w:val="en-US" w:eastAsia="en-US" w:bidi="ar-SA"/>
      </w:rPr>
    </w:lvl>
    <w:lvl w:ilvl="4" w:tplc="60B67A44">
      <w:numFmt w:val="bullet"/>
      <w:lvlText w:val="•"/>
      <w:lvlJc w:val="left"/>
      <w:pPr>
        <w:ind w:left="4236" w:hanging="286"/>
      </w:pPr>
      <w:rPr>
        <w:rFonts w:hint="default"/>
        <w:lang w:val="en-US" w:eastAsia="en-US" w:bidi="ar-SA"/>
      </w:rPr>
    </w:lvl>
    <w:lvl w:ilvl="5" w:tplc="DDC69C6E">
      <w:numFmt w:val="bullet"/>
      <w:lvlText w:val="•"/>
      <w:lvlJc w:val="left"/>
      <w:pPr>
        <w:ind w:left="5080" w:hanging="286"/>
      </w:pPr>
      <w:rPr>
        <w:rFonts w:hint="default"/>
        <w:lang w:val="en-US" w:eastAsia="en-US" w:bidi="ar-SA"/>
      </w:rPr>
    </w:lvl>
    <w:lvl w:ilvl="6" w:tplc="9014E86C">
      <w:numFmt w:val="bullet"/>
      <w:lvlText w:val="•"/>
      <w:lvlJc w:val="left"/>
      <w:pPr>
        <w:ind w:left="5924" w:hanging="286"/>
      </w:pPr>
      <w:rPr>
        <w:rFonts w:hint="default"/>
        <w:lang w:val="en-US" w:eastAsia="en-US" w:bidi="ar-SA"/>
      </w:rPr>
    </w:lvl>
    <w:lvl w:ilvl="7" w:tplc="FED82806">
      <w:numFmt w:val="bullet"/>
      <w:lvlText w:val="•"/>
      <w:lvlJc w:val="left"/>
      <w:pPr>
        <w:ind w:left="6768" w:hanging="286"/>
      </w:pPr>
      <w:rPr>
        <w:rFonts w:hint="default"/>
        <w:lang w:val="en-US" w:eastAsia="en-US" w:bidi="ar-SA"/>
      </w:rPr>
    </w:lvl>
    <w:lvl w:ilvl="8" w:tplc="E28A6D16">
      <w:numFmt w:val="bullet"/>
      <w:lvlText w:val="•"/>
      <w:lvlJc w:val="left"/>
      <w:pPr>
        <w:ind w:left="7612" w:hanging="286"/>
      </w:pPr>
      <w:rPr>
        <w:rFonts w:hint="default"/>
        <w:lang w:val="en-US" w:eastAsia="en-US" w:bidi="ar-SA"/>
      </w:rPr>
    </w:lvl>
  </w:abstractNum>
  <w:abstractNum w:abstractNumId="13" w15:restartNumberingAfterBreak="0">
    <w:nsid w:val="75836559"/>
    <w:multiLevelType w:val="multilevel"/>
    <w:tmpl w:val="8800CCC2"/>
    <w:lvl w:ilvl="0">
      <w:start w:val="1"/>
      <w:numFmt w:val="decimal"/>
      <w:lvlText w:val="%1."/>
      <w:lvlJc w:val="left"/>
      <w:pPr>
        <w:ind w:left="1154"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519" w:hanging="387"/>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85" w:hanging="387"/>
      </w:pPr>
      <w:rPr>
        <w:rFonts w:hint="default"/>
        <w:lang w:val="en-US" w:eastAsia="en-US" w:bidi="ar-SA"/>
      </w:rPr>
    </w:lvl>
    <w:lvl w:ilvl="3">
      <w:numFmt w:val="bullet"/>
      <w:lvlText w:val="•"/>
      <w:lvlJc w:val="left"/>
      <w:pPr>
        <w:ind w:left="3450" w:hanging="387"/>
      </w:pPr>
      <w:rPr>
        <w:rFonts w:hint="default"/>
        <w:lang w:val="en-US" w:eastAsia="en-US" w:bidi="ar-SA"/>
      </w:rPr>
    </w:lvl>
    <w:lvl w:ilvl="4">
      <w:numFmt w:val="bullet"/>
      <w:lvlText w:val="•"/>
      <w:lvlJc w:val="left"/>
      <w:pPr>
        <w:ind w:left="4415" w:hanging="387"/>
      </w:pPr>
      <w:rPr>
        <w:rFonts w:hint="default"/>
        <w:lang w:val="en-US" w:eastAsia="en-US" w:bidi="ar-SA"/>
      </w:rPr>
    </w:lvl>
    <w:lvl w:ilvl="5">
      <w:numFmt w:val="bullet"/>
      <w:lvlText w:val="•"/>
      <w:lvlJc w:val="left"/>
      <w:pPr>
        <w:ind w:left="5381" w:hanging="387"/>
      </w:pPr>
      <w:rPr>
        <w:rFonts w:hint="default"/>
        <w:lang w:val="en-US" w:eastAsia="en-US" w:bidi="ar-SA"/>
      </w:rPr>
    </w:lvl>
    <w:lvl w:ilvl="6">
      <w:numFmt w:val="bullet"/>
      <w:lvlText w:val="•"/>
      <w:lvlJc w:val="left"/>
      <w:pPr>
        <w:ind w:left="6346" w:hanging="387"/>
      </w:pPr>
      <w:rPr>
        <w:rFonts w:hint="default"/>
        <w:lang w:val="en-US" w:eastAsia="en-US" w:bidi="ar-SA"/>
      </w:rPr>
    </w:lvl>
    <w:lvl w:ilvl="7">
      <w:numFmt w:val="bullet"/>
      <w:lvlText w:val="•"/>
      <w:lvlJc w:val="left"/>
      <w:pPr>
        <w:ind w:left="7311" w:hanging="387"/>
      </w:pPr>
      <w:rPr>
        <w:rFonts w:hint="default"/>
        <w:lang w:val="en-US" w:eastAsia="en-US" w:bidi="ar-SA"/>
      </w:rPr>
    </w:lvl>
    <w:lvl w:ilvl="8">
      <w:numFmt w:val="bullet"/>
      <w:lvlText w:val="•"/>
      <w:lvlJc w:val="left"/>
      <w:pPr>
        <w:ind w:left="8276" w:hanging="387"/>
      </w:pPr>
      <w:rPr>
        <w:rFonts w:hint="default"/>
        <w:lang w:val="en-US" w:eastAsia="en-US" w:bidi="ar-SA"/>
      </w:rPr>
    </w:lvl>
  </w:abstractNum>
  <w:num w:numId="1" w16cid:durableId="1643341707">
    <w:abstractNumId w:val="9"/>
  </w:num>
  <w:num w:numId="2" w16cid:durableId="1848010185">
    <w:abstractNumId w:val="6"/>
  </w:num>
  <w:num w:numId="3" w16cid:durableId="374815404">
    <w:abstractNumId w:val="4"/>
  </w:num>
  <w:num w:numId="4" w16cid:durableId="2036350014">
    <w:abstractNumId w:val="8"/>
  </w:num>
  <w:num w:numId="5" w16cid:durableId="2143232382">
    <w:abstractNumId w:val="10"/>
  </w:num>
  <w:num w:numId="6" w16cid:durableId="1738700249">
    <w:abstractNumId w:val="3"/>
  </w:num>
  <w:num w:numId="7" w16cid:durableId="1885484474">
    <w:abstractNumId w:val="1"/>
  </w:num>
  <w:num w:numId="8" w16cid:durableId="2085684783">
    <w:abstractNumId w:val="12"/>
  </w:num>
  <w:num w:numId="9" w16cid:durableId="321472180">
    <w:abstractNumId w:val="0"/>
  </w:num>
  <w:num w:numId="10" w16cid:durableId="698703566">
    <w:abstractNumId w:val="5"/>
  </w:num>
  <w:num w:numId="11" w16cid:durableId="93404579">
    <w:abstractNumId w:val="11"/>
  </w:num>
  <w:num w:numId="12" w16cid:durableId="543180468">
    <w:abstractNumId w:val="13"/>
  </w:num>
  <w:num w:numId="13" w16cid:durableId="1314989686">
    <w:abstractNumId w:val="7"/>
  </w:num>
  <w:num w:numId="14" w16cid:durableId="100867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B3CDA"/>
    <w:rsid w:val="00020FFC"/>
    <w:rsid w:val="00035103"/>
    <w:rsid w:val="00060170"/>
    <w:rsid w:val="000602A2"/>
    <w:rsid w:val="00065198"/>
    <w:rsid w:val="00070D82"/>
    <w:rsid w:val="00074D4C"/>
    <w:rsid w:val="00080817"/>
    <w:rsid w:val="00095B45"/>
    <w:rsid w:val="000C19B4"/>
    <w:rsid w:val="000F469D"/>
    <w:rsid w:val="00136BA3"/>
    <w:rsid w:val="00145582"/>
    <w:rsid w:val="00191E94"/>
    <w:rsid w:val="001970BD"/>
    <w:rsid w:val="001B7C08"/>
    <w:rsid w:val="001C4CB0"/>
    <w:rsid w:val="001D16C7"/>
    <w:rsid w:val="001F7358"/>
    <w:rsid w:val="00207711"/>
    <w:rsid w:val="0021709F"/>
    <w:rsid w:val="00240AF1"/>
    <w:rsid w:val="00265157"/>
    <w:rsid w:val="002C1359"/>
    <w:rsid w:val="002C5178"/>
    <w:rsid w:val="002E4AE1"/>
    <w:rsid w:val="002E4FAA"/>
    <w:rsid w:val="002E5C9A"/>
    <w:rsid w:val="00346D82"/>
    <w:rsid w:val="00363983"/>
    <w:rsid w:val="00391469"/>
    <w:rsid w:val="003A0D2E"/>
    <w:rsid w:val="003A0F3A"/>
    <w:rsid w:val="003A1859"/>
    <w:rsid w:val="003A3690"/>
    <w:rsid w:val="003C0E92"/>
    <w:rsid w:val="003C32CF"/>
    <w:rsid w:val="003C741A"/>
    <w:rsid w:val="003D5A64"/>
    <w:rsid w:val="003D78D4"/>
    <w:rsid w:val="003E0F48"/>
    <w:rsid w:val="003F278C"/>
    <w:rsid w:val="003F6156"/>
    <w:rsid w:val="004361BB"/>
    <w:rsid w:val="00436AB3"/>
    <w:rsid w:val="004A1D56"/>
    <w:rsid w:val="004E6A06"/>
    <w:rsid w:val="00511BA1"/>
    <w:rsid w:val="005129EB"/>
    <w:rsid w:val="00520869"/>
    <w:rsid w:val="00524855"/>
    <w:rsid w:val="00524935"/>
    <w:rsid w:val="00570CB8"/>
    <w:rsid w:val="005B3CDA"/>
    <w:rsid w:val="005C6EA2"/>
    <w:rsid w:val="005D4116"/>
    <w:rsid w:val="005F7301"/>
    <w:rsid w:val="005F7B48"/>
    <w:rsid w:val="006120C5"/>
    <w:rsid w:val="00615D16"/>
    <w:rsid w:val="006416C6"/>
    <w:rsid w:val="00687139"/>
    <w:rsid w:val="006D03B1"/>
    <w:rsid w:val="006D1C5D"/>
    <w:rsid w:val="006F1EF0"/>
    <w:rsid w:val="00734659"/>
    <w:rsid w:val="007406A3"/>
    <w:rsid w:val="00756F88"/>
    <w:rsid w:val="007A064A"/>
    <w:rsid w:val="007A08A0"/>
    <w:rsid w:val="007C28D5"/>
    <w:rsid w:val="007C7077"/>
    <w:rsid w:val="007D2036"/>
    <w:rsid w:val="007D2EB7"/>
    <w:rsid w:val="0080748B"/>
    <w:rsid w:val="00811D9B"/>
    <w:rsid w:val="008320F3"/>
    <w:rsid w:val="00847FFA"/>
    <w:rsid w:val="00870DA2"/>
    <w:rsid w:val="008C4674"/>
    <w:rsid w:val="008E3ED1"/>
    <w:rsid w:val="008F49C1"/>
    <w:rsid w:val="008F557A"/>
    <w:rsid w:val="0094642C"/>
    <w:rsid w:val="00966E55"/>
    <w:rsid w:val="00975F0A"/>
    <w:rsid w:val="009815AB"/>
    <w:rsid w:val="009859C2"/>
    <w:rsid w:val="00990B0A"/>
    <w:rsid w:val="0099501E"/>
    <w:rsid w:val="009B027B"/>
    <w:rsid w:val="009B38EC"/>
    <w:rsid w:val="009B65A8"/>
    <w:rsid w:val="009C3E58"/>
    <w:rsid w:val="00A07B18"/>
    <w:rsid w:val="00A116F9"/>
    <w:rsid w:val="00A411F2"/>
    <w:rsid w:val="00A80861"/>
    <w:rsid w:val="00B6363B"/>
    <w:rsid w:val="00B65BF8"/>
    <w:rsid w:val="00B66D04"/>
    <w:rsid w:val="00B72688"/>
    <w:rsid w:val="00BA7E14"/>
    <w:rsid w:val="00BD2EED"/>
    <w:rsid w:val="00C063CD"/>
    <w:rsid w:val="00C3414B"/>
    <w:rsid w:val="00C37DE1"/>
    <w:rsid w:val="00C44B66"/>
    <w:rsid w:val="00C856B2"/>
    <w:rsid w:val="00C85C26"/>
    <w:rsid w:val="00C91FD9"/>
    <w:rsid w:val="00CB0214"/>
    <w:rsid w:val="00D135F0"/>
    <w:rsid w:val="00D31862"/>
    <w:rsid w:val="00D55862"/>
    <w:rsid w:val="00D6221E"/>
    <w:rsid w:val="00D64643"/>
    <w:rsid w:val="00D75671"/>
    <w:rsid w:val="00D83D2C"/>
    <w:rsid w:val="00D93455"/>
    <w:rsid w:val="00DB00BB"/>
    <w:rsid w:val="00E0407B"/>
    <w:rsid w:val="00E15EA9"/>
    <w:rsid w:val="00E4080C"/>
    <w:rsid w:val="00E61168"/>
    <w:rsid w:val="00ED0B9F"/>
    <w:rsid w:val="00EF7EA8"/>
    <w:rsid w:val="00F1705F"/>
    <w:rsid w:val="00F22F9C"/>
    <w:rsid w:val="00F35C72"/>
    <w:rsid w:val="00F6076F"/>
    <w:rsid w:val="00F677A5"/>
    <w:rsid w:val="00F7149E"/>
    <w:rsid w:val="00F74731"/>
    <w:rsid w:val="00F926C1"/>
    <w:rsid w:val="00F941C0"/>
    <w:rsid w:val="00FA011F"/>
    <w:rsid w:val="00FA36E3"/>
    <w:rsid w:val="00FE3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 w:right="5307"/>
      <w:jc w:val="both"/>
      <w:outlineLvl w:val="0"/>
    </w:pPr>
    <w:rPr>
      <w:rFonts w:ascii="Trebuchet MS" w:eastAsia="Trebuchet MS" w:hAnsi="Trebuchet MS" w:cs="Trebuchet MS"/>
      <w:sz w:val="52"/>
      <w:szCs w:val="52"/>
    </w:rPr>
  </w:style>
  <w:style w:type="paragraph" w:styleId="Heading2">
    <w:name w:val="heading 2"/>
    <w:basedOn w:val="Normal"/>
    <w:uiPriority w:val="9"/>
    <w:unhideWhenUsed/>
    <w:qFormat/>
    <w:pPr>
      <w:spacing w:before="151"/>
      <w:ind w:left="561"/>
      <w:jc w:val="center"/>
      <w:outlineLvl w:val="1"/>
    </w:pPr>
    <w:rPr>
      <w:i/>
      <w:iCs/>
      <w:sz w:val="32"/>
      <w:szCs w:val="32"/>
    </w:rPr>
  </w:style>
  <w:style w:type="paragraph" w:styleId="Heading3">
    <w:name w:val="heading 3"/>
    <w:basedOn w:val="Normal"/>
    <w:uiPriority w:val="9"/>
    <w:unhideWhenUsed/>
    <w:qFormat/>
    <w:pPr>
      <w:spacing w:before="149"/>
      <w:ind w:left="561"/>
      <w:outlineLvl w:val="2"/>
    </w:pPr>
    <w:rPr>
      <w:b/>
      <w:bCs/>
      <w:i/>
      <w:iCs/>
      <w:sz w:val="25"/>
      <w:szCs w:val="25"/>
    </w:rPr>
  </w:style>
  <w:style w:type="paragraph" w:styleId="Heading4">
    <w:name w:val="heading 4"/>
    <w:basedOn w:val="Normal"/>
    <w:uiPriority w:val="9"/>
    <w:unhideWhenUsed/>
    <w:qFormat/>
    <w:pPr>
      <w:spacing w:before="158"/>
      <w:ind w:left="1044" w:hanging="307"/>
      <w:outlineLvl w:val="3"/>
    </w:pPr>
    <w:rPr>
      <w:b/>
      <w:bCs/>
      <w:sz w:val="24"/>
      <w:szCs w:val="24"/>
    </w:rPr>
  </w:style>
  <w:style w:type="paragraph" w:styleId="Heading5">
    <w:name w:val="heading 5"/>
    <w:basedOn w:val="Normal"/>
    <w:uiPriority w:val="9"/>
    <w:unhideWhenUsed/>
    <w:qFormat/>
    <w:pPr>
      <w:ind w:left="1903" w:hanging="487"/>
      <w:jc w:val="both"/>
      <w:outlineLvl w:val="4"/>
    </w:pPr>
    <w:rPr>
      <w:b/>
      <w:bCs/>
      <w:i/>
      <w:iCs/>
      <w:sz w:val="24"/>
      <w:szCs w:val="24"/>
    </w:rPr>
  </w:style>
  <w:style w:type="paragraph" w:styleId="Heading6">
    <w:name w:val="heading 6"/>
    <w:basedOn w:val="Normal"/>
    <w:uiPriority w:val="9"/>
    <w:unhideWhenUsed/>
    <w:qFormat/>
    <w:pPr>
      <w:spacing w:before="10"/>
      <w:ind w:left="1589"/>
      <w:jc w:val="both"/>
      <w:outlineLvl w:val="5"/>
    </w:pPr>
    <w:rPr>
      <w:sz w:val="24"/>
      <w:szCs w:val="24"/>
    </w:rPr>
  </w:style>
  <w:style w:type="paragraph" w:styleId="Heading7">
    <w:name w:val="heading 7"/>
    <w:basedOn w:val="Normal"/>
    <w:uiPriority w:val="1"/>
    <w:qFormat/>
    <w:pPr>
      <w:ind w:left="2083" w:hanging="667"/>
      <w:jc w:val="both"/>
      <w:outlineLvl w:val="6"/>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59"/>
      <w:ind w:left="560"/>
      <w:jc w:val="center"/>
    </w:pPr>
    <w:rPr>
      <w:b/>
      <w:bCs/>
      <w:sz w:val="24"/>
      <w:szCs w:val="24"/>
    </w:rPr>
  </w:style>
  <w:style w:type="paragraph" w:styleId="TOC2">
    <w:name w:val="toc 2"/>
    <w:basedOn w:val="Normal"/>
    <w:uiPriority w:val="39"/>
    <w:qFormat/>
    <w:pPr>
      <w:spacing w:before="127"/>
      <w:ind w:left="737"/>
    </w:pPr>
    <w:rPr>
      <w:b/>
      <w:bCs/>
    </w:rPr>
  </w:style>
  <w:style w:type="paragraph" w:styleId="TOC3">
    <w:name w:val="toc 3"/>
    <w:basedOn w:val="Normal"/>
    <w:uiPriority w:val="39"/>
    <w:qFormat/>
    <w:pPr>
      <w:spacing w:before="1"/>
      <w:ind w:left="737"/>
    </w:pPr>
    <w:rPr>
      <w:b/>
      <w:bCs/>
      <w:i/>
      <w:iCs/>
    </w:rPr>
  </w:style>
  <w:style w:type="paragraph" w:styleId="TOC4">
    <w:name w:val="toc 4"/>
    <w:basedOn w:val="Normal"/>
    <w:uiPriority w:val="39"/>
    <w:qFormat/>
    <w:pPr>
      <w:spacing w:line="252" w:lineRule="exact"/>
      <w:ind w:left="737"/>
    </w:pPr>
  </w:style>
  <w:style w:type="paragraph" w:styleId="TOC5">
    <w:name w:val="toc 5"/>
    <w:basedOn w:val="Normal"/>
    <w:uiPriority w:val="39"/>
    <w:qFormat/>
    <w:pPr>
      <w:spacing w:before="2" w:line="252" w:lineRule="exact"/>
      <w:ind w:left="1154" w:hanging="220"/>
    </w:pPr>
  </w:style>
  <w:style w:type="paragraph" w:styleId="TOC6">
    <w:name w:val="toc 6"/>
    <w:basedOn w:val="Normal"/>
    <w:uiPriority w:val="1"/>
    <w:qFormat/>
    <w:pPr>
      <w:spacing w:line="252" w:lineRule="exact"/>
      <w:ind w:left="1519" w:hanging="386"/>
    </w:pPr>
  </w:style>
  <w:style w:type="paragraph" w:styleId="BodyText">
    <w:name w:val="Body Text"/>
    <w:basedOn w:val="Normal"/>
    <w:uiPriority w:val="1"/>
    <w:qFormat/>
  </w:style>
  <w:style w:type="paragraph" w:styleId="Title">
    <w:name w:val="Title"/>
    <w:basedOn w:val="Normal"/>
    <w:uiPriority w:val="10"/>
    <w:qFormat/>
    <w:pPr>
      <w:ind w:left="2165" w:right="1417"/>
      <w:jc w:val="center"/>
    </w:pPr>
    <w:rPr>
      <w:b/>
      <w:bCs/>
      <w:sz w:val="52"/>
      <w:szCs w:val="52"/>
    </w:rPr>
  </w:style>
  <w:style w:type="paragraph" w:styleId="ListParagraph">
    <w:name w:val="List Paragraph"/>
    <w:basedOn w:val="Normal"/>
    <w:uiPriority w:val="1"/>
    <w:qFormat/>
    <w:pPr>
      <w:ind w:left="130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37DE1"/>
    <w:pPr>
      <w:tabs>
        <w:tab w:val="center" w:pos="4513"/>
        <w:tab w:val="right" w:pos="9026"/>
      </w:tabs>
    </w:pPr>
  </w:style>
  <w:style w:type="character" w:customStyle="1" w:styleId="HeaderChar">
    <w:name w:val="Header Char"/>
    <w:basedOn w:val="DefaultParagraphFont"/>
    <w:link w:val="Header"/>
    <w:uiPriority w:val="99"/>
    <w:rsid w:val="00C37DE1"/>
    <w:rPr>
      <w:rFonts w:ascii="Times New Roman" w:eastAsia="Times New Roman" w:hAnsi="Times New Roman" w:cs="Times New Roman"/>
    </w:rPr>
  </w:style>
  <w:style w:type="paragraph" w:styleId="Footer">
    <w:name w:val="footer"/>
    <w:basedOn w:val="Normal"/>
    <w:link w:val="FooterChar"/>
    <w:uiPriority w:val="99"/>
    <w:unhideWhenUsed/>
    <w:rsid w:val="00C37DE1"/>
    <w:pPr>
      <w:tabs>
        <w:tab w:val="center" w:pos="4513"/>
        <w:tab w:val="right" w:pos="9026"/>
      </w:tabs>
    </w:pPr>
  </w:style>
  <w:style w:type="character" w:customStyle="1" w:styleId="FooterChar">
    <w:name w:val="Footer Char"/>
    <w:basedOn w:val="DefaultParagraphFont"/>
    <w:link w:val="Footer"/>
    <w:uiPriority w:val="99"/>
    <w:rsid w:val="00C37DE1"/>
    <w:rPr>
      <w:rFonts w:ascii="Times New Roman" w:eastAsia="Times New Roman" w:hAnsi="Times New Roman" w:cs="Times New Roman"/>
    </w:rPr>
  </w:style>
  <w:style w:type="table" w:styleId="TableGrid">
    <w:name w:val="Table Grid"/>
    <w:basedOn w:val="TableNormal"/>
    <w:uiPriority w:val="39"/>
    <w:rsid w:val="0021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78C"/>
    <w:rPr>
      <w:color w:val="0000FF" w:themeColor="hyperlink"/>
      <w:u w:val="single"/>
    </w:rPr>
  </w:style>
  <w:style w:type="character" w:styleId="UnresolvedMention">
    <w:name w:val="Unresolved Mention"/>
    <w:basedOn w:val="DefaultParagraphFont"/>
    <w:uiPriority w:val="99"/>
    <w:semiHidden/>
    <w:unhideWhenUsed/>
    <w:rsid w:val="003F278C"/>
    <w:rPr>
      <w:color w:val="605E5C"/>
      <w:shd w:val="clear" w:color="auto" w:fill="E1DFDD"/>
    </w:rPr>
  </w:style>
  <w:style w:type="paragraph" w:styleId="FootnoteText">
    <w:name w:val="footnote text"/>
    <w:basedOn w:val="Normal"/>
    <w:link w:val="FootnoteTextChar"/>
    <w:uiPriority w:val="99"/>
    <w:semiHidden/>
    <w:unhideWhenUsed/>
    <w:rsid w:val="00070D82"/>
    <w:rPr>
      <w:sz w:val="20"/>
      <w:szCs w:val="20"/>
    </w:rPr>
  </w:style>
  <w:style w:type="character" w:customStyle="1" w:styleId="FootnoteTextChar">
    <w:name w:val="Footnote Text Char"/>
    <w:basedOn w:val="DefaultParagraphFont"/>
    <w:link w:val="FootnoteText"/>
    <w:uiPriority w:val="99"/>
    <w:semiHidden/>
    <w:rsid w:val="00070D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0D82"/>
    <w:rPr>
      <w:vertAlign w:val="superscript"/>
    </w:rPr>
  </w:style>
  <w:style w:type="paragraph" w:styleId="TOCHeading">
    <w:name w:val="TOC Heading"/>
    <w:basedOn w:val="Heading1"/>
    <w:next w:val="Normal"/>
    <w:uiPriority w:val="39"/>
    <w:unhideWhenUsed/>
    <w:qFormat/>
    <w:rsid w:val="002C1359"/>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hyperlink" Target="http://dx.doi.org/10.1787/888934116053"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g"/><Relationship Id="rId25" Type="http://schemas.openxmlformats.org/officeDocument/2006/relationships/hyperlink" Target="http://dx.doi.org/10.1787/88893411609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ntact@cfcopies.com" TargetMode="External"/><Relationship Id="rId20" Type="http://schemas.openxmlformats.org/officeDocument/2006/relationships/image" Target="media/image6.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jp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info@copyright.com" TargetMode="External"/><Relationship Id="rId23" Type="http://schemas.openxmlformats.org/officeDocument/2006/relationships/hyperlink" Target="http://dx.doi.org/10.1787/888934116072" TargetMode="External"/><Relationship Id="rId28" Type="http://schemas.openxmlformats.org/officeDocument/2006/relationships/image" Target="media/image10.jp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x.doi.org/10.1787/88893411603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ghts@oecd.org" TargetMode="External"/><Relationship Id="rId22" Type="http://schemas.openxmlformats.org/officeDocument/2006/relationships/image" Target="media/image7.jpg"/><Relationship Id="rId27" Type="http://schemas.openxmlformats.org/officeDocument/2006/relationships/hyperlink" Target="http://dx.doi.org/10.1787/88893411611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60B5-1364-47D0-AF8E-B94890BB4AD7}">
  <ds:schemaRefs>
    <ds:schemaRef ds:uri="http://schemas.microsoft.com/sharepoint/v3/contenttype/forms"/>
  </ds:schemaRefs>
</ds:datastoreItem>
</file>

<file path=customXml/itemProps2.xml><?xml version="1.0" encoding="utf-8"?>
<ds:datastoreItem xmlns:ds="http://schemas.openxmlformats.org/officeDocument/2006/customXml" ds:itemID="{7621C8C5-54C5-46EC-93E6-B8C00C13DC9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1B95C04-A353-428C-8CE4-428B633B83F9}">
  <ds:schemaRefs>
    <ds:schemaRef ds:uri="http://schemas.openxmlformats.org/officeDocument/2006/bibliography"/>
  </ds:schemaRefs>
</ds:datastoreItem>
</file>

<file path=customXml/itemProps4.xml><?xml version="1.0" encoding="utf-8"?>
<ds:datastoreItem xmlns:ds="http://schemas.openxmlformats.org/officeDocument/2006/customXml" ds:itemID="{DD9264C9-4359-43A4-95AA-7B6C5DB1D16E}"/>
</file>

<file path=docProps/app.xml><?xml version="1.0" encoding="utf-8"?>
<Properties xmlns="http://schemas.openxmlformats.org/officeDocument/2006/extended-properties" xmlns:vt="http://schemas.openxmlformats.org/officeDocument/2006/docPropsVTypes">
  <Template>Normal</Template>
  <TotalTime>0</TotalTime>
  <Pages>42</Pages>
  <Words>16292</Words>
  <Characters>92866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2025-07-16T06:54:00Z</dcterms:created>
  <dcterms:modified xsi:type="dcterms:W3CDTF">2025-10-20T11:30:00Z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